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E859563" wp14:editId="75C0C96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Pr="001C527B" w:rsidRDefault="00F171E0" w:rsidP="001C527B">
          <w:pPr>
            <w:jc w:val="center"/>
            <w:rPr>
              <w:b/>
              <w:sz w:val="24"/>
              <w:szCs w:val="24"/>
            </w:rPr>
          </w:pP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FB5826" w:rsidP="008F07A3">
          <w:pPr>
            <w:pStyle w:val="ReportSubtitle"/>
          </w:pPr>
          <w:r>
            <w:t>Jemena Gas Networks (NSW) Ltd</w:t>
          </w:r>
        </w:p>
        <w:p w:rsidR="00FB5826" w:rsidRDefault="00FB5826" w:rsidP="008F07A3">
          <w:pPr>
            <w:pStyle w:val="ReportSubtitle"/>
          </w:pPr>
          <w:r>
            <w:t>Access Arrangement 2015-20</w:t>
          </w:r>
        </w:p>
        <w:p w:rsidR="000A6C7B" w:rsidRDefault="000A6C7B" w:rsidP="008F07A3">
          <w:pPr>
            <w:pStyle w:val="ReportSubtitle"/>
          </w:pPr>
        </w:p>
        <w:p w:rsidR="008F07A3" w:rsidRPr="000A6C7B" w:rsidRDefault="008F07A3" w:rsidP="008F07A3">
          <w:pPr>
            <w:pStyle w:val="ReportSubtitle"/>
          </w:pPr>
        </w:p>
        <w:p w:rsidR="000A6C7B" w:rsidRPr="000A6C7B" w:rsidRDefault="00DA4752" w:rsidP="008F07A3">
          <w:pPr>
            <w:pStyle w:val="ReportSubtitle"/>
          </w:pPr>
          <w:r>
            <w:t xml:space="preserve">Attachment </w:t>
          </w:r>
          <w:r w:rsidR="004F66C0">
            <w:t>8</w:t>
          </w:r>
          <w:r>
            <w:t xml:space="preserve"> </w:t>
          </w:r>
          <w:r>
            <w:rPr>
              <w:rFonts w:cs="Arial"/>
            </w:rPr>
            <w:t>−</w:t>
          </w:r>
          <w:r>
            <w:t xml:space="preserve"> </w:t>
          </w:r>
          <w:r w:rsidR="004F66C0">
            <w:t>Corporate income tax</w:t>
          </w:r>
        </w:p>
        <w:p w:rsidR="000A6C7B" w:rsidRPr="00327A1E" w:rsidRDefault="0015497C" w:rsidP="00327A1E">
          <w:pPr>
            <w:pStyle w:val="ReportDate"/>
          </w:pPr>
          <w:r>
            <w:t xml:space="preserve">June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w:t>
      </w:r>
      <w:r w:rsidR="00FB5826">
        <w:t>1741</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9393576"/>
      <w:r>
        <w:lastRenderedPageBreak/>
        <w:t>N</w:t>
      </w:r>
      <w:r w:rsidR="008F07A3">
        <w:t>ote</w:t>
      </w:r>
      <w:bookmarkEnd w:id="1"/>
      <w:bookmarkEnd w:id="2"/>
      <w:bookmarkEnd w:id="3"/>
      <w:bookmarkEnd w:id="4"/>
      <w:bookmarkEnd w:id="5"/>
    </w:p>
    <w:p w:rsidR="008F07A3" w:rsidRDefault="008F07A3" w:rsidP="008F07A3"/>
    <w:p w:rsidR="008429DE" w:rsidRPr="008429DE" w:rsidRDefault="008429DE" w:rsidP="008429DE">
      <w:r w:rsidRPr="008429DE">
        <w:t>This attachment forms part of the AER's final decision on Jemena Gas Networks' 2015–20 access arrangement. It should be read with other parts of the final decision.</w:t>
      </w:r>
    </w:p>
    <w:p w:rsidR="008429DE" w:rsidRPr="008429DE" w:rsidRDefault="008429DE" w:rsidP="008429DE">
      <w:r w:rsidRPr="008429DE">
        <w:t>The final decision includes the following documents:</w:t>
      </w:r>
    </w:p>
    <w:p w:rsidR="008429DE" w:rsidRPr="008429DE" w:rsidRDefault="008429DE" w:rsidP="008429DE">
      <w:r w:rsidRPr="008429DE">
        <w:t>Overview</w:t>
      </w:r>
    </w:p>
    <w:p w:rsidR="008429DE" w:rsidRPr="008429DE" w:rsidRDefault="008429DE" w:rsidP="008429DE">
      <w:r w:rsidRPr="008429DE">
        <w:t>Attachment 1 – services covered by the access arrangement</w:t>
      </w:r>
    </w:p>
    <w:p w:rsidR="008429DE" w:rsidRPr="008429DE" w:rsidRDefault="008429DE" w:rsidP="008429DE">
      <w:r w:rsidRPr="008429DE">
        <w:t>Attachment 2 – capital base</w:t>
      </w:r>
    </w:p>
    <w:p w:rsidR="008429DE" w:rsidRPr="008429DE" w:rsidRDefault="008429DE" w:rsidP="008429DE">
      <w:r w:rsidRPr="008429DE">
        <w:t>Attachment 3 – rate of return</w:t>
      </w:r>
    </w:p>
    <w:p w:rsidR="008429DE" w:rsidRPr="008429DE" w:rsidRDefault="008429DE" w:rsidP="008429DE">
      <w:r w:rsidRPr="008429DE">
        <w:t>Attachment 4 – value of imputation credits</w:t>
      </w:r>
    </w:p>
    <w:p w:rsidR="008429DE" w:rsidRPr="008429DE" w:rsidRDefault="008429DE" w:rsidP="008429DE">
      <w:r w:rsidRPr="008429DE">
        <w:t>Attachment 5 – regulatory depreciation</w:t>
      </w:r>
    </w:p>
    <w:p w:rsidR="008429DE" w:rsidRPr="008429DE" w:rsidRDefault="008429DE" w:rsidP="008429DE">
      <w:r w:rsidRPr="008429DE">
        <w:t xml:space="preserve">Attachment 6 – capital expenditure </w:t>
      </w:r>
    </w:p>
    <w:p w:rsidR="008429DE" w:rsidRPr="008429DE" w:rsidRDefault="008429DE" w:rsidP="008429DE">
      <w:r w:rsidRPr="008429DE">
        <w:t>Attachment 7 – operating expenditure</w:t>
      </w:r>
    </w:p>
    <w:p w:rsidR="008429DE" w:rsidRPr="008429DE" w:rsidRDefault="008429DE" w:rsidP="008429DE">
      <w:r w:rsidRPr="008429DE">
        <w:t>Attachment 8 – corporate income tax</w:t>
      </w:r>
    </w:p>
    <w:p w:rsidR="008429DE" w:rsidRPr="008429DE" w:rsidRDefault="008429DE" w:rsidP="008429DE">
      <w:r w:rsidRPr="008429DE">
        <w:t>Attachment 9 – efficiency carryover mechanism</w:t>
      </w:r>
    </w:p>
    <w:p w:rsidR="008429DE" w:rsidRPr="008429DE" w:rsidRDefault="008429DE" w:rsidP="008429DE">
      <w:r w:rsidRPr="008429DE">
        <w:t>Attachment 10 – reference tariff setting</w:t>
      </w:r>
    </w:p>
    <w:p w:rsidR="008429DE" w:rsidRPr="008429DE" w:rsidRDefault="008429DE" w:rsidP="008429DE">
      <w:r w:rsidRPr="008429DE">
        <w:t>Attachment 11 – reference tariff variation mechanism</w:t>
      </w:r>
    </w:p>
    <w:p w:rsidR="008429DE" w:rsidRPr="008429DE" w:rsidRDefault="008429DE" w:rsidP="008429DE">
      <w:r w:rsidRPr="008429DE">
        <w:t>Attachment 12 – non-tariff components</w:t>
      </w:r>
    </w:p>
    <w:p w:rsidR="008429DE" w:rsidRPr="008429DE" w:rsidRDefault="008429DE" w:rsidP="008429DE">
      <w:r w:rsidRPr="008429DE">
        <w:t xml:space="preserve">Attachment 13 – demand </w:t>
      </w:r>
    </w:p>
    <w:p w:rsidR="00FB5826" w:rsidRPr="00FB5826" w:rsidRDefault="00FB5826" w:rsidP="00FB5826"/>
    <w:p w:rsidR="00AF1F9E" w:rsidRPr="009134B1" w:rsidRDefault="00AF1F9E" w:rsidP="00AF1F9E">
      <w:pPr>
        <w:numPr>
          <w:ilvl w:val="0"/>
          <w:numId w:val="25"/>
        </w:numPr>
        <w:spacing w:before="0" w:after="240" w:line="288" w:lineRule="auto"/>
        <w:jc w:val="both"/>
      </w:pPr>
    </w:p>
    <w:p w:rsidR="00AF1F9E" w:rsidRPr="008F07A3" w:rsidRDefault="00AF1F9E" w:rsidP="008F07A3">
      <w:pPr>
        <w:sectPr w:rsidR="00AF1F9E" w:rsidRPr="008F07A3" w:rsidSect="0083105D">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939357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C527B"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9393576" w:history="1">
            <w:r w:rsidR="001C527B" w:rsidRPr="00D974FD">
              <w:rPr>
                <w:rStyle w:val="Hyperlink"/>
              </w:rPr>
              <w:t>Note</w:t>
            </w:r>
            <w:r w:rsidR="001C527B">
              <w:rPr>
                <w:webHidden/>
              </w:rPr>
              <w:tab/>
            </w:r>
            <w:r w:rsidR="001C527B">
              <w:rPr>
                <w:webHidden/>
              </w:rPr>
              <w:fldChar w:fldCharType="begin"/>
            </w:r>
            <w:r w:rsidR="001C527B">
              <w:rPr>
                <w:webHidden/>
              </w:rPr>
              <w:instrText xml:space="preserve"> PAGEREF _Toc419393576 \h </w:instrText>
            </w:r>
            <w:r w:rsidR="001C527B">
              <w:rPr>
                <w:webHidden/>
              </w:rPr>
            </w:r>
            <w:r w:rsidR="001C527B">
              <w:rPr>
                <w:webHidden/>
              </w:rPr>
              <w:fldChar w:fldCharType="separate"/>
            </w:r>
            <w:r w:rsidR="009854C0">
              <w:rPr>
                <w:webHidden/>
              </w:rPr>
              <w:t>8-2</w:t>
            </w:r>
            <w:r w:rsidR="001C527B">
              <w:rPr>
                <w:webHidden/>
              </w:rPr>
              <w:fldChar w:fldCharType="end"/>
            </w:r>
          </w:hyperlink>
        </w:p>
        <w:p w:rsidR="001C527B" w:rsidRDefault="009854C0">
          <w:pPr>
            <w:pStyle w:val="TOC1"/>
            <w:rPr>
              <w:rFonts w:asciiTheme="minorHAnsi" w:eastAsiaTheme="minorEastAsia" w:hAnsiTheme="minorHAnsi"/>
              <w:b w:val="0"/>
              <w:color w:val="auto"/>
              <w:sz w:val="22"/>
              <w:lang w:val="en-AU" w:eastAsia="en-AU"/>
            </w:rPr>
          </w:pPr>
          <w:hyperlink w:anchor="_Toc419393577" w:history="1">
            <w:r w:rsidR="001C527B" w:rsidRPr="00D974FD">
              <w:rPr>
                <w:rStyle w:val="Hyperlink"/>
              </w:rPr>
              <w:t>Contents</w:t>
            </w:r>
            <w:r w:rsidR="001C527B">
              <w:rPr>
                <w:webHidden/>
              </w:rPr>
              <w:tab/>
            </w:r>
            <w:r w:rsidR="001C527B">
              <w:rPr>
                <w:webHidden/>
              </w:rPr>
              <w:fldChar w:fldCharType="begin"/>
            </w:r>
            <w:r w:rsidR="001C527B">
              <w:rPr>
                <w:webHidden/>
              </w:rPr>
              <w:instrText xml:space="preserve"> PAGEREF _Toc419393577 \h </w:instrText>
            </w:r>
            <w:r w:rsidR="001C527B">
              <w:rPr>
                <w:webHidden/>
              </w:rPr>
            </w:r>
            <w:r w:rsidR="001C527B">
              <w:rPr>
                <w:webHidden/>
              </w:rPr>
              <w:fldChar w:fldCharType="separate"/>
            </w:r>
            <w:r>
              <w:rPr>
                <w:webHidden/>
              </w:rPr>
              <w:t>8-3</w:t>
            </w:r>
            <w:r w:rsidR="001C527B">
              <w:rPr>
                <w:webHidden/>
              </w:rPr>
              <w:fldChar w:fldCharType="end"/>
            </w:r>
          </w:hyperlink>
        </w:p>
        <w:p w:rsidR="001C527B" w:rsidRDefault="009854C0">
          <w:pPr>
            <w:pStyle w:val="TOC1"/>
            <w:rPr>
              <w:rFonts w:asciiTheme="minorHAnsi" w:eastAsiaTheme="minorEastAsia" w:hAnsiTheme="minorHAnsi"/>
              <w:b w:val="0"/>
              <w:color w:val="auto"/>
              <w:sz w:val="22"/>
              <w:lang w:val="en-AU" w:eastAsia="en-AU"/>
            </w:rPr>
          </w:pPr>
          <w:hyperlink w:anchor="_Toc419393578" w:history="1">
            <w:r w:rsidR="001C527B" w:rsidRPr="00D974FD">
              <w:rPr>
                <w:rStyle w:val="Hyperlink"/>
              </w:rPr>
              <w:t>Shortened forms</w:t>
            </w:r>
            <w:r w:rsidR="001C527B">
              <w:rPr>
                <w:webHidden/>
              </w:rPr>
              <w:tab/>
            </w:r>
            <w:r w:rsidR="001C527B">
              <w:rPr>
                <w:webHidden/>
              </w:rPr>
              <w:fldChar w:fldCharType="begin"/>
            </w:r>
            <w:r w:rsidR="001C527B">
              <w:rPr>
                <w:webHidden/>
              </w:rPr>
              <w:instrText xml:space="preserve"> PAGEREF _Toc419393578 \h </w:instrText>
            </w:r>
            <w:r w:rsidR="001C527B">
              <w:rPr>
                <w:webHidden/>
              </w:rPr>
            </w:r>
            <w:r w:rsidR="001C527B">
              <w:rPr>
                <w:webHidden/>
              </w:rPr>
              <w:fldChar w:fldCharType="separate"/>
            </w:r>
            <w:r>
              <w:rPr>
                <w:webHidden/>
              </w:rPr>
              <w:t>8-4</w:t>
            </w:r>
            <w:r w:rsidR="001C527B">
              <w:rPr>
                <w:webHidden/>
              </w:rPr>
              <w:fldChar w:fldCharType="end"/>
            </w:r>
          </w:hyperlink>
        </w:p>
        <w:p w:rsidR="001C527B" w:rsidRDefault="009854C0">
          <w:pPr>
            <w:pStyle w:val="TOC1"/>
            <w:rPr>
              <w:rFonts w:asciiTheme="minorHAnsi" w:eastAsiaTheme="minorEastAsia" w:hAnsiTheme="minorHAnsi"/>
              <w:b w:val="0"/>
              <w:color w:val="auto"/>
              <w:sz w:val="22"/>
              <w:lang w:val="en-AU" w:eastAsia="en-AU"/>
            </w:rPr>
          </w:pPr>
          <w:hyperlink w:anchor="_Toc419393579" w:history="1">
            <w:r w:rsidR="001C527B" w:rsidRPr="00D974FD">
              <w:rPr>
                <w:rStyle w:val="Hyperlink"/>
              </w:rPr>
              <w:t>8</w:t>
            </w:r>
            <w:r w:rsidR="001C527B">
              <w:rPr>
                <w:rFonts w:asciiTheme="minorHAnsi" w:eastAsiaTheme="minorEastAsia" w:hAnsiTheme="minorHAnsi"/>
                <w:b w:val="0"/>
                <w:color w:val="auto"/>
                <w:sz w:val="22"/>
                <w:lang w:val="en-AU" w:eastAsia="en-AU"/>
              </w:rPr>
              <w:tab/>
            </w:r>
            <w:r w:rsidR="001C527B" w:rsidRPr="00D974FD">
              <w:rPr>
                <w:rStyle w:val="Hyperlink"/>
              </w:rPr>
              <w:t>Corporate income tax</w:t>
            </w:r>
            <w:r w:rsidR="001C527B">
              <w:rPr>
                <w:webHidden/>
              </w:rPr>
              <w:tab/>
            </w:r>
            <w:r w:rsidR="001C527B">
              <w:rPr>
                <w:webHidden/>
              </w:rPr>
              <w:fldChar w:fldCharType="begin"/>
            </w:r>
            <w:r w:rsidR="001C527B">
              <w:rPr>
                <w:webHidden/>
              </w:rPr>
              <w:instrText xml:space="preserve"> PAGEREF _Toc419393579 \h </w:instrText>
            </w:r>
            <w:r w:rsidR="001C527B">
              <w:rPr>
                <w:webHidden/>
              </w:rPr>
            </w:r>
            <w:r w:rsidR="001C527B">
              <w:rPr>
                <w:webHidden/>
              </w:rPr>
              <w:fldChar w:fldCharType="separate"/>
            </w:r>
            <w:r>
              <w:rPr>
                <w:webHidden/>
              </w:rPr>
              <w:t>8-5</w:t>
            </w:r>
            <w:r w:rsidR="001C527B">
              <w:rPr>
                <w:webHidden/>
              </w:rPr>
              <w:fldChar w:fldCharType="end"/>
            </w:r>
          </w:hyperlink>
        </w:p>
        <w:p w:rsidR="001C527B" w:rsidRDefault="009854C0">
          <w:pPr>
            <w:pStyle w:val="TOC2"/>
            <w:rPr>
              <w:rFonts w:asciiTheme="minorHAnsi" w:eastAsiaTheme="minorEastAsia" w:hAnsiTheme="minorHAnsi"/>
              <w:b w:val="0"/>
              <w:color w:val="auto"/>
              <w:sz w:val="22"/>
              <w:lang w:eastAsia="en-AU"/>
            </w:rPr>
          </w:pPr>
          <w:hyperlink w:anchor="_Toc419393580" w:history="1">
            <w:r w:rsidR="001C527B" w:rsidRPr="00D974FD">
              <w:rPr>
                <w:rStyle w:val="Hyperlink"/>
              </w:rPr>
              <w:t>8.1</w:t>
            </w:r>
            <w:r w:rsidR="001C527B">
              <w:rPr>
                <w:rFonts w:asciiTheme="minorHAnsi" w:eastAsiaTheme="minorEastAsia" w:hAnsiTheme="minorHAnsi"/>
                <w:b w:val="0"/>
                <w:color w:val="auto"/>
                <w:sz w:val="22"/>
                <w:lang w:eastAsia="en-AU"/>
              </w:rPr>
              <w:tab/>
            </w:r>
            <w:r w:rsidR="001C527B" w:rsidRPr="00D974FD">
              <w:rPr>
                <w:rStyle w:val="Hyperlink"/>
              </w:rPr>
              <w:t>Final decision</w:t>
            </w:r>
            <w:r w:rsidR="001C527B">
              <w:rPr>
                <w:webHidden/>
              </w:rPr>
              <w:tab/>
            </w:r>
            <w:r w:rsidR="001C527B">
              <w:rPr>
                <w:webHidden/>
              </w:rPr>
              <w:fldChar w:fldCharType="begin"/>
            </w:r>
            <w:r w:rsidR="001C527B">
              <w:rPr>
                <w:webHidden/>
              </w:rPr>
              <w:instrText xml:space="preserve"> PAGEREF _Toc419393580 \h </w:instrText>
            </w:r>
            <w:r w:rsidR="001C527B">
              <w:rPr>
                <w:webHidden/>
              </w:rPr>
            </w:r>
            <w:r w:rsidR="001C527B">
              <w:rPr>
                <w:webHidden/>
              </w:rPr>
              <w:fldChar w:fldCharType="separate"/>
            </w:r>
            <w:r>
              <w:rPr>
                <w:webHidden/>
              </w:rPr>
              <w:t>8-5</w:t>
            </w:r>
            <w:r w:rsidR="001C527B">
              <w:rPr>
                <w:webHidden/>
              </w:rPr>
              <w:fldChar w:fldCharType="end"/>
            </w:r>
          </w:hyperlink>
        </w:p>
        <w:p w:rsidR="001C527B" w:rsidRDefault="009854C0">
          <w:pPr>
            <w:pStyle w:val="TOC2"/>
            <w:rPr>
              <w:rFonts w:asciiTheme="minorHAnsi" w:eastAsiaTheme="minorEastAsia" w:hAnsiTheme="minorHAnsi"/>
              <w:b w:val="0"/>
              <w:color w:val="auto"/>
              <w:sz w:val="22"/>
              <w:lang w:eastAsia="en-AU"/>
            </w:rPr>
          </w:pPr>
          <w:hyperlink w:anchor="_Toc419393581" w:history="1">
            <w:r w:rsidR="001C527B" w:rsidRPr="00D974FD">
              <w:rPr>
                <w:rStyle w:val="Hyperlink"/>
              </w:rPr>
              <w:t>8.2</w:t>
            </w:r>
            <w:r w:rsidR="001C527B">
              <w:rPr>
                <w:rFonts w:asciiTheme="minorHAnsi" w:eastAsiaTheme="minorEastAsia" w:hAnsiTheme="minorHAnsi"/>
                <w:b w:val="0"/>
                <w:color w:val="auto"/>
                <w:sz w:val="22"/>
                <w:lang w:eastAsia="en-AU"/>
              </w:rPr>
              <w:tab/>
            </w:r>
            <w:r w:rsidR="001C527B" w:rsidRPr="00D974FD">
              <w:rPr>
                <w:rStyle w:val="Hyperlink"/>
              </w:rPr>
              <w:t>JGN's revised proposal</w:t>
            </w:r>
            <w:r w:rsidR="001C527B">
              <w:rPr>
                <w:webHidden/>
              </w:rPr>
              <w:tab/>
            </w:r>
            <w:r w:rsidR="001C527B">
              <w:rPr>
                <w:webHidden/>
              </w:rPr>
              <w:fldChar w:fldCharType="begin"/>
            </w:r>
            <w:r w:rsidR="001C527B">
              <w:rPr>
                <w:webHidden/>
              </w:rPr>
              <w:instrText xml:space="preserve"> PAGEREF _Toc419393581 \h </w:instrText>
            </w:r>
            <w:r w:rsidR="001C527B">
              <w:rPr>
                <w:webHidden/>
              </w:rPr>
            </w:r>
            <w:r w:rsidR="001C527B">
              <w:rPr>
                <w:webHidden/>
              </w:rPr>
              <w:fldChar w:fldCharType="separate"/>
            </w:r>
            <w:r>
              <w:rPr>
                <w:webHidden/>
              </w:rPr>
              <w:t>8-6</w:t>
            </w:r>
            <w:r w:rsidR="001C527B">
              <w:rPr>
                <w:webHidden/>
              </w:rPr>
              <w:fldChar w:fldCharType="end"/>
            </w:r>
          </w:hyperlink>
        </w:p>
        <w:p w:rsidR="001C527B" w:rsidRDefault="009854C0">
          <w:pPr>
            <w:pStyle w:val="TOC2"/>
            <w:rPr>
              <w:rFonts w:asciiTheme="minorHAnsi" w:eastAsiaTheme="minorEastAsia" w:hAnsiTheme="minorHAnsi"/>
              <w:b w:val="0"/>
              <w:color w:val="auto"/>
              <w:sz w:val="22"/>
              <w:lang w:eastAsia="en-AU"/>
            </w:rPr>
          </w:pPr>
          <w:hyperlink w:anchor="_Toc419393582" w:history="1">
            <w:r w:rsidR="001C527B" w:rsidRPr="00D974FD">
              <w:rPr>
                <w:rStyle w:val="Hyperlink"/>
              </w:rPr>
              <w:t>8.3</w:t>
            </w:r>
            <w:r w:rsidR="001C527B">
              <w:rPr>
                <w:rFonts w:asciiTheme="minorHAnsi" w:eastAsiaTheme="minorEastAsia" w:hAnsiTheme="minorHAnsi"/>
                <w:b w:val="0"/>
                <w:color w:val="auto"/>
                <w:sz w:val="22"/>
                <w:lang w:eastAsia="en-AU"/>
              </w:rPr>
              <w:tab/>
            </w:r>
            <w:r w:rsidR="001C527B" w:rsidRPr="00D974FD">
              <w:rPr>
                <w:rStyle w:val="Hyperlink"/>
              </w:rPr>
              <w:t>AER’s assessment approach</w:t>
            </w:r>
            <w:r w:rsidR="001C527B">
              <w:rPr>
                <w:webHidden/>
              </w:rPr>
              <w:tab/>
            </w:r>
            <w:r w:rsidR="001C527B">
              <w:rPr>
                <w:webHidden/>
              </w:rPr>
              <w:fldChar w:fldCharType="begin"/>
            </w:r>
            <w:r w:rsidR="001C527B">
              <w:rPr>
                <w:webHidden/>
              </w:rPr>
              <w:instrText xml:space="preserve"> PAGEREF _Toc419393582 \h </w:instrText>
            </w:r>
            <w:r w:rsidR="001C527B">
              <w:rPr>
                <w:webHidden/>
              </w:rPr>
            </w:r>
            <w:r w:rsidR="001C527B">
              <w:rPr>
                <w:webHidden/>
              </w:rPr>
              <w:fldChar w:fldCharType="separate"/>
            </w:r>
            <w:r>
              <w:rPr>
                <w:webHidden/>
              </w:rPr>
              <w:t>8-7</w:t>
            </w:r>
            <w:r w:rsidR="001C527B">
              <w:rPr>
                <w:webHidden/>
              </w:rPr>
              <w:fldChar w:fldCharType="end"/>
            </w:r>
          </w:hyperlink>
        </w:p>
        <w:p w:rsidR="001C527B" w:rsidRDefault="009854C0">
          <w:pPr>
            <w:pStyle w:val="TOC2"/>
            <w:rPr>
              <w:rFonts w:asciiTheme="minorHAnsi" w:eastAsiaTheme="minorEastAsia" w:hAnsiTheme="minorHAnsi"/>
              <w:b w:val="0"/>
              <w:color w:val="auto"/>
              <w:sz w:val="22"/>
              <w:lang w:eastAsia="en-AU"/>
            </w:rPr>
          </w:pPr>
          <w:hyperlink w:anchor="_Toc419393583" w:history="1">
            <w:r w:rsidR="001C527B" w:rsidRPr="00D974FD">
              <w:rPr>
                <w:rStyle w:val="Hyperlink"/>
              </w:rPr>
              <w:t>8.4</w:t>
            </w:r>
            <w:r w:rsidR="001C527B">
              <w:rPr>
                <w:rFonts w:asciiTheme="minorHAnsi" w:eastAsiaTheme="minorEastAsia" w:hAnsiTheme="minorHAnsi"/>
                <w:b w:val="0"/>
                <w:color w:val="auto"/>
                <w:sz w:val="22"/>
                <w:lang w:eastAsia="en-AU"/>
              </w:rPr>
              <w:tab/>
            </w:r>
            <w:r w:rsidR="001C527B" w:rsidRPr="00D974FD">
              <w:rPr>
                <w:rStyle w:val="Hyperlink"/>
              </w:rPr>
              <w:t>Reasons for final decision</w:t>
            </w:r>
            <w:r w:rsidR="001C527B">
              <w:rPr>
                <w:webHidden/>
              </w:rPr>
              <w:tab/>
            </w:r>
            <w:r w:rsidR="001C527B">
              <w:rPr>
                <w:webHidden/>
              </w:rPr>
              <w:fldChar w:fldCharType="begin"/>
            </w:r>
            <w:r w:rsidR="001C527B">
              <w:rPr>
                <w:webHidden/>
              </w:rPr>
              <w:instrText xml:space="preserve"> PAGEREF _Toc419393583 \h </w:instrText>
            </w:r>
            <w:r w:rsidR="001C527B">
              <w:rPr>
                <w:webHidden/>
              </w:rPr>
            </w:r>
            <w:r w:rsidR="001C527B">
              <w:rPr>
                <w:webHidden/>
              </w:rPr>
              <w:fldChar w:fldCharType="separate"/>
            </w:r>
            <w:r>
              <w:rPr>
                <w:webHidden/>
              </w:rPr>
              <w:t>8-7</w:t>
            </w:r>
            <w:r w:rsidR="001C527B">
              <w:rPr>
                <w:webHidden/>
              </w:rPr>
              <w:fldChar w:fldCharType="end"/>
            </w:r>
          </w:hyperlink>
        </w:p>
        <w:p w:rsidR="001C527B" w:rsidRDefault="009854C0">
          <w:pPr>
            <w:pStyle w:val="TOC3"/>
            <w:rPr>
              <w:rFonts w:asciiTheme="minorHAnsi" w:eastAsiaTheme="minorEastAsia" w:hAnsiTheme="minorHAnsi"/>
              <w:lang w:eastAsia="en-AU"/>
            </w:rPr>
          </w:pPr>
          <w:hyperlink w:anchor="_Toc419393584" w:history="1">
            <w:r w:rsidR="001C527B" w:rsidRPr="00D974FD">
              <w:rPr>
                <w:rStyle w:val="Hyperlink"/>
              </w:rPr>
              <w:t>8.4.1</w:t>
            </w:r>
            <w:r w:rsidR="001C527B">
              <w:rPr>
                <w:rFonts w:asciiTheme="minorHAnsi" w:eastAsiaTheme="minorEastAsia" w:hAnsiTheme="minorHAnsi"/>
                <w:lang w:eastAsia="en-AU"/>
              </w:rPr>
              <w:tab/>
            </w:r>
            <w:r w:rsidR="001C527B" w:rsidRPr="00D974FD">
              <w:rPr>
                <w:rStyle w:val="Hyperlink"/>
              </w:rPr>
              <w:t>Opening tax asset base as at 1 July 2015</w:t>
            </w:r>
            <w:r w:rsidR="001C527B">
              <w:rPr>
                <w:webHidden/>
              </w:rPr>
              <w:tab/>
            </w:r>
            <w:r w:rsidR="001C527B">
              <w:rPr>
                <w:webHidden/>
              </w:rPr>
              <w:fldChar w:fldCharType="begin"/>
            </w:r>
            <w:r w:rsidR="001C527B">
              <w:rPr>
                <w:webHidden/>
              </w:rPr>
              <w:instrText xml:space="preserve"> PAGEREF _Toc419393584 \h </w:instrText>
            </w:r>
            <w:r w:rsidR="001C527B">
              <w:rPr>
                <w:webHidden/>
              </w:rPr>
            </w:r>
            <w:r w:rsidR="001C527B">
              <w:rPr>
                <w:webHidden/>
              </w:rPr>
              <w:fldChar w:fldCharType="separate"/>
            </w:r>
            <w:r>
              <w:rPr>
                <w:webHidden/>
              </w:rPr>
              <w:t>8-8</w:t>
            </w:r>
            <w:r w:rsidR="001C527B">
              <w:rPr>
                <w:webHidden/>
              </w:rPr>
              <w:fldChar w:fldCharType="end"/>
            </w:r>
          </w:hyperlink>
        </w:p>
        <w:p w:rsidR="001C527B" w:rsidRDefault="009854C0">
          <w:pPr>
            <w:pStyle w:val="TOC3"/>
            <w:rPr>
              <w:rFonts w:asciiTheme="minorHAnsi" w:eastAsiaTheme="minorEastAsia" w:hAnsiTheme="minorHAnsi"/>
              <w:lang w:eastAsia="en-AU"/>
            </w:rPr>
          </w:pPr>
          <w:hyperlink w:anchor="_Toc419393585" w:history="1">
            <w:r w:rsidR="001C527B" w:rsidRPr="00D974FD">
              <w:rPr>
                <w:rStyle w:val="Hyperlink"/>
              </w:rPr>
              <w:t>8.4.2</w:t>
            </w:r>
            <w:r w:rsidR="001C527B">
              <w:rPr>
                <w:rFonts w:asciiTheme="minorHAnsi" w:eastAsiaTheme="minorEastAsia" w:hAnsiTheme="minorHAnsi"/>
                <w:lang w:eastAsia="en-AU"/>
              </w:rPr>
              <w:tab/>
            </w:r>
            <w:r w:rsidR="001C527B" w:rsidRPr="00D974FD">
              <w:rPr>
                <w:rStyle w:val="Hyperlink"/>
              </w:rPr>
              <w:t>Tax depreciation method</w:t>
            </w:r>
            <w:r w:rsidR="001C527B">
              <w:rPr>
                <w:webHidden/>
              </w:rPr>
              <w:tab/>
            </w:r>
            <w:r w:rsidR="001C527B">
              <w:rPr>
                <w:webHidden/>
              </w:rPr>
              <w:fldChar w:fldCharType="begin"/>
            </w:r>
            <w:r w:rsidR="001C527B">
              <w:rPr>
                <w:webHidden/>
              </w:rPr>
              <w:instrText xml:space="preserve"> PAGEREF _Toc419393585 \h </w:instrText>
            </w:r>
            <w:r w:rsidR="001C527B">
              <w:rPr>
                <w:webHidden/>
              </w:rPr>
            </w:r>
            <w:r w:rsidR="001C527B">
              <w:rPr>
                <w:webHidden/>
              </w:rPr>
              <w:fldChar w:fldCharType="separate"/>
            </w:r>
            <w:r>
              <w:rPr>
                <w:webHidden/>
              </w:rPr>
              <w:t>8-8</w:t>
            </w:r>
            <w:r w:rsidR="001C527B">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9393578"/>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3652"/>
        <w:gridCol w:w="5041"/>
      </w:tblGrid>
      <w:tr w:rsidR="00FB5826" w:rsidTr="00FB5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Shortened form</w:t>
            </w:r>
          </w:p>
        </w:tc>
        <w:tc>
          <w:tcPr>
            <w:tcW w:w="5041" w:type="dxa"/>
          </w:tcPr>
          <w:p w:rsidR="00FB5826" w:rsidRDefault="00FB5826" w:rsidP="00FB5826">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AER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capital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capital asset pricing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CCP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Challenge Panel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Code</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CPI</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price index</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DRP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debt risk premium</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ERP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equity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JGN</w:t>
            </w:r>
          </w:p>
        </w:tc>
        <w:tc>
          <w:tcPr>
            <w:tcW w:w="5041" w:type="dxa"/>
          </w:tcPr>
          <w:p w:rsidR="00FB5826" w:rsidRDefault="00FB5826" w:rsidP="0037098B">
            <w:pPr>
              <w:numPr>
                <w:ilvl w:val="0"/>
                <w:numId w:val="25"/>
              </w:numPr>
              <w:cnfStyle w:val="000000000000" w:firstRow="0" w:lastRow="0" w:firstColumn="0" w:lastColumn="0" w:oddVBand="0" w:evenVBand="0" w:oddHBand="0" w:evenHBand="0" w:firstRowFirstColumn="0" w:firstRowLastColumn="0" w:lastRowFirstColumn="0" w:lastRowLastColumn="0"/>
            </w:pPr>
            <w:r>
              <w:t>Jemena Gas Networks (NSW) Ltd (A</w:t>
            </w:r>
            <w:r w:rsidR="0037098B">
              <w:t>C</w:t>
            </w:r>
            <w:r>
              <w:t>N 003 004 322)</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MRP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market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NGL</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law</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NGO</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national gas objective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rules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opex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operating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PPI</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partial performance indicators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PTRM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post-tax revenue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RAB</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RBA</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Reserve Bank of Australia</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RFM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roll forward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RIN</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RPP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SLCAPM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WACC</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Default="00DE563D" w:rsidP="00DE563D"/>
    <w:p w:rsidR="00DE563D" w:rsidRPr="00AF1F9E" w:rsidRDefault="004F66C0" w:rsidP="004F66C0">
      <w:pPr>
        <w:pStyle w:val="Heading1"/>
      </w:pPr>
      <w:bookmarkStart w:id="10" w:name="_Toc419393579"/>
      <w:r>
        <w:lastRenderedPageBreak/>
        <w:t>Corporate income tax</w:t>
      </w:r>
      <w:bookmarkEnd w:id="10"/>
    </w:p>
    <w:p w:rsidR="00DE563D" w:rsidRPr="00AF1F9E" w:rsidRDefault="006A5D79" w:rsidP="00AF1F9E">
      <w:pPr>
        <w:numPr>
          <w:ilvl w:val="0"/>
          <w:numId w:val="25"/>
        </w:numPr>
      </w:pPr>
      <w:r w:rsidRPr="00FD50DB">
        <w:t>When determining the total revenue for JGN, we must estimate JGN’s cost of corporate income tax.</w:t>
      </w:r>
      <w:r w:rsidRPr="00FD50DB">
        <w:rPr>
          <w:rStyle w:val="FootnoteReference"/>
        </w:rPr>
        <w:footnoteReference w:id="1"/>
      </w:r>
      <w:r w:rsidRPr="00FD50DB">
        <w:t xml:space="preserve"> JGN has adopted the post-tax framework to derive its revenue requirement for the 2015–20 access arrangement period.</w:t>
      </w:r>
      <w:r w:rsidRPr="00FD50DB">
        <w:rPr>
          <w:rStyle w:val="FootnoteReference"/>
        </w:rPr>
        <w:footnoteReference w:id="2"/>
      </w:r>
      <w:r w:rsidRPr="00FD50DB">
        <w:t xml:space="preserve"> Under the post-tax framework, a separate corporate income tax allowance is calculated as part of the building blocks assessment. </w:t>
      </w:r>
    </w:p>
    <w:p w:rsidR="00DE563D" w:rsidRPr="00AF1F9E" w:rsidRDefault="00AF1F9E" w:rsidP="00AF1F9E">
      <w:pPr>
        <w:pStyle w:val="Heading2"/>
      </w:pPr>
      <w:bookmarkStart w:id="11" w:name="_Toc403144136"/>
      <w:bookmarkStart w:id="12" w:name="_Toc419393580"/>
      <w:r>
        <w:t>Final</w:t>
      </w:r>
      <w:r w:rsidR="00DE563D" w:rsidRPr="00AF1F9E">
        <w:t xml:space="preserve"> decision</w:t>
      </w:r>
      <w:bookmarkEnd w:id="11"/>
      <w:bookmarkEnd w:id="12"/>
    </w:p>
    <w:p w:rsidR="006A5D79" w:rsidRPr="00F17F59" w:rsidRDefault="006A5D79" w:rsidP="006A5D79">
      <w:pPr>
        <w:numPr>
          <w:ilvl w:val="0"/>
          <w:numId w:val="25"/>
        </w:numPr>
        <w:rPr>
          <w:rStyle w:val="AERbody"/>
        </w:rPr>
      </w:pPr>
      <w:r w:rsidRPr="00FD50DB">
        <w:t>We do not a</w:t>
      </w:r>
      <w:r w:rsidR="002B1703">
        <w:t>pprove</w:t>
      </w:r>
      <w:r w:rsidRPr="00FD50DB">
        <w:t xml:space="preserve"> JGN’s </w:t>
      </w:r>
      <w:r w:rsidR="00DD2080">
        <w:t xml:space="preserve">revised </w:t>
      </w:r>
      <w:r w:rsidRPr="00FD50DB">
        <w:t>propos</w:t>
      </w:r>
      <w:r w:rsidR="002B1703">
        <w:t>ed</w:t>
      </w:r>
      <w:r w:rsidRPr="00FD50DB">
        <w:t xml:space="preserve"> corporate income tax allowance of $</w:t>
      </w:r>
      <w:r w:rsidR="00B62EC8">
        <w:t>10</w:t>
      </w:r>
      <w:r w:rsidR="00835B36">
        <w:t>5.9</w:t>
      </w:r>
      <w:r w:rsidR="00595615">
        <w:t> </w:t>
      </w:r>
      <w:r w:rsidRPr="00FD50DB">
        <w:t xml:space="preserve">million ($nominal) for the </w:t>
      </w:r>
      <w:r w:rsidRPr="00FD50DB">
        <w:rPr>
          <w:rStyle w:val="AERbody"/>
        </w:rPr>
        <w:t xml:space="preserve">2015–20 </w:t>
      </w:r>
      <w:r w:rsidRPr="00FD50DB">
        <w:t>access arrangement period.</w:t>
      </w:r>
      <w:r w:rsidR="009D49F2">
        <w:rPr>
          <w:rStyle w:val="FootnoteReference"/>
        </w:rPr>
        <w:footnoteReference w:id="3"/>
      </w:r>
      <w:r w:rsidRPr="00FD50DB">
        <w:t xml:space="preserve"> This is mainly </w:t>
      </w:r>
      <w:r>
        <w:t xml:space="preserve">a consequence </w:t>
      </w:r>
      <w:r w:rsidRPr="00FD50DB">
        <w:t xml:space="preserve">of our adjustments to JGN's </w:t>
      </w:r>
      <w:r w:rsidR="00C16AC3">
        <w:t xml:space="preserve">proposed </w:t>
      </w:r>
      <w:r w:rsidRPr="00F17F59">
        <w:rPr>
          <w:rStyle w:val="AERbody"/>
        </w:rPr>
        <w:t>value of imput</w:t>
      </w:r>
      <w:r w:rsidR="0015497C">
        <w:rPr>
          <w:rStyle w:val="AERbody"/>
        </w:rPr>
        <w:t>ation credits—gamma—(attachment </w:t>
      </w:r>
      <w:r>
        <w:rPr>
          <w:rStyle w:val="AERbody"/>
        </w:rPr>
        <w:t>4</w:t>
      </w:r>
      <w:r w:rsidRPr="00F17F59">
        <w:rPr>
          <w:rStyle w:val="AERbody"/>
        </w:rPr>
        <w:t>)</w:t>
      </w:r>
      <w:r>
        <w:rPr>
          <w:rStyle w:val="AERbody"/>
        </w:rPr>
        <w:t xml:space="preserve"> and </w:t>
      </w:r>
      <w:r w:rsidR="002B1703">
        <w:rPr>
          <w:rStyle w:val="AERbody"/>
        </w:rPr>
        <w:t xml:space="preserve">other building block costs that affect revenues, such as </w:t>
      </w:r>
      <w:r>
        <w:rPr>
          <w:rStyle w:val="AERbody"/>
        </w:rPr>
        <w:t>the rate of return on capital (attachment 3)</w:t>
      </w:r>
      <w:r w:rsidR="00AD5A46">
        <w:rPr>
          <w:rStyle w:val="AERbody"/>
        </w:rPr>
        <w:t xml:space="preserve">, forecast </w:t>
      </w:r>
      <w:r w:rsidR="0015497C">
        <w:rPr>
          <w:rStyle w:val="AERbody"/>
        </w:rPr>
        <w:t>capex (attachment 6) and opex (attachment </w:t>
      </w:r>
      <w:r w:rsidR="00AD5A46">
        <w:rPr>
          <w:rStyle w:val="AERbody"/>
        </w:rPr>
        <w:t>7)</w:t>
      </w:r>
      <w:r w:rsidRPr="00F17F59">
        <w:rPr>
          <w:rStyle w:val="AERbody"/>
        </w:rPr>
        <w:t>.</w:t>
      </w:r>
      <w:r>
        <w:rPr>
          <w:rStyle w:val="FootnoteReference"/>
        </w:rPr>
        <w:footnoteReference w:id="4"/>
      </w:r>
    </w:p>
    <w:p w:rsidR="006A5D79" w:rsidRPr="001C527B" w:rsidRDefault="006A5D79" w:rsidP="004C6B3E">
      <w:r w:rsidRPr="00FD50DB">
        <w:t xml:space="preserve">Our adjustments result in an estimated corporate income tax allowance </w:t>
      </w:r>
      <w:r w:rsidRPr="002616BC">
        <w:rPr>
          <w:rStyle w:val="AERbody"/>
        </w:rPr>
        <w:t xml:space="preserve">of </w:t>
      </w:r>
      <w:r w:rsidRPr="004C6B3E">
        <w:t>$</w:t>
      </w:r>
      <w:r w:rsidR="009D49F2">
        <w:t>4</w:t>
      </w:r>
      <w:r w:rsidR="00EF5E7C">
        <w:t>2</w:t>
      </w:r>
      <w:r w:rsidR="009D49F2">
        <w:t>.</w:t>
      </w:r>
      <w:r w:rsidR="00EF5E7C">
        <w:t>4</w:t>
      </w:r>
      <w:r w:rsidR="009D49F2">
        <w:t> </w:t>
      </w:r>
      <w:r w:rsidRPr="004C6B3E">
        <w:t>million</w:t>
      </w:r>
      <w:r w:rsidRPr="00FD50DB">
        <w:t xml:space="preserve"> ($nominal) for JGN as shown in </w:t>
      </w:r>
      <w:r>
        <w:fldChar w:fldCharType="begin"/>
      </w:r>
      <w:r>
        <w:instrText xml:space="preserve"> REF  _Ref398553891 \* Lower \h </w:instrText>
      </w:r>
      <w:r w:rsidR="004C6B3E">
        <w:instrText xml:space="preserve"> \* MERGEFORMAT </w:instrText>
      </w:r>
      <w:r>
        <w:fldChar w:fldCharType="separate"/>
      </w:r>
      <w:r w:rsidR="009854C0" w:rsidRPr="00FD50DB">
        <w:t xml:space="preserve">Table </w:t>
      </w:r>
      <w:r w:rsidR="009854C0">
        <w:t>8</w:t>
      </w:r>
      <w:r w:rsidR="009854C0">
        <w:noBreakHyphen/>
        <w:t>1</w:t>
      </w:r>
      <w:r>
        <w:fldChar w:fldCharType="end"/>
      </w:r>
      <w:r>
        <w:t xml:space="preserve">. </w:t>
      </w:r>
      <w:r w:rsidR="001C527B">
        <w:t xml:space="preserve">We have made all amendments necessary to give effect to this final decision in the </w:t>
      </w:r>
      <w:r w:rsidR="001C527B">
        <w:rPr>
          <w:i/>
        </w:rPr>
        <w:t xml:space="preserve">Approved Access Arrangement, JGN’s NSW gas distribution networks 1 July 2015 – 30 June 2020 </w:t>
      </w:r>
      <w:r w:rsidR="001C527B">
        <w:t>(</w:t>
      </w:r>
      <w:r w:rsidR="0037098B">
        <w:t>June</w:t>
      </w:r>
      <w:r w:rsidR="001C527B">
        <w:t xml:space="preserve"> 2015).</w:t>
      </w:r>
      <w:r w:rsidR="001C527B">
        <w:rPr>
          <w:rStyle w:val="FootnoteReference"/>
        </w:rPr>
        <w:footnoteReference w:id="5"/>
      </w:r>
    </w:p>
    <w:p w:rsidR="006A5D79" w:rsidRPr="00FD50DB" w:rsidRDefault="006A5D79" w:rsidP="006A5D79">
      <w:pPr>
        <w:pStyle w:val="Caption"/>
      </w:pPr>
      <w:bookmarkStart w:id="13" w:name="_Ref398553891"/>
      <w:r w:rsidRPr="00FD50DB">
        <w:t xml:space="preserve">Table </w:t>
      </w:r>
      <w:r w:rsidRPr="00F17F59">
        <w:fldChar w:fldCharType="begin"/>
      </w:r>
      <w:r>
        <w:instrText xml:space="preserve"> STYLEREF 1 \s </w:instrText>
      </w:r>
      <w:r w:rsidRPr="00F17F59">
        <w:fldChar w:fldCharType="separate"/>
      </w:r>
      <w:r w:rsidR="009854C0">
        <w:rPr>
          <w:noProof/>
        </w:rPr>
        <w:t>8</w:t>
      </w:r>
      <w:r w:rsidRPr="00F17F59">
        <w:fldChar w:fldCharType="end"/>
      </w:r>
      <w:r>
        <w:noBreakHyphen/>
      </w:r>
      <w:r w:rsidRPr="00F17F59">
        <w:fldChar w:fldCharType="begin"/>
      </w:r>
      <w:r>
        <w:instrText xml:space="preserve"> SEQ Table \* ARABIC \s 1 </w:instrText>
      </w:r>
      <w:r w:rsidRPr="00F17F59">
        <w:fldChar w:fldCharType="separate"/>
      </w:r>
      <w:r w:rsidR="009854C0">
        <w:rPr>
          <w:noProof/>
        </w:rPr>
        <w:t>1</w:t>
      </w:r>
      <w:r w:rsidRPr="00F17F59">
        <w:fldChar w:fldCharType="end"/>
      </w:r>
      <w:bookmarkEnd w:id="13"/>
      <w:r w:rsidRPr="00FD50DB">
        <w:tab/>
        <w:t xml:space="preserve">AER's </w:t>
      </w:r>
      <w:r w:rsidR="00DC3137">
        <w:t>final</w:t>
      </w:r>
      <w:r w:rsidRPr="00FD50DB">
        <w:t xml:space="preserve"> decision on corporate income tax allowance for JGN ($million, nominal)  </w:t>
      </w:r>
    </w:p>
    <w:tbl>
      <w:tblPr>
        <w:tblStyle w:val="AERtable-numbers"/>
        <w:tblW w:w="8613" w:type="dxa"/>
        <w:tblLayout w:type="fixed"/>
        <w:tblLook w:val="01E0" w:firstRow="1" w:lastRow="1" w:firstColumn="1" w:lastColumn="1" w:noHBand="0" w:noVBand="0"/>
      </w:tblPr>
      <w:tblGrid>
        <w:gridCol w:w="3085"/>
        <w:gridCol w:w="921"/>
        <w:gridCol w:w="921"/>
        <w:gridCol w:w="922"/>
        <w:gridCol w:w="921"/>
        <w:gridCol w:w="921"/>
        <w:gridCol w:w="922"/>
      </w:tblGrid>
      <w:tr w:rsidR="006A5D79" w:rsidRPr="004E311C" w:rsidTr="00595615">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085" w:type="dxa"/>
          </w:tcPr>
          <w:p w:rsidR="006A5D79" w:rsidRPr="00FD50DB" w:rsidRDefault="006A5D79" w:rsidP="002B1703"/>
        </w:tc>
        <w:tc>
          <w:tcPr>
            <w:tcW w:w="921" w:type="dxa"/>
          </w:tcPr>
          <w:p w:rsidR="006A5D79" w:rsidRPr="006A5D79" w:rsidRDefault="006A5D79" w:rsidP="002B1703">
            <w:pPr>
              <w:cnfStyle w:val="100000000000" w:firstRow="1" w:lastRow="0" w:firstColumn="0" w:lastColumn="0" w:oddVBand="0" w:evenVBand="0" w:oddHBand="0" w:evenHBand="0" w:firstRowFirstColumn="0" w:firstRowLastColumn="0" w:lastRowFirstColumn="0" w:lastRowLastColumn="0"/>
            </w:pPr>
            <w:r w:rsidRPr="00FD50DB">
              <w:t>2015</w:t>
            </w:r>
            <w:r w:rsidR="002B1703">
              <w:t>–</w:t>
            </w:r>
            <w:r w:rsidRPr="00FD50DB">
              <w:t>16</w:t>
            </w:r>
          </w:p>
        </w:tc>
        <w:tc>
          <w:tcPr>
            <w:tcW w:w="921" w:type="dxa"/>
          </w:tcPr>
          <w:p w:rsidR="006A5D79" w:rsidRPr="006A5D79" w:rsidRDefault="006A5D79" w:rsidP="002B1703">
            <w:pPr>
              <w:cnfStyle w:val="100000000000" w:firstRow="1" w:lastRow="0" w:firstColumn="0" w:lastColumn="0" w:oddVBand="0" w:evenVBand="0" w:oddHBand="0" w:evenHBand="0" w:firstRowFirstColumn="0" w:firstRowLastColumn="0" w:lastRowFirstColumn="0" w:lastRowLastColumn="0"/>
            </w:pPr>
            <w:r w:rsidRPr="00FD50DB">
              <w:t>2016</w:t>
            </w:r>
            <w:r w:rsidR="002B1703">
              <w:t>–</w:t>
            </w:r>
            <w:r w:rsidRPr="00FD50DB">
              <w:t>17</w:t>
            </w:r>
          </w:p>
        </w:tc>
        <w:tc>
          <w:tcPr>
            <w:tcW w:w="922" w:type="dxa"/>
          </w:tcPr>
          <w:p w:rsidR="006A5D79" w:rsidRPr="006A5D79" w:rsidRDefault="006A5D79" w:rsidP="002B1703">
            <w:pPr>
              <w:cnfStyle w:val="100000000000" w:firstRow="1" w:lastRow="0" w:firstColumn="0" w:lastColumn="0" w:oddVBand="0" w:evenVBand="0" w:oddHBand="0" w:evenHBand="0" w:firstRowFirstColumn="0" w:firstRowLastColumn="0" w:lastRowFirstColumn="0" w:lastRowLastColumn="0"/>
            </w:pPr>
            <w:r w:rsidRPr="00FD50DB">
              <w:t>2017</w:t>
            </w:r>
            <w:r w:rsidR="002B1703">
              <w:t>–</w:t>
            </w:r>
            <w:r w:rsidRPr="00FD50DB">
              <w:t>18</w:t>
            </w:r>
          </w:p>
        </w:tc>
        <w:tc>
          <w:tcPr>
            <w:tcW w:w="921" w:type="dxa"/>
          </w:tcPr>
          <w:p w:rsidR="006A5D79" w:rsidRPr="006A5D79" w:rsidRDefault="006A5D79" w:rsidP="002B1703">
            <w:pPr>
              <w:cnfStyle w:val="100000000000" w:firstRow="1" w:lastRow="0" w:firstColumn="0" w:lastColumn="0" w:oddVBand="0" w:evenVBand="0" w:oddHBand="0" w:evenHBand="0" w:firstRowFirstColumn="0" w:firstRowLastColumn="0" w:lastRowFirstColumn="0" w:lastRowLastColumn="0"/>
            </w:pPr>
            <w:r w:rsidRPr="00FD50DB">
              <w:t>2018</w:t>
            </w:r>
            <w:r w:rsidR="002B1703">
              <w:t>–</w:t>
            </w:r>
            <w:r w:rsidRPr="00FD50DB">
              <w:t>19</w:t>
            </w:r>
          </w:p>
        </w:tc>
        <w:tc>
          <w:tcPr>
            <w:tcW w:w="921" w:type="dxa"/>
          </w:tcPr>
          <w:p w:rsidR="006A5D79" w:rsidRPr="006A5D79" w:rsidRDefault="006A5D79" w:rsidP="002B1703">
            <w:pPr>
              <w:cnfStyle w:val="100000000000" w:firstRow="1" w:lastRow="0" w:firstColumn="0" w:lastColumn="0" w:oddVBand="0" w:evenVBand="0" w:oddHBand="0" w:evenHBand="0" w:firstRowFirstColumn="0" w:firstRowLastColumn="0" w:lastRowFirstColumn="0" w:lastRowLastColumn="0"/>
            </w:pPr>
            <w:r w:rsidRPr="00FD50DB">
              <w:t>2019</w:t>
            </w:r>
            <w:r w:rsidR="002B1703">
              <w:t>–</w:t>
            </w:r>
            <w:r w:rsidRPr="00FD50DB">
              <w:t>20</w:t>
            </w:r>
          </w:p>
        </w:tc>
        <w:tc>
          <w:tcPr>
            <w:tcW w:w="922" w:type="dxa"/>
          </w:tcPr>
          <w:p w:rsidR="006A5D79" w:rsidRPr="006A5D79" w:rsidRDefault="006A5D79" w:rsidP="002B1703">
            <w:pPr>
              <w:cnfStyle w:val="100000000000" w:firstRow="1" w:lastRow="0" w:firstColumn="0" w:lastColumn="0" w:oddVBand="0" w:evenVBand="0" w:oddHBand="0" w:evenHBand="0" w:firstRowFirstColumn="0" w:firstRowLastColumn="0" w:lastRowFirstColumn="0" w:lastRowLastColumn="0"/>
            </w:pPr>
            <w:r w:rsidRPr="00FD50DB">
              <w:t>Total</w:t>
            </w:r>
          </w:p>
        </w:tc>
      </w:tr>
      <w:tr w:rsidR="00EF5E7C" w:rsidTr="00595615">
        <w:trPr>
          <w:trHeight w:val="337"/>
        </w:trPr>
        <w:tc>
          <w:tcPr>
            <w:cnfStyle w:val="001000000000" w:firstRow="0" w:lastRow="0" w:firstColumn="1" w:lastColumn="0" w:oddVBand="0" w:evenVBand="0" w:oddHBand="0" w:evenHBand="0" w:firstRowFirstColumn="0" w:firstRowLastColumn="0" w:lastRowFirstColumn="0" w:lastRowLastColumn="0"/>
            <w:tcW w:w="3085" w:type="dxa"/>
          </w:tcPr>
          <w:p w:rsidR="00EF5E7C" w:rsidRPr="00EF5E7C" w:rsidRDefault="00EF5E7C" w:rsidP="00EF5E7C">
            <w:r w:rsidRPr="00EF5E7C">
              <w:t>Tax payable</w:t>
            </w:r>
          </w:p>
        </w:tc>
        <w:tc>
          <w:tcPr>
            <w:tcW w:w="921" w:type="dxa"/>
          </w:tcPr>
          <w:p w:rsidR="00EF5E7C" w:rsidRPr="00EF5E7C" w:rsidRDefault="00EF5E7C" w:rsidP="00EF5E7C">
            <w:pPr>
              <w:cnfStyle w:val="000000000000" w:firstRow="0" w:lastRow="0" w:firstColumn="0" w:lastColumn="0" w:oddVBand="0" w:evenVBand="0" w:oddHBand="0" w:evenHBand="0" w:firstRowFirstColumn="0" w:firstRowLastColumn="0" w:lastRowFirstColumn="0" w:lastRowLastColumn="0"/>
            </w:pPr>
            <w:r w:rsidRPr="00EF5E7C">
              <w:t>9.7</w:t>
            </w:r>
          </w:p>
        </w:tc>
        <w:tc>
          <w:tcPr>
            <w:tcW w:w="921" w:type="dxa"/>
          </w:tcPr>
          <w:p w:rsidR="00EF5E7C" w:rsidRPr="00EF5E7C" w:rsidRDefault="00EF5E7C" w:rsidP="00EF5E7C">
            <w:pPr>
              <w:cnfStyle w:val="000000000000" w:firstRow="0" w:lastRow="0" w:firstColumn="0" w:lastColumn="0" w:oddVBand="0" w:evenVBand="0" w:oddHBand="0" w:evenHBand="0" w:firstRowFirstColumn="0" w:firstRowLastColumn="0" w:lastRowFirstColumn="0" w:lastRowLastColumn="0"/>
            </w:pPr>
            <w:r w:rsidRPr="00EF5E7C">
              <w:t>11.6</w:t>
            </w:r>
          </w:p>
        </w:tc>
        <w:tc>
          <w:tcPr>
            <w:tcW w:w="922" w:type="dxa"/>
          </w:tcPr>
          <w:p w:rsidR="00EF5E7C" w:rsidRPr="00EF5E7C" w:rsidRDefault="00EF5E7C" w:rsidP="00EF5E7C">
            <w:pPr>
              <w:cnfStyle w:val="000000000000" w:firstRow="0" w:lastRow="0" w:firstColumn="0" w:lastColumn="0" w:oddVBand="0" w:evenVBand="0" w:oddHBand="0" w:evenHBand="0" w:firstRowFirstColumn="0" w:firstRowLastColumn="0" w:lastRowFirstColumn="0" w:lastRowLastColumn="0"/>
            </w:pPr>
            <w:r w:rsidRPr="00EF5E7C">
              <w:t>15.2</w:t>
            </w:r>
          </w:p>
        </w:tc>
        <w:tc>
          <w:tcPr>
            <w:tcW w:w="921" w:type="dxa"/>
          </w:tcPr>
          <w:p w:rsidR="00EF5E7C" w:rsidRPr="00EF5E7C" w:rsidRDefault="00EF5E7C" w:rsidP="00EF5E7C">
            <w:pPr>
              <w:cnfStyle w:val="000000000000" w:firstRow="0" w:lastRow="0" w:firstColumn="0" w:lastColumn="0" w:oddVBand="0" w:evenVBand="0" w:oddHBand="0" w:evenHBand="0" w:firstRowFirstColumn="0" w:firstRowLastColumn="0" w:lastRowFirstColumn="0" w:lastRowLastColumn="0"/>
            </w:pPr>
            <w:r w:rsidRPr="00EF5E7C">
              <w:t>19.0</w:t>
            </w:r>
          </w:p>
        </w:tc>
        <w:tc>
          <w:tcPr>
            <w:tcW w:w="921" w:type="dxa"/>
          </w:tcPr>
          <w:p w:rsidR="00EF5E7C" w:rsidRPr="00EF5E7C" w:rsidRDefault="00EF5E7C" w:rsidP="00EF5E7C">
            <w:pPr>
              <w:cnfStyle w:val="000000000000" w:firstRow="0" w:lastRow="0" w:firstColumn="0" w:lastColumn="0" w:oddVBand="0" w:evenVBand="0" w:oddHBand="0" w:evenHBand="0" w:firstRowFirstColumn="0" w:firstRowLastColumn="0" w:lastRowFirstColumn="0" w:lastRowLastColumn="0"/>
            </w:pPr>
            <w:r w:rsidRPr="00EF5E7C">
              <w:t>15.2</w:t>
            </w:r>
          </w:p>
        </w:tc>
        <w:tc>
          <w:tcPr>
            <w:tcW w:w="922" w:type="dxa"/>
          </w:tcPr>
          <w:p w:rsidR="00EF5E7C" w:rsidRPr="00EF5E7C" w:rsidRDefault="00EF5E7C" w:rsidP="00EF5E7C">
            <w:pPr>
              <w:cnfStyle w:val="000000000000" w:firstRow="0" w:lastRow="0" w:firstColumn="0" w:lastColumn="0" w:oddVBand="0" w:evenVBand="0" w:oddHBand="0" w:evenHBand="0" w:firstRowFirstColumn="0" w:firstRowLastColumn="0" w:lastRowFirstColumn="0" w:lastRowLastColumn="0"/>
            </w:pPr>
            <w:r w:rsidRPr="00EF5E7C">
              <w:t>70.6</w:t>
            </w:r>
          </w:p>
        </w:tc>
      </w:tr>
      <w:tr w:rsidR="00EF5E7C" w:rsidTr="00595615">
        <w:trPr>
          <w:cnfStyle w:val="000000010000" w:firstRow="0" w:lastRow="0" w:firstColumn="0" w:lastColumn="0" w:oddVBand="0" w:evenVBand="0" w:oddHBand="0" w:evenHBand="1"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085" w:type="dxa"/>
          </w:tcPr>
          <w:p w:rsidR="00EF5E7C" w:rsidRPr="00EF5E7C" w:rsidRDefault="00EF5E7C" w:rsidP="00EF5E7C">
            <w:r w:rsidRPr="00EF5E7C">
              <w:rPr>
                <w:rStyle w:val="AERtextitalic"/>
              </w:rPr>
              <w:t>Less</w:t>
            </w:r>
            <w:r w:rsidRPr="00EF5E7C">
              <w:t>: value of imputation credits</w:t>
            </w:r>
          </w:p>
        </w:tc>
        <w:tc>
          <w:tcPr>
            <w:tcW w:w="921" w:type="dxa"/>
          </w:tcPr>
          <w:p w:rsidR="00EF5E7C" w:rsidRPr="00EF5E7C" w:rsidRDefault="00595615" w:rsidP="00EF5E7C">
            <w:pPr>
              <w:cnfStyle w:val="000000010000" w:firstRow="0" w:lastRow="0" w:firstColumn="0" w:lastColumn="0" w:oddVBand="0" w:evenVBand="0" w:oddHBand="0" w:evenHBand="1" w:firstRowFirstColumn="0" w:firstRowLastColumn="0" w:lastRowFirstColumn="0" w:lastRowLastColumn="0"/>
            </w:pPr>
            <w:r>
              <w:t>–</w:t>
            </w:r>
            <w:r w:rsidR="00EF5E7C" w:rsidRPr="00EF5E7C">
              <w:t>3.9</w:t>
            </w:r>
          </w:p>
        </w:tc>
        <w:tc>
          <w:tcPr>
            <w:tcW w:w="921" w:type="dxa"/>
          </w:tcPr>
          <w:p w:rsidR="00EF5E7C" w:rsidRPr="00EF5E7C" w:rsidRDefault="00595615" w:rsidP="00EF5E7C">
            <w:pPr>
              <w:cnfStyle w:val="000000010000" w:firstRow="0" w:lastRow="0" w:firstColumn="0" w:lastColumn="0" w:oddVBand="0" w:evenVBand="0" w:oddHBand="0" w:evenHBand="1" w:firstRowFirstColumn="0" w:firstRowLastColumn="0" w:lastRowFirstColumn="0" w:lastRowLastColumn="0"/>
            </w:pPr>
            <w:r>
              <w:t>–</w:t>
            </w:r>
            <w:r w:rsidR="00EF5E7C" w:rsidRPr="00EF5E7C">
              <w:t>4.6</w:t>
            </w:r>
          </w:p>
        </w:tc>
        <w:tc>
          <w:tcPr>
            <w:tcW w:w="922" w:type="dxa"/>
          </w:tcPr>
          <w:p w:rsidR="00EF5E7C" w:rsidRPr="00EF5E7C" w:rsidRDefault="00595615" w:rsidP="00EF5E7C">
            <w:pPr>
              <w:cnfStyle w:val="000000010000" w:firstRow="0" w:lastRow="0" w:firstColumn="0" w:lastColumn="0" w:oddVBand="0" w:evenVBand="0" w:oddHBand="0" w:evenHBand="1" w:firstRowFirstColumn="0" w:firstRowLastColumn="0" w:lastRowFirstColumn="0" w:lastRowLastColumn="0"/>
            </w:pPr>
            <w:r>
              <w:t>–</w:t>
            </w:r>
            <w:r w:rsidR="00EF5E7C" w:rsidRPr="00EF5E7C">
              <w:t>6.1</w:t>
            </w:r>
          </w:p>
        </w:tc>
        <w:tc>
          <w:tcPr>
            <w:tcW w:w="921" w:type="dxa"/>
          </w:tcPr>
          <w:p w:rsidR="00EF5E7C" w:rsidRPr="00EF5E7C" w:rsidRDefault="00595615" w:rsidP="00EF5E7C">
            <w:pPr>
              <w:cnfStyle w:val="000000010000" w:firstRow="0" w:lastRow="0" w:firstColumn="0" w:lastColumn="0" w:oddVBand="0" w:evenVBand="0" w:oddHBand="0" w:evenHBand="1" w:firstRowFirstColumn="0" w:firstRowLastColumn="0" w:lastRowFirstColumn="0" w:lastRowLastColumn="0"/>
            </w:pPr>
            <w:r>
              <w:t>–</w:t>
            </w:r>
            <w:r w:rsidR="00EF5E7C" w:rsidRPr="00EF5E7C">
              <w:t>7.6</w:t>
            </w:r>
          </w:p>
        </w:tc>
        <w:tc>
          <w:tcPr>
            <w:tcW w:w="921" w:type="dxa"/>
          </w:tcPr>
          <w:p w:rsidR="00EF5E7C" w:rsidRPr="00EF5E7C" w:rsidRDefault="00595615" w:rsidP="00EF5E7C">
            <w:pPr>
              <w:cnfStyle w:val="000000010000" w:firstRow="0" w:lastRow="0" w:firstColumn="0" w:lastColumn="0" w:oddVBand="0" w:evenVBand="0" w:oddHBand="0" w:evenHBand="1" w:firstRowFirstColumn="0" w:firstRowLastColumn="0" w:lastRowFirstColumn="0" w:lastRowLastColumn="0"/>
            </w:pPr>
            <w:r>
              <w:t>–</w:t>
            </w:r>
            <w:r w:rsidR="00EF5E7C" w:rsidRPr="00EF5E7C">
              <w:t>6.1</w:t>
            </w:r>
          </w:p>
        </w:tc>
        <w:tc>
          <w:tcPr>
            <w:tcW w:w="922" w:type="dxa"/>
          </w:tcPr>
          <w:p w:rsidR="00EF5E7C" w:rsidRPr="00EF5E7C" w:rsidRDefault="00595615" w:rsidP="00EF5E7C">
            <w:pPr>
              <w:cnfStyle w:val="000000010000" w:firstRow="0" w:lastRow="0" w:firstColumn="0" w:lastColumn="0" w:oddVBand="0" w:evenVBand="0" w:oddHBand="0" w:evenHBand="1" w:firstRowFirstColumn="0" w:firstRowLastColumn="0" w:lastRowFirstColumn="0" w:lastRowLastColumn="0"/>
            </w:pPr>
            <w:r>
              <w:t>–</w:t>
            </w:r>
            <w:r w:rsidR="00EF5E7C" w:rsidRPr="00EF5E7C">
              <w:t>28.2</w:t>
            </w:r>
          </w:p>
        </w:tc>
      </w:tr>
      <w:tr w:rsidR="00EF5E7C" w:rsidRPr="00EF5E7C" w:rsidTr="00595615">
        <w:trPr>
          <w:trHeight w:val="331"/>
        </w:trPr>
        <w:tc>
          <w:tcPr>
            <w:cnfStyle w:val="001000000000" w:firstRow="0" w:lastRow="0" w:firstColumn="1" w:lastColumn="0" w:oddVBand="0" w:evenVBand="0" w:oddHBand="0" w:evenHBand="0" w:firstRowFirstColumn="0" w:firstRowLastColumn="0" w:lastRowFirstColumn="0" w:lastRowLastColumn="0"/>
            <w:tcW w:w="3085" w:type="dxa"/>
          </w:tcPr>
          <w:p w:rsidR="00EF5E7C" w:rsidRPr="00EF5E7C" w:rsidRDefault="00EF5E7C" w:rsidP="00EF5E7C">
            <w:pPr>
              <w:rPr>
                <w:rStyle w:val="Strong"/>
              </w:rPr>
            </w:pPr>
            <w:r w:rsidRPr="00EF5E7C">
              <w:rPr>
                <w:rStyle w:val="Strong"/>
              </w:rPr>
              <w:t>Net corporate income tax allowance</w:t>
            </w:r>
          </w:p>
        </w:tc>
        <w:tc>
          <w:tcPr>
            <w:tcW w:w="921" w:type="dxa"/>
          </w:tcPr>
          <w:p w:rsidR="00EF5E7C" w:rsidRPr="00EF5E7C" w:rsidRDefault="00EF5E7C" w:rsidP="00EF5E7C">
            <w:pPr>
              <w:cnfStyle w:val="000000000000" w:firstRow="0" w:lastRow="0" w:firstColumn="0" w:lastColumn="0" w:oddVBand="0" w:evenVBand="0" w:oddHBand="0" w:evenHBand="0" w:firstRowFirstColumn="0" w:firstRowLastColumn="0" w:lastRowFirstColumn="0" w:lastRowLastColumn="0"/>
              <w:rPr>
                <w:rStyle w:val="Strong"/>
              </w:rPr>
            </w:pPr>
            <w:r w:rsidRPr="00595615">
              <w:rPr>
                <w:rStyle w:val="Strong"/>
              </w:rPr>
              <w:t>5.8</w:t>
            </w:r>
          </w:p>
        </w:tc>
        <w:tc>
          <w:tcPr>
            <w:tcW w:w="921" w:type="dxa"/>
          </w:tcPr>
          <w:p w:rsidR="00EF5E7C" w:rsidRPr="00595615" w:rsidRDefault="00EF5E7C" w:rsidP="00EF5E7C">
            <w:pPr>
              <w:cnfStyle w:val="000000000000" w:firstRow="0" w:lastRow="0" w:firstColumn="0" w:lastColumn="0" w:oddVBand="0" w:evenVBand="0" w:oddHBand="0" w:evenHBand="0" w:firstRowFirstColumn="0" w:firstRowLastColumn="0" w:lastRowFirstColumn="0" w:lastRowLastColumn="0"/>
              <w:rPr>
                <w:rStyle w:val="Strong"/>
              </w:rPr>
            </w:pPr>
            <w:r w:rsidRPr="00595615">
              <w:rPr>
                <w:rStyle w:val="Strong"/>
              </w:rPr>
              <w:t>6.9</w:t>
            </w:r>
          </w:p>
        </w:tc>
        <w:tc>
          <w:tcPr>
            <w:tcW w:w="922" w:type="dxa"/>
          </w:tcPr>
          <w:p w:rsidR="00EF5E7C" w:rsidRPr="00595615" w:rsidRDefault="00EF5E7C" w:rsidP="00EF5E7C">
            <w:pPr>
              <w:cnfStyle w:val="000000000000" w:firstRow="0" w:lastRow="0" w:firstColumn="0" w:lastColumn="0" w:oddVBand="0" w:evenVBand="0" w:oddHBand="0" w:evenHBand="0" w:firstRowFirstColumn="0" w:firstRowLastColumn="0" w:lastRowFirstColumn="0" w:lastRowLastColumn="0"/>
              <w:rPr>
                <w:rStyle w:val="Strong"/>
              </w:rPr>
            </w:pPr>
            <w:r w:rsidRPr="00595615">
              <w:rPr>
                <w:rStyle w:val="Strong"/>
              </w:rPr>
              <w:t>9.1</w:t>
            </w:r>
          </w:p>
        </w:tc>
        <w:tc>
          <w:tcPr>
            <w:tcW w:w="921" w:type="dxa"/>
          </w:tcPr>
          <w:p w:rsidR="00EF5E7C" w:rsidRPr="00595615" w:rsidRDefault="00EF5E7C" w:rsidP="00EF5E7C">
            <w:pPr>
              <w:cnfStyle w:val="000000000000" w:firstRow="0" w:lastRow="0" w:firstColumn="0" w:lastColumn="0" w:oddVBand="0" w:evenVBand="0" w:oddHBand="0" w:evenHBand="0" w:firstRowFirstColumn="0" w:firstRowLastColumn="0" w:lastRowFirstColumn="0" w:lastRowLastColumn="0"/>
              <w:rPr>
                <w:rStyle w:val="Strong"/>
              </w:rPr>
            </w:pPr>
            <w:r w:rsidRPr="00595615">
              <w:rPr>
                <w:rStyle w:val="Strong"/>
              </w:rPr>
              <w:t>11.4</w:t>
            </w:r>
          </w:p>
        </w:tc>
        <w:tc>
          <w:tcPr>
            <w:tcW w:w="921" w:type="dxa"/>
          </w:tcPr>
          <w:p w:rsidR="00EF5E7C" w:rsidRPr="00595615" w:rsidRDefault="00EF5E7C" w:rsidP="00EF5E7C">
            <w:pPr>
              <w:cnfStyle w:val="000000000000" w:firstRow="0" w:lastRow="0" w:firstColumn="0" w:lastColumn="0" w:oddVBand="0" w:evenVBand="0" w:oddHBand="0" w:evenHBand="0" w:firstRowFirstColumn="0" w:firstRowLastColumn="0" w:lastRowFirstColumn="0" w:lastRowLastColumn="0"/>
              <w:rPr>
                <w:rStyle w:val="Strong"/>
              </w:rPr>
            </w:pPr>
            <w:r w:rsidRPr="00595615">
              <w:rPr>
                <w:rStyle w:val="Strong"/>
              </w:rPr>
              <w:t>9.1</w:t>
            </w:r>
          </w:p>
        </w:tc>
        <w:tc>
          <w:tcPr>
            <w:tcW w:w="922" w:type="dxa"/>
          </w:tcPr>
          <w:p w:rsidR="00EF5E7C" w:rsidRPr="00595615" w:rsidRDefault="00EF5E7C" w:rsidP="00EF5E7C">
            <w:pPr>
              <w:cnfStyle w:val="000000000000" w:firstRow="0" w:lastRow="0" w:firstColumn="0" w:lastColumn="0" w:oddVBand="0" w:evenVBand="0" w:oddHBand="0" w:evenHBand="0" w:firstRowFirstColumn="0" w:firstRowLastColumn="0" w:lastRowFirstColumn="0" w:lastRowLastColumn="0"/>
              <w:rPr>
                <w:rStyle w:val="Strong"/>
              </w:rPr>
            </w:pPr>
            <w:r w:rsidRPr="00595615">
              <w:rPr>
                <w:rStyle w:val="Strong"/>
              </w:rPr>
              <w:t>42.4</w:t>
            </w:r>
          </w:p>
        </w:tc>
      </w:tr>
    </w:tbl>
    <w:p w:rsidR="006A5D79" w:rsidRDefault="006A5D79" w:rsidP="006A5D79">
      <w:pPr>
        <w:pStyle w:val="AERtablesource"/>
      </w:pPr>
      <w:r w:rsidRPr="00FD50DB">
        <w:t xml:space="preserve">Source: </w:t>
      </w:r>
      <w:r w:rsidRPr="00FD50DB">
        <w:tab/>
        <w:t>AER analysis.</w:t>
      </w:r>
    </w:p>
    <w:p w:rsidR="00DE563D" w:rsidRPr="00AF1F9E" w:rsidRDefault="00FB5826" w:rsidP="0037098B">
      <w:pPr>
        <w:pStyle w:val="Heading2"/>
        <w:keepNext/>
      </w:pPr>
      <w:bookmarkStart w:id="14" w:name="_Toc403144137"/>
      <w:bookmarkStart w:id="15" w:name="_Toc419393581"/>
      <w:r>
        <w:lastRenderedPageBreak/>
        <w:t>JGN's</w:t>
      </w:r>
      <w:r w:rsidR="00AF1F9E">
        <w:t xml:space="preserve"> revised</w:t>
      </w:r>
      <w:r w:rsidR="00DE563D" w:rsidRPr="00AF1F9E">
        <w:t xml:space="preserve"> proposal</w:t>
      </w:r>
      <w:bookmarkEnd w:id="14"/>
      <w:bookmarkEnd w:id="15"/>
    </w:p>
    <w:p w:rsidR="001870F4" w:rsidRDefault="001870F4" w:rsidP="0037098B">
      <w:pPr>
        <w:keepNext/>
      </w:pPr>
      <w:bookmarkStart w:id="16" w:name="_Toc403144138"/>
      <w:r>
        <w:t>JGN's revised proposal forecast a cost of corporate income tax of $10</w:t>
      </w:r>
      <w:r w:rsidR="004C6B3E">
        <w:t>5.9 </w:t>
      </w:r>
      <w:r>
        <w:t>million ($nominal).</w:t>
      </w:r>
      <w:r w:rsidR="00A17AF8">
        <w:rPr>
          <w:rStyle w:val="FootnoteReference"/>
        </w:rPr>
        <w:footnoteReference w:id="6"/>
      </w:r>
      <w:r>
        <w:t xml:space="preserve"> JGN's methodology for determining its</w:t>
      </w:r>
      <w:r w:rsidRPr="00DC58F1">
        <w:t xml:space="preserve"> corporate income tax </w:t>
      </w:r>
      <w:r>
        <w:t>is unchanged from its initial proposal.</w:t>
      </w:r>
    </w:p>
    <w:p w:rsidR="00BA1898" w:rsidRPr="00BA1898" w:rsidRDefault="00DD2080" w:rsidP="005326B6">
      <w:r>
        <w:t>JGN adopted the methodology</w:t>
      </w:r>
      <w:r w:rsidR="009F2BD2">
        <w:t xml:space="preserve"> accepted in our draft decision </w:t>
      </w:r>
      <w:r>
        <w:t>to determine</w:t>
      </w:r>
      <w:r w:rsidRPr="00DC58F1">
        <w:t xml:space="preserve"> </w:t>
      </w:r>
      <w:r>
        <w:t>the revised propos</w:t>
      </w:r>
      <w:r w:rsidR="002B1703">
        <w:t>ed</w:t>
      </w:r>
      <w:r>
        <w:t xml:space="preserve"> </w:t>
      </w:r>
      <w:r w:rsidR="002B1703">
        <w:t>tax asset base (</w:t>
      </w:r>
      <w:r>
        <w:t>TAB</w:t>
      </w:r>
      <w:r w:rsidR="002B1703">
        <w:t>)</w:t>
      </w:r>
      <w:r w:rsidR="009F2BD2">
        <w:t xml:space="preserve"> at 1 July 2015</w:t>
      </w:r>
      <w:r>
        <w:t>.</w:t>
      </w:r>
      <w:r w:rsidRPr="00DC58F1">
        <w:t xml:space="preserve"> </w:t>
      </w:r>
      <w:r w:rsidR="002B1703">
        <w:t>T</w:t>
      </w:r>
      <w:r w:rsidR="00BA1898" w:rsidRPr="00BA1898">
        <w:t xml:space="preserve">he </w:t>
      </w:r>
      <w:r w:rsidR="00BA1898">
        <w:t xml:space="preserve">TAB at 1 July 2015 </w:t>
      </w:r>
      <w:r w:rsidR="002B1703">
        <w:t xml:space="preserve">was updated for </w:t>
      </w:r>
      <w:r w:rsidR="00BA1898" w:rsidRPr="00BA1898">
        <w:t xml:space="preserve">2013–14 actual </w:t>
      </w:r>
      <w:r w:rsidR="00F063CA">
        <w:t xml:space="preserve">conforming </w:t>
      </w:r>
      <w:r w:rsidR="00BA1898" w:rsidRPr="00BA1898">
        <w:t xml:space="preserve">capex and 2014–15 </w:t>
      </w:r>
      <w:r w:rsidR="00F063CA">
        <w:t xml:space="preserve">revised </w:t>
      </w:r>
      <w:r w:rsidR="00BA1898" w:rsidRPr="00BA1898">
        <w:t>estimate</w:t>
      </w:r>
      <w:r w:rsidR="00F063CA">
        <w:t xml:space="preserve"> of</w:t>
      </w:r>
      <w:r w:rsidR="00BA1898" w:rsidRPr="00BA1898">
        <w:t xml:space="preserve"> capex</w:t>
      </w:r>
      <w:r w:rsidR="002B1703">
        <w:t>.</w:t>
      </w:r>
      <w:r w:rsidR="00A17AF8">
        <w:rPr>
          <w:rStyle w:val="FootnoteReference"/>
        </w:rPr>
        <w:footnoteReference w:id="7"/>
      </w:r>
      <w:r w:rsidR="00BA1898" w:rsidRPr="00BA1898">
        <w:t xml:space="preserve"> </w:t>
      </w:r>
    </w:p>
    <w:p w:rsidR="00B62EC8" w:rsidRDefault="00B62EC8" w:rsidP="00B15E1A">
      <w:r>
        <w:t>JGN</w:t>
      </w:r>
      <w:r w:rsidR="00A34E44">
        <w:t>'s</w:t>
      </w:r>
      <w:r w:rsidR="00A34E44" w:rsidRPr="00A34E44">
        <w:t xml:space="preserve"> </w:t>
      </w:r>
      <w:r w:rsidR="00A34E44">
        <w:t>revised propos</w:t>
      </w:r>
      <w:r w:rsidR="00F063CA">
        <w:t xml:space="preserve">ed </w:t>
      </w:r>
      <w:r>
        <w:t xml:space="preserve">TAB </w:t>
      </w:r>
      <w:r w:rsidR="00A34E44">
        <w:t xml:space="preserve">roll forward </w:t>
      </w:r>
      <w:r>
        <w:t xml:space="preserve">over the 2010–15 access arrangement period is set out in </w:t>
      </w:r>
      <w:r>
        <w:fldChar w:fldCharType="begin"/>
      </w:r>
      <w:r>
        <w:instrText xml:space="preserve"> REF  _Ref398551924 \* Lower \h </w:instrText>
      </w:r>
      <w:r>
        <w:fldChar w:fldCharType="separate"/>
      </w:r>
      <w:r w:rsidR="009854C0">
        <w:t xml:space="preserve">Table </w:t>
      </w:r>
      <w:r w:rsidR="009854C0">
        <w:rPr>
          <w:noProof/>
        </w:rPr>
        <w:t>8</w:t>
      </w:r>
      <w:r w:rsidR="009854C0">
        <w:noBreakHyphen/>
      </w:r>
      <w:r w:rsidR="009854C0">
        <w:rPr>
          <w:noProof/>
        </w:rPr>
        <w:t>2</w:t>
      </w:r>
      <w:r>
        <w:fldChar w:fldCharType="end"/>
      </w:r>
      <w:r>
        <w:t>.</w:t>
      </w:r>
      <w:r w:rsidR="001870F4">
        <w:rPr>
          <w:rStyle w:val="FootnoteReference"/>
        </w:rPr>
        <w:footnoteReference w:id="8"/>
      </w:r>
      <w:r w:rsidR="00DD2080" w:rsidRPr="00DD2080">
        <w:t xml:space="preserve"> </w:t>
      </w:r>
    </w:p>
    <w:p w:rsidR="00B62EC8" w:rsidRDefault="00B62EC8" w:rsidP="00B62EC8">
      <w:pPr>
        <w:pStyle w:val="Caption"/>
      </w:pPr>
      <w:bookmarkStart w:id="17" w:name="_Ref398551924"/>
      <w:r>
        <w:t xml:space="preserve">Table </w:t>
      </w:r>
      <w:r w:rsidRPr="00F17F59">
        <w:fldChar w:fldCharType="begin"/>
      </w:r>
      <w:r>
        <w:instrText xml:space="preserve"> STYLEREF 1 \s </w:instrText>
      </w:r>
      <w:r w:rsidRPr="00F17F59">
        <w:fldChar w:fldCharType="separate"/>
      </w:r>
      <w:r w:rsidR="009854C0">
        <w:rPr>
          <w:noProof/>
        </w:rPr>
        <w:t>8</w:t>
      </w:r>
      <w:r w:rsidRPr="00F17F59">
        <w:fldChar w:fldCharType="end"/>
      </w:r>
      <w:r>
        <w:noBreakHyphen/>
      </w:r>
      <w:r w:rsidRPr="00F17F59">
        <w:fldChar w:fldCharType="begin"/>
      </w:r>
      <w:r>
        <w:instrText xml:space="preserve"> SEQ Table \* ARABIC \s 1 </w:instrText>
      </w:r>
      <w:r w:rsidRPr="00F17F59">
        <w:fldChar w:fldCharType="separate"/>
      </w:r>
      <w:r w:rsidR="009854C0">
        <w:rPr>
          <w:noProof/>
        </w:rPr>
        <w:t>2</w:t>
      </w:r>
      <w:r w:rsidRPr="00F17F59">
        <w:fldChar w:fldCharType="end"/>
      </w:r>
      <w:bookmarkEnd w:id="17"/>
      <w:r>
        <w:tab/>
        <w:t xml:space="preserve">JGN's </w:t>
      </w:r>
      <w:r w:rsidR="00DC3137">
        <w:t>revised propos</w:t>
      </w:r>
      <w:r w:rsidR="00F063CA">
        <w:t>ed</w:t>
      </w:r>
      <w:r w:rsidR="00DC3137">
        <w:t xml:space="preserve"> </w:t>
      </w:r>
      <w:r>
        <w:t>tax asset base roll forward over the 2010–15 access arrangement period ($million, nominal)</w:t>
      </w:r>
    </w:p>
    <w:tbl>
      <w:tblPr>
        <w:tblStyle w:val="AERtable-numbers"/>
        <w:tblW w:w="8613" w:type="dxa"/>
        <w:tblLook w:val="04A0" w:firstRow="1" w:lastRow="0" w:firstColumn="1" w:lastColumn="0" w:noHBand="0" w:noVBand="1"/>
      </w:tblPr>
      <w:tblGrid>
        <w:gridCol w:w="2943"/>
        <w:gridCol w:w="1134"/>
        <w:gridCol w:w="1134"/>
        <w:gridCol w:w="1134"/>
        <w:gridCol w:w="1134"/>
        <w:gridCol w:w="1134"/>
      </w:tblGrid>
      <w:tr w:rsidR="00B62EC8" w:rsidRPr="000F2AA1" w:rsidTr="0059561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hideMark/>
          </w:tcPr>
          <w:p w:rsidR="00B62EC8" w:rsidRPr="00B62EC8" w:rsidRDefault="00B62EC8" w:rsidP="005326B6"/>
        </w:tc>
        <w:tc>
          <w:tcPr>
            <w:tcW w:w="1134" w:type="dxa"/>
            <w:hideMark/>
          </w:tcPr>
          <w:p w:rsidR="00B62EC8" w:rsidRPr="00B62EC8" w:rsidRDefault="00B62EC8" w:rsidP="005326B6">
            <w:pPr>
              <w:cnfStyle w:val="100000000000" w:firstRow="1" w:lastRow="0" w:firstColumn="0" w:lastColumn="0" w:oddVBand="0" w:evenVBand="0" w:oddHBand="0" w:evenHBand="0" w:firstRowFirstColumn="0" w:firstRowLastColumn="0" w:lastRowFirstColumn="0" w:lastRowLastColumn="0"/>
            </w:pPr>
            <w:r w:rsidRPr="000F2AA1">
              <w:t>2010</w:t>
            </w:r>
            <w:r w:rsidR="00F063CA">
              <w:t>–</w:t>
            </w:r>
            <w:r w:rsidRPr="000F2AA1">
              <w:t>11</w:t>
            </w:r>
          </w:p>
        </w:tc>
        <w:tc>
          <w:tcPr>
            <w:tcW w:w="1134" w:type="dxa"/>
            <w:hideMark/>
          </w:tcPr>
          <w:p w:rsidR="00B62EC8" w:rsidRPr="00B62EC8" w:rsidRDefault="00B62EC8" w:rsidP="005326B6">
            <w:pPr>
              <w:cnfStyle w:val="100000000000" w:firstRow="1" w:lastRow="0" w:firstColumn="0" w:lastColumn="0" w:oddVBand="0" w:evenVBand="0" w:oddHBand="0" w:evenHBand="0" w:firstRowFirstColumn="0" w:firstRowLastColumn="0" w:lastRowFirstColumn="0" w:lastRowLastColumn="0"/>
            </w:pPr>
            <w:r w:rsidRPr="000F2AA1">
              <w:t>2011</w:t>
            </w:r>
            <w:r w:rsidR="00F063CA">
              <w:t>–</w:t>
            </w:r>
            <w:r w:rsidRPr="000F2AA1">
              <w:t>12</w:t>
            </w:r>
          </w:p>
        </w:tc>
        <w:tc>
          <w:tcPr>
            <w:tcW w:w="1134" w:type="dxa"/>
            <w:hideMark/>
          </w:tcPr>
          <w:p w:rsidR="00B62EC8" w:rsidRPr="00B62EC8" w:rsidRDefault="00B62EC8" w:rsidP="005326B6">
            <w:pPr>
              <w:cnfStyle w:val="100000000000" w:firstRow="1" w:lastRow="0" w:firstColumn="0" w:lastColumn="0" w:oddVBand="0" w:evenVBand="0" w:oddHBand="0" w:evenHBand="0" w:firstRowFirstColumn="0" w:firstRowLastColumn="0" w:lastRowFirstColumn="0" w:lastRowLastColumn="0"/>
            </w:pPr>
            <w:r w:rsidRPr="000F2AA1">
              <w:t>2012</w:t>
            </w:r>
            <w:r w:rsidR="00F063CA">
              <w:t>–</w:t>
            </w:r>
            <w:r w:rsidRPr="000F2AA1">
              <w:t>13</w:t>
            </w:r>
          </w:p>
        </w:tc>
        <w:tc>
          <w:tcPr>
            <w:tcW w:w="1134" w:type="dxa"/>
            <w:hideMark/>
          </w:tcPr>
          <w:p w:rsidR="00B62EC8" w:rsidRPr="00B62EC8" w:rsidRDefault="00B62EC8" w:rsidP="005326B6">
            <w:pPr>
              <w:cnfStyle w:val="100000000000" w:firstRow="1" w:lastRow="0" w:firstColumn="0" w:lastColumn="0" w:oddVBand="0" w:evenVBand="0" w:oddHBand="0" w:evenHBand="0" w:firstRowFirstColumn="0" w:firstRowLastColumn="0" w:lastRowFirstColumn="0" w:lastRowLastColumn="0"/>
            </w:pPr>
            <w:r w:rsidRPr="000F2AA1">
              <w:t>2013</w:t>
            </w:r>
            <w:r w:rsidR="00F063CA">
              <w:t>–</w:t>
            </w:r>
            <w:r w:rsidRPr="000F2AA1">
              <w:t>14</w:t>
            </w:r>
          </w:p>
        </w:tc>
        <w:tc>
          <w:tcPr>
            <w:tcW w:w="1134" w:type="dxa"/>
            <w:hideMark/>
          </w:tcPr>
          <w:p w:rsidR="00B62EC8" w:rsidRPr="00B62EC8" w:rsidRDefault="00B62EC8" w:rsidP="005326B6">
            <w:pPr>
              <w:cnfStyle w:val="100000000000" w:firstRow="1" w:lastRow="0" w:firstColumn="0" w:lastColumn="0" w:oddVBand="0" w:evenVBand="0" w:oddHBand="0" w:evenHBand="0" w:firstRowFirstColumn="0" w:firstRowLastColumn="0" w:lastRowFirstColumn="0" w:lastRowLastColumn="0"/>
            </w:pPr>
            <w:r w:rsidRPr="000F2AA1">
              <w:t>2014</w:t>
            </w:r>
            <w:r w:rsidR="00F063CA">
              <w:t>–</w:t>
            </w:r>
            <w:r w:rsidRPr="000F2AA1">
              <w:t>15</w:t>
            </w:r>
          </w:p>
        </w:tc>
      </w:tr>
      <w:tr w:rsidR="00835B36" w:rsidRPr="00B62EC8" w:rsidTr="00595615">
        <w:trPr>
          <w:trHeight w:val="479"/>
        </w:trPr>
        <w:tc>
          <w:tcPr>
            <w:cnfStyle w:val="001000000000" w:firstRow="0" w:lastRow="0" w:firstColumn="1" w:lastColumn="0" w:oddVBand="0" w:evenVBand="0" w:oddHBand="0" w:evenHBand="0" w:firstRowFirstColumn="0" w:firstRowLastColumn="0" w:lastRowFirstColumn="0" w:lastRowLastColumn="0"/>
            <w:tcW w:w="2943" w:type="dxa"/>
            <w:hideMark/>
          </w:tcPr>
          <w:p w:rsidR="00835B36" w:rsidRPr="00835B36" w:rsidRDefault="00835B36" w:rsidP="00835B36">
            <w:r w:rsidRPr="00835B36">
              <w:t>Opening tax asset base</w:t>
            </w:r>
          </w:p>
        </w:tc>
        <w:tc>
          <w:tcPr>
            <w:tcW w:w="1134" w:type="dxa"/>
          </w:tcPr>
          <w:p w:rsidR="00835B36" w:rsidRPr="00835B36" w:rsidRDefault="00835B36" w:rsidP="00835B36">
            <w:pPr>
              <w:cnfStyle w:val="000000000000" w:firstRow="0" w:lastRow="0" w:firstColumn="0" w:lastColumn="0" w:oddVBand="0" w:evenVBand="0" w:oddHBand="0" w:evenHBand="0" w:firstRowFirstColumn="0" w:firstRowLastColumn="0" w:lastRowFirstColumn="0" w:lastRowLastColumn="0"/>
            </w:pPr>
            <w:r w:rsidRPr="00835B36">
              <w:t>600.1</w:t>
            </w:r>
          </w:p>
        </w:tc>
        <w:tc>
          <w:tcPr>
            <w:tcW w:w="1134" w:type="dxa"/>
          </w:tcPr>
          <w:p w:rsidR="00835B36" w:rsidRPr="00835B36" w:rsidRDefault="00835B36" w:rsidP="00835B36">
            <w:pPr>
              <w:cnfStyle w:val="000000000000" w:firstRow="0" w:lastRow="0" w:firstColumn="0" w:lastColumn="0" w:oddVBand="0" w:evenVBand="0" w:oddHBand="0" w:evenHBand="0" w:firstRowFirstColumn="0" w:firstRowLastColumn="0" w:lastRowFirstColumn="0" w:lastRowLastColumn="0"/>
            </w:pPr>
            <w:r w:rsidRPr="00835B36">
              <w:t>679.3</w:t>
            </w:r>
          </w:p>
        </w:tc>
        <w:tc>
          <w:tcPr>
            <w:tcW w:w="1134" w:type="dxa"/>
          </w:tcPr>
          <w:p w:rsidR="00835B36" w:rsidRPr="00835B36" w:rsidRDefault="00835B36" w:rsidP="00835B36">
            <w:pPr>
              <w:cnfStyle w:val="000000000000" w:firstRow="0" w:lastRow="0" w:firstColumn="0" w:lastColumn="0" w:oddVBand="0" w:evenVBand="0" w:oddHBand="0" w:evenHBand="0" w:firstRowFirstColumn="0" w:firstRowLastColumn="0" w:lastRowFirstColumn="0" w:lastRowLastColumn="0"/>
            </w:pPr>
            <w:r w:rsidRPr="00835B36">
              <w:t>753.5</w:t>
            </w:r>
          </w:p>
        </w:tc>
        <w:tc>
          <w:tcPr>
            <w:tcW w:w="1134" w:type="dxa"/>
          </w:tcPr>
          <w:p w:rsidR="00835B36" w:rsidRPr="00835B36" w:rsidRDefault="00835B36" w:rsidP="00835B36">
            <w:pPr>
              <w:cnfStyle w:val="000000000000" w:firstRow="0" w:lastRow="0" w:firstColumn="0" w:lastColumn="0" w:oddVBand="0" w:evenVBand="0" w:oddHBand="0" w:evenHBand="0" w:firstRowFirstColumn="0" w:firstRowLastColumn="0" w:lastRowFirstColumn="0" w:lastRowLastColumn="0"/>
            </w:pPr>
            <w:r w:rsidRPr="00835B36">
              <w:t>786.7</w:t>
            </w:r>
          </w:p>
        </w:tc>
        <w:tc>
          <w:tcPr>
            <w:tcW w:w="1134" w:type="dxa"/>
          </w:tcPr>
          <w:p w:rsidR="00835B36" w:rsidRPr="00835B36" w:rsidRDefault="00835B36" w:rsidP="00835B36">
            <w:pPr>
              <w:cnfStyle w:val="000000000000" w:firstRow="0" w:lastRow="0" w:firstColumn="0" w:lastColumn="0" w:oddVBand="0" w:evenVBand="0" w:oddHBand="0" w:evenHBand="0" w:firstRowFirstColumn="0" w:firstRowLastColumn="0" w:lastRowFirstColumn="0" w:lastRowLastColumn="0"/>
            </w:pPr>
            <w:r w:rsidRPr="00835B36">
              <w:t>840.1</w:t>
            </w:r>
          </w:p>
        </w:tc>
      </w:tr>
      <w:tr w:rsidR="00835B36" w:rsidRPr="00B62EC8" w:rsidTr="0059561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943" w:type="dxa"/>
            <w:hideMark/>
          </w:tcPr>
          <w:p w:rsidR="00835B36" w:rsidRPr="00835B36" w:rsidRDefault="00835B36" w:rsidP="00835B36">
            <w:r w:rsidRPr="00835B36">
              <w:t>Capex</w:t>
            </w:r>
          </w:p>
        </w:tc>
        <w:tc>
          <w:tcPr>
            <w:tcW w:w="1134" w:type="dxa"/>
          </w:tcPr>
          <w:p w:rsidR="00835B36" w:rsidRPr="00835B36" w:rsidRDefault="00835B36" w:rsidP="00835B36">
            <w:pPr>
              <w:cnfStyle w:val="000000010000" w:firstRow="0" w:lastRow="0" w:firstColumn="0" w:lastColumn="0" w:oddVBand="0" w:evenVBand="0" w:oddHBand="0" w:evenHBand="1" w:firstRowFirstColumn="0" w:firstRowLastColumn="0" w:lastRowFirstColumn="0" w:lastRowLastColumn="0"/>
            </w:pPr>
            <w:r w:rsidRPr="00835B36">
              <w:t>159.9</w:t>
            </w:r>
          </w:p>
        </w:tc>
        <w:tc>
          <w:tcPr>
            <w:tcW w:w="1134" w:type="dxa"/>
          </w:tcPr>
          <w:p w:rsidR="00835B36" w:rsidRPr="00835B36" w:rsidRDefault="00835B36" w:rsidP="00835B36">
            <w:pPr>
              <w:cnfStyle w:val="000000010000" w:firstRow="0" w:lastRow="0" w:firstColumn="0" w:lastColumn="0" w:oddVBand="0" w:evenVBand="0" w:oddHBand="0" w:evenHBand="1" w:firstRowFirstColumn="0" w:firstRowLastColumn="0" w:lastRowFirstColumn="0" w:lastRowLastColumn="0"/>
            </w:pPr>
            <w:r w:rsidRPr="00835B36">
              <w:t>169.3</w:t>
            </w:r>
          </w:p>
        </w:tc>
        <w:tc>
          <w:tcPr>
            <w:tcW w:w="1134" w:type="dxa"/>
          </w:tcPr>
          <w:p w:rsidR="00835B36" w:rsidRPr="00835B36" w:rsidRDefault="00835B36" w:rsidP="00835B36">
            <w:pPr>
              <w:cnfStyle w:val="000000010000" w:firstRow="0" w:lastRow="0" w:firstColumn="0" w:lastColumn="0" w:oddVBand="0" w:evenVBand="0" w:oddHBand="0" w:evenHBand="1" w:firstRowFirstColumn="0" w:firstRowLastColumn="0" w:lastRowFirstColumn="0" w:lastRowLastColumn="0"/>
            </w:pPr>
            <w:r w:rsidRPr="00835B36">
              <w:t>132.2</w:t>
            </w:r>
          </w:p>
        </w:tc>
        <w:tc>
          <w:tcPr>
            <w:tcW w:w="1134" w:type="dxa"/>
          </w:tcPr>
          <w:p w:rsidR="00835B36" w:rsidRPr="00835B36" w:rsidRDefault="00835B36" w:rsidP="00835B36">
            <w:pPr>
              <w:cnfStyle w:val="000000010000" w:firstRow="0" w:lastRow="0" w:firstColumn="0" w:lastColumn="0" w:oddVBand="0" w:evenVBand="0" w:oddHBand="0" w:evenHBand="1" w:firstRowFirstColumn="0" w:firstRowLastColumn="0" w:lastRowFirstColumn="0" w:lastRowLastColumn="0"/>
            </w:pPr>
            <w:r w:rsidRPr="00835B36">
              <w:t>153.6</w:t>
            </w:r>
          </w:p>
        </w:tc>
        <w:tc>
          <w:tcPr>
            <w:tcW w:w="1134" w:type="dxa"/>
          </w:tcPr>
          <w:p w:rsidR="00835B36" w:rsidRPr="00835B36" w:rsidRDefault="00835B36" w:rsidP="00835B36">
            <w:pPr>
              <w:cnfStyle w:val="000000010000" w:firstRow="0" w:lastRow="0" w:firstColumn="0" w:lastColumn="0" w:oddVBand="0" w:evenVBand="0" w:oddHBand="0" w:evenHBand="1" w:firstRowFirstColumn="0" w:firstRowLastColumn="0" w:lastRowFirstColumn="0" w:lastRowLastColumn="0"/>
            </w:pPr>
            <w:r w:rsidRPr="00835B36">
              <w:t>256.3</w:t>
            </w:r>
          </w:p>
        </w:tc>
      </w:tr>
      <w:tr w:rsidR="00835B36" w:rsidRPr="00B62EC8" w:rsidTr="00595615">
        <w:trPr>
          <w:trHeight w:val="521"/>
        </w:trPr>
        <w:tc>
          <w:tcPr>
            <w:cnfStyle w:val="001000000000" w:firstRow="0" w:lastRow="0" w:firstColumn="1" w:lastColumn="0" w:oddVBand="0" w:evenVBand="0" w:oddHBand="0" w:evenHBand="0" w:firstRowFirstColumn="0" w:firstRowLastColumn="0" w:lastRowFirstColumn="0" w:lastRowLastColumn="0"/>
            <w:tcW w:w="2943" w:type="dxa"/>
            <w:hideMark/>
          </w:tcPr>
          <w:p w:rsidR="00835B36" w:rsidRPr="00835B36" w:rsidRDefault="00835B36" w:rsidP="00835B36">
            <w:r w:rsidRPr="00835B36">
              <w:t>Tax depreciation</w:t>
            </w:r>
          </w:p>
        </w:tc>
        <w:tc>
          <w:tcPr>
            <w:tcW w:w="1134" w:type="dxa"/>
          </w:tcPr>
          <w:p w:rsidR="00835B36" w:rsidRPr="00835B36" w:rsidRDefault="00A17AF8" w:rsidP="00835B36">
            <w:pPr>
              <w:cnfStyle w:val="000000000000" w:firstRow="0" w:lastRow="0" w:firstColumn="0" w:lastColumn="0" w:oddVBand="0" w:evenVBand="0" w:oddHBand="0" w:evenHBand="0" w:firstRowFirstColumn="0" w:firstRowLastColumn="0" w:lastRowFirstColumn="0" w:lastRowLastColumn="0"/>
            </w:pPr>
            <w:r>
              <w:t>–</w:t>
            </w:r>
            <w:r w:rsidR="00835B36" w:rsidRPr="00835B36">
              <w:t>80.6</w:t>
            </w:r>
          </w:p>
        </w:tc>
        <w:tc>
          <w:tcPr>
            <w:tcW w:w="1134" w:type="dxa"/>
          </w:tcPr>
          <w:p w:rsidR="00835B36" w:rsidRPr="00835B36" w:rsidRDefault="00A17AF8" w:rsidP="00835B36">
            <w:pPr>
              <w:cnfStyle w:val="000000000000" w:firstRow="0" w:lastRow="0" w:firstColumn="0" w:lastColumn="0" w:oddVBand="0" w:evenVBand="0" w:oddHBand="0" w:evenHBand="0" w:firstRowFirstColumn="0" w:firstRowLastColumn="0" w:lastRowFirstColumn="0" w:lastRowLastColumn="0"/>
            </w:pPr>
            <w:r>
              <w:t>–</w:t>
            </w:r>
            <w:r w:rsidR="00835B36" w:rsidRPr="00835B36">
              <w:t>95.1</w:t>
            </w:r>
          </w:p>
        </w:tc>
        <w:tc>
          <w:tcPr>
            <w:tcW w:w="1134" w:type="dxa"/>
          </w:tcPr>
          <w:p w:rsidR="00835B36" w:rsidRPr="00835B36" w:rsidRDefault="00A17AF8" w:rsidP="00835B36">
            <w:pPr>
              <w:cnfStyle w:val="000000000000" w:firstRow="0" w:lastRow="0" w:firstColumn="0" w:lastColumn="0" w:oddVBand="0" w:evenVBand="0" w:oddHBand="0" w:evenHBand="0" w:firstRowFirstColumn="0" w:firstRowLastColumn="0" w:lastRowFirstColumn="0" w:lastRowLastColumn="0"/>
            </w:pPr>
            <w:r>
              <w:t>–</w:t>
            </w:r>
            <w:r w:rsidR="00835B36" w:rsidRPr="00835B36">
              <w:t>99.1</w:t>
            </w:r>
          </w:p>
        </w:tc>
        <w:tc>
          <w:tcPr>
            <w:tcW w:w="1134" w:type="dxa"/>
          </w:tcPr>
          <w:p w:rsidR="00835B36" w:rsidRPr="00835B36" w:rsidRDefault="00A17AF8" w:rsidP="00835B36">
            <w:pPr>
              <w:cnfStyle w:val="000000000000" w:firstRow="0" w:lastRow="0" w:firstColumn="0" w:lastColumn="0" w:oddVBand="0" w:evenVBand="0" w:oddHBand="0" w:evenHBand="0" w:firstRowFirstColumn="0" w:firstRowLastColumn="0" w:lastRowFirstColumn="0" w:lastRowLastColumn="0"/>
            </w:pPr>
            <w:r>
              <w:t>–</w:t>
            </w:r>
            <w:r w:rsidR="00835B36" w:rsidRPr="00835B36">
              <w:t>100.2</w:t>
            </w:r>
          </w:p>
        </w:tc>
        <w:tc>
          <w:tcPr>
            <w:tcW w:w="1134" w:type="dxa"/>
          </w:tcPr>
          <w:p w:rsidR="00835B36" w:rsidRPr="00835B36" w:rsidRDefault="00A17AF8" w:rsidP="00835B36">
            <w:pPr>
              <w:cnfStyle w:val="000000000000" w:firstRow="0" w:lastRow="0" w:firstColumn="0" w:lastColumn="0" w:oddVBand="0" w:evenVBand="0" w:oddHBand="0" w:evenHBand="0" w:firstRowFirstColumn="0" w:firstRowLastColumn="0" w:lastRowFirstColumn="0" w:lastRowLastColumn="0"/>
            </w:pPr>
            <w:r>
              <w:t>–</w:t>
            </w:r>
            <w:r w:rsidR="00835B36" w:rsidRPr="00835B36">
              <w:t>114.1</w:t>
            </w:r>
          </w:p>
        </w:tc>
      </w:tr>
      <w:tr w:rsidR="00835B36" w:rsidRPr="00CA5825" w:rsidTr="0059561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943" w:type="dxa"/>
            <w:hideMark/>
          </w:tcPr>
          <w:p w:rsidR="00835B36" w:rsidRPr="00CA5825" w:rsidRDefault="00835B36" w:rsidP="00835B36">
            <w:pPr>
              <w:rPr>
                <w:rStyle w:val="Strong"/>
              </w:rPr>
            </w:pPr>
            <w:r w:rsidRPr="00CA5825">
              <w:rPr>
                <w:rStyle w:val="Strong"/>
              </w:rPr>
              <w:t>Closing tax asset base</w:t>
            </w:r>
          </w:p>
        </w:tc>
        <w:tc>
          <w:tcPr>
            <w:tcW w:w="1134" w:type="dxa"/>
          </w:tcPr>
          <w:p w:rsidR="00835B36" w:rsidRPr="00CA5825" w:rsidRDefault="00835B36" w:rsidP="00835B36">
            <w:pPr>
              <w:cnfStyle w:val="000000010000" w:firstRow="0" w:lastRow="0" w:firstColumn="0" w:lastColumn="0" w:oddVBand="0" w:evenVBand="0" w:oddHBand="0" w:evenHBand="1" w:firstRowFirstColumn="0" w:firstRowLastColumn="0" w:lastRowFirstColumn="0" w:lastRowLastColumn="0"/>
              <w:rPr>
                <w:rStyle w:val="Strong"/>
              </w:rPr>
            </w:pPr>
            <w:r w:rsidRPr="00CA5825">
              <w:rPr>
                <w:rStyle w:val="Strong"/>
              </w:rPr>
              <w:t>679.3</w:t>
            </w:r>
          </w:p>
        </w:tc>
        <w:tc>
          <w:tcPr>
            <w:tcW w:w="1134" w:type="dxa"/>
          </w:tcPr>
          <w:p w:rsidR="00835B36" w:rsidRPr="00CA5825" w:rsidRDefault="00835B36" w:rsidP="00835B36">
            <w:pPr>
              <w:cnfStyle w:val="000000010000" w:firstRow="0" w:lastRow="0" w:firstColumn="0" w:lastColumn="0" w:oddVBand="0" w:evenVBand="0" w:oddHBand="0" w:evenHBand="1" w:firstRowFirstColumn="0" w:firstRowLastColumn="0" w:lastRowFirstColumn="0" w:lastRowLastColumn="0"/>
              <w:rPr>
                <w:rStyle w:val="Strong"/>
              </w:rPr>
            </w:pPr>
            <w:r w:rsidRPr="00CA5825">
              <w:rPr>
                <w:rStyle w:val="Strong"/>
              </w:rPr>
              <w:t>753.5</w:t>
            </w:r>
          </w:p>
        </w:tc>
        <w:tc>
          <w:tcPr>
            <w:tcW w:w="1134" w:type="dxa"/>
          </w:tcPr>
          <w:p w:rsidR="00835B36" w:rsidRPr="00CA5825" w:rsidRDefault="00835B36" w:rsidP="00835B36">
            <w:pPr>
              <w:cnfStyle w:val="000000010000" w:firstRow="0" w:lastRow="0" w:firstColumn="0" w:lastColumn="0" w:oddVBand="0" w:evenVBand="0" w:oddHBand="0" w:evenHBand="1" w:firstRowFirstColumn="0" w:firstRowLastColumn="0" w:lastRowFirstColumn="0" w:lastRowLastColumn="0"/>
              <w:rPr>
                <w:rStyle w:val="Strong"/>
              </w:rPr>
            </w:pPr>
            <w:r w:rsidRPr="00CA5825">
              <w:rPr>
                <w:rStyle w:val="Strong"/>
              </w:rPr>
              <w:t>786.7</w:t>
            </w:r>
          </w:p>
        </w:tc>
        <w:tc>
          <w:tcPr>
            <w:tcW w:w="1134" w:type="dxa"/>
          </w:tcPr>
          <w:p w:rsidR="00835B36" w:rsidRPr="00CA5825" w:rsidRDefault="00835B36" w:rsidP="00835B36">
            <w:pPr>
              <w:cnfStyle w:val="000000010000" w:firstRow="0" w:lastRow="0" w:firstColumn="0" w:lastColumn="0" w:oddVBand="0" w:evenVBand="0" w:oddHBand="0" w:evenHBand="1" w:firstRowFirstColumn="0" w:firstRowLastColumn="0" w:lastRowFirstColumn="0" w:lastRowLastColumn="0"/>
              <w:rPr>
                <w:rStyle w:val="Strong"/>
              </w:rPr>
            </w:pPr>
            <w:r w:rsidRPr="00CA5825">
              <w:rPr>
                <w:rStyle w:val="Strong"/>
              </w:rPr>
              <w:t>840.1</w:t>
            </w:r>
          </w:p>
        </w:tc>
        <w:tc>
          <w:tcPr>
            <w:tcW w:w="1134" w:type="dxa"/>
          </w:tcPr>
          <w:p w:rsidR="00835B36" w:rsidRPr="00CA5825" w:rsidRDefault="00835B36" w:rsidP="00835B36">
            <w:pPr>
              <w:cnfStyle w:val="000000010000" w:firstRow="0" w:lastRow="0" w:firstColumn="0" w:lastColumn="0" w:oddVBand="0" w:evenVBand="0" w:oddHBand="0" w:evenHBand="1" w:firstRowFirstColumn="0" w:firstRowLastColumn="0" w:lastRowFirstColumn="0" w:lastRowLastColumn="0"/>
              <w:rPr>
                <w:rStyle w:val="Strong"/>
              </w:rPr>
            </w:pPr>
            <w:r w:rsidRPr="00CA5825">
              <w:rPr>
                <w:rStyle w:val="Strong"/>
              </w:rPr>
              <w:t>982.3</w:t>
            </w:r>
          </w:p>
        </w:tc>
      </w:tr>
    </w:tbl>
    <w:p w:rsidR="00B62EC8" w:rsidRPr="00B62EC8" w:rsidRDefault="00B62EC8" w:rsidP="00B62EC8">
      <w:pPr>
        <w:pStyle w:val="AERtablesource"/>
        <w:rPr>
          <w:rFonts w:eastAsia="Calibri"/>
        </w:rPr>
      </w:pPr>
      <w:r w:rsidRPr="00B62EC8">
        <w:rPr>
          <w:rFonts w:eastAsia="Calibri"/>
        </w:rPr>
        <w:t xml:space="preserve">Source: </w:t>
      </w:r>
      <w:r w:rsidRPr="00B62EC8">
        <w:rPr>
          <w:rFonts w:eastAsia="Calibri"/>
        </w:rPr>
        <w:tab/>
      </w:r>
      <w:r w:rsidRPr="000F2AA1">
        <w:t xml:space="preserve">JGN, </w:t>
      </w:r>
      <w:r w:rsidR="00300490">
        <w:rPr>
          <w:rStyle w:val="AERtextitalic"/>
        </w:rPr>
        <w:t>Revised a</w:t>
      </w:r>
      <w:r w:rsidRPr="000F2AA1">
        <w:rPr>
          <w:rStyle w:val="AERtextitalic"/>
        </w:rPr>
        <w:t xml:space="preserve">ccess arrangement </w:t>
      </w:r>
      <w:r w:rsidR="00300490">
        <w:rPr>
          <w:rStyle w:val="AERtextitalic"/>
        </w:rPr>
        <w:t xml:space="preserve">proposal, </w:t>
      </w:r>
      <w:r w:rsidR="00A93102">
        <w:rPr>
          <w:rStyle w:val="AERtextitalic"/>
        </w:rPr>
        <w:t>A</w:t>
      </w:r>
      <w:r w:rsidR="00300490">
        <w:rPr>
          <w:rStyle w:val="AERtextitalic"/>
        </w:rPr>
        <w:t>ppendix 10.1</w:t>
      </w:r>
      <w:r w:rsidR="00A93102">
        <w:rPr>
          <w:rStyle w:val="AERtextitalic"/>
        </w:rPr>
        <w:t>, Revenue model - updated</w:t>
      </w:r>
      <w:r w:rsidRPr="000F2AA1">
        <w:t>,</w:t>
      </w:r>
      <w:r w:rsidR="00A93102">
        <w:t xml:space="preserve"> </w:t>
      </w:r>
      <w:r w:rsidR="00300490">
        <w:t xml:space="preserve">February </w:t>
      </w:r>
      <w:r w:rsidRPr="000F2AA1">
        <w:t>201</w:t>
      </w:r>
      <w:r w:rsidR="00300490">
        <w:t>5</w:t>
      </w:r>
      <w:r w:rsidRPr="000F2AA1">
        <w:t>.</w:t>
      </w:r>
      <w:r w:rsidRPr="00B62EC8">
        <w:rPr>
          <w:rFonts w:eastAsia="Calibri"/>
        </w:rPr>
        <w:t xml:space="preserve"> </w:t>
      </w:r>
      <w:r w:rsidR="00A17AF8" w:rsidRPr="00A17AF8">
        <w:t xml:space="preserve">JGN, </w:t>
      </w:r>
      <w:r w:rsidR="00A17AF8" w:rsidRPr="00671057">
        <w:rPr>
          <w:rStyle w:val="AERtextitalic"/>
        </w:rPr>
        <w:t>Submissions on draft decision, Attachment</w:t>
      </w:r>
      <w:r w:rsidR="00A17AF8" w:rsidRPr="00A17AF8">
        <w:rPr>
          <w:rStyle w:val="AERtextitalic"/>
        </w:rPr>
        <w:t xml:space="preserve"> N - updated appendix 10.1 - JGN revenue forecast model</w:t>
      </w:r>
      <w:r w:rsidR="00A17AF8" w:rsidRPr="00A17AF8">
        <w:t>, 27 March 2015.</w:t>
      </w:r>
    </w:p>
    <w:p w:rsidR="00B15E1A" w:rsidRDefault="001870F4" w:rsidP="00B15E1A">
      <w:r>
        <w:t xml:space="preserve">Using the same approach accepted in the draft decision, </w:t>
      </w:r>
      <w:r w:rsidR="00B15E1A">
        <w:t>JGN</w:t>
      </w:r>
      <w:r>
        <w:t xml:space="preserve">'s revised proposal </w:t>
      </w:r>
      <w:r w:rsidR="00B15E1A">
        <w:t>calculated the corporate income tax over the 2015–20 access arrangement period using the following inputs:</w:t>
      </w:r>
      <w:r w:rsidR="00B15E1A">
        <w:rPr>
          <w:rStyle w:val="FootnoteReference"/>
        </w:rPr>
        <w:footnoteReference w:id="9"/>
      </w:r>
    </w:p>
    <w:p w:rsidR="00B15E1A" w:rsidRDefault="00B15E1A" w:rsidP="00B15E1A">
      <w:pPr>
        <w:pStyle w:val="AERbulletlistfirststyle"/>
      </w:pPr>
      <w:r>
        <w:t>revised TAB at 1 July 2015 of $98</w:t>
      </w:r>
      <w:r w:rsidR="00A17AF8">
        <w:t>2</w:t>
      </w:r>
      <w:r>
        <w:t>.</w:t>
      </w:r>
      <w:r w:rsidR="00A17AF8">
        <w:t>3</w:t>
      </w:r>
      <w:r>
        <w:t xml:space="preserve"> million reflecting updates for 2013</w:t>
      </w:r>
      <w:r w:rsidRPr="009134B1">
        <w:rPr>
          <w:rStyle w:val="AERbody"/>
        </w:rPr>
        <w:t>–</w:t>
      </w:r>
      <w:r>
        <w:t xml:space="preserve">14 actual </w:t>
      </w:r>
      <w:r w:rsidR="00F063CA">
        <w:t xml:space="preserve">conforming </w:t>
      </w:r>
      <w:r>
        <w:t>capex and 2014–15 estimated capex</w:t>
      </w:r>
    </w:p>
    <w:p w:rsidR="00EE3A63" w:rsidRDefault="00EE3A63" w:rsidP="00EE3A63">
      <w:pPr>
        <w:pStyle w:val="AERbulletlistfirststyle"/>
      </w:pPr>
      <w:r>
        <w:t>d</w:t>
      </w:r>
      <w:r w:rsidRPr="00EE3A63">
        <w:t>iminishing value rate</w:t>
      </w:r>
      <w:r w:rsidR="00F063CA">
        <w:t>s</w:t>
      </w:r>
      <w:r w:rsidRPr="00EE3A63">
        <w:t xml:space="preserve"> for tax depreciation</w:t>
      </w:r>
      <w:r>
        <w:t xml:space="preserve"> </w:t>
      </w:r>
      <w:r w:rsidRPr="00EE3A63">
        <w:t>a</w:t>
      </w:r>
      <w:r w:rsidR="001870F4">
        <w:t>ccepted</w:t>
      </w:r>
      <w:r w:rsidRPr="00EE3A63">
        <w:t xml:space="preserve"> in the draft decision</w:t>
      </w:r>
    </w:p>
    <w:p w:rsidR="00B15E1A" w:rsidRDefault="00B15E1A" w:rsidP="00B15E1A">
      <w:pPr>
        <w:pStyle w:val="AERbulletlistfirststyle"/>
      </w:pPr>
      <w:r>
        <w:t>revised forecast capex</w:t>
      </w:r>
    </w:p>
    <w:p w:rsidR="00F063CA" w:rsidRDefault="00B15E1A" w:rsidP="00B15E1A">
      <w:pPr>
        <w:pStyle w:val="AERbulletlistfirststyle"/>
      </w:pPr>
      <w:r>
        <w:t>revised forecast opex</w:t>
      </w:r>
    </w:p>
    <w:p w:rsidR="00B15E1A" w:rsidRDefault="00F063CA" w:rsidP="00B15E1A">
      <w:pPr>
        <w:pStyle w:val="AERbulletlistfirststyle"/>
      </w:pPr>
      <w:r>
        <w:lastRenderedPageBreak/>
        <w:t>a value for gamma of 0.25, consistent with its initial proposal</w:t>
      </w:r>
      <w:r w:rsidR="00B15E1A">
        <w:t xml:space="preserve">. </w:t>
      </w:r>
    </w:p>
    <w:p w:rsidR="00B62EC8" w:rsidRDefault="00DD2080" w:rsidP="00B62EC8">
      <w:pPr>
        <w:numPr>
          <w:ilvl w:val="0"/>
          <w:numId w:val="25"/>
        </w:numPr>
      </w:pPr>
      <w:r>
        <w:t>F</w:t>
      </w:r>
      <w:r w:rsidR="00B62EC8" w:rsidRPr="00FD50DB">
        <w:t xml:space="preserve">or the </w:t>
      </w:r>
      <w:r w:rsidR="00B62EC8" w:rsidRPr="00FD50DB">
        <w:rPr>
          <w:rStyle w:val="AERbody"/>
        </w:rPr>
        <w:t xml:space="preserve">2015–20 </w:t>
      </w:r>
      <w:r>
        <w:t>access arrangement period,</w:t>
      </w:r>
      <w:r w:rsidR="00B62EC8" w:rsidRPr="00FD50DB">
        <w:t xml:space="preserve"> JGN</w:t>
      </w:r>
      <w:r w:rsidR="00A34E44">
        <w:t>'s</w:t>
      </w:r>
      <w:r w:rsidR="00B62EC8" w:rsidRPr="00FD50DB">
        <w:t xml:space="preserve"> </w:t>
      </w:r>
      <w:r w:rsidR="00F063CA">
        <w:t xml:space="preserve">revised </w:t>
      </w:r>
      <w:r w:rsidR="00B62EC8" w:rsidRPr="00FD50DB">
        <w:t>propos</w:t>
      </w:r>
      <w:r w:rsidR="00F063CA">
        <w:t>al forecast</w:t>
      </w:r>
      <w:r w:rsidR="00B62EC8" w:rsidRPr="00FD50DB">
        <w:t xml:space="preserve"> a total corporate income tax allowance of $1</w:t>
      </w:r>
      <w:r w:rsidR="00EE3A63">
        <w:t>0</w:t>
      </w:r>
      <w:r w:rsidR="00835B36">
        <w:t>5</w:t>
      </w:r>
      <w:r w:rsidR="00EE3A63">
        <w:t>.</w:t>
      </w:r>
      <w:r w:rsidR="00835B36">
        <w:t>9</w:t>
      </w:r>
      <w:r w:rsidR="00B62EC8" w:rsidRPr="00FD50DB">
        <w:t xml:space="preserve"> million ($nominal) as set out in</w:t>
      </w:r>
      <w:r w:rsidR="00B62EC8">
        <w:t xml:space="preserve"> </w:t>
      </w:r>
      <w:r w:rsidR="00B62EC8">
        <w:fldChar w:fldCharType="begin"/>
      </w:r>
      <w:r w:rsidR="00B62EC8">
        <w:instrText xml:space="preserve"> REF  _Ref398279252 \* Lower \h </w:instrText>
      </w:r>
      <w:r w:rsidR="00B62EC8">
        <w:fldChar w:fldCharType="separate"/>
      </w:r>
      <w:r w:rsidR="009854C0" w:rsidRPr="00FD50DB">
        <w:t xml:space="preserve">Table </w:t>
      </w:r>
      <w:r w:rsidR="009854C0">
        <w:rPr>
          <w:noProof/>
        </w:rPr>
        <w:t>8</w:t>
      </w:r>
      <w:r w:rsidR="009854C0">
        <w:noBreakHyphen/>
      </w:r>
      <w:r w:rsidR="009854C0">
        <w:rPr>
          <w:noProof/>
        </w:rPr>
        <w:t>3</w:t>
      </w:r>
      <w:r w:rsidR="00B62EC8">
        <w:fldChar w:fldCharType="end"/>
      </w:r>
      <w:r w:rsidR="00B62EC8" w:rsidRPr="00FD50DB">
        <w:t>.</w:t>
      </w:r>
      <w:r w:rsidR="001870F4">
        <w:rPr>
          <w:rStyle w:val="FootnoteReference"/>
        </w:rPr>
        <w:footnoteReference w:id="10"/>
      </w:r>
      <w:r w:rsidR="00B15E1A">
        <w:t xml:space="preserve"> </w:t>
      </w:r>
    </w:p>
    <w:p w:rsidR="00B62EC8" w:rsidRPr="00FD50DB" w:rsidRDefault="00B62EC8" w:rsidP="00B62EC8">
      <w:pPr>
        <w:pStyle w:val="Caption"/>
      </w:pPr>
      <w:bookmarkStart w:id="18" w:name="_Ref398279252"/>
      <w:bookmarkStart w:id="19" w:name="_Ref398907457"/>
      <w:r w:rsidRPr="00FD50DB">
        <w:t xml:space="preserve">Table </w:t>
      </w:r>
      <w:r w:rsidRPr="00F17F59">
        <w:fldChar w:fldCharType="begin"/>
      </w:r>
      <w:r>
        <w:instrText xml:space="preserve"> STYLEREF 1 \s </w:instrText>
      </w:r>
      <w:r w:rsidRPr="00F17F59">
        <w:fldChar w:fldCharType="separate"/>
      </w:r>
      <w:r w:rsidR="009854C0">
        <w:rPr>
          <w:noProof/>
        </w:rPr>
        <w:t>8</w:t>
      </w:r>
      <w:r w:rsidRPr="00F17F59">
        <w:fldChar w:fldCharType="end"/>
      </w:r>
      <w:r>
        <w:noBreakHyphen/>
      </w:r>
      <w:r w:rsidRPr="00F17F59">
        <w:fldChar w:fldCharType="begin"/>
      </w:r>
      <w:r>
        <w:instrText xml:space="preserve"> SEQ Table \* ARABIC \s 1 </w:instrText>
      </w:r>
      <w:r w:rsidRPr="00F17F59">
        <w:fldChar w:fldCharType="separate"/>
      </w:r>
      <w:r w:rsidR="009854C0">
        <w:rPr>
          <w:noProof/>
        </w:rPr>
        <w:t>3</w:t>
      </w:r>
      <w:r w:rsidRPr="00F17F59">
        <w:fldChar w:fldCharType="end"/>
      </w:r>
      <w:bookmarkEnd w:id="18"/>
      <w:r w:rsidRPr="00FD50DB">
        <w:tab/>
        <w:t>JGN</w:t>
      </w:r>
      <w:r>
        <w:t>'s</w:t>
      </w:r>
      <w:r w:rsidRPr="00FD50DB">
        <w:t xml:space="preserve"> </w:t>
      </w:r>
      <w:r w:rsidR="00DC3137">
        <w:t>revised proposal</w:t>
      </w:r>
      <w:r w:rsidRPr="00FD50DB">
        <w:t xml:space="preserve"> corporate income tax </w:t>
      </w:r>
      <w:r>
        <w:t xml:space="preserve">allowance </w:t>
      </w:r>
      <w:r w:rsidRPr="00FD50DB">
        <w:t>for the 2015–20 access arrangement period ($million, nominal)</w:t>
      </w:r>
      <w:bookmarkEnd w:id="19"/>
    </w:p>
    <w:tbl>
      <w:tblPr>
        <w:tblStyle w:val="AERtable-numbers"/>
        <w:tblW w:w="8613" w:type="dxa"/>
        <w:tblLayout w:type="fixed"/>
        <w:tblLook w:val="04A0" w:firstRow="1" w:lastRow="0" w:firstColumn="1" w:lastColumn="0" w:noHBand="0" w:noVBand="1"/>
      </w:tblPr>
      <w:tblGrid>
        <w:gridCol w:w="2943"/>
        <w:gridCol w:w="945"/>
        <w:gridCol w:w="945"/>
        <w:gridCol w:w="945"/>
        <w:gridCol w:w="945"/>
        <w:gridCol w:w="945"/>
        <w:gridCol w:w="945"/>
      </w:tblGrid>
      <w:tr w:rsidR="00B62EC8" w:rsidRPr="00BF79C4" w:rsidTr="0015497C">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943" w:type="dxa"/>
            <w:hideMark/>
          </w:tcPr>
          <w:p w:rsidR="00B62EC8" w:rsidRPr="00B62EC8" w:rsidRDefault="00B62EC8" w:rsidP="005326B6">
            <w:r w:rsidRPr="00FD50DB">
              <w:t xml:space="preserve"> </w:t>
            </w:r>
          </w:p>
        </w:tc>
        <w:tc>
          <w:tcPr>
            <w:tcW w:w="945" w:type="dxa"/>
            <w:hideMark/>
          </w:tcPr>
          <w:p w:rsidR="00B62EC8" w:rsidRPr="00B62EC8" w:rsidRDefault="00B62EC8" w:rsidP="005326B6">
            <w:pPr>
              <w:cnfStyle w:val="100000000000" w:firstRow="1" w:lastRow="0" w:firstColumn="0" w:lastColumn="0" w:oddVBand="0" w:evenVBand="0" w:oddHBand="0" w:evenHBand="0" w:firstRowFirstColumn="0" w:firstRowLastColumn="0" w:lastRowFirstColumn="0" w:lastRowLastColumn="0"/>
            </w:pPr>
            <w:r w:rsidRPr="00FD50DB">
              <w:t>2015</w:t>
            </w:r>
            <w:r w:rsidR="00F063CA">
              <w:t>–</w:t>
            </w:r>
            <w:r w:rsidRPr="00FD50DB">
              <w:t>16</w:t>
            </w:r>
          </w:p>
        </w:tc>
        <w:tc>
          <w:tcPr>
            <w:tcW w:w="945" w:type="dxa"/>
            <w:hideMark/>
          </w:tcPr>
          <w:p w:rsidR="00B62EC8" w:rsidRPr="00B62EC8" w:rsidRDefault="00B62EC8" w:rsidP="005326B6">
            <w:pPr>
              <w:cnfStyle w:val="100000000000" w:firstRow="1" w:lastRow="0" w:firstColumn="0" w:lastColumn="0" w:oddVBand="0" w:evenVBand="0" w:oddHBand="0" w:evenHBand="0" w:firstRowFirstColumn="0" w:firstRowLastColumn="0" w:lastRowFirstColumn="0" w:lastRowLastColumn="0"/>
            </w:pPr>
            <w:r w:rsidRPr="00FD50DB">
              <w:t>2016</w:t>
            </w:r>
            <w:r w:rsidR="00F063CA">
              <w:t>–</w:t>
            </w:r>
            <w:r w:rsidRPr="00FD50DB">
              <w:t>17</w:t>
            </w:r>
          </w:p>
        </w:tc>
        <w:tc>
          <w:tcPr>
            <w:tcW w:w="945" w:type="dxa"/>
            <w:hideMark/>
          </w:tcPr>
          <w:p w:rsidR="00B62EC8" w:rsidRPr="00B62EC8" w:rsidRDefault="00B62EC8" w:rsidP="005326B6">
            <w:pPr>
              <w:cnfStyle w:val="100000000000" w:firstRow="1" w:lastRow="0" w:firstColumn="0" w:lastColumn="0" w:oddVBand="0" w:evenVBand="0" w:oddHBand="0" w:evenHBand="0" w:firstRowFirstColumn="0" w:firstRowLastColumn="0" w:lastRowFirstColumn="0" w:lastRowLastColumn="0"/>
            </w:pPr>
            <w:r w:rsidRPr="00FD50DB">
              <w:t>2017</w:t>
            </w:r>
            <w:r w:rsidR="00F063CA">
              <w:t>–</w:t>
            </w:r>
            <w:r w:rsidRPr="00FD50DB">
              <w:t>18</w:t>
            </w:r>
          </w:p>
        </w:tc>
        <w:tc>
          <w:tcPr>
            <w:tcW w:w="945" w:type="dxa"/>
            <w:hideMark/>
          </w:tcPr>
          <w:p w:rsidR="00B62EC8" w:rsidRPr="00B62EC8" w:rsidRDefault="00B62EC8" w:rsidP="005326B6">
            <w:pPr>
              <w:cnfStyle w:val="100000000000" w:firstRow="1" w:lastRow="0" w:firstColumn="0" w:lastColumn="0" w:oddVBand="0" w:evenVBand="0" w:oddHBand="0" w:evenHBand="0" w:firstRowFirstColumn="0" w:firstRowLastColumn="0" w:lastRowFirstColumn="0" w:lastRowLastColumn="0"/>
            </w:pPr>
            <w:r w:rsidRPr="00FD50DB">
              <w:t>2018</w:t>
            </w:r>
            <w:r w:rsidR="00F063CA">
              <w:t>–</w:t>
            </w:r>
            <w:r w:rsidRPr="00FD50DB">
              <w:t>19</w:t>
            </w:r>
          </w:p>
        </w:tc>
        <w:tc>
          <w:tcPr>
            <w:tcW w:w="945" w:type="dxa"/>
            <w:hideMark/>
          </w:tcPr>
          <w:p w:rsidR="00B62EC8" w:rsidRPr="00B62EC8" w:rsidRDefault="00B62EC8" w:rsidP="005326B6">
            <w:pPr>
              <w:cnfStyle w:val="100000000000" w:firstRow="1" w:lastRow="0" w:firstColumn="0" w:lastColumn="0" w:oddVBand="0" w:evenVBand="0" w:oddHBand="0" w:evenHBand="0" w:firstRowFirstColumn="0" w:firstRowLastColumn="0" w:lastRowFirstColumn="0" w:lastRowLastColumn="0"/>
            </w:pPr>
            <w:r w:rsidRPr="00FD50DB">
              <w:t>2019</w:t>
            </w:r>
            <w:r w:rsidR="00F063CA">
              <w:t>–</w:t>
            </w:r>
            <w:r w:rsidRPr="00FD50DB">
              <w:t>20</w:t>
            </w:r>
          </w:p>
        </w:tc>
        <w:tc>
          <w:tcPr>
            <w:tcW w:w="945" w:type="dxa"/>
          </w:tcPr>
          <w:p w:rsidR="00B62EC8" w:rsidRPr="00B62EC8" w:rsidRDefault="00B62EC8" w:rsidP="005326B6">
            <w:pPr>
              <w:cnfStyle w:val="100000000000" w:firstRow="1" w:lastRow="0" w:firstColumn="0" w:lastColumn="0" w:oddVBand="0" w:evenVBand="0" w:oddHBand="0" w:evenHBand="0" w:firstRowFirstColumn="0" w:firstRowLastColumn="0" w:lastRowFirstColumn="0" w:lastRowLastColumn="0"/>
            </w:pPr>
            <w:r>
              <w:t>Total</w:t>
            </w:r>
          </w:p>
        </w:tc>
      </w:tr>
      <w:tr w:rsidR="00835B36" w:rsidRPr="00BF79C4" w:rsidTr="0015497C">
        <w:trPr>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835B36" w:rsidRPr="00835B36" w:rsidRDefault="00835B36" w:rsidP="00835B36">
            <w:r w:rsidRPr="00835B36">
              <w:t>Tax payable</w:t>
            </w:r>
          </w:p>
        </w:tc>
        <w:tc>
          <w:tcPr>
            <w:tcW w:w="945" w:type="dxa"/>
          </w:tcPr>
          <w:p w:rsidR="00835B36" w:rsidRPr="00835B36" w:rsidRDefault="00835B36" w:rsidP="00835B36">
            <w:pPr>
              <w:cnfStyle w:val="000000000000" w:firstRow="0" w:lastRow="0" w:firstColumn="0" w:lastColumn="0" w:oddVBand="0" w:evenVBand="0" w:oddHBand="0" w:evenHBand="0" w:firstRowFirstColumn="0" w:firstRowLastColumn="0" w:lastRowFirstColumn="0" w:lastRowLastColumn="0"/>
            </w:pPr>
            <w:r w:rsidRPr="00835B36">
              <w:t>23.2</w:t>
            </w:r>
          </w:p>
        </w:tc>
        <w:tc>
          <w:tcPr>
            <w:tcW w:w="945" w:type="dxa"/>
          </w:tcPr>
          <w:p w:rsidR="00835B36" w:rsidRPr="00835B36" w:rsidRDefault="00835B36" w:rsidP="00835B36">
            <w:pPr>
              <w:cnfStyle w:val="000000000000" w:firstRow="0" w:lastRow="0" w:firstColumn="0" w:lastColumn="0" w:oddVBand="0" w:evenVBand="0" w:oddHBand="0" w:evenHBand="0" w:firstRowFirstColumn="0" w:firstRowLastColumn="0" w:lastRowFirstColumn="0" w:lastRowLastColumn="0"/>
            </w:pPr>
            <w:r w:rsidRPr="00835B36">
              <w:t>25.5</w:t>
            </w:r>
          </w:p>
        </w:tc>
        <w:tc>
          <w:tcPr>
            <w:tcW w:w="945" w:type="dxa"/>
          </w:tcPr>
          <w:p w:rsidR="00835B36" w:rsidRPr="00835B36" w:rsidRDefault="00835B36" w:rsidP="00835B36">
            <w:pPr>
              <w:cnfStyle w:val="000000000000" w:firstRow="0" w:lastRow="0" w:firstColumn="0" w:lastColumn="0" w:oddVBand="0" w:evenVBand="0" w:oddHBand="0" w:evenHBand="0" w:firstRowFirstColumn="0" w:firstRowLastColumn="0" w:lastRowFirstColumn="0" w:lastRowLastColumn="0"/>
            </w:pPr>
            <w:r w:rsidRPr="00835B36">
              <w:t>29.5</w:t>
            </w:r>
          </w:p>
        </w:tc>
        <w:tc>
          <w:tcPr>
            <w:tcW w:w="945" w:type="dxa"/>
          </w:tcPr>
          <w:p w:rsidR="00835B36" w:rsidRPr="00835B36" w:rsidRDefault="00835B36" w:rsidP="00835B36">
            <w:pPr>
              <w:cnfStyle w:val="000000000000" w:firstRow="0" w:lastRow="0" w:firstColumn="0" w:lastColumn="0" w:oddVBand="0" w:evenVBand="0" w:oddHBand="0" w:evenHBand="0" w:firstRowFirstColumn="0" w:firstRowLastColumn="0" w:lastRowFirstColumn="0" w:lastRowLastColumn="0"/>
            </w:pPr>
            <w:r w:rsidRPr="00835B36">
              <w:t>33.5</w:t>
            </w:r>
          </w:p>
        </w:tc>
        <w:tc>
          <w:tcPr>
            <w:tcW w:w="945" w:type="dxa"/>
          </w:tcPr>
          <w:p w:rsidR="00835B36" w:rsidRPr="00835B36" w:rsidRDefault="00835B36" w:rsidP="00835B36">
            <w:pPr>
              <w:cnfStyle w:val="000000000000" w:firstRow="0" w:lastRow="0" w:firstColumn="0" w:lastColumn="0" w:oddVBand="0" w:evenVBand="0" w:oddHBand="0" w:evenHBand="0" w:firstRowFirstColumn="0" w:firstRowLastColumn="0" w:lastRowFirstColumn="0" w:lastRowLastColumn="0"/>
            </w:pPr>
            <w:r w:rsidRPr="00835B36">
              <w:t>29.5</w:t>
            </w:r>
          </w:p>
        </w:tc>
        <w:tc>
          <w:tcPr>
            <w:tcW w:w="945" w:type="dxa"/>
          </w:tcPr>
          <w:p w:rsidR="00835B36" w:rsidRPr="00835B36" w:rsidRDefault="00835B36" w:rsidP="00835B36">
            <w:pPr>
              <w:cnfStyle w:val="000000000000" w:firstRow="0" w:lastRow="0" w:firstColumn="0" w:lastColumn="0" w:oddVBand="0" w:evenVBand="0" w:oddHBand="0" w:evenHBand="0" w:firstRowFirstColumn="0" w:firstRowLastColumn="0" w:lastRowFirstColumn="0" w:lastRowLastColumn="0"/>
            </w:pPr>
            <w:r w:rsidRPr="00835B36">
              <w:t>141.2</w:t>
            </w:r>
          </w:p>
        </w:tc>
      </w:tr>
      <w:tr w:rsidR="00835B36" w:rsidRPr="00BF79C4" w:rsidTr="0015497C">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835B36" w:rsidRPr="00835B36" w:rsidRDefault="00835B36" w:rsidP="00835B36">
            <w:r w:rsidRPr="00835B36">
              <w:rPr>
                <w:rStyle w:val="AERtextitalic"/>
              </w:rPr>
              <w:t>Less</w:t>
            </w:r>
            <w:r w:rsidRPr="00835B36">
              <w:t>: value of imputation credits</w:t>
            </w:r>
          </w:p>
        </w:tc>
        <w:tc>
          <w:tcPr>
            <w:tcW w:w="945" w:type="dxa"/>
          </w:tcPr>
          <w:p w:rsidR="00835B36" w:rsidRPr="00835B36" w:rsidRDefault="00835B36" w:rsidP="00835B36">
            <w:pPr>
              <w:cnfStyle w:val="000000010000" w:firstRow="0" w:lastRow="0" w:firstColumn="0" w:lastColumn="0" w:oddVBand="0" w:evenVBand="0" w:oddHBand="0" w:evenHBand="1" w:firstRowFirstColumn="0" w:firstRowLastColumn="0" w:lastRowFirstColumn="0" w:lastRowLastColumn="0"/>
            </w:pPr>
            <w:r w:rsidRPr="00835B36">
              <w:t>5.8</w:t>
            </w:r>
          </w:p>
        </w:tc>
        <w:tc>
          <w:tcPr>
            <w:tcW w:w="945" w:type="dxa"/>
          </w:tcPr>
          <w:p w:rsidR="00835B36" w:rsidRPr="00835B36" w:rsidRDefault="00835B36" w:rsidP="00835B36">
            <w:pPr>
              <w:cnfStyle w:val="000000010000" w:firstRow="0" w:lastRow="0" w:firstColumn="0" w:lastColumn="0" w:oddVBand="0" w:evenVBand="0" w:oddHBand="0" w:evenHBand="1" w:firstRowFirstColumn="0" w:firstRowLastColumn="0" w:lastRowFirstColumn="0" w:lastRowLastColumn="0"/>
            </w:pPr>
            <w:r w:rsidRPr="00835B36">
              <w:t>6.4</w:t>
            </w:r>
          </w:p>
        </w:tc>
        <w:tc>
          <w:tcPr>
            <w:tcW w:w="945" w:type="dxa"/>
          </w:tcPr>
          <w:p w:rsidR="00835B36" w:rsidRPr="00835B36" w:rsidRDefault="00835B36" w:rsidP="00835B36">
            <w:pPr>
              <w:cnfStyle w:val="000000010000" w:firstRow="0" w:lastRow="0" w:firstColumn="0" w:lastColumn="0" w:oddVBand="0" w:evenVBand="0" w:oddHBand="0" w:evenHBand="1" w:firstRowFirstColumn="0" w:firstRowLastColumn="0" w:lastRowFirstColumn="0" w:lastRowLastColumn="0"/>
            </w:pPr>
            <w:r w:rsidRPr="00835B36">
              <w:t>7.4</w:t>
            </w:r>
          </w:p>
        </w:tc>
        <w:tc>
          <w:tcPr>
            <w:tcW w:w="945" w:type="dxa"/>
          </w:tcPr>
          <w:p w:rsidR="00835B36" w:rsidRPr="00835B36" w:rsidRDefault="00835B36" w:rsidP="00835B36">
            <w:pPr>
              <w:cnfStyle w:val="000000010000" w:firstRow="0" w:lastRow="0" w:firstColumn="0" w:lastColumn="0" w:oddVBand="0" w:evenVBand="0" w:oddHBand="0" w:evenHBand="1" w:firstRowFirstColumn="0" w:firstRowLastColumn="0" w:lastRowFirstColumn="0" w:lastRowLastColumn="0"/>
            </w:pPr>
            <w:r w:rsidRPr="00835B36">
              <w:t>8.4</w:t>
            </w:r>
          </w:p>
        </w:tc>
        <w:tc>
          <w:tcPr>
            <w:tcW w:w="945" w:type="dxa"/>
          </w:tcPr>
          <w:p w:rsidR="00835B36" w:rsidRPr="00835B36" w:rsidRDefault="00835B36" w:rsidP="00835B36">
            <w:pPr>
              <w:cnfStyle w:val="000000010000" w:firstRow="0" w:lastRow="0" w:firstColumn="0" w:lastColumn="0" w:oddVBand="0" w:evenVBand="0" w:oddHBand="0" w:evenHBand="1" w:firstRowFirstColumn="0" w:firstRowLastColumn="0" w:lastRowFirstColumn="0" w:lastRowLastColumn="0"/>
            </w:pPr>
            <w:r w:rsidRPr="00835B36">
              <w:t>7.4</w:t>
            </w:r>
          </w:p>
        </w:tc>
        <w:tc>
          <w:tcPr>
            <w:tcW w:w="945" w:type="dxa"/>
          </w:tcPr>
          <w:p w:rsidR="00835B36" w:rsidRPr="00835B36" w:rsidRDefault="00835B36" w:rsidP="00835B36">
            <w:pPr>
              <w:cnfStyle w:val="000000010000" w:firstRow="0" w:lastRow="0" w:firstColumn="0" w:lastColumn="0" w:oddVBand="0" w:evenVBand="0" w:oddHBand="0" w:evenHBand="1" w:firstRowFirstColumn="0" w:firstRowLastColumn="0" w:lastRowFirstColumn="0" w:lastRowLastColumn="0"/>
            </w:pPr>
            <w:r w:rsidRPr="00835B36">
              <w:t>35.3</w:t>
            </w:r>
          </w:p>
        </w:tc>
      </w:tr>
      <w:tr w:rsidR="00835B36" w:rsidRPr="00CA5825" w:rsidTr="0015497C">
        <w:trPr>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835B36" w:rsidRPr="00CA5825" w:rsidRDefault="00835B36" w:rsidP="00835B36">
            <w:pPr>
              <w:rPr>
                <w:rStyle w:val="Strong"/>
              </w:rPr>
            </w:pPr>
            <w:r w:rsidRPr="00CA5825">
              <w:rPr>
                <w:rStyle w:val="Strong"/>
              </w:rPr>
              <w:t>Net cost of corporate tax</w:t>
            </w:r>
          </w:p>
        </w:tc>
        <w:tc>
          <w:tcPr>
            <w:tcW w:w="945" w:type="dxa"/>
          </w:tcPr>
          <w:p w:rsidR="00835B36" w:rsidRPr="00CA5825" w:rsidRDefault="00835B36" w:rsidP="00835B36">
            <w:pPr>
              <w:cnfStyle w:val="000000000000" w:firstRow="0" w:lastRow="0" w:firstColumn="0" w:lastColumn="0" w:oddVBand="0" w:evenVBand="0" w:oddHBand="0" w:evenHBand="0" w:firstRowFirstColumn="0" w:firstRowLastColumn="0" w:lastRowFirstColumn="0" w:lastRowLastColumn="0"/>
              <w:rPr>
                <w:rStyle w:val="Strong"/>
              </w:rPr>
            </w:pPr>
            <w:r w:rsidRPr="00CA5825">
              <w:rPr>
                <w:rStyle w:val="Strong"/>
              </w:rPr>
              <w:t>17.4</w:t>
            </w:r>
          </w:p>
        </w:tc>
        <w:tc>
          <w:tcPr>
            <w:tcW w:w="945" w:type="dxa"/>
          </w:tcPr>
          <w:p w:rsidR="00835B36" w:rsidRPr="00CA5825" w:rsidRDefault="00835B36" w:rsidP="00835B36">
            <w:pPr>
              <w:cnfStyle w:val="000000000000" w:firstRow="0" w:lastRow="0" w:firstColumn="0" w:lastColumn="0" w:oddVBand="0" w:evenVBand="0" w:oddHBand="0" w:evenHBand="0" w:firstRowFirstColumn="0" w:firstRowLastColumn="0" w:lastRowFirstColumn="0" w:lastRowLastColumn="0"/>
              <w:rPr>
                <w:rStyle w:val="Strong"/>
              </w:rPr>
            </w:pPr>
            <w:r w:rsidRPr="00CA5825">
              <w:rPr>
                <w:rStyle w:val="Strong"/>
              </w:rPr>
              <w:t>19.2</w:t>
            </w:r>
          </w:p>
        </w:tc>
        <w:tc>
          <w:tcPr>
            <w:tcW w:w="945" w:type="dxa"/>
          </w:tcPr>
          <w:p w:rsidR="00835B36" w:rsidRPr="00CA5825" w:rsidRDefault="00835B36" w:rsidP="00835B36">
            <w:pPr>
              <w:cnfStyle w:val="000000000000" w:firstRow="0" w:lastRow="0" w:firstColumn="0" w:lastColumn="0" w:oddVBand="0" w:evenVBand="0" w:oddHBand="0" w:evenHBand="0" w:firstRowFirstColumn="0" w:firstRowLastColumn="0" w:lastRowFirstColumn="0" w:lastRowLastColumn="0"/>
              <w:rPr>
                <w:rStyle w:val="Strong"/>
              </w:rPr>
            </w:pPr>
            <w:r w:rsidRPr="00CA5825">
              <w:rPr>
                <w:rStyle w:val="Strong"/>
              </w:rPr>
              <w:t>22.1</w:t>
            </w:r>
          </w:p>
        </w:tc>
        <w:tc>
          <w:tcPr>
            <w:tcW w:w="945" w:type="dxa"/>
          </w:tcPr>
          <w:p w:rsidR="00835B36" w:rsidRPr="00CA5825" w:rsidRDefault="00835B36" w:rsidP="00835B36">
            <w:pPr>
              <w:cnfStyle w:val="000000000000" w:firstRow="0" w:lastRow="0" w:firstColumn="0" w:lastColumn="0" w:oddVBand="0" w:evenVBand="0" w:oddHBand="0" w:evenHBand="0" w:firstRowFirstColumn="0" w:firstRowLastColumn="0" w:lastRowFirstColumn="0" w:lastRowLastColumn="0"/>
              <w:rPr>
                <w:rStyle w:val="Strong"/>
              </w:rPr>
            </w:pPr>
            <w:r w:rsidRPr="00CA5825">
              <w:rPr>
                <w:rStyle w:val="Strong"/>
              </w:rPr>
              <w:t>25.1</w:t>
            </w:r>
          </w:p>
        </w:tc>
        <w:tc>
          <w:tcPr>
            <w:tcW w:w="945" w:type="dxa"/>
          </w:tcPr>
          <w:p w:rsidR="00835B36" w:rsidRPr="00CA5825" w:rsidRDefault="00835B36" w:rsidP="00835B36">
            <w:pPr>
              <w:cnfStyle w:val="000000000000" w:firstRow="0" w:lastRow="0" w:firstColumn="0" w:lastColumn="0" w:oddVBand="0" w:evenVBand="0" w:oddHBand="0" w:evenHBand="0" w:firstRowFirstColumn="0" w:firstRowLastColumn="0" w:lastRowFirstColumn="0" w:lastRowLastColumn="0"/>
              <w:rPr>
                <w:rStyle w:val="Strong"/>
              </w:rPr>
            </w:pPr>
            <w:r w:rsidRPr="00CA5825">
              <w:rPr>
                <w:rStyle w:val="Strong"/>
              </w:rPr>
              <w:t>22.1</w:t>
            </w:r>
          </w:p>
        </w:tc>
        <w:tc>
          <w:tcPr>
            <w:tcW w:w="945" w:type="dxa"/>
          </w:tcPr>
          <w:p w:rsidR="00835B36" w:rsidRPr="00CA5825" w:rsidRDefault="00835B36" w:rsidP="00835B36">
            <w:pPr>
              <w:cnfStyle w:val="000000000000" w:firstRow="0" w:lastRow="0" w:firstColumn="0" w:lastColumn="0" w:oddVBand="0" w:evenVBand="0" w:oddHBand="0" w:evenHBand="0" w:firstRowFirstColumn="0" w:firstRowLastColumn="0" w:lastRowFirstColumn="0" w:lastRowLastColumn="0"/>
              <w:rPr>
                <w:rStyle w:val="Strong"/>
              </w:rPr>
            </w:pPr>
            <w:r w:rsidRPr="00CA5825">
              <w:rPr>
                <w:rStyle w:val="Strong"/>
              </w:rPr>
              <w:t>105.9</w:t>
            </w:r>
          </w:p>
        </w:tc>
      </w:tr>
    </w:tbl>
    <w:p w:rsidR="00A93102" w:rsidRPr="00A93102" w:rsidRDefault="00A93102" w:rsidP="00A93102">
      <w:pPr>
        <w:pStyle w:val="AERtablesource"/>
        <w:rPr>
          <w:rFonts w:eastAsia="Calibri"/>
        </w:rPr>
      </w:pPr>
      <w:r w:rsidRPr="00A93102">
        <w:rPr>
          <w:rFonts w:eastAsia="Calibri"/>
        </w:rPr>
        <w:t xml:space="preserve">Source: </w:t>
      </w:r>
      <w:r w:rsidRPr="00A93102">
        <w:rPr>
          <w:rFonts w:eastAsia="Calibri"/>
        </w:rPr>
        <w:tab/>
      </w:r>
      <w:r w:rsidRPr="000F2AA1">
        <w:t xml:space="preserve">JGN, </w:t>
      </w:r>
      <w:r>
        <w:rPr>
          <w:rStyle w:val="AERtextitalic"/>
        </w:rPr>
        <w:t>Revised a</w:t>
      </w:r>
      <w:r w:rsidRPr="000F2AA1">
        <w:rPr>
          <w:rStyle w:val="AERtextitalic"/>
        </w:rPr>
        <w:t xml:space="preserve">ccess arrangement </w:t>
      </w:r>
      <w:r>
        <w:rPr>
          <w:rStyle w:val="AERtextitalic"/>
        </w:rPr>
        <w:t>proposal, Appendix 10.1, Revenue model - updated</w:t>
      </w:r>
      <w:r w:rsidRPr="000F2AA1">
        <w:t>,</w:t>
      </w:r>
      <w:r>
        <w:t xml:space="preserve"> February </w:t>
      </w:r>
      <w:r w:rsidRPr="000F2AA1">
        <w:t>201</w:t>
      </w:r>
      <w:r>
        <w:t>5</w:t>
      </w:r>
      <w:r w:rsidRPr="000F2AA1">
        <w:t>.</w:t>
      </w:r>
      <w:r w:rsidRPr="00A93102">
        <w:rPr>
          <w:rFonts w:eastAsia="Calibri"/>
        </w:rPr>
        <w:t xml:space="preserve"> </w:t>
      </w:r>
      <w:r w:rsidR="00A17AF8" w:rsidRPr="00A17AF8">
        <w:t xml:space="preserve">JGN, </w:t>
      </w:r>
      <w:r w:rsidR="00A17AF8" w:rsidRPr="00671057">
        <w:rPr>
          <w:rStyle w:val="AERtextitalic"/>
        </w:rPr>
        <w:t>Submissions on draft decision, Attachment</w:t>
      </w:r>
      <w:r w:rsidR="00A17AF8" w:rsidRPr="00A17AF8">
        <w:rPr>
          <w:rStyle w:val="AERtextitalic"/>
        </w:rPr>
        <w:t xml:space="preserve"> N - updated appendix 10.1 - JGN revenue forecast model</w:t>
      </w:r>
      <w:r w:rsidR="00A17AF8" w:rsidRPr="00A17AF8">
        <w:t>, 27 March 2015.</w:t>
      </w:r>
    </w:p>
    <w:p w:rsidR="00DE563D" w:rsidRPr="00AF1F9E" w:rsidRDefault="00DE563D" w:rsidP="00AF1F9E">
      <w:pPr>
        <w:pStyle w:val="Heading2"/>
      </w:pPr>
      <w:bookmarkStart w:id="20" w:name="_Toc419393582"/>
      <w:r w:rsidRPr="00AF1F9E">
        <w:t>AER’s assessment approach</w:t>
      </w:r>
      <w:bookmarkEnd w:id="16"/>
      <w:bookmarkEnd w:id="20"/>
    </w:p>
    <w:p w:rsidR="00300490" w:rsidRPr="00300490" w:rsidRDefault="00300490" w:rsidP="00300490">
      <w:r w:rsidRPr="00300490">
        <w:t xml:space="preserve">We </w:t>
      </w:r>
      <w:r w:rsidR="001C2A4E">
        <w:t>have</w:t>
      </w:r>
      <w:r w:rsidRPr="00300490">
        <w:t xml:space="preserve"> not change</w:t>
      </w:r>
      <w:r w:rsidR="001C2A4E">
        <w:t>d</w:t>
      </w:r>
      <w:r w:rsidRPr="00300490">
        <w:t xml:space="preserve"> our assessment approach for the </w:t>
      </w:r>
      <w:r>
        <w:t>corporate income tax</w:t>
      </w:r>
      <w:r w:rsidRPr="00300490">
        <w:t xml:space="preserve"> from our draft decision. Section </w:t>
      </w:r>
      <w:r w:rsidR="0067607A">
        <w:t>8</w:t>
      </w:r>
      <w:r w:rsidRPr="00300490">
        <w:t>.3 of our draft decision details that approach.</w:t>
      </w:r>
      <w:r w:rsidRPr="00300490">
        <w:rPr>
          <w:rStyle w:val="FootnoteReference"/>
        </w:rPr>
        <w:footnoteReference w:id="11"/>
      </w:r>
    </w:p>
    <w:p w:rsidR="00DE563D" w:rsidRDefault="00DE563D" w:rsidP="00AF1F9E">
      <w:pPr>
        <w:pStyle w:val="Heading2"/>
      </w:pPr>
      <w:bookmarkStart w:id="21" w:name="_Toc403144140"/>
      <w:bookmarkStart w:id="22" w:name="_Toc419393583"/>
      <w:r w:rsidRPr="00AF1F9E">
        <w:t xml:space="preserve">Reasons for </w:t>
      </w:r>
      <w:r w:rsidR="00AF1F9E">
        <w:t>final</w:t>
      </w:r>
      <w:r w:rsidRPr="00AF1F9E">
        <w:t xml:space="preserve"> decision</w:t>
      </w:r>
      <w:bookmarkEnd w:id="21"/>
      <w:bookmarkEnd w:id="22"/>
      <w:r w:rsidRPr="00AF1F9E">
        <w:t xml:space="preserve"> </w:t>
      </w:r>
    </w:p>
    <w:p w:rsidR="0067607A" w:rsidRPr="0067607A" w:rsidRDefault="0067607A" w:rsidP="004C6B3E">
      <w:r w:rsidRPr="0067607A">
        <w:t xml:space="preserve">Our </w:t>
      </w:r>
      <w:r>
        <w:t>final</w:t>
      </w:r>
      <w:r w:rsidRPr="0067607A">
        <w:rPr>
          <w:rStyle w:val="AERbody"/>
        </w:rPr>
        <w:t xml:space="preserve"> decision on JGN’s corporate income tax allowance is </w:t>
      </w:r>
      <w:r w:rsidRPr="004C6B3E">
        <w:t>$</w:t>
      </w:r>
      <w:r w:rsidR="009D49F2">
        <w:t>4</w:t>
      </w:r>
      <w:r w:rsidR="00EF5E7C">
        <w:t>2</w:t>
      </w:r>
      <w:r w:rsidR="009D49F2">
        <w:t>.</w:t>
      </w:r>
      <w:r w:rsidR="00EF5E7C">
        <w:t>4</w:t>
      </w:r>
      <w:r w:rsidR="009D49F2">
        <w:t> </w:t>
      </w:r>
      <w:r w:rsidRPr="004C6B3E">
        <w:t>million ($nominal), which is a reduction of $</w:t>
      </w:r>
      <w:r w:rsidR="009D49F2">
        <w:t>6</w:t>
      </w:r>
      <w:r w:rsidR="00EF5E7C">
        <w:t>3</w:t>
      </w:r>
      <w:r w:rsidR="009D49F2">
        <w:t>.</w:t>
      </w:r>
      <w:r w:rsidR="00EF5E7C">
        <w:t>5</w:t>
      </w:r>
      <w:r w:rsidR="009D49F2">
        <w:t> </w:t>
      </w:r>
      <w:r w:rsidRPr="004C6B3E">
        <w:t xml:space="preserve">million ($nominal) or </w:t>
      </w:r>
      <w:r w:rsidR="009D49F2">
        <w:t>60 </w:t>
      </w:r>
      <w:r w:rsidRPr="004C6B3E">
        <w:t>per cent of JGN's</w:t>
      </w:r>
      <w:r w:rsidRPr="0067607A">
        <w:t xml:space="preserve"> </w:t>
      </w:r>
      <w:r>
        <w:t xml:space="preserve">revised </w:t>
      </w:r>
      <w:r w:rsidRPr="0067607A">
        <w:t>proposal.</w:t>
      </w:r>
    </w:p>
    <w:p w:rsidR="0067607A" w:rsidRPr="0067607A" w:rsidRDefault="00DD2080" w:rsidP="0067607A">
      <w:pPr>
        <w:numPr>
          <w:ilvl w:val="0"/>
          <w:numId w:val="25"/>
        </w:numPr>
      </w:pPr>
      <w:r>
        <w:t>Consistent with our draft decision, w</w:t>
      </w:r>
      <w:r w:rsidR="0067607A">
        <w:t xml:space="preserve">e accept </w:t>
      </w:r>
      <w:r w:rsidR="00A34E44">
        <w:t xml:space="preserve">the method used by </w:t>
      </w:r>
      <w:r w:rsidR="0067607A">
        <w:t xml:space="preserve">JGN </w:t>
      </w:r>
      <w:r w:rsidR="00A34E44">
        <w:t xml:space="preserve">to </w:t>
      </w:r>
      <w:r w:rsidR="0067607A" w:rsidRPr="0067607A">
        <w:t>calculat</w:t>
      </w:r>
      <w:r w:rsidR="00A34E44">
        <w:t>e</w:t>
      </w:r>
      <w:r w:rsidR="0067607A" w:rsidRPr="0067607A">
        <w:t xml:space="preserve"> the </w:t>
      </w:r>
      <w:r w:rsidR="00A34E44">
        <w:t>revised propos</w:t>
      </w:r>
      <w:r w:rsidR="00F063CA">
        <w:t>ed</w:t>
      </w:r>
      <w:r w:rsidR="00A34E44">
        <w:t xml:space="preserve"> </w:t>
      </w:r>
      <w:r w:rsidR="0067607A" w:rsidRPr="0067607A">
        <w:t xml:space="preserve">corporate income tax allowance, including the </w:t>
      </w:r>
      <w:r w:rsidR="0067607A">
        <w:t xml:space="preserve">updated </w:t>
      </w:r>
      <w:r w:rsidR="0067607A" w:rsidRPr="0067607A">
        <w:t>opening TAB as at 1 July 2015.</w:t>
      </w:r>
      <w:r w:rsidR="00A34E44">
        <w:t xml:space="preserve"> </w:t>
      </w:r>
      <w:r w:rsidR="0067607A" w:rsidRPr="0067607A">
        <w:t>However, we adjusted several inputs proposed by JGN for calculating the</w:t>
      </w:r>
      <w:r w:rsidR="001870F4">
        <w:t xml:space="preserve"> corporate income tax allowance for the 2015–20 access arrangement period.</w:t>
      </w:r>
      <w:r w:rsidR="0067607A" w:rsidRPr="0067607A">
        <w:t xml:space="preserve"> These relate to:</w:t>
      </w:r>
    </w:p>
    <w:p w:rsidR="0067607A" w:rsidRPr="00A34E44" w:rsidRDefault="0067607A" w:rsidP="0067607A">
      <w:pPr>
        <w:pStyle w:val="AERbulletlistfirststyle"/>
        <w:rPr>
          <w:rStyle w:val="AERbody"/>
          <w:shd w:val="clear" w:color="auto" w:fill="FFFF00"/>
        </w:rPr>
      </w:pPr>
      <w:r w:rsidRPr="0067607A">
        <w:t xml:space="preserve">changing the value of </w:t>
      </w:r>
      <w:r w:rsidRPr="0067607A">
        <w:rPr>
          <w:rStyle w:val="AERbody"/>
        </w:rPr>
        <w:t>gamma to 0.4 from 0.25 (attachment 4)</w:t>
      </w:r>
    </w:p>
    <w:p w:rsidR="0067607A" w:rsidRDefault="0067607A" w:rsidP="0067607A">
      <w:pPr>
        <w:pStyle w:val="AERbulletlistfirststyle"/>
      </w:pPr>
      <w:r w:rsidRPr="0067607A">
        <w:t xml:space="preserve">changes </w:t>
      </w:r>
      <w:r w:rsidRPr="0067607A">
        <w:rPr>
          <w:rStyle w:val="AERbody"/>
        </w:rPr>
        <w:t xml:space="preserve">to other building block components including </w:t>
      </w:r>
      <w:r w:rsidR="009D678C">
        <w:rPr>
          <w:rStyle w:val="AERbody"/>
        </w:rPr>
        <w:t>the</w:t>
      </w:r>
      <w:r w:rsidRPr="0067607A">
        <w:rPr>
          <w:rStyle w:val="AERbody"/>
        </w:rPr>
        <w:t xml:space="preserve"> rate of return on capital (attachment 3)</w:t>
      </w:r>
      <w:r w:rsidR="00AD5A46">
        <w:rPr>
          <w:rStyle w:val="AERbody"/>
        </w:rPr>
        <w:t>,</w:t>
      </w:r>
      <w:r w:rsidRPr="0067607A">
        <w:rPr>
          <w:rStyle w:val="AERbody"/>
        </w:rPr>
        <w:t xml:space="preserve"> forecast capex (attachment 6) </w:t>
      </w:r>
      <w:r w:rsidR="00AD5A46">
        <w:rPr>
          <w:rStyle w:val="AERbody"/>
        </w:rPr>
        <w:t xml:space="preserve">and opex (attachment 7) </w:t>
      </w:r>
      <w:r w:rsidRPr="0067607A">
        <w:rPr>
          <w:rStyle w:val="AERbody"/>
        </w:rPr>
        <w:t>that</w:t>
      </w:r>
      <w:r w:rsidRPr="0067607A">
        <w:t xml:space="preserve"> impact total revenues, and therefore also impact the forecast corporate income tax allowance.</w:t>
      </w:r>
      <w:r w:rsidRPr="0067607A">
        <w:rPr>
          <w:rStyle w:val="FootnoteReference"/>
        </w:rPr>
        <w:footnoteReference w:id="12"/>
      </w:r>
    </w:p>
    <w:p w:rsidR="0015497C" w:rsidRPr="0067607A" w:rsidRDefault="0015497C" w:rsidP="0015497C"/>
    <w:p w:rsidR="0067607A" w:rsidRDefault="0067607A" w:rsidP="0067607A">
      <w:pPr>
        <w:pStyle w:val="Heading3"/>
      </w:pPr>
      <w:bookmarkStart w:id="23" w:name="_Toc403463358"/>
      <w:bookmarkStart w:id="24" w:name="_Toc404182766"/>
      <w:bookmarkStart w:id="25" w:name="_Toc419393584"/>
      <w:r w:rsidRPr="0067607A">
        <w:lastRenderedPageBreak/>
        <w:t>Opening tax asset base as at 1 July 2015</w:t>
      </w:r>
      <w:bookmarkEnd w:id="23"/>
      <w:bookmarkEnd w:id="24"/>
      <w:bookmarkEnd w:id="25"/>
    </w:p>
    <w:p w:rsidR="00F01204" w:rsidRDefault="009D678C" w:rsidP="00F01204">
      <w:r w:rsidRPr="00170D44">
        <w:t xml:space="preserve">We accept </w:t>
      </w:r>
      <w:r>
        <w:t>JGN'</w:t>
      </w:r>
      <w:r w:rsidRPr="00170D44">
        <w:t xml:space="preserve">s </w:t>
      </w:r>
      <w:r>
        <w:t xml:space="preserve">revised </w:t>
      </w:r>
      <w:r w:rsidRPr="00170D44">
        <w:t>propos</w:t>
      </w:r>
      <w:r>
        <w:t xml:space="preserve">ed </w:t>
      </w:r>
      <w:r w:rsidRPr="00170D44">
        <w:t>opening TAB</w:t>
      </w:r>
      <w:r>
        <w:t xml:space="preserve"> value</w:t>
      </w:r>
      <w:r w:rsidRPr="00170D44">
        <w:t xml:space="preserve"> of $</w:t>
      </w:r>
      <w:r w:rsidR="0076038A">
        <w:t>982.3 </w:t>
      </w:r>
      <w:r w:rsidRPr="00170D44">
        <w:t xml:space="preserve">million </w:t>
      </w:r>
      <w:r>
        <w:t xml:space="preserve">($nominal) </w:t>
      </w:r>
      <w:r w:rsidRPr="00170D44">
        <w:t>as at 1 July 201</w:t>
      </w:r>
      <w:r>
        <w:t xml:space="preserve">5. </w:t>
      </w:r>
    </w:p>
    <w:p w:rsidR="00FD1F59" w:rsidRDefault="00A169DF" w:rsidP="00A169DF">
      <w:r>
        <w:t xml:space="preserve">In the draft decision, </w:t>
      </w:r>
      <w:r w:rsidR="00EE3A63" w:rsidRPr="00EE3A63">
        <w:t xml:space="preserve">we </w:t>
      </w:r>
      <w:r w:rsidR="00A00DE7">
        <w:t>accept</w:t>
      </w:r>
      <w:r w:rsidR="009D678C">
        <w:t>ed</w:t>
      </w:r>
      <w:r w:rsidR="00A00DE7">
        <w:t xml:space="preserve"> </w:t>
      </w:r>
      <w:r w:rsidR="00943A7C">
        <w:t xml:space="preserve">JGN's proposed </w:t>
      </w:r>
      <w:r w:rsidR="00A00DE7">
        <w:t xml:space="preserve">inputs such as capex, disposals </w:t>
      </w:r>
      <w:r w:rsidR="00936EC7">
        <w:t xml:space="preserve">and </w:t>
      </w:r>
      <w:r>
        <w:t>tax deprec</w:t>
      </w:r>
      <w:r w:rsidR="00FD1F59">
        <w:t>i</w:t>
      </w:r>
      <w:r>
        <w:t>ation</w:t>
      </w:r>
      <w:r w:rsidR="00FD1F59">
        <w:t xml:space="preserve"> rates</w:t>
      </w:r>
      <w:r w:rsidR="005D4CD4">
        <w:t xml:space="preserve"> </w:t>
      </w:r>
      <w:r>
        <w:t>over the 2010–15 access arrangement</w:t>
      </w:r>
      <w:r w:rsidR="00A00DE7">
        <w:t xml:space="preserve"> </w:t>
      </w:r>
      <w:r w:rsidR="00936EC7" w:rsidRPr="00936EC7">
        <w:t xml:space="preserve">used </w:t>
      </w:r>
      <w:r w:rsidR="00936EC7">
        <w:t xml:space="preserve">by JGN </w:t>
      </w:r>
      <w:r w:rsidR="00936EC7" w:rsidRPr="00936EC7">
        <w:t xml:space="preserve">to calculate </w:t>
      </w:r>
      <w:r w:rsidR="009D678C">
        <w:t>its</w:t>
      </w:r>
      <w:r w:rsidR="00936EC7" w:rsidRPr="00936EC7">
        <w:t xml:space="preserve"> opening TAB at 1 July</w:t>
      </w:r>
      <w:r w:rsidR="009D678C">
        <w:t xml:space="preserve"> 2015</w:t>
      </w:r>
      <w:r w:rsidR="00A00DE7">
        <w:t>. We note</w:t>
      </w:r>
      <w:r w:rsidR="00FD1F59">
        <w:t>d</w:t>
      </w:r>
      <w:r w:rsidR="00A00DE7">
        <w:t xml:space="preserve"> the</w:t>
      </w:r>
      <w:r w:rsidR="00FD1F59">
        <w:t xml:space="preserve"> capex</w:t>
      </w:r>
      <w:r w:rsidR="00936EC7">
        <w:t xml:space="preserve"> inputs </w:t>
      </w:r>
      <w:r w:rsidR="00FD1F59">
        <w:t xml:space="preserve">for 2013–14 and 2014–15 </w:t>
      </w:r>
      <w:r w:rsidR="00943A7C">
        <w:t>w</w:t>
      </w:r>
      <w:r w:rsidR="00936EC7">
        <w:t xml:space="preserve">ould be updated in the revised proposal </w:t>
      </w:r>
      <w:r w:rsidR="00F01204">
        <w:t>using</w:t>
      </w:r>
      <w:r w:rsidR="00936EC7">
        <w:t xml:space="preserve"> latest </w:t>
      </w:r>
      <w:r w:rsidR="00FD1F59">
        <w:t>actual/</w:t>
      </w:r>
      <w:r w:rsidR="00936EC7">
        <w:t xml:space="preserve">available data. </w:t>
      </w:r>
    </w:p>
    <w:p w:rsidR="00EE3A63" w:rsidRDefault="00936EC7" w:rsidP="00A169DF">
      <w:r>
        <w:t>JGN</w:t>
      </w:r>
      <w:r w:rsidR="00F01204">
        <w:t xml:space="preserve">'s revised proposal </w:t>
      </w:r>
      <w:r>
        <w:t xml:space="preserve">updated </w:t>
      </w:r>
      <w:r w:rsidR="00F01204">
        <w:t xml:space="preserve">the values for </w:t>
      </w:r>
      <w:r>
        <w:t>these inputs.</w:t>
      </w:r>
      <w:r w:rsidR="00F01204">
        <w:rPr>
          <w:rStyle w:val="FootnoteReference"/>
        </w:rPr>
        <w:footnoteReference w:id="13"/>
      </w:r>
      <w:r>
        <w:t xml:space="preserve"> </w:t>
      </w:r>
    </w:p>
    <w:p w:rsidR="009854C0" w:rsidRPr="0067607A" w:rsidRDefault="00A00DE7" w:rsidP="00DA288E">
      <w:pPr>
        <w:numPr>
          <w:ilvl w:val="0"/>
          <w:numId w:val="25"/>
        </w:numPr>
      </w:pPr>
      <w:r w:rsidRPr="00A00DE7">
        <w:t xml:space="preserve">We assessed the updated inputs </w:t>
      </w:r>
      <w:r>
        <w:t>including</w:t>
      </w:r>
      <w:r w:rsidRPr="00A00DE7">
        <w:t xml:space="preserve"> actual </w:t>
      </w:r>
      <w:r w:rsidR="00FD1F59">
        <w:t xml:space="preserve">conforming </w:t>
      </w:r>
      <w:r w:rsidRPr="00A00DE7">
        <w:t xml:space="preserve">capex </w:t>
      </w:r>
      <w:r w:rsidR="00943A7C">
        <w:t xml:space="preserve">for 2013–14 </w:t>
      </w:r>
      <w:r w:rsidRPr="00A00DE7">
        <w:t>and</w:t>
      </w:r>
      <w:r w:rsidR="00FD1F59">
        <w:t xml:space="preserve"> </w:t>
      </w:r>
      <w:r w:rsidR="00943A7C">
        <w:t xml:space="preserve">the resulting </w:t>
      </w:r>
      <w:r w:rsidR="00FD1F59">
        <w:t>tax</w:t>
      </w:r>
      <w:r w:rsidRPr="00A00DE7">
        <w:t xml:space="preserve"> depreciation for </w:t>
      </w:r>
      <w:r w:rsidR="00943A7C">
        <w:t>that year</w:t>
      </w:r>
      <w:r w:rsidRPr="00A00DE7">
        <w:t xml:space="preserve">, and </w:t>
      </w:r>
      <w:r w:rsidR="00943A7C">
        <w:t xml:space="preserve">the </w:t>
      </w:r>
      <w:r w:rsidR="00FD1F59">
        <w:t xml:space="preserve">revised </w:t>
      </w:r>
      <w:r w:rsidRPr="00A00DE7">
        <w:t xml:space="preserve">forecast data for 2014–15. </w:t>
      </w:r>
      <w:r w:rsidR="00F01204">
        <w:t>W</w:t>
      </w:r>
      <w:r w:rsidRPr="00A00DE7">
        <w:t>e are satisfied the</w:t>
      </w:r>
      <w:r w:rsidR="00943A7C">
        <w:t xml:space="preserve"> updated</w:t>
      </w:r>
      <w:r w:rsidRPr="00A00DE7">
        <w:t xml:space="preserve"> capex over the 2010–15 access arrangement period reflects the requirements of rule 79 of the NGR. Our detailed assessment of this conforming capex is set </w:t>
      </w:r>
      <w:r w:rsidRPr="001C527B">
        <w:t>out in attachment 6.</w:t>
      </w:r>
      <w:r w:rsidRPr="00A00DE7">
        <w:t xml:space="preserve"> </w:t>
      </w:r>
      <w:r w:rsidR="0067607A" w:rsidRPr="0067607A">
        <w:fldChar w:fldCharType="begin"/>
      </w:r>
      <w:r w:rsidR="0067607A" w:rsidRPr="0067607A">
        <w:instrText xml:space="preserve"> REF _Ref398907505 \h </w:instrText>
      </w:r>
      <w:r w:rsidR="0067607A" w:rsidRPr="0067607A">
        <w:fldChar w:fldCharType="separate"/>
      </w:r>
    </w:p>
    <w:p w:rsidR="0067607A" w:rsidRPr="0067607A" w:rsidRDefault="009854C0" w:rsidP="00DA288E">
      <w:pPr>
        <w:numPr>
          <w:ilvl w:val="0"/>
          <w:numId w:val="25"/>
        </w:numPr>
      </w:pPr>
      <w:r w:rsidRPr="0067607A">
        <w:t xml:space="preserve">Table </w:t>
      </w:r>
      <w:r>
        <w:rPr>
          <w:noProof/>
        </w:rPr>
        <w:t>8</w:t>
      </w:r>
      <w:r w:rsidRPr="0067607A">
        <w:noBreakHyphen/>
      </w:r>
      <w:r>
        <w:rPr>
          <w:noProof/>
        </w:rPr>
        <w:t>4</w:t>
      </w:r>
      <w:r w:rsidR="0067607A" w:rsidRPr="0067607A">
        <w:fldChar w:fldCharType="end"/>
      </w:r>
      <w:r w:rsidR="0067607A" w:rsidRPr="0067607A">
        <w:t xml:space="preserve"> sets out our</w:t>
      </w:r>
      <w:r w:rsidR="00DC3137">
        <w:t xml:space="preserve"> final</w:t>
      </w:r>
      <w:r w:rsidR="0067607A" w:rsidRPr="0067607A">
        <w:t xml:space="preserve"> decision on the roll forward of JGN's TAB values</w:t>
      </w:r>
      <w:r w:rsidR="009D678C">
        <w:t xml:space="preserve"> for the 2010–15 access arrangement period</w:t>
      </w:r>
      <w:r w:rsidR="0067607A" w:rsidRPr="0067607A">
        <w:t xml:space="preserve">. </w:t>
      </w:r>
      <w:bookmarkStart w:id="26" w:name="_Ref398907505"/>
    </w:p>
    <w:p w:rsidR="0067607A" w:rsidRPr="0067607A" w:rsidRDefault="0067607A" w:rsidP="0067607A">
      <w:pPr>
        <w:pStyle w:val="Caption"/>
      </w:pPr>
      <w:r w:rsidRPr="0067607A">
        <w:t xml:space="preserve">Table </w:t>
      </w:r>
      <w:fldSimple w:instr=" STYLEREF 1 \s ">
        <w:r w:rsidR="009854C0">
          <w:rPr>
            <w:noProof/>
          </w:rPr>
          <w:t>8</w:t>
        </w:r>
      </w:fldSimple>
      <w:r w:rsidRPr="0067607A">
        <w:noBreakHyphen/>
      </w:r>
      <w:fldSimple w:instr=" SEQ Table \* ARABIC \s 1 ">
        <w:r w:rsidR="009854C0">
          <w:rPr>
            <w:noProof/>
          </w:rPr>
          <w:t>4</w:t>
        </w:r>
      </w:fldSimple>
      <w:bookmarkEnd w:id="26"/>
      <w:r w:rsidRPr="0067607A">
        <w:tab/>
        <w:t xml:space="preserve">AER's </w:t>
      </w:r>
      <w:r w:rsidR="00DC3137">
        <w:t>final</w:t>
      </w:r>
      <w:r w:rsidRPr="0067607A">
        <w:t xml:space="preserve"> decision on JGN's tax asset base roll forward for the 2010–15 access arrangement period ($million, nominal)</w:t>
      </w:r>
    </w:p>
    <w:tbl>
      <w:tblPr>
        <w:tblStyle w:val="AERtable-numbers"/>
        <w:tblW w:w="8613" w:type="dxa"/>
        <w:tblLook w:val="04A0" w:firstRow="1" w:lastRow="0" w:firstColumn="1" w:lastColumn="0" w:noHBand="0" w:noVBand="1"/>
      </w:tblPr>
      <w:tblGrid>
        <w:gridCol w:w="2566"/>
        <w:gridCol w:w="1209"/>
        <w:gridCol w:w="1209"/>
        <w:gridCol w:w="1210"/>
        <w:gridCol w:w="1209"/>
        <w:gridCol w:w="1210"/>
      </w:tblGrid>
      <w:tr w:rsidR="0067607A" w:rsidRPr="0035646D" w:rsidTr="0015497C">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66" w:type="dxa"/>
            <w:hideMark/>
          </w:tcPr>
          <w:p w:rsidR="0067607A" w:rsidRPr="0067607A" w:rsidRDefault="0067607A" w:rsidP="005326B6">
            <w:r w:rsidRPr="0067607A">
              <w:t>Details</w:t>
            </w:r>
          </w:p>
        </w:tc>
        <w:tc>
          <w:tcPr>
            <w:tcW w:w="1209" w:type="dxa"/>
            <w:hideMark/>
          </w:tcPr>
          <w:p w:rsidR="0067607A" w:rsidRPr="0067607A" w:rsidRDefault="0067607A" w:rsidP="005326B6">
            <w:pPr>
              <w:cnfStyle w:val="100000000000" w:firstRow="1" w:lastRow="0" w:firstColumn="0" w:lastColumn="0" w:oddVBand="0" w:evenVBand="0" w:oddHBand="0" w:evenHBand="0" w:firstRowFirstColumn="0" w:firstRowLastColumn="0" w:lastRowFirstColumn="0" w:lastRowLastColumn="0"/>
            </w:pPr>
            <w:r w:rsidRPr="0067607A">
              <w:t>2010</w:t>
            </w:r>
            <w:r w:rsidR="009D678C">
              <w:t>–</w:t>
            </w:r>
            <w:r w:rsidRPr="0067607A">
              <w:t>11</w:t>
            </w:r>
          </w:p>
        </w:tc>
        <w:tc>
          <w:tcPr>
            <w:tcW w:w="1209" w:type="dxa"/>
            <w:hideMark/>
          </w:tcPr>
          <w:p w:rsidR="0067607A" w:rsidRPr="0067607A" w:rsidRDefault="0067607A" w:rsidP="005326B6">
            <w:pPr>
              <w:cnfStyle w:val="100000000000" w:firstRow="1" w:lastRow="0" w:firstColumn="0" w:lastColumn="0" w:oddVBand="0" w:evenVBand="0" w:oddHBand="0" w:evenHBand="0" w:firstRowFirstColumn="0" w:firstRowLastColumn="0" w:lastRowFirstColumn="0" w:lastRowLastColumn="0"/>
            </w:pPr>
            <w:r w:rsidRPr="0067607A">
              <w:t>2011</w:t>
            </w:r>
            <w:r w:rsidR="009D678C">
              <w:t>–</w:t>
            </w:r>
            <w:r w:rsidRPr="0067607A">
              <w:t>12</w:t>
            </w:r>
          </w:p>
        </w:tc>
        <w:tc>
          <w:tcPr>
            <w:tcW w:w="1210" w:type="dxa"/>
            <w:hideMark/>
          </w:tcPr>
          <w:p w:rsidR="0067607A" w:rsidRPr="0067607A" w:rsidRDefault="0067607A" w:rsidP="005326B6">
            <w:pPr>
              <w:cnfStyle w:val="100000000000" w:firstRow="1" w:lastRow="0" w:firstColumn="0" w:lastColumn="0" w:oddVBand="0" w:evenVBand="0" w:oddHBand="0" w:evenHBand="0" w:firstRowFirstColumn="0" w:firstRowLastColumn="0" w:lastRowFirstColumn="0" w:lastRowLastColumn="0"/>
            </w:pPr>
            <w:r w:rsidRPr="0067607A">
              <w:t>2012</w:t>
            </w:r>
            <w:r w:rsidR="009D678C">
              <w:t>–</w:t>
            </w:r>
            <w:r w:rsidRPr="0067607A">
              <w:t>13</w:t>
            </w:r>
          </w:p>
        </w:tc>
        <w:tc>
          <w:tcPr>
            <w:tcW w:w="1209" w:type="dxa"/>
            <w:hideMark/>
          </w:tcPr>
          <w:p w:rsidR="0067607A" w:rsidRPr="0067607A" w:rsidRDefault="0067607A" w:rsidP="005326B6">
            <w:pPr>
              <w:cnfStyle w:val="100000000000" w:firstRow="1" w:lastRow="0" w:firstColumn="0" w:lastColumn="0" w:oddVBand="0" w:evenVBand="0" w:oddHBand="0" w:evenHBand="0" w:firstRowFirstColumn="0" w:firstRowLastColumn="0" w:lastRowFirstColumn="0" w:lastRowLastColumn="0"/>
            </w:pPr>
            <w:r w:rsidRPr="0067607A">
              <w:t>2013</w:t>
            </w:r>
            <w:r w:rsidR="009D678C">
              <w:t>–</w:t>
            </w:r>
            <w:r w:rsidRPr="0067607A">
              <w:t>14</w:t>
            </w:r>
          </w:p>
        </w:tc>
        <w:tc>
          <w:tcPr>
            <w:tcW w:w="1210" w:type="dxa"/>
            <w:hideMark/>
          </w:tcPr>
          <w:p w:rsidR="0067607A" w:rsidRPr="0067607A" w:rsidRDefault="0067607A" w:rsidP="00A21F1F">
            <w:pPr>
              <w:cnfStyle w:val="100000000000" w:firstRow="1" w:lastRow="0" w:firstColumn="0" w:lastColumn="0" w:oddVBand="0" w:evenVBand="0" w:oddHBand="0" w:evenHBand="0" w:firstRowFirstColumn="0" w:firstRowLastColumn="0" w:lastRowFirstColumn="0" w:lastRowLastColumn="0"/>
            </w:pPr>
            <w:r w:rsidRPr="0067607A">
              <w:t>2014</w:t>
            </w:r>
            <w:r w:rsidR="00A21F1F">
              <w:t>–</w:t>
            </w:r>
            <w:r w:rsidRPr="0067607A">
              <w:t>15</w:t>
            </w:r>
          </w:p>
        </w:tc>
      </w:tr>
      <w:tr w:rsidR="00A17AF8" w:rsidRPr="00DC3137" w:rsidTr="0015497C">
        <w:trPr>
          <w:trHeight w:val="240"/>
        </w:trPr>
        <w:tc>
          <w:tcPr>
            <w:cnfStyle w:val="001000000000" w:firstRow="0" w:lastRow="0" w:firstColumn="1" w:lastColumn="0" w:oddVBand="0" w:evenVBand="0" w:oddHBand="0" w:evenHBand="0" w:firstRowFirstColumn="0" w:firstRowLastColumn="0" w:lastRowFirstColumn="0" w:lastRowLastColumn="0"/>
            <w:tcW w:w="2566" w:type="dxa"/>
            <w:hideMark/>
          </w:tcPr>
          <w:p w:rsidR="00A17AF8" w:rsidRPr="00A17AF8" w:rsidRDefault="00A17AF8" w:rsidP="00A17AF8">
            <w:r w:rsidRPr="00A17AF8">
              <w:t>Opening tax asset base</w:t>
            </w:r>
          </w:p>
        </w:tc>
        <w:tc>
          <w:tcPr>
            <w:tcW w:w="1209" w:type="dxa"/>
          </w:tcPr>
          <w:p w:rsidR="00A17AF8" w:rsidRPr="00A17AF8" w:rsidRDefault="00A17AF8" w:rsidP="00A17AF8">
            <w:pPr>
              <w:cnfStyle w:val="000000000000" w:firstRow="0" w:lastRow="0" w:firstColumn="0" w:lastColumn="0" w:oddVBand="0" w:evenVBand="0" w:oddHBand="0" w:evenHBand="0" w:firstRowFirstColumn="0" w:firstRowLastColumn="0" w:lastRowFirstColumn="0" w:lastRowLastColumn="0"/>
            </w:pPr>
            <w:r w:rsidRPr="00A17AF8">
              <w:t>600.1</w:t>
            </w:r>
          </w:p>
        </w:tc>
        <w:tc>
          <w:tcPr>
            <w:tcW w:w="1209" w:type="dxa"/>
          </w:tcPr>
          <w:p w:rsidR="00A17AF8" w:rsidRPr="00A17AF8" w:rsidRDefault="00A17AF8" w:rsidP="00A17AF8">
            <w:pPr>
              <w:cnfStyle w:val="000000000000" w:firstRow="0" w:lastRow="0" w:firstColumn="0" w:lastColumn="0" w:oddVBand="0" w:evenVBand="0" w:oddHBand="0" w:evenHBand="0" w:firstRowFirstColumn="0" w:firstRowLastColumn="0" w:lastRowFirstColumn="0" w:lastRowLastColumn="0"/>
            </w:pPr>
            <w:r w:rsidRPr="00A17AF8">
              <w:t>679.3</w:t>
            </w:r>
          </w:p>
        </w:tc>
        <w:tc>
          <w:tcPr>
            <w:tcW w:w="1210" w:type="dxa"/>
          </w:tcPr>
          <w:p w:rsidR="00A17AF8" w:rsidRPr="00A17AF8" w:rsidRDefault="00A17AF8" w:rsidP="00A17AF8">
            <w:pPr>
              <w:cnfStyle w:val="000000000000" w:firstRow="0" w:lastRow="0" w:firstColumn="0" w:lastColumn="0" w:oddVBand="0" w:evenVBand="0" w:oddHBand="0" w:evenHBand="0" w:firstRowFirstColumn="0" w:firstRowLastColumn="0" w:lastRowFirstColumn="0" w:lastRowLastColumn="0"/>
            </w:pPr>
            <w:r w:rsidRPr="00A17AF8">
              <w:t>753.5</w:t>
            </w:r>
          </w:p>
        </w:tc>
        <w:tc>
          <w:tcPr>
            <w:tcW w:w="1209" w:type="dxa"/>
          </w:tcPr>
          <w:p w:rsidR="00A17AF8" w:rsidRPr="00A17AF8" w:rsidRDefault="00A17AF8" w:rsidP="00A17AF8">
            <w:pPr>
              <w:cnfStyle w:val="000000000000" w:firstRow="0" w:lastRow="0" w:firstColumn="0" w:lastColumn="0" w:oddVBand="0" w:evenVBand="0" w:oddHBand="0" w:evenHBand="0" w:firstRowFirstColumn="0" w:firstRowLastColumn="0" w:lastRowFirstColumn="0" w:lastRowLastColumn="0"/>
            </w:pPr>
            <w:r w:rsidRPr="00A17AF8">
              <w:t>786.7</w:t>
            </w:r>
          </w:p>
        </w:tc>
        <w:tc>
          <w:tcPr>
            <w:tcW w:w="1210" w:type="dxa"/>
          </w:tcPr>
          <w:p w:rsidR="00A17AF8" w:rsidRPr="00A17AF8" w:rsidRDefault="00A17AF8" w:rsidP="00A17AF8">
            <w:pPr>
              <w:cnfStyle w:val="000000000000" w:firstRow="0" w:lastRow="0" w:firstColumn="0" w:lastColumn="0" w:oddVBand="0" w:evenVBand="0" w:oddHBand="0" w:evenHBand="0" w:firstRowFirstColumn="0" w:firstRowLastColumn="0" w:lastRowFirstColumn="0" w:lastRowLastColumn="0"/>
            </w:pPr>
            <w:r w:rsidRPr="00A17AF8">
              <w:t>840.1</w:t>
            </w:r>
          </w:p>
        </w:tc>
      </w:tr>
      <w:tr w:rsidR="00A17AF8" w:rsidRPr="00DC3137" w:rsidTr="0015497C">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66" w:type="dxa"/>
            <w:hideMark/>
          </w:tcPr>
          <w:p w:rsidR="00A17AF8" w:rsidRPr="00A17AF8" w:rsidRDefault="00A17AF8" w:rsidP="00A17AF8">
            <w:r w:rsidRPr="00A17AF8">
              <w:t>Capex</w:t>
            </w:r>
          </w:p>
        </w:tc>
        <w:tc>
          <w:tcPr>
            <w:tcW w:w="1209" w:type="dxa"/>
          </w:tcPr>
          <w:p w:rsidR="00A17AF8" w:rsidRPr="00A17AF8" w:rsidRDefault="00A17AF8" w:rsidP="00A17AF8">
            <w:pPr>
              <w:cnfStyle w:val="000000010000" w:firstRow="0" w:lastRow="0" w:firstColumn="0" w:lastColumn="0" w:oddVBand="0" w:evenVBand="0" w:oddHBand="0" w:evenHBand="1" w:firstRowFirstColumn="0" w:firstRowLastColumn="0" w:lastRowFirstColumn="0" w:lastRowLastColumn="0"/>
            </w:pPr>
            <w:r w:rsidRPr="00A17AF8">
              <w:t>159.9</w:t>
            </w:r>
          </w:p>
        </w:tc>
        <w:tc>
          <w:tcPr>
            <w:tcW w:w="1209" w:type="dxa"/>
          </w:tcPr>
          <w:p w:rsidR="00A17AF8" w:rsidRPr="00A17AF8" w:rsidRDefault="00A17AF8" w:rsidP="00A17AF8">
            <w:pPr>
              <w:cnfStyle w:val="000000010000" w:firstRow="0" w:lastRow="0" w:firstColumn="0" w:lastColumn="0" w:oddVBand="0" w:evenVBand="0" w:oddHBand="0" w:evenHBand="1" w:firstRowFirstColumn="0" w:firstRowLastColumn="0" w:lastRowFirstColumn="0" w:lastRowLastColumn="0"/>
            </w:pPr>
            <w:r w:rsidRPr="00A17AF8">
              <w:t>169.3</w:t>
            </w:r>
          </w:p>
        </w:tc>
        <w:tc>
          <w:tcPr>
            <w:tcW w:w="1210" w:type="dxa"/>
          </w:tcPr>
          <w:p w:rsidR="00A17AF8" w:rsidRPr="00A17AF8" w:rsidRDefault="00A17AF8" w:rsidP="00A17AF8">
            <w:pPr>
              <w:cnfStyle w:val="000000010000" w:firstRow="0" w:lastRow="0" w:firstColumn="0" w:lastColumn="0" w:oddVBand="0" w:evenVBand="0" w:oddHBand="0" w:evenHBand="1" w:firstRowFirstColumn="0" w:firstRowLastColumn="0" w:lastRowFirstColumn="0" w:lastRowLastColumn="0"/>
            </w:pPr>
            <w:r w:rsidRPr="00A17AF8">
              <w:t>132.2</w:t>
            </w:r>
          </w:p>
        </w:tc>
        <w:tc>
          <w:tcPr>
            <w:tcW w:w="1209" w:type="dxa"/>
          </w:tcPr>
          <w:p w:rsidR="00A17AF8" w:rsidRPr="00A17AF8" w:rsidRDefault="00A17AF8" w:rsidP="00A17AF8">
            <w:pPr>
              <w:cnfStyle w:val="000000010000" w:firstRow="0" w:lastRow="0" w:firstColumn="0" w:lastColumn="0" w:oddVBand="0" w:evenVBand="0" w:oddHBand="0" w:evenHBand="1" w:firstRowFirstColumn="0" w:firstRowLastColumn="0" w:lastRowFirstColumn="0" w:lastRowLastColumn="0"/>
            </w:pPr>
            <w:r w:rsidRPr="00A17AF8">
              <w:t>153.6</w:t>
            </w:r>
          </w:p>
        </w:tc>
        <w:tc>
          <w:tcPr>
            <w:tcW w:w="1210" w:type="dxa"/>
          </w:tcPr>
          <w:p w:rsidR="00A17AF8" w:rsidRPr="00A17AF8" w:rsidRDefault="00A17AF8" w:rsidP="00A17AF8">
            <w:pPr>
              <w:cnfStyle w:val="000000010000" w:firstRow="0" w:lastRow="0" w:firstColumn="0" w:lastColumn="0" w:oddVBand="0" w:evenVBand="0" w:oddHBand="0" w:evenHBand="1" w:firstRowFirstColumn="0" w:firstRowLastColumn="0" w:lastRowFirstColumn="0" w:lastRowLastColumn="0"/>
            </w:pPr>
            <w:r w:rsidRPr="00A17AF8">
              <w:t>256.3</w:t>
            </w:r>
          </w:p>
        </w:tc>
      </w:tr>
      <w:tr w:rsidR="00A17AF8" w:rsidRPr="00DC3137" w:rsidTr="0015497C">
        <w:trPr>
          <w:trHeight w:val="240"/>
        </w:trPr>
        <w:tc>
          <w:tcPr>
            <w:cnfStyle w:val="001000000000" w:firstRow="0" w:lastRow="0" w:firstColumn="1" w:lastColumn="0" w:oddVBand="0" w:evenVBand="0" w:oddHBand="0" w:evenHBand="0" w:firstRowFirstColumn="0" w:firstRowLastColumn="0" w:lastRowFirstColumn="0" w:lastRowLastColumn="0"/>
            <w:tcW w:w="2566" w:type="dxa"/>
            <w:hideMark/>
          </w:tcPr>
          <w:p w:rsidR="00A17AF8" w:rsidRPr="00A17AF8" w:rsidRDefault="00A17AF8" w:rsidP="00A17AF8">
            <w:r w:rsidRPr="00A17AF8">
              <w:t>Tax depreciation</w:t>
            </w:r>
          </w:p>
        </w:tc>
        <w:tc>
          <w:tcPr>
            <w:tcW w:w="1209" w:type="dxa"/>
          </w:tcPr>
          <w:p w:rsidR="00A17AF8" w:rsidRPr="00A17AF8" w:rsidRDefault="00A17AF8" w:rsidP="00A17AF8">
            <w:pPr>
              <w:cnfStyle w:val="000000000000" w:firstRow="0" w:lastRow="0" w:firstColumn="0" w:lastColumn="0" w:oddVBand="0" w:evenVBand="0" w:oddHBand="0" w:evenHBand="0" w:firstRowFirstColumn="0" w:firstRowLastColumn="0" w:lastRowFirstColumn="0" w:lastRowLastColumn="0"/>
            </w:pPr>
            <w:r w:rsidRPr="00A17AF8">
              <w:t>–80.6</w:t>
            </w:r>
          </w:p>
        </w:tc>
        <w:tc>
          <w:tcPr>
            <w:tcW w:w="1209" w:type="dxa"/>
          </w:tcPr>
          <w:p w:rsidR="00A17AF8" w:rsidRPr="00A17AF8" w:rsidRDefault="00A17AF8" w:rsidP="00A17AF8">
            <w:pPr>
              <w:cnfStyle w:val="000000000000" w:firstRow="0" w:lastRow="0" w:firstColumn="0" w:lastColumn="0" w:oddVBand="0" w:evenVBand="0" w:oddHBand="0" w:evenHBand="0" w:firstRowFirstColumn="0" w:firstRowLastColumn="0" w:lastRowFirstColumn="0" w:lastRowLastColumn="0"/>
            </w:pPr>
            <w:r w:rsidRPr="00A17AF8">
              <w:t>–95.1</w:t>
            </w:r>
          </w:p>
        </w:tc>
        <w:tc>
          <w:tcPr>
            <w:tcW w:w="1210" w:type="dxa"/>
          </w:tcPr>
          <w:p w:rsidR="00A17AF8" w:rsidRPr="00A17AF8" w:rsidRDefault="00A17AF8" w:rsidP="00A17AF8">
            <w:pPr>
              <w:cnfStyle w:val="000000000000" w:firstRow="0" w:lastRow="0" w:firstColumn="0" w:lastColumn="0" w:oddVBand="0" w:evenVBand="0" w:oddHBand="0" w:evenHBand="0" w:firstRowFirstColumn="0" w:firstRowLastColumn="0" w:lastRowFirstColumn="0" w:lastRowLastColumn="0"/>
            </w:pPr>
            <w:r w:rsidRPr="00A17AF8">
              <w:t>–99.1</w:t>
            </w:r>
          </w:p>
        </w:tc>
        <w:tc>
          <w:tcPr>
            <w:tcW w:w="1209" w:type="dxa"/>
          </w:tcPr>
          <w:p w:rsidR="00A17AF8" w:rsidRPr="00A17AF8" w:rsidRDefault="00A17AF8" w:rsidP="00A17AF8">
            <w:pPr>
              <w:cnfStyle w:val="000000000000" w:firstRow="0" w:lastRow="0" w:firstColumn="0" w:lastColumn="0" w:oddVBand="0" w:evenVBand="0" w:oddHBand="0" w:evenHBand="0" w:firstRowFirstColumn="0" w:firstRowLastColumn="0" w:lastRowFirstColumn="0" w:lastRowLastColumn="0"/>
            </w:pPr>
            <w:r w:rsidRPr="00A17AF8">
              <w:t>–100.2</w:t>
            </w:r>
          </w:p>
        </w:tc>
        <w:tc>
          <w:tcPr>
            <w:tcW w:w="1210" w:type="dxa"/>
          </w:tcPr>
          <w:p w:rsidR="00A17AF8" w:rsidRPr="00A17AF8" w:rsidRDefault="00A17AF8" w:rsidP="00A17AF8">
            <w:pPr>
              <w:cnfStyle w:val="000000000000" w:firstRow="0" w:lastRow="0" w:firstColumn="0" w:lastColumn="0" w:oddVBand="0" w:evenVBand="0" w:oddHBand="0" w:evenHBand="0" w:firstRowFirstColumn="0" w:firstRowLastColumn="0" w:lastRowFirstColumn="0" w:lastRowLastColumn="0"/>
            </w:pPr>
            <w:r w:rsidRPr="00A17AF8">
              <w:t>–114.1</w:t>
            </w:r>
          </w:p>
        </w:tc>
      </w:tr>
      <w:tr w:rsidR="00A17AF8" w:rsidRPr="00CA5825" w:rsidTr="0015497C">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66" w:type="dxa"/>
            <w:hideMark/>
          </w:tcPr>
          <w:p w:rsidR="00A17AF8" w:rsidRPr="00CA5825" w:rsidRDefault="00A17AF8" w:rsidP="00A17AF8">
            <w:pPr>
              <w:rPr>
                <w:rStyle w:val="Strong"/>
              </w:rPr>
            </w:pPr>
            <w:r w:rsidRPr="00CA5825">
              <w:rPr>
                <w:rStyle w:val="Strong"/>
              </w:rPr>
              <w:t>Closing tax asset base</w:t>
            </w:r>
          </w:p>
        </w:tc>
        <w:tc>
          <w:tcPr>
            <w:tcW w:w="1209" w:type="dxa"/>
          </w:tcPr>
          <w:p w:rsidR="00A17AF8" w:rsidRPr="00CA5825" w:rsidRDefault="00A17AF8" w:rsidP="00A17AF8">
            <w:pPr>
              <w:cnfStyle w:val="000000010000" w:firstRow="0" w:lastRow="0" w:firstColumn="0" w:lastColumn="0" w:oddVBand="0" w:evenVBand="0" w:oddHBand="0" w:evenHBand="1" w:firstRowFirstColumn="0" w:firstRowLastColumn="0" w:lastRowFirstColumn="0" w:lastRowLastColumn="0"/>
              <w:rPr>
                <w:rStyle w:val="Strong"/>
              </w:rPr>
            </w:pPr>
            <w:r w:rsidRPr="00CA5825">
              <w:rPr>
                <w:rStyle w:val="Strong"/>
              </w:rPr>
              <w:t>679.3</w:t>
            </w:r>
          </w:p>
        </w:tc>
        <w:tc>
          <w:tcPr>
            <w:tcW w:w="1209" w:type="dxa"/>
          </w:tcPr>
          <w:p w:rsidR="00A17AF8" w:rsidRPr="00CA5825" w:rsidRDefault="00A17AF8" w:rsidP="00A17AF8">
            <w:pPr>
              <w:cnfStyle w:val="000000010000" w:firstRow="0" w:lastRow="0" w:firstColumn="0" w:lastColumn="0" w:oddVBand="0" w:evenVBand="0" w:oddHBand="0" w:evenHBand="1" w:firstRowFirstColumn="0" w:firstRowLastColumn="0" w:lastRowFirstColumn="0" w:lastRowLastColumn="0"/>
              <w:rPr>
                <w:rStyle w:val="Strong"/>
              </w:rPr>
            </w:pPr>
            <w:r w:rsidRPr="00CA5825">
              <w:rPr>
                <w:rStyle w:val="Strong"/>
              </w:rPr>
              <w:t>753.5</w:t>
            </w:r>
          </w:p>
        </w:tc>
        <w:tc>
          <w:tcPr>
            <w:tcW w:w="1210" w:type="dxa"/>
          </w:tcPr>
          <w:p w:rsidR="00A17AF8" w:rsidRPr="00CA5825" w:rsidRDefault="00A17AF8" w:rsidP="00A17AF8">
            <w:pPr>
              <w:cnfStyle w:val="000000010000" w:firstRow="0" w:lastRow="0" w:firstColumn="0" w:lastColumn="0" w:oddVBand="0" w:evenVBand="0" w:oddHBand="0" w:evenHBand="1" w:firstRowFirstColumn="0" w:firstRowLastColumn="0" w:lastRowFirstColumn="0" w:lastRowLastColumn="0"/>
              <w:rPr>
                <w:rStyle w:val="Strong"/>
              </w:rPr>
            </w:pPr>
            <w:r w:rsidRPr="00CA5825">
              <w:rPr>
                <w:rStyle w:val="Strong"/>
              </w:rPr>
              <w:t>786.7</w:t>
            </w:r>
          </w:p>
        </w:tc>
        <w:tc>
          <w:tcPr>
            <w:tcW w:w="1209" w:type="dxa"/>
          </w:tcPr>
          <w:p w:rsidR="00A17AF8" w:rsidRPr="00CA5825" w:rsidRDefault="00A17AF8" w:rsidP="00A17AF8">
            <w:pPr>
              <w:cnfStyle w:val="000000010000" w:firstRow="0" w:lastRow="0" w:firstColumn="0" w:lastColumn="0" w:oddVBand="0" w:evenVBand="0" w:oddHBand="0" w:evenHBand="1" w:firstRowFirstColumn="0" w:firstRowLastColumn="0" w:lastRowFirstColumn="0" w:lastRowLastColumn="0"/>
              <w:rPr>
                <w:rStyle w:val="Strong"/>
              </w:rPr>
            </w:pPr>
            <w:r w:rsidRPr="00CA5825">
              <w:rPr>
                <w:rStyle w:val="Strong"/>
              </w:rPr>
              <w:t>840.1</w:t>
            </w:r>
          </w:p>
        </w:tc>
        <w:tc>
          <w:tcPr>
            <w:tcW w:w="1210" w:type="dxa"/>
          </w:tcPr>
          <w:p w:rsidR="00A17AF8" w:rsidRPr="00CA5825" w:rsidRDefault="00A17AF8" w:rsidP="00A17AF8">
            <w:pPr>
              <w:cnfStyle w:val="000000010000" w:firstRow="0" w:lastRow="0" w:firstColumn="0" w:lastColumn="0" w:oddVBand="0" w:evenVBand="0" w:oddHBand="0" w:evenHBand="1" w:firstRowFirstColumn="0" w:firstRowLastColumn="0" w:lastRowFirstColumn="0" w:lastRowLastColumn="0"/>
              <w:rPr>
                <w:rStyle w:val="Strong"/>
              </w:rPr>
            </w:pPr>
            <w:r w:rsidRPr="00CA5825">
              <w:rPr>
                <w:rStyle w:val="Strong"/>
              </w:rPr>
              <w:t>982.3</w:t>
            </w:r>
          </w:p>
        </w:tc>
      </w:tr>
    </w:tbl>
    <w:p w:rsidR="0067607A" w:rsidRDefault="00A93102">
      <w:pPr>
        <w:pStyle w:val="AERtablesource"/>
      </w:pPr>
      <w:r w:rsidRPr="00A93102">
        <w:rPr>
          <w:rFonts w:eastAsia="Calibri"/>
        </w:rPr>
        <w:t xml:space="preserve">Source: </w:t>
      </w:r>
      <w:r w:rsidRPr="00A93102">
        <w:rPr>
          <w:rFonts w:eastAsia="Calibri"/>
        </w:rPr>
        <w:tab/>
        <w:t xml:space="preserve"> </w:t>
      </w:r>
      <w:r w:rsidR="0067607A" w:rsidRPr="0067607A">
        <w:t>AER analysis</w:t>
      </w:r>
      <w:r w:rsidR="00C71DB5">
        <w:t xml:space="preserve">; </w:t>
      </w:r>
      <w:r w:rsidR="00A17AF8" w:rsidRPr="00A17AF8">
        <w:t xml:space="preserve">JGN, </w:t>
      </w:r>
      <w:r w:rsidR="00A17AF8" w:rsidRPr="00671057">
        <w:rPr>
          <w:rStyle w:val="AERtextitalic"/>
        </w:rPr>
        <w:t>Submissions on draft decision, Attach</w:t>
      </w:r>
      <w:r w:rsidR="00A17AF8" w:rsidRPr="00A17AF8">
        <w:rPr>
          <w:rStyle w:val="AERtextitalic"/>
        </w:rPr>
        <w:t>ment N - updated appendix 10.1 - JGN revenue forecast model</w:t>
      </w:r>
      <w:r w:rsidR="00A17AF8" w:rsidRPr="00A17AF8">
        <w:t>, 27 March 2015.</w:t>
      </w:r>
    </w:p>
    <w:p w:rsidR="0067607A" w:rsidRPr="0067607A" w:rsidRDefault="0067607A" w:rsidP="0067607A">
      <w:pPr>
        <w:pStyle w:val="Heading3"/>
      </w:pPr>
      <w:bookmarkStart w:id="27" w:name="_Toc403463359"/>
      <w:bookmarkStart w:id="28" w:name="_Toc404182767"/>
      <w:bookmarkStart w:id="29" w:name="_Toc419393585"/>
      <w:r w:rsidRPr="0067607A">
        <w:t>Tax depreciation method</w:t>
      </w:r>
      <w:bookmarkEnd w:id="27"/>
      <w:bookmarkEnd w:id="28"/>
      <w:bookmarkEnd w:id="29"/>
    </w:p>
    <w:p w:rsidR="009D678C" w:rsidRDefault="00A34E44" w:rsidP="009967AB">
      <w:pPr>
        <w:numPr>
          <w:ilvl w:val="0"/>
          <w:numId w:val="25"/>
        </w:numPr>
      </w:pPr>
      <w:r>
        <w:t xml:space="preserve">Consistent with </w:t>
      </w:r>
      <w:r w:rsidR="00A916BC">
        <w:t>our draft decision</w:t>
      </w:r>
      <w:r>
        <w:t xml:space="preserve">, we </w:t>
      </w:r>
      <w:r w:rsidR="0067607A" w:rsidRPr="0067607A">
        <w:t xml:space="preserve">accept JGN's </w:t>
      </w:r>
      <w:r w:rsidR="00DD2080">
        <w:t xml:space="preserve">revised </w:t>
      </w:r>
      <w:r w:rsidR="0067607A" w:rsidRPr="0067607A">
        <w:t>proposal to use the diminishing value method for estimating tax depreciation</w:t>
      </w:r>
      <w:r w:rsidR="00F01204">
        <w:t xml:space="preserve"> for the 2015–20 access arrangement period</w:t>
      </w:r>
      <w:r w:rsidR="0067607A" w:rsidRPr="0067607A">
        <w:t xml:space="preserve">. </w:t>
      </w:r>
      <w:r w:rsidR="00F01204">
        <w:t>JGN's</w:t>
      </w:r>
      <w:r w:rsidR="009F2BD2">
        <w:t xml:space="preserve"> revised proposal </w:t>
      </w:r>
      <w:r w:rsidR="00F01204">
        <w:t>adopted the diminishing value rates––use</w:t>
      </w:r>
      <w:r w:rsidR="009D678C">
        <w:t>d</w:t>
      </w:r>
      <w:r w:rsidR="00F01204">
        <w:t xml:space="preserve"> to calculate the</w:t>
      </w:r>
      <w:r w:rsidR="00DD2080" w:rsidRPr="00407443">
        <w:t xml:space="preserve"> </w:t>
      </w:r>
      <w:r w:rsidR="00F01204">
        <w:t xml:space="preserve">forecast </w:t>
      </w:r>
      <w:r w:rsidR="00DD2080" w:rsidRPr="00407443">
        <w:t>tax de</w:t>
      </w:r>
      <w:r w:rsidR="00DD2080">
        <w:t>p</w:t>
      </w:r>
      <w:r w:rsidR="009F2BD2">
        <w:t>reciation for each asset class</w:t>
      </w:r>
      <w:r w:rsidR="00F01204">
        <w:t xml:space="preserve">––approved </w:t>
      </w:r>
      <w:r w:rsidR="00A00DE7">
        <w:t xml:space="preserve">in our draft decision. </w:t>
      </w:r>
      <w:r w:rsidR="009967AB">
        <w:t xml:space="preserve">We therefore maintain our draft decision position on this issue for this final decision. </w:t>
      </w:r>
    </w:p>
    <w:p w:rsidR="0067607A" w:rsidRDefault="0067607A" w:rsidP="009967AB">
      <w:pPr>
        <w:numPr>
          <w:ilvl w:val="0"/>
          <w:numId w:val="25"/>
        </w:numPr>
      </w:pPr>
      <w:r w:rsidRPr="0067607A">
        <w:lastRenderedPageBreak/>
        <w:fldChar w:fldCharType="begin"/>
      </w:r>
      <w:r w:rsidRPr="0067607A">
        <w:instrText xml:space="preserve"> REF _Ref398907677 \h </w:instrText>
      </w:r>
      <w:r w:rsidRPr="0067607A">
        <w:fldChar w:fldCharType="separate"/>
      </w:r>
      <w:r w:rsidR="009854C0" w:rsidRPr="0067607A">
        <w:t xml:space="preserve">Table </w:t>
      </w:r>
      <w:r w:rsidR="009854C0">
        <w:rPr>
          <w:noProof/>
        </w:rPr>
        <w:t>8</w:t>
      </w:r>
      <w:r w:rsidR="009854C0" w:rsidRPr="0067607A">
        <w:noBreakHyphen/>
      </w:r>
      <w:r w:rsidR="009854C0">
        <w:rPr>
          <w:noProof/>
        </w:rPr>
        <w:t>5</w:t>
      </w:r>
      <w:r w:rsidRPr="0067607A">
        <w:fldChar w:fldCharType="end"/>
      </w:r>
      <w:r w:rsidRPr="0067607A">
        <w:t xml:space="preserve"> sets out our </w:t>
      </w:r>
      <w:r w:rsidR="00DA288E">
        <w:t>final</w:t>
      </w:r>
      <w:r w:rsidRPr="0067607A">
        <w:t xml:space="preserve"> decision on JGN's diminishing value rates for tax depreciation over the 2015–20 access arrangement period. </w:t>
      </w:r>
    </w:p>
    <w:p w:rsidR="0067607A" w:rsidRPr="0067607A" w:rsidRDefault="0067607A" w:rsidP="0067607A">
      <w:pPr>
        <w:pStyle w:val="Caption"/>
      </w:pPr>
      <w:bookmarkStart w:id="30" w:name="_Ref398907677"/>
      <w:r w:rsidRPr="0067607A">
        <w:t xml:space="preserve">Table </w:t>
      </w:r>
      <w:fldSimple w:instr=" STYLEREF 1 \s ">
        <w:r w:rsidR="009854C0">
          <w:rPr>
            <w:noProof/>
          </w:rPr>
          <w:t>8</w:t>
        </w:r>
      </w:fldSimple>
      <w:r w:rsidRPr="0067607A">
        <w:noBreakHyphen/>
      </w:r>
      <w:fldSimple w:instr=" SEQ Table \* ARABIC \s 1 ">
        <w:r w:rsidR="009854C0">
          <w:rPr>
            <w:noProof/>
          </w:rPr>
          <w:t>5</w:t>
        </w:r>
      </w:fldSimple>
      <w:bookmarkEnd w:id="30"/>
      <w:r w:rsidRPr="0067607A">
        <w:tab/>
        <w:t xml:space="preserve">AER's </w:t>
      </w:r>
      <w:r w:rsidR="004B2341">
        <w:t>final</w:t>
      </w:r>
      <w:r w:rsidRPr="0067607A">
        <w:t xml:space="preserve"> decision on JGN's diminishing value rates for tax depreciation calculation (per cent)</w:t>
      </w:r>
    </w:p>
    <w:tbl>
      <w:tblPr>
        <w:tblStyle w:val="AERtable-numbers"/>
        <w:tblW w:w="8613" w:type="dxa"/>
        <w:tblLook w:val="04A0" w:firstRow="1" w:lastRow="0" w:firstColumn="1" w:lastColumn="0" w:noHBand="0" w:noVBand="1"/>
      </w:tblPr>
      <w:tblGrid>
        <w:gridCol w:w="4361"/>
        <w:gridCol w:w="4252"/>
      </w:tblGrid>
      <w:tr w:rsidR="0067607A" w:rsidRPr="00DB21FF" w:rsidTr="0015497C">
        <w:trPr>
          <w:cnfStyle w:val="100000000000" w:firstRow="1" w:lastRow="0" w:firstColumn="0" w:lastColumn="0" w:oddVBand="0" w:evenVBand="0" w:oddHBand="0" w:evenHBand="0" w:firstRowFirstColumn="0" w:firstRowLastColumn="0" w:lastRowFirstColumn="0" w:lastRowLastColumn="0"/>
          <w:trHeight w:hRule="exact" w:val="533"/>
        </w:trPr>
        <w:tc>
          <w:tcPr>
            <w:cnfStyle w:val="001000000000" w:firstRow="0" w:lastRow="0" w:firstColumn="1" w:lastColumn="0" w:oddVBand="0" w:evenVBand="0" w:oddHBand="0" w:evenHBand="0" w:firstRowFirstColumn="0" w:firstRowLastColumn="0" w:lastRowFirstColumn="0" w:lastRowLastColumn="0"/>
            <w:tcW w:w="4361" w:type="dxa"/>
            <w:hideMark/>
          </w:tcPr>
          <w:p w:rsidR="0067607A" w:rsidRPr="0067607A" w:rsidRDefault="0067607A" w:rsidP="005326B6">
            <w:r w:rsidRPr="0067607A">
              <w:t>Asset class</w:t>
            </w:r>
          </w:p>
        </w:tc>
        <w:tc>
          <w:tcPr>
            <w:tcW w:w="4252" w:type="dxa"/>
            <w:hideMark/>
          </w:tcPr>
          <w:p w:rsidR="0067607A" w:rsidRPr="0067607A" w:rsidRDefault="0067607A" w:rsidP="005326B6">
            <w:pPr>
              <w:cnfStyle w:val="100000000000" w:firstRow="1" w:lastRow="0" w:firstColumn="0" w:lastColumn="0" w:oddVBand="0" w:evenVBand="0" w:oddHBand="0" w:evenHBand="0" w:firstRowFirstColumn="0" w:firstRowLastColumn="0" w:lastRowFirstColumn="0" w:lastRowLastColumn="0"/>
            </w:pPr>
            <w:r w:rsidRPr="0067607A">
              <w:t>Diminishing value rate for tax depreciation</w:t>
            </w:r>
          </w:p>
        </w:tc>
      </w:tr>
      <w:tr w:rsidR="0067607A" w:rsidRPr="00DB21FF" w:rsidTr="0015497C">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Trunk Wilton-Sydney</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10</w:t>
            </w:r>
            <w:r w:rsidR="00CC41AA">
              <w:t xml:space="preserve"> per cent</w:t>
            </w:r>
          </w:p>
        </w:tc>
      </w:tr>
      <w:tr w:rsidR="0067607A" w:rsidRPr="00DB21FF" w:rsidTr="0015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Trunk Sydney-Newcastle</w:t>
            </w:r>
          </w:p>
        </w:tc>
        <w:tc>
          <w:tcPr>
            <w:tcW w:w="4252" w:type="dxa"/>
            <w:noWrap/>
            <w:hideMark/>
          </w:tcPr>
          <w:p w:rsidR="0067607A" w:rsidRPr="0067607A" w:rsidRDefault="0067607A" w:rsidP="005326B6">
            <w:pPr>
              <w:cnfStyle w:val="000000010000" w:firstRow="0" w:lastRow="0" w:firstColumn="0" w:lastColumn="0" w:oddVBand="0" w:evenVBand="0" w:oddHBand="0" w:evenHBand="1" w:firstRowFirstColumn="0" w:firstRowLastColumn="0" w:lastRowFirstColumn="0" w:lastRowLastColumn="0"/>
            </w:pPr>
            <w:r w:rsidRPr="0067607A">
              <w:t>10</w:t>
            </w:r>
            <w:r w:rsidR="00CC41AA">
              <w:t xml:space="preserve"> per cent</w:t>
            </w:r>
          </w:p>
        </w:tc>
      </w:tr>
      <w:tr w:rsidR="0067607A" w:rsidRPr="00DB21FF" w:rsidTr="0015497C">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C71DB5" w:rsidP="00C71DB5">
            <w:r>
              <w:t xml:space="preserve">Trunk </w:t>
            </w:r>
            <w:r w:rsidR="0067607A" w:rsidRPr="0067607A">
              <w:t>Wilton-Wollongong</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10</w:t>
            </w:r>
            <w:r w:rsidR="00CC41AA">
              <w:t xml:space="preserve"> per cent</w:t>
            </w:r>
          </w:p>
        </w:tc>
      </w:tr>
      <w:tr w:rsidR="0067607A" w:rsidRPr="00DB21FF" w:rsidTr="0015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Contract meters</w:t>
            </w:r>
          </w:p>
        </w:tc>
        <w:tc>
          <w:tcPr>
            <w:tcW w:w="4252" w:type="dxa"/>
            <w:noWrap/>
            <w:hideMark/>
          </w:tcPr>
          <w:p w:rsidR="0067607A" w:rsidRPr="0067607A" w:rsidRDefault="0067607A" w:rsidP="005326B6">
            <w:pPr>
              <w:cnfStyle w:val="000000010000" w:firstRow="0" w:lastRow="0" w:firstColumn="0" w:lastColumn="0" w:oddVBand="0" w:evenVBand="0" w:oddHBand="0" w:evenHBand="1" w:firstRowFirstColumn="0" w:firstRowLastColumn="0" w:lastRowFirstColumn="0" w:lastRowLastColumn="0"/>
            </w:pPr>
            <w:r w:rsidRPr="0067607A">
              <w:t>10</w:t>
            </w:r>
            <w:r w:rsidR="00CC41AA">
              <w:t xml:space="preserve"> per cent</w:t>
            </w:r>
          </w:p>
        </w:tc>
      </w:tr>
      <w:tr w:rsidR="0067607A" w:rsidRPr="00DB21FF" w:rsidTr="0015497C">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Fixed Plant - distribution</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10</w:t>
            </w:r>
            <w:r w:rsidR="00CC41AA">
              <w:t xml:space="preserve"> per cent</w:t>
            </w:r>
          </w:p>
        </w:tc>
      </w:tr>
      <w:tr w:rsidR="0067607A" w:rsidRPr="00DB21FF" w:rsidTr="0015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HP mains</w:t>
            </w:r>
          </w:p>
        </w:tc>
        <w:tc>
          <w:tcPr>
            <w:tcW w:w="4252" w:type="dxa"/>
            <w:noWrap/>
            <w:hideMark/>
          </w:tcPr>
          <w:p w:rsidR="0067607A" w:rsidRPr="0067607A" w:rsidRDefault="0067607A" w:rsidP="005326B6">
            <w:pPr>
              <w:cnfStyle w:val="000000010000" w:firstRow="0" w:lastRow="0" w:firstColumn="0" w:lastColumn="0" w:oddVBand="0" w:evenVBand="0" w:oddHBand="0" w:evenHBand="1" w:firstRowFirstColumn="0" w:firstRowLastColumn="0" w:lastRowFirstColumn="0" w:lastRowLastColumn="0"/>
            </w:pPr>
            <w:r w:rsidRPr="0067607A">
              <w:t>10</w:t>
            </w:r>
            <w:r w:rsidR="00CC41AA">
              <w:t xml:space="preserve"> per cent</w:t>
            </w:r>
          </w:p>
        </w:tc>
      </w:tr>
      <w:tr w:rsidR="0067607A" w:rsidRPr="00DB21FF" w:rsidTr="0015497C">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HP services</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10</w:t>
            </w:r>
            <w:r w:rsidR="00CC41AA">
              <w:t xml:space="preserve"> per cent</w:t>
            </w:r>
          </w:p>
        </w:tc>
      </w:tr>
      <w:tr w:rsidR="0067607A" w:rsidRPr="00DB21FF" w:rsidTr="0015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MP mains</w:t>
            </w:r>
          </w:p>
        </w:tc>
        <w:tc>
          <w:tcPr>
            <w:tcW w:w="4252" w:type="dxa"/>
            <w:noWrap/>
            <w:hideMark/>
          </w:tcPr>
          <w:p w:rsidR="0067607A" w:rsidRPr="0067607A" w:rsidRDefault="0067607A" w:rsidP="005326B6">
            <w:pPr>
              <w:cnfStyle w:val="000000010000" w:firstRow="0" w:lastRow="0" w:firstColumn="0" w:lastColumn="0" w:oddVBand="0" w:evenVBand="0" w:oddHBand="0" w:evenHBand="1" w:firstRowFirstColumn="0" w:firstRowLastColumn="0" w:lastRowFirstColumn="0" w:lastRowLastColumn="0"/>
            </w:pPr>
            <w:r w:rsidRPr="0067607A">
              <w:t>10</w:t>
            </w:r>
            <w:r w:rsidR="00CC41AA">
              <w:t xml:space="preserve"> per cent</w:t>
            </w:r>
          </w:p>
        </w:tc>
      </w:tr>
      <w:tr w:rsidR="0067607A" w:rsidRPr="00DB21FF" w:rsidTr="0015497C">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MP services</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10</w:t>
            </w:r>
            <w:r w:rsidR="00CC41AA">
              <w:t xml:space="preserve"> per cent</w:t>
            </w:r>
          </w:p>
        </w:tc>
      </w:tr>
      <w:tr w:rsidR="0067607A" w:rsidRPr="00DB21FF" w:rsidTr="0015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Meter reading devices</w:t>
            </w:r>
          </w:p>
        </w:tc>
        <w:tc>
          <w:tcPr>
            <w:tcW w:w="4252" w:type="dxa"/>
            <w:noWrap/>
            <w:hideMark/>
          </w:tcPr>
          <w:p w:rsidR="0067607A" w:rsidRPr="0067607A" w:rsidRDefault="0067607A" w:rsidP="005326B6">
            <w:pPr>
              <w:cnfStyle w:val="000000010000" w:firstRow="0" w:lastRow="0" w:firstColumn="0" w:lastColumn="0" w:oddVBand="0" w:evenVBand="0" w:oddHBand="0" w:evenHBand="1" w:firstRowFirstColumn="0" w:firstRowLastColumn="0" w:lastRowFirstColumn="0" w:lastRowLastColumn="0"/>
            </w:pPr>
            <w:r w:rsidRPr="0067607A">
              <w:t>10</w:t>
            </w:r>
            <w:r w:rsidR="00CC41AA">
              <w:t xml:space="preserve"> per cent</w:t>
            </w:r>
          </w:p>
        </w:tc>
      </w:tr>
      <w:tr w:rsidR="0067607A" w:rsidRPr="00DB21FF" w:rsidTr="0015497C">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 xml:space="preserve">Country POTS </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10</w:t>
            </w:r>
            <w:r w:rsidR="00CC41AA">
              <w:t xml:space="preserve"> per cent</w:t>
            </w:r>
          </w:p>
        </w:tc>
      </w:tr>
      <w:tr w:rsidR="0067607A" w:rsidRPr="00DB21FF" w:rsidTr="0015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Tariff meters</w:t>
            </w:r>
          </w:p>
        </w:tc>
        <w:tc>
          <w:tcPr>
            <w:tcW w:w="4252" w:type="dxa"/>
            <w:noWrap/>
            <w:hideMark/>
          </w:tcPr>
          <w:p w:rsidR="0067607A" w:rsidRPr="0067607A" w:rsidRDefault="0067607A" w:rsidP="005326B6">
            <w:pPr>
              <w:cnfStyle w:val="000000010000" w:firstRow="0" w:lastRow="0" w:firstColumn="0" w:lastColumn="0" w:oddVBand="0" w:evenVBand="0" w:oddHBand="0" w:evenHBand="1" w:firstRowFirstColumn="0" w:firstRowLastColumn="0" w:lastRowFirstColumn="0" w:lastRowLastColumn="0"/>
            </w:pPr>
            <w:r w:rsidRPr="0067607A">
              <w:t>10</w:t>
            </w:r>
            <w:r w:rsidR="00CC41AA">
              <w:t xml:space="preserve"> per cent</w:t>
            </w:r>
          </w:p>
        </w:tc>
      </w:tr>
      <w:tr w:rsidR="0067607A" w:rsidRPr="00DB21FF" w:rsidTr="0015497C">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 xml:space="preserve">Building </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3</w:t>
            </w:r>
            <w:r w:rsidR="00CC41AA">
              <w:t xml:space="preserve"> per cent</w:t>
            </w:r>
          </w:p>
        </w:tc>
      </w:tr>
      <w:tr w:rsidR="0067607A" w:rsidRPr="00DB21FF" w:rsidTr="0015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Computers</w:t>
            </w:r>
          </w:p>
        </w:tc>
        <w:tc>
          <w:tcPr>
            <w:tcW w:w="4252" w:type="dxa"/>
            <w:noWrap/>
            <w:hideMark/>
          </w:tcPr>
          <w:p w:rsidR="0067607A" w:rsidRPr="0067607A" w:rsidRDefault="0067607A" w:rsidP="005326B6">
            <w:pPr>
              <w:cnfStyle w:val="000000010000" w:firstRow="0" w:lastRow="0" w:firstColumn="0" w:lastColumn="0" w:oddVBand="0" w:evenVBand="0" w:oddHBand="0" w:evenHBand="1" w:firstRowFirstColumn="0" w:firstRowLastColumn="0" w:lastRowFirstColumn="0" w:lastRowLastColumn="0"/>
            </w:pPr>
            <w:r w:rsidRPr="0067607A">
              <w:t>40</w:t>
            </w:r>
            <w:r w:rsidR="00CC41AA">
              <w:t xml:space="preserve"> per cent</w:t>
            </w:r>
          </w:p>
        </w:tc>
      </w:tr>
      <w:tr w:rsidR="0067607A" w:rsidRPr="00DB21FF" w:rsidTr="0015497C">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Software</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50</w:t>
            </w:r>
            <w:r w:rsidR="00CC41AA">
              <w:t xml:space="preserve"> per cent</w:t>
            </w:r>
          </w:p>
        </w:tc>
      </w:tr>
      <w:tr w:rsidR="0067607A" w:rsidRPr="00DB21FF" w:rsidTr="0015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Fixed plant</w:t>
            </w:r>
          </w:p>
        </w:tc>
        <w:tc>
          <w:tcPr>
            <w:tcW w:w="4252" w:type="dxa"/>
            <w:noWrap/>
            <w:hideMark/>
          </w:tcPr>
          <w:p w:rsidR="0067607A" w:rsidRPr="0067607A" w:rsidRDefault="0067607A" w:rsidP="005326B6">
            <w:pPr>
              <w:cnfStyle w:val="000000010000" w:firstRow="0" w:lastRow="0" w:firstColumn="0" w:lastColumn="0" w:oddVBand="0" w:evenVBand="0" w:oddHBand="0" w:evenHBand="1" w:firstRowFirstColumn="0" w:firstRowLastColumn="0" w:lastRowFirstColumn="0" w:lastRowLastColumn="0"/>
            </w:pPr>
            <w:r w:rsidRPr="0067607A">
              <w:t>20</w:t>
            </w:r>
            <w:r w:rsidR="00CC41AA">
              <w:t xml:space="preserve"> per cent</w:t>
            </w:r>
          </w:p>
        </w:tc>
      </w:tr>
      <w:tr w:rsidR="0067607A" w:rsidRPr="00DB21FF" w:rsidTr="0015497C">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Furniture</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20</w:t>
            </w:r>
            <w:r w:rsidR="00CC41AA">
              <w:t xml:space="preserve"> per cent</w:t>
            </w:r>
          </w:p>
        </w:tc>
      </w:tr>
      <w:tr w:rsidR="0067607A" w:rsidRPr="00DB21FF" w:rsidTr="0015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Land</w:t>
            </w:r>
          </w:p>
        </w:tc>
        <w:tc>
          <w:tcPr>
            <w:tcW w:w="4252" w:type="dxa"/>
            <w:noWrap/>
            <w:hideMark/>
          </w:tcPr>
          <w:p w:rsidR="0067607A" w:rsidRPr="0067607A" w:rsidRDefault="0067607A" w:rsidP="005326B6">
            <w:pPr>
              <w:cnfStyle w:val="000000010000" w:firstRow="0" w:lastRow="0" w:firstColumn="0" w:lastColumn="0" w:oddVBand="0" w:evenVBand="0" w:oddHBand="0" w:evenHBand="1" w:firstRowFirstColumn="0" w:firstRowLastColumn="0" w:lastRowFirstColumn="0" w:lastRowLastColumn="0"/>
            </w:pPr>
            <w:r w:rsidRPr="0067607A">
              <w:t xml:space="preserve">               n/a  </w:t>
            </w:r>
          </w:p>
        </w:tc>
      </w:tr>
      <w:tr w:rsidR="0067607A" w:rsidRPr="00DB21FF" w:rsidTr="0015497C">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Leasehold improvements</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3</w:t>
            </w:r>
            <w:r w:rsidR="00CC41AA">
              <w:t xml:space="preserve"> per cent</w:t>
            </w:r>
          </w:p>
        </w:tc>
      </w:tr>
      <w:tr w:rsidR="0067607A" w:rsidRPr="00DB21FF" w:rsidTr="0015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Low value assets</w:t>
            </w:r>
          </w:p>
        </w:tc>
        <w:tc>
          <w:tcPr>
            <w:tcW w:w="4252" w:type="dxa"/>
            <w:noWrap/>
            <w:hideMark/>
          </w:tcPr>
          <w:p w:rsidR="0067607A" w:rsidRPr="0067607A" w:rsidRDefault="0067607A" w:rsidP="005326B6">
            <w:pPr>
              <w:cnfStyle w:val="000000010000" w:firstRow="0" w:lastRow="0" w:firstColumn="0" w:lastColumn="0" w:oddVBand="0" w:evenVBand="0" w:oddHBand="0" w:evenHBand="1" w:firstRowFirstColumn="0" w:firstRowLastColumn="0" w:lastRowFirstColumn="0" w:lastRowLastColumn="0"/>
            </w:pPr>
            <w:r w:rsidRPr="0067607A">
              <w:t>60</w:t>
            </w:r>
            <w:r w:rsidR="00CC41AA">
              <w:t xml:space="preserve"> per cent</w:t>
            </w:r>
          </w:p>
        </w:tc>
      </w:tr>
      <w:tr w:rsidR="0067607A" w:rsidRPr="00DB21FF" w:rsidTr="0015497C">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Mobile plant</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20</w:t>
            </w:r>
            <w:r w:rsidR="00CC41AA">
              <w:t xml:space="preserve"> per cent</w:t>
            </w:r>
          </w:p>
        </w:tc>
      </w:tr>
      <w:tr w:rsidR="0067607A" w:rsidRPr="00DB21FF" w:rsidTr="001549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Vehicles</w:t>
            </w:r>
          </w:p>
        </w:tc>
        <w:tc>
          <w:tcPr>
            <w:tcW w:w="4252" w:type="dxa"/>
            <w:noWrap/>
            <w:hideMark/>
          </w:tcPr>
          <w:p w:rsidR="0067607A" w:rsidRPr="0067607A" w:rsidRDefault="0067607A" w:rsidP="005326B6">
            <w:pPr>
              <w:cnfStyle w:val="000000010000" w:firstRow="0" w:lastRow="0" w:firstColumn="0" w:lastColumn="0" w:oddVBand="0" w:evenVBand="0" w:oddHBand="0" w:evenHBand="1" w:firstRowFirstColumn="0" w:firstRowLastColumn="0" w:lastRowFirstColumn="0" w:lastRowLastColumn="0"/>
            </w:pPr>
            <w:r w:rsidRPr="0067607A">
              <w:t>25</w:t>
            </w:r>
            <w:r w:rsidR="00CC41AA">
              <w:t xml:space="preserve"> per cent</w:t>
            </w:r>
          </w:p>
        </w:tc>
      </w:tr>
      <w:tr w:rsidR="0067607A" w:rsidRPr="00DB21FF" w:rsidTr="0015497C">
        <w:trPr>
          <w:trHeight w:val="315"/>
        </w:trPr>
        <w:tc>
          <w:tcPr>
            <w:cnfStyle w:val="001000000000" w:firstRow="0" w:lastRow="0" w:firstColumn="1" w:lastColumn="0" w:oddVBand="0" w:evenVBand="0" w:oddHBand="0" w:evenHBand="0" w:firstRowFirstColumn="0" w:firstRowLastColumn="0" w:lastRowFirstColumn="0" w:lastRowLastColumn="0"/>
            <w:tcW w:w="4361" w:type="dxa"/>
            <w:noWrap/>
            <w:hideMark/>
          </w:tcPr>
          <w:p w:rsidR="0067607A" w:rsidRPr="0067607A" w:rsidRDefault="0067607A" w:rsidP="005326B6">
            <w:r w:rsidRPr="0067607A">
              <w:t>Equity raising costs</w:t>
            </w:r>
          </w:p>
        </w:tc>
        <w:tc>
          <w:tcPr>
            <w:tcW w:w="4252" w:type="dxa"/>
            <w:noWrap/>
            <w:hideMark/>
          </w:tcPr>
          <w:p w:rsidR="0067607A" w:rsidRPr="0067607A" w:rsidRDefault="0067607A" w:rsidP="005326B6">
            <w:pPr>
              <w:cnfStyle w:val="000000000000" w:firstRow="0" w:lastRow="0" w:firstColumn="0" w:lastColumn="0" w:oddVBand="0" w:evenVBand="0" w:oddHBand="0" w:evenHBand="0" w:firstRowFirstColumn="0" w:firstRowLastColumn="0" w:lastRowFirstColumn="0" w:lastRowLastColumn="0"/>
            </w:pPr>
            <w:r w:rsidRPr="0067607A">
              <w:t>11</w:t>
            </w:r>
            <w:r w:rsidR="00CC41AA">
              <w:t xml:space="preserve"> per cent</w:t>
            </w:r>
          </w:p>
        </w:tc>
      </w:tr>
    </w:tbl>
    <w:p w:rsidR="0067607A" w:rsidRPr="0067607A" w:rsidRDefault="00A93102">
      <w:pPr>
        <w:pStyle w:val="AERtablesource"/>
      </w:pPr>
      <w:r w:rsidRPr="00A93102">
        <w:rPr>
          <w:rFonts w:eastAsia="Calibri"/>
        </w:rPr>
        <w:t xml:space="preserve">Source: </w:t>
      </w:r>
      <w:r w:rsidRPr="00A93102">
        <w:rPr>
          <w:rFonts w:eastAsia="Calibri"/>
        </w:rPr>
        <w:tab/>
        <w:t xml:space="preserve"> </w:t>
      </w:r>
      <w:r w:rsidR="0067607A" w:rsidRPr="0067607A">
        <w:t>AER analysis</w:t>
      </w:r>
      <w:r w:rsidR="00C71DB5">
        <w:t xml:space="preserve">; </w:t>
      </w:r>
      <w:r w:rsidR="00A17AF8" w:rsidRPr="00A17AF8">
        <w:t xml:space="preserve">JGN, </w:t>
      </w:r>
      <w:r w:rsidR="00A17AF8" w:rsidRPr="00671057">
        <w:rPr>
          <w:rStyle w:val="AERtextitalic"/>
        </w:rPr>
        <w:t>Submissions on draft decision, Attachment</w:t>
      </w:r>
      <w:r w:rsidR="00A17AF8" w:rsidRPr="00A17AF8">
        <w:rPr>
          <w:rStyle w:val="AERtextitalic"/>
        </w:rPr>
        <w:t xml:space="preserve"> N - updated appendix 10.1 - JGN revenue forecast model</w:t>
      </w:r>
      <w:r w:rsidR="00A17AF8" w:rsidRPr="00A17AF8">
        <w:t>, 27 March 2015.</w:t>
      </w:r>
    </w:p>
    <w:sectPr w:rsidR="0067607A" w:rsidRPr="0067607A"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3E" w:rsidRPr="00290C63" w:rsidRDefault="004C6B3E" w:rsidP="00290C63">
      <w:r>
        <w:separator/>
      </w:r>
    </w:p>
    <w:p w:rsidR="004C6B3E" w:rsidRDefault="004C6B3E"/>
  </w:endnote>
  <w:endnote w:type="continuationSeparator" w:id="0">
    <w:p w:rsidR="004C6B3E" w:rsidRPr="00290C63" w:rsidRDefault="004C6B3E" w:rsidP="00290C63">
      <w:r>
        <w:continuationSeparator/>
      </w:r>
    </w:p>
    <w:p w:rsidR="004C6B3E" w:rsidRDefault="004C6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Pr="00290C63" w:rsidRDefault="004C6B3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C6B3E" w:rsidRDefault="004C6B3E"/>
  <w:p w:rsidR="004C6B3E" w:rsidRDefault="004C6B3E"/>
  <w:p w:rsidR="004C6B3E" w:rsidRDefault="004C6B3E"/>
  <w:p w:rsidR="004C6B3E" w:rsidRDefault="004C6B3E"/>
  <w:p w:rsidR="004C6B3E" w:rsidRDefault="004C6B3E"/>
  <w:p w:rsidR="004C6B3E" w:rsidRDefault="004C6B3E"/>
  <w:p w:rsidR="004C6B3E" w:rsidRDefault="004C6B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4C6B3E" w:rsidRDefault="004C6B3E">
        <w:pPr>
          <w:pStyle w:val="Footer"/>
        </w:pPr>
        <w:r>
          <w:fldChar w:fldCharType="begin"/>
        </w:r>
        <w:r>
          <w:instrText xml:space="preserve"> PAGE   \* MERGEFORMAT </w:instrText>
        </w:r>
        <w:r>
          <w:fldChar w:fldCharType="separate"/>
        </w:r>
        <w:r w:rsidR="009854C0">
          <w:rPr>
            <w:noProof/>
          </w:rPr>
          <w:t>8-9</w:t>
        </w:r>
        <w:r>
          <w:rPr>
            <w:noProof/>
          </w:rPr>
          <w:fldChar w:fldCharType="end"/>
        </w:r>
        <w:r>
          <w:rPr>
            <w:noProof/>
          </w:rPr>
          <w:t xml:space="preserve">      </w:t>
        </w:r>
        <w:r>
          <w:t xml:space="preserve">        </w:t>
        </w:r>
        <w:r w:rsidR="00D70028">
          <w:t xml:space="preserve">                            </w:t>
        </w:r>
        <w:r>
          <w:t xml:space="preserve"> 8 </w:t>
        </w:r>
        <w:r>
          <w:rPr>
            <w:rFonts w:cs="Gautami"/>
            <w:noProof/>
          </w:rPr>
          <w:t>–</w:t>
        </w:r>
        <w:r>
          <w:t xml:space="preserve"> Corporate income tax</w:t>
        </w:r>
        <w:r>
          <w:rPr>
            <w:rFonts w:cs="Gautami"/>
            <w:noProof/>
          </w:rPr>
          <w:t xml:space="preserve"> | </w:t>
        </w:r>
        <w:r>
          <w:t>Final decision: Jemena Gas Networks</w:t>
        </w:r>
        <w:r>
          <w:rPr>
            <w:rFonts w:cs="Gautami"/>
            <w:noProof/>
          </w:rPr>
          <w:t xml:space="preserve"> 2015–20</w:t>
        </w:r>
      </w:p>
    </w:sdtContent>
  </w:sdt>
  <w:p w:rsidR="004C6B3E" w:rsidRDefault="004C6B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Pr="00290C63" w:rsidRDefault="004C6B3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C6B3E" w:rsidRDefault="004C6B3E">
    <w:pPr>
      <w:pStyle w:val="Footer"/>
    </w:pPr>
  </w:p>
  <w:p w:rsidR="004C6B3E" w:rsidRDefault="004C6B3E"/>
  <w:p w:rsidR="004C6B3E" w:rsidRDefault="004C6B3E"/>
  <w:p w:rsidR="004C6B3E" w:rsidRDefault="004C6B3E"/>
  <w:p w:rsidR="004C6B3E" w:rsidRDefault="004C6B3E"/>
  <w:p w:rsidR="004C6B3E" w:rsidRDefault="004C6B3E"/>
  <w:p w:rsidR="004C6B3E" w:rsidRDefault="004C6B3E"/>
  <w:p w:rsidR="004C6B3E" w:rsidRDefault="004C6B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3E" w:rsidRPr="00290C63" w:rsidRDefault="004C6B3E" w:rsidP="00290C63">
      <w:r>
        <w:separator/>
      </w:r>
    </w:p>
    <w:p w:rsidR="004C6B3E" w:rsidRDefault="004C6B3E"/>
  </w:footnote>
  <w:footnote w:type="continuationSeparator" w:id="0">
    <w:p w:rsidR="004C6B3E" w:rsidRPr="00290C63" w:rsidRDefault="004C6B3E" w:rsidP="00290C63">
      <w:r>
        <w:continuationSeparator/>
      </w:r>
    </w:p>
    <w:p w:rsidR="004C6B3E" w:rsidRDefault="004C6B3E"/>
  </w:footnote>
  <w:footnote w:id="1">
    <w:p w:rsidR="004C6B3E" w:rsidRDefault="004C6B3E" w:rsidP="006A5D79">
      <w:pPr>
        <w:pStyle w:val="FootnoteText"/>
      </w:pPr>
      <w:r>
        <w:rPr>
          <w:rStyle w:val="FootnoteReference"/>
        </w:rPr>
        <w:footnoteRef/>
      </w:r>
      <w:r>
        <w:t xml:space="preserve"> </w:t>
      </w:r>
      <w:r>
        <w:tab/>
        <w:t>NGR, r. 76(c).</w:t>
      </w:r>
    </w:p>
  </w:footnote>
  <w:footnote w:id="2">
    <w:p w:rsidR="004C6B3E" w:rsidRDefault="004C6B3E" w:rsidP="006A5D79">
      <w:pPr>
        <w:pStyle w:val="FootnoteText"/>
      </w:pPr>
      <w:r>
        <w:rPr>
          <w:rStyle w:val="FootnoteReference"/>
        </w:rPr>
        <w:footnoteRef/>
      </w:r>
      <w:r>
        <w:t xml:space="preserve"> </w:t>
      </w:r>
      <w:r>
        <w:tab/>
      </w:r>
      <w:r w:rsidRPr="00650613">
        <w:t xml:space="preserve">JGN, </w:t>
      </w:r>
      <w:r w:rsidRPr="00567E76">
        <w:rPr>
          <w:rStyle w:val="AERtextitalic"/>
        </w:rPr>
        <w:t xml:space="preserve">Revised </w:t>
      </w:r>
      <w:r>
        <w:rPr>
          <w:rStyle w:val="AERtextitalic"/>
        </w:rPr>
        <w:t>access arrangement</w:t>
      </w:r>
      <w:r w:rsidRPr="00567E76">
        <w:rPr>
          <w:rStyle w:val="AERtextitalic"/>
        </w:rPr>
        <w:t xml:space="preserve"> proposal, Appendix 10.1 Revenue model - updated,</w:t>
      </w:r>
      <w:r w:rsidRPr="00650613">
        <w:t xml:space="preserve"> February 2015</w:t>
      </w:r>
      <w:r>
        <w:t>.</w:t>
      </w:r>
    </w:p>
  </w:footnote>
  <w:footnote w:id="3">
    <w:p w:rsidR="009D49F2" w:rsidRDefault="009D49F2">
      <w:pPr>
        <w:pStyle w:val="FootnoteText"/>
      </w:pPr>
      <w:r>
        <w:rPr>
          <w:rStyle w:val="FootnoteReference"/>
        </w:rPr>
        <w:footnoteRef/>
      </w:r>
      <w:r>
        <w:t xml:space="preserve"> </w:t>
      </w:r>
      <w:r>
        <w:tab/>
        <w:t xml:space="preserve">JGN updated its proposed corporate income tax </w:t>
      </w:r>
      <w:r w:rsidRPr="00E52A6F">
        <w:t xml:space="preserve">after the submission of its revised proposal. JGN, </w:t>
      </w:r>
      <w:r w:rsidRPr="005F5101">
        <w:rPr>
          <w:rStyle w:val="AERtextitalic"/>
        </w:rPr>
        <w:t>Submissions on draft decision, Attachment N -</w:t>
      </w:r>
      <w:r w:rsidRPr="00E52A6F">
        <w:rPr>
          <w:rStyle w:val="AERtextitalic"/>
        </w:rPr>
        <w:t xml:space="preserve"> updated appendix 10.</w:t>
      </w:r>
      <w:r>
        <w:rPr>
          <w:rStyle w:val="AERtextitalic"/>
        </w:rPr>
        <w:t>1 - JGN revenue forecast model</w:t>
      </w:r>
      <w:r w:rsidRPr="00E52A6F">
        <w:t>, 27 March 2015.</w:t>
      </w:r>
    </w:p>
  </w:footnote>
  <w:footnote w:id="4">
    <w:p w:rsidR="004C6B3E" w:rsidRDefault="004C6B3E" w:rsidP="006A5D79">
      <w:pPr>
        <w:pStyle w:val="FootnoteText"/>
      </w:pPr>
      <w:r>
        <w:rPr>
          <w:rStyle w:val="FootnoteReference"/>
        </w:rPr>
        <w:footnoteRef/>
      </w:r>
      <w:r>
        <w:t xml:space="preserve"> </w:t>
      </w:r>
      <w:r>
        <w:tab/>
        <w:t>Changes to other building block costs affect revenues, which also impact the tax calculation.</w:t>
      </w:r>
    </w:p>
  </w:footnote>
  <w:footnote w:id="5">
    <w:p w:rsidR="001C527B" w:rsidRDefault="001C527B">
      <w:pPr>
        <w:pStyle w:val="FootnoteText"/>
      </w:pPr>
      <w:r>
        <w:rPr>
          <w:rStyle w:val="FootnoteReference"/>
        </w:rPr>
        <w:footnoteRef/>
      </w:r>
      <w:r>
        <w:t xml:space="preserve"> </w:t>
      </w:r>
      <w:r>
        <w:tab/>
        <w:t>NGR, rr. 64(1) &amp; (4).</w:t>
      </w:r>
    </w:p>
  </w:footnote>
  <w:footnote w:id="6">
    <w:p w:rsidR="004C6B3E" w:rsidRDefault="004C6B3E">
      <w:pPr>
        <w:pStyle w:val="FootnoteText"/>
      </w:pPr>
      <w:r>
        <w:rPr>
          <w:rStyle w:val="FootnoteReference"/>
        </w:rPr>
        <w:footnoteRef/>
      </w:r>
      <w:r>
        <w:t xml:space="preserve"> </w:t>
      </w:r>
      <w:r>
        <w:tab/>
      </w:r>
      <w:r w:rsidRPr="00A17AF8">
        <w:t xml:space="preserve">JGN updated its proposed </w:t>
      </w:r>
      <w:r>
        <w:t xml:space="preserve">corporate income tax </w:t>
      </w:r>
      <w:r w:rsidRPr="00A17AF8">
        <w:t xml:space="preserve">after the submission of its revised proposal. JGN, </w:t>
      </w:r>
      <w:r w:rsidRPr="00671057">
        <w:rPr>
          <w:rStyle w:val="AERtextitalic"/>
        </w:rPr>
        <w:t>Submissions on draft decision, Attachm</w:t>
      </w:r>
      <w:r w:rsidRPr="00A17AF8">
        <w:rPr>
          <w:rStyle w:val="AERtextitalic"/>
        </w:rPr>
        <w:t>ent N - updated appendix 10.</w:t>
      </w:r>
      <w:r w:rsidR="00671057">
        <w:rPr>
          <w:rStyle w:val="AERtextitalic"/>
        </w:rPr>
        <w:t>1 - JGN revenue forecast model</w:t>
      </w:r>
      <w:r w:rsidRPr="00A17AF8">
        <w:t>, 27 March 2015.</w:t>
      </w:r>
    </w:p>
  </w:footnote>
  <w:footnote w:id="7">
    <w:p w:rsidR="004C6B3E" w:rsidRDefault="004C6B3E">
      <w:pPr>
        <w:pStyle w:val="FootnoteText"/>
      </w:pPr>
      <w:r>
        <w:rPr>
          <w:rStyle w:val="FootnoteReference"/>
        </w:rPr>
        <w:footnoteRef/>
      </w:r>
      <w:r>
        <w:t xml:space="preserve"> </w:t>
      </w:r>
      <w:r>
        <w:tab/>
      </w:r>
      <w:r w:rsidRPr="00A17AF8">
        <w:t xml:space="preserve">JGN, </w:t>
      </w:r>
      <w:r w:rsidRPr="00A17AF8">
        <w:rPr>
          <w:rStyle w:val="AERtextitalic"/>
        </w:rPr>
        <w:t>Revised access arrangement proposal, Appendix 10.1 Revenue model - updated,</w:t>
      </w:r>
      <w:r w:rsidRPr="00A17AF8">
        <w:t xml:space="preserve"> February 2015.</w:t>
      </w:r>
    </w:p>
  </w:footnote>
  <w:footnote w:id="8">
    <w:p w:rsidR="004C6B3E" w:rsidRDefault="004C6B3E">
      <w:pPr>
        <w:pStyle w:val="FootnoteText"/>
      </w:pPr>
      <w:r>
        <w:rPr>
          <w:rStyle w:val="FootnoteReference"/>
        </w:rPr>
        <w:footnoteRef/>
      </w:r>
      <w:r>
        <w:t xml:space="preserve"> </w:t>
      </w:r>
      <w:r>
        <w:tab/>
      </w:r>
      <w:r w:rsidRPr="00650613">
        <w:t xml:space="preserve">JGN, </w:t>
      </w:r>
      <w:r w:rsidRPr="00567E76">
        <w:rPr>
          <w:rStyle w:val="AERtextitalic"/>
        </w:rPr>
        <w:t xml:space="preserve">Revised </w:t>
      </w:r>
      <w:r>
        <w:rPr>
          <w:rStyle w:val="AERtextitalic"/>
        </w:rPr>
        <w:t>access arrangement</w:t>
      </w:r>
      <w:r w:rsidRPr="00567E76">
        <w:rPr>
          <w:rStyle w:val="AERtextitalic"/>
        </w:rPr>
        <w:t xml:space="preserve"> proposal, Appendix 10.1 Revenue model - updated,</w:t>
      </w:r>
      <w:r w:rsidRPr="00650613">
        <w:t xml:space="preserve"> February 2015</w:t>
      </w:r>
      <w:r>
        <w:t>.</w:t>
      </w:r>
    </w:p>
    <w:p w:rsidR="004C6B3E" w:rsidRDefault="004C6B3E">
      <w:pPr>
        <w:pStyle w:val="FootnoteText"/>
      </w:pPr>
      <w:r>
        <w:tab/>
      </w:r>
      <w:r w:rsidRPr="00835B36">
        <w:t xml:space="preserve">JGN updated the </w:t>
      </w:r>
      <w:r>
        <w:t>proposed projection of tax asset</w:t>
      </w:r>
      <w:r w:rsidRPr="00835B36">
        <w:t xml:space="preserve"> base after the revised proposal. JGN, </w:t>
      </w:r>
      <w:r w:rsidRPr="00671057">
        <w:rPr>
          <w:rStyle w:val="AERtextitalic"/>
        </w:rPr>
        <w:t>Submissions on draft decision, Attachment N - updated appen</w:t>
      </w:r>
      <w:r w:rsidRPr="00835B36">
        <w:rPr>
          <w:rStyle w:val="AERtextitalic"/>
        </w:rPr>
        <w:t>dix 10.1 - JGN revenue forecast model</w:t>
      </w:r>
      <w:r w:rsidRPr="00835B36">
        <w:t>, 27 March 2015.</w:t>
      </w:r>
    </w:p>
  </w:footnote>
  <w:footnote w:id="9">
    <w:p w:rsidR="004C6B3E" w:rsidRDefault="004C6B3E" w:rsidP="00B15E1A">
      <w:pPr>
        <w:pStyle w:val="FootnoteText"/>
      </w:pPr>
      <w:r>
        <w:rPr>
          <w:rStyle w:val="FootnoteReference"/>
        </w:rPr>
        <w:footnoteRef/>
      </w:r>
      <w:r>
        <w:t xml:space="preserve"> </w:t>
      </w:r>
      <w:r>
        <w:tab/>
      </w:r>
      <w:r w:rsidRPr="00650613">
        <w:t xml:space="preserve">JGN, </w:t>
      </w:r>
      <w:r w:rsidRPr="00567E76">
        <w:rPr>
          <w:rStyle w:val="AERtextitalic"/>
        </w:rPr>
        <w:t xml:space="preserve">Revised </w:t>
      </w:r>
      <w:r>
        <w:rPr>
          <w:rStyle w:val="AERtextitalic"/>
        </w:rPr>
        <w:t>access arrangement</w:t>
      </w:r>
      <w:r w:rsidRPr="00567E76">
        <w:rPr>
          <w:rStyle w:val="AERtextitalic"/>
        </w:rPr>
        <w:t xml:space="preserve"> proposal, Appendix 10.1 Revenue model - updated,</w:t>
      </w:r>
      <w:r w:rsidRPr="00650613">
        <w:t xml:space="preserve"> February 2015</w:t>
      </w:r>
      <w:r>
        <w:t>.</w:t>
      </w:r>
    </w:p>
  </w:footnote>
  <w:footnote w:id="10">
    <w:p w:rsidR="004C6B3E" w:rsidRDefault="004C6B3E">
      <w:pPr>
        <w:pStyle w:val="FootnoteText"/>
      </w:pPr>
      <w:r>
        <w:rPr>
          <w:rStyle w:val="FootnoteReference"/>
        </w:rPr>
        <w:footnoteRef/>
      </w:r>
      <w:r>
        <w:t xml:space="preserve"> </w:t>
      </w:r>
      <w:r>
        <w:tab/>
      </w:r>
      <w:r w:rsidRPr="00650613">
        <w:t xml:space="preserve">JGN, </w:t>
      </w:r>
      <w:r w:rsidRPr="00567E76">
        <w:rPr>
          <w:rStyle w:val="AERtextitalic"/>
        </w:rPr>
        <w:t xml:space="preserve">Revised </w:t>
      </w:r>
      <w:r>
        <w:rPr>
          <w:rStyle w:val="AERtextitalic"/>
        </w:rPr>
        <w:t>access arrangement</w:t>
      </w:r>
      <w:r w:rsidRPr="00567E76">
        <w:rPr>
          <w:rStyle w:val="AERtextitalic"/>
        </w:rPr>
        <w:t xml:space="preserve"> proposal, Appendix 10.1 Revenue model - updated,</w:t>
      </w:r>
      <w:r w:rsidRPr="00650613">
        <w:t xml:space="preserve"> February 2015</w:t>
      </w:r>
      <w:r>
        <w:t>.</w:t>
      </w:r>
    </w:p>
  </w:footnote>
  <w:footnote w:id="11">
    <w:p w:rsidR="004C6B3E" w:rsidRDefault="004C6B3E" w:rsidP="00300490">
      <w:pPr>
        <w:pStyle w:val="FootnoteText"/>
      </w:pPr>
      <w:r>
        <w:rPr>
          <w:rStyle w:val="FootnoteReference"/>
        </w:rPr>
        <w:footnoteRef/>
      </w:r>
      <w:r>
        <w:t xml:space="preserve"> </w:t>
      </w:r>
      <w:r>
        <w:tab/>
        <w:t xml:space="preserve">AER, </w:t>
      </w:r>
      <w:r>
        <w:rPr>
          <w:rStyle w:val="AERtextitalic"/>
        </w:rPr>
        <w:t xml:space="preserve">Draft decision, </w:t>
      </w:r>
      <w:r w:rsidRPr="005C78F1">
        <w:rPr>
          <w:rStyle w:val="AERtextitalic"/>
        </w:rPr>
        <w:t>attachment 2</w:t>
      </w:r>
      <w:r>
        <w:t>, November 2014, pp. 13–14.</w:t>
      </w:r>
    </w:p>
  </w:footnote>
  <w:footnote w:id="12">
    <w:p w:rsidR="004C6B3E" w:rsidRDefault="004C6B3E" w:rsidP="0067607A">
      <w:pPr>
        <w:pStyle w:val="FootnoteText"/>
      </w:pPr>
      <w:r>
        <w:rPr>
          <w:rStyle w:val="FootnoteReference"/>
        </w:rPr>
        <w:footnoteRef/>
      </w:r>
      <w:r>
        <w:t xml:space="preserve"> </w:t>
      </w:r>
      <w:r>
        <w:tab/>
        <w:t>NGR, r. 87A.</w:t>
      </w:r>
    </w:p>
  </w:footnote>
  <w:footnote w:id="13">
    <w:p w:rsidR="004C6B3E" w:rsidRDefault="004C6B3E">
      <w:pPr>
        <w:pStyle w:val="FootnoteText"/>
      </w:pPr>
      <w:r>
        <w:rPr>
          <w:rStyle w:val="FootnoteReference"/>
        </w:rPr>
        <w:footnoteRef/>
      </w:r>
      <w:r>
        <w:t xml:space="preserve"> </w:t>
      </w:r>
      <w:r>
        <w:tab/>
      </w:r>
      <w:r w:rsidRPr="00650613">
        <w:t xml:space="preserve">JGN, </w:t>
      </w:r>
      <w:r w:rsidRPr="00567E76">
        <w:rPr>
          <w:rStyle w:val="AERtextitalic"/>
        </w:rPr>
        <w:t xml:space="preserve">Revised </w:t>
      </w:r>
      <w:r>
        <w:rPr>
          <w:rStyle w:val="AERtextitalic"/>
        </w:rPr>
        <w:t>access arrangement</w:t>
      </w:r>
      <w:r w:rsidRPr="00567E76">
        <w:rPr>
          <w:rStyle w:val="AERtextitalic"/>
        </w:rPr>
        <w:t xml:space="preserve"> proposal, Appendix 10.1 Revenue model - updated,</w:t>
      </w:r>
      <w:r w:rsidRPr="00650613">
        <w:t xml:space="preserve"> February 2015</w:t>
      </w:r>
      <w:r>
        <w:t>.</w:t>
      </w:r>
      <w:r w:rsidR="0076038A">
        <w:t xml:space="preserve"> These were updated in </w:t>
      </w:r>
      <w:r w:rsidR="0076038A" w:rsidRPr="00A17AF8">
        <w:t xml:space="preserve">JGN, </w:t>
      </w:r>
      <w:r w:rsidR="0076038A" w:rsidRPr="00671057">
        <w:rPr>
          <w:rStyle w:val="AERtextitalic"/>
        </w:rPr>
        <w:t>Submissions on draft decision</w:t>
      </w:r>
      <w:r w:rsidR="0076038A" w:rsidRPr="00A17AF8">
        <w:t xml:space="preserve">, </w:t>
      </w:r>
      <w:r w:rsidR="0076038A" w:rsidRPr="00A17AF8">
        <w:rPr>
          <w:rStyle w:val="AERtextitalic"/>
        </w:rPr>
        <w:t>Attachment N - updated appendix 10.</w:t>
      </w:r>
      <w:r w:rsidR="00671057">
        <w:rPr>
          <w:rStyle w:val="AERtextitalic"/>
        </w:rPr>
        <w:t>1 - JGN revenue forecast model</w:t>
      </w:r>
      <w:r w:rsidR="0076038A" w:rsidRPr="00A17AF8">
        <w:t>, 27 March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2784418"/>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6AEEC72C"/>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AC6DD7"/>
    <w:multiLevelType w:val="multilevel"/>
    <w:tmpl w:val="950A1C52"/>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19"/>
  </w:num>
  <w:num w:numId="39">
    <w:abstractNumId w:val="22"/>
  </w:num>
  <w:num w:numId="40">
    <w:abstractNumId w:val="35"/>
  </w:num>
  <w:num w:numId="41">
    <w:abstractNumId w:val="3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7GFJ4R82/RM54QD6nCg5P0IgnFl/c7gpSb97q6kL338=" w:saltValue="wxrbcVhGkHqHDzYDPkLPlQ==" w:algorithmName="SHA-256"/>
  <w:defaultTabStop w:val="34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JGN gas 2015 reset\COORD ONLY Final decision - Public\Overview and attachments - Public\AER - Final decision JGN distribution access arrangement - Attachment 8 - Corporate income tax - June 2015.docx"/>
  </w:docVars>
  <w:rsids>
    <w:rsidRoot w:val="00961A4A"/>
    <w:rsid w:val="00021202"/>
    <w:rsid w:val="0002517F"/>
    <w:rsid w:val="0003070A"/>
    <w:rsid w:val="00034073"/>
    <w:rsid w:val="0003578C"/>
    <w:rsid w:val="00062744"/>
    <w:rsid w:val="00063247"/>
    <w:rsid w:val="00070F9F"/>
    <w:rsid w:val="0007137B"/>
    <w:rsid w:val="00085663"/>
    <w:rsid w:val="00085EBF"/>
    <w:rsid w:val="000A3020"/>
    <w:rsid w:val="000A6C7B"/>
    <w:rsid w:val="000D122C"/>
    <w:rsid w:val="000E1819"/>
    <w:rsid w:val="000E4821"/>
    <w:rsid w:val="000E6C72"/>
    <w:rsid w:val="00111D39"/>
    <w:rsid w:val="00116EB2"/>
    <w:rsid w:val="00124609"/>
    <w:rsid w:val="00126A4C"/>
    <w:rsid w:val="0014573B"/>
    <w:rsid w:val="0015497C"/>
    <w:rsid w:val="001573E4"/>
    <w:rsid w:val="00160756"/>
    <w:rsid w:val="0017232E"/>
    <w:rsid w:val="00174102"/>
    <w:rsid w:val="00180157"/>
    <w:rsid w:val="00185CB9"/>
    <w:rsid w:val="00186F77"/>
    <w:rsid w:val="001870F4"/>
    <w:rsid w:val="001926A4"/>
    <w:rsid w:val="00192AD5"/>
    <w:rsid w:val="001B45A0"/>
    <w:rsid w:val="001C2A4E"/>
    <w:rsid w:val="001C527B"/>
    <w:rsid w:val="001D055E"/>
    <w:rsid w:val="001F492E"/>
    <w:rsid w:val="001F6DA3"/>
    <w:rsid w:val="002010BC"/>
    <w:rsid w:val="00202E03"/>
    <w:rsid w:val="0020492C"/>
    <w:rsid w:val="00215AD2"/>
    <w:rsid w:val="00224DB9"/>
    <w:rsid w:val="00233775"/>
    <w:rsid w:val="00251745"/>
    <w:rsid w:val="00263AC0"/>
    <w:rsid w:val="00264264"/>
    <w:rsid w:val="0026772D"/>
    <w:rsid w:val="0027373D"/>
    <w:rsid w:val="00286874"/>
    <w:rsid w:val="00290C63"/>
    <w:rsid w:val="00296B65"/>
    <w:rsid w:val="002A7DEF"/>
    <w:rsid w:val="002B1703"/>
    <w:rsid w:val="002E7B22"/>
    <w:rsid w:val="002F7986"/>
    <w:rsid w:val="00300490"/>
    <w:rsid w:val="00301B40"/>
    <w:rsid w:val="003029EE"/>
    <w:rsid w:val="00305CC8"/>
    <w:rsid w:val="00307F6D"/>
    <w:rsid w:val="003177A2"/>
    <w:rsid w:val="003271B5"/>
    <w:rsid w:val="00327A1E"/>
    <w:rsid w:val="00331264"/>
    <w:rsid w:val="00334C8D"/>
    <w:rsid w:val="00343A18"/>
    <w:rsid w:val="00345E4F"/>
    <w:rsid w:val="003518B3"/>
    <w:rsid w:val="0037098B"/>
    <w:rsid w:val="003846F1"/>
    <w:rsid w:val="003B484F"/>
    <w:rsid w:val="003F174D"/>
    <w:rsid w:val="004328E1"/>
    <w:rsid w:val="0045777E"/>
    <w:rsid w:val="00480B4B"/>
    <w:rsid w:val="00485DC4"/>
    <w:rsid w:val="004A0FAC"/>
    <w:rsid w:val="004A43D1"/>
    <w:rsid w:val="004B2341"/>
    <w:rsid w:val="004B4412"/>
    <w:rsid w:val="004C348C"/>
    <w:rsid w:val="004C6B3E"/>
    <w:rsid w:val="004D55BA"/>
    <w:rsid w:val="004E22EC"/>
    <w:rsid w:val="004F66C0"/>
    <w:rsid w:val="005275E3"/>
    <w:rsid w:val="00530128"/>
    <w:rsid w:val="00532467"/>
    <w:rsid w:val="005326B6"/>
    <w:rsid w:val="00564A4D"/>
    <w:rsid w:val="00567BA5"/>
    <w:rsid w:val="00571B35"/>
    <w:rsid w:val="00571D57"/>
    <w:rsid w:val="00577A09"/>
    <w:rsid w:val="005829C2"/>
    <w:rsid w:val="00584D8F"/>
    <w:rsid w:val="00595615"/>
    <w:rsid w:val="005A404D"/>
    <w:rsid w:val="005B1E3C"/>
    <w:rsid w:val="005C26CC"/>
    <w:rsid w:val="005D4CD4"/>
    <w:rsid w:val="005D7BA2"/>
    <w:rsid w:val="005E36C2"/>
    <w:rsid w:val="00615C6B"/>
    <w:rsid w:val="00621DCE"/>
    <w:rsid w:val="00632D6D"/>
    <w:rsid w:val="00642C3E"/>
    <w:rsid w:val="0066104A"/>
    <w:rsid w:val="00663DAD"/>
    <w:rsid w:val="00671057"/>
    <w:rsid w:val="00675E20"/>
    <w:rsid w:val="0067607A"/>
    <w:rsid w:val="00676679"/>
    <w:rsid w:val="00683C89"/>
    <w:rsid w:val="006A5D79"/>
    <w:rsid w:val="006B2395"/>
    <w:rsid w:val="006B4CF9"/>
    <w:rsid w:val="006B7AC8"/>
    <w:rsid w:val="006D550F"/>
    <w:rsid w:val="00701CAB"/>
    <w:rsid w:val="00707563"/>
    <w:rsid w:val="0072348C"/>
    <w:rsid w:val="00724A37"/>
    <w:rsid w:val="007303C3"/>
    <w:rsid w:val="0073391F"/>
    <w:rsid w:val="007429BE"/>
    <w:rsid w:val="00743223"/>
    <w:rsid w:val="00746E01"/>
    <w:rsid w:val="00757BDF"/>
    <w:rsid w:val="0076038A"/>
    <w:rsid w:val="00763E5D"/>
    <w:rsid w:val="00767740"/>
    <w:rsid w:val="00777EE6"/>
    <w:rsid w:val="00782EEA"/>
    <w:rsid w:val="007B2C72"/>
    <w:rsid w:val="007B49E1"/>
    <w:rsid w:val="007C1C53"/>
    <w:rsid w:val="007C74BB"/>
    <w:rsid w:val="007E4904"/>
    <w:rsid w:val="007E4CB5"/>
    <w:rsid w:val="007F066B"/>
    <w:rsid w:val="008033C4"/>
    <w:rsid w:val="00806C88"/>
    <w:rsid w:val="0081034E"/>
    <w:rsid w:val="0082643B"/>
    <w:rsid w:val="0083105D"/>
    <w:rsid w:val="008344F6"/>
    <w:rsid w:val="0083510F"/>
    <w:rsid w:val="00835B36"/>
    <w:rsid w:val="008429DE"/>
    <w:rsid w:val="00851209"/>
    <w:rsid w:val="00875CAF"/>
    <w:rsid w:val="008837AC"/>
    <w:rsid w:val="008A587D"/>
    <w:rsid w:val="008B35CD"/>
    <w:rsid w:val="008B5FCC"/>
    <w:rsid w:val="008C5486"/>
    <w:rsid w:val="008D1661"/>
    <w:rsid w:val="008E27C2"/>
    <w:rsid w:val="008E7031"/>
    <w:rsid w:val="008E77DE"/>
    <w:rsid w:val="008F07A3"/>
    <w:rsid w:val="00900E1B"/>
    <w:rsid w:val="009233EE"/>
    <w:rsid w:val="00936EC7"/>
    <w:rsid w:val="00943A7C"/>
    <w:rsid w:val="009460AA"/>
    <w:rsid w:val="00951978"/>
    <w:rsid w:val="00961A4A"/>
    <w:rsid w:val="009661DE"/>
    <w:rsid w:val="00983C25"/>
    <w:rsid w:val="009854C0"/>
    <w:rsid w:val="009856B7"/>
    <w:rsid w:val="00985C86"/>
    <w:rsid w:val="009967AB"/>
    <w:rsid w:val="009A5FC3"/>
    <w:rsid w:val="009B74B0"/>
    <w:rsid w:val="009D49F2"/>
    <w:rsid w:val="009D678C"/>
    <w:rsid w:val="009D6B46"/>
    <w:rsid w:val="009F2BD2"/>
    <w:rsid w:val="009F4940"/>
    <w:rsid w:val="009F5BA1"/>
    <w:rsid w:val="00A00DE7"/>
    <w:rsid w:val="00A02A88"/>
    <w:rsid w:val="00A0562E"/>
    <w:rsid w:val="00A0726D"/>
    <w:rsid w:val="00A169DF"/>
    <w:rsid w:val="00A17AF8"/>
    <w:rsid w:val="00A21F1F"/>
    <w:rsid w:val="00A32FBB"/>
    <w:rsid w:val="00A34E44"/>
    <w:rsid w:val="00A428EE"/>
    <w:rsid w:val="00A4478A"/>
    <w:rsid w:val="00A44852"/>
    <w:rsid w:val="00A57D04"/>
    <w:rsid w:val="00A60A26"/>
    <w:rsid w:val="00A61598"/>
    <w:rsid w:val="00A84A99"/>
    <w:rsid w:val="00A84F46"/>
    <w:rsid w:val="00A871F4"/>
    <w:rsid w:val="00A916BC"/>
    <w:rsid w:val="00A92460"/>
    <w:rsid w:val="00A93102"/>
    <w:rsid w:val="00AC1B2C"/>
    <w:rsid w:val="00AC3264"/>
    <w:rsid w:val="00AD5A46"/>
    <w:rsid w:val="00AE1BF1"/>
    <w:rsid w:val="00AF0DD2"/>
    <w:rsid w:val="00AF1F9E"/>
    <w:rsid w:val="00B13048"/>
    <w:rsid w:val="00B15E1A"/>
    <w:rsid w:val="00B1716D"/>
    <w:rsid w:val="00B17A1D"/>
    <w:rsid w:val="00B207A0"/>
    <w:rsid w:val="00B514DD"/>
    <w:rsid w:val="00B52AF0"/>
    <w:rsid w:val="00B561BD"/>
    <w:rsid w:val="00B56E03"/>
    <w:rsid w:val="00B62EC8"/>
    <w:rsid w:val="00B8080B"/>
    <w:rsid w:val="00B87BA5"/>
    <w:rsid w:val="00B87C39"/>
    <w:rsid w:val="00BA1898"/>
    <w:rsid w:val="00BA4665"/>
    <w:rsid w:val="00BB2FB2"/>
    <w:rsid w:val="00BB3304"/>
    <w:rsid w:val="00BD3446"/>
    <w:rsid w:val="00BE1F1B"/>
    <w:rsid w:val="00BE47B5"/>
    <w:rsid w:val="00C16AC3"/>
    <w:rsid w:val="00C25FA6"/>
    <w:rsid w:val="00C538A9"/>
    <w:rsid w:val="00C53B5A"/>
    <w:rsid w:val="00C54F5A"/>
    <w:rsid w:val="00C569B4"/>
    <w:rsid w:val="00C67A92"/>
    <w:rsid w:val="00C71DB5"/>
    <w:rsid w:val="00C84DB9"/>
    <w:rsid w:val="00C86679"/>
    <w:rsid w:val="00CA489E"/>
    <w:rsid w:val="00CA5825"/>
    <w:rsid w:val="00CB0279"/>
    <w:rsid w:val="00CB666B"/>
    <w:rsid w:val="00CC2A35"/>
    <w:rsid w:val="00CC41AA"/>
    <w:rsid w:val="00CC7F1D"/>
    <w:rsid w:val="00CE1FA9"/>
    <w:rsid w:val="00D006AE"/>
    <w:rsid w:val="00D01CF0"/>
    <w:rsid w:val="00D0442A"/>
    <w:rsid w:val="00D0577F"/>
    <w:rsid w:val="00D61388"/>
    <w:rsid w:val="00D61A54"/>
    <w:rsid w:val="00D64DEA"/>
    <w:rsid w:val="00D70028"/>
    <w:rsid w:val="00D7168E"/>
    <w:rsid w:val="00D71E57"/>
    <w:rsid w:val="00D80893"/>
    <w:rsid w:val="00D84854"/>
    <w:rsid w:val="00D92CF1"/>
    <w:rsid w:val="00D92D38"/>
    <w:rsid w:val="00D950F5"/>
    <w:rsid w:val="00DA288E"/>
    <w:rsid w:val="00DA4752"/>
    <w:rsid w:val="00DA61F3"/>
    <w:rsid w:val="00DB0F93"/>
    <w:rsid w:val="00DB1A67"/>
    <w:rsid w:val="00DB5074"/>
    <w:rsid w:val="00DC3137"/>
    <w:rsid w:val="00DC7981"/>
    <w:rsid w:val="00DD2080"/>
    <w:rsid w:val="00DD5364"/>
    <w:rsid w:val="00DE1093"/>
    <w:rsid w:val="00DE4EFA"/>
    <w:rsid w:val="00DE5520"/>
    <w:rsid w:val="00DE563D"/>
    <w:rsid w:val="00DF1D9A"/>
    <w:rsid w:val="00E04818"/>
    <w:rsid w:val="00E06442"/>
    <w:rsid w:val="00E23993"/>
    <w:rsid w:val="00E25B8C"/>
    <w:rsid w:val="00E65C85"/>
    <w:rsid w:val="00E66199"/>
    <w:rsid w:val="00E71E5A"/>
    <w:rsid w:val="00E755EC"/>
    <w:rsid w:val="00E7624D"/>
    <w:rsid w:val="00EA3D42"/>
    <w:rsid w:val="00EA6B1B"/>
    <w:rsid w:val="00ED7323"/>
    <w:rsid w:val="00EE28F3"/>
    <w:rsid w:val="00EE3A63"/>
    <w:rsid w:val="00EF5110"/>
    <w:rsid w:val="00EF5E7C"/>
    <w:rsid w:val="00F01204"/>
    <w:rsid w:val="00F063CA"/>
    <w:rsid w:val="00F10411"/>
    <w:rsid w:val="00F15882"/>
    <w:rsid w:val="00F171E0"/>
    <w:rsid w:val="00F17D97"/>
    <w:rsid w:val="00F20BD3"/>
    <w:rsid w:val="00F373A5"/>
    <w:rsid w:val="00F40EC9"/>
    <w:rsid w:val="00F474F4"/>
    <w:rsid w:val="00F47559"/>
    <w:rsid w:val="00F64C7B"/>
    <w:rsid w:val="00F676DD"/>
    <w:rsid w:val="00F74EE2"/>
    <w:rsid w:val="00F75A26"/>
    <w:rsid w:val="00F76706"/>
    <w:rsid w:val="00F83FAD"/>
    <w:rsid w:val="00F952A0"/>
    <w:rsid w:val="00FA3C7F"/>
    <w:rsid w:val="00FB5826"/>
    <w:rsid w:val="00FB74E2"/>
    <w:rsid w:val="00FC10C4"/>
    <w:rsid w:val="00FD1F59"/>
    <w:rsid w:val="00FD5614"/>
    <w:rsid w:val="00FE0BE1"/>
    <w:rsid w:val="00FE1DE9"/>
    <w:rsid w:val="00FE244D"/>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9469752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C5E84A68</Template>
  <TotalTime>0</TotalTime>
  <Pages>10</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2015-06-01T00:21:00Z</dcterms:created>
  <dcterms:modified xsi:type="dcterms:W3CDTF">2015-06-01T00:21:00Z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