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68C6FE1" wp14:editId="14ACE38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750FDB" w:rsidP="008F07A3">
          <w:pPr>
            <w:pStyle w:val="ReportSubtitle"/>
          </w:pPr>
          <w:r>
            <w:t>FINAL</w:t>
          </w:r>
          <w:r w:rsidR="00DA4752">
            <w:t xml:space="preserve"> DECISION</w:t>
          </w:r>
        </w:p>
        <w:p w:rsidR="000A6C7B" w:rsidRDefault="001201F1" w:rsidP="008F07A3">
          <w:pPr>
            <w:pStyle w:val="ReportSubtitle"/>
          </w:pPr>
          <w:r>
            <w:t>E</w:t>
          </w:r>
          <w:r w:rsidR="00A70772">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A078F">
            <w:t>2</w:t>
          </w:r>
          <w:r>
            <w:t xml:space="preserve"> </w:t>
          </w:r>
          <w:r>
            <w:rPr>
              <w:rFonts w:cs="Arial"/>
            </w:rPr>
            <w:t>−</w:t>
          </w:r>
          <w:r>
            <w:t xml:space="preserve"> </w:t>
          </w:r>
          <w:r w:rsidR="00DA078F">
            <w:t>Regulatory asset base</w:t>
          </w:r>
        </w:p>
        <w:p w:rsidR="000A6C7B" w:rsidRPr="00327A1E" w:rsidRDefault="00750FDB"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A700AB">
        <w:rPr>
          <w:rStyle w:val="AERbody"/>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30242653"/>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750FDB">
        <w:t>final</w:t>
      </w:r>
      <w:r>
        <w:t xml:space="preserve"> decision on </w:t>
      </w:r>
      <w:r w:rsidR="00A70772">
        <w:t>Ergon Energy</w:t>
      </w:r>
      <w:r w:rsidR="001201F1">
        <w:t>'s</w:t>
      </w:r>
      <w:r>
        <w:t xml:space="preserve"> 2015–20 distribution determination. It should be read with </w:t>
      </w:r>
      <w:r w:rsidR="00A700AB">
        <w:t xml:space="preserve">all </w:t>
      </w:r>
      <w:r>
        <w:t xml:space="preserve">other parts of the </w:t>
      </w:r>
      <w:r w:rsidR="00750FDB">
        <w:t xml:space="preserve">final </w:t>
      </w:r>
      <w:r>
        <w:t>decision.</w:t>
      </w:r>
    </w:p>
    <w:p w:rsidR="008F07A3" w:rsidRDefault="008F07A3" w:rsidP="008F07A3">
      <w:pPr>
        <w:numPr>
          <w:ilvl w:val="0"/>
          <w:numId w:val="25"/>
        </w:numPr>
      </w:pPr>
      <w:r>
        <w:t xml:space="preserve">The </w:t>
      </w:r>
      <w:r w:rsidR="00750FDB">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E60A0B">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3024265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114945"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0242653" w:history="1">
            <w:r w:rsidR="00114945" w:rsidRPr="009C38C3">
              <w:rPr>
                <w:rStyle w:val="Hyperlink"/>
              </w:rPr>
              <w:t>Note</w:t>
            </w:r>
            <w:r w:rsidR="00114945">
              <w:rPr>
                <w:webHidden/>
              </w:rPr>
              <w:tab/>
            </w:r>
            <w:r w:rsidR="00961C88">
              <w:rPr>
                <w:webHidden/>
              </w:rPr>
              <w:t>2-</w:t>
            </w:r>
            <w:r w:rsidR="00114945">
              <w:rPr>
                <w:webHidden/>
              </w:rPr>
              <w:fldChar w:fldCharType="begin"/>
            </w:r>
            <w:r w:rsidR="00114945">
              <w:rPr>
                <w:webHidden/>
              </w:rPr>
              <w:instrText xml:space="preserve"> PAGEREF _Toc430242653 \h </w:instrText>
            </w:r>
            <w:r w:rsidR="00114945">
              <w:rPr>
                <w:webHidden/>
              </w:rPr>
            </w:r>
            <w:r w:rsidR="00114945">
              <w:rPr>
                <w:webHidden/>
              </w:rPr>
              <w:fldChar w:fldCharType="separate"/>
            </w:r>
            <w:r w:rsidR="00D05727">
              <w:rPr>
                <w:webHidden/>
              </w:rPr>
              <w:t>2</w:t>
            </w:r>
            <w:r w:rsidR="00114945">
              <w:rPr>
                <w:webHidden/>
              </w:rPr>
              <w:fldChar w:fldCharType="end"/>
            </w:r>
          </w:hyperlink>
        </w:p>
        <w:p w:rsidR="00114945" w:rsidRDefault="00EF55BA">
          <w:pPr>
            <w:pStyle w:val="TOC1"/>
            <w:rPr>
              <w:rFonts w:asciiTheme="minorHAnsi" w:eastAsiaTheme="minorEastAsia" w:hAnsiTheme="minorHAnsi"/>
              <w:b w:val="0"/>
              <w:color w:val="auto"/>
              <w:sz w:val="22"/>
              <w:lang w:val="en-AU" w:eastAsia="en-AU"/>
            </w:rPr>
          </w:pPr>
          <w:hyperlink w:anchor="_Toc430242654" w:history="1">
            <w:r w:rsidR="00114945" w:rsidRPr="009C38C3">
              <w:rPr>
                <w:rStyle w:val="Hyperlink"/>
              </w:rPr>
              <w:t>Contents</w:t>
            </w:r>
            <w:r w:rsidR="00114945">
              <w:rPr>
                <w:webHidden/>
              </w:rPr>
              <w:tab/>
            </w:r>
            <w:r w:rsidR="00961C88">
              <w:rPr>
                <w:webHidden/>
              </w:rPr>
              <w:t>2-</w:t>
            </w:r>
            <w:r w:rsidR="00114945">
              <w:rPr>
                <w:webHidden/>
              </w:rPr>
              <w:fldChar w:fldCharType="begin"/>
            </w:r>
            <w:r w:rsidR="00114945">
              <w:rPr>
                <w:webHidden/>
              </w:rPr>
              <w:instrText xml:space="preserve"> PAGEREF _Toc430242654 \h </w:instrText>
            </w:r>
            <w:r w:rsidR="00114945">
              <w:rPr>
                <w:webHidden/>
              </w:rPr>
            </w:r>
            <w:r w:rsidR="00114945">
              <w:rPr>
                <w:webHidden/>
              </w:rPr>
              <w:fldChar w:fldCharType="separate"/>
            </w:r>
            <w:r w:rsidR="00D05727">
              <w:rPr>
                <w:webHidden/>
              </w:rPr>
              <w:t>3</w:t>
            </w:r>
            <w:r w:rsidR="00114945">
              <w:rPr>
                <w:webHidden/>
              </w:rPr>
              <w:fldChar w:fldCharType="end"/>
            </w:r>
          </w:hyperlink>
        </w:p>
        <w:p w:rsidR="00114945" w:rsidRDefault="00EF55BA">
          <w:pPr>
            <w:pStyle w:val="TOC1"/>
            <w:rPr>
              <w:rFonts w:asciiTheme="minorHAnsi" w:eastAsiaTheme="minorEastAsia" w:hAnsiTheme="minorHAnsi"/>
              <w:b w:val="0"/>
              <w:color w:val="auto"/>
              <w:sz w:val="22"/>
              <w:lang w:val="en-AU" w:eastAsia="en-AU"/>
            </w:rPr>
          </w:pPr>
          <w:hyperlink w:anchor="_Toc430242655" w:history="1">
            <w:r w:rsidR="00114945" w:rsidRPr="009C38C3">
              <w:rPr>
                <w:rStyle w:val="Hyperlink"/>
              </w:rPr>
              <w:t>Shortened forms</w:t>
            </w:r>
            <w:r w:rsidR="00114945">
              <w:rPr>
                <w:webHidden/>
              </w:rPr>
              <w:tab/>
            </w:r>
            <w:r w:rsidR="00961C88">
              <w:rPr>
                <w:webHidden/>
              </w:rPr>
              <w:t>2-</w:t>
            </w:r>
            <w:r w:rsidR="00114945">
              <w:rPr>
                <w:webHidden/>
              </w:rPr>
              <w:fldChar w:fldCharType="begin"/>
            </w:r>
            <w:r w:rsidR="00114945">
              <w:rPr>
                <w:webHidden/>
              </w:rPr>
              <w:instrText xml:space="preserve"> PAGEREF _Toc430242655 \h </w:instrText>
            </w:r>
            <w:r w:rsidR="00114945">
              <w:rPr>
                <w:webHidden/>
              </w:rPr>
            </w:r>
            <w:r w:rsidR="00114945">
              <w:rPr>
                <w:webHidden/>
              </w:rPr>
              <w:fldChar w:fldCharType="separate"/>
            </w:r>
            <w:r w:rsidR="00D05727">
              <w:rPr>
                <w:webHidden/>
              </w:rPr>
              <w:t>3</w:t>
            </w:r>
            <w:r w:rsidR="00114945">
              <w:rPr>
                <w:webHidden/>
              </w:rPr>
              <w:fldChar w:fldCharType="end"/>
            </w:r>
          </w:hyperlink>
        </w:p>
        <w:p w:rsidR="00114945" w:rsidRDefault="00EF55BA">
          <w:pPr>
            <w:pStyle w:val="TOC1"/>
            <w:rPr>
              <w:rFonts w:asciiTheme="minorHAnsi" w:eastAsiaTheme="minorEastAsia" w:hAnsiTheme="minorHAnsi"/>
              <w:b w:val="0"/>
              <w:color w:val="auto"/>
              <w:sz w:val="22"/>
              <w:lang w:val="en-AU" w:eastAsia="en-AU"/>
            </w:rPr>
          </w:pPr>
          <w:hyperlink w:anchor="_Toc430242656" w:history="1">
            <w:r w:rsidR="00114945" w:rsidRPr="009C38C3">
              <w:rPr>
                <w:rStyle w:val="Hyperlink"/>
              </w:rPr>
              <w:t>2</w:t>
            </w:r>
            <w:r w:rsidR="00114945">
              <w:rPr>
                <w:rFonts w:asciiTheme="minorHAnsi" w:eastAsiaTheme="minorEastAsia" w:hAnsiTheme="minorHAnsi"/>
                <w:b w:val="0"/>
                <w:color w:val="auto"/>
                <w:sz w:val="22"/>
                <w:lang w:val="en-AU" w:eastAsia="en-AU"/>
              </w:rPr>
              <w:tab/>
            </w:r>
            <w:r w:rsidR="00114945" w:rsidRPr="009C38C3">
              <w:rPr>
                <w:rStyle w:val="Hyperlink"/>
              </w:rPr>
              <w:t>Regulatory asset base</w:t>
            </w:r>
            <w:r w:rsidR="00114945">
              <w:rPr>
                <w:webHidden/>
              </w:rPr>
              <w:tab/>
            </w:r>
            <w:r w:rsidR="00961C88">
              <w:rPr>
                <w:webHidden/>
              </w:rPr>
              <w:t>2-</w:t>
            </w:r>
            <w:r w:rsidR="00114945">
              <w:rPr>
                <w:webHidden/>
              </w:rPr>
              <w:fldChar w:fldCharType="begin"/>
            </w:r>
            <w:r w:rsidR="00114945">
              <w:rPr>
                <w:webHidden/>
              </w:rPr>
              <w:instrText xml:space="preserve"> PAGEREF _Toc430242656 \h </w:instrText>
            </w:r>
            <w:r w:rsidR="00114945">
              <w:rPr>
                <w:webHidden/>
              </w:rPr>
            </w:r>
            <w:r w:rsidR="00114945">
              <w:rPr>
                <w:webHidden/>
              </w:rPr>
              <w:fldChar w:fldCharType="separate"/>
            </w:r>
            <w:r w:rsidR="00D05727">
              <w:rPr>
                <w:webHidden/>
              </w:rPr>
              <w:t>3</w:t>
            </w:r>
            <w:r w:rsidR="00114945">
              <w:rPr>
                <w:webHidden/>
              </w:rPr>
              <w:fldChar w:fldCharType="end"/>
            </w:r>
          </w:hyperlink>
        </w:p>
        <w:p w:rsidR="00114945" w:rsidRDefault="00EF55BA">
          <w:pPr>
            <w:pStyle w:val="TOC2"/>
            <w:rPr>
              <w:rFonts w:asciiTheme="minorHAnsi" w:eastAsiaTheme="minorEastAsia" w:hAnsiTheme="minorHAnsi"/>
              <w:b w:val="0"/>
              <w:color w:val="auto"/>
              <w:sz w:val="22"/>
              <w:lang w:eastAsia="en-AU"/>
            </w:rPr>
          </w:pPr>
          <w:hyperlink w:anchor="_Toc430242657" w:history="1">
            <w:r w:rsidR="00114945" w:rsidRPr="009C38C3">
              <w:rPr>
                <w:rStyle w:val="Hyperlink"/>
              </w:rPr>
              <w:t>2.1</w:t>
            </w:r>
            <w:r w:rsidR="00114945">
              <w:rPr>
                <w:rFonts w:asciiTheme="minorHAnsi" w:eastAsiaTheme="minorEastAsia" w:hAnsiTheme="minorHAnsi"/>
                <w:b w:val="0"/>
                <w:color w:val="auto"/>
                <w:sz w:val="22"/>
                <w:lang w:eastAsia="en-AU"/>
              </w:rPr>
              <w:tab/>
            </w:r>
            <w:r w:rsidR="00114945" w:rsidRPr="009C38C3">
              <w:rPr>
                <w:rStyle w:val="Hyperlink"/>
              </w:rPr>
              <w:t>Final decision</w:t>
            </w:r>
            <w:r w:rsidR="00114945">
              <w:rPr>
                <w:webHidden/>
              </w:rPr>
              <w:tab/>
            </w:r>
            <w:r w:rsidR="00961C88">
              <w:rPr>
                <w:webHidden/>
              </w:rPr>
              <w:t>2-</w:t>
            </w:r>
            <w:r w:rsidR="00114945">
              <w:rPr>
                <w:webHidden/>
              </w:rPr>
              <w:fldChar w:fldCharType="begin"/>
            </w:r>
            <w:r w:rsidR="00114945">
              <w:rPr>
                <w:webHidden/>
              </w:rPr>
              <w:instrText xml:space="preserve"> PAGEREF _Toc430242657 \h </w:instrText>
            </w:r>
            <w:r w:rsidR="00114945">
              <w:rPr>
                <w:webHidden/>
              </w:rPr>
            </w:r>
            <w:r w:rsidR="00114945">
              <w:rPr>
                <w:webHidden/>
              </w:rPr>
              <w:fldChar w:fldCharType="separate"/>
            </w:r>
            <w:r w:rsidR="00D05727">
              <w:rPr>
                <w:webHidden/>
              </w:rPr>
              <w:t>3</w:t>
            </w:r>
            <w:r w:rsidR="00114945">
              <w:rPr>
                <w:webHidden/>
              </w:rPr>
              <w:fldChar w:fldCharType="end"/>
            </w:r>
          </w:hyperlink>
        </w:p>
        <w:p w:rsidR="00114945" w:rsidRDefault="00EF55BA">
          <w:pPr>
            <w:pStyle w:val="TOC2"/>
            <w:rPr>
              <w:rFonts w:asciiTheme="minorHAnsi" w:eastAsiaTheme="minorEastAsia" w:hAnsiTheme="minorHAnsi"/>
              <w:b w:val="0"/>
              <w:color w:val="auto"/>
              <w:sz w:val="22"/>
              <w:lang w:eastAsia="en-AU"/>
            </w:rPr>
          </w:pPr>
          <w:hyperlink w:anchor="_Toc430242658" w:history="1">
            <w:r w:rsidR="00114945" w:rsidRPr="009C38C3">
              <w:rPr>
                <w:rStyle w:val="Hyperlink"/>
              </w:rPr>
              <w:t>2.2</w:t>
            </w:r>
            <w:r w:rsidR="00114945">
              <w:rPr>
                <w:rFonts w:asciiTheme="minorHAnsi" w:eastAsiaTheme="minorEastAsia" w:hAnsiTheme="minorHAnsi"/>
                <w:b w:val="0"/>
                <w:color w:val="auto"/>
                <w:sz w:val="22"/>
                <w:lang w:eastAsia="en-AU"/>
              </w:rPr>
              <w:tab/>
            </w:r>
            <w:r w:rsidR="00114945" w:rsidRPr="009C38C3">
              <w:rPr>
                <w:rStyle w:val="Hyperlink"/>
              </w:rPr>
              <w:t>Ergon Energy’s revised proposal</w:t>
            </w:r>
            <w:r w:rsidR="00114945">
              <w:rPr>
                <w:webHidden/>
              </w:rPr>
              <w:tab/>
            </w:r>
            <w:r w:rsidR="00961C88">
              <w:rPr>
                <w:webHidden/>
              </w:rPr>
              <w:t>2-</w:t>
            </w:r>
            <w:r w:rsidR="00114945">
              <w:rPr>
                <w:webHidden/>
              </w:rPr>
              <w:fldChar w:fldCharType="begin"/>
            </w:r>
            <w:r w:rsidR="00114945">
              <w:rPr>
                <w:webHidden/>
              </w:rPr>
              <w:instrText xml:space="preserve"> PAGEREF _Toc430242658 \h </w:instrText>
            </w:r>
            <w:r w:rsidR="00114945">
              <w:rPr>
                <w:webHidden/>
              </w:rPr>
            </w:r>
            <w:r w:rsidR="00114945">
              <w:rPr>
                <w:webHidden/>
              </w:rPr>
              <w:fldChar w:fldCharType="separate"/>
            </w:r>
            <w:r w:rsidR="00D05727">
              <w:rPr>
                <w:webHidden/>
              </w:rPr>
              <w:t>3</w:t>
            </w:r>
            <w:r w:rsidR="00114945">
              <w:rPr>
                <w:webHidden/>
              </w:rPr>
              <w:fldChar w:fldCharType="end"/>
            </w:r>
          </w:hyperlink>
        </w:p>
        <w:p w:rsidR="00114945" w:rsidRDefault="00EF55BA">
          <w:pPr>
            <w:pStyle w:val="TOC2"/>
            <w:rPr>
              <w:rFonts w:asciiTheme="minorHAnsi" w:eastAsiaTheme="minorEastAsia" w:hAnsiTheme="minorHAnsi"/>
              <w:b w:val="0"/>
              <w:color w:val="auto"/>
              <w:sz w:val="22"/>
              <w:lang w:eastAsia="en-AU"/>
            </w:rPr>
          </w:pPr>
          <w:hyperlink w:anchor="_Toc430242659" w:history="1">
            <w:r w:rsidR="00114945" w:rsidRPr="009C38C3">
              <w:rPr>
                <w:rStyle w:val="Hyperlink"/>
              </w:rPr>
              <w:t>2.3</w:t>
            </w:r>
            <w:r w:rsidR="00114945">
              <w:rPr>
                <w:rFonts w:asciiTheme="minorHAnsi" w:eastAsiaTheme="minorEastAsia" w:hAnsiTheme="minorHAnsi"/>
                <w:b w:val="0"/>
                <w:color w:val="auto"/>
                <w:sz w:val="22"/>
                <w:lang w:eastAsia="en-AU"/>
              </w:rPr>
              <w:tab/>
            </w:r>
            <w:r w:rsidR="00114945" w:rsidRPr="009C38C3">
              <w:rPr>
                <w:rStyle w:val="Hyperlink"/>
              </w:rPr>
              <w:t>AER’s assessment approach</w:t>
            </w:r>
            <w:r w:rsidR="00114945">
              <w:rPr>
                <w:webHidden/>
              </w:rPr>
              <w:tab/>
            </w:r>
            <w:r w:rsidR="00961C88">
              <w:rPr>
                <w:webHidden/>
              </w:rPr>
              <w:t>2-</w:t>
            </w:r>
            <w:r w:rsidR="00114945">
              <w:rPr>
                <w:webHidden/>
              </w:rPr>
              <w:fldChar w:fldCharType="begin"/>
            </w:r>
            <w:r w:rsidR="00114945">
              <w:rPr>
                <w:webHidden/>
              </w:rPr>
              <w:instrText xml:space="preserve"> PAGEREF _Toc430242659 \h </w:instrText>
            </w:r>
            <w:r w:rsidR="00114945">
              <w:rPr>
                <w:webHidden/>
              </w:rPr>
            </w:r>
            <w:r w:rsidR="00114945">
              <w:rPr>
                <w:webHidden/>
              </w:rPr>
              <w:fldChar w:fldCharType="separate"/>
            </w:r>
            <w:r w:rsidR="00D05727">
              <w:rPr>
                <w:webHidden/>
              </w:rPr>
              <w:t>3</w:t>
            </w:r>
            <w:r w:rsidR="00114945">
              <w:rPr>
                <w:webHidden/>
              </w:rPr>
              <w:fldChar w:fldCharType="end"/>
            </w:r>
          </w:hyperlink>
        </w:p>
        <w:p w:rsidR="00114945" w:rsidRDefault="00EF55BA">
          <w:pPr>
            <w:pStyle w:val="TOC2"/>
            <w:rPr>
              <w:rFonts w:asciiTheme="minorHAnsi" w:eastAsiaTheme="minorEastAsia" w:hAnsiTheme="minorHAnsi"/>
              <w:b w:val="0"/>
              <w:color w:val="auto"/>
              <w:sz w:val="22"/>
              <w:lang w:eastAsia="en-AU"/>
            </w:rPr>
          </w:pPr>
          <w:hyperlink w:anchor="_Toc430242660" w:history="1">
            <w:r w:rsidR="00114945" w:rsidRPr="009C38C3">
              <w:rPr>
                <w:rStyle w:val="Hyperlink"/>
              </w:rPr>
              <w:t>2.4</w:t>
            </w:r>
            <w:r w:rsidR="00114945">
              <w:rPr>
                <w:rFonts w:asciiTheme="minorHAnsi" w:eastAsiaTheme="minorEastAsia" w:hAnsiTheme="minorHAnsi"/>
                <w:b w:val="0"/>
                <w:color w:val="auto"/>
                <w:sz w:val="22"/>
                <w:lang w:eastAsia="en-AU"/>
              </w:rPr>
              <w:tab/>
            </w:r>
            <w:r w:rsidR="00114945" w:rsidRPr="009C38C3">
              <w:rPr>
                <w:rStyle w:val="Hyperlink"/>
              </w:rPr>
              <w:t>Reasons for final decision</w:t>
            </w:r>
            <w:r w:rsidR="00114945">
              <w:rPr>
                <w:webHidden/>
              </w:rPr>
              <w:tab/>
            </w:r>
            <w:r w:rsidR="00961C88">
              <w:rPr>
                <w:webHidden/>
              </w:rPr>
              <w:t>2-</w:t>
            </w:r>
            <w:r w:rsidR="00114945">
              <w:rPr>
                <w:webHidden/>
              </w:rPr>
              <w:fldChar w:fldCharType="begin"/>
            </w:r>
            <w:r w:rsidR="00114945">
              <w:rPr>
                <w:webHidden/>
              </w:rPr>
              <w:instrText xml:space="preserve"> PAGEREF _Toc430242660 \h </w:instrText>
            </w:r>
            <w:r w:rsidR="00114945">
              <w:rPr>
                <w:webHidden/>
              </w:rPr>
            </w:r>
            <w:r w:rsidR="00114945">
              <w:rPr>
                <w:webHidden/>
              </w:rPr>
              <w:fldChar w:fldCharType="separate"/>
            </w:r>
            <w:r w:rsidR="00D05727">
              <w:rPr>
                <w:webHidden/>
              </w:rPr>
              <w:t>3</w:t>
            </w:r>
            <w:r w:rsidR="00114945">
              <w:rPr>
                <w:webHidden/>
              </w:rPr>
              <w:fldChar w:fldCharType="end"/>
            </w:r>
          </w:hyperlink>
        </w:p>
        <w:p w:rsidR="00114945" w:rsidRDefault="00EF55BA">
          <w:pPr>
            <w:pStyle w:val="TOC3"/>
            <w:rPr>
              <w:rFonts w:asciiTheme="minorHAnsi" w:eastAsiaTheme="minorEastAsia" w:hAnsiTheme="minorHAnsi"/>
              <w:lang w:eastAsia="en-AU"/>
            </w:rPr>
          </w:pPr>
          <w:hyperlink w:anchor="_Toc430242661" w:history="1">
            <w:r w:rsidR="00114945" w:rsidRPr="009C38C3">
              <w:rPr>
                <w:rStyle w:val="Hyperlink"/>
              </w:rPr>
              <w:t>2.4.1</w:t>
            </w:r>
            <w:r w:rsidR="00114945">
              <w:rPr>
                <w:rFonts w:asciiTheme="minorHAnsi" w:eastAsiaTheme="minorEastAsia" w:hAnsiTheme="minorHAnsi"/>
                <w:lang w:eastAsia="en-AU"/>
              </w:rPr>
              <w:tab/>
            </w:r>
            <w:r w:rsidR="00114945" w:rsidRPr="009C38C3">
              <w:rPr>
                <w:rStyle w:val="Hyperlink"/>
              </w:rPr>
              <w:t>Opening RAB as at 1 July 2015</w:t>
            </w:r>
            <w:r w:rsidR="00114945">
              <w:rPr>
                <w:webHidden/>
              </w:rPr>
              <w:tab/>
            </w:r>
            <w:r w:rsidR="00961C88">
              <w:rPr>
                <w:webHidden/>
              </w:rPr>
              <w:t>2-</w:t>
            </w:r>
            <w:r w:rsidR="00114945">
              <w:rPr>
                <w:webHidden/>
              </w:rPr>
              <w:fldChar w:fldCharType="begin"/>
            </w:r>
            <w:r w:rsidR="00114945">
              <w:rPr>
                <w:webHidden/>
              </w:rPr>
              <w:instrText xml:space="preserve"> PAGEREF _Toc430242661 \h </w:instrText>
            </w:r>
            <w:r w:rsidR="00114945">
              <w:rPr>
                <w:webHidden/>
              </w:rPr>
            </w:r>
            <w:r w:rsidR="00114945">
              <w:rPr>
                <w:webHidden/>
              </w:rPr>
              <w:fldChar w:fldCharType="separate"/>
            </w:r>
            <w:r w:rsidR="00D05727">
              <w:rPr>
                <w:webHidden/>
              </w:rPr>
              <w:t>3</w:t>
            </w:r>
            <w:r w:rsidR="00114945">
              <w:rPr>
                <w:webHidden/>
              </w:rPr>
              <w:fldChar w:fldCharType="end"/>
            </w:r>
          </w:hyperlink>
        </w:p>
        <w:p w:rsidR="00114945" w:rsidRDefault="00EF55BA">
          <w:pPr>
            <w:pStyle w:val="TOC3"/>
            <w:rPr>
              <w:rFonts w:asciiTheme="minorHAnsi" w:eastAsiaTheme="minorEastAsia" w:hAnsiTheme="minorHAnsi"/>
              <w:lang w:eastAsia="en-AU"/>
            </w:rPr>
          </w:pPr>
          <w:hyperlink w:anchor="_Toc430242667" w:history="1">
            <w:r w:rsidR="00114945" w:rsidRPr="009C38C3">
              <w:rPr>
                <w:rStyle w:val="Hyperlink"/>
              </w:rPr>
              <w:t>2.4.2</w:t>
            </w:r>
            <w:r w:rsidR="00114945">
              <w:rPr>
                <w:rFonts w:asciiTheme="minorHAnsi" w:eastAsiaTheme="minorEastAsia" w:hAnsiTheme="minorHAnsi"/>
                <w:lang w:eastAsia="en-AU"/>
              </w:rPr>
              <w:tab/>
            </w:r>
            <w:r w:rsidR="00114945" w:rsidRPr="009C38C3">
              <w:rPr>
                <w:rStyle w:val="Hyperlink"/>
              </w:rPr>
              <w:t>Forecast closing RAB as at 30 June 2020</w:t>
            </w:r>
            <w:r w:rsidR="00114945">
              <w:rPr>
                <w:webHidden/>
              </w:rPr>
              <w:tab/>
            </w:r>
            <w:r w:rsidR="00961C88">
              <w:rPr>
                <w:webHidden/>
              </w:rPr>
              <w:t>2-</w:t>
            </w:r>
            <w:r w:rsidR="00114945">
              <w:rPr>
                <w:webHidden/>
              </w:rPr>
              <w:fldChar w:fldCharType="begin"/>
            </w:r>
            <w:r w:rsidR="00114945">
              <w:rPr>
                <w:webHidden/>
              </w:rPr>
              <w:instrText xml:space="preserve"> PAGEREF _Toc430242667 \h </w:instrText>
            </w:r>
            <w:r w:rsidR="00114945">
              <w:rPr>
                <w:webHidden/>
              </w:rPr>
            </w:r>
            <w:r w:rsidR="00114945">
              <w:rPr>
                <w:webHidden/>
              </w:rPr>
              <w:fldChar w:fldCharType="separate"/>
            </w:r>
            <w:r w:rsidR="00D05727">
              <w:rPr>
                <w:webHidden/>
              </w:rPr>
              <w:t>13</w:t>
            </w:r>
            <w:r w:rsidR="00114945">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0242655"/>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A700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B9704F" w:rsidTr="001C776B">
        <w:tc>
          <w:tcPr>
            <w:cnfStyle w:val="001000000000" w:firstRow="0" w:lastRow="0" w:firstColumn="1" w:lastColumn="0" w:oddVBand="0" w:evenVBand="0" w:oddHBand="0" w:evenHBand="0" w:firstRowFirstColumn="0" w:firstRowLastColumn="0" w:lastRowFirstColumn="0" w:lastRowLastColumn="0"/>
            <w:tcW w:w="4340" w:type="dxa"/>
          </w:tcPr>
          <w:p w:rsidR="00B9704F" w:rsidRDefault="00B9704F" w:rsidP="00375552">
            <w:pPr>
              <w:pStyle w:val="AERtabletextleft"/>
            </w:pPr>
            <w:r>
              <w:t>ABS</w:t>
            </w:r>
          </w:p>
        </w:tc>
        <w:tc>
          <w:tcPr>
            <w:tcW w:w="4353" w:type="dxa"/>
          </w:tcPr>
          <w:p w:rsidR="00B9704F" w:rsidRDefault="00B9704F" w:rsidP="0007702D">
            <w:pPr>
              <w:pStyle w:val="AERtabletextleft"/>
              <w:jc w:val="left"/>
              <w:cnfStyle w:val="000000000000" w:firstRow="0" w:lastRow="0" w:firstColumn="0" w:lastColumn="0" w:oddVBand="0" w:evenVBand="0" w:oddHBand="0" w:evenHBand="0" w:firstRowFirstColumn="0" w:firstRowLastColumn="0" w:lastRowFirstColumn="0" w:lastRowLastColumn="0"/>
            </w:pPr>
            <w:r>
              <w:t>Australian Bureau of Statistics</w:t>
            </w:r>
          </w:p>
        </w:tc>
      </w:tr>
      <w:tr w:rsidR="00375552" w:rsidTr="001C7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375552" w:rsidRDefault="00375552" w:rsidP="00375552">
            <w:pPr>
              <w:pStyle w:val="AERtabletextleft"/>
            </w:pPr>
            <w:r>
              <w:t>ACS</w:t>
            </w:r>
          </w:p>
        </w:tc>
        <w:tc>
          <w:tcPr>
            <w:tcW w:w="4353" w:type="dxa"/>
          </w:tcPr>
          <w:p w:rsidR="00375552" w:rsidRDefault="00375552" w:rsidP="008B46F3">
            <w:pPr>
              <w:pStyle w:val="AERtabletextleft"/>
              <w:jc w:val="left"/>
              <w:cnfStyle w:val="000000010000" w:firstRow="0" w:lastRow="0" w:firstColumn="0" w:lastColumn="0" w:oddVBand="0" w:evenVBand="0" w:oddHBand="0" w:evenHBand="1" w:firstRowFirstColumn="0" w:firstRowLastColumn="0" w:lastRowFirstColumn="0" w:lastRowLastColumn="0"/>
            </w:pPr>
            <w:r>
              <w:t>alternative control services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A546B4" w:rsidP="00A546B4">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750FDB"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A546B4">
              <w:t>G</w:t>
            </w:r>
            <w:r w:rsidR="00DE563D">
              <w:t>uideline for electricity distribution</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A546B4">
              <w:t xml:space="preserve">and </w:t>
            </w:r>
            <w:r>
              <w:t>pricing principles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465039">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07702D" w:rsidTr="00A700AB">
        <w:tc>
          <w:tcPr>
            <w:cnfStyle w:val="001000000000" w:firstRow="0" w:lastRow="0" w:firstColumn="1" w:lastColumn="0" w:oddVBand="0" w:evenVBand="0" w:oddHBand="0" w:evenHBand="0" w:firstRowFirstColumn="0" w:firstRowLastColumn="0" w:lastRowFirstColumn="0" w:lastRowLastColumn="0"/>
            <w:tcW w:w="4340" w:type="dxa"/>
          </w:tcPr>
          <w:p w:rsidR="0007702D" w:rsidRDefault="0007702D" w:rsidP="00DE563D">
            <w:pPr>
              <w:pStyle w:val="AERtabletextleft"/>
            </w:pPr>
            <w:r>
              <w:t>SCS</w:t>
            </w:r>
          </w:p>
        </w:tc>
        <w:tc>
          <w:tcPr>
            <w:tcW w:w="4353" w:type="dxa"/>
          </w:tcPr>
          <w:p w:rsidR="0007702D" w:rsidRDefault="0007702D" w:rsidP="0007702D">
            <w:pPr>
              <w:pStyle w:val="AERtabletextleft"/>
              <w:jc w:val="left"/>
              <w:cnfStyle w:val="000000000000" w:firstRow="0" w:lastRow="0" w:firstColumn="0" w:lastColumn="0" w:oddVBand="0" w:evenVBand="0" w:oddHBand="0" w:evenHBand="0" w:firstRowFirstColumn="0" w:firstRowLastColumn="0" w:lastRowFirstColumn="0" w:lastRowLastColumn="0"/>
            </w:pPr>
            <w:r>
              <w:t>standard control services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465039">
            <w:pPr>
              <w:pStyle w:val="AERtabletextleft"/>
              <w:jc w:val="lef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0F67F7" w:rsidRDefault="000F67F7" w:rsidP="00E60A0B">
      <w:pPr>
        <w:pStyle w:val="Heading1"/>
      </w:pPr>
      <w:bookmarkStart w:id="10" w:name="_Toc430242656"/>
      <w:r w:rsidRPr="00E60A0B">
        <w:lastRenderedPageBreak/>
        <w:t>Regulatory asset base</w:t>
      </w:r>
      <w:bookmarkEnd w:id="10"/>
    </w:p>
    <w:p w:rsidR="00B73248" w:rsidRPr="00B73248" w:rsidRDefault="00B73248" w:rsidP="00B73248">
      <w:r w:rsidRPr="004E658F">
        <w:t xml:space="preserve">We are required to make a decision on </w:t>
      </w:r>
      <w:r>
        <w:t>Ergon Energy</w:t>
      </w:r>
      <w:r w:rsidRPr="004E658F">
        <w:t>'s opening regulatory asset base (RAB) as at 1 July 201</w:t>
      </w:r>
      <w:r>
        <w:t>5</w:t>
      </w:r>
      <w:r w:rsidRPr="004E658F">
        <w:t>.</w:t>
      </w:r>
      <w:r>
        <w:rPr>
          <w:rStyle w:val="FootnoteReference"/>
        </w:rPr>
        <w:footnoteReference w:id="1"/>
      </w:r>
      <w:r w:rsidRPr="004E658F">
        <w:t xml:space="preserve"> We use the RAB at the start of each regulatory year to determine the return of capital (regulatory depreciation) and return on capital building block allowances. This attachment presents our </w:t>
      </w:r>
      <w:r>
        <w:t>final</w:t>
      </w:r>
      <w:r w:rsidRPr="004E658F">
        <w:t xml:space="preserve"> decision on the opening RAB value as at 1 July 201</w:t>
      </w:r>
      <w:r>
        <w:t>5</w:t>
      </w:r>
      <w:r w:rsidRPr="004E658F">
        <w:t xml:space="preserve"> for </w:t>
      </w:r>
      <w:r>
        <w:t>Ergon Energy</w:t>
      </w:r>
      <w:r w:rsidRPr="004E658F">
        <w:t xml:space="preserve"> and roll forward of the forecast RAB </w:t>
      </w:r>
      <w:r>
        <w:t xml:space="preserve">values </w:t>
      </w:r>
      <w:r w:rsidRPr="004E658F">
        <w:t>over the 201</w:t>
      </w:r>
      <w:r>
        <w:t>5</w:t>
      </w:r>
      <w:r w:rsidRPr="004E658F">
        <w:t>–</w:t>
      </w:r>
      <w:r>
        <w:t>20 regulatory control</w:t>
      </w:r>
      <w:r w:rsidRPr="004E658F">
        <w:t xml:space="preserve"> period.</w:t>
      </w:r>
    </w:p>
    <w:p w:rsidR="000F67F7" w:rsidRDefault="00750FDB" w:rsidP="00E60A0B">
      <w:pPr>
        <w:pStyle w:val="Heading2"/>
      </w:pPr>
      <w:bookmarkStart w:id="11" w:name="_Toc403060801"/>
      <w:bookmarkStart w:id="12" w:name="_Toc430242657"/>
      <w:r>
        <w:t>Final</w:t>
      </w:r>
      <w:r w:rsidR="000F67F7" w:rsidRPr="00E60A0B">
        <w:t xml:space="preserve"> decision</w:t>
      </w:r>
      <w:bookmarkEnd w:id="11"/>
      <w:bookmarkEnd w:id="12"/>
    </w:p>
    <w:p w:rsidR="00B73248" w:rsidRPr="00B73248" w:rsidRDefault="000802CB" w:rsidP="0066051D">
      <w:pPr>
        <w:rPr>
          <w:rStyle w:val="AERtexthighlight"/>
        </w:rPr>
      </w:pPr>
      <w:r>
        <w:t>We do not accept Ergon Energy's revised proposed opening RAB value of $</w:t>
      </w:r>
      <w:r w:rsidR="00272E94">
        <w:t>10</w:t>
      </w:r>
      <w:r w:rsidR="00A714D2">
        <w:t> </w:t>
      </w:r>
      <w:r w:rsidR="00272E94">
        <w:t xml:space="preserve">055.8 </w:t>
      </w:r>
      <w:r>
        <w:t xml:space="preserve">million ($ nominal) as at 1 July 2015. </w:t>
      </w:r>
      <w:r w:rsidR="00B73248" w:rsidRPr="00B73248">
        <w:t xml:space="preserve">We </w:t>
      </w:r>
      <w:r>
        <w:t xml:space="preserve">instead </w:t>
      </w:r>
      <w:r w:rsidR="009A414C">
        <w:t>determine an</w:t>
      </w:r>
      <w:r w:rsidR="00B73248" w:rsidRPr="00B73248">
        <w:t xml:space="preserve"> opening RAB of $</w:t>
      </w:r>
      <w:r w:rsidR="00272E94">
        <w:t>987</w:t>
      </w:r>
      <w:r w:rsidR="001259A0">
        <w:t>2.7</w:t>
      </w:r>
      <w:r w:rsidR="00272E94" w:rsidRPr="00B73248">
        <w:t> </w:t>
      </w:r>
      <w:r w:rsidR="00B73248" w:rsidRPr="00B73248">
        <w:t>million ($ nominal) as at 1 July 201</w:t>
      </w:r>
      <w:r w:rsidR="00B73248">
        <w:t>5</w:t>
      </w:r>
      <w:r w:rsidR="00B73248" w:rsidRPr="00B73248">
        <w:t xml:space="preserve">. </w:t>
      </w:r>
      <w:r>
        <w:t xml:space="preserve">This is because </w:t>
      </w:r>
      <w:r w:rsidR="00B73248">
        <w:t>Ergon</w:t>
      </w:r>
      <w:r w:rsidR="00B73248" w:rsidRPr="00B73248">
        <w:t xml:space="preserve"> Energy</w:t>
      </w:r>
      <w:r w:rsidR="00B25426">
        <w:t>'s revised proposal</w:t>
      </w:r>
      <w:r w:rsidR="00B73248" w:rsidRPr="00B73248">
        <w:t xml:space="preserve"> </w:t>
      </w:r>
      <w:r w:rsidR="0066051D" w:rsidRPr="0066051D">
        <w:rPr>
          <w:rStyle w:val="AERbody"/>
        </w:rPr>
        <w:t xml:space="preserve">repeated </w:t>
      </w:r>
      <w:r w:rsidR="009A414C">
        <w:rPr>
          <w:rStyle w:val="AERbody"/>
        </w:rPr>
        <w:t xml:space="preserve">the </w:t>
      </w:r>
      <w:r w:rsidR="0066051D" w:rsidRPr="0066051D">
        <w:rPr>
          <w:rStyle w:val="AERbody"/>
        </w:rPr>
        <w:t xml:space="preserve">error in its </w:t>
      </w:r>
      <w:r w:rsidR="00B25426">
        <w:rPr>
          <w:rStyle w:val="AERbody"/>
        </w:rPr>
        <w:t>initia</w:t>
      </w:r>
      <w:r w:rsidR="00B25426" w:rsidRPr="0066051D">
        <w:rPr>
          <w:rStyle w:val="AERbody"/>
        </w:rPr>
        <w:t xml:space="preserve">l </w:t>
      </w:r>
      <w:r w:rsidR="0066051D" w:rsidRPr="0066051D">
        <w:rPr>
          <w:rStyle w:val="AERbody"/>
        </w:rPr>
        <w:t xml:space="preserve">proposal of using incorrect </w:t>
      </w:r>
      <w:r w:rsidR="00B876B6" w:rsidRPr="0066051D">
        <w:rPr>
          <w:rStyle w:val="AERbody"/>
        </w:rPr>
        <w:t>remaining</w:t>
      </w:r>
      <w:r w:rsidR="0066051D" w:rsidRPr="0066051D">
        <w:rPr>
          <w:rStyle w:val="AERbody"/>
        </w:rPr>
        <w:t xml:space="preserve"> asset lives as at 1 July 2010</w:t>
      </w:r>
      <w:r w:rsidR="0066051D">
        <w:rPr>
          <w:rStyle w:val="AERbody"/>
        </w:rPr>
        <w:t xml:space="preserve">. </w:t>
      </w:r>
      <w:r>
        <w:rPr>
          <w:rStyle w:val="AERbody"/>
        </w:rPr>
        <w:t>We also made a</w:t>
      </w:r>
      <w:r w:rsidR="0066051D">
        <w:rPr>
          <w:rStyle w:val="AERbody"/>
        </w:rPr>
        <w:t xml:space="preserve">djustments </w:t>
      </w:r>
      <w:r w:rsidR="00B876B6">
        <w:rPr>
          <w:rStyle w:val="AERbody"/>
        </w:rPr>
        <w:t>to</w:t>
      </w:r>
      <w:r w:rsidR="0066051D">
        <w:rPr>
          <w:rStyle w:val="AERbody"/>
        </w:rPr>
        <w:t xml:space="preserve"> </w:t>
      </w:r>
      <w:r>
        <w:rPr>
          <w:rStyle w:val="AERbody"/>
        </w:rPr>
        <w:t xml:space="preserve">account for </w:t>
      </w:r>
      <w:r w:rsidR="00B25426">
        <w:rPr>
          <w:rStyle w:val="AERbody"/>
        </w:rPr>
        <w:t xml:space="preserve">actual </w:t>
      </w:r>
      <w:r w:rsidR="0066051D">
        <w:rPr>
          <w:rStyle w:val="AERbody"/>
        </w:rPr>
        <w:t xml:space="preserve">inflation </w:t>
      </w:r>
      <w:r w:rsidR="00B876B6">
        <w:rPr>
          <w:rStyle w:val="AERbody"/>
        </w:rPr>
        <w:t>for 2014</w:t>
      </w:r>
      <w:r w:rsidR="00B25426">
        <w:rPr>
          <w:rStyle w:val="AERbody"/>
        </w:rPr>
        <w:t>–</w:t>
      </w:r>
      <w:r w:rsidR="00B876B6">
        <w:rPr>
          <w:rStyle w:val="AERbody"/>
        </w:rPr>
        <w:t xml:space="preserve">15, capitalised provisions, and removal of </w:t>
      </w:r>
      <w:r w:rsidR="004472E0">
        <w:rPr>
          <w:rStyle w:val="AERbody"/>
        </w:rPr>
        <w:t xml:space="preserve">other </w:t>
      </w:r>
      <w:r w:rsidR="00876FA9">
        <w:rPr>
          <w:rStyle w:val="AERbody"/>
        </w:rPr>
        <w:t xml:space="preserve">assets used for </w:t>
      </w:r>
      <w:r w:rsidR="00B25426">
        <w:rPr>
          <w:rStyle w:val="AERbody"/>
        </w:rPr>
        <w:t>alternative control services (</w:t>
      </w:r>
      <w:r w:rsidR="00B876B6">
        <w:rPr>
          <w:rStyle w:val="AERbody"/>
        </w:rPr>
        <w:t>ACS</w:t>
      </w:r>
      <w:r w:rsidR="00B25426">
        <w:rPr>
          <w:rStyle w:val="AERbody"/>
        </w:rPr>
        <w:t>)</w:t>
      </w:r>
      <w:r w:rsidR="00B876B6">
        <w:rPr>
          <w:rStyle w:val="AERbody"/>
        </w:rPr>
        <w:t xml:space="preserve"> </w:t>
      </w:r>
      <w:r w:rsidR="004472E0">
        <w:rPr>
          <w:rStyle w:val="AERbody"/>
        </w:rPr>
        <w:t>besides meters</w:t>
      </w:r>
      <w:r w:rsidR="00B876B6">
        <w:rPr>
          <w:rStyle w:val="AERbody"/>
        </w:rPr>
        <w:t xml:space="preserve">. </w:t>
      </w:r>
      <w:r w:rsidR="0066051D">
        <w:rPr>
          <w:rStyle w:val="AERtexthighlight"/>
        </w:rPr>
        <w:t xml:space="preserve">  </w:t>
      </w:r>
    </w:p>
    <w:p w:rsidR="00B73248" w:rsidRPr="00B876B6" w:rsidRDefault="00326928" w:rsidP="00B73248">
      <w:pPr>
        <w:rPr>
          <w:rStyle w:val="AERbody"/>
        </w:rPr>
      </w:pPr>
      <w:r>
        <w:t xml:space="preserve">For this final decision, we maintain our preliminary decision position </w:t>
      </w:r>
      <w:r w:rsidR="00B73248" w:rsidRPr="00B876B6">
        <w:rPr>
          <w:rStyle w:val="AERbody"/>
        </w:rPr>
        <w:t>on the use of forecast depreciation for establishing the RAB at the commencement of the regulatory</w:t>
      </w:r>
      <w:r w:rsidR="00B876B6" w:rsidRPr="00B876B6">
        <w:rPr>
          <w:rStyle w:val="AERbody"/>
        </w:rPr>
        <w:t xml:space="preserve"> control period from 1 July 2020</w:t>
      </w:r>
      <w:r>
        <w:rPr>
          <w:rStyle w:val="AERbody"/>
        </w:rPr>
        <w:t>.</w:t>
      </w:r>
      <w:r w:rsidRPr="00326928">
        <w:rPr>
          <w:rStyle w:val="AERbody"/>
        </w:rPr>
        <w:t xml:space="preserve"> </w:t>
      </w:r>
      <w:r w:rsidRPr="00B876B6">
        <w:rPr>
          <w:rStyle w:val="AERbody"/>
        </w:rPr>
        <w:t xml:space="preserve">Ergon Energy's revised proposal </w:t>
      </w:r>
      <w:r>
        <w:rPr>
          <w:rStyle w:val="AERbody"/>
        </w:rPr>
        <w:t>noted</w:t>
      </w:r>
      <w:r w:rsidRPr="00B876B6">
        <w:rPr>
          <w:rStyle w:val="AERbody"/>
        </w:rPr>
        <w:t xml:space="preserve"> our preliminary decision</w:t>
      </w:r>
      <w:r w:rsidRPr="00326928">
        <w:rPr>
          <w:rStyle w:val="AERbody"/>
        </w:rPr>
        <w:t xml:space="preserve"> </w:t>
      </w:r>
      <w:r w:rsidRPr="00B876B6">
        <w:rPr>
          <w:rStyle w:val="AERbody"/>
        </w:rPr>
        <w:t>on this issue</w:t>
      </w:r>
      <w:r w:rsidR="00B73248" w:rsidRPr="00B876B6">
        <w:rPr>
          <w:rStyle w:val="AERbody"/>
        </w:rPr>
        <w:t>.</w:t>
      </w:r>
      <w:r w:rsidR="00624DAB">
        <w:rPr>
          <w:rStyle w:val="FootnoteReference"/>
        </w:rPr>
        <w:footnoteReference w:id="2"/>
      </w:r>
      <w:r w:rsidR="00B73248" w:rsidRPr="00B876B6">
        <w:rPr>
          <w:rStyle w:val="AERbody"/>
        </w:rPr>
        <w:t xml:space="preserve"> </w:t>
      </w:r>
    </w:p>
    <w:p w:rsidR="00B73248" w:rsidRPr="00B876B6" w:rsidRDefault="00B862B1" w:rsidP="00B73248">
      <w:pPr>
        <w:rPr>
          <w:rStyle w:val="AERbody"/>
        </w:rPr>
      </w:pPr>
      <w:r>
        <w:rPr>
          <w:rStyle w:val="AERbody"/>
        </w:rPr>
        <w:fldChar w:fldCharType="begin"/>
      </w:r>
      <w:r>
        <w:rPr>
          <w:rStyle w:val="AERbody"/>
        </w:rPr>
        <w:instrText xml:space="preserve"> REF _Ref416938074 \h </w:instrText>
      </w:r>
      <w:r>
        <w:rPr>
          <w:rStyle w:val="AERbody"/>
        </w:rPr>
      </w:r>
      <w:r>
        <w:rPr>
          <w:rStyle w:val="AERbody"/>
        </w:rPr>
        <w:fldChar w:fldCharType="separate"/>
      </w:r>
      <w:r w:rsidR="00D05727" w:rsidRPr="009A414C">
        <w:t xml:space="preserve">Table </w:t>
      </w:r>
      <w:r w:rsidR="00D05727">
        <w:rPr>
          <w:noProof/>
        </w:rPr>
        <w:t>2</w:t>
      </w:r>
      <w:r w:rsidR="00D05727" w:rsidRPr="009A414C">
        <w:t>.</w:t>
      </w:r>
      <w:r w:rsidR="00D05727">
        <w:rPr>
          <w:noProof/>
        </w:rPr>
        <w:t>1</w:t>
      </w:r>
      <w:r>
        <w:rPr>
          <w:rStyle w:val="AERbody"/>
        </w:rPr>
        <w:fldChar w:fldCharType="end"/>
      </w:r>
      <w:r>
        <w:rPr>
          <w:rStyle w:val="AERbody"/>
        </w:rPr>
        <w:t xml:space="preserve"> </w:t>
      </w:r>
      <w:r w:rsidR="00B73248" w:rsidRPr="00B876B6">
        <w:rPr>
          <w:rStyle w:val="AERbody"/>
        </w:rPr>
        <w:t>sets out our final decision on the roll forward</w:t>
      </w:r>
      <w:r w:rsidR="00B876B6">
        <w:rPr>
          <w:rStyle w:val="AERbody"/>
        </w:rPr>
        <w:t xml:space="preserve"> of the RAB values for the </w:t>
      </w:r>
      <w:r w:rsidR="00867111">
        <w:rPr>
          <w:rStyle w:val="AERbody"/>
        </w:rPr>
        <w:br/>
      </w:r>
      <w:r w:rsidR="00B876B6">
        <w:rPr>
          <w:rStyle w:val="AERbody"/>
        </w:rPr>
        <w:t>2010–15</w:t>
      </w:r>
      <w:r w:rsidR="00B73248" w:rsidRPr="00B876B6">
        <w:rPr>
          <w:rStyle w:val="AERbody"/>
        </w:rPr>
        <w:t xml:space="preserve"> regulatory control period. </w:t>
      </w:r>
    </w:p>
    <w:p w:rsidR="00B73248" w:rsidRPr="00B876B6" w:rsidRDefault="00B73248" w:rsidP="00B73248">
      <w:pPr>
        <w:rPr>
          <w:rStyle w:val="AERbody"/>
        </w:rPr>
      </w:pPr>
      <w:r w:rsidRPr="00B876B6">
        <w:rPr>
          <w:rStyle w:val="AERbody"/>
        </w:rPr>
        <w:t>We determine a forecast closing RAB value at 30 June 20</w:t>
      </w:r>
      <w:r w:rsidR="00B876B6" w:rsidRPr="00B876B6">
        <w:rPr>
          <w:rStyle w:val="AERbody"/>
        </w:rPr>
        <w:t>20</w:t>
      </w:r>
      <w:r w:rsidRPr="00B876B6">
        <w:rPr>
          <w:rStyle w:val="AERbody"/>
        </w:rPr>
        <w:t xml:space="preserve"> of $</w:t>
      </w:r>
      <w:r w:rsidR="00D869EA">
        <w:rPr>
          <w:rStyle w:val="AERbody"/>
        </w:rPr>
        <w:t>12 </w:t>
      </w:r>
      <w:r w:rsidR="00E232CA">
        <w:rPr>
          <w:rStyle w:val="AERbody"/>
        </w:rPr>
        <w:t>184.0</w:t>
      </w:r>
      <w:r w:rsidRPr="00B876B6">
        <w:rPr>
          <w:rStyle w:val="AERbody"/>
        </w:rPr>
        <w:t> million ($ nominal). This is $</w:t>
      </w:r>
      <w:r w:rsidR="00E232CA">
        <w:rPr>
          <w:rStyle w:val="AERbody"/>
        </w:rPr>
        <w:t xml:space="preserve">605.9 </w:t>
      </w:r>
      <w:r w:rsidRPr="00B876B6">
        <w:rPr>
          <w:rStyle w:val="AERbody"/>
        </w:rPr>
        <w:t xml:space="preserve">million (or </w:t>
      </w:r>
      <w:r w:rsidR="00323102">
        <w:rPr>
          <w:rStyle w:val="AERbody"/>
        </w:rPr>
        <w:t>4.</w:t>
      </w:r>
      <w:r w:rsidR="00E232CA">
        <w:rPr>
          <w:rStyle w:val="AERbody"/>
        </w:rPr>
        <w:t>7</w:t>
      </w:r>
      <w:r w:rsidRPr="00B876B6">
        <w:rPr>
          <w:rStyle w:val="AERbody"/>
        </w:rPr>
        <w:t> per cent) lower than the amount of $</w:t>
      </w:r>
      <w:r w:rsidR="00D869EA">
        <w:rPr>
          <w:rStyle w:val="AERbody"/>
        </w:rPr>
        <w:t>12 789.9 </w:t>
      </w:r>
      <w:r w:rsidRPr="00B876B6">
        <w:rPr>
          <w:rStyle w:val="AERbody"/>
        </w:rPr>
        <w:t xml:space="preserve">million ($ nominal) in </w:t>
      </w:r>
      <w:r w:rsidR="00B876B6" w:rsidRPr="00B876B6">
        <w:rPr>
          <w:rStyle w:val="AERbody"/>
        </w:rPr>
        <w:t>Ergon</w:t>
      </w:r>
      <w:r w:rsidRPr="00B876B6">
        <w:rPr>
          <w:rStyle w:val="AERbody"/>
        </w:rPr>
        <w:t xml:space="preserve"> Energy's revised proposal. Our final decision on the forecast closing RAB reflects our adjustments to </w:t>
      </w:r>
      <w:r w:rsidR="00B876B6" w:rsidRPr="00B876B6">
        <w:rPr>
          <w:rStyle w:val="AERbody"/>
        </w:rPr>
        <w:t>Ergon</w:t>
      </w:r>
      <w:r w:rsidRPr="00B876B6">
        <w:rPr>
          <w:rStyle w:val="AERbody"/>
        </w:rPr>
        <w:t xml:space="preserve"> Energy's</w:t>
      </w:r>
      <w:r w:rsidR="00B25426">
        <w:rPr>
          <w:rStyle w:val="AERbody"/>
        </w:rPr>
        <w:t xml:space="preserve"> opening RAB as at 1 July 2015,</w:t>
      </w:r>
      <w:r w:rsidRPr="00B876B6">
        <w:rPr>
          <w:rStyle w:val="AERbody"/>
        </w:rPr>
        <w:t xml:space="preserve"> forecast</w:t>
      </w:r>
      <w:r w:rsidR="00B876B6" w:rsidRPr="00B876B6">
        <w:rPr>
          <w:rStyle w:val="AERbody"/>
        </w:rPr>
        <w:t xml:space="preserve"> capex (attachment </w:t>
      </w:r>
      <w:r w:rsidR="00D70AD1">
        <w:rPr>
          <w:rStyle w:val="AERbody"/>
        </w:rPr>
        <w:t>6)</w:t>
      </w:r>
      <w:r w:rsidR="00B876B6" w:rsidRPr="00B876B6">
        <w:rPr>
          <w:rStyle w:val="AERbody"/>
        </w:rPr>
        <w:t>, forecast</w:t>
      </w:r>
      <w:r w:rsidRPr="00B876B6">
        <w:rPr>
          <w:rStyle w:val="AERbody"/>
        </w:rPr>
        <w:t xml:space="preserve"> regulatory depreciation (attachment 5)</w:t>
      </w:r>
      <w:r w:rsidR="00B876B6">
        <w:rPr>
          <w:rStyle w:val="AERbody"/>
        </w:rPr>
        <w:t>,</w:t>
      </w:r>
      <w:r w:rsidRPr="00B876B6">
        <w:rPr>
          <w:rStyle w:val="AERbody"/>
        </w:rPr>
        <w:t xml:space="preserve"> and the forecast inflation rate (attachment 3).</w:t>
      </w:r>
    </w:p>
    <w:p w:rsidR="00B73248" w:rsidRDefault="00B862B1" w:rsidP="00B73248">
      <w:pPr>
        <w:rPr>
          <w:rStyle w:val="AERbody"/>
        </w:rPr>
      </w:pPr>
      <w:r>
        <w:rPr>
          <w:rStyle w:val="AERbody"/>
        </w:rPr>
        <w:fldChar w:fldCharType="begin"/>
      </w:r>
      <w:r>
        <w:rPr>
          <w:rStyle w:val="AERbody"/>
        </w:rPr>
        <w:instrText xml:space="preserve"> REF _Ref406144543 \h </w:instrText>
      </w:r>
      <w:r>
        <w:rPr>
          <w:rStyle w:val="AERbody"/>
        </w:rPr>
      </w:r>
      <w:r>
        <w:rPr>
          <w:rStyle w:val="AERbody"/>
        </w:rPr>
        <w:fldChar w:fldCharType="separate"/>
      </w:r>
      <w:r w:rsidR="00D05727" w:rsidRPr="009A414C">
        <w:t xml:space="preserve">Table </w:t>
      </w:r>
      <w:r w:rsidR="00D05727">
        <w:rPr>
          <w:noProof/>
        </w:rPr>
        <w:t>2</w:t>
      </w:r>
      <w:r w:rsidR="00D05727" w:rsidRPr="009A414C">
        <w:t>.</w:t>
      </w:r>
      <w:r w:rsidR="00D05727">
        <w:rPr>
          <w:noProof/>
        </w:rPr>
        <w:t>2</w:t>
      </w:r>
      <w:r>
        <w:rPr>
          <w:rStyle w:val="AERbody"/>
        </w:rPr>
        <w:fldChar w:fldCharType="end"/>
      </w:r>
      <w:r>
        <w:rPr>
          <w:rStyle w:val="AERbody"/>
        </w:rPr>
        <w:t xml:space="preserve"> </w:t>
      </w:r>
      <w:r w:rsidR="00B73248" w:rsidRPr="00B876B6">
        <w:rPr>
          <w:rStyle w:val="AERbody"/>
        </w:rPr>
        <w:t>sets out our final decision on the forecast RAB values for E</w:t>
      </w:r>
      <w:r w:rsidR="00B876B6">
        <w:rPr>
          <w:rStyle w:val="AERbody"/>
        </w:rPr>
        <w:t>rgon</w:t>
      </w:r>
      <w:r w:rsidR="00B73248" w:rsidRPr="00B876B6">
        <w:rPr>
          <w:rStyle w:val="AERbody"/>
        </w:rPr>
        <w:t xml:space="preserve"> Energy over the </w:t>
      </w:r>
      <w:r w:rsidR="00B876B6">
        <w:rPr>
          <w:rStyle w:val="AERbody"/>
        </w:rPr>
        <w:t>2015</w:t>
      </w:r>
      <w:r w:rsidR="00B73248" w:rsidRPr="00B876B6">
        <w:rPr>
          <w:rStyle w:val="AERbody"/>
        </w:rPr>
        <w:t>–</w:t>
      </w:r>
      <w:r w:rsidR="00B876B6">
        <w:rPr>
          <w:rStyle w:val="AERbody"/>
        </w:rPr>
        <w:t>20</w:t>
      </w:r>
      <w:r w:rsidR="00B73248" w:rsidRPr="00B876B6">
        <w:rPr>
          <w:rStyle w:val="AERbody"/>
        </w:rPr>
        <w:t xml:space="preserve"> </w:t>
      </w:r>
      <w:r w:rsidR="00B876B6">
        <w:rPr>
          <w:rStyle w:val="AERbody"/>
        </w:rPr>
        <w:t xml:space="preserve">regulatory control </w:t>
      </w:r>
      <w:r w:rsidR="00B73248" w:rsidRPr="00B876B6">
        <w:rPr>
          <w:rStyle w:val="AERbody"/>
        </w:rPr>
        <w:t>period.</w:t>
      </w:r>
    </w:p>
    <w:p w:rsidR="00624DAB" w:rsidRDefault="00624DAB" w:rsidP="00B73248">
      <w:pPr>
        <w:rPr>
          <w:rStyle w:val="AERbody"/>
        </w:rPr>
      </w:pPr>
    </w:p>
    <w:p w:rsidR="009A414C" w:rsidRPr="009A414C" w:rsidRDefault="009A414C" w:rsidP="009A414C">
      <w:pPr>
        <w:pStyle w:val="Caption"/>
      </w:pPr>
      <w:bookmarkStart w:id="13" w:name="_Ref416938074"/>
      <w:r w:rsidRPr="009A414C">
        <w:lastRenderedPageBreak/>
        <w:t xml:space="preserve">Table </w:t>
      </w:r>
      <w:r w:rsidR="00EF55BA">
        <w:fldChar w:fldCharType="begin"/>
      </w:r>
      <w:r w:rsidR="00EF55BA">
        <w:instrText xml:space="preserve"> STYLEREF 1 \s </w:instrText>
      </w:r>
      <w:r w:rsidR="00EF55BA">
        <w:fldChar w:fldCharType="separate"/>
      </w:r>
      <w:r w:rsidR="00D05727">
        <w:rPr>
          <w:noProof/>
        </w:rPr>
        <w:t>2</w:t>
      </w:r>
      <w:r w:rsidR="00EF55BA">
        <w:rPr>
          <w:noProof/>
        </w:rPr>
        <w:fldChar w:fldCharType="end"/>
      </w:r>
      <w:r w:rsidRPr="009A414C">
        <w:t>.</w:t>
      </w:r>
      <w:r w:rsidR="00EF55BA">
        <w:fldChar w:fldCharType="begin"/>
      </w:r>
      <w:r w:rsidR="00EF55BA">
        <w:instrText xml:space="preserve"> SEQ Table \* ARABIC \s 1 </w:instrText>
      </w:r>
      <w:r w:rsidR="00EF55BA">
        <w:fldChar w:fldCharType="separate"/>
      </w:r>
      <w:r w:rsidR="00D05727">
        <w:rPr>
          <w:noProof/>
        </w:rPr>
        <w:t>1</w:t>
      </w:r>
      <w:r w:rsidR="00EF55BA">
        <w:rPr>
          <w:noProof/>
        </w:rPr>
        <w:fldChar w:fldCharType="end"/>
      </w:r>
      <w:bookmarkEnd w:id="13"/>
      <w:r w:rsidRPr="009A414C">
        <w:tab/>
        <w:t>AER's final decision on E</w:t>
      </w:r>
      <w:r>
        <w:t>rgon Energy</w:t>
      </w:r>
      <w:r w:rsidRPr="009A414C">
        <w:t>'s RAB for the 2010–15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9A414C" w:rsidRPr="009A414C" w:rsidTr="009A414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9A414C" w:rsidRPr="009A414C" w:rsidRDefault="009A414C" w:rsidP="009A414C">
            <w:r w:rsidRPr="009A414C">
              <w:t> </w:t>
            </w:r>
          </w:p>
        </w:tc>
        <w:tc>
          <w:tcPr>
            <w:tcW w:w="566"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2010–11</w:t>
            </w:r>
          </w:p>
        </w:tc>
        <w:tc>
          <w:tcPr>
            <w:tcW w:w="566"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2011–12</w:t>
            </w:r>
          </w:p>
        </w:tc>
        <w:tc>
          <w:tcPr>
            <w:tcW w:w="567"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2012–13</w:t>
            </w:r>
          </w:p>
        </w:tc>
        <w:tc>
          <w:tcPr>
            <w:tcW w:w="566"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2013–14</w:t>
            </w:r>
          </w:p>
        </w:tc>
        <w:tc>
          <w:tcPr>
            <w:tcW w:w="567"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2014–15</w:t>
            </w:r>
            <w:r w:rsidRPr="0086661B">
              <w:rPr>
                <w:rStyle w:val="AERsuperscript"/>
              </w:rPr>
              <w:t>a</w:t>
            </w:r>
          </w:p>
        </w:tc>
      </w:tr>
      <w:tr w:rsidR="00B651DF" w:rsidRPr="009A414C" w:rsidTr="009A414C">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651DF" w:rsidRPr="00B651DF" w:rsidRDefault="00B651DF" w:rsidP="00B651DF">
            <w:r w:rsidRPr="00B651DF">
              <w:t>Opening RAB</w:t>
            </w:r>
          </w:p>
        </w:tc>
        <w:tc>
          <w:tcPr>
            <w:tcW w:w="566"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7148.9</w:t>
            </w:r>
          </w:p>
        </w:tc>
        <w:tc>
          <w:tcPr>
            <w:tcW w:w="566"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7848.5</w:t>
            </w:r>
          </w:p>
        </w:tc>
        <w:tc>
          <w:tcPr>
            <w:tcW w:w="567"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8370.7</w:t>
            </w:r>
          </w:p>
        </w:tc>
        <w:tc>
          <w:tcPr>
            <w:tcW w:w="566"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9038.0</w:t>
            </w:r>
          </w:p>
        </w:tc>
        <w:tc>
          <w:tcPr>
            <w:tcW w:w="567"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9641.3</w:t>
            </w:r>
          </w:p>
        </w:tc>
      </w:tr>
      <w:tr w:rsidR="00B651DF" w:rsidRPr="009A414C" w:rsidTr="009A414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651DF" w:rsidRPr="00B651DF" w:rsidRDefault="00B651DF" w:rsidP="00B651DF">
            <w:r w:rsidRPr="00B651DF">
              <w:t>Capital expenditure</w:t>
            </w:r>
            <w:r w:rsidRPr="00B651DF">
              <w:rPr>
                <w:rStyle w:val="AERsuperscript"/>
              </w:rPr>
              <w:t>b</w:t>
            </w:r>
          </w:p>
        </w:tc>
        <w:tc>
          <w:tcPr>
            <w:tcW w:w="566"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809.5</w:t>
            </w:r>
          </w:p>
        </w:tc>
        <w:tc>
          <w:tcPr>
            <w:tcW w:w="566"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748.3</w:t>
            </w:r>
          </w:p>
        </w:tc>
        <w:tc>
          <w:tcPr>
            <w:tcW w:w="567"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836.5</w:t>
            </w:r>
          </w:p>
        </w:tc>
        <w:tc>
          <w:tcPr>
            <w:tcW w:w="566"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743.8</w:t>
            </w:r>
          </w:p>
        </w:tc>
        <w:tc>
          <w:tcPr>
            <w:tcW w:w="567"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794.1</w:t>
            </w:r>
          </w:p>
        </w:tc>
      </w:tr>
      <w:tr w:rsidR="00B651DF" w:rsidRPr="009A414C" w:rsidTr="009A414C">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651DF" w:rsidRPr="00B651DF" w:rsidRDefault="00B651DF" w:rsidP="00B651DF">
            <w:r w:rsidRPr="00B651DF">
              <w:t>Inflation indexation on opening RAB</w:t>
            </w:r>
          </w:p>
        </w:tc>
        <w:tc>
          <w:tcPr>
            <w:tcW w:w="566"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238.1</w:t>
            </w:r>
          </w:p>
        </w:tc>
        <w:tc>
          <w:tcPr>
            <w:tcW w:w="566"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124.0</w:t>
            </w:r>
          </w:p>
        </w:tc>
        <w:tc>
          <w:tcPr>
            <w:tcW w:w="567"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209.3</w:t>
            </w:r>
          </w:p>
        </w:tc>
        <w:tc>
          <w:tcPr>
            <w:tcW w:w="566"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264.8</w:t>
            </w:r>
          </w:p>
        </w:tc>
        <w:tc>
          <w:tcPr>
            <w:tcW w:w="567" w:type="pct"/>
            <w:noWrap/>
            <w:vAlign w:val="top"/>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128.2</w:t>
            </w:r>
          </w:p>
        </w:tc>
      </w:tr>
      <w:tr w:rsidR="00B651DF" w:rsidRPr="009A414C" w:rsidTr="009A414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651DF" w:rsidRPr="00B651DF" w:rsidRDefault="00B651DF" w:rsidP="00B651DF">
            <w:r w:rsidRPr="00A714D2">
              <w:rPr>
                <w:rStyle w:val="AERtextitalic"/>
              </w:rPr>
              <w:t>Less</w:t>
            </w:r>
            <w:r w:rsidRPr="00B651DF">
              <w:t>: straight-line depreciation</w:t>
            </w:r>
          </w:p>
        </w:tc>
        <w:tc>
          <w:tcPr>
            <w:tcW w:w="566"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348.0</w:t>
            </w:r>
          </w:p>
        </w:tc>
        <w:tc>
          <w:tcPr>
            <w:tcW w:w="566"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350.2</w:t>
            </w:r>
          </w:p>
        </w:tc>
        <w:tc>
          <w:tcPr>
            <w:tcW w:w="567"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378.3</w:t>
            </w:r>
          </w:p>
        </w:tc>
        <w:tc>
          <w:tcPr>
            <w:tcW w:w="566"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405.3</w:t>
            </w:r>
          </w:p>
        </w:tc>
        <w:tc>
          <w:tcPr>
            <w:tcW w:w="567" w:type="pct"/>
            <w:noWrap/>
            <w:vAlign w:val="top"/>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407.2</w:t>
            </w:r>
          </w:p>
        </w:tc>
      </w:tr>
      <w:tr w:rsidR="00B651DF" w:rsidRPr="00A714D2" w:rsidTr="009A414C">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651DF" w:rsidRPr="00A714D2" w:rsidRDefault="00B651DF" w:rsidP="00B651DF">
            <w:pPr>
              <w:rPr>
                <w:rStyle w:val="Strong"/>
              </w:rPr>
            </w:pPr>
            <w:r w:rsidRPr="00A714D2">
              <w:rPr>
                <w:rStyle w:val="Strong"/>
              </w:rPr>
              <w:t>Closing RAB</w:t>
            </w:r>
          </w:p>
        </w:tc>
        <w:tc>
          <w:tcPr>
            <w:tcW w:w="566" w:type="pct"/>
            <w:noWrap/>
            <w:vAlign w:val="top"/>
          </w:tcPr>
          <w:p w:rsidR="00B651DF" w:rsidRPr="00A714D2" w:rsidRDefault="00B651DF" w:rsidP="00B651DF">
            <w:pPr>
              <w:cnfStyle w:val="000000000000" w:firstRow="0" w:lastRow="0" w:firstColumn="0" w:lastColumn="0" w:oddVBand="0" w:evenVBand="0" w:oddHBand="0" w:evenHBand="0" w:firstRowFirstColumn="0" w:firstRowLastColumn="0" w:lastRowFirstColumn="0" w:lastRowLastColumn="0"/>
              <w:rPr>
                <w:rStyle w:val="Strong"/>
              </w:rPr>
            </w:pPr>
            <w:r w:rsidRPr="00A714D2">
              <w:rPr>
                <w:rStyle w:val="Strong"/>
              </w:rPr>
              <w:t>7848.5</w:t>
            </w:r>
          </w:p>
        </w:tc>
        <w:tc>
          <w:tcPr>
            <w:tcW w:w="566" w:type="pct"/>
            <w:noWrap/>
            <w:vAlign w:val="top"/>
          </w:tcPr>
          <w:p w:rsidR="00B651DF" w:rsidRPr="00A714D2" w:rsidRDefault="00B651DF" w:rsidP="00B651DF">
            <w:pPr>
              <w:cnfStyle w:val="000000000000" w:firstRow="0" w:lastRow="0" w:firstColumn="0" w:lastColumn="0" w:oddVBand="0" w:evenVBand="0" w:oddHBand="0" w:evenHBand="0" w:firstRowFirstColumn="0" w:firstRowLastColumn="0" w:lastRowFirstColumn="0" w:lastRowLastColumn="0"/>
              <w:rPr>
                <w:rStyle w:val="Strong"/>
              </w:rPr>
            </w:pPr>
            <w:r w:rsidRPr="00A714D2">
              <w:rPr>
                <w:rStyle w:val="Strong"/>
              </w:rPr>
              <w:t>8370.7</w:t>
            </w:r>
          </w:p>
        </w:tc>
        <w:tc>
          <w:tcPr>
            <w:tcW w:w="567" w:type="pct"/>
            <w:noWrap/>
            <w:vAlign w:val="top"/>
          </w:tcPr>
          <w:p w:rsidR="00B651DF" w:rsidRPr="00A714D2" w:rsidRDefault="00B651DF" w:rsidP="00B651DF">
            <w:pPr>
              <w:cnfStyle w:val="000000000000" w:firstRow="0" w:lastRow="0" w:firstColumn="0" w:lastColumn="0" w:oddVBand="0" w:evenVBand="0" w:oddHBand="0" w:evenHBand="0" w:firstRowFirstColumn="0" w:firstRowLastColumn="0" w:lastRowFirstColumn="0" w:lastRowLastColumn="0"/>
              <w:rPr>
                <w:rStyle w:val="Strong"/>
              </w:rPr>
            </w:pPr>
            <w:r w:rsidRPr="00A714D2">
              <w:rPr>
                <w:rStyle w:val="Strong"/>
              </w:rPr>
              <w:t>9038.0</w:t>
            </w:r>
          </w:p>
        </w:tc>
        <w:tc>
          <w:tcPr>
            <w:tcW w:w="566" w:type="pct"/>
            <w:noWrap/>
            <w:vAlign w:val="top"/>
          </w:tcPr>
          <w:p w:rsidR="00B651DF" w:rsidRPr="00A714D2" w:rsidRDefault="00B651DF" w:rsidP="00B651DF">
            <w:pPr>
              <w:cnfStyle w:val="000000000000" w:firstRow="0" w:lastRow="0" w:firstColumn="0" w:lastColumn="0" w:oddVBand="0" w:evenVBand="0" w:oddHBand="0" w:evenHBand="0" w:firstRowFirstColumn="0" w:firstRowLastColumn="0" w:lastRowFirstColumn="0" w:lastRowLastColumn="0"/>
              <w:rPr>
                <w:rStyle w:val="Strong"/>
              </w:rPr>
            </w:pPr>
            <w:r w:rsidRPr="00A714D2">
              <w:rPr>
                <w:rStyle w:val="Strong"/>
              </w:rPr>
              <w:t>9641.3</w:t>
            </w:r>
          </w:p>
        </w:tc>
        <w:tc>
          <w:tcPr>
            <w:tcW w:w="567" w:type="pct"/>
            <w:noWrap/>
            <w:vAlign w:val="top"/>
          </w:tcPr>
          <w:p w:rsidR="00B651DF" w:rsidRPr="00A714D2" w:rsidRDefault="00B651DF" w:rsidP="00B651DF">
            <w:pPr>
              <w:cnfStyle w:val="000000000000" w:firstRow="0" w:lastRow="0" w:firstColumn="0" w:lastColumn="0" w:oddVBand="0" w:evenVBand="0" w:oddHBand="0" w:evenHBand="0" w:firstRowFirstColumn="0" w:firstRowLastColumn="0" w:lastRowFirstColumn="0" w:lastRowLastColumn="0"/>
              <w:rPr>
                <w:rStyle w:val="Strong"/>
              </w:rPr>
            </w:pPr>
            <w:r w:rsidRPr="00A714D2">
              <w:rPr>
                <w:rStyle w:val="Strong"/>
              </w:rPr>
              <w:t>10156.4</w:t>
            </w:r>
          </w:p>
        </w:tc>
      </w:tr>
      <w:tr w:rsidR="00B651DF" w:rsidRPr="009A414C" w:rsidTr="009A414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B651DF" w:rsidRPr="00B651DF" w:rsidRDefault="00B651DF" w:rsidP="00B651DF">
            <w:r w:rsidRPr="00B651DF">
              <w:t>Difference between estimated and actual 2009–10 capex (1 July 2009 to 30 June 2010)</w:t>
            </w:r>
          </w:p>
        </w:tc>
        <w:tc>
          <w:tcPr>
            <w:tcW w:w="566" w:type="pct"/>
            <w:noWrap/>
            <w:vAlign w:val="top"/>
            <w:hideMark/>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 xml:space="preserve">  </w:t>
            </w:r>
          </w:p>
        </w:tc>
        <w:tc>
          <w:tcPr>
            <w:tcW w:w="566" w:type="pct"/>
            <w:noWrap/>
            <w:vAlign w:val="top"/>
            <w:hideMark/>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 xml:space="preserve">  </w:t>
            </w:r>
          </w:p>
        </w:tc>
        <w:tc>
          <w:tcPr>
            <w:tcW w:w="567" w:type="pct"/>
            <w:noWrap/>
            <w:vAlign w:val="top"/>
            <w:hideMark/>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 xml:space="preserve">  </w:t>
            </w:r>
          </w:p>
        </w:tc>
        <w:tc>
          <w:tcPr>
            <w:tcW w:w="566" w:type="pct"/>
            <w:noWrap/>
            <w:vAlign w:val="top"/>
            <w:hideMark/>
          </w:tcPr>
          <w:p w:rsidR="00B651DF" w:rsidRPr="00B651DF" w:rsidRDefault="00B651DF" w:rsidP="00B651DF">
            <w:pPr>
              <w:cnfStyle w:val="000000010000" w:firstRow="0" w:lastRow="0" w:firstColumn="0" w:lastColumn="0" w:oddVBand="0" w:evenVBand="0" w:oddHBand="0" w:evenHBand="1" w:firstRowFirstColumn="0" w:firstRowLastColumn="0" w:lastRowFirstColumn="0" w:lastRowLastColumn="0"/>
            </w:pPr>
            <w:r w:rsidRPr="00B651DF">
              <w:t xml:space="preserve">  </w:t>
            </w:r>
          </w:p>
        </w:tc>
        <w:tc>
          <w:tcPr>
            <w:tcW w:w="567" w:type="pct"/>
            <w:noWrap/>
            <w:vAlign w:val="top"/>
          </w:tcPr>
          <w:p w:rsidR="00B651DF" w:rsidRPr="00B651DF" w:rsidRDefault="00B651DF" w:rsidP="001259A0">
            <w:pPr>
              <w:cnfStyle w:val="000000010000" w:firstRow="0" w:lastRow="0" w:firstColumn="0" w:lastColumn="0" w:oddVBand="0" w:evenVBand="0" w:oddHBand="0" w:evenHBand="1" w:firstRowFirstColumn="0" w:firstRowLastColumn="0" w:lastRowFirstColumn="0" w:lastRowLastColumn="0"/>
            </w:pPr>
            <w:r>
              <w:t>–</w:t>
            </w:r>
            <w:r w:rsidRPr="00B651DF">
              <w:t>13</w:t>
            </w:r>
            <w:r w:rsidR="001259A0">
              <w:t>2.8</w:t>
            </w:r>
          </w:p>
        </w:tc>
      </w:tr>
      <w:tr w:rsidR="00B651DF" w:rsidRPr="009A414C" w:rsidTr="009A414C">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B651DF" w:rsidRPr="00B651DF" w:rsidRDefault="00B651DF" w:rsidP="00B651DF">
            <w:r w:rsidRPr="00B651DF">
              <w:t>Return on difference for 2009–10 capex</w:t>
            </w:r>
          </w:p>
        </w:tc>
        <w:tc>
          <w:tcPr>
            <w:tcW w:w="566" w:type="pct"/>
            <w:noWrap/>
            <w:vAlign w:val="top"/>
            <w:hideMark/>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 xml:space="preserve">  </w:t>
            </w:r>
          </w:p>
        </w:tc>
        <w:tc>
          <w:tcPr>
            <w:tcW w:w="566" w:type="pct"/>
            <w:noWrap/>
            <w:vAlign w:val="top"/>
            <w:hideMark/>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 xml:space="preserve">  </w:t>
            </w:r>
          </w:p>
        </w:tc>
        <w:tc>
          <w:tcPr>
            <w:tcW w:w="567" w:type="pct"/>
            <w:noWrap/>
            <w:vAlign w:val="top"/>
            <w:hideMark/>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 xml:space="preserve">  </w:t>
            </w:r>
          </w:p>
        </w:tc>
        <w:tc>
          <w:tcPr>
            <w:tcW w:w="566" w:type="pct"/>
            <w:noWrap/>
            <w:vAlign w:val="top"/>
            <w:hideMark/>
          </w:tcPr>
          <w:p w:rsidR="00B651DF" w:rsidRPr="00B651DF" w:rsidRDefault="00B651DF" w:rsidP="00B651DF">
            <w:pPr>
              <w:cnfStyle w:val="000000000000" w:firstRow="0" w:lastRow="0" w:firstColumn="0" w:lastColumn="0" w:oddVBand="0" w:evenVBand="0" w:oddHBand="0" w:evenHBand="0" w:firstRowFirstColumn="0" w:firstRowLastColumn="0" w:lastRowFirstColumn="0" w:lastRowLastColumn="0"/>
            </w:pPr>
            <w:r w:rsidRPr="00B651DF">
              <w:t xml:space="preserve">  </w:t>
            </w:r>
          </w:p>
        </w:tc>
        <w:tc>
          <w:tcPr>
            <w:tcW w:w="567" w:type="pct"/>
            <w:noWrap/>
            <w:vAlign w:val="top"/>
          </w:tcPr>
          <w:p w:rsidR="00B651DF" w:rsidRPr="00B651DF" w:rsidRDefault="00B651DF" w:rsidP="001259A0">
            <w:pPr>
              <w:cnfStyle w:val="000000000000" w:firstRow="0" w:lastRow="0" w:firstColumn="0" w:lastColumn="0" w:oddVBand="0" w:evenVBand="0" w:oddHBand="0" w:evenHBand="0" w:firstRowFirstColumn="0" w:firstRowLastColumn="0" w:lastRowFirstColumn="0" w:lastRowLastColumn="0"/>
            </w:pPr>
            <w:r>
              <w:t>–</w:t>
            </w:r>
            <w:r w:rsidRPr="00B651DF">
              <w:t>7</w:t>
            </w:r>
            <w:r w:rsidR="001259A0">
              <w:t>6.4</w:t>
            </w:r>
          </w:p>
        </w:tc>
      </w:tr>
      <w:tr w:rsidR="009A414C" w:rsidRPr="009A414C" w:rsidTr="009A414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9A414C" w:rsidRPr="009A414C" w:rsidRDefault="009A414C" w:rsidP="009A414C">
            <w:r w:rsidRPr="009A414C">
              <w:t>Closing RAB as at 30 June 2015</w:t>
            </w:r>
          </w:p>
        </w:tc>
        <w:tc>
          <w:tcPr>
            <w:tcW w:w="566" w:type="pct"/>
            <w:noWrap/>
            <w:vAlign w:val="top"/>
            <w:hideMark/>
          </w:tcPr>
          <w:p w:rsidR="009A414C" w:rsidRPr="009A414C" w:rsidRDefault="009A414C">
            <w:pPr>
              <w:cnfStyle w:val="000000010000" w:firstRow="0" w:lastRow="0" w:firstColumn="0" w:lastColumn="0" w:oddVBand="0" w:evenVBand="0" w:oddHBand="0" w:evenHBand="1" w:firstRowFirstColumn="0" w:firstRowLastColumn="0" w:lastRowFirstColumn="0" w:lastRowLastColumn="0"/>
            </w:pPr>
            <w:r w:rsidRPr="009A414C">
              <w:t xml:space="preserve">  </w:t>
            </w:r>
          </w:p>
        </w:tc>
        <w:tc>
          <w:tcPr>
            <w:tcW w:w="566" w:type="pct"/>
            <w:noWrap/>
            <w:vAlign w:val="top"/>
            <w:hideMark/>
          </w:tcPr>
          <w:p w:rsidR="009A414C" w:rsidRPr="009A414C" w:rsidRDefault="009A414C">
            <w:pPr>
              <w:cnfStyle w:val="000000010000" w:firstRow="0" w:lastRow="0" w:firstColumn="0" w:lastColumn="0" w:oddVBand="0" w:evenVBand="0" w:oddHBand="0" w:evenHBand="1" w:firstRowFirstColumn="0" w:firstRowLastColumn="0" w:lastRowFirstColumn="0" w:lastRowLastColumn="0"/>
            </w:pPr>
            <w:r w:rsidRPr="009A414C">
              <w:t xml:space="preserve">  </w:t>
            </w:r>
          </w:p>
        </w:tc>
        <w:tc>
          <w:tcPr>
            <w:tcW w:w="567" w:type="pct"/>
            <w:noWrap/>
            <w:vAlign w:val="top"/>
            <w:hideMark/>
          </w:tcPr>
          <w:p w:rsidR="009A414C" w:rsidRPr="009A414C" w:rsidRDefault="009A414C">
            <w:pPr>
              <w:cnfStyle w:val="000000010000" w:firstRow="0" w:lastRow="0" w:firstColumn="0" w:lastColumn="0" w:oddVBand="0" w:evenVBand="0" w:oddHBand="0" w:evenHBand="1" w:firstRowFirstColumn="0" w:firstRowLastColumn="0" w:lastRowFirstColumn="0" w:lastRowLastColumn="0"/>
            </w:pPr>
            <w:r w:rsidRPr="009A414C">
              <w:t xml:space="preserve">  </w:t>
            </w:r>
          </w:p>
        </w:tc>
        <w:tc>
          <w:tcPr>
            <w:tcW w:w="566" w:type="pct"/>
            <w:noWrap/>
            <w:vAlign w:val="top"/>
            <w:hideMark/>
          </w:tcPr>
          <w:p w:rsidR="009A414C" w:rsidRPr="009A414C" w:rsidRDefault="009A414C">
            <w:pPr>
              <w:cnfStyle w:val="000000010000" w:firstRow="0" w:lastRow="0" w:firstColumn="0" w:lastColumn="0" w:oddVBand="0" w:evenVBand="0" w:oddHBand="0" w:evenHBand="1" w:firstRowFirstColumn="0" w:firstRowLastColumn="0" w:lastRowFirstColumn="0" w:lastRowLastColumn="0"/>
            </w:pPr>
            <w:r w:rsidRPr="009A414C">
              <w:t xml:space="preserve">  </w:t>
            </w:r>
          </w:p>
        </w:tc>
        <w:tc>
          <w:tcPr>
            <w:tcW w:w="567" w:type="pct"/>
            <w:noWrap/>
            <w:vAlign w:val="top"/>
          </w:tcPr>
          <w:p w:rsidR="009A414C" w:rsidRPr="009A414C" w:rsidRDefault="00B651DF" w:rsidP="001259A0">
            <w:pPr>
              <w:cnfStyle w:val="000000010000" w:firstRow="0" w:lastRow="0" w:firstColumn="0" w:lastColumn="0" w:oddVBand="0" w:evenVBand="0" w:oddHBand="0" w:evenHBand="1" w:firstRowFirstColumn="0" w:firstRowLastColumn="0" w:lastRowFirstColumn="0" w:lastRowLastColumn="0"/>
            </w:pPr>
            <w:r w:rsidRPr="00B651DF">
              <w:t>994</w:t>
            </w:r>
            <w:r w:rsidR="001259A0">
              <w:t>7.2</w:t>
            </w:r>
            <w:r w:rsidR="009A414C" w:rsidRPr="009A414C">
              <w:t xml:space="preserve">  </w:t>
            </w:r>
          </w:p>
        </w:tc>
      </w:tr>
      <w:tr w:rsidR="009A414C" w:rsidRPr="009A414C" w:rsidTr="009A414C">
        <w:trPr>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9A414C" w:rsidRPr="009A414C" w:rsidRDefault="003B541B" w:rsidP="009A414C">
            <w:r w:rsidRPr="003B541B">
              <w:rPr>
                <w:rStyle w:val="AERtextitalic"/>
              </w:rPr>
              <w:t>Less:</w:t>
            </w:r>
            <w:r>
              <w:t xml:space="preserve"> </w:t>
            </w:r>
            <w:r w:rsidR="009A414C" w:rsidRPr="009A414C">
              <w:t>Assets moved to ACS and unregulated assets removed</w:t>
            </w:r>
          </w:p>
        </w:tc>
        <w:tc>
          <w:tcPr>
            <w:tcW w:w="566" w:type="pct"/>
            <w:noWrap/>
            <w:vAlign w:val="top"/>
          </w:tcPr>
          <w:p w:rsidR="009A414C" w:rsidRPr="009A414C" w:rsidRDefault="009A414C">
            <w:pPr>
              <w:cnfStyle w:val="000000000000" w:firstRow="0" w:lastRow="0" w:firstColumn="0" w:lastColumn="0" w:oddVBand="0" w:evenVBand="0" w:oddHBand="0" w:evenHBand="0" w:firstRowFirstColumn="0" w:firstRowLastColumn="0" w:lastRowFirstColumn="0" w:lastRowLastColumn="0"/>
            </w:pPr>
            <w:r w:rsidRPr="009A414C">
              <w:t xml:space="preserve">  </w:t>
            </w:r>
          </w:p>
        </w:tc>
        <w:tc>
          <w:tcPr>
            <w:tcW w:w="566" w:type="pct"/>
            <w:noWrap/>
            <w:vAlign w:val="top"/>
          </w:tcPr>
          <w:p w:rsidR="009A414C" w:rsidRPr="009A414C" w:rsidRDefault="009A414C">
            <w:pPr>
              <w:cnfStyle w:val="000000000000" w:firstRow="0" w:lastRow="0" w:firstColumn="0" w:lastColumn="0" w:oddVBand="0" w:evenVBand="0" w:oddHBand="0" w:evenHBand="0" w:firstRowFirstColumn="0" w:firstRowLastColumn="0" w:lastRowFirstColumn="0" w:lastRowLastColumn="0"/>
            </w:pPr>
            <w:r w:rsidRPr="009A414C">
              <w:t xml:space="preserve">  </w:t>
            </w:r>
          </w:p>
        </w:tc>
        <w:tc>
          <w:tcPr>
            <w:tcW w:w="567" w:type="pct"/>
            <w:noWrap/>
            <w:vAlign w:val="top"/>
          </w:tcPr>
          <w:p w:rsidR="009A414C" w:rsidRPr="009A414C" w:rsidRDefault="009A414C">
            <w:pPr>
              <w:cnfStyle w:val="000000000000" w:firstRow="0" w:lastRow="0" w:firstColumn="0" w:lastColumn="0" w:oddVBand="0" w:evenVBand="0" w:oddHBand="0" w:evenHBand="0" w:firstRowFirstColumn="0" w:firstRowLastColumn="0" w:lastRowFirstColumn="0" w:lastRowLastColumn="0"/>
            </w:pPr>
            <w:r w:rsidRPr="009A414C">
              <w:t xml:space="preserve">  </w:t>
            </w:r>
          </w:p>
        </w:tc>
        <w:tc>
          <w:tcPr>
            <w:tcW w:w="566" w:type="pct"/>
            <w:noWrap/>
            <w:vAlign w:val="top"/>
          </w:tcPr>
          <w:p w:rsidR="009A414C" w:rsidRPr="009A414C" w:rsidRDefault="009A414C">
            <w:pPr>
              <w:cnfStyle w:val="000000000000" w:firstRow="0" w:lastRow="0" w:firstColumn="0" w:lastColumn="0" w:oddVBand="0" w:evenVBand="0" w:oddHBand="0" w:evenHBand="0" w:firstRowFirstColumn="0" w:firstRowLastColumn="0" w:lastRowFirstColumn="0" w:lastRowLastColumn="0"/>
            </w:pPr>
            <w:r w:rsidRPr="009A414C">
              <w:t xml:space="preserve">  </w:t>
            </w:r>
          </w:p>
        </w:tc>
        <w:tc>
          <w:tcPr>
            <w:tcW w:w="567" w:type="pct"/>
            <w:noWrap/>
            <w:vAlign w:val="top"/>
          </w:tcPr>
          <w:p w:rsidR="009A414C" w:rsidRPr="009A414C" w:rsidRDefault="00B651DF" w:rsidP="003B541B">
            <w:pPr>
              <w:cnfStyle w:val="000000000000" w:firstRow="0" w:lastRow="0" w:firstColumn="0" w:lastColumn="0" w:oddVBand="0" w:evenVBand="0" w:oddHBand="0" w:evenHBand="0" w:firstRowFirstColumn="0" w:firstRowLastColumn="0" w:lastRowFirstColumn="0" w:lastRowLastColumn="0"/>
            </w:pPr>
            <w:r w:rsidRPr="00B651DF">
              <w:t>74.</w:t>
            </w:r>
            <w:r w:rsidR="003B541B">
              <w:t>2</w:t>
            </w:r>
            <w:r w:rsidR="009A414C" w:rsidRPr="009A414C">
              <w:t xml:space="preserve">  </w:t>
            </w:r>
          </w:p>
        </w:tc>
      </w:tr>
      <w:tr w:rsidR="009A414C" w:rsidRPr="00A714D2" w:rsidTr="009A414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9A414C" w:rsidRPr="00A714D2" w:rsidRDefault="009A414C" w:rsidP="009A414C">
            <w:pPr>
              <w:rPr>
                <w:rStyle w:val="Strong"/>
              </w:rPr>
            </w:pPr>
            <w:r w:rsidRPr="00A714D2">
              <w:rPr>
                <w:rStyle w:val="Strong"/>
              </w:rPr>
              <w:t>Opening RAB as at 1 July 2015</w:t>
            </w:r>
          </w:p>
        </w:tc>
        <w:tc>
          <w:tcPr>
            <w:tcW w:w="566" w:type="pct"/>
            <w:noWrap/>
            <w:vAlign w:val="top"/>
          </w:tcPr>
          <w:p w:rsidR="009A414C" w:rsidRPr="00A714D2" w:rsidRDefault="009A414C">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 xml:space="preserve">  </w:t>
            </w:r>
          </w:p>
        </w:tc>
        <w:tc>
          <w:tcPr>
            <w:tcW w:w="566" w:type="pct"/>
            <w:noWrap/>
            <w:vAlign w:val="top"/>
          </w:tcPr>
          <w:p w:rsidR="009A414C" w:rsidRPr="00A714D2" w:rsidRDefault="009A414C">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 xml:space="preserve">  </w:t>
            </w:r>
          </w:p>
        </w:tc>
        <w:tc>
          <w:tcPr>
            <w:tcW w:w="567" w:type="pct"/>
            <w:noWrap/>
            <w:vAlign w:val="top"/>
          </w:tcPr>
          <w:p w:rsidR="009A414C" w:rsidRPr="00A714D2" w:rsidRDefault="009A414C">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 xml:space="preserve">  </w:t>
            </w:r>
          </w:p>
        </w:tc>
        <w:tc>
          <w:tcPr>
            <w:tcW w:w="566" w:type="pct"/>
            <w:noWrap/>
            <w:vAlign w:val="top"/>
          </w:tcPr>
          <w:p w:rsidR="009A414C" w:rsidRPr="00A714D2" w:rsidRDefault="009A414C">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 xml:space="preserve">  </w:t>
            </w:r>
          </w:p>
        </w:tc>
        <w:tc>
          <w:tcPr>
            <w:tcW w:w="567" w:type="pct"/>
            <w:noWrap/>
            <w:vAlign w:val="top"/>
          </w:tcPr>
          <w:p w:rsidR="009A414C" w:rsidRPr="00A714D2" w:rsidRDefault="00B651DF" w:rsidP="003B541B">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987</w:t>
            </w:r>
            <w:r w:rsidR="003B541B">
              <w:rPr>
                <w:rStyle w:val="Strong"/>
              </w:rPr>
              <w:t>3.0</w:t>
            </w:r>
            <w:r w:rsidR="009A414C" w:rsidRPr="00A714D2">
              <w:rPr>
                <w:rStyle w:val="Strong"/>
              </w:rPr>
              <w:t xml:space="preserve">  </w:t>
            </w:r>
          </w:p>
        </w:tc>
      </w:tr>
    </w:tbl>
    <w:p w:rsidR="009A414C" w:rsidRPr="009A414C" w:rsidRDefault="009A414C" w:rsidP="009A414C">
      <w:pPr>
        <w:pStyle w:val="AERtablesource"/>
      </w:pPr>
      <w:r w:rsidRPr="009A414C">
        <w:t>Source:</w:t>
      </w:r>
      <w:r w:rsidRPr="009A414C">
        <w:tab/>
        <w:t>AER analysis.</w:t>
      </w:r>
    </w:p>
    <w:p w:rsidR="009A414C" w:rsidRPr="009A414C" w:rsidRDefault="009A414C" w:rsidP="009A414C">
      <w:pPr>
        <w:pStyle w:val="AERtablesource"/>
      </w:pPr>
      <w:r w:rsidRPr="009A414C">
        <w:t>(a):</w:t>
      </w:r>
      <w:r w:rsidRPr="009A414C">
        <w:tab/>
        <w:t>Based on revised estimated capex. We will update for actual capex at the next reset.</w:t>
      </w:r>
    </w:p>
    <w:p w:rsidR="009A414C" w:rsidRPr="009A414C" w:rsidRDefault="009A414C" w:rsidP="009A414C">
      <w:pPr>
        <w:pStyle w:val="AERtablesource"/>
      </w:pPr>
      <w:r w:rsidRPr="009A414C">
        <w:t>(b):</w:t>
      </w:r>
      <w:r w:rsidRPr="009A414C">
        <w:tab/>
        <w:t>Net of disposals and adjusted for CPI.</w:t>
      </w:r>
    </w:p>
    <w:p w:rsidR="009A414C" w:rsidRPr="009A414C" w:rsidRDefault="009A414C" w:rsidP="009A414C">
      <w:pPr>
        <w:pStyle w:val="Caption"/>
      </w:pPr>
      <w:bookmarkStart w:id="14" w:name="_Ref406144543"/>
      <w:r w:rsidRPr="009A414C">
        <w:t xml:space="preserve">Table </w:t>
      </w:r>
      <w:r w:rsidR="00EF55BA">
        <w:fldChar w:fldCharType="begin"/>
      </w:r>
      <w:r w:rsidR="00EF55BA">
        <w:instrText xml:space="preserve"> STYLEREF 1 \s </w:instrText>
      </w:r>
      <w:r w:rsidR="00EF55BA">
        <w:fldChar w:fldCharType="separate"/>
      </w:r>
      <w:r w:rsidR="00D05727">
        <w:rPr>
          <w:noProof/>
        </w:rPr>
        <w:t>2</w:t>
      </w:r>
      <w:r w:rsidR="00EF55BA">
        <w:rPr>
          <w:noProof/>
        </w:rPr>
        <w:fldChar w:fldCharType="end"/>
      </w:r>
      <w:r w:rsidRPr="009A414C">
        <w:t>.</w:t>
      </w:r>
      <w:r w:rsidR="00EF55BA">
        <w:fldChar w:fldCharType="begin"/>
      </w:r>
      <w:r w:rsidR="00EF55BA">
        <w:instrText xml:space="preserve"> SEQ Table \* ARABIC \s 1 </w:instrText>
      </w:r>
      <w:r w:rsidR="00EF55BA">
        <w:fldChar w:fldCharType="separate"/>
      </w:r>
      <w:r w:rsidR="00D05727">
        <w:rPr>
          <w:noProof/>
        </w:rPr>
        <w:t>2</w:t>
      </w:r>
      <w:r w:rsidR="00EF55BA">
        <w:rPr>
          <w:noProof/>
        </w:rPr>
        <w:fldChar w:fldCharType="end"/>
      </w:r>
      <w:bookmarkEnd w:id="14"/>
      <w:r w:rsidRPr="009A414C">
        <w:tab/>
        <w:t>AER's final decision on E</w:t>
      </w:r>
      <w:r>
        <w:t>rgon Energy</w:t>
      </w:r>
      <w:r w:rsidRPr="009A414C">
        <w:t>'s RAB for the 2015–20 regulatory control period ($ million, nominal)</w:t>
      </w:r>
    </w:p>
    <w:tbl>
      <w:tblPr>
        <w:tblStyle w:val="AERtable-numbers"/>
        <w:tblW w:w="5000" w:type="pct"/>
        <w:tblLook w:val="04A0" w:firstRow="1" w:lastRow="0" w:firstColumn="1" w:lastColumn="0" w:noHBand="0" w:noVBand="1"/>
      </w:tblPr>
      <w:tblGrid>
        <w:gridCol w:w="2761"/>
        <w:gridCol w:w="1188"/>
        <w:gridCol w:w="1186"/>
        <w:gridCol w:w="1186"/>
        <w:gridCol w:w="1187"/>
        <w:gridCol w:w="1185"/>
      </w:tblGrid>
      <w:tr w:rsidR="009A414C" w:rsidRPr="009A414C" w:rsidTr="00E232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noWrap/>
            <w:hideMark/>
          </w:tcPr>
          <w:p w:rsidR="009A414C" w:rsidRPr="009A414C" w:rsidRDefault="009A414C" w:rsidP="009A414C">
            <w:r w:rsidRPr="009A414C">
              <w:t> </w:t>
            </w:r>
          </w:p>
        </w:tc>
        <w:tc>
          <w:tcPr>
            <w:tcW w:w="716"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2015–16</w:t>
            </w:r>
          </w:p>
        </w:tc>
        <w:tc>
          <w:tcPr>
            <w:tcW w:w="715"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2016–17</w:t>
            </w:r>
          </w:p>
        </w:tc>
        <w:tc>
          <w:tcPr>
            <w:tcW w:w="715"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2017–18</w:t>
            </w:r>
          </w:p>
        </w:tc>
        <w:tc>
          <w:tcPr>
            <w:tcW w:w="715"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2018–19</w:t>
            </w:r>
          </w:p>
        </w:tc>
        <w:tc>
          <w:tcPr>
            <w:tcW w:w="715" w:type="pct"/>
            <w:noWrap/>
            <w:hideMark/>
          </w:tcPr>
          <w:p w:rsidR="009A414C" w:rsidRPr="009A414C" w:rsidRDefault="009A414C" w:rsidP="009A414C">
            <w:pPr>
              <w:cnfStyle w:val="100000000000" w:firstRow="1" w:lastRow="0" w:firstColumn="0" w:lastColumn="0" w:oddVBand="0" w:evenVBand="0" w:oddHBand="0" w:evenHBand="0" w:firstRowFirstColumn="0" w:firstRowLastColumn="0" w:lastRowFirstColumn="0" w:lastRowLastColumn="0"/>
            </w:pPr>
            <w:r w:rsidRPr="009A414C">
              <w:t>2019–20</w:t>
            </w:r>
          </w:p>
        </w:tc>
      </w:tr>
      <w:tr w:rsidR="00E232CA" w:rsidRPr="009A414C" w:rsidTr="00151763">
        <w:trPr>
          <w:trHeight w:val="300"/>
        </w:trPr>
        <w:tc>
          <w:tcPr>
            <w:cnfStyle w:val="001000000000" w:firstRow="0" w:lastRow="0" w:firstColumn="1" w:lastColumn="0" w:oddVBand="0" w:evenVBand="0" w:oddHBand="0" w:evenHBand="0" w:firstRowFirstColumn="0" w:firstRowLastColumn="0" w:lastRowFirstColumn="0" w:lastRowLastColumn="0"/>
            <w:tcW w:w="1425" w:type="pct"/>
            <w:noWrap/>
            <w:hideMark/>
          </w:tcPr>
          <w:p w:rsidR="00E232CA" w:rsidRPr="00E232CA" w:rsidRDefault="00E232CA" w:rsidP="00E232CA">
            <w:r w:rsidRPr="00E232CA">
              <w:t>Opening RAB</w:t>
            </w:r>
          </w:p>
        </w:tc>
        <w:tc>
          <w:tcPr>
            <w:tcW w:w="716"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9873.0</w:t>
            </w:r>
          </w:p>
        </w:tc>
        <w:tc>
          <w:tcPr>
            <w:tcW w:w="715"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10368.7</w:t>
            </w:r>
          </w:p>
        </w:tc>
        <w:tc>
          <w:tcPr>
            <w:tcW w:w="715"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10867.7</w:t>
            </w:r>
          </w:p>
        </w:tc>
        <w:tc>
          <w:tcPr>
            <w:tcW w:w="715"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11332.5</w:t>
            </w:r>
          </w:p>
        </w:tc>
        <w:tc>
          <w:tcPr>
            <w:tcW w:w="715"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11760.3</w:t>
            </w:r>
          </w:p>
        </w:tc>
      </w:tr>
      <w:tr w:rsidR="00E232CA" w:rsidRPr="009A414C" w:rsidTr="001517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noWrap/>
            <w:hideMark/>
          </w:tcPr>
          <w:p w:rsidR="00E232CA" w:rsidRPr="00E232CA" w:rsidRDefault="00E232CA" w:rsidP="00E232CA">
            <w:r w:rsidRPr="00E232CA">
              <w:t>Capital expenditure</w:t>
            </w:r>
            <w:r w:rsidRPr="00E232CA">
              <w:rPr>
                <w:rStyle w:val="AERsuperscript"/>
              </w:rPr>
              <w:t>a</w:t>
            </w:r>
          </w:p>
        </w:tc>
        <w:tc>
          <w:tcPr>
            <w:tcW w:w="716"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688.0</w:t>
            </w:r>
          </w:p>
        </w:tc>
        <w:tc>
          <w:tcPr>
            <w:tcW w:w="715"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635.1</w:t>
            </w:r>
          </w:p>
        </w:tc>
        <w:tc>
          <w:tcPr>
            <w:tcW w:w="715"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598.6</w:t>
            </w:r>
          </w:p>
        </w:tc>
        <w:tc>
          <w:tcPr>
            <w:tcW w:w="715"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569.0</w:t>
            </w:r>
          </w:p>
        </w:tc>
        <w:tc>
          <w:tcPr>
            <w:tcW w:w="715"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571.7</w:t>
            </w:r>
          </w:p>
        </w:tc>
      </w:tr>
      <w:tr w:rsidR="00E232CA" w:rsidRPr="009A414C" w:rsidTr="00151763">
        <w:trPr>
          <w:trHeight w:val="300"/>
        </w:trPr>
        <w:tc>
          <w:tcPr>
            <w:cnfStyle w:val="001000000000" w:firstRow="0" w:lastRow="0" w:firstColumn="1" w:lastColumn="0" w:oddVBand="0" w:evenVBand="0" w:oddHBand="0" w:evenHBand="0" w:firstRowFirstColumn="0" w:firstRowLastColumn="0" w:lastRowFirstColumn="0" w:lastRowLastColumn="0"/>
            <w:tcW w:w="1425" w:type="pct"/>
            <w:noWrap/>
            <w:hideMark/>
          </w:tcPr>
          <w:p w:rsidR="00E232CA" w:rsidRPr="00E232CA" w:rsidRDefault="00E232CA" w:rsidP="00E232CA">
            <w:r w:rsidRPr="00E232CA">
              <w:t>Inflation indexation on opening RAB</w:t>
            </w:r>
          </w:p>
        </w:tc>
        <w:tc>
          <w:tcPr>
            <w:tcW w:w="716"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246.8</w:t>
            </w:r>
          </w:p>
        </w:tc>
        <w:tc>
          <w:tcPr>
            <w:tcW w:w="715"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259.2</w:t>
            </w:r>
          </w:p>
        </w:tc>
        <w:tc>
          <w:tcPr>
            <w:tcW w:w="715"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271.7</w:t>
            </w:r>
          </w:p>
        </w:tc>
        <w:tc>
          <w:tcPr>
            <w:tcW w:w="715"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283.3</w:t>
            </w:r>
          </w:p>
        </w:tc>
        <w:tc>
          <w:tcPr>
            <w:tcW w:w="715" w:type="pct"/>
            <w:noWrap/>
            <w:vAlign w:val="top"/>
          </w:tcPr>
          <w:p w:rsidR="00E232CA" w:rsidRPr="00E232CA" w:rsidRDefault="00E232CA" w:rsidP="00E232CA">
            <w:pPr>
              <w:cnfStyle w:val="000000000000" w:firstRow="0" w:lastRow="0" w:firstColumn="0" w:lastColumn="0" w:oddVBand="0" w:evenVBand="0" w:oddHBand="0" w:evenHBand="0" w:firstRowFirstColumn="0" w:firstRowLastColumn="0" w:lastRowFirstColumn="0" w:lastRowLastColumn="0"/>
            </w:pPr>
            <w:r w:rsidRPr="00E232CA">
              <w:t>294.0</w:t>
            </w:r>
          </w:p>
        </w:tc>
      </w:tr>
      <w:tr w:rsidR="00E232CA" w:rsidRPr="009A414C" w:rsidTr="001517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noWrap/>
            <w:hideMark/>
          </w:tcPr>
          <w:p w:rsidR="00E232CA" w:rsidRPr="00E232CA" w:rsidRDefault="00E232CA" w:rsidP="00E232CA">
            <w:r w:rsidRPr="00E232CA">
              <w:t>Less: straight-line depreciation</w:t>
            </w:r>
          </w:p>
        </w:tc>
        <w:tc>
          <w:tcPr>
            <w:tcW w:w="716"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439.1</w:t>
            </w:r>
          </w:p>
        </w:tc>
        <w:tc>
          <w:tcPr>
            <w:tcW w:w="715"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395.3</w:t>
            </w:r>
          </w:p>
        </w:tc>
        <w:tc>
          <w:tcPr>
            <w:tcW w:w="715"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405.4</w:t>
            </w:r>
          </w:p>
        </w:tc>
        <w:tc>
          <w:tcPr>
            <w:tcW w:w="715"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424.5</w:t>
            </w:r>
          </w:p>
        </w:tc>
        <w:tc>
          <w:tcPr>
            <w:tcW w:w="715" w:type="pct"/>
            <w:noWrap/>
            <w:vAlign w:val="top"/>
          </w:tcPr>
          <w:p w:rsidR="00E232CA" w:rsidRPr="00E232CA" w:rsidRDefault="00E232CA" w:rsidP="00E232CA">
            <w:pPr>
              <w:cnfStyle w:val="000000010000" w:firstRow="0" w:lastRow="0" w:firstColumn="0" w:lastColumn="0" w:oddVBand="0" w:evenVBand="0" w:oddHBand="0" w:evenHBand="1" w:firstRowFirstColumn="0" w:firstRowLastColumn="0" w:lastRowFirstColumn="0" w:lastRowLastColumn="0"/>
            </w:pPr>
            <w:r w:rsidRPr="00E232CA">
              <w:t>441.9</w:t>
            </w:r>
          </w:p>
        </w:tc>
      </w:tr>
      <w:tr w:rsidR="00E232CA" w:rsidRPr="00C75F6D" w:rsidTr="00151763">
        <w:trPr>
          <w:trHeight w:val="300"/>
        </w:trPr>
        <w:tc>
          <w:tcPr>
            <w:cnfStyle w:val="001000000000" w:firstRow="0" w:lastRow="0" w:firstColumn="1" w:lastColumn="0" w:oddVBand="0" w:evenVBand="0" w:oddHBand="0" w:evenHBand="0" w:firstRowFirstColumn="0" w:firstRowLastColumn="0" w:lastRowFirstColumn="0" w:lastRowLastColumn="0"/>
            <w:tcW w:w="1425" w:type="pct"/>
            <w:noWrap/>
            <w:hideMark/>
          </w:tcPr>
          <w:p w:rsidR="00E232CA" w:rsidRPr="00E232CA" w:rsidRDefault="00E232CA" w:rsidP="00E232CA">
            <w:r w:rsidRPr="00E232CA">
              <w:t>Closing RAB</w:t>
            </w:r>
          </w:p>
        </w:tc>
        <w:tc>
          <w:tcPr>
            <w:tcW w:w="716" w:type="pct"/>
            <w:noWrap/>
            <w:vAlign w:val="top"/>
          </w:tcPr>
          <w:p w:rsidR="00E232CA" w:rsidRPr="00C96B2F" w:rsidRDefault="00E232CA" w:rsidP="00C96B2F">
            <w:pPr>
              <w:cnfStyle w:val="000000000000" w:firstRow="0" w:lastRow="0" w:firstColumn="0" w:lastColumn="0" w:oddVBand="0" w:evenVBand="0" w:oddHBand="0" w:evenHBand="0" w:firstRowFirstColumn="0" w:firstRowLastColumn="0" w:lastRowFirstColumn="0" w:lastRowLastColumn="0"/>
            </w:pPr>
            <w:r w:rsidRPr="00C96B2F">
              <w:t>10368.7</w:t>
            </w:r>
          </w:p>
        </w:tc>
        <w:tc>
          <w:tcPr>
            <w:tcW w:w="715" w:type="pct"/>
            <w:noWrap/>
            <w:vAlign w:val="top"/>
          </w:tcPr>
          <w:p w:rsidR="00E232CA" w:rsidRPr="00C96B2F" w:rsidRDefault="00E232CA" w:rsidP="00C96B2F">
            <w:pPr>
              <w:cnfStyle w:val="000000000000" w:firstRow="0" w:lastRow="0" w:firstColumn="0" w:lastColumn="0" w:oddVBand="0" w:evenVBand="0" w:oddHBand="0" w:evenHBand="0" w:firstRowFirstColumn="0" w:firstRowLastColumn="0" w:lastRowFirstColumn="0" w:lastRowLastColumn="0"/>
            </w:pPr>
            <w:r w:rsidRPr="00C96B2F">
              <w:t>10867.7</w:t>
            </w:r>
          </w:p>
        </w:tc>
        <w:tc>
          <w:tcPr>
            <w:tcW w:w="715" w:type="pct"/>
            <w:noWrap/>
            <w:vAlign w:val="top"/>
          </w:tcPr>
          <w:p w:rsidR="00E232CA" w:rsidRPr="00C96B2F" w:rsidRDefault="00E232CA" w:rsidP="00C96B2F">
            <w:pPr>
              <w:cnfStyle w:val="000000000000" w:firstRow="0" w:lastRow="0" w:firstColumn="0" w:lastColumn="0" w:oddVBand="0" w:evenVBand="0" w:oddHBand="0" w:evenHBand="0" w:firstRowFirstColumn="0" w:firstRowLastColumn="0" w:lastRowFirstColumn="0" w:lastRowLastColumn="0"/>
            </w:pPr>
            <w:r w:rsidRPr="00C96B2F">
              <w:t>11332.5</w:t>
            </w:r>
          </w:p>
        </w:tc>
        <w:tc>
          <w:tcPr>
            <w:tcW w:w="715" w:type="pct"/>
            <w:noWrap/>
            <w:vAlign w:val="top"/>
          </w:tcPr>
          <w:p w:rsidR="00E232CA" w:rsidRPr="00C96B2F" w:rsidRDefault="00E232CA" w:rsidP="00C96B2F">
            <w:pPr>
              <w:cnfStyle w:val="000000000000" w:firstRow="0" w:lastRow="0" w:firstColumn="0" w:lastColumn="0" w:oddVBand="0" w:evenVBand="0" w:oddHBand="0" w:evenHBand="0" w:firstRowFirstColumn="0" w:firstRowLastColumn="0" w:lastRowFirstColumn="0" w:lastRowLastColumn="0"/>
            </w:pPr>
            <w:r w:rsidRPr="00C96B2F">
              <w:t>11760.3</w:t>
            </w:r>
          </w:p>
        </w:tc>
        <w:tc>
          <w:tcPr>
            <w:tcW w:w="715" w:type="pct"/>
            <w:noWrap/>
            <w:vAlign w:val="top"/>
          </w:tcPr>
          <w:p w:rsidR="00E232CA" w:rsidRPr="00C96B2F" w:rsidRDefault="00E232CA" w:rsidP="00C96B2F">
            <w:pPr>
              <w:cnfStyle w:val="000000000000" w:firstRow="0" w:lastRow="0" w:firstColumn="0" w:lastColumn="0" w:oddVBand="0" w:evenVBand="0" w:oddHBand="0" w:evenHBand="0" w:firstRowFirstColumn="0" w:firstRowLastColumn="0" w:lastRowFirstColumn="0" w:lastRowLastColumn="0"/>
            </w:pPr>
            <w:r w:rsidRPr="00C96B2F">
              <w:t>12184.0</w:t>
            </w:r>
          </w:p>
        </w:tc>
      </w:tr>
    </w:tbl>
    <w:p w:rsidR="009A414C" w:rsidRPr="009A414C" w:rsidRDefault="009A414C" w:rsidP="009A414C">
      <w:pPr>
        <w:pStyle w:val="AERtablesource"/>
      </w:pPr>
      <w:r w:rsidRPr="009A414C">
        <w:t>Source:</w:t>
      </w:r>
      <w:r w:rsidRPr="009A414C">
        <w:tab/>
        <w:t>AER analysis.</w:t>
      </w:r>
    </w:p>
    <w:p w:rsidR="009A414C" w:rsidRDefault="009A414C" w:rsidP="0086661B">
      <w:pPr>
        <w:pStyle w:val="AERtablesource"/>
      </w:pPr>
      <w:r w:rsidRPr="009A414C">
        <w:t>(a):</w:t>
      </w:r>
      <w:r w:rsidRPr="009A414C">
        <w:tab/>
        <w:t>Net of forecast disposals and capital contributions.</w:t>
      </w:r>
    </w:p>
    <w:p w:rsidR="00CA31BA" w:rsidRDefault="00CA31BA" w:rsidP="00CA31BA"/>
    <w:p w:rsidR="00CA31BA" w:rsidRDefault="00CA31BA" w:rsidP="00CA31BA"/>
    <w:p w:rsidR="00CA31BA" w:rsidRDefault="00CA31BA" w:rsidP="00CA31BA"/>
    <w:p w:rsidR="00CA31BA" w:rsidRDefault="00CA31BA" w:rsidP="00CA31BA"/>
    <w:p w:rsidR="00CA31BA" w:rsidRPr="00CA31BA" w:rsidRDefault="00CA31BA" w:rsidP="00CA31BA"/>
    <w:p w:rsidR="000F67F7" w:rsidRDefault="000F67F7" w:rsidP="00E60A0B">
      <w:pPr>
        <w:pStyle w:val="Heading2"/>
      </w:pPr>
      <w:bookmarkStart w:id="15" w:name="_Toc403060802"/>
      <w:bookmarkStart w:id="16" w:name="_Toc430242658"/>
      <w:r w:rsidRPr="00E60A0B">
        <w:lastRenderedPageBreak/>
        <w:t>E</w:t>
      </w:r>
      <w:r w:rsidR="00A70772">
        <w:t>rgon Energy</w:t>
      </w:r>
      <w:r w:rsidRPr="00E60A0B">
        <w:t xml:space="preserve">’s </w:t>
      </w:r>
      <w:r w:rsidR="00750FDB">
        <w:t xml:space="preserve">revised </w:t>
      </w:r>
      <w:r w:rsidRPr="00E60A0B">
        <w:t>proposal</w:t>
      </w:r>
      <w:bookmarkEnd w:id="15"/>
      <w:bookmarkEnd w:id="16"/>
    </w:p>
    <w:p w:rsidR="00B73248" w:rsidRPr="00E96560" w:rsidRDefault="00E96560" w:rsidP="00A714D2">
      <w:pPr>
        <w:rPr>
          <w:rStyle w:val="AERbody"/>
        </w:rPr>
      </w:pPr>
      <w:r w:rsidRPr="00E96560">
        <w:rPr>
          <w:rStyle w:val="AERbody"/>
        </w:rPr>
        <w:t>Ergon</w:t>
      </w:r>
      <w:r w:rsidR="00B73248" w:rsidRPr="00E96560">
        <w:rPr>
          <w:rStyle w:val="AERbody"/>
        </w:rPr>
        <w:t xml:space="preserve"> Energy's revised proposal submitted an opening RAB value as at 1 July 201</w:t>
      </w:r>
      <w:r w:rsidR="00B25426">
        <w:rPr>
          <w:rStyle w:val="AERbody"/>
        </w:rPr>
        <w:t>5</w:t>
      </w:r>
      <w:r w:rsidR="00B73248" w:rsidRPr="00E96560">
        <w:rPr>
          <w:rStyle w:val="AERbody"/>
        </w:rPr>
        <w:t xml:space="preserve"> of $</w:t>
      </w:r>
      <w:r w:rsidR="002B150D">
        <w:rPr>
          <w:rStyle w:val="AERbody"/>
        </w:rPr>
        <w:t>10 055.8</w:t>
      </w:r>
      <w:r w:rsidR="002B150D" w:rsidRPr="00E96560">
        <w:rPr>
          <w:rStyle w:val="AERbody"/>
        </w:rPr>
        <w:t> </w:t>
      </w:r>
      <w:r w:rsidR="00B73248" w:rsidRPr="00E96560">
        <w:rPr>
          <w:rStyle w:val="AERbody"/>
        </w:rPr>
        <w:t>million ($ nominal</w:t>
      </w:r>
      <w:r w:rsidR="00B73248" w:rsidRPr="00A714D2">
        <w:t>)</w:t>
      </w:r>
      <w:r w:rsidR="00B862B1" w:rsidRPr="00A714D2">
        <w:t xml:space="preserve"> as set out in</w:t>
      </w:r>
      <w:r w:rsidR="00184A49">
        <w:t xml:space="preserve"> table 2.3</w:t>
      </w:r>
      <w:r w:rsidR="00B73248" w:rsidRPr="00A714D2">
        <w:t>.</w:t>
      </w:r>
      <w:r w:rsidR="00120181">
        <w:rPr>
          <w:rStyle w:val="FootnoteReference"/>
        </w:rPr>
        <w:footnoteReference w:id="3"/>
      </w:r>
      <w:r w:rsidR="00B73248" w:rsidRPr="00E96560">
        <w:rPr>
          <w:rStyle w:val="AERbody"/>
        </w:rPr>
        <w:t xml:space="preserve"> E</w:t>
      </w:r>
      <w:r>
        <w:rPr>
          <w:rStyle w:val="AERbody"/>
        </w:rPr>
        <w:t xml:space="preserve">rgon </w:t>
      </w:r>
      <w:r w:rsidR="00B73248" w:rsidRPr="00E96560">
        <w:rPr>
          <w:rStyle w:val="AERbody"/>
        </w:rPr>
        <w:t xml:space="preserve">Energy </w:t>
      </w:r>
      <w:r>
        <w:rPr>
          <w:rStyle w:val="AERbody"/>
        </w:rPr>
        <w:t>a</w:t>
      </w:r>
      <w:r w:rsidR="00B25426">
        <w:rPr>
          <w:rStyle w:val="AERbody"/>
        </w:rPr>
        <w:t>dopted</w:t>
      </w:r>
      <w:r>
        <w:rPr>
          <w:rStyle w:val="AERbody"/>
        </w:rPr>
        <w:t xml:space="preserve"> the preliminary decision</w:t>
      </w:r>
      <w:r w:rsidR="0046782D">
        <w:rPr>
          <w:rStyle w:val="AERbody"/>
        </w:rPr>
        <w:t xml:space="preserve"> to</w:t>
      </w:r>
      <w:r>
        <w:rPr>
          <w:rStyle w:val="AERbody"/>
        </w:rPr>
        <w:t xml:space="preserve"> not include the Hayman Island undersea cable in the </w:t>
      </w:r>
      <w:r w:rsidR="00B73248" w:rsidRPr="00E96560">
        <w:rPr>
          <w:rStyle w:val="AERbody"/>
        </w:rPr>
        <w:t xml:space="preserve">opening RAB </w:t>
      </w:r>
      <w:r w:rsidR="003110F2">
        <w:rPr>
          <w:rStyle w:val="AERbody"/>
        </w:rPr>
        <w:t>as at 1 July 2015.</w:t>
      </w:r>
      <w:r w:rsidR="00B73248" w:rsidRPr="00E96560">
        <w:rPr>
          <w:rStyle w:val="AERbody"/>
        </w:rPr>
        <w:t xml:space="preserve"> </w:t>
      </w:r>
      <w:r w:rsidR="003110F2">
        <w:rPr>
          <w:rStyle w:val="AERbody"/>
        </w:rPr>
        <w:t>Ergon Energy also a</w:t>
      </w:r>
      <w:r w:rsidR="00B25426">
        <w:rPr>
          <w:rStyle w:val="AERbody"/>
        </w:rPr>
        <w:t>dopted</w:t>
      </w:r>
      <w:r w:rsidR="003110F2">
        <w:rPr>
          <w:rStyle w:val="AERbody"/>
        </w:rPr>
        <w:t xml:space="preserve"> the</w:t>
      </w:r>
      <w:r w:rsidR="0046782D">
        <w:rPr>
          <w:rStyle w:val="AERbody"/>
        </w:rPr>
        <w:t xml:space="preserve"> preliminary decision's</w:t>
      </w:r>
      <w:r w:rsidR="003110F2">
        <w:rPr>
          <w:rStyle w:val="AERbody"/>
        </w:rPr>
        <w:t xml:space="preserve"> removal of the movement of capitalised provisions from actual capex, although it did not implement this in its modelling</w:t>
      </w:r>
      <w:r w:rsidR="00B25426">
        <w:rPr>
          <w:rStyle w:val="AERbody"/>
        </w:rPr>
        <w:t xml:space="preserve"> of the RAB roll forward</w:t>
      </w:r>
      <w:r w:rsidR="0046782D">
        <w:rPr>
          <w:rStyle w:val="AERbody"/>
        </w:rPr>
        <w:t xml:space="preserve"> (the </w:t>
      </w:r>
      <w:r w:rsidR="003B541B">
        <w:rPr>
          <w:rStyle w:val="AERbody"/>
        </w:rPr>
        <w:t>'</w:t>
      </w:r>
      <w:r w:rsidR="0046782D">
        <w:rPr>
          <w:rStyle w:val="AERbody"/>
        </w:rPr>
        <w:t>roll forward model</w:t>
      </w:r>
      <w:r w:rsidR="00867111">
        <w:rPr>
          <w:rStyle w:val="AERbody"/>
        </w:rPr>
        <w:t>'</w:t>
      </w:r>
      <w:r w:rsidR="0046782D">
        <w:rPr>
          <w:rStyle w:val="AERbody"/>
        </w:rPr>
        <w:t xml:space="preserve"> or RFM)</w:t>
      </w:r>
      <w:r w:rsidR="003110F2">
        <w:rPr>
          <w:rStyle w:val="AERbody"/>
        </w:rPr>
        <w:t>. It did not a</w:t>
      </w:r>
      <w:r w:rsidR="00B25426">
        <w:rPr>
          <w:rStyle w:val="AERbody"/>
        </w:rPr>
        <w:t>dopt</w:t>
      </w:r>
      <w:r w:rsidR="003110F2">
        <w:rPr>
          <w:rStyle w:val="AERbody"/>
        </w:rPr>
        <w:t xml:space="preserve"> the preliminary decision to remove certain assets from the </w:t>
      </w:r>
      <w:r w:rsidR="00B25426">
        <w:rPr>
          <w:rStyle w:val="AERbody"/>
        </w:rPr>
        <w:t xml:space="preserve">standard control services </w:t>
      </w:r>
      <w:r w:rsidR="008B548F">
        <w:rPr>
          <w:rStyle w:val="AERbody"/>
        </w:rPr>
        <w:t xml:space="preserve">(SCS) </w:t>
      </w:r>
      <w:r w:rsidR="003110F2">
        <w:rPr>
          <w:rStyle w:val="AERbody"/>
        </w:rPr>
        <w:t>RAB now classified as</w:t>
      </w:r>
      <w:r w:rsidR="00876FA9">
        <w:rPr>
          <w:rStyle w:val="AERbody"/>
        </w:rPr>
        <w:t xml:space="preserve"> assets for</w:t>
      </w:r>
      <w:r w:rsidR="003110F2">
        <w:rPr>
          <w:rStyle w:val="AERbody"/>
        </w:rPr>
        <w:t xml:space="preserve"> </w:t>
      </w:r>
      <w:r w:rsidR="00184A49">
        <w:rPr>
          <w:rStyle w:val="AERbody"/>
        </w:rPr>
        <w:t>alternative control services (</w:t>
      </w:r>
      <w:r w:rsidR="00B25426">
        <w:rPr>
          <w:rStyle w:val="AERbody"/>
        </w:rPr>
        <w:t>ACS</w:t>
      </w:r>
      <w:r w:rsidR="00184A49">
        <w:rPr>
          <w:rStyle w:val="AERbody"/>
        </w:rPr>
        <w:t>)</w:t>
      </w:r>
      <w:r w:rsidR="003110F2">
        <w:rPr>
          <w:rStyle w:val="AERbody"/>
        </w:rPr>
        <w:t>. Ergon</w:t>
      </w:r>
      <w:r w:rsidR="00B73248" w:rsidRPr="00E96560">
        <w:rPr>
          <w:rStyle w:val="AERbody"/>
        </w:rPr>
        <w:t xml:space="preserve"> Energy also updated the revised </w:t>
      </w:r>
      <w:r w:rsidR="003110F2">
        <w:rPr>
          <w:rStyle w:val="AERbody"/>
        </w:rPr>
        <w:t xml:space="preserve">proposed opening RAB to reflect a </w:t>
      </w:r>
      <w:r w:rsidR="00B25426">
        <w:rPr>
          <w:rStyle w:val="AERbody"/>
        </w:rPr>
        <w:t>revised</w:t>
      </w:r>
      <w:r w:rsidR="003110F2">
        <w:rPr>
          <w:rStyle w:val="AERbody"/>
        </w:rPr>
        <w:t xml:space="preserve"> estimate of</w:t>
      </w:r>
      <w:r w:rsidR="00B73248" w:rsidRPr="00E96560">
        <w:rPr>
          <w:rStyle w:val="AERbody"/>
        </w:rPr>
        <w:t xml:space="preserve"> c</w:t>
      </w:r>
      <w:r w:rsidR="003110F2">
        <w:rPr>
          <w:rStyle w:val="AERbody"/>
        </w:rPr>
        <w:t>apex for 2014–15</w:t>
      </w:r>
      <w:r w:rsidR="00B73248" w:rsidRPr="00E96560">
        <w:rPr>
          <w:rStyle w:val="AERbody"/>
        </w:rPr>
        <w:t>.</w:t>
      </w:r>
      <w:r w:rsidR="00B862B1">
        <w:rPr>
          <w:rStyle w:val="FootnoteReference"/>
        </w:rPr>
        <w:footnoteReference w:id="4"/>
      </w:r>
      <w:r w:rsidR="00B73248" w:rsidRPr="00E96560">
        <w:rPr>
          <w:rStyle w:val="AERbody"/>
        </w:rPr>
        <w:t xml:space="preserve"> </w:t>
      </w:r>
    </w:p>
    <w:p w:rsidR="00E96560" w:rsidRPr="00D70AD1" w:rsidRDefault="0098578D" w:rsidP="00A714D2">
      <w:pPr>
        <w:rPr>
          <w:rStyle w:val="AERtexthighlight"/>
          <w:shd w:val="clear" w:color="auto" w:fill="auto"/>
        </w:rPr>
      </w:pPr>
      <w:r w:rsidRPr="00E96560">
        <w:rPr>
          <w:rStyle w:val="AERbody"/>
        </w:rPr>
        <w:t>E</w:t>
      </w:r>
      <w:r>
        <w:rPr>
          <w:rStyle w:val="AERbody"/>
        </w:rPr>
        <w:t>rgon</w:t>
      </w:r>
      <w:r w:rsidRPr="00E96560">
        <w:rPr>
          <w:rStyle w:val="AERbody"/>
        </w:rPr>
        <w:t xml:space="preserve"> </w:t>
      </w:r>
      <w:r w:rsidR="00B73248" w:rsidRPr="00E96560">
        <w:rPr>
          <w:rStyle w:val="AERbody"/>
        </w:rPr>
        <w:t>Energy's revised proposal submitted a forecast closing RAB as at 30 June 20</w:t>
      </w:r>
      <w:r w:rsidR="003110F2">
        <w:rPr>
          <w:rStyle w:val="AERbody"/>
        </w:rPr>
        <w:t>20</w:t>
      </w:r>
      <w:r w:rsidR="00B73248" w:rsidRPr="00E96560">
        <w:rPr>
          <w:rStyle w:val="AERbody"/>
        </w:rPr>
        <w:t xml:space="preserve"> of $</w:t>
      </w:r>
      <w:r w:rsidR="002B150D">
        <w:rPr>
          <w:rStyle w:val="AERbody"/>
        </w:rPr>
        <w:t>12 789.9 </w:t>
      </w:r>
      <w:r w:rsidR="00B73248" w:rsidRPr="00E96560">
        <w:rPr>
          <w:rStyle w:val="AERbody"/>
        </w:rPr>
        <w:t xml:space="preserve">million ($ nominal). This value reflects its revised opening RAB, forecast capex and forecast depreciation (based on forecast capex) over </w:t>
      </w:r>
      <w:r w:rsidR="003110F2">
        <w:rPr>
          <w:rStyle w:val="AERbody"/>
        </w:rPr>
        <w:t>the 2015</w:t>
      </w:r>
      <w:r w:rsidR="00B73248" w:rsidRPr="00E96560">
        <w:rPr>
          <w:rStyle w:val="AERbody"/>
        </w:rPr>
        <w:t>–</w:t>
      </w:r>
      <w:r w:rsidR="003110F2">
        <w:rPr>
          <w:rStyle w:val="AERbody"/>
        </w:rPr>
        <w:t>20</w:t>
      </w:r>
      <w:r w:rsidR="00B73248" w:rsidRPr="00E96560">
        <w:rPr>
          <w:rStyle w:val="AERbody"/>
        </w:rPr>
        <w:t xml:space="preserve"> </w:t>
      </w:r>
      <w:r w:rsidR="003110F2">
        <w:rPr>
          <w:rStyle w:val="AERbody"/>
        </w:rPr>
        <w:t xml:space="preserve">regulatory control </w:t>
      </w:r>
      <w:r w:rsidR="00B73248" w:rsidRPr="00A714D2">
        <w:t>period. E</w:t>
      </w:r>
      <w:r w:rsidR="003110F2" w:rsidRPr="00A714D2">
        <w:t>r</w:t>
      </w:r>
      <w:r w:rsidR="00D70AD1" w:rsidRPr="00A714D2">
        <w:t>gon</w:t>
      </w:r>
      <w:r w:rsidR="00B73248" w:rsidRPr="00A714D2">
        <w:t xml:space="preserve"> Ener</w:t>
      </w:r>
      <w:r w:rsidR="003110F2" w:rsidRPr="00A714D2">
        <w:t>gy's projected RAB over the 2015–20 regulatory control</w:t>
      </w:r>
      <w:r w:rsidR="00B73248" w:rsidRPr="00A714D2">
        <w:t xml:space="preserve"> period is shown in</w:t>
      </w:r>
      <w:r w:rsidR="00184A49">
        <w:t xml:space="preserve"> table 2.4</w:t>
      </w:r>
      <w:r w:rsidR="00B73248" w:rsidRPr="00A714D2">
        <w:t>.</w:t>
      </w:r>
    </w:p>
    <w:p w:rsidR="00E96560" w:rsidRPr="0086661B" w:rsidRDefault="00E96560" w:rsidP="00A714D2">
      <w:pPr>
        <w:pStyle w:val="Caption"/>
        <w:rPr>
          <w:rStyle w:val="AERbody"/>
          <w:color w:val="076A92" w:themeColor="text1"/>
          <w:sz w:val="24"/>
        </w:rPr>
      </w:pPr>
      <w:bookmarkStart w:id="17" w:name="_Ref426034804"/>
      <w:r w:rsidRPr="0086661B">
        <w:rPr>
          <w:rStyle w:val="AERbody"/>
          <w:color w:val="076A92" w:themeColor="text1"/>
          <w:sz w:val="24"/>
        </w:rPr>
        <w:t xml:space="preserve">Table </w:t>
      </w:r>
      <w:r w:rsidRPr="0086661B">
        <w:rPr>
          <w:rStyle w:val="AERbody"/>
          <w:color w:val="076A92" w:themeColor="text1"/>
          <w:sz w:val="24"/>
        </w:rPr>
        <w:fldChar w:fldCharType="begin"/>
      </w:r>
      <w:r w:rsidRPr="0086661B">
        <w:rPr>
          <w:rStyle w:val="AERbody"/>
          <w:color w:val="076A92" w:themeColor="text1"/>
          <w:sz w:val="24"/>
        </w:rPr>
        <w:instrText xml:space="preserve"> STYLEREF 1 \s </w:instrText>
      </w:r>
      <w:r w:rsidRPr="0086661B">
        <w:rPr>
          <w:rStyle w:val="AERbody"/>
          <w:color w:val="076A92" w:themeColor="text1"/>
          <w:sz w:val="24"/>
        </w:rPr>
        <w:fldChar w:fldCharType="separate"/>
      </w:r>
      <w:r w:rsidR="00D05727">
        <w:rPr>
          <w:rStyle w:val="AERbody"/>
          <w:noProof/>
          <w:color w:val="076A92" w:themeColor="text1"/>
          <w:sz w:val="24"/>
        </w:rPr>
        <w:t>2</w:t>
      </w:r>
      <w:r w:rsidRPr="0086661B">
        <w:rPr>
          <w:rStyle w:val="AERbody"/>
          <w:color w:val="076A92" w:themeColor="text1"/>
          <w:sz w:val="24"/>
        </w:rPr>
        <w:fldChar w:fldCharType="end"/>
      </w:r>
      <w:r w:rsidRPr="0086661B">
        <w:rPr>
          <w:rStyle w:val="AERbody"/>
          <w:color w:val="076A92" w:themeColor="text1"/>
          <w:sz w:val="24"/>
        </w:rPr>
        <w:t>.</w:t>
      </w:r>
      <w:r w:rsidRPr="0086661B">
        <w:rPr>
          <w:rStyle w:val="AERbody"/>
          <w:color w:val="076A92" w:themeColor="text1"/>
          <w:sz w:val="24"/>
        </w:rPr>
        <w:fldChar w:fldCharType="begin"/>
      </w:r>
      <w:r w:rsidRPr="0086661B">
        <w:rPr>
          <w:rStyle w:val="AERbody"/>
          <w:color w:val="076A92" w:themeColor="text1"/>
          <w:sz w:val="24"/>
        </w:rPr>
        <w:instrText xml:space="preserve"> SEQ Table \* ARABIC \s 1 </w:instrText>
      </w:r>
      <w:r w:rsidRPr="0086661B">
        <w:rPr>
          <w:rStyle w:val="AERbody"/>
          <w:color w:val="076A92" w:themeColor="text1"/>
          <w:sz w:val="24"/>
        </w:rPr>
        <w:fldChar w:fldCharType="separate"/>
      </w:r>
      <w:r w:rsidR="00D05727">
        <w:rPr>
          <w:rStyle w:val="AERbody"/>
          <w:noProof/>
          <w:color w:val="076A92" w:themeColor="text1"/>
          <w:sz w:val="24"/>
        </w:rPr>
        <w:t>3</w:t>
      </w:r>
      <w:r w:rsidRPr="0086661B">
        <w:rPr>
          <w:rStyle w:val="AERbody"/>
          <w:color w:val="076A92" w:themeColor="text1"/>
          <w:sz w:val="24"/>
        </w:rPr>
        <w:fldChar w:fldCharType="end"/>
      </w:r>
      <w:bookmarkEnd w:id="17"/>
      <w:r w:rsidRPr="0086661B">
        <w:rPr>
          <w:rStyle w:val="AERbody"/>
          <w:color w:val="076A92" w:themeColor="text1"/>
          <w:sz w:val="24"/>
        </w:rPr>
        <w:tab/>
        <w:t xml:space="preserve">Ergon </w:t>
      </w:r>
      <w:r w:rsidRPr="00A714D2">
        <w:rPr>
          <w:rStyle w:val="AERbody"/>
          <w:color w:val="076A92" w:themeColor="text1"/>
          <w:sz w:val="24"/>
        </w:rPr>
        <w:t xml:space="preserve">Energy's </w:t>
      </w:r>
      <w:r w:rsidR="00B862B1" w:rsidRPr="00A714D2">
        <w:rPr>
          <w:rStyle w:val="AERbody"/>
          <w:color w:val="076A92" w:themeColor="text1"/>
          <w:sz w:val="24"/>
        </w:rPr>
        <w:t xml:space="preserve">revised </w:t>
      </w:r>
      <w:r w:rsidRPr="00A714D2">
        <w:rPr>
          <w:rStyle w:val="AERbody"/>
          <w:color w:val="076A92" w:themeColor="text1"/>
          <w:sz w:val="24"/>
        </w:rPr>
        <w:t>proposed</w:t>
      </w:r>
      <w:r w:rsidRPr="0086661B">
        <w:rPr>
          <w:rStyle w:val="AERbody"/>
          <w:color w:val="076A92" w:themeColor="text1"/>
          <w:sz w:val="24"/>
        </w:rPr>
        <w:t xml:space="preserve"> RAB for the 2010–15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86661B" w:rsidRPr="009A414C" w:rsidTr="00042E0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86661B" w:rsidRPr="0086661B" w:rsidRDefault="0086661B" w:rsidP="0086661B">
            <w:r w:rsidRPr="009A414C">
              <w:t> </w:t>
            </w:r>
          </w:p>
        </w:tc>
        <w:tc>
          <w:tcPr>
            <w:tcW w:w="566" w:type="pct"/>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9A414C">
              <w:t>2010–11</w:t>
            </w:r>
          </w:p>
        </w:tc>
        <w:tc>
          <w:tcPr>
            <w:tcW w:w="566" w:type="pct"/>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9A414C">
              <w:t>2011–12</w:t>
            </w:r>
          </w:p>
        </w:tc>
        <w:tc>
          <w:tcPr>
            <w:tcW w:w="567" w:type="pct"/>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9A414C">
              <w:t>2012–13</w:t>
            </w:r>
          </w:p>
        </w:tc>
        <w:tc>
          <w:tcPr>
            <w:tcW w:w="566" w:type="pct"/>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9A414C">
              <w:t>2013–14</w:t>
            </w:r>
          </w:p>
        </w:tc>
        <w:tc>
          <w:tcPr>
            <w:tcW w:w="567" w:type="pct"/>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9A414C">
              <w:t>2014–15</w:t>
            </w:r>
            <w:r w:rsidRPr="0086661B">
              <w:rPr>
                <w:rStyle w:val="AERsuperscript"/>
              </w:rPr>
              <w:t>a</w:t>
            </w:r>
          </w:p>
        </w:tc>
      </w:tr>
      <w:tr w:rsidR="00120181" w:rsidRPr="009A414C" w:rsidTr="00042E0E">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20181" w:rsidRPr="00120181" w:rsidRDefault="00120181" w:rsidP="00120181">
            <w:r w:rsidRPr="00120181">
              <w:t>Opening RAB</w:t>
            </w:r>
          </w:p>
        </w:tc>
        <w:tc>
          <w:tcPr>
            <w:tcW w:w="566"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7148.9</w:t>
            </w:r>
          </w:p>
        </w:tc>
        <w:tc>
          <w:tcPr>
            <w:tcW w:w="566"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7843.8</w:t>
            </w:r>
          </w:p>
        </w:tc>
        <w:tc>
          <w:tcPr>
            <w:tcW w:w="567"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8376.0</w:t>
            </w:r>
          </w:p>
        </w:tc>
        <w:tc>
          <w:tcPr>
            <w:tcW w:w="566"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9034.9</w:t>
            </w:r>
          </w:p>
        </w:tc>
        <w:tc>
          <w:tcPr>
            <w:tcW w:w="567"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9649.2</w:t>
            </w:r>
          </w:p>
        </w:tc>
      </w:tr>
      <w:tr w:rsidR="00120181" w:rsidRPr="009A414C" w:rsidTr="00042E0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20181" w:rsidRPr="00120181" w:rsidRDefault="00120181" w:rsidP="00120181">
            <w:r w:rsidRPr="00120181">
              <w:t>Capital expenditure</w:t>
            </w:r>
            <w:r w:rsidRPr="00120181">
              <w:rPr>
                <w:rStyle w:val="AERsuperscript"/>
              </w:rPr>
              <w:t>b</w:t>
            </w:r>
          </w:p>
        </w:tc>
        <w:tc>
          <w:tcPr>
            <w:tcW w:w="566" w:type="pct"/>
            <w:noWrap/>
            <w:vAlign w:val="top"/>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809.5</w:t>
            </w:r>
          </w:p>
        </w:tc>
        <w:tc>
          <w:tcPr>
            <w:tcW w:w="566" w:type="pct"/>
            <w:noWrap/>
            <w:vAlign w:val="top"/>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758.2</w:t>
            </w:r>
          </w:p>
        </w:tc>
        <w:tc>
          <w:tcPr>
            <w:tcW w:w="567" w:type="pct"/>
            <w:noWrap/>
            <w:vAlign w:val="top"/>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828.0</w:t>
            </w:r>
          </w:p>
        </w:tc>
        <w:tc>
          <w:tcPr>
            <w:tcW w:w="566" w:type="pct"/>
            <w:noWrap/>
            <w:vAlign w:val="top"/>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744.0</w:t>
            </w:r>
          </w:p>
        </w:tc>
        <w:tc>
          <w:tcPr>
            <w:tcW w:w="567" w:type="pct"/>
            <w:noWrap/>
            <w:vAlign w:val="top"/>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799.6</w:t>
            </w:r>
          </w:p>
        </w:tc>
      </w:tr>
      <w:tr w:rsidR="007F7BD8" w:rsidRPr="009A414C" w:rsidTr="00042E0E">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7F7BD8" w:rsidRPr="007F7BD8" w:rsidRDefault="007F7BD8" w:rsidP="007F7BD8">
            <w:r w:rsidRPr="007F7BD8">
              <w:t>Inflation indexation on opening RAB</w:t>
            </w:r>
          </w:p>
        </w:tc>
        <w:tc>
          <w:tcPr>
            <w:tcW w:w="566" w:type="pct"/>
            <w:noWrap/>
            <w:vAlign w:val="top"/>
          </w:tcPr>
          <w:p w:rsidR="007F7BD8" w:rsidRPr="007F7BD8" w:rsidRDefault="007F7BD8" w:rsidP="007F7BD8">
            <w:pPr>
              <w:cnfStyle w:val="000000000000" w:firstRow="0" w:lastRow="0" w:firstColumn="0" w:lastColumn="0" w:oddVBand="0" w:evenVBand="0" w:oddHBand="0" w:evenHBand="0" w:firstRowFirstColumn="0" w:firstRowLastColumn="0" w:lastRowFirstColumn="0" w:lastRowLastColumn="0"/>
            </w:pPr>
            <w:r w:rsidRPr="007F7BD8">
              <w:t>238.1</w:t>
            </w:r>
          </w:p>
        </w:tc>
        <w:tc>
          <w:tcPr>
            <w:tcW w:w="566" w:type="pct"/>
            <w:noWrap/>
            <w:vAlign w:val="top"/>
          </w:tcPr>
          <w:p w:rsidR="007F7BD8" w:rsidRPr="007F7BD8" w:rsidRDefault="007F7BD8" w:rsidP="007F7BD8">
            <w:pPr>
              <w:cnfStyle w:val="000000000000" w:firstRow="0" w:lastRow="0" w:firstColumn="0" w:lastColumn="0" w:oddVBand="0" w:evenVBand="0" w:oddHBand="0" w:evenHBand="0" w:firstRowFirstColumn="0" w:firstRowLastColumn="0" w:lastRowFirstColumn="0" w:lastRowLastColumn="0"/>
            </w:pPr>
            <w:r w:rsidRPr="007F7BD8">
              <w:t>123.9</w:t>
            </w:r>
          </w:p>
        </w:tc>
        <w:tc>
          <w:tcPr>
            <w:tcW w:w="567" w:type="pct"/>
            <w:noWrap/>
            <w:vAlign w:val="top"/>
          </w:tcPr>
          <w:p w:rsidR="007F7BD8" w:rsidRPr="007F7BD8" w:rsidRDefault="007F7BD8" w:rsidP="007F7BD8">
            <w:pPr>
              <w:cnfStyle w:val="000000000000" w:firstRow="0" w:lastRow="0" w:firstColumn="0" w:lastColumn="0" w:oddVBand="0" w:evenVBand="0" w:oddHBand="0" w:evenHBand="0" w:firstRowFirstColumn="0" w:firstRowLastColumn="0" w:lastRowFirstColumn="0" w:lastRowLastColumn="0"/>
            </w:pPr>
            <w:r w:rsidRPr="007F7BD8">
              <w:t>209.4</w:t>
            </w:r>
          </w:p>
        </w:tc>
        <w:tc>
          <w:tcPr>
            <w:tcW w:w="566" w:type="pct"/>
            <w:noWrap/>
            <w:vAlign w:val="top"/>
          </w:tcPr>
          <w:p w:rsidR="007F7BD8" w:rsidRPr="007F7BD8" w:rsidRDefault="007F7BD8" w:rsidP="007F7BD8">
            <w:pPr>
              <w:cnfStyle w:val="000000000000" w:firstRow="0" w:lastRow="0" w:firstColumn="0" w:lastColumn="0" w:oddVBand="0" w:evenVBand="0" w:oddHBand="0" w:evenHBand="0" w:firstRowFirstColumn="0" w:firstRowLastColumn="0" w:lastRowFirstColumn="0" w:lastRowLastColumn="0"/>
            </w:pPr>
            <w:r w:rsidRPr="007F7BD8">
              <w:t>264.7</w:t>
            </w:r>
          </w:p>
        </w:tc>
        <w:tc>
          <w:tcPr>
            <w:tcW w:w="567" w:type="pct"/>
            <w:noWrap/>
            <w:vAlign w:val="top"/>
          </w:tcPr>
          <w:p w:rsidR="007F7BD8" w:rsidRPr="007F7BD8" w:rsidRDefault="007F7BD8" w:rsidP="007F7BD8">
            <w:pPr>
              <w:cnfStyle w:val="000000000000" w:firstRow="0" w:lastRow="0" w:firstColumn="0" w:lastColumn="0" w:oddVBand="0" w:evenVBand="0" w:oddHBand="0" w:evenHBand="0" w:firstRowFirstColumn="0" w:firstRowLastColumn="0" w:lastRowFirstColumn="0" w:lastRowLastColumn="0"/>
            </w:pPr>
            <w:r w:rsidRPr="007F7BD8">
              <w:t>265.4</w:t>
            </w:r>
          </w:p>
        </w:tc>
      </w:tr>
      <w:tr w:rsidR="007F7BD8" w:rsidRPr="009A414C" w:rsidTr="00042E0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7F7BD8" w:rsidRPr="007F7BD8" w:rsidRDefault="007F7BD8" w:rsidP="007F7BD8">
            <w:r w:rsidRPr="00A714D2">
              <w:rPr>
                <w:rStyle w:val="AERtextitalic"/>
              </w:rPr>
              <w:t>Less</w:t>
            </w:r>
            <w:r w:rsidRPr="007F7BD8">
              <w:t>: straight-line depreciation</w:t>
            </w:r>
          </w:p>
        </w:tc>
        <w:tc>
          <w:tcPr>
            <w:tcW w:w="566" w:type="pct"/>
            <w:noWrap/>
            <w:vAlign w:val="top"/>
          </w:tcPr>
          <w:p w:rsidR="007F7BD8" w:rsidRPr="007F7BD8" w:rsidRDefault="007F7BD8" w:rsidP="007F7BD8">
            <w:pPr>
              <w:cnfStyle w:val="000000010000" w:firstRow="0" w:lastRow="0" w:firstColumn="0" w:lastColumn="0" w:oddVBand="0" w:evenVBand="0" w:oddHBand="0" w:evenHBand="1" w:firstRowFirstColumn="0" w:firstRowLastColumn="0" w:lastRowFirstColumn="0" w:lastRowLastColumn="0"/>
            </w:pPr>
            <w:r w:rsidRPr="007F7BD8">
              <w:t>352.7</w:t>
            </w:r>
          </w:p>
        </w:tc>
        <w:tc>
          <w:tcPr>
            <w:tcW w:w="566" w:type="pct"/>
            <w:noWrap/>
            <w:vAlign w:val="top"/>
          </w:tcPr>
          <w:p w:rsidR="007F7BD8" w:rsidRPr="007F7BD8" w:rsidRDefault="007F7BD8" w:rsidP="007F7BD8">
            <w:pPr>
              <w:cnfStyle w:val="000000010000" w:firstRow="0" w:lastRow="0" w:firstColumn="0" w:lastColumn="0" w:oddVBand="0" w:evenVBand="0" w:oddHBand="0" w:evenHBand="1" w:firstRowFirstColumn="0" w:firstRowLastColumn="0" w:lastRowFirstColumn="0" w:lastRowLastColumn="0"/>
            </w:pPr>
            <w:r w:rsidRPr="007F7BD8">
              <w:t>350.0</w:t>
            </w:r>
          </w:p>
        </w:tc>
        <w:tc>
          <w:tcPr>
            <w:tcW w:w="567" w:type="pct"/>
            <w:noWrap/>
            <w:vAlign w:val="top"/>
          </w:tcPr>
          <w:p w:rsidR="007F7BD8" w:rsidRPr="007F7BD8" w:rsidRDefault="007F7BD8" w:rsidP="007F7BD8">
            <w:pPr>
              <w:cnfStyle w:val="000000010000" w:firstRow="0" w:lastRow="0" w:firstColumn="0" w:lastColumn="0" w:oddVBand="0" w:evenVBand="0" w:oddHBand="0" w:evenHBand="1" w:firstRowFirstColumn="0" w:firstRowLastColumn="0" w:lastRowFirstColumn="0" w:lastRowLastColumn="0"/>
            </w:pPr>
            <w:r w:rsidRPr="007F7BD8">
              <w:t>378.4</w:t>
            </w:r>
          </w:p>
        </w:tc>
        <w:tc>
          <w:tcPr>
            <w:tcW w:w="566" w:type="pct"/>
            <w:noWrap/>
            <w:vAlign w:val="top"/>
          </w:tcPr>
          <w:p w:rsidR="007F7BD8" w:rsidRPr="007F7BD8" w:rsidRDefault="007F7BD8" w:rsidP="007F7BD8">
            <w:pPr>
              <w:cnfStyle w:val="000000010000" w:firstRow="0" w:lastRow="0" w:firstColumn="0" w:lastColumn="0" w:oddVBand="0" w:evenVBand="0" w:oddHBand="0" w:evenHBand="1" w:firstRowFirstColumn="0" w:firstRowLastColumn="0" w:lastRowFirstColumn="0" w:lastRowLastColumn="0"/>
            </w:pPr>
            <w:r w:rsidRPr="007F7BD8">
              <w:t>394.4</w:t>
            </w:r>
          </w:p>
        </w:tc>
        <w:tc>
          <w:tcPr>
            <w:tcW w:w="567" w:type="pct"/>
            <w:noWrap/>
            <w:vAlign w:val="top"/>
          </w:tcPr>
          <w:p w:rsidR="007F7BD8" w:rsidRPr="007F7BD8" w:rsidRDefault="007F7BD8" w:rsidP="007F7BD8">
            <w:pPr>
              <w:cnfStyle w:val="000000010000" w:firstRow="0" w:lastRow="0" w:firstColumn="0" w:lastColumn="0" w:oddVBand="0" w:evenVBand="0" w:oddHBand="0" w:evenHBand="1" w:firstRowFirstColumn="0" w:firstRowLastColumn="0" w:lastRowFirstColumn="0" w:lastRowLastColumn="0"/>
            </w:pPr>
            <w:r w:rsidRPr="007F7BD8">
              <w:t>385.9</w:t>
            </w:r>
          </w:p>
        </w:tc>
      </w:tr>
      <w:tr w:rsidR="00120181" w:rsidRPr="00A714D2" w:rsidTr="00042E0E">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20181" w:rsidRPr="00A714D2" w:rsidRDefault="00120181" w:rsidP="00120181">
            <w:pPr>
              <w:rPr>
                <w:rStyle w:val="Strong"/>
              </w:rPr>
            </w:pPr>
            <w:r w:rsidRPr="00A714D2">
              <w:rPr>
                <w:rStyle w:val="Strong"/>
              </w:rPr>
              <w:t>Closing RAB</w:t>
            </w:r>
          </w:p>
        </w:tc>
        <w:tc>
          <w:tcPr>
            <w:tcW w:w="566" w:type="pct"/>
            <w:noWrap/>
            <w:vAlign w:val="top"/>
          </w:tcPr>
          <w:p w:rsidR="00120181" w:rsidRPr="00C96B2F" w:rsidRDefault="00120181" w:rsidP="00C96B2F">
            <w:pPr>
              <w:cnfStyle w:val="000000000000" w:firstRow="0" w:lastRow="0" w:firstColumn="0" w:lastColumn="0" w:oddVBand="0" w:evenVBand="0" w:oddHBand="0" w:evenHBand="0" w:firstRowFirstColumn="0" w:firstRowLastColumn="0" w:lastRowFirstColumn="0" w:lastRowLastColumn="0"/>
            </w:pPr>
            <w:r w:rsidRPr="00C96B2F">
              <w:t>7843.8</w:t>
            </w:r>
          </w:p>
        </w:tc>
        <w:tc>
          <w:tcPr>
            <w:tcW w:w="566" w:type="pct"/>
            <w:noWrap/>
            <w:vAlign w:val="top"/>
          </w:tcPr>
          <w:p w:rsidR="00120181" w:rsidRPr="00C96B2F" w:rsidRDefault="00120181" w:rsidP="00C96B2F">
            <w:pPr>
              <w:cnfStyle w:val="000000000000" w:firstRow="0" w:lastRow="0" w:firstColumn="0" w:lastColumn="0" w:oddVBand="0" w:evenVBand="0" w:oddHBand="0" w:evenHBand="0" w:firstRowFirstColumn="0" w:firstRowLastColumn="0" w:lastRowFirstColumn="0" w:lastRowLastColumn="0"/>
            </w:pPr>
            <w:r w:rsidRPr="00C96B2F">
              <w:t>8376.0</w:t>
            </w:r>
          </w:p>
        </w:tc>
        <w:tc>
          <w:tcPr>
            <w:tcW w:w="567" w:type="pct"/>
            <w:noWrap/>
            <w:vAlign w:val="top"/>
          </w:tcPr>
          <w:p w:rsidR="00120181" w:rsidRPr="00C96B2F" w:rsidRDefault="00120181" w:rsidP="00C96B2F">
            <w:pPr>
              <w:cnfStyle w:val="000000000000" w:firstRow="0" w:lastRow="0" w:firstColumn="0" w:lastColumn="0" w:oddVBand="0" w:evenVBand="0" w:oddHBand="0" w:evenHBand="0" w:firstRowFirstColumn="0" w:firstRowLastColumn="0" w:lastRowFirstColumn="0" w:lastRowLastColumn="0"/>
            </w:pPr>
            <w:r w:rsidRPr="00C96B2F">
              <w:t>9034.9</w:t>
            </w:r>
          </w:p>
        </w:tc>
        <w:tc>
          <w:tcPr>
            <w:tcW w:w="566" w:type="pct"/>
            <w:noWrap/>
            <w:vAlign w:val="top"/>
          </w:tcPr>
          <w:p w:rsidR="00120181" w:rsidRPr="00C96B2F" w:rsidRDefault="00120181" w:rsidP="00C96B2F">
            <w:pPr>
              <w:cnfStyle w:val="000000000000" w:firstRow="0" w:lastRow="0" w:firstColumn="0" w:lastColumn="0" w:oddVBand="0" w:evenVBand="0" w:oddHBand="0" w:evenHBand="0" w:firstRowFirstColumn="0" w:firstRowLastColumn="0" w:lastRowFirstColumn="0" w:lastRowLastColumn="0"/>
            </w:pPr>
            <w:r w:rsidRPr="00C96B2F">
              <w:t>9649.2</w:t>
            </w:r>
          </w:p>
        </w:tc>
        <w:tc>
          <w:tcPr>
            <w:tcW w:w="567" w:type="pct"/>
            <w:noWrap/>
            <w:vAlign w:val="top"/>
          </w:tcPr>
          <w:p w:rsidR="00120181" w:rsidRPr="00C96B2F" w:rsidRDefault="00120181" w:rsidP="00C96B2F">
            <w:pPr>
              <w:cnfStyle w:val="000000000000" w:firstRow="0" w:lastRow="0" w:firstColumn="0" w:lastColumn="0" w:oddVBand="0" w:evenVBand="0" w:oddHBand="0" w:evenHBand="0" w:firstRowFirstColumn="0" w:firstRowLastColumn="0" w:lastRowFirstColumn="0" w:lastRowLastColumn="0"/>
            </w:pPr>
            <w:r w:rsidRPr="00C96B2F">
              <w:t>10</w:t>
            </w:r>
            <w:r w:rsidR="002B150D" w:rsidRPr="00C96B2F">
              <w:t> </w:t>
            </w:r>
            <w:r w:rsidRPr="00C96B2F">
              <w:t>328.2</w:t>
            </w:r>
          </w:p>
        </w:tc>
      </w:tr>
      <w:tr w:rsidR="00120181" w:rsidRPr="009A414C" w:rsidTr="00042E0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120181" w:rsidRPr="00120181" w:rsidRDefault="00120181" w:rsidP="00120181">
            <w:r w:rsidRPr="00120181">
              <w:t>Difference between estimated and actual 2009–10 capex (1 July 2009 to 30 June 2010)</w:t>
            </w:r>
          </w:p>
        </w:tc>
        <w:tc>
          <w:tcPr>
            <w:tcW w:w="566" w:type="pct"/>
            <w:noWrap/>
            <w:vAlign w:val="top"/>
            <w:hideMark/>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 xml:space="preserve">  </w:t>
            </w:r>
          </w:p>
        </w:tc>
        <w:tc>
          <w:tcPr>
            <w:tcW w:w="566" w:type="pct"/>
            <w:noWrap/>
            <w:vAlign w:val="top"/>
            <w:hideMark/>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 xml:space="preserve">  </w:t>
            </w:r>
          </w:p>
        </w:tc>
        <w:tc>
          <w:tcPr>
            <w:tcW w:w="567" w:type="pct"/>
            <w:noWrap/>
            <w:vAlign w:val="top"/>
            <w:hideMark/>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 xml:space="preserve">  </w:t>
            </w:r>
          </w:p>
        </w:tc>
        <w:tc>
          <w:tcPr>
            <w:tcW w:w="566" w:type="pct"/>
            <w:noWrap/>
            <w:vAlign w:val="top"/>
            <w:hideMark/>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rsidRPr="00120181">
              <w:t xml:space="preserve">  </w:t>
            </w:r>
          </w:p>
        </w:tc>
        <w:tc>
          <w:tcPr>
            <w:tcW w:w="567" w:type="pct"/>
            <w:noWrap/>
            <w:vAlign w:val="top"/>
          </w:tcPr>
          <w:p w:rsidR="00120181" w:rsidRPr="00120181" w:rsidRDefault="00120181" w:rsidP="00120181">
            <w:pPr>
              <w:cnfStyle w:val="000000010000" w:firstRow="0" w:lastRow="0" w:firstColumn="0" w:lastColumn="0" w:oddVBand="0" w:evenVBand="0" w:oddHBand="0" w:evenHBand="1" w:firstRowFirstColumn="0" w:firstRowLastColumn="0" w:lastRowFirstColumn="0" w:lastRowLastColumn="0"/>
            </w:pPr>
            <w:r>
              <w:t>–</w:t>
            </w:r>
            <w:r w:rsidRPr="00120181">
              <w:t>131.9</w:t>
            </w:r>
          </w:p>
        </w:tc>
      </w:tr>
      <w:tr w:rsidR="00120181" w:rsidRPr="009A414C" w:rsidTr="00042E0E">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120181" w:rsidRPr="00120181" w:rsidRDefault="00120181" w:rsidP="00120181">
            <w:r w:rsidRPr="00120181">
              <w:t>Return on difference for 2009–10 capex</w:t>
            </w:r>
          </w:p>
        </w:tc>
        <w:tc>
          <w:tcPr>
            <w:tcW w:w="566" w:type="pct"/>
            <w:noWrap/>
            <w:vAlign w:val="top"/>
            <w:hideMark/>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 xml:space="preserve">  </w:t>
            </w:r>
          </w:p>
        </w:tc>
        <w:tc>
          <w:tcPr>
            <w:tcW w:w="566" w:type="pct"/>
            <w:noWrap/>
            <w:vAlign w:val="top"/>
            <w:hideMark/>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 xml:space="preserve">  </w:t>
            </w:r>
          </w:p>
        </w:tc>
        <w:tc>
          <w:tcPr>
            <w:tcW w:w="567" w:type="pct"/>
            <w:noWrap/>
            <w:vAlign w:val="top"/>
            <w:hideMark/>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 xml:space="preserve">  </w:t>
            </w:r>
          </w:p>
        </w:tc>
        <w:tc>
          <w:tcPr>
            <w:tcW w:w="566" w:type="pct"/>
            <w:noWrap/>
            <w:vAlign w:val="top"/>
            <w:hideMark/>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 xml:space="preserve">  </w:t>
            </w:r>
          </w:p>
        </w:tc>
        <w:tc>
          <w:tcPr>
            <w:tcW w:w="567"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t>–</w:t>
            </w:r>
            <w:r w:rsidRPr="00120181">
              <w:t>78.9</w:t>
            </w:r>
          </w:p>
        </w:tc>
      </w:tr>
      <w:tr w:rsidR="00120181" w:rsidRPr="003B541B" w:rsidTr="00042E0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20181" w:rsidRPr="003B541B" w:rsidRDefault="00120181" w:rsidP="003B541B">
            <w:pPr>
              <w:rPr>
                <w:rStyle w:val="Strong"/>
              </w:rPr>
            </w:pPr>
            <w:r w:rsidRPr="003B541B">
              <w:rPr>
                <w:rStyle w:val="Strong"/>
              </w:rPr>
              <w:t>Closing RAB as at 30 June 2015</w:t>
            </w:r>
          </w:p>
        </w:tc>
        <w:tc>
          <w:tcPr>
            <w:tcW w:w="566" w:type="pct"/>
            <w:noWrap/>
            <w:vAlign w:val="top"/>
            <w:hideMark/>
          </w:tcPr>
          <w:p w:rsidR="00120181" w:rsidRPr="003B541B" w:rsidRDefault="00120181" w:rsidP="003B541B">
            <w:pPr>
              <w:cnfStyle w:val="000000010000" w:firstRow="0" w:lastRow="0" w:firstColumn="0" w:lastColumn="0" w:oddVBand="0" w:evenVBand="0" w:oddHBand="0" w:evenHBand="1" w:firstRowFirstColumn="0" w:firstRowLastColumn="0" w:lastRowFirstColumn="0" w:lastRowLastColumn="0"/>
              <w:rPr>
                <w:rStyle w:val="Strong"/>
              </w:rPr>
            </w:pPr>
            <w:r w:rsidRPr="003B541B">
              <w:rPr>
                <w:rStyle w:val="Strong"/>
              </w:rPr>
              <w:t xml:space="preserve">  </w:t>
            </w:r>
          </w:p>
        </w:tc>
        <w:tc>
          <w:tcPr>
            <w:tcW w:w="566" w:type="pct"/>
            <w:noWrap/>
            <w:vAlign w:val="top"/>
            <w:hideMark/>
          </w:tcPr>
          <w:p w:rsidR="00120181" w:rsidRPr="003B541B" w:rsidRDefault="00120181" w:rsidP="003B541B">
            <w:pPr>
              <w:cnfStyle w:val="000000010000" w:firstRow="0" w:lastRow="0" w:firstColumn="0" w:lastColumn="0" w:oddVBand="0" w:evenVBand="0" w:oddHBand="0" w:evenHBand="1" w:firstRowFirstColumn="0" w:firstRowLastColumn="0" w:lastRowFirstColumn="0" w:lastRowLastColumn="0"/>
              <w:rPr>
                <w:rStyle w:val="Strong"/>
              </w:rPr>
            </w:pPr>
            <w:r w:rsidRPr="003B541B">
              <w:rPr>
                <w:rStyle w:val="Strong"/>
              </w:rPr>
              <w:t xml:space="preserve">  </w:t>
            </w:r>
          </w:p>
        </w:tc>
        <w:tc>
          <w:tcPr>
            <w:tcW w:w="567" w:type="pct"/>
            <w:noWrap/>
            <w:vAlign w:val="top"/>
            <w:hideMark/>
          </w:tcPr>
          <w:p w:rsidR="00120181" w:rsidRPr="003B541B" w:rsidRDefault="00120181" w:rsidP="003B541B">
            <w:pPr>
              <w:cnfStyle w:val="000000010000" w:firstRow="0" w:lastRow="0" w:firstColumn="0" w:lastColumn="0" w:oddVBand="0" w:evenVBand="0" w:oddHBand="0" w:evenHBand="1" w:firstRowFirstColumn="0" w:firstRowLastColumn="0" w:lastRowFirstColumn="0" w:lastRowLastColumn="0"/>
              <w:rPr>
                <w:rStyle w:val="Strong"/>
              </w:rPr>
            </w:pPr>
            <w:r w:rsidRPr="003B541B">
              <w:rPr>
                <w:rStyle w:val="Strong"/>
              </w:rPr>
              <w:t xml:space="preserve">  </w:t>
            </w:r>
          </w:p>
        </w:tc>
        <w:tc>
          <w:tcPr>
            <w:tcW w:w="566" w:type="pct"/>
            <w:noWrap/>
            <w:vAlign w:val="top"/>
            <w:hideMark/>
          </w:tcPr>
          <w:p w:rsidR="00120181" w:rsidRPr="003B541B" w:rsidRDefault="00120181" w:rsidP="003B541B">
            <w:pPr>
              <w:cnfStyle w:val="000000010000" w:firstRow="0" w:lastRow="0" w:firstColumn="0" w:lastColumn="0" w:oddVBand="0" w:evenVBand="0" w:oddHBand="0" w:evenHBand="1" w:firstRowFirstColumn="0" w:firstRowLastColumn="0" w:lastRowFirstColumn="0" w:lastRowLastColumn="0"/>
              <w:rPr>
                <w:rStyle w:val="Strong"/>
              </w:rPr>
            </w:pPr>
            <w:r w:rsidRPr="003B541B">
              <w:rPr>
                <w:rStyle w:val="Strong"/>
              </w:rPr>
              <w:t xml:space="preserve">  </w:t>
            </w:r>
          </w:p>
        </w:tc>
        <w:tc>
          <w:tcPr>
            <w:tcW w:w="567" w:type="pct"/>
            <w:noWrap/>
            <w:vAlign w:val="top"/>
          </w:tcPr>
          <w:p w:rsidR="00120181" w:rsidRPr="00C96B2F" w:rsidRDefault="00120181" w:rsidP="00C96B2F">
            <w:pPr>
              <w:cnfStyle w:val="000000010000" w:firstRow="0" w:lastRow="0" w:firstColumn="0" w:lastColumn="0" w:oddVBand="0" w:evenVBand="0" w:oddHBand="0" w:evenHBand="1" w:firstRowFirstColumn="0" w:firstRowLastColumn="0" w:lastRowFirstColumn="0" w:lastRowLastColumn="0"/>
            </w:pPr>
            <w:r w:rsidRPr="00C96B2F">
              <w:t>10</w:t>
            </w:r>
            <w:r w:rsidR="002B150D" w:rsidRPr="00C96B2F">
              <w:t> </w:t>
            </w:r>
            <w:r w:rsidRPr="00C96B2F">
              <w:t>117.4</w:t>
            </w:r>
          </w:p>
        </w:tc>
      </w:tr>
      <w:tr w:rsidR="00120181" w:rsidRPr="009A414C" w:rsidTr="00042E0E">
        <w:trPr>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120181" w:rsidRPr="00120181" w:rsidRDefault="003B541B" w:rsidP="00120181">
            <w:r w:rsidRPr="003B541B">
              <w:rPr>
                <w:rStyle w:val="AERtextitalic"/>
              </w:rPr>
              <w:t>Less:</w:t>
            </w:r>
            <w:r>
              <w:t xml:space="preserve"> </w:t>
            </w:r>
            <w:r w:rsidR="00120181" w:rsidRPr="00120181">
              <w:t xml:space="preserve">Meters moved to ACS </w:t>
            </w:r>
          </w:p>
        </w:tc>
        <w:tc>
          <w:tcPr>
            <w:tcW w:w="566"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 xml:space="preserve">  </w:t>
            </w:r>
          </w:p>
        </w:tc>
        <w:tc>
          <w:tcPr>
            <w:tcW w:w="566"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 xml:space="preserve">  </w:t>
            </w:r>
          </w:p>
        </w:tc>
        <w:tc>
          <w:tcPr>
            <w:tcW w:w="567"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 xml:space="preserve">  </w:t>
            </w:r>
          </w:p>
        </w:tc>
        <w:tc>
          <w:tcPr>
            <w:tcW w:w="566"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 xml:space="preserve">  </w:t>
            </w:r>
          </w:p>
        </w:tc>
        <w:tc>
          <w:tcPr>
            <w:tcW w:w="567" w:type="pct"/>
            <w:noWrap/>
            <w:vAlign w:val="top"/>
          </w:tcPr>
          <w:p w:rsidR="00120181" w:rsidRPr="00120181" w:rsidRDefault="00120181" w:rsidP="00120181">
            <w:pPr>
              <w:cnfStyle w:val="000000000000" w:firstRow="0" w:lastRow="0" w:firstColumn="0" w:lastColumn="0" w:oddVBand="0" w:evenVBand="0" w:oddHBand="0" w:evenHBand="0" w:firstRowFirstColumn="0" w:firstRowLastColumn="0" w:lastRowFirstColumn="0" w:lastRowLastColumn="0"/>
            </w:pPr>
            <w:r w:rsidRPr="00120181">
              <w:t>61.6</w:t>
            </w:r>
          </w:p>
        </w:tc>
      </w:tr>
      <w:tr w:rsidR="00120181" w:rsidRPr="00A714D2" w:rsidTr="00042E0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120181" w:rsidRPr="00A714D2" w:rsidRDefault="00120181" w:rsidP="00120181">
            <w:pPr>
              <w:rPr>
                <w:rStyle w:val="Strong"/>
              </w:rPr>
            </w:pPr>
            <w:r w:rsidRPr="00A714D2">
              <w:rPr>
                <w:rStyle w:val="Strong"/>
              </w:rPr>
              <w:t>Opening RAB as at 1 July 2015</w:t>
            </w:r>
          </w:p>
        </w:tc>
        <w:tc>
          <w:tcPr>
            <w:tcW w:w="566" w:type="pct"/>
            <w:noWrap/>
            <w:vAlign w:val="top"/>
          </w:tcPr>
          <w:p w:rsidR="00120181" w:rsidRPr="00A714D2" w:rsidRDefault="00120181" w:rsidP="00120181">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 xml:space="preserve">  </w:t>
            </w:r>
          </w:p>
        </w:tc>
        <w:tc>
          <w:tcPr>
            <w:tcW w:w="566" w:type="pct"/>
            <w:noWrap/>
            <w:vAlign w:val="top"/>
          </w:tcPr>
          <w:p w:rsidR="00120181" w:rsidRPr="00A714D2" w:rsidRDefault="00120181" w:rsidP="00120181">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 xml:space="preserve">  </w:t>
            </w:r>
          </w:p>
        </w:tc>
        <w:tc>
          <w:tcPr>
            <w:tcW w:w="567" w:type="pct"/>
            <w:noWrap/>
            <w:vAlign w:val="top"/>
          </w:tcPr>
          <w:p w:rsidR="00120181" w:rsidRPr="00A714D2" w:rsidRDefault="00120181" w:rsidP="00120181">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 xml:space="preserve">  </w:t>
            </w:r>
          </w:p>
        </w:tc>
        <w:tc>
          <w:tcPr>
            <w:tcW w:w="566" w:type="pct"/>
            <w:noWrap/>
            <w:vAlign w:val="top"/>
          </w:tcPr>
          <w:p w:rsidR="00120181" w:rsidRPr="00A714D2" w:rsidRDefault="00120181" w:rsidP="00120181">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 xml:space="preserve">  </w:t>
            </w:r>
          </w:p>
        </w:tc>
        <w:tc>
          <w:tcPr>
            <w:tcW w:w="567" w:type="pct"/>
            <w:noWrap/>
            <w:vAlign w:val="top"/>
          </w:tcPr>
          <w:p w:rsidR="00120181" w:rsidRPr="00A714D2" w:rsidRDefault="00120181" w:rsidP="00120181">
            <w:pPr>
              <w:cnfStyle w:val="000000010000" w:firstRow="0" w:lastRow="0" w:firstColumn="0" w:lastColumn="0" w:oddVBand="0" w:evenVBand="0" w:oddHBand="0" w:evenHBand="1" w:firstRowFirstColumn="0" w:firstRowLastColumn="0" w:lastRowFirstColumn="0" w:lastRowLastColumn="0"/>
              <w:rPr>
                <w:rStyle w:val="Strong"/>
              </w:rPr>
            </w:pPr>
            <w:r w:rsidRPr="00A714D2">
              <w:rPr>
                <w:rStyle w:val="Strong"/>
              </w:rPr>
              <w:t>10</w:t>
            </w:r>
            <w:r w:rsidR="002B150D">
              <w:rPr>
                <w:rStyle w:val="Strong"/>
              </w:rPr>
              <w:t> </w:t>
            </w:r>
            <w:r w:rsidRPr="00A714D2">
              <w:rPr>
                <w:rStyle w:val="Strong"/>
              </w:rPr>
              <w:t>055.8</w:t>
            </w:r>
          </w:p>
        </w:tc>
      </w:tr>
    </w:tbl>
    <w:p w:rsidR="0086661B" w:rsidRPr="00924046" w:rsidRDefault="0086661B" w:rsidP="0086661B">
      <w:pPr>
        <w:pStyle w:val="AERtablesource"/>
        <w:ind w:left="0" w:firstLine="0"/>
      </w:pPr>
      <w:r w:rsidRPr="00924046">
        <w:t>Source:</w:t>
      </w:r>
      <w:r w:rsidRPr="00924046">
        <w:tab/>
      </w:r>
      <w:r>
        <w:t xml:space="preserve">Ergon Energy, </w:t>
      </w:r>
      <w:r>
        <w:rPr>
          <w:rStyle w:val="AERtextitalic"/>
        </w:rPr>
        <w:t xml:space="preserve">Revised </w:t>
      </w:r>
      <w:r w:rsidR="008E2DF8">
        <w:rPr>
          <w:rStyle w:val="AERtextitalic"/>
        </w:rPr>
        <w:t xml:space="preserve">regulatory </w:t>
      </w:r>
      <w:r>
        <w:rPr>
          <w:rStyle w:val="AERtextitalic"/>
        </w:rPr>
        <w:t>p</w:t>
      </w:r>
      <w:r w:rsidRPr="00237902">
        <w:rPr>
          <w:rStyle w:val="AERtextitalic"/>
        </w:rPr>
        <w:t>ropos</w:t>
      </w:r>
      <w:r w:rsidR="008E2DF8">
        <w:rPr>
          <w:rStyle w:val="AERtextitalic"/>
        </w:rPr>
        <w:t>al</w:t>
      </w:r>
      <w:r>
        <w:t>, July</w:t>
      </w:r>
      <w:r w:rsidRPr="00924046">
        <w:t xml:space="preserve"> 201</w:t>
      </w:r>
      <w:r>
        <w:t>5</w:t>
      </w:r>
      <w:r w:rsidR="008E2DF8">
        <w:t>, Attachments 03.01.07 and 03.01.08</w:t>
      </w:r>
      <w:r w:rsidRPr="00924046">
        <w:t>.</w:t>
      </w:r>
    </w:p>
    <w:p w:rsidR="00B862B1" w:rsidRDefault="0086661B" w:rsidP="0086661B">
      <w:pPr>
        <w:pStyle w:val="AERtablesource"/>
      </w:pPr>
      <w:r>
        <w:t>(a)</w:t>
      </w:r>
      <w:r w:rsidR="00B862B1">
        <w:t>:</w:t>
      </w:r>
      <w:r w:rsidRPr="00924046">
        <w:tab/>
      </w:r>
      <w:r w:rsidR="00B862B1" w:rsidRPr="009A414C">
        <w:t xml:space="preserve">Based on revised estimated capex. </w:t>
      </w:r>
    </w:p>
    <w:p w:rsidR="0086661B" w:rsidRPr="00924046" w:rsidRDefault="00B862B1" w:rsidP="0086661B">
      <w:pPr>
        <w:pStyle w:val="AERtablesource"/>
      </w:pPr>
      <w:r>
        <w:lastRenderedPageBreak/>
        <w:t>(b):</w:t>
      </w:r>
      <w:r>
        <w:tab/>
      </w:r>
      <w:r w:rsidR="0086661B" w:rsidRPr="00924046">
        <w:t>Net of disposals.</w:t>
      </w:r>
    </w:p>
    <w:p w:rsidR="00E96560" w:rsidRDefault="00E96560" w:rsidP="00A714D2">
      <w:pPr>
        <w:pStyle w:val="Caption"/>
        <w:rPr>
          <w:rStyle w:val="AERbody"/>
        </w:rPr>
      </w:pPr>
      <w:bookmarkStart w:id="18" w:name="_Ref426034814"/>
      <w:r w:rsidRPr="0086661B">
        <w:rPr>
          <w:rStyle w:val="AERbody"/>
          <w:color w:val="076A92" w:themeColor="text1"/>
          <w:sz w:val="24"/>
        </w:rPr>
        <w:t xml:space="preserve">Table </w:t>
      </w:r>
      <w:r w:rsidRPr="0086661B">
        <w:rPr>
          <w:rStyle w:val="AERbody"/>
          <w:color w:val="076A92" w:themeColor="text1"/>
          <w:sz w:val="24"/>
        </w:rPr>
        <w:fldChar w:fldCharType="begin"/>
      </w:r>
      <w:r w:rsidRPr="0086661B">
        <w:rPr>
          <w:rStyle w:val="AERbody"/>
          <w:color w:val="076A92" w:themeColor="text1"/>
          <w:sz w:val="24"/>
        </w:rPr>
        <w:instrText xml:space="preserve"> STYLEREF 1 \s </w:instrText>
      </w:r>
      <w:r w:rsidRPr="0086661B">
        <w:rPr>
          <w:rStyle w:val="AERbody"/>
          <w:color w:val="076A92" w:themeColor="text1"/>
          <w:sz w:val="24"/>
        </w:rPr>
        <w:fldChar w:fldCharType="separate"/>
      </w:r>
      <w:r w:rsidR="00D05727">
        <w:rPr>
          <w:rStyle w:val="AERbody"/>
          <w:noProof/>
          <w:color w:val="076A92" w:themeColor="text1"/>
          <w:sz w:val="24"/>
        </w:rPr>
        <w:t>2</w:t>
      </w:r>
      <w:r w:rsidRPr="0086661B">
        <w:rPr>
          <w:rStyle w:val="AERbody"/>
          <w:color w:val="076A92" w:themeColor="text1"/>
          <w:sz w:val="24"/>
        </w:rPr>
        <w:fldChar w:fldCharType="end"/>
      </w:r>
      <w:r w:rsidRPr="0086661B">
        <w:rPr>
          <w:rStyle w:val="AERbody"/>
          <w:color w:val="076A92" w:themeColor="text1"/>
          <w:sz w:val="24"/>
        </w:rPr>
        <w:t>.</w:t>
      </w:r>
      <w:r w:rsidRPr="0086661B">
        <w:rPr>
          <w:rStyle w:val="AERbody"/>
          <w:color w:val="076A92" w:themeColor="text1"/>
          <w:sz w:val="24"/>
        </w:rPr>
        <w:fldChar w:fldCharType="begin"/>
      </w:r>
      <w:r w:rsidRPr="0086661B">
        <w:rPr>
          <w:rStyle w:val="AERbody"/>
          <w:color w:val="076A92" w:themeColor="text1"/>
          <w:sz w:val="24"/>
        </w:rPr>
        <w:instrText xml:space="preserve"> SEQ Table \* ARABIC \s 1 </w:instrText>
      </w:r>
      <w:r w:rsidRPr="0086661B">
        <w:rPr>
          <w:rStyle w:val="AERbody"/>
          <w:color w:val="076A92" w:themeColor="text1"/>
          <w:sz w:val="24"/>
        </w:rPr>
        <w:fldChar w:fldCharType="separate"/>
      </w:r>
      <w:r w:rsidR="00D05727">
        <w:rPr>
          <w:rStyle w:val="AERbody"/>
          <w:noProof/>
          <w:color w:val="076A92" w:themeColor="text1"/>
          <w:sz w:val="24"/>
        </w:rPr>
        <w:t>4</w:t>
      </w:r>
      <w:r w:rsidRPr="0086661B">
        <w:rPr>
          <w:rStyle w:val="AERbody"/>
          <w:color w:val="076A92" w:themeColor="text1"/>
          <w:sz w:val="24"/>
        </w:rPr>
        <w:fldChar w:fldCharType="end"/>
      </w:r>
      <w:bookmarkEnd w:id="18"/>
      <w:r w:rsidRPr="0086661B">
        <w:rPr>
          <w:rStyle w:val="AERbody"/>
          <w:color w:val="076A92" w:themeColor="text1"/>
          <w:sz w:val="24"/>
        </w:rPr>
        <w:tab/>
      </w:r>
      <w:r w:rsidR="00B862B1" w:rsidRPr="00A714D2">
        <w:rPr>
          <w:rStyle w:val="AERbody"/>
          <w:color w:val="076A92" w:themeColor="text1"/>
          <w:sz w:val="24"/>
        </w:rPr>
        <w:t>Ergon Energy</w:t>
      </w:r>
      <w:r w:rsidRPr="00A714D2">
        <w:rPr>
          <w:rStyle w:val="AERbody"/>
          <w:color w:val="076A92" w:themeColor="text1"/>
          <w:sz w:val="24"/>
        </w:rPr>
        <w:t xml:space="preserve">'s </w:t>
      </w:r>
      <w:r w:rsidR="00B862B1" w:rsidRPr="00A714D2">
        <w:rPr>
          <w:rStyle w:val="AERbody"/>
          <w:color w:val="076A92" w:themeColor="text1"/>
          <w:sz w:val="24"/>
        </w:rPr>
        <w:t>revised proposed</w:t>
      </w:r>
      <w:r w:rsidRPr="00A714D2">
        <w:rPr>
          <w:rStyle w:val="AERbody"/>
          <w:color w:val="076A92" w:themeColor="text1"/>
          <w:sz w:val="24"/>
        </w:rPr>
        <w:t xml:space="preserve"> RAB</w:t>
      </w:r>
      <w:r w:rsidRPr="0086661B">
        <w:rPr>
          <w:rStyle w:val="AERbody"/>
          <w:color w:val="076A92" w:themeColor="text1"/>
          <w:sz w:val="24"/>
        </w:rPr>
        <w:t xml:space="preserve"> for the 2015–20 regulatory control period ($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86661B" w:rsidRPr="00237902" w:rsidTr="00042E0E">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86661B" w:rsidRPr="0086661B" w:rsidRDefault="0086661B" w:rsidP="0086661B">
            <w:r w:rsidRPr="00237902">
              <w:t> </w:t>
            </w:r>
          </w:p>
        </w:tc>
        <w:tc>
          <w:tcPr>
            <w:tcW w:w="1067" w:type="dxa"/>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237902">
              <w:t>2015–16</w:t>
            </w:r>
          </w:p>
        </w:tc>
        <w:tc>
          <w:tcPr>
            <w:tcW w:w="1068" w:type="dxa"/>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237902">
              <w:t>2016–17</w:t>
            </w:r>
          </w:p>
        </w:tc>
        <w:tc>
          <w:tcPr>
            <w:tcW w:w="1068" w:type="dxa"/>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237902">
              <w:t>2017–18</w:t>
            </w:r>
          </w:p>
        </w:tc>
        <w:tc>
          <w:tcPr>
            <w:tcW w:w="1068" w:type="dxa"/>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237902">
              <w:t>2018–19</w:t>
            </w:r>
          </w:p>
        </w:tc>
        <w:tc>
          <w:tcPr>
            <w:tcW w:w="1068" w:type="dxa"/>
            <w:noWrap/>
            <w:hideMark/>
          </w:tcPr>
          <w:p w:rsidR="0086661B" w:rsidRPr="0086661B" w:rsidRDefault="0086661B" w:rsidP="0086661B">
            <w:pPr>
              <w:cnfStyle w:val="100000000000" w:firstRow="1" w:lastRow="0" w:firstColumn="0" w:lastColumn="0" w:oddVBand="0" w:evenVBand="0" w:oddHBand="0" w:evenHBand="0" w:firstRowFirstColumn="0" w:firstRowLastColumn="0" w:lastRowFirstColumn="0" w:lastRowLastColumn="0"/>
            </w:pPr>
            <w:r w:rsidRPr="00237902">
              <w:t>2019–20</w:t>
            </w:r>
          </w:p>
        </w:tc>
      </w:tr>
      <w:tr w:rsidR="00FE5E3B" w:rsidRPr="00237902" w:rsidTr="00042E0E">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E5E3B" w:rsidRPr="00FE5E3B" w:rsidRDefault="00FE5E3B" w:rsidP="00FE5E3B">
            <w:r w:rsidRPr="00FE5E3B">
              <w:t>Opening RAB</w:t>
            </w:r>
          </w:p>
        </w:tc>
        <w:tc>
          <w:tcPr>
            <w:tcW w:w="1067"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t xml:space="preserve"> 10</w:t>
            </w:r>
            <w:r w:rsidR="002B150D">
              <w:t> </w:t>
            </w:r>
            <w:r w:rsidRPr="00FE5E3B">
              <w:t xml:space="preserve">055.8 </w:t>
            </w:r>
          </w:p>
        </w:tc>
        <w:tc>
          <w:tcPr>
            <w:tcW w:w="1068"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t xml:space="preserve"> 10</w:t>
            </w:r>
            <w:r w:rsidR="002B150D">
              <w:t> </w:t>
            </w:r>
            <w:r w:rsidRPr="00FE5E3B">
              <w:t xml:space="preserve">674.6 </w:t>
            </w:r>
          </w:p>
        </w:tc>
        <w:tc>
          <w:tcPr>
            <w:tcW w:w="1068"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t xml:space="preserve"> 11</w:t>
            </w:r>
            <w:r w:rsidR="002B150D">
              <w:t> </w:t>
            </w:r>
            <w:r w:rsidRPr="00FE5E3B">
              <w:t xml:space="preserve">225.8 </w:t>
            </w:r>
          </w:p>
        </w:tc>
        <w:tc>
          <w:tcPr>
            <w:tcW w:w="1068"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t xml:space="preserve"> 11</w:t>
            </w:r>
            <w:r w:rsidR="002B150D">
              <w:t> </w:t>
            </w:r>
            <w:r w:rsidRPr="00FE5E3B">
              <w:t xml:space="preserve">750.0 </w:t>
            </w:r>
          </w:p>
        </w:tc>
        <w:tc>
          <w:tcPr>
            <w:tcW w:w="1068"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t xml:space="preserve"> 12</w:t>
            </w:r>
            <w:r w:rsidR="002B150D">
              <w:t> </w:t>
            </w:r>
            <w:r w:rsidRPr="00FE5E3B">
              <w:t xml:space="preserve">252.2 </w:t>
            </w:r>
          </w:p>
        </w:tc>
      </w:tr>
      <w:tr w:rsidR="00FE5E3B" w:rsidRPr="00237902" w:rsidTr="00042E0E">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E5E3B" w:rsidRPr="00FE5E3B" w:rsidRDefault="00FE5E3B" w:rsidP="00FE5E3B">
            <w:r w:rsidRPr="00FE5E3B">
              <w:t>Capital expenditure</w:t>
            </w:r>
            <w:r w:rsidRPr="00FE5E3B">
              <w:rPr>
                <w:rStyle w:val="AERsuperscript"/>
              </w:rPr>
              <w:t>a</w:t>
            </w:r>
          </w:p>
        </w:tc>
        <w:tc>
          <w:tcPr>
            <w:tcW w:w="1067"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781.0 </w:t>
            </w:r>
          </w:p>
        </w:tc>
        <w:tc>
          <w:tcPr>
            <w:tcW w:w="1068"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730.3 </w:t>
            </w:r>
          </w:p>
        </w:tc>
        <w:tc>
          <w:tcPr>
            <w:tcW w:w="1068"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692.3 </w:t>
            </w:r>
          </w:p>
        </w:tc>
        <w:tc>
          <w:tcPr>
            <w:tcW w:w="1068"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673.3 </w:t>
            </w:r>
          </w:p>
        </w:tc>
        <w:tc>
          <w:tcPr>
            <w:tcW w:w="1068"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686.2 </w:t>
            </w:r>
          </w:p>
        </w:tc>
      </w:tr>
      <w:tr w:rsidR="00FE5E3B" w:rsidRPr="00237902" w:rsidTr="00042E0E">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E5E3B" w:rsidRPr="00FE5E3B" w:rsidRDefault="00FE5E3B" w:rsidP="00FE5E3B">
            <w:r w:rsidRPr="00FE5E3B">
              <w:t>Inflation indexation on opening RAB</w:t>
            </w:r>
          </w:p>
        </w:tc>
        <w:tc>
          <w:tcPr>
            <w:tcW w:w="1067"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rsidRPr="00FE5E3B">
              <w:t xml:space="preserve"> 256.4 </w:t>
            </w:r>
          </w:p>
        </w:tc>
        <w:tc>
          <w:tcPr>
            <w:tcW w:w="1068"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rsidRPr="00FE5E3B">
              <w:t xml:space="preserve"> 272.2 </w:t>
            </w:r>
          </w:p>
        </w:tc>
        <w:tc>
          <w:tcPr>
            <w:tcW w:w="1068"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rsidRPr="00FE5E3B">
              <w:t xml:space="preserve"> 286.3 </w:t>
            </w:r>
          </w:p>
        </w:tc>
        <w:tc>
          <w:tcPr>
            <w:tcW w:w="1068"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rsidRPr="00FE5E3B">
              <w:t xml:space="preserve"> 299.6 </w:t>
            </w:r>
          </w:p>
        </w:tc>
        <w:tc>
          <w:tcPr>
            <w:tcW w:w="1068" w:type="dxa"/>
            <w:noWrap/>
            <w:vAlign w:val="top"/>
          </w:tcPr>
          <w:p w:rsidR="00FE5E3B" w:rsidRPr="00FE5E3B" w:rsidRDefault="00FE5E3B" w:rsidP="00FE5E3B">
            <w:pPr>
              <w:cnfStyle w:val="000000000000" w:firstRow="0" w:lastRow="0" w:firstColumn="0" w:lastColumn="0" w:oddVBand="0" w:evenVBand="0" w:oddHBand="0" w:evenHBand="0" w:firstRowFirstColumn="0" w:firstRowLastColumn="0" w:lastRowFirstColumn="0" w:lastRowLastColumn="0"/>
            </w:pPr>
            <w:r w:rsidRPr="00FE5E3B">
              <w:t xml:space="preserve"> 312.4 </w:t>
            </w:r>
          </w:p>
        </w:tc>
      </w:tr>
      <w:tr w:rsidR="00FE5E3B" w:rsidRPr="00237902" w:rsidTr="00042E0E">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E5E3B" w:rsidRPr="00FE5E3B" w:rsidRDefault="00FE5E3B" w:rsidP="00FE5E3B">
            <w:r w:rsidRPr="00FE5E3B">
              <w:rPr>
                <w:rStyle w:val="AERtextitalic"/>
              </w:rPr>
              <w:t>Less</w:t>
            </w:r>
            <w:r w:rsidRPr="00FE5E3B">
              <w:t>: straight-line depreciation</w:t>
            </w:r>
          </w:p>
        </w:tc>
        <w:tc>
          <w:tcPr>
            <w:tcW w:w="1067"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418.7 </w:t>
            </w:r>
          </w:p>
        </w:tc>
        <w:tc>
          <w:tcPr>
            <w:tcW w:w="1068"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451.4 </w:t>
            </w:r>
          </w:p>
        </w:tc>
        <w:tc>
          <w:tcPr>
            <w:tcW w:w="1068"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454.3 </w:t>
            </w:r>
          </w:p>
        </w:tc>
        <w:tc>
          <w:tcPr>
            <w:tcW w:w="1068"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470.8 </w:t>
            </w:r>
          </w:p>
        </w:tc>
        <w:tc>
          <w:tcPr>
            <w:tcW w:w="1068" w:type="dxa"/>
            <w:noWrap/>
            <w:vAlign w:val="top"/>
          </w:tcPr>
          <w:p w:rsidR="00FE5E3B" w:rsidRPr="00FE5E3B" w:rsidRDefault="00FE5E3B" w:rsidP="00FE5E3B">
            <w:pPr>
              <w:cnfStyle w:val="000000010000" w:firstRow="0" w:lastRow="0" w:firstColumn="0" w:lastColumn="0" w:oddVBand="0" w:evenVBand="0" w:oddHBand="0" w:evenHBand="1" w:firstRowFirstColumn="0" w:firstRowLastColumn="0" w:lastRowFirstColumn="0" w:lastRowLastColumn="0"/>
            </w:pPr>
            <w:r w:rsidRPr="00FE5E3B">
              <w:t xml:space="preserve"> 461.0 </w:t>
            </w:r>
          </w:p>
        </w:tc>
      </w:tr>
      <w:tr w:rsidR="00FE5E3B" w:rsidRPr="00C96B2F" w:rsidTr="00042E0E">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FE5E3B" w:rsidRPr="00C96B2F" w:rsidRDefault="00FE5E3B" w:rsidP="00C96B2F">
            <w:r w:rsidRPr="00C96B2F">
              <w:t>Closing RAB</w:t>
            </w:r>
          </w:p>
        </w:tc>
        <w:tc>
          <w:tcPr>
            <w:tcW w:w="1067" w:type="dxa"/>
            <w:noWrap/>
            <w:vAlign w:val="top"/>
          </w:tcPr>
          <w:p w:rsidR="00FE5E3B" w:rsidRPr="00C96B2F" w:rsidRDefault="00FE5E3B" w:rsidP="00C96B2F">
            <w:pPr>
              <w:cnfStyle w:val="000000000000" w:firstRow="0" w:lastRow="0" w:firstColumn="0" w:lastColumn="0" w:oddVBand="0" w:evenVBand="0" w:oddHBand="0" w:evenHBand="0" w:firstRowFirstColumn="0" w:firstRowLastColumn="0" w:lastRowFirstColumn="0" w:lastRowLastColumn="0"/>
            </w:pPr>
            <w:r w:rsidRPr="00C96B2F">
              <w:t xml:space="preserve"> 10</w:t>
            </w:r>
            <w:r w:rsidR="002B150D" w:rsidRPr="00C96B2F">
              <w:t> </w:t>
            </w:r>
            <w:r w:rsidRPr="00C96B2F">
              <w:t xml:space="preserve">674.6 </w:t>
            </w:r>
          </w:p>
        </w:tc>
        <w:tc>
          <w:tcPr>
            <w:tcW w:w="1068" w:type="dxa"/>
            <w:noWrap/>
            <w:vAlign w:val="top"/>
          </w:tcPr>
          <w:p w:rsidR="00FE5E3B" w:rsidRPr="00C96B2F" w:rsidRDefault="00FE5E3B" w:rsidP="00C96B2F">
            <w:pPr>
              <w:cnfStyle w:val="000000000000" w:firstRow="0" w:lastRow="0" w:firstColumn="0" w:lastColumn="0" w:oddVBand="0" w:evenVBand="0" w:oddHBand="0" w:evenHBand="0" w:firstRowFirstColumn="0" w:firstRowLastColumn="0" w:lastRowFirstColumn="0" w:lastRowLastColumn="0"/>
            </w:pPr>
            <w:r w:rsidRPr="00C96B2F">
              <w:t xml:space="preserve"> 11</w:t>
            </w:r>
            <w:r w:rsidR="002B150D" w:rsidRPr="00C96B2F">
              <w:t> </w:t>
            </w:r>
            <w:r w:rsidRPr="00C96B2F">
              <w:t xml:space="preserve">225.8 </w:t>
            </w:r>
          </w:p>
        </w:tc>
        <w:tc>
          <w:tcPr>
            <w:tcW w:w="1068" w:type="dxa"/>
            <w:noWrap/>
            <w:vAlign w:val="top"/>
          </w:tcPr>
          <w:p w:rsidR="00FE5E3B" w:rsidRPr="00C96B2F" w:rsidRDefault="00FE5E3B" w:rsidP="00C96B2F">
            <w:pPr>
              <w:cnfStyle w:val="000000000000" w:firstRow="0" w:lastRow="0" w:firstColumn="0" w:lastColumn="0" w:oddVBand="0" w:evenVBand="0" w:oddHBand="0" w:evenHBand="0" w:firstRowFirstColumn="0" w:firstRowLastColumn="0" w:lastRowFirstColumn="0" w:lastRowLastColumn="0"/>
            </w:pPr>
            <w:r w:rsidRPr="00C96B2F">
              <w:t xml:space="preserve"> 11</w:t>
            </w:r>
            <w:r w:rsidR="002B150D" w:rsidRPr="00C96B2F">
              <w:t> </w:t>
            </w:r>
            <w:r w:rsidRPr="00C96B2F">
              <w:t xml:space="preserve">750.0 </w:t>
            </w:r>
          </w:p>
        </w:tc>
        <w:tc>
          <w:tcPr>
            <w:tcW w:w="1068" w:type="dxa"/>
            <w:noWrap/>
            <w:vAlign w:val="top"/>
          </w:tcPr>
          <w:p w:rsidR="00FE5E3B" w:rsidRPr="00C96B2F" w:rsidRDefault="00FE5E3B" w:rsidP="00C96B2F">
            <w:pPr>
              <w:cnfStyle w:val="000000000000" w:firstRow="0" w:lastRow="0" w:firstColumn="0" w:lastColumn="0" w:oddVBand="0" w:evenVBand="0" w:oddHBand="0" w:evenHBand="0" w:firstRowFirstColumn="0" w:firstRowLastColumn="0" w:lastRowFirstColumn="0" w:lastRowLastColumn="0"/>
            </w:pPr>
            <w:r w:rsidRPr="00C96B2F">
              <w:t xml:space="preserve"> 12</w:t>
            </w:r>
            <w:r w:rsidR="002B150D" w:rsidRPr="00C96B2F">
              <w:t> </w:t>
            </w:r>
            <w:r w:rsidRPr="00C96B2F">
              <w:t xml:space="preserve">252.2 </w:t>
            </w:r>
          </w:p>
        </w:tc>
        <w:tc>
          <w:tcPr>
            <w:tcW w:w="1068" w:type="dxa"/>
            <w:noWrap/>
            <w:vAlign w:val="top"/>
          </w:tcPr>
          <w:p w:rsidR="00FE5E3B" w:rsidRPr="00C96B2F" w:rsidRDefault="00FE5E3B" w:rsidP="00C96B2F">
            <w:pPr>
              <w:cnfStyle w:val="000000000000" w:firstRow="0" w:lastRow="0" w:firstColumn="0" w:lastColumn="0" w:oddVBand="0" w:evenVBand="0" w:oddHBand="0" w:evenHBand="0" w:firstRowFirstColumn="0" w:firstRowLastColumn="0" w:lastRowFirstColumn="0" w:lastRowLastColumn="0"/>
            </w:pPr>
            <w:r w:rsidRPr="00C96B2F">
              <w:t xml:space="preserve"> 12</w:t>
            </w:r>
            <w:r w:rsidR="002B150D" w:rsidRPr="00C96B2F">
              <w:t> </w:t>
            </w:r>
            <w:r w:rsidRPr="00C96B2F">
              <w:t xml:space="preserve">789.9 </w:t>
            </w:r>
          </w:p>
        </w:tc>
      </w:tr>
    </w:tbl>
    <w:p w:rsidR="0086661B" w:rsidRPr="00924046" w:rsidRDefault="0086661B" w:rsidP="0086661B">
      <w:pPr>
        <w:pStyle w:val="AERtablesource"/>
      </w:pPr>
      <w:r w:rsidRPr="00924046">
        <w:t>Source:</w:t>
      </w:r>
      <w:r w:rsidRPr="00924046">
        <w:tab/>
      </w:r>
      <w:r>
        <w:t xml:space="preserve">Ergon Energy, </w:t>
      </w:r>
      <w:r>
        <w:rPr>
          <w:rStyle w:val="AERtextitalic"/>
        </w:rPr>
        <w:t xml:space="preserve">Revised </w:t>
      </w:r>
      <w:r w:rsidR="008E2DF8">
        <w:rPr>
          <w:rStyle w:val="AERtextitalic"/>
        </w:rPr>
        <w:t xml:space="preserve">regulatory </w:t>
      </w:r>
      <w:r>
        <w:rPr>
          <w:rStyle w:val="AERtextitalic"/>
        </w:rPr>
        <w:t>p</w:t>
      </w:r>
      <w:r w:rsidRPr="00237902">
        <w:rPr>
          <w:rStyle w:val="AERtextitalic"/>
        </w:rPr>
        <w:t>ropos</w:t>
      </w:r>
      <w:r w:rsidR="008E2DF8">
        <w:rPr>
          <w:rStyle w:val="AERtextitalic"/>
        </w:rPr>
        <w:t>al</w:t>
      </w:r>
      <w:r>
        <w:t>, July</w:t>
      </w:r>
      <w:r w:rsidRPr="00924046">
        <w:t xml:space="preserve"> 201</w:t>
      </w:r>
      <w:r>
        <w:t>5</w:t>
      </w:r>
      <w:r w:rsidR="008E2DF8">
        <w:t>, Attachment 03.01.04</w:t>
      </w:r>
      <w:r w:rsidRPr="00924046">
        <w:t>.</w:t>
      </w:r>
    </w:p>
    <w:p w:rsidR="00E96560" w:rsidRPr="00E96560" w:rsidRDefault="0086661B" w:rsidP="0086661B">
      <w:pPr>
        <w:pStyle w:val="AERtablesource"/>
        <w:rPr>
          <w:rStyle w:val="AERtexthighlight"/>
          <w:shd w:val="clear" w:color="auto" w:fill="auto"/>
        </w:rPr>
      </w:pPr>
      <w:r>
        <w:t>(a)</w:t>
      </w:r>
      <w:r w:rsidRPr="00924046">
        <w:tab/>
        <w:t>Net of disposals and capital contributions.</w:t>
      </w:r>
    </w:p>
    <w:p w:rsidR="000F67F7" w:rsidRDefault="000F67F7" w:rsidP="00E60A0B">
      <w:pPr>
        <w:pStyle w:val="Heading2"/>
      </w:pPr>
      <w:bookmarkStart w:id="19" w:name="_Toc403060803"/>
      <w:bookmarkStart w:id="20" w:name="_Ref413830588"/>
      <w:bookmarkStart w:id="21" w:name="_Toc430242659"/>
      <w:r w:rsidRPr="00E60A0B">
        <w:t>AER’s assessment approach</w:t>
      </w:r>
      <w:bookmarkEnd w:id="19"/>
      <w:bookmarkEnd w:id="20"/>
      <w:bookmarkEnd w:id="21"/>
    </w:p>
    <w:p w:rsidR="00B73248" w:rsidRDefault="00B73248" w:rsidP="00B73248">
      <w:pPr>
        <w:rPr>
          <w:rStyle w:val="AERbody"/>
        </w:rPr>
      </w:pPr>
      <w:r w:rsidRPr="008643C3">
        <w:rPr>
          <w:rStyle w:val="AERbody"/>
        </w:rPr>
        <w:t xml:space="preserve">We </w:t>
      </w:r>
      <w:r w:rsidR="00876FA9">
        <w:rPr>
          <w:rStyle w:val="AERbody"/>
        </w:rPr>
        <w:t>have</w:t>
      </w:r>
      <w:r w:rsidR="00876FA9" w:rsidRPr="008643C3">
        <w:rPr>
          <w:rStyle w:val="AERbody"/>
        </w:rPr>
        <w:t xml:space="preserve"> </w:t>
      </w:r>
      <w:r w:rsidRPr="008643C3">
        <w:rPr>
          <w:rStyle w:val="AERbody"/>
        </w:rPr>
        <w:t>not change</w:t>
      </w:r>
      <w:r w:rsidR="00876FA9">
        <w:rPr>
          <w:rStyle w:val="AERbody"/>
        </w:rPr>
        <w:t>d</w:t>
      </w:r>
      <w:r w:rsidRPr="008643C3">
        <w:rPr>
          <w:rStyle w:val="AERbody"/>
        </w:rPr>
        <w:t xml:space="preserve"> our assessment approach for the RAB from our </w:t>
      </w:r>
      <w:r w:rsidR="008643C3">
        <w:rPr>
          <w:rStyle w:val="AERbody"/>
        </w:rPr>
        <w:t>preliminary</w:t>
      </w:r>
      <w:r w:rsidRPr="008643C3">
        <w:rPr>
          <w:rStyle w:val="AERbody"/>
        </w:rPr>
        <w:t xml:space="preserve"> decision. Section 2.3 of our </w:t>
      </w:r>
      <w:r w:rsidR="005E1B76">
        <w:rPr>
          <w:rStyle w:val="AERbody"/>
        </w:rPr>
        <w:t>preliminary</w:t>
      </w:r>
      <w:r w:rsidRPr="008643C3">
        <w:rPr>
          <w:rStyle w:val="AERbody"/>
        </w:rPr>
        <w:t xml:space="preserve"> decision details that approach.</w:t>
      </w:r>
      <w:r w:rsidR="0098578D">
        <w:rPr>
          <w:rStyle w:val="FootnoteReference"/>
        </w:rPr>
        <w:footnoteReference w:id="5"/>
      </w:r>
    </w:p>
    <w:p w:rsidR="00736555" w:rsidRDefault="00736555" w:rsidP="00B73248">
      <w:r>
        <w:rPr>
          <w:rStyle w:val="AERbody"/>
        </w:rPr>
        <w:t>The CCP has raised concerns with having bot</w:t>
      </w:r>
      <w:r w:rsidR="00B862B1">
        <w:rPr>
          <w:rStyle w:val="AERbody"/>
        </w:rPr>
        <w:t>h</w:t>
      </w:r>
      <w:r>
        <w:rPr>
          <w:rStyle w:val="AERbody"/>
        </w:rPr>
        <w:t xml:space="preserve"> the </w:t>
      </w:r>
      <w:r w:rsidR="00184A49">
        <w:rPr>
          <w:rStyle w:val="AERbody"/>
        </w:rPr>
        <w:t>weighted average cost of capital (</w:t>
      </w:r>
      <w:r>
        <w:rPr>
          <w:rStyle w:val="AERbody"/>
        </w:rPr>
        <w:t>WACC</w:t>
      </w:r>
      <w:r w:rsidR="00184A49">
        <w:rPr>
          <w:rStyle w:val="AERbody"/>
        </w:rPr>
        <w:t>)</w:t>
      </w:r>
      <w:r>
        <w:rPr>
          <w:rStyle w:val="AERbody"/>
        </w:rPr>
        <w:t xml:space="preserve"> and RAB measured in nominal terms.</w:t>
      </w:r>
      <w:r>
        <w:rPr>
          <w:rStyle w:val="FootnoteReference"/>
        </w:rPr>
        <w:footnoteReference w:id="6"/>
      </w:r>
      <w:r>
        <w:rPr>
          <w:rStyle w:val="AERbody"/>
        </w:rPr>
        <w:t xml:space="preserve"> </w:t>
      </w:r>
      <w:r w:rsidR="008A6FD6">
        <w:rPr>
          <w:rStyle w:val="AERbody"/>
        </w:rPr>
        <w:t>It appears to question whether inflation is accounted for twice</w:t>
      </w:r>
      <w:r w:rsidR="00E72F6B">
        <w:rPr>
          <w:rStyle w:val="AERbody"/>
        </w:rPr>
        <w:t xml:space="preserve"> in the building block framework</w:t>
      </w:r>
      <w:r w:rsidR="008A6FD6">
        <w:rPr>
          <w:rStyle w:val="AERbody"/>
        </w:rPr>
        <w:t xml:space="preserve">. </w:t>
      </w:r>
      <w:r>
        <w:rPr>
          <w:rStyle w:val="AERbody"/>
        </w:rPr>
        <w:t>This matter was addressed in our preliminary decision for Ergon Energy.</w:t>
      </w:r>
      <w:r>
        <w:rPr>
          <w:rStyle w:val="FootnoteReference"/>
        </w:rPr>
        <w:footnoteReference w:id="7"/>
      </w:r>
      <w:r>
        <w:rPr>
          <w:rStyle w:val="AERbody"/>
        </w:rPr>
        <w:t xml:space="preserve"> </w:t>
      </w:r>
      <w:r w:rsidRPr="00736555">
        <w:t>Maintaining the RAB in real terms by adding inflation is required by the NER</w:t>
      </w:r>
      <w:r w:rsidR="008A6FD6">
        <w:rPr>
          <w:rStyle w:val="FootnoteReference"/>
        </w:rPr>
        <w:footnoteReference w:id="8"/>
      </w:r>
      <w:r w:rsidRPr="00736555">
        <w:t xml:space="preserve"> and generally helps to promote smoother prices over the life of an asset. </w:t>
      </w:r>
      <w:r w:rsidR="008A6FD6">
        <w:t>The regulatory depreciation building block is adjusted for the inflation index</w:t>
      </w:r>
      <w:r w:rsidR="00B15326">
        <w:t>ed</w:t>
      </w:r>
      <w:r w:rsidR="008A6FD6">
        <w:t xml:space="preserve"> component of the RAB so that there is no double counting of inflation. </w:t>
      </w:r>
      <w:r w:rsidRPr="00736555">
        <w:t>If the RAB was unindexed for inflation, the offsetting indexation adjustment applied to depreciation would also have to be removed. On balance, this means more depreciation would be returned to the business resulting in higher prices early in an asset life and lower prices later in its life.</w:t>
      </w:r>
      <w:r w:rsidR="008A6FD6">
        <w:rPr>
          <w:rStyle w:val="FootnoteReference"/>
        </w:rPr>
        <w:footnoteReference w:id="9"/>
      </w:r>
      <w:r w:rsidRPr="00736555">
        <w:t xml:space="preserve"> Even if allowed under the NER, moving to an unindexed RAB would lead to a price increase over the short to medium term and when new lumpy assets are added to the RAB.</w:t>
      </w:r>
      <w:r w:rsidR="008A6FD6">
        <w:rPr>
          <w:rStyle w:val="FootnoteReference"/>
        </w:rPr>
        <w:footnoteReference w:id="10"/>
      </w:r>
    </w:p>
    <w:p w:rsidR="0098578D" w:rsidRPr="008643C3" w:rsidRDefault="0098578D" w:rsidP="00184A49">
      <w:pPr>
        <w:rPr>
          <w:rStyle w:val="AERbody"/>
        </w:rPr>
      </w:pPr>
      <w:r>
        <w:lastRenderedPageBreak/>
        <w:t xml:space="preserve">Several submissions </w:t>
      </w:r>
      <w:r w:rsidR="00C24BF0">
        <w:t xml:space="preserve">on </w:t>
      </w:r>
      <w:r>
        <w:t xml:space="preserve">the preliminary decision raised </w:t>
      </w:r>
      <w:r w:rsidRPr="00376D68">
        <w:t xml:space="preserve">concerns with the size of </w:t>
      </w:r>
      <w:r>
        <w:t>Ergon Energy's</w:t>
      </w:r>
      <w:r w:rsidRPr="00376D68">
        <w:t xml:space="preserve"> opening RAB</w:t>
      </w:r>
      <w:r>
        <w:t>.</w:t>
      </w:r>
      <w:r w:rsidRPr="00376D68">
        <w:rPr>
          <w:rStyle w:val="FootnoteReference"/>
        </w:rPr>
        <w:footnoteReference w:id="11"/>
      </w:r>
      <w:r>
        <w:t xml:space="preserve"> The submissions suggested </w:t>
      </w:r>
      <w:r w:rsidR="00C24BF0">
        <w:t xml:space="preserve">that there is </w:t>
      </w:r>
      <w:r>
        <w:t xml:space="preserve">potential for </w:t>
      </w:r>
      <w:r w:rsidRPr="00854664">
        <w:t xml:space="preserve">writing off some parts of the </w:t>
      </w:r>
      <w:r>
        <w:t>RAB</w:t>
      </w:r>
      <w:r w:rsidRPr="00376D68">
        <w:t xml:space="preserve">. </w:t>
      </w:r>
      <w:r>
        <w:t>We note that t</w:t>
      </w:r>
      <w:r w:rsidRPr="00376D68">
        <w:t xml:space="preserve">he opening RAB reflects the capex incurred during the previous regulatory control periods. In the previous two regulatory control periods there was a significant increase in capex that only began to tail off in more recent years. </w:t>
      </w:r>
      <w:r>
        <w:t>W</w:t>
      </w:r>
      <w:r w:rsidRPr="00376D68">
        <w:t>e have no ability to adjust for past capex or to optimise/write down the opening RAB</w:t>
      </w:r>
      <w:r>
        <w:t xml:space="preserve"> for efficiency considerations</w:t>
      </w:r>
      <w:r w:rsidRPr="00376D68">
        <w:t xml:space="preserve">. </w:t>
      </w:r>
      <w:r>
        <w:t>Under</w:t>
      </w:r>
      <w:r w:rsidRPr="000F67F7">
        <w:t xml:space="preserve"> the transitional rules, the review of past</w:t>
      </w:r>
      <w:r>
        <w:t xml:space="preserve"> capex does not apply to Ergon Energy</w:t>
      </w:r>
      <w:r w:rsidRPr="000F67F7">
        <w:t xml:space="preserve"> prior to 1 July 2015.</w:t>
      </w:r>
      <w:r w:rsidRPr="000F67F7">
        <w:rPr>
          <w:rStyle w:val="FootnoteReference"/>
        </w:rPr>
        <w:footnoteReference w:id="12"/>
      </w:r>
      <w:r w:rsidRPr="000F67F7">
        <w:t xml:space="preserve"> Therefore, for the purposes of this </w:t>
      </w:r>
      <w:r>
        <w:t>final</w:t>
      </w:r>
      <w:r w:rsidRPr="000F67F7">
        <w:t xml:space="preserve"> decision, we </w:t>
      </w:r>
      <w:r>
        <w:t xml:space="preserve">are required to </w:t>
      </w:r>
      <w:r w:rsidRPr="000F67F7">
        <w:t xml:space="preserve">add </w:t>
      </w:r>
      <w:r>
        <w:t>Ergon Energy'</w:t>
      </w:r>
      <w:r w:rsidRPr="000F67F7">
        <w:t>s actual</w:t>
      </w:r>
      <w:r>
        <w:t xml:space="preserve"> capex from the 2010</w:t>
      </w:r>
      <w:r w:rsidRPr="000F67F7">
        <w:t>–</w:t>
      </w:r>
      <w:r>
        <w:t>15</w:t>
      </w:r>
      <w:r w:rsidRPr="000F67F7">
        <w:t xml:space="preserve"> regulatory control period to the RAB. </w:t>
      </w:r>
      <w:r w:rsidRPr="00376D68">
        <w:t>However, with rule changes in 2012, we will have the ability to exclude inefficient capex incurred during the 201</w:t>
      </w:r>
      <w:r>
        <w:t>5</w:t>
      </w:r>
      <w:r w:rsidRPr="00376D68">
        <w:t>–</w:t>
      </w:r>
      <w:r>
        <w:t>20</w:t>
      </w:r>
      <w:r w:rsidRPr="00376D68">
        <w:t xml:space="preserve"> </w:t>
      </w:r>
      <w:r>
        <w:t xml:space="preserve">regulatory control </w:t>
      </w:r>
      <w:r w:rsidRPr="00376D68">
        <w:t>period</w:t>
      </w:r>
      <w:r>
        <w:t xml:space="preserve"> in future resets</w:t>
      </w:r>
      <w:r w:rsidRPr="00376D68">
        <w:t xml:space="preserve"> </w:t>
      </w:r>
      <w:r>
        <w:t xml:space="preserve">if it exceeds the approved forecast and </w:t>
      </w:r>
      <w:r w:rsidRPr="00376D68">
        <w:t xml:space="preserve">if we consider it does not reasonably reflect the </w:t>
      </w:r>
      <w:r w:rsidR="00184A49">
        <w:t>capex</w:t>
      </w:r>
      <w:r w:rsidRPr="00376D68">
        <w:t xml:space="preserve"> criteria.</w:t>
      </w:r>
      <w:r w:rsidRPr="00376D68">
        <w:rPr>
          <w:rStyle w:val="FootnoteReference"/>
        </w:rPr>
        <w:footnoteReference w:id="13"/>
      </w:r>
      <w:r w:rsidRPr="00376D68">
        <w:t xml:space="preserve"> The details of our assessment approach for inefficient capex are set out in </w:t>
      </w:r>
      <w:r w:rsidRPr="00184A49">
        <w:t>the Capital expenditure incentive guideline</w:t>
      </w:r>
      <w:r w:rsidRPr="00376D68">
        <w:t>.</w:t>
      </w:r>
      <w:r w:rsidRPr="00376D68">
        <w:rPr>
          <w:rStyle w:val="FootnoteReference"/>
        </w:rPr>
        <w:footnoteReference w:id="14"/>
      </w:r>
    </w:p>
    <w:p w:rsidR="00BF4AF5" w:rsidRDefault="00DE563D" w:rsidP="00BF4AF5">
      <w:pPr>
        <w:pStyle w:val="Heading2"/>
      </w:pPr>
      <w:bookmarkStart w:id="22" w:name="_Toc403144140"/>
      <w:bookmarkStart w:id="23" w:name="_Toc430242660"/>
      <w:r w:rsidRPr="00E60A0B">
        <w:t xml:space="preserve">Reasons for </w:t>
      </w:r>
      <w:r w:rsidR="00750FDB">
        <w:t>final</w:t>
      </w:r>
      <w:r w:rsidRPr="00E60A0B">
        <w:t xml:space="preserve"> decision</w:t>
      </w:r>
      <w:bookmarkEnd w:id="22"/>
      <w:bookmarkEnd w:id="23"/>
      <w:r w:rsidRPr="00E60A0B">
        <w:t xml:space="preserve"> </w:t>
      </w:r>
    </w:p>
    <w:p w:rsidR="000616B5" w:rsidRDefault="000616B5" w:rsidP="00B73248">
      <w:pPr>
        <w:rPr>
          <w:rStyle w:val="AERbody"/>
        </w:rPr>
      </w:pPr>
      <w:r>
        <w:rPr>
          <w:rStyle w:val="AERbody"/>
        </w:rPr>
        <w:t xml:space="preserve">We </w:t>
      </w:r>
      <w:r w:rsidR="000802CB">
        <w:rPr>
          <w:rStyle w:val="AERbody"/>
        </w:rPr>
        <w:t>do not accept Ergon Energy's revised proposed opening RAB of $</w:t>
      </w:r>
      <w:r w:rsidR="00272E94">
        <w:rPr>
          <w:rStyle w:val="AERbody"/>
        </w:rPr>
        <w:t>10</w:t>
      </w:r>
      <w:r w:rsidR="002B150D">
        <w:rPr>
          <w:rStyle w:val="AERbody"/>
        </w:rPr>
        <w:t> </w:t>
      </w:r>
      <w:r w:rsidR="00272E94">
        <w:rPr>
          <w:rStyle w:val="AERbody"/>
        </w:rPr>
        <w:t>055.8</w:t>
      </w:r>
      <w:r w:rsidR="000802CB">
        <w:rPr>
          <w:rStyle w:val="AERbody"/>
        </w:rPr>
        <w:t xml:space="preserve"> million ($ nominal) as at 1 July 2015. We instead </w:t>
      </w:r>
      <w:r>
        <w:rPr>
          <w:rStyle w:val="AERbody"/>
        </w:rPr>
        <w:t xml:space="preserve">determine </w:t>
      </w:r>
      <w:r w:rsidR="00184A49">
        <w:rPr>
          <w:rStyle w:val="AERbody"/>
        </w:rPr>
        <w:t xml:space="preserve">an </w:t>
      </w:r>
      <w:r>
        <w:rPr>
          <w:rStyle w:val="AERbody"/>
        </w:rPr>
        <w:t>opening RAB of $</w:t>
      </w:r>
      <w:r w:rsidR="00272E94">
        <w:rPr>
          <w:rStyle w:val="AERbody"/>
        </w:rPr>
        <w:t>987</w:t>
      </w:r>
      <w:r w:rsidR="003B541B">
        <w:rPr>
          <w:rStyle w:val="AERbody"/>
        </w:rPr>
        <w:t>3.0</w:t>
      </w:r>
      <w:r w:rsidR="00272E94">
        <w:rPr>
          <w:rStyle w:val="AERbody"/>
        </w:rPr>
        <w:t xml:space="preserve"> </w:t>
      </w:r>
      <w:r>
        <w:rPr>
          <w:rStyle w:val="AERbody"/>
        </w:rPr>
        <w:t>million ($ nominal)</w:t>
      </w:r>
      <w:r w:rsidR="004472E0">
        <w:rPr>
          <w:rStyle w:val="AERbody"/>
        </w:rPr>
        <w:t xml:space="preserve"> as at 1 July 2015</w:t>
      </w:r>
      <w:r>
        <w:rPr>
          <w:rStyle w:val="AERbody"/>
        </w:rPr>
        <w:t xml:space="preserve">. </w:t>
      </w:r>
      <w:r w:rsidRPr="000616B5">
        <w:rPr>
          <w:rStyle w:val="AERbody"/>
        </w:rPr>
        <w:t>This represents a reduction of $</w:t>
      </w:r>
      <w:r w:rsidR="00272E94">
        <w:rPr>
          <w:rStyle w:val="AERbody"/>
        </w:rPr>
        <w:t>18</w:t>
      </w:r>
      <w:r w:rsidR="003B541B">
        <w:rPr>
          <w:rStyle w:val="AERbody"/>
        </w:rPr>
        <w:t>2.8</w:t>
      </w:r>
      <w:r w:rsidR="00272E94" w:rsidRPr="000616B5">
        <w:rPr>
          <w:rStyle w:val="AERbody"/>
        </w:rPr>
        <w:t xml:space="preserve"> </w:t>
      </w:r>
      <w:r w:rsidRPr="000616B5">
        <w:rPr>
          <w:rStyle w:val="AERbody"/>
        </w:rPr>
        <w:t xml:space="preserve">million, or </w:t>
      </w:r>
      <w:r w:rsidR="00272E94">
        <w:rPr>
          <w:rStyle w:val="AERbody"/>
        </w:rPr>
        <w:t>1.8</w:t>
      </w:r>
      <w:r w:rsidR="00272E94" w:rsidRPr="000616B5">
        <w:rPr>
          <w:rStyle w:val="AERbody"/>
        </w:rPr>
        <w:t xml:space="preserve"> </w:t>
      </w:r>
      <w:r w:rsidRPr="000616B5">
        <w:rPr>
          <w:rStyle w:val="AERbody"/>
        </w:rPr>
        <w:t xml:space="preserve">per cent </w:t>
      </w:r>
      <w:r w:rsidR="000802CB">
        <w:rPr>
          <w:rStyle w:val="AERbody"/>
        </w:rPr>
        <w:t>from Ergon Energy's</w:t>
      </w:r>
      <w:r w:rsidRPr="000616B5">
        <w:rPr>
          <w:rStyle w:val="AERbody"/>
        </w:rPr>
        <w:t xml:space="preserve"> revised proposal. </w:t>
      </w:r>
      <w:r w:rsidR="004472E0">
        <w:t>Ergon</w:t>
      </w:r>
      <w:r w:rsidR="004472E0" w:rsidRPr="00B73248">
        <w:t xml:space="preserve"> Energy</w:t>
      </w:r>
      <w:r w:rsidR="000802CB">
        <w:t>'s revised proposal</w:t>
      </w:r>
      <w:r w:rsidR="004472E0" w:rsidRPr="00B73248">
        <w:t xml:space="preserve"> </w:t>
      </w:r>
      <w:r w:rsidR="004472E0" w:rsidRPr="0066051D">
        <w:rPr>
          <w:rStyle w:val="AERbody"/>
        </w:rPr>
        <w:t xml:space="preserve">repeated </w:t>
      </w:r>
      <w:r w:rsidR="004472E0">
        <w:rPr>
          <w:rStyle w:val="AERbody"/>
        </w:rPr>
        <w:t xml:space="preserve">the </w:t>
      </w:r>
      <w:r w:rsidR="004472E0" w:rsidRPr="0066051D">
        <w:rPr>
          <w:rStyle w:val="AERbody"/>
        </w:rPr>
        <w:t xml:space="preserve">error in its </w:t>
      </w:r>
      <w:r w:rsidR="000802CB">
        <w:rPr>
          <w:rStyle w:val="AERbody"/>
        </w:rPr>
        <w:t>initial</w:t>
      </w:r>
      <w:r w:rsidR="004472E0" w:rsidRPr="0066051D">
        <w:rPr>
          <w:rStyle w:val="AERbody"/>
        </w:rPr>
        <w:t xml:space="preserve"> proposal of using incorrect remaining asset lives as at 1 July 2010</w:t>
      </w:r>
      <w:r w:rsidR="004472E0">
        <w:rPr>
          <w:rStyle w:val="AERbody"/>
        </w:rPr>
        <w:t xml:space="preserve">. Adjustments were also made in relation to </w:t>
      </w:r>
      <w:r w:rsidR="000802CB">
        <w:rPr>
          <w:rStyle w:val="AERbody"/>
        </w:rPr>
        <w:t xml:space="preserve">actual </w:t>
      </w:r>
      <w:r w:rsidR="004472E0">
        <w:rPr>
          <w:rStyle w:val="AERbody"/>
        </w:rPr>
        <w:t>inflation for 2014</w:t>
      </w:r>
      <w:r w:rsidR="000802CB">
        <w:rPr>
          <w:rStyle w:val="AERbody"/>
        </w:rPr>
        <w:t>–</w:t>
      </w:r>
      <w:r w:rsidR="004472E0">
        <w:rPr>
          <w:rStyle w:val="AERbody"/>
        </w:rPr>
        <w:t xml:space="preserve">15, capitalised provisions, and removal of other ACS related assets besides meters. </w:t>
      </w:r>
      <w:r w:rsidR="004472E0">
        <w:rPr>
          <w:rStyle w:val="AERtexthighlight"/>
        </w:rPr>
        <w:t xml:space="preserve">  </w:t>
      </w:r>
    </w:p>
    <w:p w:rsidR="00B73248" w:rsidRDefault="00B73248" w:rsidP="00BF4AF5">
      <w:r w:rsidRPr="000616B5">
        <w:rPr>
          <w:rStyle w:val="AERbody"/>
        </w:rPr>
        <w:t>Based on the approved opening RAB we forecast a closing RAB value of $</w:t>
      </w:r>
      <w:r w:rsidR="00C34C99" w:rsidRPr="00C34C99">
        <w:rPr>
          <w:rStyle w:val="AERbody"/>
        </w:rPr>
        <w:t>12</w:t>
      </w:r>
      <w:r w:rsidR="00E232CA">
        <w:rPr>
          <w:rStyle w:val="AERbody"/>
        </w:rPr>
        <w:t>184</w:t>
      </w:r>
      <w:r w:rsidRPr="000616B5">
        <w:rPr>
          <w:rStyle w:val="AERbody"/>
        </w:rPr>
        <w:t> million ($ nominal) by 30 June 20</w:t>
      </w:r>
      <w:r w:rsidR="000616B5">
        <w:rPr>
          <w:rStyle w:val="AERbody"/>
        </w:rPr>
        <w:t>20</w:t>
      </w:r>
      <w:r w:rsidRPr="000616B5">
        <w:rPr>
          <w:rStyle w:val="AERbody"/>
        </w:rPr>
        <w:t>. This represents a reduction of $</w:t>
      </w:r>
      <w:r w:rsidR="00E232CA">
        <w:rPr>
          <w:rStyle w:val="AERbody"/>
        </w:rPr>
        <w:t>605.9</w:t>
      </w:r>
      <w:r w:rsidRPr="000616B5">
        <w:rPr>
          <w:rStyle w:val="AERbody"/>
        </w:rPr>
        <w:t xml:space="preserve"> million, or </w:t>
      </w:r>
      <w:r w:rsidR="00C34C99">
        <w:rPr>
          <w:rStyle w:val="AERbody"/>
        </w:rPr>
        <w:t>4.</w:t>
      </w:r>
      <w:r w:rsidR="00E232CA">
        <w:rPr>
          <w:rStyle w:val="AERbody"/>
        </w:rPr>
        <w:t>7</w:t>
      </w:r>
      <w:r w:rsidRPr="000616B5">
        <w:rPr>
          <w:rStyle w:val="AERbody"/>
        </w:rPr>
        <w:t xml:space="preserve"> per cent compared to the revised proposal. The reasons for our decision are discussed below.</w:t>
      </w:r>
    </w:p>
    <w:p w:rsidR="00B73248" w:rsidRDefault="00B73248" w:rsidP="00B73248">
      <w:pPr>
        <w:pStyle w:val="Heading3"/>
      </w:pPr>
      <w:bookmarkStart w:id="24" w:name="_Toc430242661"/>
      <w:r>
        <w:t>Opening RAB as at 1 July 2015</w:t>
      </w:r>
      <w:bookmarkEnd w:id="24"/>
    </w:p>
    <w:p w:rsidR="00B73248" w:rsidRDefault="000616B5" w:rsidP="000616B5">
      <w:pPr>
        <w:rPr>
          <w:rStyle w:val="AERbody"/>
        </w:rPr>
      </w:pPr>
      <w:r>
        <w:rPr>
          <w:rStyle w:val="AERbody"/>
        </w:rPr>
        <w:t>We have revised the opening RAB as at 1 July 2015 for the following issues:</w:t>
      </w:r>
    </w:p>
    <w:p w:rsidR="000616B5" w:rsidRDefault="000616B5" w:rsidP="004472E0">
      <w:pPr>
        <w:pStyle w:val="AERbulletlistfirststyle"/>
        <w:rPr>
          <w:rStyle w:val="AERbody"/>
        </w:rPr>
      </w:pPr>
      <w:r>
        <w:rPr>
          <w:rStyle w:val="AERbody"/>
        </w:rPr>
        <w:t xml:space="preserve">Updates to 2014–15 </w:t>
      </w:r>
      <w:r w:rsidR="00650C69">
        <w:rPr>
          <w:rStyle w:val="AERbody"/>
        </w:rPr>
        <w:t xml:space="preserve">inputs for actual </w:t>
      </w:r>
      <w:r w:rsidR="00937786">
        <w:rPr>
          <w:rStyle w:val="AERbody"/>
        </w:rPr>
        <w:t>inflation</w:t>
      </w:r>
      <w:r>
        <w:rPr>
          <w:rStyle w:val="AERbody"/>
        </w:rPr>
        <w:t xml:space="preserve"> and capex estimates</w:t>
      </w:r>
    </w:p>
    <w:p w:rsidR="000616B5" w:rsidRDefault="000616B5" w:rsidP="004472E0">
      <w:pPr>
        <w:pStyle w:val="AERbulletlistfirststyle"/>
        <w:rPr>
          <w:rStyle w:val="AERbody"/>
        </w:rPr>
      </w:pPr>
      <w:r>
        <w:rPr>
          <w:rStyle w:val="AERbody"/>
        </w:rPr>
        <w:lastRenderedPageBreak/>
        <w:t>Correction of errors in remaining asset lives</w:t>
      </w:r>
      <w:r w:rsidR="00650C69">
        <w:rPr>
          <w:rStyle w:val="AERbody"/>
        </w:rPr>
        <w:t xml:space="preserve"> at 1 July 2010</w:t>
      </w:r>
    </w:p>
    <w:p w:rsidR="000616B5" w:rsidRDefault="00650C69" w:rsidP="004472E0">
      <w:pPr>
        <w:pStyle w:val="AERbulletlistfirststyle"/>
        <w:rPr>
          <w:rStyle w:val="AERbody"/>
        </w:rPr>
      </w:pPr>
      <w:r>
        <w:rPr>
          <w:rStyle w:val="AERbody"/>
        </w:rPr>
        <w:t>Adjustments for</w:t>
      </w:r>
      <w:r w:rsidR="00E3219D">
        <w:rPr>
          <w:rStyle w:val="AERbody"/>
        </w:rPr>
        <w:t xml:space="preserve"> movement in capitalised provisions</w:t>
      </w:r>
    </w:p>
    <w:p w:rsidR="000616B5" w:rsidRDefault="00E3219D" w:rsidP="004472E0">
      <w:pPr>
        <w:pStyle w:val="AERbulletlistfirststyle"/>
        <w:rPr>
          <w:rStyle w:val="AERbody"/>
        </w:rPr>
      </w:pPr>
      <w:r>
        <w:rPr>
          <w:rStyle w:val="AERbody"/>
        </w:rPr>
        <w:t>Removal of other ACS assets besides meters.</w:t>
      </w:r>
    </w:p>
    <w:p w:rsidR="003D78AD" w:rsidRDefault="000616B5" w:rsidP="00B73248">
      <w:pPr>
        <w:rPr>
          <w:rStyle w:val="AERbody"/>
        </w:rPr>
      </w:pPr>
      <w:r>
        <w:rPr>
          <w:rStyle w:val="AERbody"/>
        </w:rPr>
        <w:t>Each issue is discussed in turn below.</w:t>
      </w:r>
    </w:p>
    <w:p w:rsidR="0066051D" w:rsidRPr="0066051D" w:rsidRDefault="0066051D" w:rsidP="00A714D2">
      <w:pPr>
        <w:pStyle w:val="HeadingBoldBlue"/>
      </w:pPr>
      <w:bookmarkStart w:id="25" w:name="_Toc430242662"/>
      <w:r>
        <w:t xml:space="preserve">Updates to 2014–15 capex and </w:t>
      </w:r>
      <w:r w:rsidR="00937786">
        <w:t xml:space="preserve">inflation </w:t>
      </w:r>
      <w:r>
        <w:t>estimate</w:t>
      </w:r>
      <w:r w:rsidRPr="0066051D">
        <w:t>s</w:t>
      </w:r>
      <w:bookmarkEnd w:id="25"/>
    </w:p>
    <w:p w:rsidR="000616B5" w:rsidRDefault="0066051D" w:rsidP="00B73248">
      <w:pPr>
        <w:rPr>
          <w:rStyle w:val="AERbody"/>
        </w:rPr>
      </w:pPr>
      <w:r>
        <w:rPr>
          <w:rStyle w:val="AERbody"/>
        </w:rPr>
        <w:t xml:space="preserve">Ergon Energy updated its estimate for 2014–15 capex in its revised proposal. We accept these revised estimates that lower the opening RAB as at 1 July 2015 compared to </w:t>
      </w:r>
      <w:r w:rsidR="00CE08D7">
        <w:rPr>
          <w:rStyle w:val="AERbody"/>
        </w:rPr>
        <w:t>our</w:t>
      </w:r>
      <w:r>
        <w:rPr>
          <w:rStyle w:val="AERbody"/>
        </w:rPr>
        <w:t xml:space="preserve"> preliminary decision.</w:t>
      </w:r>
      <w:r w:rsidR="00617F7B" w:rsidRPr="00617F7B">
        <w:t xml:space="preserve"> </w:t>
      </w:r>
      <w:r w:rsidR="00617F7B" w:rsidRPr="00617F7B">
        <w:rPr>
          <w:rStyle w:val="AERbody"/>
        </w:rPr>
        <w:t>We note that the financial impact of any difference between actual and estimated capex for 2014–15 will be accounted for at the next reset.</w:t>
      </w:r>
      <w:r w:rsidR="00617F7B" w:rsidRPr="00617F7B">
        <w:rPr>
          <w:rStyle w:val="AERsuperscript"/>
        </w:rPr>
        <w:footnoteReference w:id="15"/>
      </w:r>
    </w:p>
    <w:p w:rsidR="000616B5" w:rsidRPr="000616B5" w:rsidRDefault="0066051D" w:rsidP="00937786">
      <w:pPr>
        <w:pStyle w:val="AERbulletlistfirststyle"/>
        <w:numPr>
          <w:ilvl w:val="0"/>
          <w:numId w:val="0"/>
        </w:numPr>
        <w:rPr>
          <w:rStyle w:val="AERbody"/>
        </w:rPr>
      </w:pPr>
      <w:r w:rsidRPr="00937786">
        <w:rPr>
          <w:rStyle w:val="AERbody"/>
        </w:rPr>
        <w:t xml:space="preserve">We have updated the inflation </w:t>
      </w:r>
      <w:r w:rsidR="00650C69">
        <w:rPr>
          <w:rStyle w:val="AERbody"/>
        </w:rPr>
        <w:t>input</w:t>
      </w:r>
      <w:r w:rsidRPr="00937786">
        <w:rPr>
          <w:rStyle w:val="AERbody"/>
        </w:rPr>
        <w:t xml:space="preserve"> for 2014–15 from the 2.75 per cent in Ergon Energy's revised proposal to 1.33 per cent </w:t>
      </w:r>
      <w:r w:rsidR="00937786" w:rsidRPr="00937786">
        <w:rPr>
          <w:rStyle w:val="AERbody"/>
        </w:rPr>
        <w:t>using actual March 2015 consumer price index (CPI) published by the Australian Bureau of Statistics.</w:t>
      </w:r>
      <w:r w:rsidR="00937786" w:rsidRPr="00937786">
        <w:rPr>
          <w:rStyle w:val="AERsuperscript"/>
        </w:rPr>
        <w:footnoteReference w:id="16"/>
      </w:r>
      <w:r w:rsidR="00937786">
        <w:rPr>
          <w:rStyle w:val="AERbody"/>
        </w:rPr>
        <w:t xml:space="preserve"> </w:t>
      </w:r>
      <w:r>
        <w:rPr>
          <w:rStyle w:val="AERbody"/>
        </w:rPr>
        <w:t xml:space="preserve">This </w:t>
      </w:r>
      <w:r w:rsidR="00C24BF0">
        <w:rPr>
          <w:rStyle w:val="AERbody"/>
        </w:rPr>
        <w:t xml:space="preserve">update lowers </w:t>
      </w:r>
      <w:r>
        <w:rPr>
          <w:rStyle w:val="AERbody"/>
        </w:rPr>
        <w:t xml:space="preserve">the opening RAB as at 1 July 2015 </w:t>
      </w:r>
      <w:r w:rsidR="00C24BF0">
        <w:rPr>
          <w:rStyle w:val="AERbody"/>
        </w:rPr>
        <w:t xml:space="preserve">by </w:t>
      </w:r>
      <w:r>
        <w:rPr>
          <w:rStyle w:val="AERbody"/>
        </w:rPr>
        <w:t>1.4 per</w:t>
      </w:r>
      <w:r w:rsidR="00650C69">
        <w:rPr>
          <w:rStyle w:val="AERbody"/>
        </w:rPr>
        <w:t xml:space="preserve"> </w:t>
      </w:r>
      <w:r>
        <w:rPr>
          <w:rStyle w:val="AERbody"/>
        </w:rPr>
        <w:t xml:space="preserve">cent </w:t>
      </w:r>
      <w:r w:rsidR="00C24BF0">
        <w:rPr>
          <w:rStyle w:val="AERbody"/>
        </w:rPr>
        <w:t xml:space="preserve">compared to </w:t>
      </w:r>
      <w:r>
        <w:rPr>
          <w:rStyle w:val="AERbody"/>
        </w:rPr>
        <w:t xml:space="preserve">Ergon Energy's revised proposal, </w:t>
      </w:r>
      <w:r w:rsidR="00650C69">
        <w:rPr>
          <w:rStyle w:val="AERbody"/>
        </w:rPr>
        <w:t>and represents</w:t>
      </w:r>
      <w:r>
        <w:rPr>
          <w:rStyle w:val="AERbody"/>
        </w:rPr>
        <w:t xml:space="preserve"> a</w:t>
      </w:r>
      <w:r w:rsidR="00445D5A">
        <w:rPr>
          <w:rStyle w:val="AERbody"/>
        </w:rPr>
        <w:t>bout a $137 million</w:t>
      </w:r>
      <w:r>
        <w:rPr>
          <w:rStyle w:val="AERbody"/>
        </w:rPr>
        <w:t xml:space="preserve"> reduction </w:t>
      </w:r>
      <w:r w:rsidR="00937786">
        <w:rPr>
          <w:rStyle w:val="AERbody"/>
        </w:rPr>
        <w:t>in the size of Ergon Energy's RAB</w:t>
      </w:r>
      <w:r w:rsidR="00937786" w:rsidRPr="00937786">
        <w:rPr>
          <w:rStyle w:val="AERbody"/>
        </w:rPr>
        <w:t xml:space="preserve"> </w:t>
      </w:r>
      <w:r>
        <w:rPr>
          <w:rStyle w:val="AERbody"/>
        </w:rPr>
        <w:t>in nominal terms.</w:t>
      </w:r>
      <w:r w:rsidR="00825AF6">
        <w:rPr>
          <w:rStyle w:val="FootnoteReference"/>
        </w:rPr>
        <w:footnoteReference w:id="17"/>
      </w:r>
    </w:p>
    <w:p w:rsidR="00AC186D" w:rsidRDefault="00AC186D" w:rsidP="00A714D2">
      <w:pPr>
        <w:pStyle w:val="HeadingBoldBlue"/>
      </w:pPr>
      <w:bookmarkStart w:id="26" w:name="_Toc430242663"/>
      <w:r>
        <w:t>Remaining asset lives</w:t>
      </w:r>
      <w:bookmarkEnd w:id="26"/>
    </w:p>
    <w:p w:rsidR="00AC186D" w:rsidRPr="00AC186D" w:rsidRDefault="00AC186D" w:rsidP="00AC186D">
      <w:r w:rsidRPr="00AC186D">
        <w:t xml:space="preserve">Ergon Energy's </w:t>
      </w:r>
      <w:r>
        <w:t>revis</w:t>
      </w:r>
      <w:r w:rsidRPr="00AC186D">
        <w:t xml:space="preserve">ed </w:t>
      </w:r>
      <w:r w:rsidR="00650C69">
        <w:t xml:space="preserve">proposal submitted </w:t>
      </w:r>
      <w:r w:rsidR="00867111">
        <w:t>the</w:t>
      </w:r>
      <w:r w:rsidR="008B548F">
        <w:t xml:space="preserve"> </w:t>
      </w:r>
      <w:r w:rsidRPr="00AC186D">
        <w:t>RFM</w:t>
      </w:r>
      <w:r w:rsidR="008B548F">
        <w:t xml:space="preserve"> for its opening RAB</w:t>
      </w:r>
      <w:r w:rsidRPr="00AC186D">
        <w:t xml:space="preserve"> </w:t>
      </w:r>
      <w:r w:rsidR="00650C69">
        <w:t xml:space="preserve">which </w:t>
      </w:r>
      <w:r>
        <w:t xml:space="preserve">repeated the error in its </w:t>
      </w:r>
      <w:r w:rsidR="00650C69">
        <w:t>initial</w:t>
      </w:r>
      <w:r>
        <w:t xml:space="preserve"> proposal of </w:t>
      </w:r>
      <w:r w:rsidRPr="00AC186D">
        <w:t>not apply</w:t>
      </w:r>
      <w:r>
        <w:t>ing</w:t>
      </w:r>
      <w:r w:rsidRPr="00AC186D">
        <w:t xml:space="preserve"> the</w:t>
      </w:r>
      <w:r w:rsidR="00867111">
        <w:t xml:space="preserve"> inputs for</w:t>
      </w:r>
      <w:r w:rsidRPr="00AC186D">
        <w:t xml:space="preserve"> remaining asset lives at 1 July 2010 as approved by the AER in the 2010 determination. </w:t>
      </w:r>
      <w:r w:rsidR="00985192">
        <w:t xml:space="preserve">Ergon Energy did not submit any further information </w:t>
      </w:r>
      <w:r w:rsidR="00D85B06">
        <w:t xml:space="preserve">regarding </w:t>
      </w:r>
      <w:r w:rsidR="00985192">
        <w:t xml:space="preserve">why it did not adopt the corrections as set out in the preliminary decision. </w:t>
      </w:r>
      <w:r w:rsidRPr="00AC186D">
        <w:t xml:space="preserve">Accordingly, we </w:t>
      </w:r>
      <w:r w:rsidR="00650C69">
        <w:t xml:space="preserve">maintain our preliminary decision and </w:t>
      </w:r>
      <w:r w:rsidRPr="00AC186D">
        <w:t xml:space="preserve">have </w:t>
      </w:r>
      <w:r w:rsidR="00D85B06">
        <w:t>used</w:t>
      </w:r>
      <w:r w:rsidR="00D85B06" w:rsidRPr="00AC186D">
        <w:t xml:space="preserve"> </w:t>
      </w:r>
      <w:r w:rsidRPr="00AC186D">
        <w:t>the approved remaining asset lives in the RFM as required for the proper function of the RAB roll forward process.</w:t>
      </w:r>
    </w:p>
    <w:p w:rsidR="00AC186D" w:rsidRDefault="00AC186D" w:rsidP="00AC186D">
      <w:r w:rsidRPr="00AC186D">
        <w:t xml:space="preserve">The correct remaining asset lives were generally longer than those in Ergon Energy's </w:t>
      </w:r>
      <w:r w:rsidR="00650C69">
        <w:t xml:space="preserve">revised </w:t>
      </w:r>
      <w:r w:rsidRPr="00AC186D">
        <w:t>proposed RFM. This means depreciation for 2010–15 is lower than proposed, and Ergon Energy's closing RAB as at 30 June 2015 is consequently higher than proposed</w:t>
      </w:r>
      <w:r w:rsidR="00650C69">
        <w:t>, consistent with</w:t>
      </w:r>
      <w:r>
        <w:t xml:space="preserve"> the preliminary decision</w:t>
      </w:r>
      <w:r w:rsidRPr="00AC186D">
        <w:t>.</w:t>
      </w:r>
    </w:p>
    <w:p w:rsidR="00AC186D" w:rsidRDefault="00AC186D" w:rsidP="00A714D2">
      <w:pPr>
        <w:pStyle w:val="HeadingBoldBlue"/>
      </w:pPr>
      <w:bookmarkStart w:id="27" w:name="_Toc430242664"/>
      <w:r>
        <w:t xml:space="preserve">Capitalised </w:t>
      </w:r>
      <w:r w:rsidR="00650C69">
        <w:t>p</w:t>
      </w:r>
      <w:r>
        <w:t>rovisions</w:t>
      </w:r>
      <w:bookmarkEnd w:id="27"/>
    </w:p>
    <w:p w:rsidR="00CC468E" w:rsidRDefault="00CC468E" w:rsidP="00CC468E">
      <w:r>
        <w:t>Ergon Energy</w:t>
      </w:r>
      <w:r w:rsidR="00650C69">
        <w:t>'s revised proposal</w:t>
      </w:r>
      <w:r>
        <w:t xml:space="preserve"> a</w:t>
      </w:r>
      <w:r w:rsidR="00650C69">
        <w:t>dopted</w:t>
      </w:r>
      <w:r>
        <w:t xml:space="preserve"> </w:t>
      </w:r>
      <w:r w:rsidR="00650C69">
        <w:t>our</w:t>
      </w:r>
      <w:r>
        <w:t xml:space="preserve"> preliminary decision </w:t>
      </w:r>
      <w:r w:rsidRPr="00A148CC">
        <w:t>that the movement in capitalised provision</w:t>
      </w:r>
      <w:r>
        <w:t>s</w:t>
      </w:r>
      <w:r w:rsidRPr="00A148CC">
        <w:t xml:space="preserve"> during the </w:t>
      </w:r>
      <w:r w:rsidR="00650C69">
        <w:t xml:space="preserve">2010–15 </w:t>
      </w:r>
      <w:r w:rsidRPr="00A148CC">
        <w:t xml:space="preserve">regulatory control period should be </w:t>
      </w:r>
      <w:r w:rsidR="00535299">
        <w:lastRenderedPageBreak/>
        <w:t>removed</w:t>
      </w:r>
      <w:r w:rsidR="00535299" w:rsidRPr="00A148CC">
        <w:t xml:space="preserve"> </w:t>
      </w:r>
      <w:r w:rsidRPr="00A148CC">
        <w:t xml:space="preserve">from capex </w:t>
      </w:r>
      <w:r w:rsidR="00535299">
        <w:t xml:space="preserve">included </w:t>
      </w:r>
      <w:r w:rsidRPr="00A148CC">
        <w:t xml:space="preserve">in the </w:t>
      </w:r>
      <w:r w:rsidR="00535299">
        <w:t>RAB</w:t>
      </w:r>
      <w:r w:rsidRPr="00A148CC">
        <w:t>.</w:t>
      </w:r>
      <w:r>
        <w:rPr>
          <w:rStyle w:val="FootnoteReference"/>
        </w:rPr>
        <w:footnoteReference w:id="18"/>
      </w:r>
      <w:r w:rsidRPr="00A148CC">
        <w:t xml:space="preserve"> </w:t>
      </w:r>
      <w:r>
        <w:t>However, it failed to do so in its revised RFM. Accordingly,</w:t>
      </w:r>
      <w:r w:rsidRPr="00A148CC">
        <w:t xml:space="preserve"> </w:t>
      </w:r>
      <w:r w:rsidR="0098578D">
        <w:t xml:space="preserve">for this final decision </w:t>
      </w:r>
      <w:r>
        <w:t>we</w:t>
      </w:r>
      <w:r w:rsidRPr="00A148CC">
        <w:t xml:space="preserve"> apply </w:t>
      </w:r>
      <w:r>
        <w:t xml:space="preserve">the adjustment for </w:t>
      </w:r>
      <w:r w:rsidRPr="00A148CC">
        <w:t>the movement in capitalised provision</w:t>
      </w:r>
      <w:r>
        <w:t>s a</w:t>
      </w:r>
      <w:r w:rsidRPr="00A148CC">
        <w:t>s shown in</w:t>
      </w:r>
      <w:r w:rsidR="00CE08D7">
        <w:t xml:space="preserve"> table 2.5</w:t>
      </w:r>
      <w:r w:rsidRPr="00A148CC">
        <w:t>.</w:t>
      </w:r>
      <w:r>
        <w:rPr>
          <w:rStyle w:val="FootnoteReference"/>
        </w:rPr>
        <w:footnoteReference w:id="19"/>
      </w:r>
      <w:r w:rsidRPr="00A148CC">
        <w:t xml:space="preserve"> The total adjustment for each year is pro</w:t>
      </w:r>
      <w:r>
        <w:t>-</w:t>
      </w:r>
      <w:r w:rsidRPr="00A148CC">
        <w:t>rated across asset c</w:t>
      </w:r>
      <w:r>
        <w:t>lasses</w:t>
      </w:r>
      <w:r w:rsidRPr="00A148CC">
        <w:t xml:space="preserve"> based on the size of the capex in that asset class for the relevant year. Overall, </w:t>
      </w:r>
      <w:r>
        <w:t>this adjustment reduces Ergon Energy's proposed opening RAB by</w:t>
      </w:r>
      <w:r w:rsidRPr="00A148CC">
        <w:t xml:space="preserve"> about </w:t>
      </w:r>
      <w:r>
        <w:t>$1.6</w:t>
      </w:r>
      <w:r w:rsidRPr="00A148CC">
        <w:t xml:space="preserve"> </w:t>
      </w:r>
      <w:r>
        <w:t>million, other things being equal</w:t>
      </w:r>
      <w:r w:rsidRPr="00A148CC">
        <w:t>.</w:t>
      </w:r>
    </w:p>
    <w:p w:rsidR="00CC468E" w:rsidRPr="00BB6116" w:rsidRDefault="00CC468E" w:rsidP="00CC468E">
      <w:pPr>
        <w:pStyle w:val="Caption"/>
      </w:pPr>
      <w:bookmarkStart w:id="28" w:name="_Ref411494908"/>
      <w:r>
        <w:t xml:space="preserve">Table </w:t>
      </w:r>
      <w:r w:rsidRPr="00CC468E">
        <w:fldChar w:fldCharType="begin"/>
      </w:r>
      <w:r>
        <w:instrText xml:space="preserve"> STYLEREF 1 \s </w:instrText>
      </w:r>
      <w:r w:rsidRPr="00CC468E">
        <w:fldChar w:fldCharType="separate"/>
      </w:r>
      <w:r w:rsidR="00D05727">
        <w:rPr>
          <w:noProof/>
        </w:rPr>
        <w:t>2</w:t>
      </w:r>
      <w:r w:rsidRPr="00CC468E">
        <w:fldChar w:fldCharType="end"/>
      </w:r>
      <w:r>
        <w:t>.</w:t>
      </w:r>
      <w:r w:rsidRPr="00CC468E">
        <w:fldChar w:fldCharType="begin"/>
      </w:r>
      <w:r>
        <w:instrText xml:space="preserve"> SEQ Table \* ARABIC \s 1 </w:instrText>
      </w:r>
      <w:r w:rsidRPr="00CC468E">
        <w:fldChar w:fldCharType="separate"/>
      </w:r>
      <w:r w:rsidR="00D05727">
        <w:rPr>
          <w:noProof/>
        </w:rPr>
        <w:t>5</w:t>
      </w:r>
      <w:r w:rsidRPr="00CC468E">
        <w:fldChar w:fldCharType="end"/>
      </w:r>
      <w:bookmarkEnd w:id="28"/>
      <w:r>
        <w:t xml:space="preserve"> Ergon Energy</w:t>
      </w:r>
      <w:r w:rsidRPr="00BB6116">
        <w:t>'s movement in capitalised provisions ($million, nominal)</w:t>
      </w:r>
    </w:p>
    <w:tbl>
      <w:tblPr>
        <w:tblStyle w:val="AERtable-numbers"/>
        <w:tblW w:w="8755" w:type="dxa"/>
        <w:tblLook w:val="04A0" w:firstRow="1" w:lastRow="0" w:firstColumn="1" w:lastColumn="0" w:noHBand="0" w:noVBand="1"/>
      </w:tblPr>
      <w:tblGrid>
        <w:gridCol w:w="3416"/>
        <w:gridCol w:w="1035"/>
        <w:gridCol w:w="1035"/>
        <w:gridCol w:w="1035"/>
        <w:gridCol w:w="1035"/>
        <w:gridCol w:w="1199"/>
      </w:tblGrid>
      <w:tr w:rsidR="00CC468E" w:rsidRPr="008C460E" w:rsidTr="000616B5">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CC468E" w:rsidRPr="00CC468E" w:rsidRDefault="00CC468E" w:rsidP="00CC468E">
            <w:r w:rsidRPr="008C460E">
              <w:t> </w:t>
            </w:r>
          </w:p>
        </w:tc>
        <w:tc>
          <w:tcPr>
            <w:tcW w:w="1035" w:type="dxa"/>
            <w:noWrap/>
            <w:vAlign w:val="top"/>
            <w:hideMark/>
          </w:tcPr>
          <w:p w:rsidR="00CC468E" w:rsidRPr="00CC468E" w:rsidRDefault="00CC468E" w:rsidP="00CC468E">
            <w:pPr>
              <w:cnfStyle w:val="100000000000" w:firstRow="1" w:lastRow="0" w:firstColumn="0" w:lastColumn="0" w:oddVBand="0" w:evenVBand="0" w:oddHBand="0" w:evenHBand="0" w:firstRowFirstColumn="0" w:firstRowLastColumn="0" w:lastRowFirstColumn="0" w:lastRowLastColumn="0"/>
            </w:pPr>
            <w:r w:rsidRPr="008C460E">
              <w:t>2010–11</w:t>
            </w:r>
          </w:p>
        </w:tc>
        <w:tc>
          <w:tcPr>
            <w:tcW w:w="1035" w:type="dxa"/>
            <w:noWrap/>
            <w:vAlign w:val="top"/>
            <w:hideMark/>
          </w:tcPr>
          <w:p w:rsidR="00CC468E" w:rsidRPr="00CC468E" w:rsidRDefault="00CC468E" w:rsidP="00CC468E">
            <w:pPr>
              <w:cnfStyle w:val="100000000000" w:firstRow="1" w:lastRow="0" w:firstColumn="0" w:lastColumn="0" w:oddVBand="0" w:evenVBand="0" w:oddHBand="0" w:evenHBand="0" w:firstRowFirstColumn="0" w:firstRowLastColumn="0" w:lastRowFirstColumn="0" w:lastRowLastColumn="0"/>
            </w:pPr>
            <w:r w:rsidRPr="008C460E">
              <w:t>2011–12</w:t>
            </w:r>
          </w:p>
        </w:tc>
        <w:tc>
          <w:tcPr>
            <w:tcW w:w="1035" w:type="dxa"/>
            <w:noWrap/>
            <w:vAlign w:val="top"/>
            <w:hideMark/>
          </w:tcPr>
          <w:p w:rsidR="00CC468E" w:rsidRPr="00CC468E" w:rsidRDefault="00CC468E" w:rsidP="00CC468E">
            <w:pPr>
              <w:cnfStyle w:val="100000000000" w:firstRow="1" w:lastRow="0" w:firstColumn="0" w:lastColumn="0" w:oddVBand="0" w:evenVBand="0" w:oddHBand="0" w:evenHBand="0" w:firstRowFirstColumn="0" w:firstRowLastColumn="0" w:lastRowFirstColumn="0" w:lastRowLastColumn="0"/>
            </w:pPr>
            <w:r w:rsidRPr="008C460E">
              <w:t>2012–13</w:t>
            </w:r>
          </w:p>
        </w:tc>
        <w:tc>
          <w:tcPr>
            <w:tcW w:w="1035" w:type="dxa"/>
            <w:noWrap/>
            <w:vAlign w:val="top"/>
            <w:hideMark/>
          </w:tcPr>
          <w:p w:rsidR="00CC468E" w:rsidRPr="00CC468E" w:rsidRDefault="00CC468E" w:rsidP="00CC468E">
            <w:pPr>
              <w:cnfStyle w:val="100000000000" w:firstRow="1" w:lastRow="0" w:firstColumn="0" w:lastColumn="0" w:oddVBand="0" w:evenVBand="0" w:oddHBand="0" w:evenHBand="0" w:firstRowFirstColumn="0" w:firstRowLastColumn="0" w:lastRowFirstColumn="0" w:lastRowLastColumn="0"/>
            </w:pPr>
            <w:r w:rsidRPr="008C460E">
              <w:t>2013–14</w:t>
            </w:r>
          </w:p>
        </w:tc>
        <w:tc>
          <w:tcPr>
            <w:tcW w:w="1199" w:type="dxa"/>
            <w:noWrap/>
            <w:vAlign w:val="top"/>
            <w:hideMark/>
          </w:tcPr>
          <w:p w:rsidR="00CC468E" w:rsidRPr="00CC468E" w:rsidRDefault="00CC468E" w:rsidP="00CC468E">
            <w:pPr>
              <w:cnfStyle w:val="100000000000" w:firstRow="1" w:lastRow="0" w:firstColumn="0" w:lastColumn="0" w:oddVBand="0" w:evenVBand="0" w:oddHBand="0" w:evenHBand="0" w:firstRowFirstColumn="0" w:firstRowLastColumn="0" w:lastRowFirstColumn="0" w:lastRowLastColumn="0"/>
            </w:pPr>
            <w:r w:rsidRPr="008C460E">
              <w:t>2014–15</w:t>
            </w:r>
          </w:p>
        </w:tc>
      </w:tr>
      <w:tr w:rsidR="00CC468E" w:rsidRPr="008C460E" w:rsidTr="000616B5">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CC468E" w:rsidRPr="00CC468E" w:rsidRDefault="00CC468E" w:rsidP="00CC468E">
            <w:r w:rsidRPr="008C460E">
              <w:t>Movement in capitalised provisions</w:t>
            </w:r>
          </w:p>
        </w:tc>
        <w:tc>
          <w:tcPr>
            <w:tcW w:w="1035" w:type="dxa"/>
            <w:noWrap/>
            <w:vAlign w:val="top"/>
          </w:tcPr>
          <w:p w:rsidR="00CC468E" w:rsidRPr="00CC468E" w:rsidRDefault="00CC468E" w:rsidP="00CC468E">
            <w:pPr>
              <w:cnfStyle w:val="000000000000" w:firstRow="0" w:lastRow="0" w:firstColumn="0" w:lastColumn="0" w:oddVBand="0" w:evenVBand="0" w:oddHBand="0" w:evenHBand="0" w:firstRowFirstColumn="0" w:firstRowLastColumn="0" w:lastRowFirstColumn="0" w:lastRowLastColumn="0"/>
            </w:pPr>
            <w:r w:rsidRPr="008C460E">
              <w:t xml:space="preserve">–0.1 </w:t>
            </w:r>
          </w:p>
        </w:tc>
        <w:tc>
          <w:tcPr>
            <w:tcW w:w="1035" w:type="dxa"/>
            <w:noWrap/>
            <w:vAlign w:val="top"/>
          </w:tcPr>
          <w:p w:rsidR="00CC468E" w:rsidRPr="00CC468E" w:rsidRDefault="00CC468E" w:rsidP="00CC468E">
            <w:pPr>
              <w:cnfStyle w:val="000000000000" w:firstRow="0" w:lastRow="0" w:firstColumn="0" w:lastColumn="0" w:oddVBand="0" w:evenVBand="0" w:oddHBand="0" w:evenHBand="0" w:firstRowFirstColumn="0" w:firstRowLastColumn="0" w:lastRowFirstColumn="0" w:lastRowLastColumn="0"/>
            </w:pPr>
            <w:r w:rsidRPr="008C460E">
              <w:t xml:space="preserve">9.5 </w:t>
            </w:r>
          </w:p>
        </w:tc>
        <w:tc>
          <w:tcPr>
            <w:tcW w:w="1035" w:type="dxa"/>
            <w:noWrap/>
            <w:vAlign w:val="top"/>
          </w:tcPr>
          <w:p w:rsidR="00CC468E" w:rsidRPr="00CC468E" w:rsidRDefault="00CC468E" w:rsidP="00CC468E">
            <w:pPr>
              <w:cnfStyle w:val="000000000000" w:firstRow="0" w:lastRow="0" w:firstColumn="0" w:lastColumn="0" w:oddVBand="0" w:evenVBand="0" w:oddHBand="0" w:evenHBand="0" w:firstRowFirstColumn="0" w:firstRowLastColumn="0" w:lastRowFirstColumn="0" w:lastRowLastColumn="0"/>
            </w:pPr>
            <w:r w:rsidRPr="008C460E">
              <w:t xml:space="preserve"> –8.1 </w:t>
            </w:r>
          </w:p>
        </w:tc>
        <w:tc>
          <w:tcPr>
            <w:tcW w:w="1035" w:type="dxa"/>
            <w:noWrap/>
            <w:vAlign w:val="top"/>
          </w:tcPr>
          <w:p w:rsidR="00CC468E" w:rsidRPr="00CC468E" w:rsidRDefault="00CC468E" w:rsidP="00CC468E">
            <w:pPr>
              <w:cnfStyle w:val="000000000000" w:firstRow="0" w:lastRow="0" w:firstColumn="0" w:lastColumn="0" w:oddVBand="0" w:evenVBand="0" w:oddHBand="0" w:evenHBand="0" w:firstRowFirstColumn="0" w:firstRowLastColumn="0" w:lastRowFirstColumn="0" w:lastRowLastColumn="0"/>
            </w:pPr>
            <w:r w:rsidRPr="008C460E">
              <w:t xml:space="preserve">0.2 </w:t>
            </w:r>
          </w:p>
        </w:tc>
        <w:tc>
          <w:tcPr>
            <w:tcW w:w="1199" w:type="dxa"/>
            <w:noWrap/>
            <w:vAlign w:val="top"/>
          </w:tcPr>
          <w:p w:rsidR="00CC468E" w:rsidRPr="00CC468E" w:rsidRDefault="00CC468E" w:rsidP="00CC468E">
            <w:pPr>
              <w:cnfStyle w:val="000000000000" w:firstRow="0" w:lastRow="0" w:firstColumn="0" w:lastColumn="0" w:oddVBand="0" w:evenVBand="0" w:oddHBand="0" w:evenHBand="0" w:firstRowFirstColumn="0" w:firstRowLastColumn="0" w:lastRowFirstColumn="0" w:lastRowLastColumn="0"/>
            </w:pPr>
            <w:r w:rsidRPr="008C460E">
              <w:t>0.0</w:t>
            </w:r>
          </w:p>
        </w:tc>
      </w:tr>
    </w:tbl>
    <w:p w:rsidR="0066051D" w:rsidRPr="0066051D" w:rsidRDefault="00CC468E" w:rsidP="00042E0E">
      <w:pPr>
        <w:pStyle w:val="AERtablesource"/>
      </w:pPr>
      <w:r>
        <w:t xml:space="preserve">Source: </w:t>
      </w:r>
      <w:r>
        <w:tab/>
        <w:t xml:space="preserve">Ergon Energy, </w:t>
      </w:r>
      <w:r w:rsidR="00C31EE9" w:rsidRPr="00025DA4">
        <w:rPr>
          <w:rStyle w:val="AERtextitalic"/>
        </w:rPr>
        <w:t>Regulatory proposal</w:t>
      </w:r>
      <w:r w:rsidR="00C31EE9">
        <w:t xml:space="preserve"> </w:t>
      </w:r>
      <w:r w:rsidR="00025DA4">
        <w:t>r</w:t>
      </w:r>
      <w:r w:rsidRPr="00196650">
        <w:rPr>
          <w:rStyle w:val="AERtextitalic"/>
        </w:rPr>
        <w:t>eset RIN</w:t>
      </w:r>
      <w:r>
        <w:t xml:space="preserve">, </w:t>
      </w:r>
      <w:r w:rsidR="00025DA4">
        <w:t xml:space="preserve">February 2015, </w:t>
      </w:r>
      <w:r>
        <w:t>Table 2.13.1.</w:t>
      </w:r>
      <w:bookmarkStart w:id="29" w:name="_Toc413831075"/>
    </w:p>
    <w:p w:rsidR="00BF4AF5" w:rsidRPr="00BF4AF5" w:rsidRDefault="00BF4AF5" w:rsidP="00A714D2">
      <w:pPr>
        <w:pStyle w:val="HeadingBoldBlue"/>
      </w:pPr>
      <w:bookmarkStart w:id="30" w:name="_Toc430242665"/>
      <w:r w:rsidRPr="00BF4AF5">
        <w:t>Separation of alternative control services and unregulated assets</w:t>
      </w:r>
      <w:bookmarkEnd w:id="29"/>
      <w:bookmarkEnd w:id="30"/>
    </w:p>
    <w:p w:rsidR="00BF4AF5" w:rsidRPr="00BF4AF5" w:rsidRDefault="00BF4AF5" w:rsidP="00BF4AF5">
      <w:r w:rsidRPr="00BF4AF5">
        <w:t>We do not accept the inclusion</w:t>
      </w:r>
      <w:r w:rsidR="00D85B06">
        <w:t xml:space="preserve"> </w:t>
      </w:r>
      <w:r w:rsidR="00D85B06" w:rsidRPr="00BF4AF5">
        <w:t>in the RAB</w:t>
      </w:r>
      <w:r w:rsidRPr="00BF4AF5">
        <w:t xml:space="preserve"> of </w:t>
      </w:r>
      <w:r w:rsidR="00867111">
        <w:t>'</w:t>
      </w:r>
      <w:r w:rsidRPr="00BF4AF5">
        <w:t>shared assets</w:t>
      </w:r>
      <w:r w:rsidR="00867111">
        <w:t>'—</w:t>
      </w:r>
      <w:r w:rsidR="00D85B06">
        <w:t>that is, assets that are used to provide both</w:t>
      </w:r>
      <w:r w:rsidRPr="00BF4AF5">
        <w:t xml:space="preserve"> SCS </w:t>
      </w:r>
      <w:r w:rsidR="00D85B06">
        <w:t xml:space="preserve">and </w:t>
      </w:r>
      <w:r w:rsidRPr="00BF4AF5">
        <w:t xml:space="preserve">ACS. </w:t>
      </w:r>
      <w:r w:rsidR="00AC186D">
        <w:t>We made an adjustment for this in our preliminary decision. Ergon Energy has not a</w:t>
      </w:r>
      <w:r w:rsidR="0064610F">
        <w:t>dopted</w:t>
      </w:r>
      <w:r w:rsidR="00AC186D">
        <w:t xml:space="preserve"> this adjustment in its revised proposal, but </w:t>
      </w:r>
      <w:r w:rsidR="00D85B06">
        <w:t>has given no</w:t>
      </w:r>
      <w:r w:rsidR="00867111">
        <w:t xml:space="preserve"> further</w:t>
      </w:r>
      <w:r w:rsidR="00AC186D">
        <w:t xml:space="preserve"> explanation of why it rejected this adjustment. Accordingly</w:t>
      </w:r>
      <w:r w:rsidR="0064610F">
        <w:t>, for this final decision</w:t>
      </w:r>
      <w:r w:rsidR="00AC186D">
        <w:t xml:space="preserve"> we </w:t>
      </w:r>
      <w:r w:rsidR="00D85B06">
        <w:t xml:space="preserve">have </w:t>
      </w:r>
      <w:r w:rsidR="00AC186D">
        <w:t>appl</w:t>
      </w:r>
      <w:r w:rsidR="00D85B06">
        <w:t>ied</w:t>
      </w:r>
      <w:r w:rsidR="00AC186D">
        <w:t xml:space="preserve"> the same adjustment </w:t>
      </w:r>
      <w:r w:rsidR="00686FC8">
        <w:t xml:space="preserve">approach </w:t>
      </w:r>
      <w:r w:rsidR="00AC186D">
        <w:t>as in the preliminary decision.</w:t>
      </w:r>
      <w:r w:rsidR="00AC186D" w:rsidRPr="00AC186D">
        <w:t xml:space="preserve"> </w:t>
      </w:r>
      <w:r w:rsidR="00AC186D">
        <w:t xml:space="preserve">This </w:t>
      </w:r>
      <w:r w:rsidR="00CC468E">
        <w:t>means</w:t>
      </w:r>
      <w:r w:rsidR="00AC186D">
        <w:t xml:space="preserve"> </w:t>
      </w:r>
      <w:r w:rsidR="00686FC8">
        <w:t>$13.8</w:t>
      </w:r>
      <w:r w:rsidR="00AC186D" w:rsidRPr="00BF4AF5">
        <w:t xml:space="preserve"> million of assets </w:t>
      </w:r>
      <w:r w:rsidR="00CC468E">
        <w:t>have</w:t>
      </w:r>
      <w:r w:rsidR="00AC186D" w:rsidRPr="00BF4AF5">
        <w:t xml:space="preserve"> been removed from the RAB as at 1 July 2015.</w:t>
      </w:r>
      <w:r w:rsidR="00CC468E">
        <w:rPr>
          <w:rStyle w:val="FootnoteReference"/>
        </w:rPr>
        <w:footnoteReference w:id="20"/>
      </w:r>
      <w:r w:rsidR="00961C88">
        <w:t xml:space="preserve"> </w:t>
      </w:r>
      <w:r w:rsidR="00AC186D" w:rsidRPr="00BF4AF5">
        <w:t>The proportion of the proposed revenue adjustment for shared assets that applies to these assets has also been removed (see attachment 1).</w:t>
      </w:r>
    </w:p>
    <w:p w:rsidR="00AC186D" w:rsidRPr="00BF4AF5" w:rsidRDefault="0064610F" w:rsidP="00AC186D">
      <w:r>
        <w:t>Consistent with</w:t>
      </w:r>
      <w:r w:rsidR="00AC186D">
        <w:t xml:space="preserve"> the preliminary decision, w</w:t>
      </w:r>
      <w:r w:rsidR="00AC186D" w:rsidRPr="00BF4AF5">
        <w:t>e have not removed the proportion of shared assets used for other unregulated activities (such as retail services</w:t>
      </w:r>
      <w:r>
        <w:rPr>
          <w:rStyle w:val="FootnoteReference"/>
        </w:rPr>
        <w:footnoteReference w:id="21"/>
      </w:r>
      <w:r w:rsidR="00AC186D" w:rsidRPr="00BF4AF5">
        <w:t>). Instead, these remain in the RAB but a revenue adjustment consistent with the shared asset guideline has been applied, rather than a continuation of the Queensland Competition Authority’s previous approach (see attachment 1).</w:t>
      </w:r>
    </w:p>
    <w:p w:rsidR="00BF4AF5" w:rsidRDefault="00BF4AF5" w:rsidP="00BF4AF5">
      <w:r w:rsidRPr="00BF4AF5">
        <w:t>Ergon Energy's</w:t>
      </w:r>
      <w:r w:rsidR="0064610F">
        <w:t xml:space="preserve"> revised</w:t>
      </w:r>
      <w:r w:rsidRPr="00BF4AF5">
        <w:t xml:space="preserve"> proposal removed meters from its opening RAB as at 1 July 2015. However, </w:t>
      </w:r>
      <w:r w:rsidR="00617F7B">
        <w:t>due to the updat</w:t>
      </w:r>
      <w:r w:rsidR="0064610F">
        <w:t>e</w:t>
      </w:r>
      <w:r w:rsidR="00617F7B">
        <w:t xml:space="preserve"> of </w:t>
      </w:r>
      <w:r w:rsidR="0064610F">
        <w:t xml:space="preserve">actual </w:t>
      </w:r>
      <w:r w:rsidR="00617F7B">
        <w:t xml:space="preserve">inflation for 2014–15 </w:t>
      </w:r>
      <w:r w:rsidRPr="00BF4AF5">
        <w:t xml:space="preserve">noted above, there is a small change to the amount removed from the RAB for meters. We have removed </w:t>
      </w:r>
      <w:r w:rsidR="00617F7B">
        <w:lastRenderedPageBreak/>
        <w:t>$60.7 million in meters from the RAB as at 1 July 2015</w:t>
      </w:r>
      <w:r w:rsidRPr="00BF4AF5">
        <w:t>.</w:t>
      </w:r>
      <w:r w:rsidR="00617F7B">
        <w:t xml:space="preserve"> This is slightly less than the $61.6 million in Ergon Energy's revised proposal due to the inflation difference.</w:t>
      </w:r>
      <w:r w:rsidR="00617F7B">
        <w:rPr>
          <w:rStyle w:val="FootnoteReference"/>
        </w:rPr>
        <w:footnoteReference w:id="22"/>
      </w:r>
    </w:p>
    <w:p w:rsidR="00867111" w:rsidRPr="00BF4AF5" w:rsidRDefault="00867111" w:rsidP="00867111">
      <w:pPr>
        <w:pStyle w:val="HeadingBoldBlue"/>
      </w:pPr>
      <w:bookmarkStart w:id="31" w:name="_Toc430242666"/>
      <w:r>
        <w:t>Asset disposals</w:t>
      </w:r>
      <w:bookmarkEnd w:id="31"/>
    </w:p>
    <w:p w:rsidR="00C24BF0" w:rsidRDefault="00C24BF0" w:rsidP="00C24BF0">
      <w:pPr>
        <w:rPr>
          <w:rStyle w:val="AERbody"/>
        </w:rPr>
      </w:pPr>
      <w:r>
        <w:rPr>
          <w:rStyle w:val="AERbody"/>
        </w:rPr>
        <w:t>The CCP raised concerns regarding Ergon Energy's level of disposals and the revisions made to 132kV line lengths in its reporting of regulatory information notices</w:t>
      </w:r>
      <w:r w:rsidR="00FD0F08">
        <w:rPr>
          <w:rStyle w:val="AERbody"/>
        </w:rPr>
        <w:t xml:space="preserve"> (RIN)</w:t>
      </w:r>
      <w:r>
        <w:rPr>
          <w:rStyle w:val="AERbody"/>
        </w:rPr>
        <w:t>.</w:t>
      </w:r>
      <w:r>
        <w:rPr>
          <w:rStyle w:val="FootnoteReference"/>
        </w:rPr>
        <w:footnoteReference w:id="23"/>
      </w:r>
      <w:r>
        <w:rPr>
          <w:rStyle w:val="AERbody"/>
        </w:rPr>
        <w:t xml:space="preserve"> The disposals were reviewed as part of the preliminary </w:t>
      </w:r>
      <w:r w:rsidR="00961C88">
        <w:rPr>
          <w:rStyle w:val="AERbody"/>
        </w:rPr>
        <w:t xml:space="preserve">decision </w:t>
      </w:r>
      <w:r>
        <w:rPr>
          <w:rStyle w:val="AERbody"/>
        </w:rPr>
        <w:t>and have not been revised for the final decision.</w:t>
      </w:r>
      <w:r>
        <w:rPr>
          <w:rStyle w:val="FootnoteReference"/>
        </w:rPr>
        <w:footnoteReference w:id="24"/>
      </w:r>
      <w:r>
        <w:rPr>
          <w:rStyle w:val="AERbody"/>
        </w:rPr>
        <w:t xml:space="preserve"> While we understand the CCP's frustration with the revision to regulatory data, the </w:t>
      </w:r>
      <w:r w:rsidR="00FD0F08">
        <w:rPr>
          <w:rStyle w:val="AERbody"/>
        </w:rPr>
        <w:t>mistakes regarding</w:t>
      </w:r>
      <w:r>
        <w:rPr>
          <w:rStyle w:val="AERbody"/>
        </w:rPr>
        <w:t xml:space="preserve"> line lengths </w:t>
      </w:r>
      <w:r w:rsidR="00FD0F08">
        <w:rPr>
          <w:rStyle w:val="AERbody"/>
        </w:rPr>
        <w:t>included in Ergon Energy's RIN responses resulted</w:t>
      </w:r>
      <w:r>
        <w:rPr>
          <w:rStyle w:val="AERbody"/>
        </w:rPr>
        <w:t xml:space="preserve"> from difficulties in merging multiple accounting systems.</w:t>
      </w:r>
      <w:r>
        <w:rPr>
          <w:rStyle w:val="FootnoteReference"/>
        </w:rPr>
        <w:footnoteReference w:id="25"/>
      </w:r>
      <w:r>
        <w:rPr>
          <w:rStyle w:val="AERbody"/>
        </w:rPr>
        <w:t xml:space="preserve"> We note the revised line length data has been audited.</w:t>
      </w:r>
    </w:p>
    <w:p w:rsidR="00B73248" w:rsidRDefault="00B73248" w:rsidP="00B73248">
      <w:pPr>
        <w:pStyle w:val="Heading3"/>
      </w:pPr>
      <w:bookmarkStart w:id="32" w:name="_Toc413851797"/>
      <w:bookmarkStart w:id="33" w:name="_Toc430242667"/>
      <w:r w:rsidRPr="00BA6440">
        <w:t>Forecast closing RAB as at 30 June 20</w:t>
      </w:r>
      <w:bookmarkEnd w:id="32"/>
      <w:r>
        <w:t>20</w:t>
      </w:r>
      <w:bookmarkEnd w:id="33"/>
      <w:r>
        <w:t xml:space="preserve"> </w:t>
      </w:r>
    </w:p>
    <w:p w:rsidR="00146F11" w:rsidRPr="003110F2" w:rsidRDefault="00146F11" w:rsidP="00146F11">
      <w:pPr>
        <w:rPr>
          <w:rStyle w:val="AERbody"/>
        </w:rPr>
      </w:pPr>
      <w:r w:rsidRPr="003110F2">
        <w:rPr>
          <w:rStyle w:val="AERbody"/>
        </w:rPr>
        <w:t>We forecast a closing RAB value of $</w:t>
      </w:r>
      <w:r w:rsidR="00535299">
        <w:rPr>
          <w:rStyle w:val="AERbody"/>
        </w:rPr>
        <w:t>12</w:t>
      </w:r>
      <w:r w:rsidR="00C34C99">
        <w:rPr>
          <w:rStyle w:val="AERbody"/>
        </w:rPr>
        <w:t xml:space="preserve"> </w:t>
      </w:r>
      <w:r w:rsidR="005568A5">
        <w:rPr>
          <w:rStyle w:val="AERbody"/>
        </w:rPr>
        <w:t>184.0</w:t>
      </w:r>
      <w:r w:rsidR="00535299">
        <w:rPr>
          <w:rStyle w:val="AERbody"/>
        </w:rPr>
        <w:t xml:space="preserve"> </w:t>
      </w:r>
      <w:r w:rsidR="003110F2">
        <w:rPr>
          <w:rStyle w:val="AERbody"/>
        </w:rPr>
        <w:t>million by 30 June 2020</w:t>
      </w:r>
      <w:r w:rsidRPr="003110F2">
        <w:rPr>
          <w:rStyle w:val="AERbody"/>
        </w:rPr>
        <w:t xml:space="preserve"> for E</w:t>
      </w:r>
      <w:r w:rsidR="003110F2">
        <w:rPr>
          <w:rStyle w:val="AERbody"/>
        </w:rPr>
        <w:t xml:space="preserve">rgon </w:t>
      </w:r>
      <w:r w:rsidRPr="003110F2">
        <w:rPr>
          <w:rStyle w:val="AERbody"/>
        </w:rPr>
        <w:t>Energy. This represents a reduction of $</w:t>
      </w:r>
      <w:r w:rsidR="005568A5">
        <w:rPr>
          <w:rStyle w:val="AERbody"/>
        </w:rPr>
        <w:t>605.9</w:t>
      </w:r>
      <w:r w:rsidR="00535299">
        <w:rPr>
          <w:rStyle w:val="AERbody"/>
        </w:rPr>
        <w:t xml:space="preserve"> </w:t>
      </w:r>
      <w:r w:rsidR="003110F2">
        <w:rPr>
          <w:rStyle w:val="AERbody"/>
        </w:rPr>
        <w:t xml:space="preserve">million, or </w:t>
      </w:r>
      <w:r w:rsidR="00C34C99">
        <w:rPr>
          <w:rStyle w:val="AERbody"/>
        </w:rPr>
        <w:t>4</w:t>
      </w:r>
      <w:r w:rsidR="00535299">
        <w:rPr>
          <w:rStyle w:val="AERbody"/>
        </w:rPr>
        <w:t>.</w:t>
      </w:r>
      <w:r w:rsidR="005568A5">
        <w:rPr>
          <w:rStyle w:val="AERbody"/>
        </w:rPr>
        <w:t>7</w:t>
      </w:r>
      <w:r w:rsidR="00535299">
        <w:rPr>
          <w:rStyle w:val="AERbody"/>
        </w:rPr>
        <w:t xml:space="preserve"> </w:t>
      </w:r>
      <w:r w:rsidRPr="003110F2">
        <w:rPr>
          <w:rStyle w:val="AERbody"/>
        </w:rPr>
        <w:t>per cent to E</w:t>
      </w:r>
      <w:r w:rsidR="0098578D">
        <w:rPr>
          <w:rStyle w:val="AERbody"/>
        </w:rPr>
        <w:t>rgon</w:t>
      </w:r>
      <w:r w:rsidRPr="003110F2">
        <w:rPr>
          <w:rStyle w:val="AERbody"/>
        </w:rPr>
        <w:t xml:space="preserve"> Energy's revised proposal. This reduction reflects our final decision on the required inputs for determining the forecast RAB in the post-tax revenue model (PTRM). To determine the forecast RAB value, we </w:t>
      </w:r>
      <w:r w:rsidR="00867111">
        <w:rPr>
          <w:rStyle w:val="AERbody"/>
        </w:rPr>
        <w:t xml:space="preserve">have </w:t>
      </w:r>
      <w:r w:rsidRPr="003110F2">
        <w:rPr>
          <w:rStyle w:val="AERbody"/>
        </w:rPr>
        <w:t>amended the PTRM inputs</w:t>
      </w:r>
      <w:r w:rsidR="00FD0F08">
        <w:rPr>
          <w:rStyle w:val="AERbody"/>
        </w:rPr>
        <w:t xml:space="preserve"> </w:t>
      </w:r>
      <w:r w:rsidR="00FD0F08">
        <w:t xml:space="preserve">as a result of </w:t>
      </w:r>
      <w:r w:rsidR="00867111">
        <w:t xml:space="preserve">the following </w:t>
      </w:r>
      <w:r w:rsidR="00FD0F08">
        <w:t>changes</w:t>
      </w:r>
      <w:r w:rsidRPr="003110F2">
        <w:rPr>
          <w:rStyle w:val="AERbody"/>
        </w:rPr>
        <w:t>:</w:t>
      </w:r>
    </w:p>
    <w:p w:rsidR="0064610F" w:rsidRPr="003110F2" w:rsidRDefault="0064610F" w:rsidP="0064610F">
      <w:pPr>
        <w:pStyle w:val="AERbulletlistfirststyle"/>
        <w:rPr>
          <w:rStyle w:val="AERbody"/>
        </w:rPr>
      </w:pPr>
      <w:r>
        <w:rPr>
          <w:rStyle w:val="AERbody"/>
        </w:rPr>
        <w:t>We reduced</w:t>
      </w:r>
      <w:r w:rsidRPr="00D70AD1">
        <w:t xml:space="preserve"> </w:t>
      </w:r>
      <w:r>
        <w:rPr>
          <w:rStyle w:val="AERbody"/>
        </w:rPr>
        <w:t>Ergon</w:t>
      </w:r>
      <w:r w:rsidRPr="00D70AD1">
        <w:rPr>
          <w:rStyle w:val="AERbody"/>
        </w:rPr>
        <w:t xml:space="preserve"> Energy's revised propos</w:t>
      </w:r>
      <w:r>
        <w:rPr>
          <w:rStyle w:val="AERbody"/>
        </w:rPr>
        <w:t>ed</w:t>
      </w:r>
      <w:r w:rsidRPr="00D70AD1">
        <w:rPr>
          <w:rStyle w:val="AERbody"/>
        </w:rPr>
        <w:t xml:space="preserve"> forecast </w:t>
      </w:r>
      <w:r>
        <w:rPr>
          <w:rStyle w:val="AERbody"/>
        </w:rPr>
        <w:t>capex</w:t>
      </w:r>
      <w:r w:rsidRPr="00D70AD1">
        <w:rPr>
          <w:rStyle w:val="AERbody"/>
        </w:rPr>
        <w:t xml:space="preserve"> for the 2015–20 </w:t>
      </w:r>
      <w:r>
        <w:rPr>
          <w:rStyle w:val="AERbody"/>
        </w:rPr>
        <w:t xml:space="preserve">regulatory control </w:t>
      </w:r>
      <w:r w:rsidRPr="00D70AD1">
        <w:rPr>
          <w:rStyle w:val="AERbody"/>
        </w:rPr>
        <w:t>period by $</w:t>
      </w:r>
      <w:r w:rsidR="00E232CA">
        <w:rPr>
          <w:rStyle w:val="AERbody"/>
        </w:rPr>
        <w:t>500.9</w:t>
      </w:r>
      <w:r w:rsidR="00C34C99" w:rsidRPr="00D70AD1">
        <w:rPr>
          <w:rStyle w:val="AERbody"/>
        </w:rPr>
        <w:t xml:space="preserve"> </w:t>
      </w:r>
      <w:r w:rsidRPr="00D70AD1">
        <w:rPr>
          <w:rStyle w:val="AERbody"/>
        </w:rPr>
        <w:t xml:space="preserve">million </w:t>
      </w:r>
      <w:r>
        <w:rPr>
          <w:rStyle w:val="AERbody"/>
        </w:rPr>
        <w:t xml:space="preserve">($ nominal) </w:t>
      </w:r>
      <w:r w:rsidRPr="00D70AD1">
        <w:rPr>
          <w:rStyle w:val="AERbody"/>
        </w:rPr>
        <w:t xml:space="preserve">or </w:t>
      </w:r>
      <w:r w:rsidR="00E232CA">
        <w:rPr>
          <w:rStyle w:val="AERbody"/>
        </w:rPr>
        <w:t>14.1</w:t>
      </w:r>
      <w:r w:rsidR="00C34C99">
        <w:rPr>
          <w:rStyle w:val="AERbody"/>
        </w:rPr>
        <w:t xml:space="preserve"> </w:t>
      </w:r>
      <w:r>
        <w:rPr>
          <w:rStyle w:val="AERbody"/>
        </w:rPr>
        <w:t>per cent (attachment 6</w:t>
      </w:r>
      <w:r w:rsidRPr="00D70AD1">
        <w:rPr>
          <w:rStyle w:val="AERbody"/>
        </w:rPr>
        <w:t>).</w:t>
      </w:r>
    </w:p>
    <w:p w:rsidR="00146F11" w:rsidRDefault="00146F11" w:rsidP="00042E0E">
      <w:pPr>
        <w:pStyle w:val="AERbulletlistfirststyle"/>
        <w:rPr>
          <w:rStyle w:val="AERbody"/>
        </w:rPr>
      </w:pPr>
      <w:r w:rsidRPr="003110F2">
        <w:rPr>
          <w:rStyle w:val="AERbody"/>
        </w:rPr>
        <w:t xml:space="preserve">We </w:t>
      </w:r>
      <w:r w:rsidR="00AA462E">
        <w:rPr>
          <w:rStyle w:val="AERbody"/>
        </w:rPr>
        <w:t>reduced</w:t>
      </w:r>
      <w:r w:rsidRPr="003110F2">
        <w:rPr>
          <w:rStyle w:val="AERbody"/>
        </w:rPr>
        <w:t xml:space="preserve"> E</w:t>
      </w:r>
      <w:r w:rsidR="003110F2">
        <w:rPr>
          <w:rStyle w:val="AERbody"/>
        </w:rPr>
        <w:t>rgon</w:t>
      </w:r>
      <w:r w:rsidRPr="003110F2">
        <w:rPr>
          <w:rStyle w:val="AERbody"/>
        </w:rPr>
        <w:t xml:space="preserve"> Energy's revised propos</w:t>
      </w:r>
      <w:r w:rsidR="0064610F">
        <w:rPr>
          <w:rStyle w:val="AERbody"/>
        </w:rPr>
        <w:t>ed</w:t>
      </w:r>
      <w:r w:rsidRPr="003110F2">
        <w:rPr>
          <w:rStyle w:val="AERbody"/>
        </w:rPr>
        <w:t xml:space="preserve"> forecast regulat</w:t>
      </w:r>
      <w:r w:rsidR="003110F2">
        <w:rPr>
          <w:rStyle w:val="AERbody"/>
        </w:rPr>
        <w:t>ory depreciation for the 2015–20</w:t>
      </w:r>
      <w:r w:rsidRPr="003110F2">
        <w:rPr>
          <w:rStyle w:val="AERbody"/>
        </w:rPr>
        <w:t xml:space="preserve"> </w:t>
      </w:r>
      <w:r w:rsidR="0064610F">
        <w:rPr>
          <w:rStyle w:val="AERbody"/>
        </w:rPr>
        <w:t xml:space="preserve">regulatory control </w:t>
      </w:r>
      <w:r w:rsidRPr="003110F2">
        <w:rPr>
          <w:rStyle w:val="AERbody"/>
        </w:rPr>
        <w:t>period by $</w:t>
      </w:r>
      <w:r w:rsidR="00323102">
        <w:rPr>
          <w:rStyle w:val="AERbody"/>
        </w:rPr>
        <w:t>77.9</w:t>
      </w:r>
      <w:r w:rsidR="00323102" w:rsidRPr="003110F2">
        <w:rPr>
          <w:rStyle w:val="AERbody"/>
        </w:rPr>
        <w:t xml:space="preserve"> </w:t>
      </w:r>
      <w:r w:rsidRPr="003110F2">
        <w:rPr>
          <w:rStyle w:val="AERbody"/>
        </w:rPr>
        <w:t xml:space="preserve">million </w:t>
      </w:r>
      <w:r w:rsidR="0064610F">
        <w:rPr>
          <w:rStyle w:val="AERbody"/>
        </w:rPr>
        <w:t xml:space="preserve">($ nominal) </w:t>
      </w:r>
      <w:r w:rsidRPr="003110F2">
        <w:rPr>
          <w:rStyle w:val="AERbody"/>
        </w:rPr>
        <w:t xml:space="preserve">or </w:t>
      </w:r>
      <w:r w:rsidR="00323102">
        <w:rPr>
          <w:rStyle w:val="AERbody"/>
        </w:rPr>
        <w:t>9.4</w:t>
      </w:r>
      <w:r w:rsidR="00323102" w:rsidRPr="003110F2">
        <w:rPr>
          <w:rStyle w:val="AERbody"/>
        </w:rPr>
        <w:t xml:space="preserve"> </w:t>
      </w:r>
      <w:r w:rsidRPr="003110F2">
        <w:rPr>
          <w:rStyle w:val="AERbody"/>
        </w:rPr>
        <w:t>per cent (attachment 5).</w:t>
      </w:r>
    </w:p>
    <w:p w:rsidR="00146F11" w:rsidRPr="003110F2" w:rsidRDefault="00146F11" w:rsidP="00042E0E">
      <w:pPr>
        <w:pStyle w:val="AERbulletlistfirststyle"/>
        <w:rPr>
          <w:rStyle w:val="AERbody"/>
        </w:rPr>
      </w:pPr>
      <w:r w:rsidRPr="003110F2">
        <w:rPr>
          <w:rStyle w:val="AERbody"/>
        </w:rPr>
        <w:t>We reduced E</w:t>
      </w:r>
      <w:r w:rsidR="003110F2">
        <w:rPr>
          <w:rStyle w:val="AERbody"/>
        </w:rPr>
        <w:t>rgon</w:t>
      </w:r>
      <w:r w:rsidRPr="003110F2">
        <w:rPr>
          <w:rStyle w:val="AERbody"/>
        </w:rPr>
        <w:t xml:space="preserve"> Energy's revised proposed</w:t>
      </w:r>
      <w:r w:rsidR="003110F2">
        <w:rPr>
          <w:rStyle w:val="AERbody"/>
        </w:rPr>
        <w:t xml:space="preserve"> forecast inflation rate of 2.55</w:t>
      </w:r>
      <w:r w:rsidRPr="003110F2">
        <w:rPr>
          <w:rStyle w:val="AERbody"/>
        </w:rPr>
        <w:t xml:space="preserve"> per cent per annum to </w:t>
      </w:r>
      <w:r w:rsidR="00D869EA">
        <w:rPr>
          <w:rStyle w:val="AERbody"/>
        </w:rPr>
        <w:t>2.50</w:t>
      </w:r>
      <w:r w:rsidRPr="003110F2">
        <w:rPr>
          <w:rStyle w:val="AERbody"/>
        </w:rPr>
        <w:t> per cent per annum (attachment 3).</w:t>
      </w:r>
    </w:p>
    <w:p w:rsidR="00146F11" w:rsidRPr="00B73248" w:rsidRDefault="00146F11" w:rsidP="00146F11">
      <w:pPr>
        <w:rPr>
          <w:rStyle w:val="AERtexthighlight"/>
        </w:rPr>
      </w:pPr>
    </w:p>
    <w:p w:rsidR="00BF4AF5" w:rsidRPr="00BF4AF5" w:rsidRDefault="00BF4AF5" w:rsidP="00BF4AF5"/>
    <w:sectPr w:rsidR="00BF4AF5" w:rsidRPr="00BF4AF5"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A49" w:rsidRPr="00290C63" w:rsidRDefault="00184A49" w:rsidP="00290C63">
      <w:r>
        <w:separator/>
      </w:r>
    </w:p>
    <w:p w:rsidR="00184A49" w:rsidRDefault="00184A49"/>
  </w:endnote>
  <w:endnote w:type="continuationSeparator" w:id="0">
    <w:p w:rsidR="00184A49" w:rsidRPr="00290C63" w:rsidRDefault="00184A49" w:rsidP="00290C63">
      <w:r>
        <w:continuationSeparator/>
      </w:r>
    </w:p>
    <w:p w:rsidR="00184A49" w:rsidRDefault="00184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49" w:rsidRPr="00290C63" w:rsidRDefault="00184A4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84A49" w:rsidRDefault="00184A49"/>
  <w:p w:rsidR="00184A49" w:rsidRDefault="00184A49"/>
  <w:p w:rsidR="00184A49" w:rsidRDefault="00184A49"/>
  <w:p w:rsidR="00184A49" w:rsidRDefault="00184A49"/>
  <w:p w:rsidR="00184A49" w:rsidRDefault="00184A49"/>
  <w:p w:rsidR="00184A49" w:rsidRDefault="00184A49"/>
  <w:p w:rsidR="00184A49" w:rsidRDefault="00184A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184A49" w:rsidRDefault="00184A49">
        <w:pPr>
          <w:pStyle w:val="Footer"/>
        </w:pPr>
        <w:r>
          <w:t>2-</w:t>
        </w:r>
        <w:r>
          <w:fldChar w:fldCharType="begin"/>
        </w:r>
        <w:r>
          <w:instrText xml:space="preserve"> PAGE   \* MERGEFORMAT </w:instrText>
        </w:r>
        <w:r>
          <w:fldChar w:fldCharType="separate"/>
        </w:r>
        <w:r w:rsidR="00EF55BA">
          <w:rPr>
            <w:noProof/>
          </w:rPr>
          <w:t>12</w:t>
        </w:r>
        <w:r>
          <w:rPr>
            <w:noProof/>
          </w:rPr>
          <w:fldChar w:fldCharType="end"/>
        </w:r>
        <w:r>
          <w:rPr>
            <w:noProof/>
          </w:rPr>
          <w:t xml:space="preserve">      </w:t>
        </w:r>
        <w:r>
          <w:t xml:space="preserve">           </w:t>
        </w:r>
        <w:r>
          <w:rPr>
            <w:noProof/>
          </w:rPr>
          <w:t xml:space="preserve"> </w:t>
        </w:r>
        <w:r>
          <w:t xml:space="preserve">                  </w:t>
        </w:r>
        <w:r>
          <w:rPr>
            <w:noProof/>
          </w:rPr>
          <w:t xml:space="preserve"> Attachment </w:t>
        </w:r>
        <w:r>
          <w:t>2</w:t>
        </w:r>
        <w:r>
          <w:rPr>
            <w:noProof/>
          </w:rPr>
          <w:t xml:space="preserve"> </w:t>
        </w:r>
        <w:r>
          <w:rPr>
            <w:rFonts w:cs="Gautami"/>
            <w:noProof/>
          </w:rPr>
          <w:t xml:space="preserve">– </w:t>
        </w:r>
        <w:r>
          <w:t>Regulatory asset base</w:t>
        </w:r>
        <w:r>
          <w:rPr>
            <w:rFonts w:cs="Gautami"/>
            <w:noProof/>
          </w:rPr>
          <w:t xml:space="preserve"> | </w:t>
        </w:r>
        <w:r>
          <w:t>Ergon Energy</w:t>
        </w:r>
        <w:r>
          <w:rPr>
            <w:rFonts w:cs="Gautami"/>
            <w:noProof/>
          </w:rPr>
          <w:t xml:space="preserve"> determination 2015–20</w:t>
        </w:r>
      </w:p>
    </w:sdtContent>
  </w:sdt>
  <w:p w:rsidR="00184A49" w:rsidRDefault="00184A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49" w:rsidRPr="00290C63" w:rsidRDefault="00184A4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84A49" w:rsidRDefault="00184A49">
    <w:pPr>
      <w:pStyle w:val="Footer"/>
    </w:pPr>
  </w:p>
  <w:p w:rsidR="00184A49" w:rsidRDefault="00184A49"/>
  <w:p w:rsidR="00184A49" w:rsidRDefault="00184A49"/>
  <w:p w:rsidR="00184A49" w:rsidRDefault="00184A49"/>
  <w:p w:rsidR="00184A49" w:rsidRDefault="00184A49"/>
  <w:p w:rsidR="00184A49" w:rsidRDefault="00184A49"/>
  <w:p w:rsidR="00184A49" w:rsidRDefault="00184A49"/>
  <w:p w:rsidR="00184A49" w:rsidRDefault="00184A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A49" w:rsidRPr="00290C63" w:rsidRDefault="00184A49" w:rsidP="00290C63">
      <w:r>
        <w:separator/>
      </w:r>
    </w:p>
    <w:p w:rsidR="00184A49" w:rsidRDefault="00184A49"/>
  </w:footnote>
  <w:footnote w:type="continuationSeparator" w:id="0">
    <w:p w:rsidR="00184A49" w:rsidRPr="00290C63" w:rsidRDefault="00184A49" w:rsidP="00290C63">
      <w:r>
        <w:continuationSeparator/>
      </w:r>
    </w:p>
    <w:p w:rsidR="00184A49" w:rsidRDefault="00184A49"/>
  </w:footnote>
  <w:footnote w:id="1">
    <w:p w:rsidR="00184A49" w:rsidRDefault="00184A49" w:rsidP="00B73248">
      <w:pPr>
        <w:pStyle w:val="FootnoteText"/>
      </w:pPr>
      <w:r>
        <w:rPr>
          <w:rStyle w:val="FootnoteReference"/>
        </w:rPr>
        <w:footnoteRef/>
      </w:r>
      <w:r>
        <w:t xml:space="preserve"> </w:t>
      </w:r>
      <w:r>
        <w:tab/>
        <w:t>NER, cl. 6.12.1(6).</w:t>
      </w:r>
    </w:p>
  </w:footnote>
  <w:footnote w:id="2">
    <w:p w:rsidR="00184A49" w:rsidRDefault="00184A49" w:rsidP="00624DAB">
      <w:pPr>
        <w:pStyle w:val="FootnoteText"/>
      </w:pPr>
      <w:r>
        <w:rPr>
          <w:rStyle w:val="FootnoteReference"/>
        </w:rPr>
        <w:footnoteRef/>
      </w:r>
      <w:r>
        <w:t xml:space="preserve"> </w:t>
      </w:r>
      <w:r>
        <w:tab/>
        <w:t xml:space="preserve">Ergon Energy, </w:t>
      </w:r>
      <w:r w:rsidRPr="00A714D2">
        <w:rPr>
          <w:rStyle w:val="AERtextitalic"/>
        </w:rPr>
        <w:t>Submission to the AER on its Preliminary Determination: SCS Building Blocks, Control Mechanism and Pricing,</w:t>
      </w:r>
      <w:r>
        <w:t xml:space="preserve"> 3 July 2015, p.13.</w:t>
      </w:r>
    </w:p>
  </w:footnote>
  <w:footnote w:id="3">
    <w:p w:rsidR="00184A49" w:rsidRDefault="00184A49">
      <w:pPr>
        <w:pStyle w:val="FootnoteText"/>
      </w:pPr>
      <w:r>
        <w:rPr>
          <w:rStyle w:val="FootnoteReference"/>
        </w:rPr>
        <w:footnoteRef/>
      </w:r>
      <w:r>
        <w:t xml:space="preserve"> </w:t>
      </w:r>
      <w:r>
        <w:tab/>
        <w:t>In terms of its modelling, Ergon Energy submitted two separate RFMs that need to be added together. The Legacy RFM relates to assets existing before 1 July 2010, while the Capex RFM relates to assets acquired over the 2010-15 regulatory control period. The split was done to determine more accurate depreciation. Refer to the depreciation discussion in attachment 5 for details.</w:t>
      </w:r>
    </w:p>
  </w:footnote>
  <w:footnote w:id="4">
    <w:p w:rsidR="00184A49" w:rsidRDefault="00184A49">
      <w:pPr>
        <w:pStyle w:val="FootnoteText"/>
      </w:pPr>
      <w:r>
        <w:rPr>
          <w:rStyle w:val="FootnoteReference"/>
        </w:rPr>
        <w:footnoteRef/>
      </w:r>
      <w:r>
        <w:t xml:space="preserve"> </w:t>
      </w:r>
      <w:r>
        <w:tab/>
        <w:t xml:space="preserve">Ergon Energy, </w:t>
      </w:r>
      <w:r w:rsidRPr="00A714D2">
        <w:rPr>
          <w:rStyle w:val="AERtextitalic"/>
        </w:rPr>
        <w:t>Capex RFM</w:t>
      </w:r>
      <w:r>
        <w:t>, July 2015.</w:t>
      </w:r>
    </w:p>
  </w:footnote>
  <w:footnote w:id="5">
    <w:p w:rsidR="00184A49" w:rsidRDefault="00184A49">
      <w:pPr>
        <w:pStyle w:val="FootnoteText"/>
      </w:pPr>
      <w:r>
        <w:rPr>
          <w:rStyle w:val="FootnoteReference"/>
        </w:rPr>
        <w:footnoteRef/>
      </w:r>
      <w:r>
        <w:t xml:space="preserve"> </w:t>
      </w:r>
      <w:r>
        <w:tab/>
      </w:r>
      <w:r w:rsidRPr="0086661B">
        <w:t xml:space="preserve">AER, </w:t>
      </w:r>
      <w:r w:rsidRPr="0086661B">
        <w:rPr>
          <w:rStyle w:val="AERtextitalic"/>
        </w:rPr>
        <w:t>Preliminary decision, Ergon Energy determination 2015−16 to 2019−20: Attachment 2 − Regulatory asset base,</w:t>
      </w:r>
      <w:r>
        <w:t xml:space="preserve"> April 2015.</w:t>
      </w:r>
    </w:p>
  </w:footnote>
  <w:footnote w:id="6">
    <w:p w:rsidR="00184A49" w:rsidRDefault="00184A49">
      <w:pPr>
        <w:pStyle w:val="FootnoteText"/>
      </w:pPr>
      <w:r>
        <w:rPr>
          <w:rStyle w:val="FootnoteReference"/>
        </w:rPr>
        <w:footnoteRef/>
      </w:r>
      <w:r>
        <w:t xml:space="preserve"> </w:t>
      </w:r>
      <w:r>
        <w:tab/>
        <w:t xml:space="preserve">CCP, </w:t>
      </w:r>
      <w:r w:rsidRPr="00C31EE9">
        <w:t xml:space="preserve">Mr Bruce Mountain CCP2, </w:t>
      </w:r>
      <w:r w:rsidRPr="00C31EE9">
        <w:rPr>
          <w:rStyle w:val="AERtextitalic"/>
        </w:rPr>
        <w:t>Advice on AER preliminary decisions and revised proposals from Energex, Ergon Energy and SA Power Networks</w:t>
      </w:r>
      <w:r w:rsidRPr="00C31EE9">
        <w:t>, July 2015</w:t>
      </w:r>
      <w:r>
        <w:t>, pp. 6–7; CCP, Mr Hugh Grant CCP2</w:t>
      </w:r>
      <w:r w:rsidRPr="00455EEC">
        <w:rPr>
          <w:rStyle w:val="AERtextitalic"/>
        </w:rPr>
        <w:t>, AER preliminary 2015–20 revenue determinations – Energex and Ergon Energy revised revenue proposals</w:t>
      </w:r>
      <w:r>
        <w:t>, September 2015, pp. 2, 9–11.</w:t>
      </w:r>
    </w:p>
  </w:footnote>
  <w:footnote w:id="7">
    <w:p w:rsidR="00184A49" w:rsidRDefault="00184A49" w:rsidP="00736555">
      <w:pPr>
        <w:pStyle w:val="FootnoteText"/>
      </w:pPr>
      <w:r>
        <w:rPr>
          <w:rStyle w:val="FootnoteReference"/>
        </w:rPr>
        <w:footnoteRef/>
      </w:r>
      <w:r>
        <w:t xml:space="preserve"> </w:t>
      </w:r>
      <w:r>
        <w:tab/>
        <w:t xml:space="preserve">AER, </w:t>
      </w:r>
      <w:r w:rsidRPr="00736555">
        <w:rPr>
          <w:rStyle w:val="AERtextitalic"/>
        </w:rPr>
        <w:t>Preliminary decision, Ergon Energy determination 2015−16 to 2019−20: Attachment 2 − Regulatory asset base</w:t>
      </w:r>
      <w:r>
        <w:t xml:space="preserve">, </w:t>
      </w:r>
      <w:r w:rsidRPr="00736555">
        <w:t>April 2015</w:t>
      </w:r>
      <w:r>
        <w:t>,</w:t>
      </w:r>
      <w:r w:rsidRPr="00736555">
        <w:t xml:space="preserve"> </w:t>
      </w:r>
      <w:r>
        <w:t>section 2.3.1.</w:t>
      </w:r>
    </w:p>
  </w:footnote>
  <w:footnote w:id="8">
    <w:p w:rsidR="00184A49" w:rsidRDefault="00184A49">
      <w:pPr>
        <w:pStyle w:val="FootnoteText"/>
      </w:pPr>
      <w:r>
        <w:rPr>
          <w:rStyle w:val="FootnoteReference"/>
        </w:rPr>
        <w:footnoteRef/>
      </w:r>
      <w:r>
        <w:t xml:space="preserve"> </w:t>
      </w:r>
      <w:r>
        <w:tab/>
        <w:t>NER, cl. 6.5.1(e)(3).</w:t>
      </w:r>
    </w:p>
  </w:footnote>
  <w:footnote w:id="9">
    <w:p w:rsidR="00184A49" w:rsidRDefault="00184A49">
      <w:pPr>
        <w:pStyle w:val="FootnoteText"/>
      </w:pPr>
      <w:r>
        <w:rPr>
          <w:rStyle w:val="FootnoteReference"/>
        </w:rPr>
        <w:footnoteRef/>
      </w:r>
      <w:r>
        <w:t xml:space="preserve"> </w:t>
      </w:r>
      <w:r>
        <w:tab/>
        <w:t>Such an impact would also be reflected if we were to switch methods midway through an asset's life.</w:t>
      </w:r>
    </w:p>
  </w:footnote>
  <w:footnote w:id="10">
    <w:p w:rsidR="00184A49" w:rsidRDefault="00184A49">
      <w:pPr>
        <w:pStyle w:val="FootnoteText"/>
      </w:pPr>
      <w:r>
        <w:rPr>
          <w:rStyle w:val="FootnoteReference"/>
        </w:rPr>
        <w:footnoteRef/>
      </w:r>
      <w:r>
        <w:t xml:space="preserve"> </w:t>
      </w:r>
      <w:r>
        <w:tab/>
        <w:t>The indexation of the RAB was a matter discussed extensively in the AER's final decision on APA GasNet's access arrangement. This matter also went before the Australian Competition Tribunal, who found in favour of the AER's reasoning in that final decision. See AER,</w:t>
      </w:r>
      <w:r w:rsidRPr="00DD6B4F">
        <w:t xml:space="preserve"> </w:t>
      </w:r>
      <w:r w:rsidRPr="00DD6B4F">
        <w:rPr>
          <w:rStyle w:val="AERtextitalic"/>
        </w:rPr>
        <w:t>Access arrangement final decision</w:t>
      </w:r>
      <w:r>
        <w:rPr>
          <w:rStyle w:val="AERtextitalic"/>
        </w:rPr>
        <w:t>,</w:t>
      </w:r>
      <w:r w:rsidRPr="00DD6B4F">
        <w:rPr>
          <w:rStyle w:val="AERtextitalic"/>
        </w:rPr>
        <w:t xml:space="preserve"> APA GasNet Australia (Operations) Pty Ltd</w:t>
      </w:r>
      <w:r>
        <w:rPr>
          <w:rStyle w:val="AERtextitalic"/>
        </w:rPr>
        <w:t>,</w:t>
      </w:r>
      <w:r w:rsidRPr="00DD6B4F">
        <w:rPr>
          <w:rStyle w:val="AERtextitalic"/>
        </w:rPr>
        <w:t xml:space="preserve"> 2013–17, Part 2: Attachments</w:t>
      </w:r>
      <w:r>
        <w:t>, 15 March 2013, pp.102–116.</w:t>
      </w:r>
    </w:p>
  </w:footnote>
  <w:footnote w:id="11">
    <w:p w:rsidR="00184A49" w:rsidRPr="006A1A89" w:rsidRDefault="00184A49" w:rsidP="0098578D">
      <w:pPr>
        <w:pStyle w:val="FootnoteText"/>
      </w:pPr>
      <w:r>
        <w:rPr>
          <w:rStyle w:val="FootnoteReference"/>
        </w:rPr>
        <w:footnoteRef/>
      </w:r>
      <w:r>
        <w:t xml:space="preserve"> </w:t>
      </w:r>
      <w:r>
        <w:tab/>
        <w:t>Alliance of Energy Consumers,</w:t>
      </w:r>
      <w:r w:rsidRPr="008E2DF8">
        <w:rPr>
          <w:rStyle w:val="AERtextitalic"/>
        </w:rPr>
        <w:t xml:space="preserve"> Submission to the Australian Energy Regulator’s Preliminary Decision (Queensland)</w:t>
      </w:r>
      <w:r>
        <w:t xml:space="preserve">, July 2015, p. 35; </w:t>
      </w:r>
      <w:r w:rsidRPr="008E2DF8">
        <w:t xml:space="preserve">Energy Users Association of Australia, </w:t>
      </w:r>
      <w:r w:rsidRPr="008E2DF8">
        <w:rPr>
          <w:rStyle w:val="AERtextitalic"/>
        </w:rPr>
        <w:t>Submission to AER draft determination and Energex’s revised revenue proposal 2015 to 2020</w:t>
      </w:r>
      <w:r w:rsidRPr="008E2DF8">
        <w:t>,  24 July 2015</w:t>
      </w:r>
      <w:r>
        <w:t xml:space="preserve">, p. 11; </w:t>
      </w:r>
      <w:r w:rsidRPr="008E2DF8">
        <w:t xml:space="preserve">Queensland Farmers' Federation, </w:t>
      </w:r>
      <w:r w:rsidRPr="008E2DF8">
        <w:rPr>
          <w:rStyle w:val="AERtextitalic"/>
        </w:rPr>
        <w:t>Submission to AER on Ergon Energy Regulatory Proposal Revised 2015-2020</w:t>
      </w:r>
      <w:r w:rsidRPr="008E2DF8">
        <w:t>, 24 July 2015</w:t>
      </w:r>
      <w:r>
        <w:t>, p. 2.</w:t>
      </w:r>
    </w:p>
  </w:footnote>
  <w:footnote w:id="12">
    <w:p w:rsidR="00184A49" w:rsidRDefault="00184A49" w:rsidP="0098578D">
      <w:pPr>
        <w:pStyle w:val="FootnoteText"/>
      </w:pPr>
      <w:r>
        <w:rPr>
          <w:rStyle w:val="FootnoteReference"/>
        </w:rPr>
        <w:footnoteRef/>
      </w:r>
      <w:r>
        <w:t xml:space="preserve"> </w:t>
      </w:r>
      <w:r>
        <w:tab/>
        <w:t>NER, cll. 11.60.5 and 11.62.</w:t>
      </w:r>
    </w:p>
  </w:footnote>
  <w:footnote w:id="13">
    <w:p w:rsidR="00184A49" w:rsidRDefault="00184A49" w:rsidP="0098578D">
      <w:pPr>
        <w:pStyle w:val="FootnoteText"/>
      </w:pPr>
      <w:r>
        <w:rPr>
          <w:rStyle w:val="FootnoteReference"/>
        </w:rPr>
        <w:footnoteRef/>
      </w:r>
      <w:r>
        <w:t xml:space="preserve"> </w:t>
      </w:r>
      <w:r>
        <w:tab/>
        <w:t xml:space="preserve">Under the NER, cl S6.2.2A(b), the exclusion of </w:t>
      </w:r>
      <w:r w:rsidRPr="00166EE4">
        <w:t>inefficient</w:t>
      </w:r>
      <w:r>
        <w:t xml:space="preserve"> capex could only come from three areas including overspend in capex , margin paid to third party and capitalisation of opex as defined in cl S6.2.2A(c), (d) and (e) of the NER. </w:t>
      </w:r>
    </w:p>
  </w:footnote>
  <w:footnote w:id="14">
    <w:p w:rsidR="00184A49" w:rsidRDefault="00184A49" w:rsidP="0098578D">
      <w:pPr>
        <w:pStyle w:val="FootnoteText"/>
      </w:pPr>
      <w:r>
        <w:rPr>
          <w:rStyle w:val="FootnoteReference"/>
        </w:rPr>
        <w:footnoteRef/>
      </w:r>
      <w:r>
        <w:t xml:space="preserve"> </w:t>
      </w:r>
      <w:r>
        <w:tab/>
        <w:t xml:space="preserve">AER, </w:t>
      </w:r>
      <w:r w:rsidRPr="00105346">
        <w:rPr>
          <w:rStyle w:val="AERtextitalic"/>
        </w:rPr>
        <w:t xml:space="preserve">Capital </w:t>
      </w:r>
      <w:r>
        <w:rPr>
          <w:rStyle w:val="AERtextitalic"/>
        </w:rPr>
        <w:t>e</w:t>
      </w:r>
      <w:r w:rsidRPr="00105346">
        <w:rPr>
          <w:rStyle w:val="AERtextitalic"/>
        </w:rPr>
        <w:t xml:space="preserve">xpenditure Incentive </w:t>
      </w:r>
      <w:r>
        <w:rPr>
          <w:rStyle w:val="AERtextitalic"/>
        </w:rPr>
        <w:t>g</w:t>
      </w:r>
      <w:r w:rsidRPr="00105346">
        <w:rPr>
          <w:rStyle w:val="AERtextitalic"/>
        </w:rPr>
        <w:t>uideline</w:t>
      </w:r>
      <w:r>
        <w:t>, November 2013, pp. 12–20.</w:t>
      </w:r>
    </w:p>
  </w:footnote>
  <w:footnote w:id="15">
    <w:p w:rsidR="00184A49" w:rsidRDefault="00184A49" w:rsidP="00617F7B">
      <w:pPr>
        <w:pStyle w:val="FootnoteText"/>
      </w:pPr>
      <w:r>
        <w:rPr>
          <w:rStyle w:val="FootnoteReference"/>
        </w:rPr>
        <w:footnoteRef/>
      </w:r>
      <w:r>
        <w:t xml:space="preserve"> </w:t>
      </w:r>
      <w:r>
        <w:tab/>
        <w:t>NER, cl. S6.2.1(e)(3).</w:t>
      </w:r>
    </w:p>
  </w:footnote>
  <w:footnote w:id="16">
    <w:p w:rsidR="00184A49" w:rsidRDefault="00184A49" w:rsidP="00937786">
      <w:pPr>
        <w:pStyle w:val="FootnoteText"/>
      </w:pPr>
      <w:r>
        <w:rPr>
          <w:rStyle w:val="FootnoteReference"/>
        </w:rPr>
        <w:footnoteRef/>
      </w:r>
      <w:r>
        <w:t xml:space="preserve"> </w:t>
      </w:r>
      <w:r>
        <w:tab/>
      </w:r>
      <w:r w:rsidRPr="00EE107D">
        <w:t>The March quarter CPI is used as a proxy for the June financial year in the 20</w:t>
      </w:r>
      <w:r>
        <w:t>10</w:t>
      </w:r>
      <w:r w:rsidRPr="00EE107D">
        <w:t>–15 regulatory control peri</w:t>
      </w:r>
      <w:r>
        <w:t>od. As discussed in attachment 14</w:t>
      </w:r>
      <w:r w:rsidRPr="00EE107D">
        <w:t xml:space="preserve">, the December quarter CPI will be used as a proxy for the June financial year for the 2015–20 regulatory control period. </w:t>
      </w:r>
      <w:r>
        <w:t xml:space="preserve"> </w:t>
      </w:r>
    </w:p>
  </w:footnote>
  <w:footnote w:id="17">
    <w:p w:rsidR="00184A49" w:rsidRDefault="00184A49">
      <w:pPr>
        <w:pStyle w:val="FootnoteText"/>
      </w:pPr>
      <w:r>
        <w:rPr>
          <w:rStyle w:val="FootnoteReference"/>
        </w:rPr>
        <w:footnoteRef/>
      </w:r>
      <w:r>
        <w:t xml:space="preserve"> </w:t>
      </w:r>
      <w:r>
        <w:tab/>
        <w:t>We also corrected the input for the 2009–10 forecast inflation rate (cell G179 in the 'Input' tab) to 2.76 per cent from 2.52 per cent. This correction reflects the approved value in the regulatory determination for that period.</w:t>
      </w:r>
    </w:p>
  </w:footnote>
  <w:footnote w:id="18">
    <w:p w:rsidR="00184A49" w:rsidRDefault="00184A49">
      <w:pPr>
        <w:pStyle w:val="FootnoteText"/>
      </w:pPr>
      <w:r>
        <w:rPr>
          <w:rStyle w:val="FootnoteReference"/>
        </w:rPr>
        <w:footnoteRef/>
      </w:r>
      <w:r>
        <w:t xml:space="preserve"> </w:t>
      </w:r>
      <w:r>
        <w:tab/>
        <w:t xml:space="preserve">Ergon Energy, </w:t>
      </w:r>
      <w:r w:rsidRPr="00A714D2">
        <w:rPr>
          <w:rStyle w:val="AERtextitalic"/>
        </w:rPr>
        <w:t>Revised regulatory proposal</w:t>
      </w:r>
      <w:r>
        <w:t>, July 2015, p. 24.</w:t>
      </w:r>
    </w:p>
  </w:footnote>
  <w:footnote w:id="19">
    <w:p w:rsidR="00184A49" w:rsidRDefault="00184A49" w:rsidP="00CC468E">
      <w:pPr>
        <w:pStyle w:val="FootnoteText"/>
      </w:pPr>
      <w:r>
        <w:rPr>
          <w:rStyle w:val="FootnoteReference"/>
        </w:rPr>
        <w:footnoteRef/>
      </w:r>
      <w:r>
        <w:t xml:space="preserve"> </w:t>
      </w:r>
      <w:r>
        <w:tab/>
      </w:r>
      <w:r w:rsidRPr="00BB6116">
        <w:t>Positive amounts are net increases in capitalised provisions, while negatives mean there has been a net payout by E</w:t>
      </w:r>
      <w:r>
        <w:t>rgon Energy</w:t>
      </w:r>
      <w:r w:rsidRPr="00BB6116">
        <w:t xml:space="preserve"> in capitalised provisions.</w:t>
      </w:r>
    </w:p>
  </w:footnote>
  <w:footnote w:id="20">
    <w:p w:rsidR="00184A49" w:rsidRDefault="00184A49" w:rsidP="00CC468E">
      <w:pPr>
        <w:pStyle w:val="FootnoteText"/>
      </w:pPr>
      <w:r>
        <w:rPr>
          <w:rStyle w:val="FootnoteReference"/>
        </w:rPr>
        <w:footnoteRef/>
      </w:r>
      <w:r>
        <w:t xml:space="preserve"> </w:t>
      </w:r>
      <w:r>
        <w:tab/>
        <w:t xml:space="preserve">This amount is based on Ergon Energy's </w:t>
      </w:r>
      <w:r w:rsidRPr="00196650">
        <w:rPr>
          <w:rStyle w:val="AERtextitalic"/>
        </w:rPr>
        <w:t>Email response to AER Ergon 060</w:t>
      </w:r>
      <w:r>
        <w:t>, 23</w:t>
      </w:r>
      <w:r w:rsidRPr="00586AD0">
        <w:t xml:space="preserve"> February 2015.</w:t>
      </w:r>
      <w:r>
        <w:t xml:space="preserve"> However, the total deducted has been revised slightly to reflect the lower actual inflation input for 2014–15 as discussed above.</w:t>
      </w:r>
    </w:p>
  </w:footnote>
  <w:footnote w:id="21">
    <w:p w:rsidR="00184A49" w:rsidRDefault="00184A49">
      <w:pPr>
        <w:pStyle w:val="FootnoteText"/>
      </w:pPr>
      <w:r>
        <w:rPr>
          <w:rStyle w:val="FootnoteReference"/>
        </w:rPr>
        <w:footnoteRef/>
      </w:r>
      <w:r>
        <w:t xml:space="preserve"> </w:t>
      </w:r>
      <w:r>
        <w:tab/>
        <w:t>Ergon Energy provides retail electricity services in Queensland. Some assets, such as vehicles or computer systems, may be shared between the regulated and unregulated activities, although the proportion of use of shared assets by retail activities is typically less than three per cent.</w:t>
      </w:r>
    </w:p>
  </w:footnote>
  <w:footnote w:id="22">
    <w:p w:rsidR="00184A49" w:rsidRDefault="00184A49">
      <w:pPr>
        <w:pStyle w:val="FootnoteText"/>
      </w:pPr>
      <w:r>
        <w:rPr>
          <w:rStyle w:val="FootnoteReference"/>
        </w:rPr>
        <w:footnoteRef/>
      </w:r>
      <w:r>
        <w:t xml:space="preserve"> </w:t>
      </w:r>
      <w:r>
        <w:tab/>
        <w:t>In terms of allocating this adjustment we have removed the entire value of the legacy meters (those acquired prior to 1 July 2010) and removed the balance from the meters acquired over the 2010–15 regulatory control period.</w:t>
      </w:r>
    </w:p>
  </w:footnote>
  <w:footnote w:id="23">
    <w:p w:rsidR="00184A49" w:rsidRDefault="00184A49" w:rsidP="00C24BF0">
      <w:pPr>
        <w:pStyle w:val="FootnoteText"/>
      </w:pPr>
      <w:r>
        <w:rPr>
          <w:rStyle w:val="FootnoteReference"/>
        </w:rPr>
        <w:footnoteRef/>
      </w:r>
      <w:r>
        <w:t xml:space="preserve"> </w:t>
      </w:r>
      <w:r>
        <w:tab/>
      </w:r>
      <w:r w:rsidRPr="00C31EE9">
        <w:t xml:space="preserve">Mr Bruce Mountain CCP2, </w:t>
      </w:r>
      <w:r w:rsidRPr="00C31EE9">
        <w:rPr>
          <w:rStyle w:val="AERtextitalic"/>
        </w:rPr>
        <w:t>Advice on AER preliminary decisions and revised proposals from Energex, Ergon Energy and SA Power Networks</w:t>
      </w:r>
      <w:r w:rsidRPr="00C31EE9">
        <w:t>, July 2015</w:t>
      </w:r>
      <w:r>
        <w:t>, pp. 11–12.</w:t>
      </w:r>
    </w:p>
  </w:footnote>
  <w:footnote w:id="24">
    <w:p w:rsidR="00184A49" w:rsidRDefault="00184A49" w:rsidP="00C24BF0">
      <w:pPr>
        <w:pStyle w:val="FootnoteText"/>
      </w:pPr>
      <w:r>
        <w:rPr>
          <w:rStyle w:val="FootnoteReference"/>
        </w:rPr>
        <w:footnoteRef/>
      </w:r>
      <w:r>
        <w:t xml:space="preserve"> </w:t>
      </w:r>
      <w:r>
        <w:tab/>
      </w:r>
      <w:r w:rsidRPr="00DA66FE">
        <w:t xml:space="preserve">AER, </w:t>
      </w:r>
      <w:r w:rsidRPr="00DA66FE">
        <w:rPr>
          <w:rStyle w:val="AERtextitalic"/>
        </w:rPr>
        <w:t>Preliminary decision, Ergon Energy determination 2015−16 to 2019−20: Attachment 2 − Regulatory asset base,</w:t>
      </w:r>
      <w:r w:rsidRPr="00DA66FE">
        <w:t xml:space="preserve"> April 2015, section 2.</w:t>
      </w:r>
      <w:r>
        <w:t>4.</w:t>
      </w:r>
    </w:p>
  </w:footnote>
  <w:footnote w:id="25">
    <w:p w:rsidR="00184A49" w:rsidRDefault="00184A49" w:rsidP="00C24BF0">
      <w:pPr>
        <w:pStyle w:val="FootnoteText"/>
      </w:pPr>
      <w:r>
        <w:rPr>
          <w:rStyle w:val="FootnoteReference"/>
        </w:rPr>
        <w:footnoteRef/>
      </w:r>
      <w:r>
        <w:t xml:space="preserve"> </w:t>
      </w:r>
      <w:r>
        <w:tab/>
        <w:t xml:space="preserve">Ergon Energy, </w:t>
      </w:r>
      <w:r w:rsidRPr="00C31EE9">
        <w:rPr>
          <w:rStyle w:val="AERtextitalic"/>
        </w:rPr>
        <w:t>Email response to information request 'AER Ergon 074'</w:t>
      </w:r>
      <w:r>
        <w:t>, received 21 July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19B1745"/>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BC8CED18"/>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22"/>
  </w:num>
  <w:num w:numId="39">
    <w:abstractNumId w:val="19"/>
  </w:num>
  <w:num w:numId="4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NgIWAMkDkmeR+/y6P6+hMNHL1Z0tEyKRYLFri+uxc0=" w:saltValue="KvluWOJo/7d+f/ArU2RX4Q==" w:algorithmName="SHA-256"/>
  <w:defaultTabStop w:val="34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ERGON revised prop and FD\Ergon FD PUBLIC\Ergon - Overview and attachments\AER - Final decision Ergon Energy distribution determination - Attachment 2 - Regulatory asset base - October 2015.DOCX"/>
  </w:docVars>
  <w:rsids>
    <w:rsidRoot w:val="00961A4A"/>
    <w:rsid w:val="00000A6C"/>
    <w:rsid w:val="00021202"/>
    <w:rsid w:val="00022F42"/>
    <w:rsid w:val="0002517F"/>
    <w:rsid w:val="00025DA4"/>
    <w:rsid w:val="00026E85"/>
    <w:rsid w:val="0003578C"/>
    <w:rsid w:val="000421D3"/>
    <w:rsid w:val="00042E0E"/>
    <w:rsid w:val="0004558E"/>
    <w:rsid w:val="00051679"/>
    <w:rsid w:val="00055416"/>
    <w:rsid w:val="00055EB5"/>
    <w:rsid w:val="000616B5"/>
    <w:rsid w:val="00063247"/>
    <w:rsid w:val="00070F9F"/>
    <w:rsid w:val="0007137B"/>
    <w:rsid w:val="0007702D"/>
    <w:rsid w:val="000802CB"/>
    <w:rsid w:val="00085663"/>
    <w:rsid w:val="00085EBF"/>
    <w:rsid w:val="000923C2"/>
    <w:rsid w:val="000A3020"/>
    <w:rsid w:val="000A6C7B"/>
    <w:rsid w:val="000A792F"/>
    <w:rsid w:val="000B5ADF"/>
    <w:rsid w:val="000C2059"/>
    <w:rsid w:val="000C4E1F"/>
    <w:rsid w:val="000D122C"/>
    <w:rsid w:val="000D453F"/>
    <w:rsid w:val="000D7F26"/>
    <w:rsid w:val="000E1819"/>
    <w:rsid w:val="000E2112"/>
    <w:rsid w:val="000E4821"/>
    <w:rsid w:val="000E6C72"/>
    <w:rsid w:val="000F67F7"/>
    <w:rsid w:val="001026AE"/>
    <w:rsid w:val="00114945"/>
    <w:rsid w:val="00116EB2"/>
    <w:rsid w:val="00117175"/>
    <w:rsid w:val="001177F1"/>
    <w:rsid w:val="00120181"/>
    <w:rsid w:val="001201F1"/>
    <w:rsid w:val="00124609"/>
    <w:rsid w:val="001259A0"/>
    <w:rsid w:val="00126A4C"/>
    <w:rsid w:val="0014573B"/>
    <w:rsid w:val="00146F11"/>
    <w:rsid w:val="001510D7"/>
    <w:rsid w:val="00151763"/>
    <w:rsid w:val="00155389"/>
    <w:rsid w:val="001573E4"/>
    <w:rsid w:val="00160756"/>
    <w:rsid w:val="0017232E"/>
    <w:rsid w:val="00173098"/>
    <w:rsid w:val="00174102"/>
    <w:rsid w:val="00180157"/>
    <w:rsid w:val="00180E1B"/>
    <w:rsid w:val="00183690"/>
    <w:rsid w:val="00184A49"/>
    <w:rsid w:val="00185CB9"/>
    <w:rsid w:val="00186F77"/>
    <w:rsid w:val="001926A4"/>
    <w:rsid w:val="00192AD5"/>
    <w:rsid w:val="001B029A"/>
    <w:rsid w:val="001B0FB7"/>
    <w:rsid w:val="001B45A0"/>
    <w:rsid w:val="001C0332"/>
    <w:rsid w:val="001C634B"/>
    <w:rsid w:val="001C776B"/>
    <w:rsid w:val="001D055E"/>
    <w:rsid w:val="001E624E"/>
    <w:rsid w:val="001E6C3F"/>
    <w:rsid w:val="001F492E"/>
    <w:rsid w:val="001F6DA3"/>
    <w:rsid w:val="002010BC"/>
    <w:rsid w:val="00202E03"/>
    <w:rsid w:val="0020492C"/>
    <w:rsid w:val="00224DB9"/>
    <w:rsid w:val="00233775"/>
    <w:rsid w:val="0023634F"/>
    <w:rsid w:val="00237902"/>
    <w:rsid w:val="00251745"/>
    <w:rsid w:val="0025486B"/>
    <w:rsid w:val="00261442"/>
    <w:rsid w:val="00263AC0"/>
    <w:rsid w:val="00264264"/>
    <w:rsid w:val="0026669C"/>
    <w:rsid w:val="0026772D"/>
    <w:rsid w:val="00270D69"/>
    <w:rsid w:val="00272E94"/>
    <w:rsid w:val="002758BA"/>
    <w:rsid w:val="00283FD8"/>
    <w:rsid w:val="00286874"/>
    <w:rsid w:val="00290C63"/>
    <w:rsid w:val="00293D4F"/>
    <w:rsid w:val="00296B65"/>
    <w:rsid w:val="002A22AC"/>
    <w:rsid w:val="002A7DEF"/>
    <w:rsid w:val="002B150D"/>
    <w:rsid w:val="002D7CCD"/>
    <w:rsid w:val="002E1E54"/>
    <w:rsid w:val="002E5452"/>
    <w:rsid w:val="002E7B22"/>
    <w:rsid w:val="002F081A"/>
    <w:rsid w:val="002F5949"/>
    <w:rsid w:val="002F7986"/>
    <w:rsid w:val="00301B40"/>
    <w:rsid w:val="003029EE"/>
    <w:rsid w:val="00305CC8"/>
    <w:rsid w:val="00306F3E"/>
    <w:rsid w:val="00307F6D"/>
    <w:rsid w:val="003110F2"/>
    <w:rsid w:val="003177A2"/>
    <w:rsid w:val="00320C20"/>
    <w:rsid w:val="00323102"/>
    <w:rsid w:val="003239DD"/>
    <w:rsid w:val="00326928"/>
    <w:rsid w:val="003271B5"/>
    <w:rsid w:val="00327A1E"/>
    <w:rsid w:val="00331264"/>
    <w:rsid w:val="00334C8D"/>
    <w:rsid w:val="00341192"/>
    <w:rsid w:val="00343A18"/>
    <w:rsid w:val="003518B3"/>
    <w:rsid w:val="00375552"/>
    <w:rsid w:val="003846F1"/>
    <w:rsid w:val="00396C17"/>
    <w:rsid w:val="003B461F"/>
    <w:rsid w:val="003B484F"/>
    <w:rsid w:val="003B541B"/>
    <w:rsid w:val="003C1C2A"/>
    <w:rsid w:val="003C77F1"/>
    <w:rsid w:val="003D6FE7"/>
    <w:rsid w:val="003D78AD"/>
    <w:rsid w:val="003E4E6C"/>
    <w:rsid w:val="003F174D"/>
    <w:rsid w:val="003F33C5"/>
    <w:rsid w:val="0042625A"/>
    <w:rsid w:val="0043452F"/>
    <w:rsid w:val="00435941"/>
    <w:rsid w:val="00437280"/>
    <w:rsid w:val="00442526"/>
    <w:rsid w:val="00445029"/>
    <w:rsid w:val="00445D5A"/>
    <w:rsid w:val="004472E0"/>
    <w:rsid w:val="004506C9"/>
    <w:rsid w:val="00453138"/>
    <w:rsid w:val="00455EEC"/>
    <w:rsid w:val="0045777E"/>
    <w:rsid w:val="00465039"/>
    <w:rsid w:val="0046782D"/>
    <w:rsid w:val="00480B4B"/>
    <w:rsid w:val="00485DC4"/>
    <w:rsid w:val="00486D86"/>
    <w:rsid w:val="00492BD7"/>
    <w:rsid w:val="004A25DA"/>
    <w:rsid w:val="004A43D1"/>
    <w:rsid w:val="004A4595"/>
    <w:rsid w:val="004A57D5"/>
    <w:rsid w:val="004B4412"/>
    <w:rsid w:val="004C348C"/>
    <w:rsid w:val="004C76ED"/>
    <w:rsid w:val="004D55BA"/>
    <w:rsid w:val="004D6AF5"/>
    <w:rsid w:val="004E20EB"/>
    <w:rsid w:val="004E22EC"/>
    <w:rsid w:val="00530128"/>
    <w:rsid w:val="00532467"/>
    <w:rsid w:val="00535299"/>
    <w:rsid w:val="00542E8E"/>
    <w:rsid w:val="00546DD3"/>
    <w:rsid w:val="00551071"/>
    <w:rsid w:val="005568A5"/>
    <w:rsid w:val="00564A4D"/>
    <w:rsid w:val="00567BA5"/>
    <w:rsid w:val="00571B35"/>
    <w:rsid w:val="00571D57"/>
    <w:rsid w:val="00577A09"/>
    <w:rsid w:val="00577AC3"/>
    <w:rsid w:val="005829C2"/>
    <w:rsid w:val="00584D8F"/>
    <w:rsid w:val="0058755C"/>
    <w:rsid w:val="005A2B56"/>
    <w:rsid w:val="005A35CF"/>
    <w:rsid w:val="005A404D"/>
    <w:rsid w:val="005B1940"/>
    <w:rsid w:val="005B1E3C"/>
    <w:rsid w:val="005B3C9D"/>
    <w:rsid w:val="005C26CC"/>
    <w:rsid w:val="005D6477"/>
    <w:rsid w:val="005D7BA2"/>
    <w:rsid w:val="005E1B76"/>
    <w:rsid w:val="005E36C2"/>
    <w:rsid w:val="005F477C"/>
    <w:rsid w:val="00615C6B"/>
    <w:rsid w:val="00617F7B"/>
    <w:rsid w:val="00621DCE"/>
    <w:rsid w:val="00623BCD"/>
    <w:rsid w:val="00624DAB"/>
    <w:rsid w:val="006311E4"/>
    <w:rsid w:val="00632D6D"/>
    <w:rsid w:val="00642C3E"/>
    <w:rsid w:val="0064610F"/>
    <w:rsid w:val="00650C69"/>
    <w:rsid w:val="0066051D"/>
    <w:rsid w:val="0066104A"/>
    <w:rsid w:val="00663DAD"/>
    <w:rsid w:val="00675E20"/>
    <w:rsid w:val="00676679"/>
    <w:rsid w:val="00680890"/>
    <w:rsid w:val="00683C89"/>
    <w:rsid w:val="006857BD"/>
    <w:rsid w:val="00686A58"/>
    <w:rsid w:val="00686FC8"/>
    <w:rsid w:val="00691C18"/>
    <w:rsid w:val="006B0BC3"/>
    <w:rsid w:val="006B2395"/>
    <w:rsid w:val="006B4CF9"/>
    <w:rsid w:val="006B7AC8"/>
    <w:rsid w:val="006C7604"/>
    <w:rsid w:val="006D18C5"/>
    <w:rsid w:val="006D550F"/>
    <w:rsid w:val="00701CAB"/>
    <w:rsid w:val="00707563"/>
    <w:rsid w:val="00714554"/>
    <w:rsid w:val="00721D32"/>
    <w:rsid w:val="0072348C"/>
    <w:rsid w:val="00724588"/>
    <w:rsid w:val="00724A37"/>
    <w:rsid w:val="007303C3"/>
    <w:rsid w:val="00734D32"/>
    <w:rsid w:val="00736555"/>
    <w:rsid w:val="00740832"/>
    <w:rsid w:val="007429BE"/>
    <w:rsid w:val="00743223"/>
    <w:rsid w:val="00746E01"/>
    <w:rsid w:val="00750FDB"/>
    <w:rsid w:val="00757BDF"/>
    <w:rsid w:val="00763E5D"/>
    <w:rsid w:val="00767740"/>
    <w:rsid w:val="00777EE6"/>
    <w:rsid w:val="00782EEA"/>
    <w:rsid w:val="007B2C72"/>
    <w:rsid w:val="007C1C53"/>
    <w:rsid w:val="007C74BB"/>
    <w:rsid w:val="007D5D11"/>
    <w:rsid w:val="007E0CAC"/>
    <w:rsid w:val="007E4904"/>
    <w:rsid w:val="007E4CB5"/>
    <w:rsid w:val="007F066B"/>
    <w:rsid w:val="007F7BD8"/>
    <w:rsid w:val="008033C4"/>
    <w:rsid w:val="00806C88"/>
    <w:rsid w:val="0081034E"/>
    <w:rsid w:val="00810A1F"/>
    <w:rsid w:val="00814035"/>
    <w:rsid w:val="00822730"/>
    <w:rsid w:val="008237CC"/>
    <w:rsid w:val="00825AF6"/>
    <w:rsid w:val="008344F6"/>
    <w:rsid w:val="0083510F"/>
    <w:rsid w:val="00837C71"/>
    <w:rsid w:val="00851209"/>
    <w:rsid w:val="008643C3"/>
    <w:rsid w:val="0086661B"/>
    <w:rsid w:val="00867111"/>
    <w:rsid w:val="00876FA9"/>
    <w:rsid w:val="00881163"/>
    <w:rsid w:val="008837AC"/>
    <w:rsid w:val="00894AC5"/>
    <w:rsid w:val="008A587D"/>
    <w:rsid w:val="008A6FD6"/>
    <w:rsid w:val="008B35CD"/>
    <w:rsid w:val="008B46F3"/>
    <w:rsid w:val="008B548F"/>
    <w:rsid w:val="008B5FCC"/>
    <w:rsid w:val="008C213E"/>
    <w:rsid w:val="008C4FBB"/>
    <w:rsid w:val="008C5486"/>
    <w:rsid w:val="008C63EE"/>
    <w:rsid w:val="008C76BC"/>
    <w:rsid w:val="008D1661"/>
    <w:rsid w:val="008D4AB0"/>
    <w:rsid w:val="008D6A51"/>
    <w:rsid w:val="008D6FBE"/>
    <w:rsid w:val="008E2DF8"/>
    <w:rsid w:val="008E6E77"/>
    <w:rsid w:val="008E7031"/>
    <w:rsid w:val="008E77DE"/>
    <w:rsid w:val="008F07A3"/>
    <w:rsid w:val="008F4950"/>
    <w:rsid w:val="008F7754"/>
    <w:rsid w:val="009006CA"/>
    <w:rsid w:val="00900E1B"/>
    <w:rsid w:val="009233EE"/>
    <w:rsid w:val="00923709"/>
    <w:rsid w:val="00925F11"/>
    <w:rsid w:val="0093092A"/>
    <w:rsid w:val="00937786"/>
    <w:rsid w:val="009460AA"/>
    <w:rsid w:val="00951978"/>
    <w:rsid w:val="00961A4A"/>
    <w:rsid w:val="00961C88"/>
    <w:rsid w:val="009661DE"/>
    <w:rsid w:val="0096726E"/>
    <w:rsid w:val="00981F53"/>
    <w:rsid w:val="00983C25"/>
    <w:rsid w:val="00985192"/>
    <w:rsid w:val="009856B7"/>
    <w:rsid w:val="0098578D"/>
    <w:rsid w:val="00985C86"/>
    <w:rsid w:val="009A414C"/>
    <w:rsid w:val="009A5FC3"/>
    <w:rsid w:val="009B74B0"/>
    <w:rsid w:val="009C48EC"/>
    <w:rsid w:val="009C50BD"/>
    <w:rsid w:val="009C57F2"/>
    <w:rsid w:val="009D6B46"/>
    <w:rsid w:val="009E311A"/>
    <w:rsid w:val="009E3A97"/>
    <w:rsid w:val="009F4940"/>
    <w:rsid w:val="009F5BA1"/>
    <w:rsid w:val="00A01361"/>
    <w:rsid w:val="00A0215D"/>
    <w:rsid w:val="00A02A88"/>
    <w:rsid w:val="00A04FBE"/>
    <w:rsid w:val="00A0523E"/>
    <w:rsid w:val="00A0562E"/>
    <w:rsid w:val="00A0726D"/>
    <w:rsid w:val="00A27998"/>
    <w:rsid w:val="00A31A72"/>
    <w:rsid w:val="00A32FBB"/>
    <w:rsid w:val="00A41A89"/>
    <w:rsid w:val="00A428EE"/>
    <w:rsid w:val="00A4295F"/>
    <w:rsid w:val="00A4478A"/>
    <w:rsid w:val="00A44852"/>
    <w:rsid w:val="00A546B4"/>
    <w:rsid w:val="00A54C89"/>
    <w:rsid w:val="00A57D04"/>
    <w:rsid w:val="00A60A26"/>
    <w:rsid w:val="00A61598"/>
    <w:rsid w:val="00A626E7"/>
    <w:rsid w:val="00A700AB"/>
    <w:rsid w:val="00A70772"/>
    <w:rsid w:val="00A714D2"/>
    <w:rsid w:val="00A71699"/>
    <w:rsid w:val="00A84A99"/>
    <w:rsid w:val="00A84F46"/>
    <w:rsid w:val="00A871F4"/>
    <w:rsid w:val="00A90CA5"/>
    <w:rsid w:val="00A95945"/>
    <w:rsid w:val="00AA462E"/>
    <w:rsid w:val="00AA6F8E"/>
    <w:rsid w:val="00AB21EF"/>
    <w:rsid w:val="00AC186D"/>
    <w:rsid w:val="00AC1B2C"/>
    <w:rsid w:val="00AC22DB"/>
    <w:rsid w:val="00AC3264"/>
    <w:rsid w:val="00AD40C3"/>
    <w:rsid w:val="00AE1BF1"/>
    <w:rsid w:val="00AF0DD2"/>
    <w:rsid w:val="00AF6836"/>
    <w:rsid w:val="00B11055"/>
    <w:rsid w:val="00B12663"/>
    <w:rsid w:val="00B13048"/>
    <w:rsid w:val="00B15326"/>
    <w:rsid w:val="00B1716D"/>
    <w:rsid w:val="00B17A1D"/>
    <w:rsid w:val="00B207A0"/>
    <w:rsid w:val="00B21F6F"/>
    <w:rsid w:val="00B21F98"/>
    <w:rsid w:val="00B25426"/>
    <w:rsid w:val="00B30560"/>
    <w:rsid w:val="00B35204"/>
    <w:rsid w:val="00B514DD"/>
    <w:rsid w:val="00B52AF0"/>
    <w:rsid w:val="00B561BD"/>
    <w:rsid w:val="00B56E03"/>
    <w:rsid w:val="00B61303"/>
    <w:rsid w:val="00B651DF"/>
    <w:rsid w:val="00B73248"/>
    <w:rsid w:val="00B8080B"/>
    <w:rsid w:val="00B862B1"/>
    <w:rsid w:val="00B876B6"/>
    <w:rsid w:val="00B87BA5"/>
    <w:rsid w:val="00B87C39"/>
    <w:rsid w:val="00B9704F"/>
    <w:rsid w:val="00BA1A5D"/>
    <w:rsid w:val="00BA4665"/>
    <w:rsid w:val="00BA4A28"/>
    <w:rsid w:val="00BB2FB2"/>
    <w:rsid w:val="00BB3304"/>
    <w:rsid w:val="00BC16FF"/>
    <w:rsid w:val="00BD297E"/>
    <w:rsid w:val="00BD3446"/>
    <w:rsid w:val="00BE1F1B"/>
    <w:rsid w:val="00BE3794"/>
    <w:rsid w:val="00BE47B5"/>
    <w:rsid w:val="00BF2A16"/>
    <w:rsid w:val="00BF4AF5"/>
    <w:rsid w:val="00C01174"/>
    <w:rsid w:val="00C04DDC"/>
    <w:rsid w:val="00C24BF0"/>
    <w:rsid w:val="00C25FA6"/>
    <w:rsid w:val="00C31EE9"/>
    <w:rsid w:val="00C34C99"/>
    <w:rsid w:val="00C41F00"/>
    <w:rsid w:val="00C538A9"/>
    <w:rsid w:val="00C53B5A"/>
    <w:rsid w:val="00C54F5A"/>
    <w:rsid w:val="00C569B4"/>
    <w:rsid w:val="00C63170"/>
    <w:rsid w:val="00C67A92"/>
    <w:rsid w:val="00C75F6D"/>
    <w:rsid w:val="00C82CFB"/>
    <w:rsid w:val="00C86679"/>
    <w:rsid w:val="00C93102"/>
    <w:rsid w:val="00C94B89"/>
    <w:rsid w:val="00C96B2F"/>
    <w:rsid w:val="00CA31BA"/>
    <w:rsid w:val="00CA489E"/>
    <w:rsid w:val="00CA5AEA"/>
    <w:rsid w:val="00CB0279"/>
    <w:rsid w:val="00CB666B"/>
    <w:rsid w:val="00CC468E"/>
    <w:rsid w:val="00CC7F1D"/>
    <w:rsid w:val="00CD5EC7"/>
    <w:rsid w:val="00CE08D7"/>
    <w:rsid w:val="00CF2718"/>
    <w:rsid w:val="00D006AE"/>
    <w:rsid w:val="00D01CF0"/>
    <w:rsid w:val="00D0442A"/>
    <w:rsid w:val="00D05727"/>
    <w:rsid w:val="00D56300"/>
    <w:rsid w:val="00D61388"/>
    <w:rsid w:val="00D61A54"/>
    <w:rsid w:val="00D64DEA"/>
    <w:rsid w:val="00D67DD6"/>
    <w:rsid w:val="00D70AD1"/>
    <w:rsid w:val="00D7168E"/>
    <w:rsid w:val="00D71E57"/>
    <w:rsid w:val="00D80893"/>
    <w:rsid w:val="00D811AF"/>
    <w:rsid w:val="00D811DC"/>
    <w:rsid w:val="00D84854"/>
    <w:rsid w:val="00D85B06"/>
    <w:rsid w:val="00D869EA"/>
    <w:rsid w:val="00D92CF1"/>
    <w:rsid w:val="00D92D38"/>
    <w:rsid w:val="00D950F5"/>
    <w:rsid w:val="00D96EE1"/>
    <w:rsid w:val="00D97A57"/>
    <w:rsid w:val="00DA078F"/>
    <w:rsid w:val="00DA4752"/>
    <w:rsid w:val="00DA61F3"/>
    <w:rsid w:val="00DA66FE"/>
    <w:rsid w:val="00DB0F93"/>
    <w:rsid w:val="00DB1A67"/>
    <w:rsid w:val="00DB5074"/>
    <w:rsid w:val="00DC7981"/>
    <w:rsid w:val="00DD6B4F"/>
    <w:rsid w:val="00DE1093"/>
    <w:rsid w:val="00DE351E"/>
    <w:rsid w:val="00DE4EFA"/>
    <w:rsid w:val="00DE5520"/>
    <w:rsid w:val="00DE563D"/>
    <w:rsid w:val="00DE6C6D"/>
    <w:rsid w:val="00E00467"/>
    <w:rsid w:val="00E04818"/>
    <w:rsid w:val="00E06442"/>
    <w:rsid w:val="00E11FD7"/>
    <w:rsid w:val="00E12880"/>
    <w:rsid w:val="00E13096"/>
    <w:rsid w:val="00E232CA"/>
    <w:rsid w:val="00E23993"/>
    <w:rsid w:val="00E25B8C"/>
    <w:rsid w:val="00E27834"/>
    <w:rsid w:val="00E3219D"/>
    <w:rsid w:val="00E571F6"/>
    <w:rsid w:val="00E60A0B"/>
    <w:rsid w:val="00E65C85"/>
    <w:rsid w:val="00E66199"/>
    <w:rsid w:val="00E72F6B"/>
    <w:rsid w:val="00E755EC"/>
    <w:rsid w:val="00E7624D"/>
    <w:rsid w:val="00E86998"/>
    <w:rsid w:val="00E9105B"/>
    <w:rsid w:val="00E96560"/>
    <w:rsid w:val="00EA3D42"/>
    <w:rsid w:val="00EA41D6"/>
    <w:rsid w:val="00EA6B1B"/>
    <w:rsid w:val="00EC3EC2"/>
    <w:rsid w:val="00ED7323"/>
    <w:rsid w:val="00EE28F3"/>
    <w:rsid w:val="00EE2F66"/>
    <w:rsid w:val="00EF5110"/>
    <w:rsid w:val="00EF55BA"/>
    <w:rsid w:val="00F10411"/>
    <w:rsid w:val="00F15882"/>
    <w:rsid w:val="00F171E0"/>
    <w:rsid w:val="00F20BD3"/>
    <w:rsid w:val="00F21D0E"/>
    <w:rsid w:val="00F248D8"/>
    <w:rsid w:val="00F30662"/>
    <w:rsid w:val="00F31C16"/>
    <w:rsid w:val="00F36788"/>
    <w:rsid w:val="00F373A5"/>
    <w:rsid w:val="00F37D9F"/>
    <w:rsid w:val="00F47559"/>
    <w:rsid w:val="00F546DC"/>
    <w:rsid w:val="00F64C7B"/>
    <w:rsid w:val="00F676DD"/>
    <w:rsid w:val="00F7021E"/>
    <w:rsid w:val="00F75A26"/>
    <w:rsid w:val="00F76706"/>
    <w:rsid w:val="00F83919"/>
    <w:rsid w:val="00F83FAD"/>
    <w:rsid w:val="00F85318"/>
    <w:rsid w:val="00F952A0"/>
    <w:rsid w:val="00FA3C7F"/>
    <w:rsid w:val="00FB74E2"/>
    <w:rsid w:val="00FC10C4"/>
    <w:rsid w:val="00FD0F08"/>
    <w:rsid w:val="00FD19EE"/>
    <w:rsid w:val="00FD5614"/>
    <w:rsid w:val="00FE0BE1"/>
    <w:rsid w:val="00FE1757"/>
    <w:rsid w:val="00FE1DE9"/>
    <w:rsid w:val="00FE36AF"/>
    <w:rsid w:val="00FE36F1"/>
    <w:rsid w:val="00FE39C2"/>
    <w:rsid w:val="00FE3C32"/>
    <w:rsid w:val="00FE5E3B"/>
    <w:rsid w:val="00FE64AE"/>
    <w:rsid w:val="00FF2CB7"/>
    <w:rsid w:val="00FF6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688883B5</Template>
  <TotalTime>0</TotalTime>
  <Pages>14</Pages>
  <Words>3083</Words>
  <Characters>17578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2015-10-28T06:38:00Z</dcterms:created>
  <dcterms:modified xsi:type="dcterms:W3CDTF">2015-10-28T06:38:00Z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