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542" w:rsidRDefault="00134BFD" w:rsidP="00290C63">
      <w:pPr>
        <w:rPr>
          <w:rFonts w:eastAsiaTheme="majorEastAsia" w:cstheme="majorBidi"/>
          <w:noProof/>
          <w:sz w:val="36"/>
          <w:szCs w:val="36"/>
          <w:lang w:eastAsia="en-AU"/>
        </w:rPr>
      </w:pPr>
      <w:bookmarkStart w:id="0" w:name="_GoBack"/>
      <w:r w:rsidRPr="00290C63">
        <w:rPr>
          <w:noProof/>
          <w:lang w:eastAsia="en-AU"/>
        </w:rPr>
        <w:drawing>
          <wp:anchor distT="0" distB="0" distL="114300" distR="114300" simplePos="0" relativeHeight="251659264" behindDoc="1" locked="0" layoutInCell="1" allowOverlap="1" wp14:anchorId="739582A8" wp14:editId="49C26895">
            <wp:simplePos x="0" y="0"/>
            <wp:positionH relativeFrom="column">
              <wp:posOffset>-1103630</wp:posOffset>
            </wp:positionH>
            <wp:positionV relativeFrom="paragraph">
              <wp:posOffset>-913765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bookmarkEnd w:id="0"/>
      <w:r w:rsidR="00EE6542">
        <w:tab/>
      </w:r>
    </w:p>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4124A2" w:rsidP="008F07A3">
          <w:pPr>
            <w:pStyle w:val="ReportSubtitle"/>
          </w:pPr>
          <w:r>
            <w:t>FINAL</w:t>
          </w:r>
          <w:r w:rsidR="00DA4752">
            <w:t xml:space="preserve"> DECISION</w:t>
          </w:r>
        </w:p>
        <w:p w:rsidR="000A6C7B" w:rsidRDefault="001201F1" w:rsidP="008F07A3">
          <w:pPr>
            <w:pStyle w:val="ReportSubtitle"/>
          </w:pPr>
          <w:r>
            <w:t>Energex</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F10C90" w:rsidP="008F07A3">
          <w:pPr>
            <w:pStyle w:val="ReportSubtitle"/>
          </w:pPr>
          <w:r>
            <w:t>Attachment 5</w:t>
          </w:r>
          <w:r w:rsidR="00DA4752">
            <w:t xml:space="preserve"> </w:t>
          </w:r>
          <w:r w:rsidR="00DA4752">
            <w:rPr>
              <w:rFonts w:cs="Arial"/>
            </w:rPr>
            <w:t>−</w:t>
          </w:r>
          <w:r w:rsidR="00DA4752">
            <w:t xml:space="preserve"> </w:t>
          </w:r>
          <w:r>
            <w:t>Regulatory depreciation</w:t>
          </w:r>
        </w:p>
        <w:p w:rsidR="000A6C7B" w:rsidRPr="00327A1E" w:rsidRDefault="004124A2" w:rsidP="00327A1E">
          <w:pPr>
            <w:pStyle w:val="ReportDate"/>
          </w:pPr>
          <w:r>
            <w:t>October</w:t>
          </w:r>
          <w:r w:rsidR="00DA4752">
            <w:t xml:space="preserve">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proofErr w:type="gramStart"/>
      <w:r>
        <w:t>,</w:t>
      </w:r>
      <w:proofErr w:type="gramEnd"/>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1" w:history="1">
        <w:r w:rsidRPr="00D64888">
          <w:rPr>
            <w:rStyle w:val="Hyperlink"/>
          </w:rPr>
          <w:t>AERInquiry@aer.gov.au</w:t>
        </w:r>
      </w:hyperlink>
      <w:r w:rsidR="00951978">
        <w:rPr>
          <w:rStyle w:val="Hyperlink"/>
        </w:rPr>
        <w:br/>
      </w:r>
    </w:p>
    <w:p w:rsidR="008F07A3" w:rsidRDefault="008F07A3" w:rsidP="008F07A3"/>
    <w:p w:rsidR="001201F1" w:rsidRDefault="001201F1">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33121878"/>
      <w:r>
        <w:lastRenderedPageBreak/>
        <w:t>N</w:t>
      </w:r>
      <w:r w:rsidR="008F07A3">
        <w:t>ote</w:t>
      </w:r>
      <w:bookmarkEnd w:id="1"/>
      <w:bookmarkEnd w:id="2"/>
      <w:bookmarkEnd w:id="3"/>
      <w:bookmarkEnd w:id="4"/>
      <w:bookmarkEnd w:id="5"/>
    </w:p>
    <w:p w:rsidR="008F07A3" w:rsidRDefault="008F07A3" w:rsidP="008F07A3">
      <w:pPr>
        <w:numPr>
          <w:ilvl w:val="0"/>
          <w:numId w:val="25"/>
        </w:numPr>
      </w:pPr>
      <w:r>
        <w:t xml:space="preserve">This attachment forms part of the AER's </w:t>
      </w:r>
      <w:r w:rsidR="004124A2">
        <w:t xml:space="preserve">final </w:t>
      </w:r>
      <w:r>
        <w:t xml:space="preserve">decision on </w:t>
      </w:r>
      <w:r w:rsidR="001201F1">
        <w:t>Energex's</w:t>
      </w:r>
      <w:r>
        <w:t xml:space="preserve"> 2015–20 distribution determination. It should be read with </w:t>
      </w:r>
      <w:r w:rsidR="008E6878">
        <w:t xml:space="preserve">all </w:t>
      </w:r>
      <w:r>
        <w:t xml:space="preserve">other parts of the </w:t>
      </w:r>
      <w:r w:rsidR="004124A2">
        <w:t xml:space="preserve">final </w:t>
      </w:r>
      <w:r>
        <w:t>decision.</w:t>
      </w:r>
    </w:p>
    <w:p w:rsidR="008F07A3" w:rsidRDefault="008F07A3" w:rsidP="008F07A3">
      <w:pPr>
        <w:numPr>
          <w:ilvl w:val="0"/>
          <w:numId w:val="25"/>
        </w:numPr>
      </w:pPr>
      <w:r>
        <w:t xml:space="preserve">The </w:t>
      </w:r>
      <w:r w:rsidR="004124A2">
        <w:t>final</w:t>
      </w:r>
      <w:r>
        <w:t xml:space="preserve">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8F07A3" w:rsidRPr="008B6C33" w:rsidRDefault="008F07A3" w:rsidP="008F07A3">
      <w:pPr>
        <w:numPr>
          <w:ilvl w:val="0"/>
          <w:numId w:val="25"/>
        </w:numPr>
      </w:pPr>
      <w:r>
        <w:t xml:space="preserve">Attachment 18 – Connection </w:t>
      </w:r>
      <w:r w:rsidR="007F70A0">
        <w:t>policy</w:t>
      </w:r>
    </w:p>
    <w:p w:rsidR="008F07A3" w:rsidRPr="008F07A3" w:rsidRDefault="008F07A3" w:rsidP="008F07A3">
      <w:pPr>
        <w:sectPr w:rsidR="008F07A3" w:rsidRPr="008F07A3" w:rsidSect="009828EC">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33121879"/>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p w:rsidR="00EB74FC"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33121878" w:history="1">
            <w:r w:rsidR="00EB74FC" w:rsidRPr="00E41818">
              <w:rPr>
                <w:rStyle w:val="Hyperlink"/>
              </w:rPr>
              <w:t>Note</w:t>
            </w:r>
            <w:r w:rsidR="00EB74FC">
              <w:rPr>
                <w:webHidden/>
              </w:rPr>
              <w:tab/>
            </w:r>
            <w:r w:rsidR="00EB74FC">
              <w:rPr>
                <w:webHidden/>
              </w:rPr>
              <w:fldChar w:fldCharType="begin"/>
            </w:r>
            <w:r w:rsidR="00EB74FC">
              <w:rPr>
                <w:webHidden/>
              </w:rPr>
              <w:instrText xml:space="preserve"> PAGEREF _Toc433121878 \h </w:instrText>
            </w:r>
            <w:r w:rsidR="00EB74FC">
              <w:rPr>
                <w:webHidden/>
              </w:rPr>
            </w:r>
            <w:r w:rsidR="00EB74FC">
              <w:rPr>
                <w:webHidden/>
              </w:rPr>
              <w:fldChar w:fldCharType="separate"/>
            </w:r>
            <w:r w:rsidR="00EB74FC">
              <w:rPr>
                <w:webHidden/>
              </w:rPr>
              <w:t>5-2</w:t>
            </w:r>
            <w:r w:rsidR="00EB74FC">
              <w:rPr>
                <w:webHidden/>
              </w:rPr>
              <w:fldChar w:fldCharType="end"/>
            </w:r>
          </w:hyperlink>
        </w:p>
        <w:p w:rsidR="00EB74FC" w:rsidRDefault="0021281C">
          <w:pPr>
            <w:pStyle w:val="TOC1"/>
            <w:rPr>
              <w:rFonts w:asciiTheme="minorHAnsi" w:eastAsiaTheme="minorEastAsia" w:hAnsiTheme="minorHAnsi"/>
              <w:b w:val="0"/>
              <w:color w:val="auto"/>
              <w:sz w:val="22"/>
              <w:lang w:val="en-AU" w:eastAsia="en-AU"/>
            </w:rPr>
          </w:pPr>
          <w:hyperlink w:anchor="_Toc433121879" w:history="1">
            <w:r w:rsidR="00EB74FC" w:rsidRPr="00E41818">
              <w:rPr>
                <w:rStyle w:val="Hyperlink"/>
              </w:rPr>
              <w:t>Contents</w:t>
            </w:r>
            <w:r w:rsidR="00EB74FC">
              <w:rPr>
                <w:webHidden/>
              </w:rPr>
              <w:tab/>
            </w:r>
            <w:r w:rsidR="00EB74FC">
              <w:rPr>
                <w:webHidden/>
              </w:rPr>
              <w:fldChar w:fldCharType="begin"/>
            </w:r>
            <w:r w:rsidR="00EB74FC">
              <w:rPr>
                <w:webHidden/>
              </w:rPr>
              <w:instrText xml:space="preserve"> PAGEREF _Toc433121879 \h </w:instrText>
            </w:r>
            <w:r w:rsidR="00EB74FC">
              <w:rPr>
                <w:webHidden/>
              </w:rPr>
            </w:r>
            <w:r w:rsidR="00EB74FC">
              <w:rPr>
                <w:webHidden/>
              </w:rPr>
              <w:fldChar w:fldCharType="separate"/>
            </w:r>
            <w:r w:rsidR="00EB74FC">
              <w:rPr>
                <w:webHidden/>
              </w:rPr>
              <w:t>5-3</w:t>
            </w:r>
            <w:r w:rsidR="00EB74FC">
              <w:rPr>
                <w:webHidden/>
              </w:rPr>
              <w:fldChar w:fldCharType="end"/>
            </w:r>
          </w:hyperlink>
        </w:p>
        <w:p w:rsidR="00EB74FC" w:rsidRDefault="0021281C">
          <w:pPr>
            <w:pStyle w:val="TOC1"/>
            <w:rPr>
              <w:rFonts w:asciiTheme="minorHAnsi" w:eastAsiaTheme="minorEastAsia" w:hAnsiTheme="minorHAnsi"/>
              <w:b w:val="0"/>
              <w:color w:val="auto"/>
              <w:sz w:val="22"/>
              <w:lang w:val="en-AU" w:eastAsia="en-AU"/>
            </w:rPr>
          </w:pPr>
          <w:hyperlink w:anchor="_Toc433121880" w:history="1">
            <w:r w:rsidR="00EB74FC" w:rsidRPr="00E41818">
              <w:rPr>
                <w:rStyle w:val="Hyperlink"/>
              </w:rPr>
              <w:t>Shortened forms</w:t>
            </w:r>
            <w:r w:rsidR="00EB74FC">
              <w:rPr>
                <w:webHidden/>
              </w:rPr>
              <w:tab/>
            </w:r>
            <w:r w:rsidR="00EB74FC">
              <w:rPr>
                <w:webHidden/>
              </w:rPr>
              <w:fldChar w:fldCharType="begin"/>
            </w:r>
            <w:r w:rsidR="00EB74FC">
              <w:rPr>
                <w:webHidden/>
              </w:rPr>
              <w:instrText xml:space="preserve"> PAGEREF _Toc433121880 \h </w:instrText>
            </w:r>
            <w:r w:rsidR="00EB74FC">
              <w:rPr>
                <w:webHidden/>
              </w:rPr>
            </w:r>
            <w:r w:rsidR="00EB74FC">
              <w:rPr>
                <w:webHidden/>
              </w:rPr>
              <w:fldChar w:fldCharType="separate"/>
            </w:r>
            <w:r w:rsidR="00EB74FC">
              <w:rPr>
                <w:webHidden/>
              </w:rPr>
              <w:t>5-4</w:t>
            </w:r>
            <w:r w:rsidR="00EB74FC">
              <w:rPr>
                <w:webHidden/>
              </w:rPr>
              <w:fldChar w:fldCharType="end"/>
            </w:r>
          </w:hyperlink>
        </w:p>
        <w:p w:rsidR="00EB74FC" w:rsidRDefault="0021281C">
          <w:pPr>
            <w:pStyle w:val="TOC1"/>
            <w:rPr>
              <w:rFonts w:asciiTheme="minorHAnsi" w:eastAsiaTheme="minorEastAsia" w:hAnsiTheme="minorHAnsi"/>
              <w:b w:val="0"/>
              <w:color w:val="auto"/>
              <w:sz w:val="22"/>
              <w:lang w:val="en-AU" w:eastAsia="en-AU"/>
            </w:rPr>
          </w:pPr>
          <w:hyperlink w:anchor="_Toc433121881" w:history="1">
            <w:r w:rsidR="00EB74FC" w:rsidRPr="00E41818">
              <w:rPr>
                <w:rStyle w:val="Hyperlink"/>
              </w:rPr>
              <w:t>5</w:t>
            </w:r>
            <w:r w:rsidR="00EB74FC">
              <w:rPr>
                <w:rFonts w:asciiTheme="minorHAnsi" w:eastAsiaTheme="minorEastAsia" w:hAnsiTheme="minorHAnsi"/>
                <w:b w:val="0"/>
                <w:color w:val="auto"/>
                <w:sz w:val="22"/>
                <w:lang w:val="en-AU" w:eastAsia="en-AU"/>
              </w:rPr>
              <w:tab/>
            </w:r>
            <w:r w:rsidR="00EB74FC" w:rsidRPr="00E41818">
              <w:rPr>
                <w:rStyle w:val="Hyperlink"/>
              </w:rPr>
              <w:t>Regulatory depreciation</w:t>
            </w:r>
            <w:r w:rsidR="00EB74FC">
              <w:rPr>
                <w:webHidden/>
              </w:rPr>
              <w:tab/>
            </w:r>
            <w:r w:rsidR="00EB74FC">
              <w:rPr>
                <w:webHidden/>
              </w:rPr>
              <w:fldChar w:fldCharType="begin"/>
            </w:r>
            <w:r w:rsidR="00EB74FC">
              <w:rPr>
                <w:webHidden/>
              </w:rPr>
              <w:instrText xml:space="preserve"> PAGEREF _Toc433121881 \h </w:instrText>
            </w:r>
            <w:r w:rsidR="00EB74FC">
              <w:rPr>
                <w:webHidden/>
              </w:rPr>
            </w:r>
            <w:r w:rsidR="00EB74FC">
              <w:rPr>
                <w:webHidden/>
              </w:rPr>
              <w:fldChar w:fldCharType="separate"/>
            </w:r>
            <w:r w:rsidR="00EB74FC">
              <w:rPr>
                <w:webHidden/>
              </w:rPr>
              <w:t>5-6</w:t>
            </w:r>
            <w:r w:rsidR="00EB74FC">
              <w:rPr>
                <w:webHidden/>
              </w:rPr>
              <w:fldChar w:fldCharType="end"/>
            </w:r>
          </w:hyperlink>
        </w:p>
        <w:p w:rsidR="00EB74FC" w:rsidRDefault="0021281C">
          <w:pPr>
            <w:pStyle w:val="TOC2"/>
            <w:rPr>
              <w:rFonts w:asciiTheme="minorHAnsi" w:eastAsiaTheme="minorEastAsia" w:hAnsiTheme="minorHAnsi"/>
              <w:b w:val="0"/>
              <w:color w:val="auto"/>
              <w:sz w:val="22"/>
              <w:lang w:eastAsia="en-AU"/>
            </w:rPr>
          </w:pPr>
          <w:hyperlink w:anchor="_Toc433121882" w:history="1">
            <w:r w:rsidR="00EB74FC" w:rsidRPr="00E41818">
              <w:rPr>
                <w:rStyle w:val="Hyperlink"/>
              </w:rPr>
              <w:t>5.1</w:t>
            </w:r>
            <w:r w:rsidR="00EB74FC">
              <w:rPr>
                <w:rFonts w:asciiTheme="minorHAnsi" w:eastAsiaTheme="minorEastAsia" w:hAnsiTheme="minorHAnsi"/>
                <w:b w:val="0"/>
                <w:color w:val="auto"/>
                <w:sz w:val="22"/>
                <w:lang w:eastAsia="en-AU"/>
              </w:rPr>
              <w:tab/>
            </w:r>
            <w:r w:rsidR="00EB74FC" w:rsidRPr="00E41818">
              <w:rPr>
                <w:rStyle w:val="Hyperlink"/>
              </w:rPr>
              <w:t>Final decision</w:t>
            </w:r>
            <w:r w:rsidR="00EB74FC">
              <w:rPr>
                <w:webHidden/>
              </w:rPr>
              <w:tab/>
            </w:r>
            <w:r w:rsidR="00EB74FC">
              <w:rPr>
                <w:webHidden/>
              </w:rPr>
              <w:fldChar w:fldCharType="begin"/>
            </w:r>
            <w:r w:rsidR="00EB74FC">
              <w:rPr>
                <w:webHidden/>
              </w:rPr>
              <w:instrText xml:space="preserve"> PAGEREF _Toc433121882 \h </w:instrText>
            </w:r>
            <w:r w:rsidR="00EB74FC">
              <w:rPr>
                <w:webHidden/>
              </w:rPr>
            </w:r>
            <w:r w:rsidR="00EB74FC">
              <w:rPr>
                <w:webHidden/>
              </w:rPr>
              <w:fldChar w:fldCharType="separate"/>
            </w:r>
            <w:r w:rsidR="00EB74FC">
              <w:rPr>
                <w:webHidden/>
              </w:rPr>
              <w:t>5-6</w:t>
            </w:r>
            <w:r w:rsidR="00EB74FC">
              <w:rPr>
                <w:webHidden/>
              </w:rPr>
              <w:fldChar w:fldCharType="end"/>
            </w:r>
          </w:hyperlink>
        </w:p>
        <w:p w:rsidR="00EB74FC" w:rsidRDefault="0021281C">
          <w:pPr>
            <w:pStyle w:val="TOC2"/>
            <w:rPr>
              <w:rFonts w:asciiTheme="minorHAnsi" w:eastAsiaTheme="minorEastAsia" w:hAnsiTheme="minorHAnsi"/>
              <w:b w:val="0"/>
              <w:color w:val="auto"/>
              <w:sz w:val="22"/>
              <w:lang w:eastAsia="en-AU"/>
            </w:rPr>
          </w:pPr>
          <w:hyperlink w:anchor="_Toc433121883" w:history="1">
            <w:r w:rsidR="00EB74FC" w:rsidRPr="00E41818">
              <w:rPr>
                <w:rStyle w:val="Hyperlink"/>
              </w:rPr>
              <w:t>5.2</w:t>
            </w:r>
            <w:r w:rsidR="00EB74FC">
              <w:rPr>
                <w:rFonts w:asciiTheme="minorHAnsi" w:eastAsiaTheme="minorEastAsia" w:hAnsiTheme="minorHAnsi"/>
                <w:b w:val="0"/>
                <w:color w:val="auto"/>
                <w:sz w:val="22"/>
                <w:lang w:eastAsia="en-AU"/>
              </w:rPr>
              <w:tab/>
            </w:r>
            <w:r w:rsidR="00EB74FC" w:rsidRPr="00E41818">
              <w:rPr>
                <w:rStyle w:val="Hyperlink"/>
              </w:rPr>
              <w:t>Energex's revised proposal</w:t>
            </w:r>
            <w:r w:rsidR="00EB74FC">
              <w:rPr>
                <w:webHidden/>
              </w:rPr>
              <w:tab/>
            </w:r>
            <w:r w:rsidR="00EB74FC">
              <w:rPr>
                <w:webHidden/>
              </w:rPr>
              <w:fldChar w:fldCharType="begin"/>
            </w:r>
            <w:r w:rsidR="00EB74FC">
              <w:rPr>
                <w:webHidden/>
              </w:rPr>
              <w:instrText xml:space="preserve"> PAGEREF _Toc433121883 \h </w:instrText>
            </w:r>
            <w:r w:rsidR="00EB74FC">
              <w:rPr>
                <w:webHidden/>
              </w:rPr>
            </w:r>
            <w:r w:rsidR="00EB74FC">
              <w:rPr>
                <w:webHidden/>
              </w:rPr>
              <w:fldChar w:fldCharType="separate"/>
            </w:r>
            <w:r w:rsidR="00EB74FC">
              <w:rPr>
                <w:webHidden/>
              </w:rPr>
              <w:t>5-7</w:t>
            </w:r>
            <w:r w:rsidR="00EB74FC">
              <w:rPr>
                <w:webHidden/>
              </w:rPr>
              <w:fldChar w:fldCharType="end"/>
            </w:r>
          </w:hyperlink>
        </w:p>
        <w:p w:rsidR="00EB74FC" w:rsidRDefault="0021281C">
          <w:pPr>
            <w:pStyle w:val="TOC2"/>
            <w:rPr>
              <w:rFonts w:asciiTheme="minorHAnsi" w:eastAsiaTheme="minorEastAsia" w:hAnsiTheme="minorHAnsi"/>
              <w:b w:val="0"/>
              <w:color w:val="auto"/>
              <w:sz w:val="22"/>
              <w:lang w:eastAsia="en-AU"/>
            </w:rPr>
          </w:pPr>
          <w:hyperlink w:anchor="_Toc433121884" w:history="1">
            <w:r w:rsidR="00EB74FC" w:rsidRPr="00E41818">
              <w:rPr>
                <w:rStyle w:val="Hyperlink"/>
              </w:rPr>
              <w:t>5.3</w:t>
            </w:r>
            <w:r w:rsidR="00EB74FC">
              <w:rPr>
                <w:rFonts w:asciiTheme="minorHAnsi" w:eastAsiaTheme="minorEastAsia" w:hAnsiTheme="minorHAnsi"/>
                <w:b w:val="0"/>
                <w:color w:val="auto"/>
                <w:sz w:val="22"/>
                <w:lang w:eastAsia="en-AU"/>
              </w:rPr>
              <w:tab/>
            </w:r>
            <w:r w:rsidR="00EB74FC" w:rsidRPr="00E41818">
              <w:rPr>
                <w:rStyle w:val="Hyperlink"/>
              </w:rPr>
              <w:t>AER’s assessment approach</w:t>
            </w:r>
            <w:r w:rsidR="00EB74FC">
              <w:rPr>
                <w:webHidden/>
              </w:rPr>
              <w:tab/>
            </w:r>
            <w:r w:rsidR="00EB74FC">
              <w:rPr>
                <w:webHidden/>
              </w:rPr>
              <w:fldChar w:fldCharType="begin"/>
            </w:r>
            <w:r w:rsidR="00EB74FC">
              <w:rPr>
                <w:webHidden/>
              </w:rPr>
              <w:instrText xml:space="preserve"> PAGEREF _Toc433121884 \h </w:instrText>
            </w:r>
            <w:r w:rsidR="00EB74FC">
              <w:rPr>
                <w:webHidden/>
              </w:rPr>
            </w:r>
            <w:r w:rsidR="00EB74FC">
              <w:rPr>
                <w:webHidden/>
              </w:rPr>
              <w:fldChar w:fldCharType="separate"/>
            </w:r>
            <w:r w:rsidR="00EB74FC">
              <w:rPr>
                <w:webHidden/>
              </w:rPr>
              <w:t>5-7</w:t>
            </w:r>
            <w:r w:rsidR="00EB74FC">
              <w:rPr>
                <w:webHidden/>
              </w:rPr>
              <w:fldChar w:fldCharType="end"/>
            </w:r>
          </w:hyperlink>
        </w:p>
        <w:p w:rsidR="00EB74FC" w:rsidRDefault="0021281C">
          <w:pPr>
            <w:pStyle w:val="TOC2"/>
            <w:rPr>
              <w:rFonts w:asciiTheme="minorHAnsi" w:eastAsiaTheme="minorEastAsia" w:hAnsiTheme="minorHAnsi"/>
              <w:b w:val="0"/>
              <w:color w:val="auto"/>
              <w:sz w:val="22"/>
              <w:lang w:eastAsia="en-AU"/>
            </w:rPr>
          </w:pPr>
          <w:hyperlink w:anchor="_Toc433121885" w:history="1">
            <w:r w:rsidR="00EB74FC" w:rsidRPr="00E41818">
              <w:rPr>
                <w:rStyle w:val="Hyperlink"/>
              </w:rPr>
              <w:t>5.4</w:t>
            </w:r>
            <w:r w:rsidR="00EB74FC">
              <w:rPr>
                <w:rFonts w:asciiTheme="minorHAnsi" w:eastAsiaTheme="minorEastAsia" w:hAnsiTheme="minorHAnsi"/>
                <w:b w:val="0"/>
                <w:color w:val="auto"/>
                <w:sz w:val="22"/>
                <w:lang w:eastAsia="en-AU"/>
              </w:rPr>
              <w:tab/>
            </w:r>
            <w:r w:rsidR="00EB74FC" w:rsidRPr="00E41818">
              <w:rPr>
                <w:rStyle w:val="Hyperlink"/>
              </w:rPr>
              <w:t>Reasons for final decision</w:t>
            </w:r>
            <w:r w:rsidR="00EB74FC">
              <w:rPr>
                <w:webHidden/>
              </w:rPr>
              <w:tab/>
            </w:r>
            <w:r w:rsidR="00EB74FC">
              <w:rPr>
                <w:webHidden/>
              </w:rPr>
              <w:fldChar w:fldCharType="begin"/>
            </w:r>
            <w:r w:rsidR="00EB74FC">
              <w:rPr>
                <w:webHidden/>
              </w:rPr>
              <w:instrText xml:space="preserve"> PAGEREF _Toc433121885 \h </w:instrText>
            </w:r>
            <w:r w:rsidR="00EB74FC">
              <w:rPr>
                <w:webHidden/>
              </w:rPr>
            </w:r>
            <w:r w:rsidR="00EB74FC">
              <w:rPr>
                <w:webHidden/>
              </w:rPr>
              <w:fldChar w:fldCharType="separate"/>
            </w:r>
            <w:r w:rsidR="00EB74FC">
              <w:rPr>
                <w:webHidden/>
              </w:rPr>
              <w:t>5-8</w:t>
            </w:r>
            <w:r w:rsidR="00EB74FC">
              <w:rPr>
                <w:webHidden/>
              </w:rPr>
              <w:fldChar w:fldCharType="end"/>
            </w:r>
          </w:hyperlink>
        </w:p>
        <w:p w:rsidR="00EB74FC" w:rsidRDefault="0021281C">
          <w:pPr>
            <w:pStyle w:val="TOC3"/>
            <w:rPr>
              <w:rFonts w:asciiTheme="minorHAnsi" w:eastAsiaTheme="minorEastAsia" w:hAnsiTheme="minorHAnsi"/>
              <w:lang w:eastAsia="en-AU"/>
            </w:rPr>
          </w:pPr>
          <w:hyperlink w:anchor="_Toc433121886" w:history="1">
            <w:r w:rsidR="00EB74FC" w:rsidRPr="00E41818">
              <w:rPr>
                <w:rStyle w:val="Hyperlink"/>
              </w:rPr>
              <w:t>5.4.1</w:t>
            </w:r>
            <w:r w:rsidR="00EB74FC">
              <w:rPr>
                <w:rFonts w:asciiTheme="minorHAnsi" w:eastAsiaTheme="minorEastAsia" w:hAnsiTheme="minorHAnsi"/>
                <w:lang w:eastAsia="en-AU"/>
              </w:rPr>
              <w:tab/>
            </w:r>
            <w:r w:rsidR="00EB74FC" w:rsidRPr="00E41818">
              <w:rPr>
                <w:rStyle w:val="Hyperlink"/>
              </w:rPr>
              <w:t>Standard asset lives</w:t>
            </w:r>
            <w:r w:rsidR="00EB74FC">
              <w:rPr>
                <w:webHidden/>
              </w:rPr>
              <w:tab/>
            </w:r>
            <w:r w:rsidR="00EB74FC">
              <w:rPr>
                <w:webHidden/>
              </w:rPr>
              <w:fldChar w:fldCharType="begin"/>
            </w:r>
            <w:r w:rsidR="00EB74FC">
              <w:rPr>
                <w:webHidden/>
              </w:rPr>
              <w:instrText xml:space="preserve"> PAGEREF _Toc433121886 \h </w:instrText>
            </w:r>
            <w:r w:rsidR="00EB74FC">
              <w:rPr>
                <w:webHidden/>
              </w:rPr>
            </w:r>
            <w:r w:rsidR="00EB74FC">
              <w:rPr>
                <w:webHidden/>
              </w:rPr>
              <w:fldChar w:fldCharType="separate"/>
            </w:r>
            <w:r w:rsidR="00EB74FC">
              <w:rPr>
                <w:webHidden/>
              </w:rPr>
              <w:t>5-8</w:t>
            </w:r>
            <w:r w:rsidR="00EB74FC">
              <w:rPr>
                <w:webHidden/>
              </w:rPr>
              <w:fldChar w:fldCharType="end"/>
            </w:r>
          </w:hyperlink>
        </w:p>
        <w:p w:rsidR="00EB74FC" w:rsidRDefault="0021281C">
          <w:pPr>
            <w:pStyle w:val="TOC3"/>
            <w:rPr>
              <w:rFonts w:asciiTheme="minorHAnsi" w:eastAsiaTheme="minorEastAsia" w:hAnsiTheme="minorHAnsi"/>
              <w:lang w:eastAsia="en-AU"/>
            </w:rPr>
          </w:pPr>
          <w:hyperlink w:anchor="_Toc433121887" w:history="1">
            <w:r w:rsidR="00EB74FC" w:rsidRPr="00E41818">
              <w:rPr>
                <w:rStyle w:val="Hyperlink"/>
              </w:rPr>
              <w:t>5.4.2</w:t>
            </w:r>
            <w:r w:rsidR="00EB74FC">
              <w:rPr>
                <w:rFonts w:asciiTheme="minorHAnsi" w:eastAsiaTheme="minorEastAsia" w:hAnsiTheme="minorHAnsi"/>
                <w:lang w:eastAsia="en-AU"/>
              </w:rPr>
              <w:tab/>
            </w:r>
            <w:r w:rsidR="00EB74FC" w:rsidRPr="00E41818">
              <w:rPr>
                <w:rStyle w:val="Hyperlink"/>
              </w:rPr>
              <w:t>Remaining asset lives</w:t>
            </w:r>
            <w:r w:rsidR="00EB74FC">
              <w:rPr>
                <w:webHidden/>
              </w:rPr>
              <w:tab/>
            </w:r>
            <w:r w:rsidR="00EB74FC">
              <w:rPr>
                <w:webHidden/>
              </w:rPr>
              <w:fldChar w:fldCharType="begin"/>
            </w:r>
            <w:r w:rsidR="00EB74FC">
              <w:rPr>
                <w:webHidden/>
              </w:rPr>
              <w:instrText xml:space="preserve"> PAGEREF _Toc433121887 \h </w:instrText>
            </w:r>
            <w:r w:rsidR="00EB74FC">
              <w:rPr>
                <w:webHidden/>
              </w:rPr>
            </w:r>
            <w:r w:rsidR="00EB74FC">
              <w:rPr>
                <w:webHidden/>
              </w:rPr>
              <w:fldChar w:fldCharType="separate"/>
            </w:r>
            <w:r w:rsidR="00EB74FC">
              <w:rPr>
                <w:webHidden/>
              </w:rPr>
              <w:t>5-9</w:t>
            </w:r>
            <w:r w:rsidR="00EB74FC">
              <w:rPr>
                <w:webHidden/>
              </w:rPr>
              <w:fldChar w:fldCharType="end"/>
            </w:r>
          </w:hyperlink>
        </w:p>
        <w:p w:rsidR="00DE563D" w:rsidRDefault="00DE563D">
          <w:pPr>
            <w:spacing w:line="240" w:lineRule="auto"/>
          </w:pPr>
          <w: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33121880"/>
      <w:r>
        <w:lastRenderedPageBreak/>
        <w:t>Shortened forms</w:t>
      </w:r>
      <w:bookmarkEnd w:id="8"/>
      <w:bookmarkEnd w:id="9"/>
    </w:p>
    <w:tbl>
      <w:tblPr>
        <w:tblStyle w:val="AERtable-text0"/>
        <w:tblW w:w="0" w:type="auto"/>
        <w:tblLook w:val="04A0" w:firstRow="1" w:lastRow="0" w:firstColumn="1" w:lastColumn="0" w:noHBand="0" w:noVBand="1"/>
      </w:tblPr>
      <w:tblGrid>
        <w:gridCol w:w="3227"/>
        <w:gridCol w:w="5466"/>
      </w:tblGrid>
      <w:tr w:rsidR="00DE563D" w:rsidRPr="0007331D" w:rsidTr="00EB74FC">
        <w:trPr>
          <w:cnfStyle w:val="100000000000" w:firstRow="1" w:lastRow="0" w:firstColumn="0" w:lastColumn="0" w:oddVBand="0" w:evenVBand="0" w:oddHBand="0" w:evenHBand="0" w:firstRowFirstColumn="0" w:firstRowLastColumn="0" w:lastRowFirstColumn="0" w:lastRowLastColumn="0"/>
        </w:trPr>
        <w:tc>
          <w:tcPr>
            <w:tcW w:w="3227" w:type="dxa"/>
          </w:tcPr>
          <w:p w:rsidR="00DE563D" w:rsidRPr="0007331D" w:rsidRDefault="00DE563D" w:rsidP="0007331D">
            <w:r w:rsidRPr="0007331D">
              <w:t>Shortened form</w:t>
            </w:r>
          </w:p>
        </w:tc>
        <w:tc>
          <w:tcPr>
            <w:tcW w:w="5466" w:type="dxa"/>
          </w:tcPr>
          <w:p w:rsidR="00DE563D" w:rsidRPr="0007331D" w:rsidRDefault="00DE563D" w:rsidP="0007331D">
            <w:r w:rsidRPr="0007331D">
              <w:t>Extended form</w:t>
            </w:r>
          </w:p>
        </w:tc>
      </w:tr>
      <w:tr w:rsidR="00DE563D" w:rsidRPr="0007331D" w:rsidTr="00EB74FC">
        <w:tc>
          <w:tcPr>
            <w:tcW w:w="3227" w:type="dxa"/>
          </w:tcPr>
          <w:p w:rsidR="00DE563D" w:rsidRPr="0007331D" w:rsidRDefault="00DE563D" w:rsidP="0007331D">
            <w:r w:rsidRPr="0007331D">
              <w:t>AEMC</w:t>
            </w:r>
          </w:p>
        </w:tc>
        <w:tc>
          <w:tcPr>
            <w:tcW w:w="5466" w:type="dxa"/>
          </w:tcPr>
          <w:p w:rsidR="00DE563D" w:rsidRPr="0007331D" w:rsidRDefault="00DE563D" w:rsidP="0007331D">
            <w:r w:rsidRPr="0007331D">
              <w:t>Australian Energy Market Commission</w:t>
            </w:r>
          </w:p>
        </w:tc>
      </w:tr>
      <w:tr w:rsidR="00DE563D" w:rsidRPr="0007331D" w:rsidTr="00EB74FC">
        <w:trPr>
          <w:cnfStyle w:val="000000010000" w:firstRow="0" w:lastRow="0" w:firstColumn="0" w:lastColumn="0" w:oddVBand="0" w:evenVBand="0" w:oddHBand="0" w:evenHBand="1" w:firstRowFirstColumn="0" w:firstRowLastColumn="0" w:lastRowFirstColumn="0" w:lastRowLastColumn="0"/>
        </w:trPr>
        <w:tc>
          <w:tcPr>
            <w:tcW w:w="3227" w:type="dxa"/>
          </w:tcPr>
          <w:p w:rsidR="00DE563D" w:rsidRPr="0007331D" w:rsidRDefault="00DE563D" w:rsidP="0007331D">
            <w:r w:rsidRPr="0007331D">
              <w:t>AEMO</w:t>
            </w:r>
          </w:p>
        </w:tc>
        <w:tc>
          <w:tcPr>
            <w:tcW w:w="5466" w:type="dxa"/>
          </w:tcPr>
          <w:p w:rsidR="00DE563D" w:rsidRPr="0007331D" w:rsidRDefault="00DE563D" w:rsidP="0007331D">
            <w:r w:rsidRPr="0007331D">
              <w:t>Australian Energy Market Operator</w:t>
            </w:r>
          </w:p>
        </w:tc>
      </w:tr>
      <w:tr w:rsidR="00DE563D" w:rsidRPr="0007331D" w:rsidTr="00EB74FC">
        <w:tc>
          <w:tcPr>
            <w:tcW w:w="3227" w:type="dxa"/>
          </w:tcPr>
          <w:p w:rsidR="00DE563D" w:rsidRPr="0007331D" w:rsidRDefault="00DE563D" w:rsidP="0007331D">
            <w:r w:rsidRPr="0007331D">
              <w:t>AER</w:t>
            </w:r>
          </w:p>
        </w:tc>
        <w:tc>
          <w:tcPr>
            <w:tcW w:w="5466" w:type="dxa"/>
          </w:tcPr>
          <w:p w:rsidR="00DE563D" w:rsidRPr="0007331D" w:rsidRDefault="00DE563D" w:rsidP="0007331D">
            <w:r w:rsidRPr="0007331D">
              <w:t>Australian Energy Regulator</w:t>
            </w:r>
          </w:p>
        </w:tc>
      </w:tr>
      <w:tr w:rsidR="00DE563D" w:rsidRPr="0007331D" w:rsidTr="00EB74FC">
        <w:trPr>
          <w:cnfStyle w:val="000000010000" w:firstRow="0" w:lastRow="0" w:firstColumn="0" w:lastColumn="0" w:oddVBand="0" w:evenVBand="0" w:oddHBand="0" w:evenHBand="1" w:firstRowFirstColumn="0" w:firstRowLastColumn="0" w:lastRowFirstColumn="0" w:lastRowLastColumn="0"/>
        </w:trPr>
        <w:tc>
          <w:tcPr>
            <w:tcW w:w="3227" w:type="dxa"/>
          </w:tcPr>
          <w:p w:rsidR="00DE563D" w:rsidRPr="0007331D" w:rsidRDefault="00DE563D" w:rsidP="0007331D">
            <w:proofErr w:type="spellStart"/>
            <w:r w:rsidRPr="0007331D">
              <w:t>augex</w:t>
            </w:r>
            <w:proofErr w:type="spellEnd"/>
          </w:p>
        </w:tc>
        <w:tc>
          <w:tcPr>
            <w:tcW w:w="5466" w:type="dxa"/>
          </w:tcPr>
          <w:p w:rsidR="00DE563D" w:rsidRPr="0007331D" w:rsidRDefault="00DE563D" w:rsidP="0007331D">
            <w:r w:rsidRPr="0007331D">
              <w:t>augmentation expenditure</w:t>
            </w:r>
          </w:p>
        </w:tc>
      </w:tr>
      <w:tr w:rsidR="00DE563D" w:rsidRPr="0007331D" w:rsidTr="00EB74FC">
        <w:tc>
          <w:tcPr>
            <w:tcW w:w="3227" w:type="dxa"/>
          </w:tcPr>
          <w:p w:rsidR="00DE563D" w:rsidRPr="0007331D" w:rsidRDefault="00DE563D" w:rsidP="0007331D">
            <w:r w:rsidRPr="0007331D">
              <w:t>capex</w:t>
            </w:r>
          </w:p>
        </w:tc>
        <w:tc>
          <w:tcPr>
            <w:tcW w:w="5466" w:type="dxa"/>
          </w:tcPr>
          <w:p w:rsidR="00DE563D" w:rsidRPr="0007331D" w:rsidRDefault="00DE563D" w:rsidP="0007331D">
            <w:r w:rsidRPr="0007331D">
              <w:t>capital expenditure</w:t>
            </w:r>
          </w:p>
        </w:tc>
      </w:tr>
      <w:tr w:rsidR="00DE563D" w:rsidRPr="0007331D" w:rsidTr="00EB74FC">
        <w:trPr>
          <w:cnfStyle w:val="000000010000" w:firstRow="0" w:lastRow="0" w:firstColumn="0" w:lastColumn="0" w:oddVBand="0" w:evenVBand="0" w:oddHBand="0" w:evenHBand="1" w:firstRowFirstColumn="0" w:firstRowLastColumn="0" w:lastRowFirstColumn="0" w:lastRowLastColumn="0"/>
        </w:trPr>
        <w:tc>
          <w:tcPr>
            <w:tcW w:w="3227" w:type="dxa"/>
          </w:tcPr>
          <w:p w:rsidR="00DE563D" w:rsidRPr="0007331D" w:rsidRDefault="00DE563D" w:rsidP="0007331D">
            <w:r w:rsidRPr="0007331D">
              <w:t>CCP</w:t>
            </w:r>
          </w:p>
        </w:tc>
        <w:tc>
          <w:tcPr>
            <w:tcW w:w="5466" w:type="dxa"/>
          </w:tcPr>
          <w:p w:rsidR="00DE563D" w:rsidRPr="0007331D" w:rsidRDefault="00DE563D" w:rsidP="0007331D">
            <w:r w:rsidRPr="0007331D">
              <w:t>Consumer Challenge Panel</w:t>
            </w:r>
          </w:p>
        </w:tc>
      </w:tr>
      <w:tr w:rsidR="00DE563D" w:rsidRPr="0007331D" w:rsidTr="00EB74FC">
        <w:tc>
          <w:tcPr>
            <w:tcW w:w="3227" w:type="dxa"/>
          </w:tcPr>
          <w:p w:rsidR="00DE563D" w:rsidRPr="0007331D" w:rsidRDefault="00DE563D" w:rsidP="0007331D">
            <w:r w:rsidRPr="0007331D">
              <w:t>CESS</w:t>
            </w:r>
          </w:p>
        </w:tc>
        <w:tc>
          <w:tcPr>
            <w:tcW w:w="5466" w:type="dxa"/>
          </w:tcPr>
          <w:p w:rsidR="00DE563D" w:rsidRPr="0007331D" w:rsidRDefault="00DE563D" w:rsidP="0007331D">
            <w:r w:rsidRPr="0007331D">
              <w:t>capital expenditure sharing scheme</w:t>
            </w:r>
          </w:p>
        </w:tc>
      </w:tr>
      <w:tr w:rsidR="00DE563D" w:rsidRPr="0007331D" w:rsidTr="00EB74FC">
        <w:trPr>
          <w:cnfStyle w:val="000000010000" w:firstRow="0" w:lastRow="0" w:firstColumn="0" w:lastColumn="0" w:oddVBand="0" w:evenVBand="0" w:oddHBand="0" w:evenHBand="1" w:firstRowFirstColumn="0" w:firstRowLastColumn="0" w:lastRowFirstColumn="0" w:lastRowLastColumn="0"/>
        </w:trPr>
        <w:tc>
          <w:tcPr>
            <w:tcW w:w="3227" w:type="dxa"/>
          </w:tcPr>
          <w:p w:rsidR="00DE563D" w:rsidRPr="0007331D" w:rsidRDefault="00DE563D" w:rsidP="0007331D">
            <w:r w:rsidRPr="0007331D">
              <w:t>CPI</w:t>
            </w:r>
          </w:p>
        </w:tc>
        <w:tc>
          <w:tcPr>
            <w:tcW w:w="5466" w:type="dxa"/>
          </w:tcPr>
          <w:p w:rsidR="00DE563D" w:rsidRPr="0007331D" w:rsidRDefault="00DE563D" w:rsidP="0007331D">
            <w:r w:rsidRPr="0007331D">
              <w:t>consumer price index</w:t>
            </w:r>
          </w:p>
        </w:tc>
      </w:tr>
      <w:tr w:rsidR="00DE563D" w:rsidRPr="0007331D" w:rsidTr="00EB74FC">
        <w:tc>
          <w:tcPr>
            <w:tcW w:w="3227" w:type="dxa"/>
          </w:tcPr>
          <w:p w:rsidR="00DE563D" w:rsidRPr="0007331D" w:rsidRDefault="00DE563D" w:rsidP="0007331D">
            <w:r w:rsidRPr="0007331D">
              <w:t>DRP</w:t>
            </w:r>
          </w:p>
        </w:tc>
        <w:tc>
          <w:tcPr>
            <w:tcW w:w="5466" w:type="dxa"/>
          </w:tcPr>
          <w:p w:rsidR="00DE563D" w:rsidRPr="0007331D" w:rsidRDefault="00DE563D" w:rsidP="0007331D">
            <w:r w:rsidRPr="0007331D">
              <w:t>debt risk premium</w:t>
            </w:r>
          </w:p>
        </w:tc>
      </w:tr>
      <w:tr w:rsidR="00DE563D" w:rsidRPr="0007331D" w:rsidTr="00EB74FC">
        <w:trPr>
          <w:cnfStyle w:val="000000010000" w:firstRow="0" w:lastRow="0" w:firstColumn="0" w:lastColumn="0" w:oddVBand="0" w:evenVBand="0" w:oddHBand="0" w:evenHBand="1" w:firstRowFirstColumn="0" w:firstRowLastColumn="0" w:lastRowFirstColumn="0" w:lastRowLastColumn="0"/>
        </w:trPr>
        <w:tc>
          <w:tcPr>
            <w:tcW w:w="3227" w:type="dxa"/>
          </w:tcPr>
          <w:p w:rsidR="00DE563D" w:rsidRPr="0007331D" w:rsidRDefault="00DE563D" w:rsidP="0007331D">
            <w:r w:rsidRPr="0007331D">
              <w:t>DMIA</w:t>
            </w:r>
          </w:p>
        </w:tc>
        <w:tc>
          <w:tcPr>
            <w:tcW w:w="5466" w:type="dxa"/>
          </w:tcPr>
          <w:p w:rsidR="00DE563D" w:rsidRPr="0007331D" w:rsidRDefault="00DE563D" w:rsidP="0007331D">
            <w:r w:rsidRPr="0007331D">
              <w:t>demand management innovation allowance</w:t>
            </w:r>
          </w:p>
        </w:tc>
      </w:tr>
      <w:tr w:rsidR="00DE563D" w:rsidRPr="0007331D" w:rsidTr="00EB74FC">
        <w:tc>
          <w:tcPr>
            <w:tcW w:w="3227" w:type="dxa"/>
          </w:tcPr>
          <w:p w:rsidR="00DE563D" w:rsidRPr="0007331D" w:rsidRDefault="00DE563D" w:rsidP="0007331D">
            <w:r w:rsidRPr="0007331D">
              <w:t>DMIS</w:t>
            </w:r>
          </w:p>
        </w:tc>
        <w:tc>
          <w:tcPr>
            <w:tcW w:w="5466" w:type="dxa"/>
          </w:tcPr>
          <w:p w:rsidR="00DE563D" w:rsidRPr="0007331D" w:rsidRDefault="00DE563D" w:rsidP="0007331D">
            <w:r w:rsidRPr="0007331D">
              <w:t>demand management incentive scheme</w:t>
            </w:r>
          </w:p>
        </w:tc>
      </w:tr>
      <w:tr w:rsidR="00DE563D" w:rsidRPr="0007331D" w:rsidTr="00EB74FC">
        <w:trPr>
          <w:cnfStyle w:val="000000010000" w:firstRow="0" w:lastRow="0" w:firstColumn="0" w:lastColumn="0" w:oddVBand="0" w:evenVBand="0" w:oddHBand="0" w:evenHBand="1" w:firstRowFirstColumn="0" w:firstRowLastColumn="0" w:lastRowFirstColumn="0" w:lastRowLastColumn="0"/>
        </w:trPr>
        <w:tc>
          <w:tcPr>
            <w:tcW w:w="3227" w:type="dxa"/>
          </w:tcPr>
          <w:p w:rsidR="00DE563D" w:rsidRPr="0007331D" w:rsidRDefault="00DE563D" w:rsidP="0007331D">
            <w:r w:rsidRPr="0007331D">
              <w:t>distributor</w:t>
            </w:r>
          </w:p>
        </w:tc>
        <w:tc>
          <w:tcPr>
            <w:tcW w:w="5466" w:type="dxa"/>
          </w:tcPr>
          <w:p w:rsidR="00DE563D" w:rsidRPr="0007331D" w:rsidRDefault="00DE563D" w:rsidP="0007331D">
            <w:r w:rsidRPr="0007331D">
              <w:t>distribution network service provider</w:t>
            </w:r>
          </w:p>
        </w:tc>
      </w:tr>
      <w:tr w:rsidR="00DE563D" w:rsidRPr="0007331D" w:rsidTr="00EB74FC">
        <w:tc>
          <w:tcPr>
            <w:tcW w:w="3227" w:type="dxa"/>
          </w:tcPr>
          <w:p w:rsidR="00DE563D" w:rsidRPr="0007331D" w:rsidRDefault="00DE563D" w:rsidP="0007331D">
            <w:proofErr w:type="spellStart"/>
            <w:r w:rsidRPr="0007331D">
              <w:t>DUoS</w:t>
            </w:r>
            <w:proofErr w:type="spellEnd"/>
          </w:p>
        </w:tc>
        <w:tc>
          <w:tcPr>
            <w:tcW w:w="5466" w:type="dxa"/>
          </w:tcPr>
          <w:p w:rsidR="00DE563D" w:rsidRPr="0007331D" w:rsidRDefault="00DE563D" w:rsidP="0007331D">
            <w:r w:rsidRPr="0007331D">
              <w:t>distribution use of system</w:t>
            </w:r>
          </w:p>
        </w:tc>
      </w:tr>
      <w:tr w:rsidR="00DE563D" w:rsidRPr="0007331D" w:rsidTr="00EB74FC">
        <w:trPr>
          <w:cnfStyle w:val="000000010000" w:firstRow="0" w:lastRow="0" w:firstColumn="0" w:lastColumn="0" w:oddVBand="0" w:evenVBand="0" w:oddHBand="0" w:evenHBand="1" w:firstRowFirstColumn="0" w:firstRowLastColumn="0" w:lastRowFirstColumn="0" w:lastRowLastColumn="0"/>
        </w:trPr>
        <w:tc>
          <w:tcPr>
            <w:tcW w:w="3227" w:type="dxa"/>
          </w:tcPr>
          <w:p w:rsidR="00DE563D" w:rsidRPr="0007331D" w:rsidRDefault="00DE563D" w:rsidP="0007331D">
            <w:r w:rsidRPr="0007331D">
              <w:t>EBSS</w:t>
            </w:r>
          </w:p>
        </w:tc>
        <w:tc>
          <w:tcPr>
            <w:tcW w:w="5466" w:type="dxa"/>
          </w:tcPr>
          <w:p w:rsidR="00DE563D" w:rsidRPr="0007331D" w:rsidRDefault="00DE563D" w:rsidP="0007331D">
            <w:r w:rsidRPr="0007331D">
              <w:t>efficiency benefit sharing scheme</w:t>
            </w:r>
          </w:p>
        </w:tc>
      </w:tr>
      <w:tr w:rsidR="00DE563D" w:rsidRPr="0007331D" w:rsidTr="00EB74FC">
        <w:tc>
          <w:tcPr>
            <w:tcW w:w="3227" w:type="dxa"/>
          </w:tcPr>
          <w:p w:rsidR="00DE563D" w:rsidRPr="0007331D" w:rsidRDefault="00DE563D" w:rsidP="0007331D">
            <w:r w:rsidRPr="0007331D">
              <w:t>ERP</w:t>
            </w:r>
          </w:p>
        </w:tc>
        <w:tc>
          <w:tcPr>
            <w:tcW w:w="5466" w:type="dxa"/>
          </w:tcPr>
          <w:p w:rsidR="00DE563D" w:rsidRPr="0007331D" w:rsidRDefault="00DE563D" w:rsidP="0007331D">
            <w:r w:rsidRPr="0007331D">
              <w:t>equity risk premium</w:t>
            </w:r>
          </w:p>
        </w:tc>
      </w:tr>
      <w:tr w:rsidR="00DE563D" w:rsidRPr="0007331D" w:rsidTr="00EB74FC">
        <w:trPr>
          <w:cnfStyle w:val="000000010000" w:firstRow="0" w:lastRow="0" w:firstColumn="0" w:lastColumn="0" w:oddVBand="0" w:evenVBand="0" w:oddHBand="0" w:evenHBand="1" w:firstRowFirstColumn="0" w:firstRowLastColumn="0" w:lastRowFirstColumn="0" w:lastRowLastColumn="0"/>
        </w:trPr>
        <w:tc>
          <w:tcPr>
            <w:tcW w:w="3227" w:type="dxa"/>
          </w:tcPr>
          <w:p w:rsidR="00DE563D" w:rsidRPr="0007331D" w:rsidRDefault="008A6FE1" w:rsidP="0007331D">
            <w:r w:rsidRPr="0007331D">
              <w:t>E</w:t>
            </w:r>
            <w:r w:rsidR="00DE563D" w:rsidRPr="0007331D">
              <w:t xml:space="preserve">xpenditure </w:t>
            </w:r>
            <w:r w:rsidRPr="0007331D">
              <w:t>A</w:t>
            </w:r>
            <w:r w:rsidR="00DE563D" w:rsidRPr="0007331D">
              <w:t xml:space="preserve">ssessment </w:t>
            </w:r>
            <w:r w:rsidRPr="0007331D">
              <w:t>G</w:t>
            </w:r>
            <w:r w:rsidR="00DE563D" w:rsidRPr="0007331D">
              <w:t>uideline</w:t>
            </w:r>
          </w:p>
        </w:tc>
        <w:tc>
          <w:tcPr>
            <w:tcW w:w="5466" w:type="dxa"/>
          </w:tcPr>
          <w:p w:rsidR="00DE563D" w:rsidRPr="0007331D" w:rsidRDefault="004124A2" w:rsidP="0007331D">
            <w:r w:rsidRPr="0007331D">
              <w:t>Expenditure F</w:t>
            </w:r>
            <w:r w:rsidR="00DE563D" w:rsidRPr="0007331D">
              <w:t xml:space="preserve">orecast </w:t>
            </w:r>
            <w:r w:rsidRPr="0007331D">
              <w:t>A</w:t>
            </w:r>
            <w:r w:rsidR="00DE563D" w:rsidRPr="0007331D">
              <w:t xml:space="preserve">ssessment </w:t>
            </w:r>
            <w:r w:rsidR="008A6FE1" w:rsidRPr="0007331D">
              <w:t>G</w:t>
            </w:r>
            <w:r w:rsidR="00DE563D" w:rsidRPr="0007331D">
              <w:t>uideline for electricity distribution</w:t>
            </w:r>
          </w:p>
        </w:tc>
      </w:tr>
      <w:tr w:rsidR="00DE563D" w:rsidRPr="0007331D" w:rsidTr="00EB74FC">
        <w:tc>
          <w:tcPr>
            <w:tcW w:w="3227" w:type="dxa"/>
          </w:tcPr>
          <w:p w:rsidR="00DE563D" w:rsidRPr="0007331D" w:rsidRDefault="00DE563D" w:rsidP="0007331D">
            <w:r w:rsidRPr="0007331D">
              <w:t>F&amp;A</w:t>
            </w:r>
          </w:p>
        </w:tc>
        <w:tc>
          <w:tcPr>
            <w:tcW w:w="5466" w:type="dxa"/>
          </w:tcPr>
          <w:p w:rsidR="00DE563D" w:rsidRPr="0007331D" w:rsidRDefault="00DE563D" w:rsidP="0007331D">
            <w:r w:rsidRPr="0007331D">
              <w:t>framework and approach</w:t>
            </w:r>
          </w:p>
        </w:tc>
      </w:tr>
      <w:tr w:rsidR="00DE563D" w:rsidRPr="0007331D" w:rsidTr="00EB74FC">
        <w:trPr>
          <w:cnfStyle w:val="000000010000" w:firstRow="0" w:lastRow="0" w:firstColumn="0" w:lastColumn="0" w:oddVBand="0" w:evenVBand="0" w:oddHBand="0" w:evenHBand="1" w:firstRowFirstColumn="0" w:firstRowLastColumn="0" w:lastRowFirstColumn="0" w:lastRowLastColumn="0"/>
        </w:trPr>
        <w:tc>
          <w:tcPr>
            <w:tcW w:w="3227" w:type="dxa"/>
          </w:tcPr>
          <w:p w:rsidR="00DE563D" w:rsidRPr="0007331D" w:rsidRDefault="00DE563D" w:rsidP="0007331D">
            <w:r w:rsidRPr="0007331D">
              <w:t>MRP</w:t>
            </w:r>
          </w:p>
        </w:tc>
        <w:tc>
          <w:tcPr>
            <w:tcW w:w="5466" w:type="dxa"/>
          </w:tcPr>
          <w:p w:rsidR="00DE563D" w:rsidRPr="0007331D" w:rsidRDefault="00DE563D" w:rsidP="0007331D">
            <w:r w:rsidRPr="0007331D">
              <w:t>market risk premium</w:t>
            </w:r>
          </w:p>
        </w:tc>
      </w:tr>
      <w:tr w:rsidR="00DE563D" w:rsidRPr="0007331D" w:rsidTr="00EB74FC">
        <w:tc>
          <w:tcPr>
            <w:tcW w:w="3227" w:type="dxa"/>
          </w:tcPr>
          <w:p w:rsidR="00DE563D" w:rsidRPr="0007331D" w:rsidRDefault="00DE563D" w:rsidP="0007331D">
            <w:r w:rsidRPr="0007331D">
              <w:t>NEL</w:t>
            </w:r>
          </w:p>
        </w:tc>
        <w:tc>
          <w:tcPr>
            <w:tcW w:w="5466" w:type="dxa"/>
          </w:tcPr>
          <w:p w:rsidR="00DE563D" w:rsidRPr="0007331D" w:rsidRDefault="00DE563D" w:rsidP="0007331D">
            <w:r w:rsidRPr="0007331D">
              <w:t>national electricity law</w:t>
            </w:r>
          </w:p>
        </w:tc>
      </w:tr>
      <w:tr w:rsidR="00DE563D" w:rsidRPr="0007331D" w:rsidTr="00EB74FC">
        <w:trPr>
          <w:cnfStyle w:val="000000010000" w:firstRow="0" w:lastRow="0" w:firstColumn="0" w:lastColumn="0" w:oddVBand="0" w:evenVBand="0" w:oddHBand="0" w:evenHBand="1" w:firstRowFirstColumn="0" w:firstRowLastColumn="0" w:lastRowFirstColumn="0" w:lastRowLastColumn="0"/>
        </w:trPr>
        <w:tc>
          <w:tcPr>
            <w:tcW w:w="3227" w:type="dxa"/>
          </w:tcPr>
          <w:p w:rsidR="00DE563D" w:rsidRPr="0007331D" w:rsidRDefault="00DE563D" w:rsidP="0007331D">
            <w:r w:rsidRPr="0007331D">
              <w:t>NEM</w:t>
            </w:r>
          </w:p>
        </w:tc>
        <w:tc>
          <w:tcPr>
            <w:tcW w:w="5466" w:type="dxa"/>
          </w:tcPr>
          <w:p w:rsidR="00DE563D" w:rsidRPr="0007331D" w:rsidRDefault="00DE563D" w:rsidP="0007331D">
            <w:r w:rsidRPr="0007331D">
              <w:t>national electricity market</w:t>
            </w:r>
          </w:p>
        </w:tc>
      </w:tr>
      <w:tr w:rsidR="00DE563D" w:rsidRPr="0007331D" w:rsidTr="00EB74FC">
        <w:tc>
          <w:tcPr>
            <w:tcW w:w="3227" w:type="dxa"/>
          </w:tcPr>
          <w:p w:rsidR="00DE563D" w:rsidRPr="0007331D" w:rsidRDefault="00DE563D" w:rsidP="0007331D">
            <w:r w:rsidRPr="0007331D">
              <w:t>NEO</w:t>
            </w:r>
          </w:p>
        </w:tc>
        <w:tc>
          <w:tcPr>
            <w:tcW w:w="5466" w:type="dxa"/>
          </w:tcPr>
          <w:p w:rsidR="00DE563D" w:rsidRPr="0007331D" w:rsidRDefault="00DE563D" w:rsidP="0007331D">
            <w:r w:rsidRPr="0007331D">
              <w:t>national electricity objective</w:t>
            </w:r>
          </w:p>
        </w:tc>
      </w:tr>
      <w:tr w:rsidR="00DE563D" w:rsidRPr="0007331D" w:rsidTr="00EB74FC">
        <w:trPr>
          <w:cnfStyle w:val="000000010000" w:firstRow="0" w:lastRow="0" w:firstColumn="0" w:lastColumn="0" w:oddVBand="0" w:evenVBand="0" w:oddHBand="0" w:evenHBand="1" w:firstRowFirstColumn="0" w:firstRowLastColumn="0" w:lastRowFirstColumn="0" w:lastRowLastColumn="0"/>
        </w:trPr>
        <w:tc>
          <w:tcPr>
            <w:tcW w:w="3227" w:type="dxa"/>
          </w:tcPr>
          <w:p w:rsidR="00DE563D" w:rsidRPr="0007331D" w:rsidRDefault="00DE563D" w:rsidP="0007331D">
            <w:r w:rsidRPr="0007331D">
              <w:t>NER</w:t>
            </w:r>
          </w:p>
        </w:tc>
        <w:tc>
          <w:tcPr>
            <w:tcW w:w="5466" w:type="dxa"/>
          </w:tcPr>
          <w:p w:rsidR="00DE563D" w:rsidRPr="0007331D" w:rsidRDefault="00DE563D" w:rsidP="0007331D">
            <w:r w:rsidRPr="0007331D">
              <w:t>national electricity rules</w:t>
            </w:r>
          </w:p>
        </w:tc>
      </w:tr>
      <w:tr w:rsidR="00DE563D" w:rsidRPr="0007331D" w:rsidTr="00EB74FC">
        <w:tc>
          <w:tcPr>
            <w:tcW w:w="3227" w:type="dxa"/>
          </w:tcPr>
          <w:p w:rsidR="00DE563D" w:rsidRPr="0007331D" w:rsidRDefault="00DE563D" w:rsidP="0007331D">
            <w:r w:rsidRPr="0007331D">
              <w:t>NSP</w:t>
            </w:r>
          </w:p>
        </w:tc>
        <w:tc>
          <w:tcPr>
            <w:tcW w:w="5466" w:type="dxa"/>
          </w:tcPr>
          <w:p w:rsidR="00DE563D" w:rsidRPr="0007331D" w:rsidRDefault="00DE563D" w:rsidP="0007331D">
            <w:r w:rsidRPr="0007331D">
              <w:t>network service provider</w:t>
            </w:r>
          </w:p>
        </w:tc>
      </w:tr>
      <w:tr w:rsidR="00DE563D" w:rsidRPr="0007331D" w:rsidTr="00EB74FC">
        <w:trPr>
          <w:cnfStyle w:val="000000010000" w:firstRow="0" w:lastRow="0" w:firstColumn="0" w:lastColumn="0" w:oddVBand="0" w:evenVBand="0" w:oddHBand="0" w:evenHBand="1" w:firstRowFirstColumn="0" w:firstRowLastColumn="0" w:lastRowFirstColumn="0" w:lastRowLastColumn="0"/>
        </w:trPr>
        <w:tc>
          <w:tcPr>
            <w:tcW w:w="3227" w:type="dxa"/>
          </w:tcPr>
          <w:p w:rsidR="00DE563D" w:rsidRPr="0007331D" w:rsidRDefault="00DE563D" w:rsidP="0007331D">
            <w:proofErr w:type="spellStart"/>
            <w:r w:rsidRPr="0007331D">
              <w:t>opex</w:t>
            </w:r>
            <w:proofErr w:type="spellEnd"/>
          </w:p>
        </w:tc>
        <w:tc>
          <w:tcPr>
            <w:tcW w:w="5466" w:type="dxa"/>
          </w:tcPr>
          <w:p w:rsidR="00DE563D" w:rsidRPr="0007331D" w:rsidRDefault="00DE563D" w:rsidP="0007331D">
            <w:r w:rsidRPr="0007331D">
              <w:t>operating expenditure</w:t>
            </w:r>
          </w:p>
        </w:tc>
      </w:tr>
      <w:tr w:rsidR="00DE563D" w:rsidRPr="0007331D" w:rsidTr="00EB74FC">
        <w:tc>
          <w:tcPr>
            <w:tcW w:w="3227" w:type="dxa"/>
          </w:tcPr>
          <w:p w:rsidR="00DE563D" w:rsidRPr="0007331D" w:rsidRDefault="00DE563D" w:rsidP="0007331D">
            <w:r w:rsidRPr="0007331D">
              <w:t>PPI</w:t>
            </w:r>
          </w:p>
        </w:tc>
        <w:tc>
          <w:tcPr>
            <w:tcW w:w="5466" w:type="dxa"/>
          </w:tcPr>
          <w:p w:rsidR="00DE563D" w:rsidRPr="0007331D" w:rsidRDefault="00DE563D" w:rsidP="0007331D">
            <w:r w:rsidRPr="0007331D">
              <w:t>partial performance indicators</w:t>
            </w:r>
          </w:p>
        </w:tc>
      </w:tr>
      <w:tr w:rsidR="00DE563D" w:rsidRPr="0007331D" w:rsidTr="00EB74FC">
        <w:trPr>
          <w:cnfStyle w:val="000000010000" w:firstRow="0" w:lastRow="0" w:firstColumn="0" w:lastColumn="0" w:oddVBand="0" w:evenVBand="0" w:oddHBand="0" w:evenHBand="1" w:firstRowFirstColumn="0" w:firstRowLastColumn="0" w:lastRowFirstColumn="0" w:lastRowLastColumn="0"/>
        </w:trPr>
        <w:tc>
          <w:tcPr>
            <w:tcW w:w="3227" w:type="dxa"/>
          </w:tcPr>
          <w:p w:rsidR="00DE563D" w:rsidRPr="0007331D" w:rsidRDefault="00DE563D" w:rsidP="0007331D">
            <w:r w:rsidRPr="0007331D">
              <w:t>PTRM</w:t>
            </w:r>
          </w:p>
        </w:tc>
        <w:tc>
          <w:tcPr>
            <w:tcW w:w="5466" w:type="dxa"/>
          </w:tcPr>
          <w:p w:rsidR="00DE563D" w:rsidRPr="0007331D" w:rsidRDefault="00DE563D" w:rsidP="0007331D">
            <w:r w:rsidRPr="0007331D">
              <w:t>post-tax revenue model</w:t>
            </w:r>
          </w:p>
        </w:tc>
      </w:tr>
      <w:tr w:rsidR="00DE563D" w:rsidRPr="0007331D" w:rsidTr="00EB74FC">
        <w:tc>
          <w:tcPr>
            <w:tcW w:w="3227" w:type="dxa"/>
          </w:tcPr>
          <w:p w:rsidR="00DE563D" w:rsidRPr="0007331D" w:rsidRDefault="00DE563D" w:rsidP="0007331D">
            <w:r w:rsidRPr="0007331D">
              <w:t>RAB</w:t>
            </w:r>
          </w:p>
        </w:tc>
        <w:tc>
          <w:tcPr>
            <w:tcW w:w="5466" w:type="dxa"/>
          </w:tcPr>
          <w:p w:rsidR="00DE563D" w:rsidRPr="0007331D" w:rsidRDefault="00DE563D" w:rsidP="0007331D">
            <w:r w:rsidRPr="0007331D">
              <w:t>regulatory asset base</w:t>
            </w:r>
          </w:p>
        </w:tc>
      </w:tr>
      <w:tr w:rsidR="00DE563D" w:rsidRPr="0007331D" w:rsidTr="00EB74FC">
        <w:trPr>
          <w:cnfStyle w:val="000000010000" w:firstRow="0" w:lastRow="0" w:firstColumn="0" w:lastColumn="0" w:oddVBand="0" w:evenVBand="0" w:oddHBand="0" w:evenHBand="1" w:firstRowFirstColumn="0" w:firstRowLastColumn="0" w:lastRowFirstColumn="0" w:lastRowLastColumn="0"/>
        </w:trPr>
        <w:tc>
          <w:tcPr>
            <w:tcW w:w="3227" w:type="dxa"/>
          </w:tcPr>
          <w:p w:rsidR="00DE563D" w:rsidRPr="0007331D" w:rsidRDefault="00DE563D" w:rsidP="0007331D">
            <w:r w:rsidRPr="0007331D">
              <w:t>RBA</w:t>
            </w:r>
          </w:p>
        </w:tc>
        <w:tc>
          <w:tcPr>
            <w:tcW w:w="5466" w:type="dxa"/>
          </w:tcPr>
          <w:p w:rsidR="00DE563D" w:rsidRPr="0007331D" w:rsidRDefault="00DE563D" w:rsidP="0007331D">
            <w:r w:rsidRPr="0007331D">
              <w:t>Reserve Bank of Australia</w:t>
            </w:r>
          </w:p>
        </w:tc>
      </w:tr>
      <w:tr w:rsidR="00DE563D" w:rsidRPr="0007331D" w:rsidTr="00EB74FC">
        <w:tc>
          <w:tcPr>
            <w:tcW w:w="3227" w:type="dxa"/>
          </w:tcPr>
          <w:p w:rsidR="00DE563D" w:rsidRPr="0007331D" w:rsidRDefault="00DE563D" w:rsidP="0007331D">
            <w:proofErr w:type="spellStart"/>
            <w:r w:rsidRPr="0007331D">
              <w:t>repex</w:t>
            </w:r>
            <w:proofErr w:type="spellEnd"/>
          </w:p>
        </w:tc>
        <w:tc>
          <w:tcPr>
            <w:tcW w:w="5466" w:type="dxa"/>
          </w:tcPr>
          <w:p w:rsidR="00DE563D" w:rsidRPr="0007331D" w:rsidRDefault="00DE563D" w:rsidP="0007331D">
            <w:r w:rsidRPr="0007331D">
              <w:t>replacement expenditure</w:t>
            </w:r>
          </w:p>
        </w:tc>
      </w:tr>
      <w:tr w:rsidR="00DE563D" w:rsidRPr="0007331D" w:rsidTr="00EB74FC">
        <w:trPr>
          <w:cnfStyle w:val="000000010000" w:firstRow="0" w:lastRow="0" w:firstColumn="0" w:lastColumn="0" w:oddVBand="0" w:evenVBand="0" w:oddHBand="0" w:evenHBand="1" w:firstRowFirstColumn="0" w:firstRowLastColumn="0" w:lastRowFirstColumn="0" w:lastRowLastColumn="0"/>
        </w:trPr>
        <w:tc>
          <w:tcPr>
            <w:tcW w:w="3227" w:type="dxa"/>
          </w:tcPr>
          <w:p w:rsidR="00DE563D" w:rsidRPr="0007331D" w:rsidRDefault="00DE563D" w:rsidP="0007331D">
            <w:r w:rsidRPr="0007331D">
              <w:t>RFM</w:t>
            </w:r>
          </w:p>
        </w:tc>
        <w:tc>
          <w:tcPr>
            <w:tcW w:w="5466" w:type="dxa"/>
          </w:tcPr>
          <w:p w:rsidR="00DE563D" w:rsidRPr="0007331D" w:rsidRDefault="00DE563D" w:rsidP="0007331D">
            <w:r w:rsidRPr="0007331D">
              <w:t>roll forward model</w:t>
            </w:r>
          </w:p>
        </w:tc>
      </w:tr>
      <w:tr w:rsidR="00DE563D" w:rsidRPr="0007331D" w:rsidTr="00EB74FC">
        <w:tc>
          <w:tcPr>
            <w:tcW w:w="3227" w:type="dxa"/>
          </w:tcPr>
          <w:p w:rsidR="00DE563D" w:rsidRPr="0007331D" w:rsidRDefault="00DE563D" w:rsidP="0007331D">
            <w:r w:rsidRPr="0007331D">
              <w:t>RIN</w:t>
            </w:r>
          </w:p>
        </w:tc>
        <w:tc>
          <w:tcPr>
            <w:tcW w:w="5466" w:type="dxa"/>
          </w:tcPr>
          <w:p w:rsidR="00DE563D" w:rsidRPr="0007331D" w:rsidRDefault="00DE563D" w:rsidP="0007331D">
            <w:r w:rsidRPr="0007331D">
              <w:t>regulatory information notice</w:t>
            </w:r>
          </w:p>
        </w:tc>
      </w:tr>
      <w:tr w:rsidR="00DE563D" w:rsidRPr="0007331D" w:rsidTr="00EB74FC">
        <w:trPr>
          <w:cnfStyle w:val="000000010000" w:firstRow="0" w:lastRow="0" w:firstColumn="0" w:lastColumn="0" w:oddVBand="0" w:evenVBand="0" w:oddHBand="0" w:evenHBand="1" w:firstRowFirstColumn="0" w:firstRowLastColumn="0" w:lastRowFirstColumn="0" w:lastRowLastColumn="0"/>
        </w:trPr>
        <w:tc>
          <w:tcPr>
            <w:tcW w:w="3227" w:type="dxa"/>
          </w:tcPr>
          <w:p w:rsidR="00DE563D" w:rsidRPr="0007331D" w:rsidRDefault="00DE563D" w:rsidP="0007331D">
            <w:r w:rsidRPr="0007331D">
              <w:t>RPP</w:t>
            </w:r>
          </w:p>
        </w:tc>
        <w:tc>
          <w:tcPr>
            <w:tcW w:w="5466" w:type="dxa"/>
          </w:tcPr>
          <w:p w:rsidR="00DE563D" w:rsidRPr="0007331D" w:rsidRDefault="00DE563D" w:rsidP="0007331D">
            <w:r w:rsidRPr="0007331D">
              <w:t xml:space="preserve">revenue </w:t>
            </w:r>
            <w:r w:rsidR="008A6FE1" w:rsidRPr="0007331D">
              <w:t xml:space="preserve">and </w:t>
            </w:r>
            <w:r w:rsidRPr="0007331D">
              <w:t>pricing principles</w:t>
            </w:r>
          </w:p>
        </w:tc>
      </w:tr>
      <w:tr w:rsidR="00DE563D" w:rsidRPr="0007331D" w:rsidTr="00EB74FC">
        <w:tc>
          <w:tcPr>
            <w:tcW w:w="3227" w:type="dxa"/>
          </w:tcPr>
          <w:p w:rsidR="00DE563D" w:rsidRPr="0007331D" w:rsidRDefault="00DE563D" w:rsidP="0007331D">
            <w:r w:rsidRPr="0007331D">
              <w:lastRenderedPageBreak/>
              <w:t>SAIDI</w:t>
            </w:r>
          </w:p>
        </w:tc>
        <w:tc>
          <w:tcPr>
            <w:tcW w:w="5466" w:type="dxa"/>
          </w:tcPr>
          <w:p w:rsidR="00DE563D" w:rsidRPr="0007331D" w:rsidRDefault="00DE563D" w:rsidP="0007331D">
            <w:r w:rsidRPr="0007331D">
              <w:t>system average interruption duration index</w:t>
            </w:r>
          </w:p>
        </w:tc>
      </w:tr>
      <w:tr w:rsidR="00DE563D" w:rsidRPr="0007331D" w:rsidTr="00EB74FC">
        <w:trPr>
          <w:cnfStyle w:val="000000010000" w:firstRow="0" w:lastRow="0" w:firstColumn="0" w:lastColumn="0" w:oddVBand="0" w:evenVBand="0" w:oddHBand="0" w:evenHBand="1" w:firstRowFirstColumn="0" w:firstRowLastColumn="0" w:lastRowFirstColumn="0" w:lastRowLastColumn="0"/>
        </w:trPr>
        <w:tc>
          <w:tcPr>
            <w:tcW w:w="3227" w:type="dxa"/>
          </w:tcPr>
          <w:p w:rsidR="00DE563D" w:rsidRPr="0007331D" w:rsidRDefault="00DE563D" w:rsidP="0007331D">
            <w:r w:rsidRPr="0007331D">
              <w:t>SAIFI</w:t>
            </w:r>
          </w:p>
        </w:tc>
        <w:tc>
          <w:tcPr>
            <w:tcW w:w="5466" w:type="dxa"/>
          </w:tcPr>
          <w:p w:rsidR="00DE563D" w:rsidRPr="0007331D" w:rsidRDefault="00DE563D" w:rsidP="0007331D">
            <w:r w:rsidRPr="0007331D">
              <w:t>system average interruption frequency index</w:t>
            </w:r>
          </w:p>
        </w:tc>
      </w:tr>
      <w:tr w:rsidR="00DE563D" w:rsidRPr="0007331D" w:rsidTr="00EB74FC">
        <w:tc>
          <w:tcPr>
            <w:tcW w:w="3227" w:type="dxa"/>
          </w:tcPr>
          <w:p w:rsidR="00DE563D" w:rsidRPr="0007331D" w:rsidRDefault="00DE563D" w:rsidP="0007331D">
            <w:r w:rsidRPr="0007331D">
              <w:t>SLCAPM</w:t>
            </w:r>
          </w:p>
        </w:tc>
        <w:tc>
          <w:tcPr>
            <w:tcW w:w="5466" w:type="dxa"/>
          </w:tcPr>
          <w:p w:rsidR="00DE563D" w:rsidRPr="0007331D" w:rsidRDefault="00DE563D" w:rsidP="0007331D">
            <w:r w:rsidRPr="0007331D">
              <w:t>Sharpe-</w:t>
            </w:r>
            <w:proofErr w:type="spellStart"/>
            <w:r w:rsidRPr="0007331D">
              <w:t>Lintner</w:t>
            </w:r>
            <w:proofErr w:type="spellEnd"/>
            <w:r w:rsidRPr="0007331D">
              <w:t xml:space="preserve"> capital asset pricing model</w:t>
            </w:r>
          </w:p>
        </w:tc>
      </w:tr>
      <w:tr w:rsidR="00DE563D" w:rsidRPr="0007331D" w:rsidTr="00EB74FC">
        <w:trPr>
          <w:cnfStyle w:val="000000010000" w:firstRow="0" w:lastRow="0" w:firstColumn="0" w:lastColumn="0" w:oddVBand="0" w:evenVBand="0" w:oddHBand="0" w:evenHBand="1" w:firstRowFirstColumn="0" w:firstRowLastColumn="0" w:lastRowFirstColumn="0" w:lastRowLastColumn="0"/>
        </w:trPr>
        <w:tc>
          <w:tcPr>
            <w:tcW w:w="3227" w:type="dxa"/>
          </w:tcPr>
          <w:p w:rsidR="00DE563D" w:rsidRPr="0007331D" w:rsidRDefault="00DE563D" w:rsidP="0007331D">
            <w:r w:rsidRPr="0007331D">
              <w:t>STPIS</w:t>
            </w:r>
          </w:p>
        </w:tc>
        <w:tc>
          <w:tcPr>
            <w:tcW w:w="5466" w:type="dxa"/>
          </w:tcPr>
          <w:p w:rsidR="00DE563D" w:rsidRPr="0007331D" w:rsidRDefault="00DE563D" w:rsidP="0007331D">
            <w:r w:rsidRPr="0007331D">
              <w:t>service target performance incentive scheme</w:t>
            </w:r>
          </w:p>
        </w:tc>
      </w:tr>
      <w:tr w:rsidR="00DE563D" w:rsidRPr="0007331D" w:rsidTr="00EB74FC">
        <w:tc>
          <w:tcPr>
            <w:tcW w:w="3227" w:type="dxa"/>
          </w:tcPr>
          <w:p w:rsidR="00DE563D" w:rsidRPr="0007331D" w:rsidRDefault="00DE563D" w:rsidP="0007331D">
            <w:r w:rsidRPr="0007331D">
              <w:t>WACC</w:t>
            </w:r>
          </w:p>
        </w:tc>
        <w:tc>
          <w:tcPr>
            <w:tcW w:w="5466" w:type="dxa"/>
          </w:tcPr>
          <w:p w:rsidR="00DE563D" w:rsidRPr="0007331D" w:rsidRDefault="00DE563D" w:rsidP="0007331D">
            <w:r w:rsidRPr="0007331D">
              <w:t>weighted average cost of capital</w:t>
            </w:r>
          </w:p>
        </w:tc>
      </w:tr>
      <w:tr w:rsidR="00DE7949" w:rsidRPr="0007331D" w:rsidTr="00EB74FC">
        <w:trPr>
          <w:cnfStyle w:val="000000010000" w:firstRow="0" w:lastRow="0" w:firstColumn="0" w:lastColumn="0" w:oddVBand="0" w:evenVBand="0" w:oddHBand="0" w:evenHBand="1" w:firstRowFirstColumn="0" w:firstRowLastColumn="0" w:lastRowFirstColumn="0" w:lastRowLastColumn="0"/>
        </w:trPr>
        <w:tc>
          <w:tcPr>
            <w:tcW w:w="3227" w:type="dxa"/>
          </w:tcPr>
          <w:p w:rsidR="00DE7949" w:rsidRPr="0007331D" w:rsidRDefault="00DE7949" w:rsidP="0007331D">
            <w:r w:rsidRPr="0007331D">
              <w:t>WARL</w:t>
            </w:r>
          </w:p>
        </w:tc>
        <w:tc>
          <w:tcPr>
            <w:tcW w:w="5466" w:type="dxa"/>
          </w:tcPr>
          <w:p w:rsidR="00DE7949" w:rsidRPr="0007331D" w:rsidRDefault="00DE7949" w:rsidP="0007331D">
            <w:r w:rsidRPr="0007331D">
              <w:t>weighted average remaining life</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BE4DEA" w:rsidRDefault="00BE4DEA">
      <w:pPr>
        <w:spacing w:line="240" w:lineRule="auto"/>
      </w:pPr>
    </w:p>
    <w:p w:rsidR="00DE563D" w:rsidRDefault="00F10C90" w:rsidP="00B65CF2">
      <w:pPr>
        <w:pStyle w:val="Heading1"/>
      </w:pPr>
      <w:bookmarkStart w:id="10" w:name="_Toc433121881"/>
      <w:r w:rsidRPr="00B65CF2">
        <w:lastRenderedPageBreak/>
        <w:t>Regulatory depreciation</w:t>
      </w:r>
      <w:bookmarkEnd w:id="10"/>
    </w:p>
    <w:p w:rsidR="000052B2" w:rsidRPr="009C3A35" w:rsidRDefault="000052B2" w:rsidP="000052B2">
      <w:r w:rsidRPr="009C3A35">
        <w:t xml:space="preserve">Depreciation is the allowance provided so capital investors recover their investment over the economic life of the asset (return of capital). </w:t>
      </w:r>
      <w:r w:rsidR="0007331D">
        <w:t>In deciding</w:t>
      </w:r>
      <w:r w:rsidRPr="009C3A35">
        <w:t xml:space="preserve"> whether to approve the depreciation schedules submitted by </w:t>
      </w:r>
      <w:r>
        <w:t>Energex</w:t>
      </w:r>
      <w:r w:rsidR="0007331D">
        <w:t>,</w:t>
      </w:r>
      <w:r w:rsidRPr="009C3A35">
        <w:t xml:space="preserve"> we make determinations on the indexation of the regulatory asset base (RAB) and depreciation building blocks for </w:t>
      </w:r>
      <w:r>
        <w:t>Energex's</w:t>
      </w:r>
      <w:r w:rsidRPr="009C3A35">
        <w:t xml:space="preserve"> 2015–20 regulatory control period.</w:t>
      </w:r>
      <w:r w:rsidRPr="00F433A3">
        <w:rPr>
          <w:rStyle w:val="FootnoteReference"/>
        </w:rPr>
        <w:footnoteReference w:id="1"/>
      </w:r>
      <w:r w:rsidRPr="009C3A35">
        <w:t xml:space="preserve"> The regulatory depreciation allowance is the net total of the straight-line depreciation (negative) and the indexation </w:t>
      </w:r>
      <w:r>
        <w:t xml:space="preserve">(positive) </w:t>
      </w:r>
      <w:r w:rsidRPr="009C3A35">
        <w:t xml:space="preserve">of the RAB. </w:t>
      </w:r>
    </w:p>
    <w:p w:rsidR="000C2F2D" w:rsidRPr="000C2F2D" w:rsidRDefault="000052B2" w:rsidP="000C2F2D">
      <w:r w:rsidRPr="009C3A35">
        <w:t xml:space="preserve">This attachment sets out our </w:t>
      </w:r>
      <w:r>
        <w:t>final</w:t>
      </w:r>
      <w:r w:rsidRPr="009C3A35">
        <w:t xml:space="preserve"> decision on </w:t>
      </w:r>
      <w:r>
        <w:t>Energex's</w:t>
      </w:r>
      <w:r w:rsidRPr="009C3A35">
        <w:t xml:space="preserve"> regulatory depreciation allowance. It also presents our </w:t>
      </w:r>
      <w:r>
        <w:t>final</w:t>
      </w:r>
      <w:r w:rsidRPr="009C3A35">
        <w:t xml:space="preserve"> decision on the </w:t>
      </w:r>
      <w:r>
        <w:t xml:space="preserve">revised </w:t>
      </w:r>
      <w:r w:rsidRPr="009C3A35">
        <w:t xml:space="preserve">proposed depreciation schedules, including the </w:t>
      </w:r>
      <w:r>
        <w:t xml:space="preserve">revised </w:t>
      </w:r>
      <w:r w:rsidRPr="009C3A35">
        <w:t xml:space="preserve">proposed standard </w:t>
      </w:r>
      <w:r>
        <w:t xml:space="preserve">asset lives </w:t>
      </w:r>
      <w:r w:rsidRPr="009C3A35">
        <w:t>and remaining asset lives to be used for forecasting the depreciation allowance.</w:t>
      </w:r>
    </w:p>
    <w:p w:rsidR="00DE563D" w:rsidRDefault="004124A2" w:rsidP="00B65CF2">
      <w:pPr>
        <w:pStyle w:val="Heading2"/>
      </w:pPr>
      <w:bookmarkStart w:id="11" w:name="_Toc403144136"/>
      <w:bookmarkStart w:id="12" w:name="_Toc433121882"/>
      <w:r>
        <w:t>Final</w:t>
      </w:r>
      <w:r w:rsidR="00DE563D" w:rsidRPr="00CC783D">
        <w:t xml:space="preserve"> decision</w:t>
      </w:r>
      <w:bookmarkEnd w:id="11"/>
      <w:bookmarkEnd w:id="12"/>
    </w:p>
    <w:p w:rsidR="000052B2" w:rsidRDefault="000052B2" w:rsidP="000052B2">
      <w:r w:rsidRPr="001121F4">
        <w:t xml:space="preserve">We do not accept </w:t>
      </w:r>
      <w:r>
        <w:t>Energex</w:t>
      </w:r>
      <w:r w:rsidRPr="001121F4">
        <w:t>'s revised proposed re</w:t>
      </w:r>
      <w:r>
        <w:t>gulatory depreciation allowance</w:t>
      </w:r>
      <w:r w:rsidRPr="001121F4">
        <w:t xml:space="preserve"> of $</w:t>
      </w:r>
      <w:r>
        <w:t xml:space="preserve">479.9 million </w:t>
      </w:r>
      <w:r w:rsidRPr="001121F4">
        <w:t>($</w:t>
      </w:r>
      <w:r>
        <w:t> </w:t>
      </w:r>
      <w:r w:rsidRPr="001121F4">
        <w:t>nominal) for the 201</w:t>
      </w:r>
      <w:r w:rsidR="002352F8">
        <w:t>5</w:t>
      </w:r>
      <w:r w:rsidRPr="001121F4">
        <w:t>–</w:t>
      </w:r>
      <w:r w:rsidR="002352F8">
        <w:t>20</w:t>
      </w:r>
      <w:r w:rsidRPr="001121F4">
        <w:t xml:space="preserve"> </w:t>
      </w:r>
      <w:r w:rsidR="002352F8">
        <w:t xml:space="preserve">regulatory control </w:t>
      </w:r>
      <w:r w:rsidRPr="001121F4">
        <w:t>period</w:t>
      </w:r>
      <w:r>
        <w:t>.</w:t>
      </w:r>
      <w:r>
        <w:rPr>
          <w:rStyle w:val="FootnoteReference"/>
        </w:rPr>
        <w:footnoteReference w:id="2"/>
      </w:r>
      <w:r>
        <w:t xml:space="preserve"> </w:t>
      </w:r>
      <w:r w:rsidRPr="001121F4">
        <w:t>Instead</w:t>
      </w:r>
      <w:r>
        <w:t>,</w:t>
      </w:r>
      <w:r w:rsidRPr="001121F4">
        <w:t xml:space="preserve"> we determine </w:t>
      </w:r>
      <w:r>
        <w:t xml:space="preserve">a </w:t>
      </w:r>
      <w:r w:rsidRPr="001121F4">
        <w:t>re</w:t>
      </w:r>
      <w:r>
        <w:t>gulatory depreciation allowance</w:t>
      </w:r>
      <w:r w:rsidRPr="001121F4">
        <w:t xml:space="preserve"> of $</w:t>
      </w:r>
      <w:r w:rsidR="00C64FDD">
        <w:t>476.1</w:t>
      </w:r>
      <w:r w:rsidRPr="001121F4">
        <w:t xml:space="preserve"> million</w:t>
      </w:r>
      <w:r>
        <w:t xml:space="preserve"> ($ nominal). </w:t>
      </w:r>
      <w:r w:rsidRPr="001121F4">
        <w:t xml:space="preserve">This </w:t>
      </w:r>
      <w:r>
        <w:t xml:space="preserve">amount </w:t>
      </w:r>
      <w:r w:rsidRPr="001121F4">
        <w:t>represent</w:t>
      </w:r>
      <w:r>
        <w:t>s</w:t>
      </w:r>
      <w:r w:rsidRPr="001121F4">
        <w:t xml:space="preserve"> </w:t>
      </w:r>
      <w:r>
        <w:t xml:space="preserve">a decrease </w:t>
      </w:r>
      <w:r w:rsidRPr="001121F4">
        <w:t xml:space="preserve">of </w:t>
      </w:r>
      <w:r>
        <w:t>$</w:t>
      </w:r>
      <w:r w:rsidR="00C64FDD">
        <w:t>3.8</w:t>
      </w:r>
      <w:r>
        <w:t xml:space="preserve"> million (or </w:t>
      </w:r>
      <w:r w:rsidR="00C64FDD">
        <w:t>0.8</w:t>
      </w:r>
      <w:r>
        <w:t xml:space="preserve"> </w:t>
      </w:r>
      <w:r w:rsidRPr="001121F4">
        <w:t>per cent</w:t>
      </w:r>
      <w:r>
        <w:t>)</w:t>
      </w:r>
      <w:r w:rsidRPr="001121F4">
        <w:t xml:space="preserve"> </w:t>
      </w:r>
      <w:r>
        <w:t>on Energex</w:t>
      </w:r>
      <w:r w:rsidRPr="001121F4">
        <w:t>'s</w:t>
      </w:r>
      <w:r>
        <w:t xml:space="preserve"> revised proposed amount.</w:t>
      </w:r>
    </w:p>
    <w:p w:rsidR="000052B2" w:rsidRDefault="000052B2" w:rsidP="000052B2">
      <w:r w:rsidRPr="001121F4">
        <w:t xml:space="preserve">Our final decision on </w:t>
      </w:r>
      <w:r>
        <w:t>Energex</w:t>
      </w:r>
      <w:r w:rsidRPr="001121F4">
        <w:t>'s regulatory depreciation allowance reflects our determination</w:t>
      </w:r>
      <w:r>
        <w:t>s</w:t>
      </w:r>
      <w:r w:rsidRPr="001121F4">
        <w:t xml:space="preserve"> on other componen</w:t>
      </w:r>
      <w:r>
        <w:t>ts</w:t>
      </w:r>
      <w:r w:rsidRPr="001121F4">
        <w:t xml:space="preserve"> of </w:t>
      </w:r>
      <w:r>
        <w:t>Energex</w:t>
      </w:r>
      <w:r w:rsidRPr="001121F4">
        <w:t xml:space="preserve">'s revised proposal which </w:t>
      </w:r>
      <w:r>
        <w:t>affect</w:t>
      </w:r>
      <w:r w:rsidRPr="001121F4">
        <w:t xml:space="preserve"> the forecast regulatory depreciation allowance—</w:t>
      </w:r>
      <w:r>
        <w:t xml:space="preserve">for example, </w:t>
      </w:r>
      <w:r w:rsidR="00290364">
        <w:t>the opening RAB at 1 July 2015 (attachment 2)</w:t>
      </w:r>
      <w:r w:rsidR="008478C7">
        <w:t xml:space="preserve"> </w:t>
      </w:r>
      <w:r w:rsidR="00290364">
        <w:t>and</w:t>
      </w:r>
      <w:r>
        <w:t xml:space="preserve"> forecast capex (attachment 6).</w:t>
      </w:r>
      <w:r>
        <w:rPr>
          <w:rStyle w:val="FootnoteReference"/>
        </w:rPr>
        <w:footnoteReference w:id="3"/>
      </w:r>
    </w:p>
    <w:p w:rsidR="00290364" w:rsidRDefault="00290364" w:rsidP="00290364">
      <w:r>
        <w:fldChar w:fldCharType="begin"/>
      </w:r>
      <w:r>
        <w:instrText xml:space="preserve"> REF _Ref410380127 \h </w:instrText>
      </w:r>
      <w:r>
        <w:fldChar w:fldCharType="separate"/>
      </w:r>
      <w:r w:rsidR="00EB74FC">
        <w:t xml:space="preserve">Table </w:t>
      </w:r>
      <w:r w:rsidR="00EB74FC">
        <w:rPr>
          <w:noProof/>
        </w:rPr>
        <w:t>5</w:t>
      </w:r>
      <w:r w:rsidR="00EB74FC">
        <w:t>.</w:t>
      </w:r>
      <w:r w:rsidR="00EB74FC">
        <w:rPr>
          <w:noProof/>
        </w:rPr>
        <w:t>1</w:t>
      </w:r>
      <w:r>
        <w:fldChar w:fldCharType="end"/>
      </w:r>
      <w:r>
        <w:t xml:space="preserve"> </w:t>
      </w:r>
      <w:r w:rsidRPr="00F01ABB">
        <w:t xml:space="preserve">sets out our </w:t>
      </w:r>
      <w:r>
        <w:t>final</w:t>
      </w:r>
      <w:r w:rsidRPr="00F01ABB">
        <w:t xml:space="preserve"> decision on the annual regulatory depreciation allowance for </w:t>
      </w:r>
      <w:r>
        <w:t>Energex's</w:t>
      </w:r>
      <w:r w:rsidRPr="00F01ABB">
        <w:t xml:space="preserve"> 2015–20 regulatory control </w:t>
      </w:r>
      <w:proofErr w:type="gramStart"/>
      <w:r w:rsidRPr="00F01ABB">
        <w:t>period</w:t>
      </w:r>
      <w:proofErr w:type="gramEnd"/>
      <w:r w:rsidRPr="00F01ABB">
        <w:t>.</w:t>
      </w:r>
    </w:p>
    <w:p w:rsidR="00290364" w:rsidRDefault="00290364" w:rsidP="00290364">
      <w:pPr>
        <w:pStyle w:val="Caption"/>
      </w:pPr>
      <w:bookmarkStart w:id="13" w:name="_Ref410380127"/>
      <w:proofErr w:type="gramStart"/>
      <w:r>
        <w:t xml:space="preserve">Table </w:t>
      </w:r>
      <w:r w:rsidR="0021281C">
        <w:fldChar w:fldCharType="begin"/>
      </w:r>
      <w:r w:rsidR="0021281C">
        <w:instrText xml:space="preserve"> STYLEREF 1 \s </w:instrText>
      </w:r>
      <w:r w:rsidR="0021281C">
        <w:fldChar w:fldCharType="separate"/>
      </w:r>
      <w:r w:rsidR="00EB74FC">
        <w:rPr>
          <w:noProof/>
        </w:rPr>
        <w:t>5</w:t>
      </w:r>
      <w:r w:rsidR="0021281C">
        <w:rPr>
          <w:noProof/>
        </w:rPr>
        <w:fldChar w:fldCharType="end"/>
      </w:r>
      <w:r>
        <w:t>.</w:t>
      </w:r>
      <w:proofErr w:type="gramEnd"/>
      <w:r w:rsidR="009828EC">
        <w:fldChar w:fldCharType="begin"/>
      </w:r>
      <w:r w:rsidR="009828EC">
        <w:instrText xml:space="preserve"> SEQ Table \* ARABIC \s 1 </w:instrText>
      </w:r>
      <w:r w:rsidR="009828EC">
        <w:fldChar w:fldCharType="separate"/>
      </w:r>
      <w:r w:rsidR="00EB74FC">
        <w:rPr>
          <w:noProof/>
        </w:rPr>
        <w:t>1</w:t>
      </w:r>
      <w:r w:rsidR="009828EC">
        <w:rPr>
          <w:noProof/>
        </w:rPr>
        <w:fldChar w:fldCharType="end"/>
      </w:r>
      <w:bookmarkEnd w:id="13"/>
      <w:r>
        <w:tab/>
      </w:r>
      <w:r w:rsidRPr="00F01ABB">
        <w:t xml:space="preserve">AER's </w:t>
      </w:r>
      <w:r>
        <w:t>final</w:t>
      </w:r>
      <w:r w:rsidRPr="00F01ABB">
        <w:t xml:space="preserve"> decision on </w:t>
      </w:r>
      <w:r>
        <w:t xml:space="preserve">Energex's </w:t>
      </w:r>
      <w:r w:rsidRPr="00F01ABB">
        <w:t>depreciation allowance for the 2015–20 regulatory control period ($ million, nominal)</w:t>
      </w:r>
    </w:p>
    <w:tbl>
      <w:tblPr>
        <w:tblStyle w:val="AERtable-numbers"/>
        <w:tblW w:w="8613" w:type="dxa"/>
        <w:tblLayout w:type="fixed"/>
        <w:tblLook w:val="04A0" w:firstRow="1" w:lastRow="0" w:firstColumn="1" w:lastColumn="0" w:noHBand="0" w:noVBand="1"/>
      </w:tblPr>
      <w:tblGrid>
        <w:gridCol w:w="3227"/>
        <w:gridCol w:w="897"/>
        <w:gridCol w:w="898"/>
        <w:gridCol w:w="898"/>
        <w:gridCol w:w="897"/>
        <w:gridCol w:w="898"/>
        <w:gridCol w:w="898"/>
      </w:tblGrid>
      <w:tr w:rsidR="00290364" w:rsidRPr="00204479" w:rsidTr="007C7C6B">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290364" w:rsidRPr="00F01ABB" w:rsidRDefault="00290364" w:rsidP="007C7C6B">
            <w:r w:rsidRPr="00204479">
              <w:t> </w:t>
            </w:r>
          </w:p>
        </w:tc>
        <w:tc>
          <w:tcPr>
            <w:tcW w:w="897" w:type="dxa"/>
            <w:noWrap/>
            <w:hideMark/>
          </w:tcPr>
          <w:p w:rsidR="00290364" w:rsidRPr="00F01ABB" w:rsidRDefault="00290364" w:rsidP="007C7C6B">
            <w:pPr>
              <w:cnfStyle w:val="100000000000" w:firstRow="1" w:lastRow="0" w:firstColumn="0" w:lastColumn="0" w:oddVBand="0" w:evenVBand="0" w:oddHBand="0" w:evenHBand="0" w:firstRowFirstColumn="0" w:firstRowLastColumn="0" w:lastRowFirstColumn="0" w:lastRowLastColumn="0"/>
            </w:pPr>
            <w:r w:rsidRPr="00204479">
              <w:t>2015–16</w:t>
            </w:r>
          </w:p>
        </w:tc>
        <w:tc>
          <w:tcPr>
            <w:tcW w:w="898" w:type="dxa"/>
            <w:noWrap/>
            <w:hideMark/>
          </w:tcPr>
          <w:p w:rsidR="00290364" w:rsidRPr="00F01ABB" w:rsidRDefault="00290364" w:rsidP="007C7C6B">
            <w:pPr>
              <w:cnfStyle w:val="100000000000" w:firstRow="1" w:lastRow="0" w:firstColumn="0" w:lastColumn="0" w:oddVBand="0" w:evenVBand="0" w:oddHBand="0" w:evenHBand="0" w:firstRowFirstColumn="0" w:firstRowLastColumn="0" w:lastRowFirstColumn="0" w:lastRowLastColumn="0"/>
            </w:pPr>
            <w:r w:rsidRPr="00204479">
              <w:t>2016–17</w:t>
            </w:r>
          </w:p>
        </w:tc>
        <w:tc>
          <w:tcPr>
            <w:tcW w:w="898" w:type="dxa"/>
            <w:noWrap/>
            <w:hideMark/>
          </w:tcPr>
          <w:p w:rsidR="00290364" w:rsidRPr="00F01ABB" w:rsidRDefault="00290364" w:rsidP="007C7C6B">
            <w:pPr>
              <w:cnfStyle w:val="100000000000" w:firstRow="1" w:lastRow="0" w:firstColumn="0" w:lastColumn="0" w:oddVBand="0" w:evenVBand="0" w:oddHBand="0" w:evenHBand="0" w:firstRowFirstColumn="0" w:firstRowLastColumn="0" w:lastRowFirstColumn="0" w:lastRowLastColumn="0"/>
            </w:pPr>
            <w:r w:rsidRPr="00204479">
              <w:t>2017–18</w:t>
            </w:r>
          </w:p>
        </w:tc>
        <w:tc>
          <w:tcPr>
            <w:tcW w:w="897" w:type="dxa"/>
            <w:noWrap/>
            <w:hideMark/>
          </w:tcPr>
          <w:p w:rsidR="00290364" w:rsidRPr="00F01ABB" w:rsidRDefault="00290364" w:rsidP="007C7C6B">
            <w:pPr>
              <w:cnfStyle w:val="100000000000" w:firstRow="1" w:lastRow="0" w:firstColumn="0" w:lastColumn="0" w:oddVBand="0" w:evenVBand="0" w:oddHBand="0" w:evenHBand="0" w:firstRowFirstColumn="0" w:firstRowLastColumn="0" w:lastRowFirstColumn="0" w:lastRowLastColumn="0"/>
            </w:pPr>
            <w:r w:rsidRPr="00204479">
              <w:t>2018–19</w:t>
            </w:r>
          </w:p>
        </w:tc>
        <w:tc>
          <w:tcPr>
            <w:tcW w:w="898" w:type="dxa"/>
            <w:noWrap/>
            <w:hideMark/>
          </w:tcPr>
          <w:p w:rsidR="00290364" w:rsidRPr="00F01ABB" w:rsidRDefault="00290364" w:rsidP="007C7C6B">
            <w:pPr>
              <w:cnfStyle w:val="100000000000" w:firstRow="1" w:lastRow="0" w:firstColumn="0" w:lastColumn="0" w:oddVBand="0" w:evenVBand="0" w:oddHBand="0" w:evenHBand="0" w:firstRowFirstColumn="0" w:firstRowLastColumn="0" w:lastRowFirstColumn="0" w:lastRowLastColumn="0"/>
            </w:pPr>
            <w:r>
              <w:t>201</w:t>
            </w:r>
            <w:r w:rsidRPr="00F01ABB">
              <w:t>9–20</w:t>
            </w:r>
          </w:p>
        </w:tc>
        <w:tc>
          <w:tcPr>
            <w:tcW w:w="898" w:type="dxa"/>
            <w:noWrap/>
            <w:hideMark/>
          </w:tcPr>
          <w:p w:rsidR="00290364" w:rsidRPr="00F01ABB" w:rsidRDefault="00290364" w:rsidP="007C7C6B">
            <w:pPr>
              <w:cnfStyle w:val="100000000000" w:firstRow="1" w:lastRow="0" w:firstColumn="0" w:lastColumn="0" w:oddVBand="0" w:evenVBand="0" w:oddHBand="0" w:evenHBand="0" w:firstRowFirstColumn="0" w:firstRowLastColumn="0" w:lastRowFirstColumn="0" w:lastRowLastColumn="0"/>
            </w:pPr>
            <w:r w:rsidRPr="00204479">
              <w:t>Total</w:t>
            </w:r>
          </w:p>
        </w:tc>
      </w:tr>
      <w:tr w:rsidR="00C64FDD" w:rsidRPr="00204479" w:rsidTr="007C7C6B">
        <w:trPr>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C64FDD" w:rsidRPr="00CC6EF3" w:rsidRDefault="00C64FDD" w:rsidP="007C7C6B">
            <w:r w:rsidRPr="00CC6EF3">
              <w:t>Straight-line depreciation</w:t>
            </w:r>
          </w:p>
        </w:tc>
        <w:tc>
          <w:tcPr>
            <w:tcW w:w="897" w:type="dxa"/>
            <w:noWrap/>
            <w:vAlign w:val="bottom"/>
          </w:tcPr>
          <w:p w:rsidR="00C64FDD" w:rsidRPr="00326AD3" w:rsidRDefault="00C64FDD" w:rsidP="00321111">
            <w:pPr>
              <w:cnfStyle w:val="000000000000" w:firstRow="0" w:lastRow="0" w:firstColumn="0" w:lastColumn="0" w:oddVBand="0" w:evenVBand="0" w:oddHBand="0" w:evenHBand="0" w:firstRowFirstColumn="0" w:firstRowLastColumn="0" w:lastRowFirstColumn="0" w:lastRowLastColumn="0"/>
            </w:pPr>
            <w:r w:rsidRPr="00326AD3">
              <w:t>351.2</w:t>
            </w:r>
          </w:p>
        </w:tc>
        <w:tc>
          <w:tcPr>
            <w:tcW w:w="898" w:type="dxa"/>
            <w:noWrap/>
            <w:vAlign w:val="bottom"/>
          </w:tcPr>
          <w:p w:rsidR="00C64FDD" w:rsidRPr="00326AD3" w:rsidRDefault="00C64FDD" w:rsidP="00321111">
            <w:pPr>
              <w:cnfStyle w:val="000000000000" w:firstRow="0" w:lastRow="0" w:firstColumn="0" w:lastColumn="0" w:oddVBand="0" w:evenVBand="0" w:oddHBand="0" w:evenHBand="0" w:firstRowFirstColumn="0" w:firstRowLastColumn="0" w:lastRowFirstColumn="0" w:lastRowLastColumn="0"/>
            </w:pPr>
            <w:r w:rsidRPr="00326AD3">
              <w:t>376.5</w:t>
            </w:r>
          </w:p>
        </w:tc>
        <w:tc>
          <w:tcPr>
            <w:tcW w:w="898" w:type="dxa"/>
            <w:noWrap/>
            <w:vAlign w:val="bottom"/>
          </w:tcPr>
          <w:p w:rsidR="00C64FDD" w:rsidRPr="00326AD3" w:rsidRDefault="00C64FDD" w:rsidP="00A031F9">
            <w:pPr>
              <w:cnfStyle w:val="000000000000" w:firstRow="0" w:lastRow="0" w:firstColumn="0" w:lastColumn="0" w:oddVBand="0" w:evenVBand="0" w:oddHBand="0" w:evenHBand="0" w:firstRowFirstColumn="0" w:firstRowLastColumn="0" w:lastRowFirstColumn="0" w:lastRowLastColumn="0"/>
            </w:pPr>
            <w:r w:rsidRPr="00326AD3">
              <w:t>402.</w:t>
            </w:r>
            <w:r w:rsidR="00A031F9">
              <w:t>0</w:t>
            </w:r>
          </w:p>
        </w:tc>
        <w:tc>
          <w:tcPr>
            <w:tcW w:w="897" w:type="dxa"/>
            <w:noWrap/>
            <w:vAlign w:val="bottom"/>
          </w:tcPr>
          <w:p w:rsidR="00C64FDD" w:rsidRPr="00326AD3" w:rsidRDefault="00C64FDD" w:rsidP="00A031F9">
            <w:pPr>
              <w:cnfStyle w:val="000000000000" w:firstRow="0" w:lastRow="0" w:firstColumn="0" w:lastColumn="0" w:oddVBand="0" w:evenVBand="0" w:oddHBand="0" w:evenHBand="0" w:firstRowFirstColumn="0" w:firstRowLastColumn="0" w:lastRowFirstColumn="0" w:lastRowLastColumn="0"/>
            </w:pPr>
            <w:r w:rsidRPr="00326AD3">
              <w:t>420.</w:t>
            </w:r>
            <w:r w:rsidR="00A031F9">
              <w:t>4</w:t>
            </w:r>
          </w:p>
        </w:tc>
        <w:tc>
          <w:tcPr>
            <w:tcW w:w="898" w:type="dxa"/>
            <w:noWrap/>
            <w:vAlign w:val="bottom"/>
          </w:tcPr>
          <w:p w:rsidR="00C64FDD" w:rsidRPr="00326AD3" w:rsidRDefault="00C64FDD" w:rsidP="00321111">
            <w:pPr>
              <w:cnfStyle w:val="000000000000" w:firstRow="0" w:lastRow="0" w:firstColumn="0" w:lastColumn="0" w:oddVBand="0" w:evenVBand="0" w:oddHBand="0" w:evenHBand="0" w:firstRowFirstColumn="0" w:firstRowLastColumn="0" w:lastRowFirstColumn="0" w:lastRowLastColumn="0"/>
            </w:pPr>
            <w:r w:rsidRPr="00326AD3">
              <w:t>446.2</w:t>
            </w:r>
          </w:p>
        </w:tc>
        <w:tc>
          <w:tcPr>
            <w:tcW w:w="898" w:type="dxa"/>
            <w:noWrap/>
            <w:vAlign w:val="bottom"/>
          </w:tcPr>
          <w:p w:rsidR="00C64FDD" w:rsidRPr="00326AD3" w:rsidRDefault="00C64FDD" w:rsidP="00A031F9">
            <w:pPr>
              <w:cnfStyle w:val="000000000000" w:firstRow="0" w:lastRow="0" w:firstColumn="0" w:lastColumn="0" w:oddVBand="0" w:evenVBand="0" w:oddHBand="0" w:evenHBand="0" w:firstRowFirstColumn="0" w:firstRowLastColumn="0" w:lastRowFirstColumn="0" w:lastRowLastColumn="0"/>
            </w:pPr>
            <w:r w:rsidRPr="00326AD3">
              <w:t>199</w:t>
            </w:r>
            <w:r w:rsidR="00A031F9">
              <w:t>6</w:t>
            </w:r>
            <w:r w:rsidRPr="00326AD3">
              <w:t>.</w:t>
            </w:r>
            <w:r w:rsidR="00A031F9">
              <w:t>4</w:t>
            </w:r>
          </w:p>
        </w:tc>
      </w:tr>
      <w:tr w:rsidR="00C64FDD" w:rsidRPr="00204479" w:rsidTr="007C7C6B">
        <w:trPr>
          <w:cnfStyle w:val="000000010000" w:firstRow="0" w:lastRow="0" w:firstColumn="0" w:lastColumn="0" w:oddVBand="0" w:evenVBand="0" w:oddHBand="0" w:evenHBand="1"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C64FDD" w:rsidRPr="00CC6EF3" w:rsidRDefault="00C64FDD" w:rsidP="007C7C6B">
            <w:r w:rsidRPr="00CC6EF3">
              <w:rPr>
                <w:rStyle w:val="AERtextitalic"/>
              </w:rPr>
              <w:t>Less:</w:t>
            </w:r>
            <w:r w:rsidRPr="00CC6EF3">
              <w:t xml:space="preserve"> inflation indexation on opening RAB</w:t>
            </w:r>
          </w:p>
        </w:tc>
        <w:tc>
          <w:tcPr>
            <w:tcW w:w="897" w:type="dxa"/>
            <w:noWrap/>
            <w:vAlign w:val="bottom"/>
          </w:tcPr>
          <w:p w:rsidR="00C64FDD" w:rsidRPr="00326AD3" w:rsidRDefault="00C64FDD" w:rsidP="00321111">
            <w:pPr>
              <w:cnfStyle w:val="000000010000" w:firstRow="0" w:lastRow="0" w:firstColumn="0" w:lastColumn="0" w:oddVBand="0" w:evenVBand="0" w:oddHBand="0" w:evenHBand="1" w:firstRowFirstColumn="0" w:firstRowLastColumn="0" w:lastRowFirstColumn="0" w:lastRowLastColumn="0"/>
            </w:pPr>
            <w:r w:rsidRPr="00326AD3">
              <w:t>279.3</w:t>
            </w:r>
          </w:p>
        </w:tc>
        <w:tc>
          <w:tcPr>
            <w:tcW w:w="898" w:type="dxa"/>
            <w:noWrap/>
            <w:vAlign w:val="bottom"/>
          </w:tcPr>
          <w:p w:rsidR="00C64FDD" w:rsidRPr="00326AD3" w:rsidRDefault="00C64FDD" w:rsidP="00A031F9">
            <w:pPr>
              <w:cnfStyle w:val="000000010000" w:firstRow="0" w:lastRow="0" w:firstColumn="0" w:lastColumn="0" w:oddVBand="0" w:evenVBand="0" w:oddHBand="0" w:evenHBand="1" w:firstRowFirstColumn="0" w:firstRowLastColumn="0" w:lastRowFirstColumn="0" w:lastRowLastColumn="0"/>
            </w:pPr>
            <w:r w:rsidRPr="00326AD3">
              <w:t>29</w:t>
            </w:r>
            <w:r w:rsidR="00A031F9">
              <w:t>2</w:t>
            </w:r>
            <w:r w:rsidRPr="00326AD3">
              <w:t>.</w:t>
            </w:r>
            <w:r w:rsidR="00A031F9">
              <w:t>0</w:t>
            </w:r>
          </w:p>
        </w:tc>
        <w:tc>
          <w:tcPr>
            <w:tcW w:w="898" w:type="dxa"/>
            <w:noWrap/>
            <w:vAlign w:val="bottom"/>
          </w:tcPr>
          <w:p w:rsidR="00C64FDD" w:rsidRPr="00326AD3" w:rsidRDefault="00C64FDD" w:rsidP="00A031F9">
            <w:pPr>
              <w:cnfStyle w:val="000000010000" w:firstRow="0" w:lastRow="0" w:firstColumn="0" w:lastColumn="0" w:oddVBand="0" w:evenVBand="0" w:oddHBand="0" w:evenHBand="1" w:firstRowFirstColumn="0" w:firstRowLastColumn="0" w:lastRowFirstColumn="0" w:lastRowLastColumn="0"/>
            </w:pPr>
            <w:r w:rsidRPr="00326AD3">
              <w:t>30</w:t>
            </w:r>
            <w:r w:rsidR="00A031F9">
              <w:t>4</w:t>
            </w:r>
            <w:r w:rsidRPr="00326AD3">
              <w:t>.</w:t>
            </w:r>
            <w:r w:rsidR="00A031F9">
              <w:t>7</w:t>
            </w:r>
          </w:p>
        </w:tc>
        <w:tc>
          <w:tcPr>
            <w:tcW w:w="897" w:type="dxa"/>
            <w:noWrap/>
            <w:vAlign w:val="bottom"/>
          </w:tcPr>
          <w:p w:rsidR="00C64FDD" w:rsidRPr="00326AD3" w:rsidRDefault="00C64FDD" w:rsidP="00A031F9">
            <w:pPr>
              <w:cnfStyle w:val="000000010000" w:firstRow="0" w:lastRow="0" w:firstColumn="0" w:lastColumn="0" w:oddVBand="0" w:evenVBand="0" w:oddHBand="0" w:evenHBand="1" w:firstRowFirstColumn="0" w:firstRowLastColumn="0" w:lastRowFirstColumn="0" w:lastRowLastColumn="0"/>
            </w:pPr>
            <w:r w:rsidRPr="00326AD3">
              <w:t>316.</w:t>
            </w:r>
            <w:r w:rsidR="00A031F9">
              <w:t>3</w:t>
            </w:r>
          </w:p>
        </w:tc>
        <w:tc>
          <w:tcPr>
            <w:tcW w:w="898" w:type="dxa"/>
            <w:noWrap/>
            <w:vAlign w:val="bottom"/>
          </w:tcPr>
          <w:p w:rsidR="00C64FDD" w:rsidRPr="00326AD3" w:rsidRDefault="00C64FDD" w:rsidP="00321111">
            <w:pPr>
              <w:cnfStyle w:val="000000010000" w:firstRow="0" w:lastRow="0" w:firstColumn="0" w:lastColumn="0" w:oddVBand="0" w:evenVBand="0" w:oddHBand="0" w:evenHBand="1" w:firstRowFirstColumn="0" w:firstRowLastColumn="0" w:lastRowFirstColumn="0" w:lastRowLastColumn="0"/>
            </w:pPr>
            <w:r w:rsidRPr="00326AD3">
              <w:t>328.0</w:t>
            </w:r>
          </w:p>
        </w:tc>
        <w:tc>
          <w:tcPr>
            <w:tcW w:w="898" w:type="dxa"/>
            <w:noWrap/>
            <w:vAlign w:val="bottom"/>
          </w:tcPr>
          <w:p w:rsidR="00C64FDD" w:rsidRPr="00326AD3" w:rsidRDefault="00C64FDD" w:rsidP="00A031F9">
            <w:pPr>
              <w:cnfStyle w:val="000000010000" w:firstRow="0" w:lastRow="0" w:firstColumn="0" w:lastColumn="0" w:oddVBand="0" w:evenVBand="0" w:oddHBand="0" w:evenHBand="1" w:firstRowFirstColumn="0" w:firstRowLastColumn="0" w:lastRowFirstColumn="0" w:lastRowLastColumn="0"/>
            </w:pPr>
            <w:r w:rsidRPr="00326AD3">
              <w:t>1520.</w:t>
            </w:r>
            <w:r w:rsidR="00A031F9">
              <w:t>3</w:t>
            </w:r>
          </w:p>
        </w:tc>
      </w:tr>
      <w:tr w:rsidR="00C64FDD" w:rsidRPr="00CC6EF3" w:rsidTr="007C7C6B">
        <w:trPr>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C64FDD" w:rsidRPr="00CC6EF3" w:rsidRDefault="00C64FDD" w:rsidP="007C7C6B">
            <w:pPr>
              <w:rPr>
                <w:rStyle w:val="Strong"/>
              </w:rPr>
            </w:pPr>
            <w:r w:rsidRPr="00CC6EF3">
              <w:rPr>
                <w:rStyle w:val="Strong"/>
              </w:rPr>
              <w:t>Regulatory depreciation</w:t>
            </w:r>
          </w:p>
        </w:tc>
        <w:tc>
          <w:tcPr>
            <w:tcW w:w="897" w:type="dxa"/>
            <w:noWrap/>
            <w:vAlign w:val="bottom"/>
          </w:tcPr>
          <w:p w:rsidR="00C64FDD" w:rsidRPr="00326AD3" w:rsidRDefault="00C64FDD" w:rsidP="00321111">
            <w:pPr>
              <w:cnfStyle w:val="000000000000" w:firstRow="0" w:lastRow="0" w:firstColumn="0" w:lastColumn="0" w:oddVBand="0" w:evenVBand="0" w:oddHBand="0" w:evenHBand="0" w:firstRowFirstColumn="0" w:firstRowLastColumn="0" w:lastRowFirstColumn="0" w:lastRowLastColumn="0"/>
              <w:rPr>
                <w:rStyle w:val="Strong"/>
              </w:rPr>
            </w:pPr>
            <w:r w:rsidRPr="00326AD3">
              <w:rPr>
                <w:rStyle w:val="Strong"/>
              </w:rPr>
              <w:t>71.9</w:t>
            </w:r>
          </w:p>
        </w:tc>
        <w:tc>
          <w:tcPr>
            <w:tcW w:w="898" w:type="dxa"/>
            <w:noWrap/>
            <w:vAlign w:val="bottom"/>
          </w:tcPr>
          <w:p w:rsidR="00C64FDD" w:rsidRPr="00326AD3" w:rsidRDefault="00C64FDD" w:rsidP="00321111">
            <w:pPr>
              <w:cnfStyle w:val="000000000000" w:firstRow="0" w:lastRow="0" w:firstColumn="0" w:lastColumn="0" w:oddVBand="0" w:evenVBand="0" w:oddHBand="0" w:evenHBand="0" w:firstRowFirstColumn="0" w:firstRowLastColumn="0" w:lastRowFirstColumn="0" w:lastRowLastColumn="0"/>
              <w:rPr>
                <w:rStyle w:val="Strong"/>
              </w:rPr>
            </w:pPr>
            <w:r w:rsidRPr="00326AD3">
              <w:rPr>
                <w:rStyle w:val="Strong"/>
              </w:rPr>
              <w:t>84.6</w:t>
            </w:r>
          </w:p>
        </w:tc>
        <w:tc>
          <w:tcPr>
            <w:tcW w:w="898" w:type="dxa"/>
            <w:noWrap/>
            <w:vAlign w:val="bottom"/>
          </w:tcPr>
          <w:p w:rsidR="00C64FDD" w:rsidRPr="00326AD3" w:rsidRDefault="00C64FDD" w:rsidP="00321111">
            <w:pPr>
              <w:cnfStyle w:val="000000000000" w:firstRow="0" w:lastRow="0" w:firstColumn="0" w:lastColumn="0" w:oddVBand="0" w:evenVBand="0" w:oddHBand="0" w:evenHBand="0" w:firstRowFirstColumn="0" w:firstRowLastColumn="0" w:lastRowFirstColumn="0" w:lastRowLastColumn="0"/>
              <w:rPr>
                <w:rStyle w:val="Strong"/>
              </w:rPr>
            </w:pPr>
            <w:r w:rsidRPr="00326AD3">
              <w:rPr>
                <w:rStyle w:val="Strong"/>
              </w:rPr>
              <w:t>97.3</w:t>
            </w:r>
          </w:p>
        </w:tc>
        <w:tc>
          <w:tcPr>
            <w:tcW w:w="897" w:type="dxa"/>
            <w:noWrap/>
            <w:vAlign w:val="bottom"/>
          </w:tcPr>
          <w:p w:rsidR="00C64FDD" w:rsidRPr="00326AD3" w:rsidRDefault="00C64FDD" w:rsidP="00321111">
            <w:pPr>
              <w:cnfStyle w:val="000000000000" w:firstRow="0" w:lastRow="0" w:firstColumn="0" w:lastColumn="0" w:oddVBand="0" w:evenVBand="0" w:oddHBand="0" w:evenHBand="0" w:firstRowFirstColumn="0" w:firstRowLastColumn="0" w:lastRowFirstColumn="0" w:lastRowLastColumn="0"/>
              <w:rPr>
                <w:rStyle w:val="Strong"/>
              </w:rPr>
            </w:pPr>
            <w:r w:rsidRPr="00326AD3">
              <w:rPr>
                <w:rStyle w:val="Strong"/>
              </w:rPr>
              <w:t>104.1</w:t>
            </w:r>
          </w:p>
        </w:tc>
        <w:tc>
          <w:tcPr>
            <w:tcW w:w="898" w:type="dxa"/>
            <w:noWrap/>
            <w:vAlign w:val="bottom"/>
          </w:tcPr>
          <w:p w:rsidR="00C64FDD" w:rsidRPr="00326AD3" w:rsidRDefault="00C64FDD" w:rsidP="00321111">
            <w:pPr>
              <w:cnfStyle w:val="000000000000" w:firstRow="0" w:lastRow="0" w:firstColumn="0" w:lastColumn="0" w:oddVBand="0" w:evenVBand="0" w:oddHBand="0" w:evenHBand="0" w:firstRowFirstColumn="0" w:firstRowLastColumn="0" w:lastRowFirstColumn="0" w:lastRowLastColumn="0"/>
              <w:rPr>
                <w:rStyle w:val="Strong"/>
              </w:rPr>
            </w:pPr>
            <w:r w:rsidRPr="00326AD3">
              <w:rPr>
                <w:rStyle w:val="Strong"/>
              </w:rPr>
              <w:t>118.2</w:t>
            </w:r>
          </w:p>
        </w:tc>
        <w:tc>
          <w:tcPr>
            <w:tcW w:w="898" w:type="dxa"/>
            <w:noWrap/>
            <w:vAlign w:val="bottom"/>
          </w:tcPr>
          <w:p w:rsidR="00C64FDD" w:rsidRPr="00326AD3" w:rsidRDefault="00C64FDD" w:rsidP="00321111">
            <w:pPr>
              <w:cnfStyle w:val="000000000000" w:firstRow="0" w:lastRow="0" w:firstColumn="0" w:lastColumn="0" w:oddVBand="0" w:evenVBand="0" w:oddHBand="0" w:evenHBand="0" w:firstRowFirstColumn="0" w:firstRowLastColumn="0" w:lastRowFirstColumn="0" w:lastRowLastColumn="0"/>
              <w:rPr>
                <w:rStyle w:val="Strong"/>
              </w:rPr>
            </w:pPr>
            <w:r w:rsidRPr="00326AD3">
              <w:rPr>
                <w:rStyle w:val="Strong"/>
              </w:rPr>
              <w:t>476.1</w:t>
            </w:r>
          </w:p>
        </w:tc>
      </w:tr>
    </w:tbl>
    <w:p w:rsidR="00290364" w:rsidRDefault="00290364" w:rsidP="00290364">
      <w:pPr>
        <w:pStyle w:val="AERtablesource"/>
      </w:pPr>
      <w:r>
        <w:t xml:space="preserve">Source: </w:t>
      </w:r>
      <w:r>
        <w:tab/>
        <w:t>AER analysis.</w:t>
      </w:r>
    </w:p>
    <w:p w:rsidR="00DE563D" w:rsidRDefault="004124A2" w:rsidP="00B65CF2">
      <w:pPr>
        <w:pStyle w:val="Heading2"/>
      </w:pPr>
      <w:bookmarkStart w:id="14" w:name="_Toc403144137"/>
      <w:bookmarkStart w:id="15" w:name="_Toc433121883"/>
      <w:r>
        <w:lastRenderedPageBreak/>
        <w:t>E</w:t>
      </w:r>
      <w:r w:rsidR="001201F1" w:rsidRPr="00B65CF2">
        <w:t>nergex's</w:t>
      </w:r>
      <w:r w:rsidR="00DE563D" w:rsidRPr="00B65CF2">
        <w:t xml:space="preserve"> </w:t>
      </w:r>
      <w:r>
        <w:t xml:space="preserve">revised </w:t>
      </w:r>
      <w:r w:rsidR="00DE563D" w:rsidRPr="00B65CF2">
        <w:t>proposal</w:t>
      </w:r>
      <w:bookmarkEnd w:id="14"/>
      <w:bookmarkEnd w:id="15"/>
    </w:p>
    <w:p w:rsidR="00C314A0" w:rsidRDefault="00C314A0" w:rsidP="00C314A0">
      <w:r>
        <w:t>Energex</w:t>
      </w:r>
      <w:r w:rsidRPr="001121F4">
        <w:t>'s revised proposal for the 201</w:t>
      </w:r>
      <w:r>
        <w:t>5</w:t>
      </w:r>
      <w:r w:rsidRPr="001121F4">
        <w:t>–</w:t>
      </w:r>
      <w:r>
        <w:t>20</w:t>
      </w:r>
      <w:r w:rsidRPr="001121F4">
        <w:t xml:space="preserve"> </w:t>
      </w:r>
      <w:r>
        <w:t xml:space="preserve">regulatory control </w:t>
      </w:r>
      <w:r w:rsidRPr="001121F4">
        <w:t xml:space="preserve">period forecasts </w:t>
      </w:r>
      <w:r>
        <w:t xml:space="preserve">a </w:t>
      </w:r>
      <w:r w:rsidRPr="001121F4">
        <w:t xml:space="preserve">total regulatory </w:t>
      </w:r>
      <w:r>
        <w:t>depreciation allowance</w:t>
      </w:r>
      <w:r w:rsidRPr="001121F4">
        <w:t xml:space="preserve"> of $</w:t>
      </w:r>
      <w:r>
        <w:t>479.9 </w:t>
      </w:r>
      <w:r w:rsidRPr="001121F4">
        <w:t>million ($</w:t>
      </w:r>
      <w:r>
        <w:t> </w:t>
      </w:r>
      <w:r w:rsidRPr="001121F4">
        <w:t>nominal)</w:t>
      </w:r>
      <w:r>
        <w:t>. Energex's methodology for determining its</w:t>
      </w:r>
      <w:r w:rsidRPr="00DC58F1">
        <w:t xml:space="preserve"> </w:t>
      </w:r>
      <w:r>
        <w:t>regulatory depreciation allowance</w:t>
      </w:r>
      <w:r w:rsidRPr="00DC58F1">
        <w:t xml:space="preserve"> </w:t>
      </w:r>
      <w:r>
        <w:t xml:space="preserve">is unchanged from its initial proposal. We accepted the approach in our </w:t>
      </w:r>
      <w:r w:rsidR="00730BDE">
        <w:t xml:space="preserve">preliminary </w:t>
      </w:r>
      <w:r>
        <w:t xml:space="preserve">decision. </w:t>
      </w:r>
      <w:r w:rsidRPr="00DD41E4">
        <w:t xml:space="preserve">To calculate the depreciation allowance, </w:t>
      </w:r>
      <w:r>
        <w:t>Energex's revised proposal used:</w:t>
      </w:r>
      <w:r>
        <w:rPr>
          <w:rStyle w:val="FootnoteReference"/>
        </w:rPr>
        <w:footnoteReference w:id="4"/>
      </w:r>
    </w:p>
    <w:p w:rsidR="00C314A0" w:rsidRPr="001827B0" w:rsidRDefault="00C314A0" w:rsidP="00C314A0">
      <w:pPr>
        <w:pStyle w:val="AERbulletlistfirststyle"/>
      </w:pPr>
      <w:r>
        <w:t>t</w:t>
      </w:r>
      <w:r w:rsidRPr="00DD41E4">
        <w:t xml:space="preserve">he </w:t>
      </w:r>
      <w:r w:rsidRPr="001827B0">
        <w:t xml:space="preserve">straight-line depreciation method employed in </w:t>
      </w:r>
      <w:r>
        <w:t>our</w:t>
      </w:r>
      <w:r w:rsidRPr="001827B0">
        <w:t xml:space="preserve"> post-tax revenue model (PTRM)</w:t>
      </w:r>
    </w:p>
    <w:p w:rsidR="00C314A0" w:rsidRDefault="00C314A0" w:rsidP="00C314A0">
      <w:pPr>
        <w:pStyle w:val="AERbulletlistfirststyle"/>
      </w:pPr>
      <w:r>
        <w:t xml:space="preserve">the preliminary decision </w:t>
      </w:r>
      <w:r w:rsidRPr="00A25DC7">
        <w:t xml:space="preserve">closing RAB </w:t>
      </w:r>
      <w:r>
        <w:t xml:space="preserve">value at </w:t>
      </w:r>
      <w:r w:rsidRPr="00A25DC7">
        <w:t>30 June 201</w:t>
      </w:r>
      <w:r>
        <w:t>5</w:t>
      </w:r>
      <w:r w:rsidRPr="00A25DC7">
        <w:t xml:space="preserve"> derived from </w:t>
      </w:r>
      <w:r>
        <w:t>our</w:t>
      </w:r>
      <w:r w:rsidRPr="00A25DC7">
        <w:t xml:space="preserve"> </w:t>
      </w:r>
      <w:r>
        <w:t>roll forward model (</w:t>
      </w:r>
      <w:r w:rsidRPr="00A25DC7">
        <w:t>RFM</w:t>
      </w:r>
      <w:r>
        <w:t xml:space="preserve">) </w:t>
      </w:r>
    </w:p>
    <w:p w:rsidR="00C314A0" w:rsidRPr="00A25DC7" w:rsidRDefault="00C314A0" w:rsidP="00C314A0">
      <w:pPr>
        <w:pStyle w:val="AERbulletlistfirststyle"/>
      </w:pPr>
      <w:r>
        <w:t xml:space="preserve">the preliminary decision remaining asset lives at 1 July 2015 </w:t>
      </w:r>
      <w:r w:rsidRPr="006A2A50">
        <w:t xml:space="preserve">for depreciating </w:t>
      </w:r>
      <w:r>
        <w:t>existing</w:t>
      </w:r>
      <w:r w:rsidRPr="006A2A50">
        <w:t xml:space="preserve"> assets </w:t>
      </w:r>
      <w:r>
        <w:t>in the closing RAB as at 30 June 2015</w:t>
      </w:r>
      <w:r w:rsidRPr="00A25DC7">
        <w:t xml:space="preserve"> </w:t>
      </w:r>
    </w:p>
    <w:p w:rsidR="00C314A0" w:rsidRDefault="007014D2" w:rsidP="00C314A0">
      <w:pPr>
        <w:pStyle w:val="AERbulletlistfirststyle"/>
      </w:pPr>
      <w:r>
        <w:t>its</w:t>
      </w:r>
      <w:r w:rsidR="00C314A0">
        <w:t xml:space="preserve"> revised proposed forecast capex for the 2015–20 regulatory control period</w:t>
      </w:r>
    </w:p>
    <w:p w:rsidR="00C314A0" w:rsidRPr="00A25DC7" w:rsidRDefault="00C314A0" w:rsidP="00C314A0">
      <w:pPr>
        <w:pStyle w:val="AERbulletlistfirststyle"/>
      </w:pPr>
      <w:proofErr w:type="gramStart"/>
      <w:r>
        <w:t>t</w:t>
      </w:r>
      <w:r w:rsidRPr="006A2A50">
        <w:t>he</w:t>
      </w:r>
      <w:proofErr w:type="gramEnd"/>
      <w:r w:rsidRPr="006A2A50">
        <w:t xml:space="preserve"> standard asset lives accepted in the </w:t>
      </w:r>
      <w:r>
        <w:t xml:space="preserve">preliminary </w:t>
      </w:r>
      <w:r w:rsidRPr="006A2A50">
        <w:t>decision for depreciating new assets associated with forecast capex for the 201</w:t>
      </w:r>
      <w:r>
        <w:t>5</w:t>
      </w:r>
      <w:r w:rsidRPr="006A2A50">
        <w:t>–</w:t>
      </w:r>
      <w:r>
        <w:t>20</w:t>
      </w:r>
      <w:r w:rsidRPr="006A2A50">
        <w:t xml:space="preserve"> </w:t>
      </w:r>
      <w:r>
        <w:t xml:space="preserve">regulatory control </w:t>
      </w:r>
      <w:r w:rsidRPr="006A2A50">
        <w:t>period</w:t>
      </w:r>
      <w:r>
        <w:t>.</w:t>
      </w:r>
    </w:p>
    <w:p w:rsidR="00C314A0" w:rsidRDefault="00971BA7" w:rsidP="00C314A0">
      <w:r>
        <w:t>Further, Energex noted that there will be circumstances where it would be appropriate for a service provider to propose front loaded (accelerated) depreciation for particular asset classes in the face of increasing uncertainty surrounding future network design.</w:t>
      </w:r>
      <w:r>
        <w:rPr>
          <w:rStyle w:val="FootnoteReference"/>
        </w:rPr>
        <w:footnoteReference w:id="5"/>
      </w:r>
    </w:p>
    <w:p w:rsidR="009B0C3B" w:rsidRDefault="009B0C3B" w:rsidP="00C314A0">
      <w:r>
        <w:fldChar w:fldCharType="begin"/>
      </w:r>
      <w:r>
        <w:instrText xml:space="preserve"> REF _Ref410378606 \h </w:instrText>
      </w:r>
      <w:r>
        <w:fldChar w:fldCharType="separate"/>
      </w:r>
      <w:r w:rsidR="00EB74FC">
        <w:t xml:space="preserve">Table </w:t>
      </w:r>
      <w:r w:rsidR="00EB74FC">
        <w:rPr>
          <w:noProof/>
        </w:rPr>
        <w:t>5</w:t>
      </w:r>
      <w:r w:rsidR="00EB74FC">
        <w:t>.</w:t>
      </w:r>
      <w:r w:rsidR="00EB74FC">
        <w:rPr>
          <w:noProof/>
        </w:rPr>
        <w:t>2</w:t>
      </w:r>
      <w:r>
        <w:fldChar w:fldCharType="end"/>
      </w:r>
      <w:r>
        <w:t xml:space="preserve"> </w:t>
      </w:r>
      <w:r w:rsidRPr="00D26FBD">
        <w:t xml:space="preserve">sets out </w:t>
      </w:r>
      <w:r>
        <w:t>Energex's</w:t>
      </w:r>
      <w:r w:rsidRPr="00D26FBD">
        <w:t xml:space="preserve"> </w:t>
      </w:r>
      <w:r>
        <w:t xml:space="preserve">revised </w:t>
      </w:r>
      <w:r w:rsidRPr="00D26FBD">
        <w:t xml:space="preserve">proposed depreciation allowance for the 2015–20 regulatory control </w:t>
      </w:r>
      <w:proofErr w:type="gramStart"/>
      <w:r w:rsidRPr="00D26FBD">
        <w:t>period</w:t>
      </w:r>
      <w:proofErr w:type="gramEnd"/>
      <w:r>
        <w:t>.</w:t>
      </w:r>
    </w:p>
    <w:p w:rsidR="009B0C3B" w:rsidRDefault="009B0C3B" w:rsidP="009B0C3B">
      <w:pPr>
        <w:pStyle w:val="Caption"/>
      </w:pPr>
      <w:bookmarkStart w:id="16" w:name="_Ref410378606"/>
      <w:proofErr w:type="gramStart"/>
      <w:r>
        <w:t xml:space="preserve">Table </w:t>
      </w:r>
      <w:r w:rsidR="0021281C">
        <w:fldChar w:fldCharType="begin"/>
      </w:r>
      <w:r w:rsidR="0021281C">
        <w:instrText xml:space="preserve"> STYLEREF 1 \s </w:instrText>
      </w:r>
      <w:r w:rsidR="0021281C">
        <w:fldChar w:fldCharType="separate"/>
      </w:r>
      <w:r w:rsidR="00EB74FC">
        <w:rPr>
          <w:noProof/>
        </w:rPr>
        <w:t>5</w:t>
      </w:r>
      <w:r w:rsidR="0021281C">
        <w:rPr>
          <w:noProof/>
        </w:rPr>
        <w:fldChar w:fldCharType="end"/>
      </w:r>
      <w:r>
        <w:t>.</w:t>
      </w:r>
      <w:proofErr w:type="gramEnd"/>
      <w:r w:rsidR="009828EC">
        <w:fldChar w:fldCharType="begin"/>
      </w:r>
      <w:r w:rsidR="009828EC">
        <w:instrText xml:space="preserve"> SEQ Table \* ARABIC \s 1 </w:instrText>
      </w:r>
      <w:r w:rsidR="009828EC">
        <w:fldChar w:fldCharType="separate"/>
      </w:r>
      <w:r w:rsidR="00EB74FC">
        <w:rPr>
          <w:noProof/>
        </w:rPr>
        <w:t>2</w:t>
      </w:r>
      <w:r w:rsidR="009828EC">
        <w:rPr>
          <w:noProof/>
        </w:rPr>
        <w:fldChar w:fldCharType="end"/>
      </w:r>
      <w:bookmarkEnd w:id="16"/>
      <w:r>
        <w:tab/>
        <w:t xml:space="preserve">Energex's revised </w:t>
      </w:r>
      <w:r w:rsidRPr="00D26FBD">
        <w:t>proposed depreciation allowance for the 2015–20 regulatory control period ($ million, nominal)</w:t>
      </w:r>
    </w:p>
    <w:tbl>
      <w:tblPr>
        <w:tblStyle w:val="AERtable-numbers"/>
        <w:tblW w:w="8613" w:type="dxa"/>
        <w:tblLayout w:type="fixed"/>
        <w:tblLook w:val="04A0" w:firstRow="1" w:lastRow="0" w:firstColumn="1" w:lastColumn="0" w:noHBand="0" w:noVBand="1"/>
      </w:tblPr>
      <w:tblGrid>
        <w:gridCol w:w="3227"/>
        <w:gridCol w:w="897"/>
        <w:gridCol w:w="898"/>
        <w:gridCol w:w="898"/>
        <w:gridCol w:w="897"/>
        <w:gridCol w:w="898"/>
        <w:gridCol w:w="898"/>
      </w:tblGrid>
      <w:tr w:rsidR="009B0C3B" w:rsidRPr="00204479" w:rsidTr="007C7C6B">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9B0C3B" w:rsidRPr="00D26FBD" w:rsidRDefault="009B0C3B" w:rsidP="007C7C6B">
            <w:r w:rsidRPr="00204479">
              <w:t> </w:t>
            </w:r>
          </w:p>
        </w:tc>
        <w:tc>
          <w:tcPr>
            <w:tcW w:w="897" w:type="dxa"/>
            <w:noWrap/>
            <w:hideMark/>
          </w:tcPr>
          <w:p w:rsidR="009B0C3B" w:rsidRPr="00D26FBD" w:rsidRDefault="009B0C3B" w:rsidP="007C7C6B">
            <w:pPr>
              <w:cnfStyle w:val="100000000000" w:firstRow="1" w:lastRow="0" w:firstColumn="0" w:lastColumn="0" w:oddVBand="0" w:evenVBand="0" w:oddHBand="0" w:evenHBand="0" w:firstRowFirstColumn="0" w:firstRowLastColumn="0" w:lastRowFirstColumn="0" w:lastRowLastColumn="0"/>
            </w:pPr>
            <w:r w:rsidRPr="00204479">
              <w:t>2015–16</w:t>
            </w:r>
          </w:p>
        </w:tc>
        <w:tc>
          <w:tcPr>
            <w:tcW w:w="898" w:type="dxa"/>
            <w:noWrap/>
            <w:hideMark/>
          </w:tcPr>
          <w:p w:rsidR="009B0C3B" w:rsidRPr="00D26FBD" w:rsidRDefault="009B0C3B" w:rsidP="007C7C6B">
            <w:pPr>
              <w:cnfStyle w:val="100000000000" w:firstRow="1" w:lastRow="0" w:firstColumn="0" w:lastColumn="0" w:oddVBand="0" w:evenVBand="0" w:oddHBand="0" w:evenHBand="0" w:firstRowFirstColumn="0" w:firstRowLastColumn="0" w:lastRowFirstColumn="0" w:lastRowLastColumn="0"/>
            </w:pPr>
            <w:r w:rsidRPr="00204479">
              <w:t>2016–17</w:t>
            </w:r>
          </w:p>
        </w:tc>
        <w:tc>
          <w:tcPr>
            <w:tcW w:w="898" w:type="dxa"/>
            <w:noWrap/>
            <w:hideMark/>
          </w:tcPr>
          <w:p w:rsidR="009B0C3B" w:rsidRPr="00D26FBD" w:rsidRDefault="009B0C3B" w:rsidP="007C7C6B">
            <w:pPr>
              <w:cnfStyle w:val="100000000000" w:firstRow="1" w:lastRow="0" w:firstColumn="0" w:lastColumn="0" w:oddVBand="0" w:evenVBand="0" w:oddHBand="0" w:evenHBand="0" w:firstRowFirstColumn="0" w:firstRowLastColumn="0" w:lastRowFirstColumn="0" w:lastRowLastColumn="0"/>
            </w:pPr>
            <w:r w:rsidRPr="00204479">
              <w:t>2017–18</w:t>
            </w:r>
          </w:p>
        </w:tc>
        <w:tc>
          <w:tcPr>
            <w:tcW w:w="897" w:type="dxa"/>
            <w:noWrap/>
            <w:hideMark/>
          </w:tcPr>
          <w:p w:rsidR="009B0C3B" w:rsidRPr="00D26FBD" w:rsidRDefault="009B0C3B" w:rsidP="007C7C6B">
            <w:pPr>
              <w:cnfStyle w:val="100000000000" w:firstRow="1" w:lastRow="0" w:firstColumn="0" w:lastColumn="0" w:oddVBand="0" w:evenVBand="0" w:oddHBand="0" w:evenHBand="0" w:firstRowFirstColumn="0" w:firstRowLastColumn="0" w:lastRowFirstColumn="0" w:lastRowLastColumn="0"/>
            </w:pPr>
            <w:r w:rsidRPr="00204479">
              <w:t>2018–19</w:t>
            </w:r>
          </w:p>
        </w:tc>
        <w:tc>
          <w:tcPr>
            <w:tcW w:w="898" w:type="dxa"/>
            <w:noWrap/>
            <w:hideMark/>
          </w:tcPr>
          <w:p w:rsidR="009B0C3B" w:rsidRPr="00D26FBD" w:rsidRDefault="009B0C3B" w:rsidP="007C7C6B">
            <w:pPr>
              <w:cnfStyle w:val="100000000000" w:firstRow="1" w:lastRow="0" w:firstColumn="0" w:lastColumn="0" w:oddVBand="0" w:evenVBand="0" w:oddHBand="0" w:evenHBand="0" w:firstRowFirstColumn="0" w:firstRowLastColumn="0" w:lastRowFirstColumn="0" w:lastRowLastColumn="0"/>
            </w:pPr>
            <w:r>
              <w:t>2019</w:t>
            </w:r>
            <w:r w:rsidRPr="00204479">
              <w:t>–</w:t>
            </w:r>
            <w:r>
              <w:t>20</w:t>
            </w:r>
          </w:p>
        </w:tc>
        <w:tc>
          <w:tcPr>
            <w:tcW w:w="898" w:type="dxa"/>
            <w:noWrap/>
            <w:hideMark/>
          </w:tcPr>
          <w:p w:rsidR="009B0C3B" w:rsidRPr="00D26FBD" w:rsidRDefault="009B0C3B" w:rsidP="007C7C6B">
            <w:pPr>
              <w:cnfStyle w:val="100000000000" w:firstRow="1" w:lastRow="0" w:firstColumn="0" w:lastColumn="0" w:oddVBand="0" w:evenVBand="0" w:oddHBand="0" w:evenHBand="0" w:firstRowFirstColumn="0" w:firstRowLastColumn="0" w:lastRowFirstColumn="0" w:lastRowLastColumn="0"/>
            </w:pPr>
            <w:r w:rsidRPr="00204479">
              <w:t>Total</w:t>
            </w:r>
          </w:p>
        </w:tc>
      </w:tr>
      <w:tr w:rsidR="009B0C3B" w:rsidRPr="00204479" w:rsidTr="007C7C6B">
        <w:trPr>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9B0C3B" w:rsidRPr="00D26FBD" w:rsidRDefault="009B0C3B" w:rsidP="007C7C6B">
            <w:r w:rsidRPr="00D26FBD">
              <w:t>Straight-line depreciation</w:t>
            </w:r>
          </w:p>
        </w:tc>
        <w:tc>
          <w:tcPr>
            <w:tcW w:w="897" w:type="dxa"/>
            <w:noWrap/>
            <w:vAlign w:val="bottom"/>
          </w:tcPr>
          <w:p w:rsidR="009B0C3B" w:rsidRPr="00D26FBD" w:rsidRDefault="009B0C3B" w:rsidP="009B0C3B">
            <w:pPr>
              <w:cnfStyle w:val="000000000000" w:firstRow="0" w:lastRow="0" w:firstColumn="0" w:lastColumn="0" w:oddVBand="0" w:evenVBand="0" w:oddHBand="0" w:evenHBand="0" w:firstRowFirstColumn="0" w:firstRowLastColumn="0" w:lastRowFirstColumn="0" w:lastRowLastColumn="0"/>
            </w:pPr>
            <w:r w:rsidRPr="00D26FBD">
              <w:t>35</w:t>
            </w:r>
            <w:r>
              <w:t>4</w:t>
            </w:r>
            <w:r w:rsidRPr="00D26FBD">
              <w:t>.</w:t>
            </w:r>
            <w:r>
              <w:t>4</w:t>
            </w:r>
          </w:p>
        </w:tc>
        <w:tc>
          <w:tcPr>
            <w:tcW w:w="898" w:type="dxa"/>
            <w:noWrap/>
            <w:vAlign w:val="bottom"/>
          </w:tcPr>
          <w:p w:rsidR="009B0C3B" w:rsidRPr="00D26FBD" w:rsidRDefault="009B0C3B" w:rsidP="009B0C3B">
            <w:pPr>
              <w:cnfStyle w:val="000000000000" w:firstRow="0" w:lastRow="0" w:firstColumn="0" w:lastColumn="0" w:oddVBand="0" w:evenVBand="0" w:oddHBand="0" w:evenHBand="0" w:firstRowFirstColumn="0" w:firstRowLastColumn="0" w:lastRowFirstColumn="0" w:lastRowLastColumn="0"/>
            </w:pPr>
            <w:r w:rsidRPr="00D26FBD">
              <w:t>38</w:t>
            </w:r>
            <w:r>
              <w:t>0</w:t>
            </w:r>
            <w:r w:rsidRPr="00D26FBD">
              <w:t>.</w:t>
            </w:r>
            <w:r>
              <w:t>1</w:t>
            </w:r>
          </w:p>
        </w:tc>
        <w:tc>
          <w:tcPr>
            <w:tcW w:w="898" w:type="dxa"/>
            <w:noWrap/>
            <w:vAlign w:val="bottom"/>
          </w:tcPr>
          <w:p w:rsidR="009B0C3B" w:rsidRPr="00D26FBD" w:rsidRDefault="009B0C3B" w:rsidP="009B0C3B">
            <w:pPr>
              <w:cnfStyle w:val="000000000000" w:firstRow="0" w:lastRow="0" w:firstColumn="0" w:lastColumn="0" w:oddVBand="0" w:evenVBand="0" w:oddHBand="0" w:evenHBand="0" w:firstRowFirstColumn="0" w:firstRowLastColumn="0" w:lastRowFirstColumn="0" w:lastRowLastColumn="0"/>
            </w:pPr>
            <w:r w:rsidRPr="00D26FBD">
              <w:t>4</w:t>
            </w:r>
            <w:r>
              <w:t>0</w:t>
            </w:r>
            <w:r w:rsidRPr="00D26FBD">
              <w:t>7.</w:t>
            </w:r>
            <w:r>
              <w:t>4</w:t>
            </w:r>
          </w:p>
        </w:tc>
        <w:tc>
          <w:tcPr>
            <w:tcW w:w="897" w:type="dxa"/>
            <w:noWrap/>
            <w:vAlign w:val="bottom"/>
          </w:tcPr>
          <w:p w:rsidR="009B0C3B" w:rsidRPr="00D26FBD" w:rsidRDefault="009B0C3B" w:rsidP="009B0C3B">
            <w:pPr>
              <w:cnfStyle w:val="000000000000" w:firstRow="0" w:lastRow="0" w:firstColumn="0" w:lastColumn="0" w:oddVBand="0" w:evenVBand="0" w:oddHBand="0" w:evenHBand="0" w:firstRowFirstColumn="0" w:firstRowLastColumn="0" w:lastRowFirstColumn="0" w:lastRowLastColumn="0"/>
            </w:pPr>
            <w:r w:rsidRPr="00D26FBD">
              <w:t>4</w:t>
            </w:r>
            <w:r>
              <w:t>27</w:t>
            </w:r>
            <w:r w:rsidRPr="00D26FBD">
              <w:t>.</w:t>
            </w:r>
            <w:r>
              <w:t>7</w:t>
            </w:r>
          </w:p>
        </w:tc>
        <w:tc>
          <w:tcPr>
            <w:tcW w:w="898" w:type="dxa"/>
            <w:noWrap/>
            <w:vAlign w:val="bottom"/>
          </w:tcPr>
          <w:p w:rsidR="009B0C3B" w:rsidRPr="00D26FBD" w:rsidRDefault="009B0C3B" w:rsidP="009B0C3B">
            <w:pPr>
              <w:cnfStyle w:val="000000000000" w:firstRow="0" w:lastRow="0" w:firstColumn="0" w:lastColumn="0" w:oddVBand="0" w:evenVBand="0" w:oddHBand="0" w:evenHBand="0" w:firstRowFirstColumn="0" w:firstRowLastColumn="0" w:lastRowFirstColumn="0" w:lastRowLastColumn="0"/>
            </w:pPr>
            <w:r>
              <w:t>45</w:t>
            </w:r>
            <w:r w:rsidRPr="00D26FBD">
              <w:t>1.</w:t>
            </w:r>
            <w:r>
              <w:t>1</w:t>
            </w:r>
          </w:p>
        </w:tc>
        <w:tc>
          <w:tcPr>
            <w:tcW w:w="898" w:type="dxa"/>
            <w:noWrap/>
            <w:vAlign w:val="bottom"/>
          </w:tcPr>
          <w:p w:rsidR="009B0C3B" w:rsidRPr="00D26FBD" w:rsidRDefault="009B0C3B" w:rsidP="009B0C3B">
            <w:pPr>
              <w:cnfStyle w:val="000000000000" w:firstRow="0" w:lastRow="0" w:firstColumn="0" w:lastColumn="0" w:oddVBand="0" w:evenVBand="0" w:oddHBand="0" w:evenHBand="0" w:firstRowFirstColumn="0" w:firstRowLastColumn="0" w:lastRowFirstColumn="0" w:lastRowLastColumn="0"/>
            </w:pPr>
            <w:r w:rsidRPr="00D26FBD">
              <w:t>20</w:t>
            </w:r>
            <w:r>
              <w:t>20</w:t>
            </w:r>
            <w:r w:rsidRPr="00D26FBD">
              <w:t>.</w:t>
            </w:r>
            <w:r>
              <w:t>8</w:t>
            </w:r>
          </w:p>
        </w:tc>
      </w:tr>
      <w:tr w:rsidR="009B0C3B" w:rsidRPr="00204479" w:rsidTr="007C7C6B">
        <w:trPr>
          <w:cnfStyle w:val="000000010000" w:firstRow="0" w:lastRow="0" w:firstColumn="0" w:lastColumn="0" w:oddVBand="0" w:evenVBand="0" w:oddHBand="0" w:evenHBand="1"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9B0C3B" w:rsidRPr="00D26FBD" w:rsidRDefault="009B0C3B" w:rsidP="007C7C6B">
            <w:r w:rsidRPr="00D95C49">
              <w:rPr>
                <w:rStyle w:val="AERtextitalic"/>
              </w:rPr>
              <w:t>Less:</w:t>
            </w:r>
            <w:r w:rsidRPr="00D26FBD">
              <w:t xml:space="preserve"> inflation indexation on opening RAB</w:t>
            </w:r>
          </w:p>
        </w:tc>
        <w:tc>
          <w:tcPr>
            <w:tcW w:w="897" w:type="dxa"/>
            <w:noWrap/>
            <w:vAlign w:val="bottom"/>
          </w:tcPr>
          <w:p w:rsidR="009B0C3B" w:rsidRPr="00D26FBD" w:rsidRDefault="009B0C3B" w:rsidP="009B0C3B">
            <w:pPr>
              <w:cnfStyle w:val="000000010000" w:firstRow="0" w:lastRow="0" w:firstColumn="0" w:lastColumn="0" w:oddVBand="0" w:evenVBand="0" w:oddHBand="0" w:evenHBand="1" w:firstRowFirstColumn="0" w:firstRowLastColumn="0" w:lastRowFirstColumn="0" w:lastRowLastColumn="0"/>
            </w:pPr>
            <w:r w:rsidRPr="00D26FBD">
              <w:t>28</w:t>
            </w:r>
            <w:r>
              <w:t>3</w:t>
            </w:r>
            <w:r w:rsidRPr="00D26FBD">
              <w:t>.</w:t>
            </w:r>
            <w:r>
              <w:t>3</w:t>
            </w:r>
          </w:p>
        </w:tc>
        <w:tc>
          <w:tcPr>
            <w:tcW w:w="898" w:type="dxa"/>
            <w:noWrap/>
            <w:vAlign w:val="bottom"/>
          </w:tcPr>
          <w:p w:rsidR="009B0C3B" w:rsidRPr="00D26FBD" w:rsidRDefault="009B0C3B" w:rsidP="009B0C3B">
            <w:pPr>
              <w:cnfStyle w:val="000000010000" w:firstRow="0" w:lastRow="0" w:firstColumn="0" w:lastColumn="0" w:oddVBand="0" w:evenVBand="0" w:oddHBand="0" w:evenHBand="1" w:firstRowFirstColumn="0" w:firstRowLastColumn="0" w:lastRowFirstColumn="0" w:lastRowLastColumn="0"/>
            </w:pPr>
            <w:r>
              <w:t>296.1</w:t>
            </w:r>
          </w:p>
        </w:tc>
        <w:tc>
          <w:tcPr>
            <w:tcW w:w="898" w:type="dxa"/>
            <w:noWrap/>
            <w:vAlign w:val="bottom"/>
          </w:tcPr>
          <w:p w:rsidR="009B0C3B" w:rsidRPr="00D26FBD" w:rsidRDefault="009B0C3B" w:rsidP="009B0C3B">
            <w:pPr>
              <w:cnfStyle w:val="000000010000" w:firstRow="0" w:lastRow="0" w:firstColumn="0" w:lastColumn="0" w:oddVBand="0" w:evenVBand="0" w:oddHBand="0" w:evenHBand="1" w:firstRowFirstColumn="0" w:firstRowLastColumn="0" w:lastRowFirstColumn="0" w:lastRowLastColumn="0"/>
            </w:pPr>
            <w:r w:rsidRPr="00D26FBD">
              <w:t>3</w:t>
            </w:r>
            <w:r>
              <w:t>09</w:t>
            </w:r>
            <w:r w:rsidRPr="00D26FBD">
              <w:t>.</w:t>
            </w:r>
            <w:r>
              <w:t>0</w:t>
            </w:r>
          </w:p>
        </w:tc>
        <w:tc>
          <w:tcPr>
            <w:tcW w:w="897" w:type="dxa"/>
            <w:noWrap/>
            <w:vAlign w:val="bottom"/>
          </w:tcPr>
          <w:p w:rsidR="009B0C3B" w:rsidRPr="00D26FBD" w:rsidRDefault="009B0C3B" w:rsidP="009B0C3B">
            <w:pPr>
              <w:cnfStyle w:val="000000010000" w:firstRow="0" w:lastRow="0" w:firstColumn="0" w:lastColumn="0" w:oddVBand="0" w:evenVBand="0" w:oddHBand="0" w:evenHBand="1" w:firstRowFirstColumn="0" w:firstRowLastColumn="0" w:lastRowFirstColumn="0" w:lastRowLastColumn="0"/>
            </w:pPr>
            <w:r w:rsidRPr="00D26FBD">
              <w:t>3</w:t>
            </w:r>
            <w:r>
              <w:t>2</w:t>
            </w:r>
            <w:r w:rsidRPr="00D26FBD">
              <w:t>0.</w:t>
            </w:r>
            <w:r>
              <w:t>6</w:t>
            </w:r>
          </w:p>
        </w:tc>
        <w:tc>
          <w:tcPr>
            <w:tcW w:w="898" w:type="dxa"/>
            <w:noWrap/>
            <w:vAlign w:val="bottom"/>
          </w:tcPr>
          <w:p w:rsidR="009B0C3B" w:rsidRPr="00D26FBD" w:rsidRDefault="009B0C3B" w:rsidP="009B0C3B">
            <w:pPr>
              <w:cnfStyle w:val="000000010000" w:firstRow="0" w:lastRow="0" w:firstColumn="0" w:lastColumn="0" w:oddVBand="0" w:evenVBand="0" w:oddHBand="0" w:evenHBand="1" w:firstRowFirstColumn="0" w:firstRowLastColumn="0" w:lastRowFirstColumn="0" w:lastRowLastColumn="0"/>
            </w:pPr>
            <w:r w:rsidRPr="00D26FBD">
              <w:t>3</w:t>
            </w:r>
            <w:r>
              <w:t>31</w:t>
            </w:r>
            <w:r w:rsidRPr="00D26FBD">
              <w:t>.</w:t>
            </w:r>
            <w:r>
              <w:t>7</w:t>
            </w:r>
          </w:p>
        </w:tc>
        <w:tc>
          <w:tcPr>
            <w:tcW w:w="898" w:type="dxa"/>
            <w:noWrap/>
            <w:vAlign w:val="bottom"/>
          </w:tcPr>
          <w:p w:rsidR="009B0C3B" w:rsidRPr="00D26FBD" w:rsidRDefault="009B0C3B" w:rsidP="009B0C3B">
            <w:pPr>
              <w:cnfStyle w:val="000000010000" w:firstRow="0" w:lastRow="0" w:firstColumn="0" w:lastColumn="0" w:oddVBand="0" w:evenVBand="0" w:oddHBand="0" w:evenHBand="1" w:firstRowFirstColumn="0" w:firstRowLastColumn="0" w:lastRowFirstColumn="0" w:lastRowLastColumn="0"/>
            </w:pPr>
            <w:r w:rsidRPr="00D26FBD">
              <w:t>15</w:t>
            </w:r>
            <w:r>
              <w:t>40</w:t>
            </w:r>
            <w:r w:rsidRPr="00D26FBD">
              <w:t>.</w:t>
            </w:r>
            <w:r>
              <w:t>8</w:t>
            </w:r>
          </w:p>
        </w:tc>
      </w:tr>
      <w:tr w:rsidR="009B0C3B" w:rsidRPr="00C75625" w:rsidTr="007C7C6B">
        <w:trPr>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9B0C3B" w:rsidRPr="00D95C49" w:rsidRDefault="009B0C3B" w:rsidP="007C7C6B">
            <w:pPr>
              <w:rPr>
                <w:rStyle w:val="Strong"/>
              </w:rPr>
            </w:pPr>
            <w:r w:rsidRPr="00D95C49">
              <w:rPr>
                <w:rStyle w:val="Strong"/>
              </w:rPr>
              <w:t>Regulatory depreciation</w:t>
            </w:r>
          </w:p>
        </w:tc>
        <w:tc>
          <w:tcPr>
            <w:tcW w:w="897" w:type="dxa"/>
            <w:noWrap/>
            <w:vAlign w:val="bottom"/>
          </w:tcPr>
          <w:p w:rsidR="009B0C3B" w:rsidRPr="00D95C49" w:rsidRDefault="009B0C3B" w:rsidP="009B0C3B">
            <w:pPr>
              <w:cnfStyle w:val="000000000000" w:firstRow="0" w:lastRow="0" w:firstColumn="0" w:lastColumn="0" w:oddVBand="0" w:evenVBand="0" w:oddHBand="0" w:evenHBand="0" w:firstRowFirstColumn="0" w:firstRowLastColumn="0" w:lastRowFirstColumn="0" w:lastRowLastColumn="0"/>
              <w:rPr>
                <w:rStyle w:val="Strong"/>
              </w:rPr>
            </w:pPr>
            <w:r w:rsidRPr="00D95C49">
              <w:rPr>
                <w:rStyle w:val="Strong"/>
              </w:rPr>
              <w:t>7</w:t>
            </w:r>
            <w:r>
              <w:rPr>
                <w:rStyle w:val="Strong"/>
              </w:rPr>
              <w:t>1</w:t>
            </w:r>
            <w:r w:rsidRPr="00D95C49">
              <w:rPr>
                <w:rStyle w:val="Strong"/>
              </w:rPr>
              <w:t>.</w:t>
            </w:r>
            <w:r>
              <w:rPr>
                <w:rStyle w:val="Strong"/>
              </w:rPr>
              <w:t>1</w:t>
            </w:r>
          </w:p>
        </w:tc>
        <w:tc>
          <w:tcPr>
            <w:tcW w:w="898" w:type="dxa"/>
            <w:noWrap/>
            <w:vAlign w:val="bottom"/>
          </w:tcPr>
          <w:p w:rsidR="009B0C3B" w:rsidRPr="00D95C49" w:rsidRDefault="009B0C3B" w:rsidP="009B0C3B">
            <w:pPr>
              <w:cnfStyle w:val="000000000000" w:firstRow="0" w:lastRow="0" w:firstColumn="0" w:lastColumn="0" w:oddVBand="0" w:evenVBand="0" w:oddHBand="0" w:evenHBand="0" w:firstRowFirstColumn="0" w:firstRowLastColumn="0" w:lastRowFirstColumn="0" w:lastRowLastColumn="0"/>
              <w:rPr>
                <w:rStyle w:val="Strong"/>
              </w:rPr>
            </w:pPr>
            <w:r>
              <w:rPr>
                <w:rStyle w:val="Strong"/>
              </w:rPr>
              <w:t>83</w:t>
            </w:r>
            <w:r w:rsidRPr="00D95C49">
              <w:rPr>
                <w:rStyle w:val="Strong"/>
              </w:rPr>
              <w:t>.</w:t>
            </w:r>
            <w:r>
              <w:rPr>
                <w:rStyle w:val="Strong"/>
              </w:rPr>
              <w:t>9</w:t>
            </w:r>
          </w:p>
        </w:tc>
        <w:tc>
          <w:tcPr>
            <w:tcW w:w="898" w:type="dxa"/>
            <w:noWrap/>
            <w:vAlign w:val="bottom"/>
          </w:tcPr>
          <w:p w:rsidR="009B0C3B" w:rsidRPr="00D95C49" w:rsidRDefault="009B0C3B" w:rsidP="009B0C3B">
            <w:pPr>
              <w:cnfStyle w:val="000000000000" w:firstRow="0" w:lastRow="0" w:firstColumn="0" w:lastColumn="0" w:oddVBand="0" w:evenVBand="0" w:oddHBand="0" w:evenHBand="0" w:firstRowFirstColumn="0" w:firstRowLastColumn="0" w:lastRowFirstColumn="0" w:lastRowLastColumn="0"/>
              <w:rPr>
                <w:rStyle w:val="Strong"/>
              </w:rPr>
            </w:pPr>
            <w:r>
              <w:rPr>
                <w:rStyle w:val="Strong"/>
              </w:rPr>
              <w:t>98</w:t>
            </w:r>
            <w:r w:rsidRPr="00D95C49">
              <w:rPr>
                <w:rStyle w:val="Strong"/>
              </w:rPr>
              <w:t>.</w:t>
            </w:r>
            <w:r>
              <w:rPr>
                <w:rStyle w:val="Strong"/>
              </w:rPr>
              <w:t>4</w:t>
            </w:r>
          </w:p>
        </w:tc>
        <w:tc>
          <w:tcPr>
            <w:tcW w:w="897" w:type="dxa"/>
            <w:noWrap/>
            <w:vAlign w:val="bottom"/>
          </w:tcPr>
          <w:p w:rsidR="009B0C3B" w:rsidRPr="00D95C49" w:rsidRDefault="009B0C3B" w:rsidP="009B0C3B">
            <w:pPr>
              <w:cnfStyle w:val="000000000000" w:firstRow="0" w:lastRow="0" w:firstColumn="0" w:lastColumn="0" w:oddVBand="0" w:evenVBand="0" w:oddHBand="0" w:evenHBand="0" w:firstRowFirstColumn="0" w:firstRowLastColumn="0" w:lastRowFirstColumn="0" w:lastRowLastColumn="0"/>
              <w:rPr>
                <w:rStyle w:val="Strong"/>
              </w:rPr>
            </w:pPr>
            <w:r w:rsidRPr="00D95C49">
              <w:rPr>
                <w:rStyle w:val="Strong"/>
              </w:rPr>
              <w:t>1</w:t>
            </w:r>
            <w:r>
              <w:rPr>
                <w:rStyle w:val="Strong"/>
              </w:rPr>
              <w:t>07</w:t>
            </w:r>
            <w:r w:rsidRPr="00D95C49">
              <w:rPr>
                <w:rStyle w:val="Strong"/>
              </w:rPr>
              <w:t>.</w:t>
            </w:r>
            <w:r>
              <w:rPr>
                <w:rStyle w:val="Strong"/>
              </w:rPr>
              <w:t>1</w:t>
            </w:r>
          </w:p>
        </w:tc>
        <w:tc>
          <w:tcPr>
            <w:tcW w:w="898" w:type="dxa"/>
            <w:noWrap/>
            <w:vAlign w:val="bottom"/>
          </w:tcPr>
          <w:p w:rsidR="009B0C3B" w:rsidRPr="00D95C49" w:rsidRDefault="009B0C3B" w:rsidP="009B0C3B">
            <w:pPr>
              <w:cnfStyle w:val="000000000000" w:firstRow="0" w:lastRow="0" w:firstColumn="0" w:lastColumn="0" w:oddVBand="0" w:evenVBand="0" w:oddHBand="0" w:evenHBand="0" w:firstRowFirstColumn="0" w:firstRowLastColumn="0" w:lastRowFirstColumn="0" w:lastRowLastColumn="0"/>
              <w:rPr>
                <w:rStyle w:val="Strong"/>
              </w:rPr>
            </w:pPr>
            <w:r w:rsidRPr="00D95C49">
              <w:rPr>
                <w:rStyle w:val="Strong"/>
              </w:rPr>
              <w:t>1</w:t>
            </w:r>
            <w:r>
              <w:rPr>
                <w:rStyle w:val="Strong"/>
              </w:rPr>
              <w:t>19</w:t>
            </w:r>
            <w:r w:rsidRPr="00D95C49">
              <w:rPr>
                <w:rStyle w:val="Strong"/>
              </w:rPr>
              <w:t>.</w:t>
            </w:r>
            <w:r>
              <w:rPr>
                <w:rStyle w:val="Strong"/>
              </w:rPr>
              <w:t>4</w:t>
            </w:r>
          </w:p>
        </w:tc>
        <w:tc>
          <w:tcPr>
            <w:tcW w:w="898" w:type="dxa"/>
            <w:noWrap/>
            <w:vAlign w:val="bottom"/>
          </w:tcPr>
          <w:p w:rsidR="009B0C3B" w:rsidRPr="00D95C49" w:rsidRDefault="009B0C3B" w:rsidP="009B0C3B">
            <w:pPr>
              <w:cnfStyle w:val="000000000000" w:firstRow="0" w:lastRow="0" w:firstColumn="0" w:lastColumn="0" w:oddVBand="0" w:evenVBand="0" w:oddHBand="0" w:evenHBand="0" w:firstRowFirstColumn="0" w:firstRowLastColumn="0" w:lastRowFirstColumn="0" w:lastRowLastColumn="0"/>
              <w:rPr>
                <w:rStyle w:val="Strong"/>
              </w:rPr>
            </w:pPr>
            <w:r>
              <w:rPr>
                <w:rStyle w:val="Strong"/>
              </w:rPr>
              <w:t>479.9</w:t>
            </w:r>
          </w:p>
        </w:tc>
      </w:tr>
    </w:tbl>
    <w:p w:rsidR="00C314A0" w:rsidRPr="00C314A0" w:rsidRDefault="009B0C3B" w:rsidP="009B0C3B">
      <w:pPr>
        <w:pStyle w:val="AERtablesource"/>
      </w:pPr>
      <w:r>
        <w:t>Source:</w:t>
      </w:r>
      <w:r>
        <w:tab/>
      </w:r>
      <w:proofErr w:type="gramStart"/>
      <w:r w:rsidRPr="00D26FBD">
        <w:t>Energex,</w:t>
      </w:r>
      <w:proofErr w:type="gramEnd"/>
      <w:r w:rsidRPr="00D26FBD">
        <w:t xml:space="preserve"> </w:t>
      </w:r>
      <w:r w:rsidRPr="00D95C49">
        <w:rPr>
          <w:rStyle w:val="AERtextitalic"/>
        </w:rPr>
        <w:t>Re</w:t>
      </w:r>
      <w:r>
        <w:rPr>
          <w:rStyle w:val="AERtextitalic"/>
        </w:rPr>
        <w:t>vised re</w:t>
      </w:r>
      <w:r w:rsidRPr="00D95C49">
        <w:rPr>
          <w:rStyle w:val="AERtextitalic"/>
        </w:rPr>
        <w:t>gulatory proposal</w:t>
      </w:r>
      <w:r>
        <w:t>, July 2015, Attachment 2.</w:t>
      </w:r>
    </w:p>
    <w:p w:rsidR="00DE563D" w:rsidRDefault="00DE563D" w:rsidP="00B65CF2">
      <w:pPr>
        <w:pStyle w:val="Heading2"/>
      </w:pPr>
      <w:bookmarkStart w:id="17" w:name="_Toc403144138"/>
      <w:bookmarkStart w:id="18" w:name="_Toc433121884"/>
      <w:r w:rsidRPr="00B65CF2">
        <w:t>AER’s assessment approach</w:t>
      </w:r>
      <w:bookmarkEnd w:id="17"/>
      <w:bookmarkEnd w:id="18"/>
    </w:p>
    <w:p w:rsidR="00F0007B" w:rsidRPr="00F0007B" w:rsidRDefault="00F0007B" w:rsidP="00F0007B">
      <w:r w:rsidRPr="001121F4">
        <w:t xml:space="preserve">We </w:t>
      </w:r>
      <w:r w:rsidR="00A54254">
        <w:t>have</w:t>
      </w:r>
      <w:r w:rsidRPr="001121F4">
        <w:t xml:space="preserve"> not change</w:t>
      </w:r>
      <w:r w:rsidR="00A54254">
        <w:t>d</w:t>
      </w:r>
      <w:r w:rsidRPr="001121F4">
        <w:t xml:space="preserve"> our assessment approach for the regulatory depreciation allowance from our</w:t>
      </w:r>
      <w:r>
        <w:t xml:space="preserve"> preliminary</w:t>
      </w:r>
      <w:r w:rsidRPr="001121F4">
        <w:t xml:space="preserve"> decision. Section 5.3 of our </w:t>
      </w:r>
      <w:r>
        <w:t>preliminary</w:t>
      </w:r>
      <w:r w:rsidRPr="001121F4">
        <w:t xml:space="preserve"> decision details that approach.</w:t>
      </w:r>
      <w:r w:rsidRPr="001121F4">
        <w:rPr>
          <w:rStyle w:val="FootnoteReference"/>
        </w:rPr>
        <w:footnoteReference w:id="6"/>
      </w:r>
    </w:p>
    <w:p w:rsidR="00DE563D" w:rsidRDefault="00DE563D" w:rsidP="00B65CF2">
      <w:pPr>
        <w:pStyle w:val="Heading2"/>
      </w:pPr>
      <w:bookmarkStart w:id="19" w:name="_Toc403144140"/>
      <w:bookmarkStart w:id="20" w:name="_Toc433121885"/>
      <w:r w:rsidRPr="00B65CF2">
        <w:lastRenderedPageBreak/>
        <w:t>Reasons for</w:t>
      </w:r>
      <w:r w:rsidR="004124A2">
        <w:t xml:space="preserve"> final </w:t>
      </w:r>
      <w:r w:rsidRPr="00B65CF2">
        <w:t>decision</w:t>
      </w:r>
      <w:bookmarkEnd w:id="19"/>
      <w:bookmarkEnd w:id="20"/>
      <w:r w:rsidRPr="00B65CF2">
        <w:t xml:space="preserve"> </w:t>
      </w:r>
    </w:p>
    <w:p w:rsidR="005D76ED" w:rsidRDefault="005D76ED" w:rsidP="005D76ED">
      <w:r w:rsidRPr="00E029D1">
        <w:t>We determine a regulatory depreciation allowance of $</w:t>
      </w:r>
      <w:r w:rsidR="00C64FDD">
        <w:t>476.1</w:t>
      </w:r>
      <w:r w:rsidRPr="00E029D1">
        <w:t> million ($ nominal) for Energ</w:t>
      </w:r>
      <w:r>
        <w:t>ex</w:t>
      </w:r>
      <w:r w:rsidRPr="00E029D1">
        <w:t xml:space="preserve"> for the 201</w:t>
      </w:r>
      <w:r>
        <w:t>5</w:t>
      </w:r>
      <w:r w:rsidRPr="00E029D1">
        <w:t>–</w:t>
      </w:r>
      <w:r>
        <w:t>20</w:t>
      </w:r>
      <w:r w:rsidRPr="00E029D1">
        <w:t xml:space="preserve"> </w:t>
      </w:r>
      <w:r>
        <w:t xml:space="preserve">regulatory control </w:t>
      </w:r>
      <w:r w:rsidRPr="00E029D1">
        <w:t>period. In determining this allowance we accept Energ</w:t>
      </w:r>
      <w:r>
        <w:t>ex</w:t>
      </w:r>
      <w:r w:rsidRPr="00E029D1">
        <w:t xml:space="preserve">'s revised proposed standard asset lives. However, we </w:t>
      </w:r>
      <w:r>
        <w:t>reduced Energex</w:t>
      </w:r>
      <w:r w:rsidRPr="00E029D1">
        <w:t xml:space="preserve">'s </w:t>
      </w:r>
      <w:r>
        <w:t xml:space="preserve">revised </w:t>
      </w:r>
      <w:r w:rsidRPr="00E029D1">
        <w:t>proposed regulatory depreciation allowance by $</w:t>
      </w:r>
      <w:r w:rsidR="00C64FDD">
        <w:t>3.8</w:t>
      </w:r>
      <w:r w:rsidRPr="00E029D1">
        <w:t xml:space="preserve"> million (or </w:t>
      </w:r>
      <w:r w:rsidR="00C64FDD">
        <w:t>0.8</w:t>
      </w:r>
      <w:r>
        <w:t> </w:t>
      </w:r>
      <w:r w:rsidRPr="00E029D1">
        <w:t xml:space="preserve">per cent). </w:t>
      </w:r>
      <w:r>
        <w:t>This</w:t>
      </w:r>
      <w:r w:rsidRPr="00E029D1">
        <w:t xml:space="preserve"> amendment</w:t>
      </w:r>
      <w:r>
        <w:t xml:space="preserve"> reflects </w:t>
      </w:r>
      <w:r w:rsidRPr="00E029D1">
        <w:t>our</w:t>
      </w:r>
      <w:r>
        <w:t>:</w:t>
      </w:r>
    </w:p>
    <w:p w:rsidR="005D76ED" w:rsidRDefault="005D76ED" w:rsidP="005D76ED">
      <w:pPr>
        <w:pStyle w:val="AERbulletlistfirststyle"/>
      </w:pPr>
      <w:r>
        <w:t>updates to the remaining asset lives (section 5.4.2)</w:t>
      </w:r>
      <w:r w:rsidRPr="00E029D1">
        <w:t xml:space="preserve"> </w:t>
      </w:r>
    </w:p>
    <w:p w:rsidR="005D76ED" w:rsidRDefault="005D76ED" w:rsidP="005D76ED">
      <w:pPr>
        <w:pStyle w:val="AERbulletlistfirststyle"/>
      </w:pPr>
      <w:proofErr w:type="gramStart"/>
      <w:r w:rsidRPr="00E029D1">
        <w:t>determinations</w:t>
      </w:r>
      <w:proofErr w:type="gramEnd"/>
      <w:r w:rsidRPr="00E029D1">
        <w:t xml:space="preserve"> </w:t>
      </w:r>
      <w:r w:rsidR="007014D2">
        <w:t>regarding</w:t>
      </w:r>
      <w:r w:rsidRPr="00E029D1">
        <w:t xml:space="preserve"> other components of </w:t>
      </w:r>
      <w:r>
        <w:t xml:space="preserve">Energex’s </w:t>
      </w:r>
      <w:r w:rsidRPr="00E029D1">
        <w:t xml:space="preserve">revised proposal—for example, the </w:t>
      </w:r>
      <w:r>
        <w:t>opening RAB at 1 July 2015</w:t>
      </w:r>
      <w:r w:rsidRPr="00E029D1">
        <w:t xml:space="preserve"> (attachment </w:t>
      </w:r>
      <w:r>
        <w:t>2</w:t>
      </w:r>
      <w:r w:rsidRPr="0006712C">
        <w:t>)</w:t>
      </w:r>
      <w:r w:rsidRPr="00E029D1">
        <w:t xml:space="preserve"> and forecast capex (attachment 6)</w:t>
      </w:r>
      <w:r w:rsidR="007014D2">
        <w:rPr>
          <w:rStyle w:val="FootnoteReference"/>
        </w:rPr>
        <w:footnoteReference w:id="7"/>
      </w:r>
      <w:r w:rsidRPr="00E029D1">
        <w:t>—affecting the forecast regulatory depreciation allowance.</w:t>
      </w:r>
      <w:r>
        <w:t xml:space="preserve"> </w:t>
      </w:r>
    </w:p>
    <w:p w:rsidR="007C7C6B" w:rsidRDefault="00CF469A" w:rsidP="007C7C6B">
      <w:pPr>
        <w:pStyle w:val="AERbulletlistfirststyle"/>
        <w:numPr>
          <w:ilvl w:val="0"/>
          <w:numId w:val="0"/>
        </w:numPr>
      </w:pPr>
      <w:r>
        <w:t>The E</w:t>
      </w:r>
      <w:r w:rsidR="007014D2">
        <w:t xml:space="preserve">nergy </w:t>
      </w:r>
      <w:r>
        <w:t>U</w:t>
      </w:r>
      <w:r w:rsidR="007014D2">
        <w:t xml:space="preserve">sers </w:t>
      </w:r>
      <w:r>
        <w:t>A</w:t>
      </w:r>
      <w:r w:rsidR="007014D2">
        <w:t xml:space="preserve">ssociation of </w:t>
      </w:r>
      <w:r>
        <w:t>A</w:t>
      </w:r>
      <w:r w:rsidR="007014D2">
        <w:t>ustralia</w:t>
      </w:r>
      <w:r>
        <w:t xml:space="preserve"> submitted that asset lives should reflect the actual lives of the respective classes of assets that have been managed through good industry practice. It did not support the signal</w:t>
      </w:r>
      <w:r w:rsidR="004D14D9">
        <w:t>ling</w:t>
      </w:r>
      <w:r>
        <w:t xml:space="preserve"> by Energex in its revised proposal for front loading depreciation of certain asset classes.</w:t>
      </w:r>
      <w:r w:rsidR="004D14D9">
        <w:rPr>
          <w:rStyle w:val="FootnoteReference"/>
        </w:rPr>
        <w:footnoteReference w:id="8"/>
      </w:r>
      <w:r>
        <w:t xml:space="preserve"> We note that Energex has not proposed accelerated depreciation of assets for the 2015–20 regulatory control </w:t>
      </w:r>
      <w:proofErr w:type="gramStart"/>
      <w:r>
        <w:t>period</w:t>
      </w:r>
      <w:proofErr w:type="gramEnd"/>
      <w:r>
        <w:t>.</w:t>
      </w:r>
      <w:r w:rsidR="004D14D9">
        <w:t xml:space="preserve"> </w:t>
      </w:r>
    </w:p>
    <w:p w:rsidR="005D76ED" w:rsidRDefault="005D76ED" w:rsidP="005D76ED">
      <w:pPr>
        <w:pStyle w:val="Heading3"/>
      </w:pPr>
      <w:bookmarkStart w:id="21" w:name="_Toc433121886"/>
      <w:r>
        <w:t>Standard asset lives</w:t>
      </w:r>
      <w:bookmarkEnd w:id="21"/>
    </w:p>
    <w:p w:rsidR="005D76ED" w:rsidRDefault="005D76ED" w:rsidP="005D76ED">
      <w:r w:rsidRPr="00E029D1">
        <w:t>Consistent with our</w:t>
      </w:r>
      <w:r>
        <w:t xml:space="preserve"> preliminary</w:t>
      </w:r>
      <w:r w:rsidRPr="00E029D1">
        <w:t xml:space="preserve"> decision, we accept Energ</w:t>
      </w:r>
      <w:r>
        <w:t>ex</w:t>
      </w:r>
      <w:r w:rsidRPr="00E029D1">
        <w:t xml:space="preserve">'s proposed standard asset lives for its existing asset classes. This is because they are consistent with our approved </w:t>
      </w:r>
      <w:r>
        <w:t>standard asset lives for the 2010</w:t>
      </w:r>
      <w:r w:rsidRPr="00E029D1">
        <w:t>–1</w:t>
      </w:r>
      <w:r>
        <w:t>5</w:t>
      </w:r>
      <w:r w:rsidRPr="00E029D1">
        <w:t xml:space="preserve"> regulatory control </w:t>
      </w:r>
      <w:proofErr w:type="gramStart"/>
      <w:r w:rsidRPr="00E029D1">
        <w:t>period</w:t>
      </w:r>
      <w:proofErr w:type="gramEnd"/>
      <w:r w:rsidRPr="00E029D1">
        <w:t>.</w:t>
      </w:r>
      <w:r>
        <w:rPr>
          <w:rStyle w:val="FootnoteReference"/>
        </w:rPr>
        <w:footnoteReference w:id="9"/>
      </w:r>
      <w:r w:rsidRPr="00E029D1">
        <w:t xml:space="preserve"> </w:t>
      </w:r>
    </w:p>
    <w:p w:rsidR="00232B25" w:rsidRDefault="005D76ED" w:rsidP="005D76ED">
      <w:r>
        <w:t xml:space="preserve">In the preliminary decision, we also accepted </w:t>
      </w:r>
      <w:r w:rsidR="00232B25">
        <w:t>Energex’s proposed standard asset life for the new '</w:t>
      </w:r>
      <w:r w:rsidR="00232B25" w:rsidRPr="00594FD9">
        <w:t xml:space="preserve">Load </w:t>
      </w:r>
      <w:r w:rsidR="00232B25">
        <w:t>c</w:t>
      </w:r>
      <w:r w:rsidR="00232B25" w:rsidRPr="00594FD9">
        <w:t xml:space="preserve">ontrol &amp; </w:t>
      </w:r>
      <w:r w:rsidR="00232B25">
        <w:t>n</w:t>
      </w:r>
      <w:r w:rsidR="00232B25" w:rsidRPr="00594FD9">
        <w:t xml:space="preserve">etwork </w:t>
      </w:r>
      <w:r w:rsidR="00232B25">
        <w:t>m</w:t>
      </w:r>
      <w:r w:rsidR="00232B25" w:rsidRPr="00594FD9">
        <w:t xml:space="preserve">etering </w:t>
      </w:r>
      <w:r w:rsidR="00232B25">
        <w:t>d</w:t>
      </w:r>
      <w:r w:rsidR="00232B25" w:rsidRPr="00594FD9">
        <w:t>evices</w:t>
      </w:r>
      <w:r w:rsidR="00232B25">
        <w:t>' asset class. This asset class replaces the previous 'Metering' asset class. We reviewed Energex's supporting material and accepted that 15 years is an appropriate standard asset life for the new 'L</w:t>
      </w:r>
      <w:r w:rsidR="00232B25" w:rsidRPr="00B17633">
        <w:t xml:space="preserve">oad </w:t>
      </w:r>
      <w:r w:rsidR="00232B25">
        <w:t>c</w:t>
      </w:r>
      <w:r w:rsidR="00232B25" w:rsidRPr="00B17633">
        <w:t xml:space="preserve">ontrol &amp; </w:t>
      </w:r>
      <w:r w:rsidR="00232B25">
        <w:t>n</w:t>
      </w:r>
      <w:r w:rsidR="00232B25" w:rsidRPr="00B17633">
        <w:t xml:space="preserve">etwork </w:t>
      </w:r>
      <w:r w:rsidR="00232B25">
        <w:t>m</w:t>
      </w:r>
      <w:r w:rsidR="00232B25" w:rsidRPr="00B17633">
        <w:t>etering</w:t>
      </w:r>
      <w:r w:rsidR="00232B25">
        <w:t>'</w:t>
      </w:r>
      <w:r w:rsidR="00232B25" w:rsidRPr="00B17633">
        <w:t xml:space="preserve"> </w:t>
      </w:r>
      <w:r w:rsidR="00232B25">
        <w:t>assets due to the electronic nature of the assets.</w:t>
      </w:r>
      <w:r w:rsidR="00232B25">
        <w:rPr>
          <w:rStyle w:val="FootnoteReference"/>
        </w:rPr>
        <w:footnoteReference w:id="10"/>
      </w:r>
      <w:r>
        <w:t xml:space="preserve"> </w:t>
      </w:r>
    </w:p>
    <w:p w:rsidR="0007331D" w:rsidRDefault="0007331D" w:rsidP="0007331D">
      <w:r>
        <w:t>We received one submission from the CCP stating that the standard asset lives for Energex differed from the actual lives, and from the standard asset lives for equivalent assets used by other distributors.</w:t>
      </w:r>
      <w:r>
        <w:rPr>
          <w:rStyle w:val="FootnoteReference"/>
        </w:rPr>
        <w:footnoteReference w:id="11"/>
      </w:r>
      <w:r>
        <w:t xml:space="preserve"> It submitted that these variations have major implications for depreciation and allowed distributors to </w:t>
      </w:r>
      <w:r w:rsidRPr="008B4252">
        <w:t>choose asset lives that optimise their returns for</w:t>
      </w:r>
      <w:r>
        <w:t xml:space="preserve"> </w:t>
      </w:r>
      <w:r w:rsidRPr="008B4252">
        <w:t>each revenue reset</w:t>
      </w:r>
      <w:r>
        <w:t>.</w:t>
      </w:r>
    </w:p>
    <w:p w:rsidR="0007331D" w:rsidRDefault="0007331D" w:rsidP="0007331D">
      <w:r>
        <w:t>We note that the asset lives referenced by the CCP are from disaggregated categories used to model replacement capital expenditure (</w:t>
      </w:r>
      <w:proofErr w:type="spellStart"/>
      <w:r>
        <w:t>repex</w:t>
      </w:r>
      <w:proofErr w:type="spellEnd"/>
      <w:r>
        <w:t xml:space="preserve">), rather than the higher-level </w:t>
      </w:r>
      <w:r>
        <w:lastRenderedPageBreak/>
        <w:t>categories used when calculating the regulatory depreciation allowance.</w:t>
      </w:r>
      <w:r>
        <w:rPr>
          <w:rStyle w:val="FootnoteReference"/>
        </w:rPr>
        <w:footnoteReference w:id="12"/>
      </w:r>
      <w:r>
        <w:t xml:space="preserve"> Although individual distributors may have higher or lower standard asset lives for specific </w:t>
      </w:r>
      <w:proofErr w:type="spellStart"/>
      <w:r>
        <w:t>repex</w:t>
      </w:r>
      <w:proofErr w:type="spellEnd"/>
      <w:r>
        <w:t xml:space="preserve"> asset categories, there is less variation in the standard asset lives of the aggregated categories.</w:t>
      </w:r>
      <w:r>
        <w:rPr>
          <w:rStyle w:val="FootnoteReference"/>
        </w:rPr>
        <w:footnoteReference w:id="13"/>
      </w:r>
      <w:r>
        <w:t xml:space="preserve"> We consider that the standard asset lives approved for Energex to calculate the regulatory depreciation allowance are comparable to the equivalent categories used in other regulatory determinations.</w:t>
      </w:r>
      <w:r>
        <w:rPr>
          <w:rStyle w:val="FootnoteReference"/>
        </w:rPr>
        <w:footnoteReference w:id="14"/>
      </w:r>
    </w:p>
    <w:p w:rsidR="005D76ED" w:rsidRDefault="00232B25" w:rsidP="005D76ED">
      <w:r>
        <w:fldChar w:fldCharType="begin"/>
      </w:r>
      <w:r>
        <w:instrText xml:space="preserve"> REF _Ref410391456 \h </w:instrText>
      </w:r>
      <w:r>
        <w:fldChar w:fldCharType="separate"/>
      </w:r>
      <w:r w:rsidR="00EB74FC">
        <w:t xml:space="preserve">Table </w:t>
      </w:r>
      <w:r w:rsidR="00EB74FC">
        <w:rPr>
          <w:noProof/>
        </w:rPr>
        <w:t>5</w:t>
      </w:r>
      <w:r w:rsidR="00EB74FC">
        <w:t>.</w:t>
      </w:r>
      <w:r w:rsidR="00EB74FC">
        <w:rPr>
          <w:noProof/>
        </w:rPr>
        <w:t>3</w:t>
      </w:r>
      <w:r>
        <w:fldChar w:fldCharType="end"/>
      </w:r>
      <w:r>
        <w:t xml:space="preserve"> </w:t>
      </w:r>
      <w:r w:rsidR="005D76ED" w:rsidRPr="00E029D1">
        <w:t>sets out our final decision on Energ</w:t>
      </w:r>
      <w:r>
        <w:t>ex</w:t>
      </w:r>
      <w:r w:rsidR="005D76ED" w:rsidRPr="00E029D1">
        <w:t>'s standard asset lives for the 201</w:t>
      </w:r>
      <w:r>
        <w:t>5</w:t>
      </w:r>
      <w:r w:rsidR="005D76ED" w:rsidRPr="00E029D1">
        <w:t>–</w:t>
      </w:r>
      <w:r>
        <w:t>20 regulatory control</w:t>
      </w:r>
      <w:r w:rsidR="005D76ED" w:rsidRPr="00E029D1">
        <w:t xml:space="preserve"> </w:t>
      </w:r>
      <w:proofErr w:type="gramStart"/>
      <w:r w:rsidR="005D76ED" w:rsidRPr="00E029D1">
        <w:t>period</w:t>
      </w:r>
      <w:proofErr w:type="gramEnd"/>
      <w:r w:rsidR="005D76ED" w:rsidRPr="00E029D1">
        <w:t>.</w:t>
      </w:r>
      <w:r w:rsidRPr="00232B25">
        <w:t xml:space="preserve"> </w:t>
      </w:r>
      <w:r w:rsidRPr="00E029D1">
        <w:t>We are satisfied the standard asset lives reflect the nature of the assets over the economic lives of the asset classes.</w:t>
      </w:r>
      <w:r w:rsidRPr="00E029D1">
        <w:rPr>
          <w:rStyle w:val="FootnoteReference"/>
        </w:rPr>
        <w:footnoteReference w:id="15"/>
      </w:r>
    </w:p>
    <w:p w:rsidR="00232B25" w:rsidRDefault="00232B25" w:rsidP="00232B25">
      <w:pPr>
        <w:pStyle w:val="Heading3"/>
      </w:pPr>
      <w:bookmarkStart w:id="22" w:name="_Toc433121887"/>
      <w:r>
        <w:t>Remaining asset lives</w:t>
      </w:r>
      <w:bookmarkEnd w:id="22"/>
    </w:p>
    <w:p w:rsidR="007C7C6B" w:rsidRDefault="007C7C6B" w:rsidP="007C7C6B">
      <w:r w:rsidRPr="00E96E6A">
        <w:t xml:space="preserve">Consistent with our </w:t>
      </w:r>
      <w:r>
        <w:t xml:space="preserve">preliminary </w:t>
      </w:r>
      <w:r w:rsidRPr="00E96E6A">
        <w:t xml:space="preserve">decision, we accept </w:t>
      </w:r>
      <w:r>
        <w:t>Energex's</w:t>
      </w:r>
      <w:r w:rsidRPr="00E96E6A">
        <w:t xml:space="preserve"> proposed </w:t>
      </w:r>
      <w:r>
        <w:t xml:space="preserve">weighted average method to calculate </w:t>
      </w:r>
      <w:r w:rsidRPr="00E96E6A">
        <w:t xml:space="preserve">remaining asset lives </w:t>
      </w:r>
      <w:r>
        <w:t>at 1 July 2015</w:t>
      </w:r>
      <w:r w:rsidRPr="00E96E6A">
        <w:t xml:space="preserve">. </w:t>
      </w:r>
    </w:p>
    <w:p w:rsidR="007C7C6B" w:rsidRDefault="007C7C6B" w:rsidP="007C7C6B">
      <w:r w:rsidRPr="00E96E6A" w:rsidDel="00E31E5A">
        <w:t xml:space="preserve">In </w:t>
      </w:r>
      <w:r w:rsidRPr="00E96E6A">
        <w:t>the</w:t>
      </w:r>
      <w:r w:rsidRPr="00E96E6A" w:rsidDel="00E31E5A">
        <w:t xml:space="preserve"> </w:t>
      </w:r>
      <w:r>
        <w:t>preliminary</w:t>
      </w:r>
      <w:r w:rsidRPr="00E96E6A" w:rsidDel="00E31E5A">
        <w:t xml:space="preserve"> decision, we accepted</w:t>
      </w:r>
      <w:r>
        <w:t xml:space="preserve"> Energy</w:t>
      </w:r>
      <w:r w:rsidRPr="00E96E6A" w:rsidDel="00E31E5A">
        <w:t xml:space="preserve">'s proposed </w:t>
      </w:r>
      <w:r w:rsidRPr="00E96E6A">
        <w:t>weighted average</w:t>
      </w:r>
      <w:r w:rsidRPr="00E96E6A" w:rsidDel="00E31E5A">
        <w:t xml:space="preserve"> method for calculating the re</w:t>
      </w:r>
      <w:r w:rsidRPr="00E96E6A">
        <w:t>maining asset lives at 1 July 201</w:t>
      </w:r>
      <w:r>
        <w:t>5</w:t>
      </w:r>
      <w:r w:rsidRPr="00E96E6A">
        <w:t>. The proposed method is consistent with our preferred approach</w:t>
      </w:r>
      <w:r w:rsidRPr="00E96E6A" w:rsidDel="00E31E5A">
        <w:t xml:space="preserve">. </w:t>
      </w:r>
      <w:r>
        <w:t xml:space="preserve">We noted that the remaining asset lives would </w:t>
      </w:r>
      <w:r w:rsidR="00306B97">
        <w:t>be recalculated</w:t>
      </w:r>
      <w:r>
        <w:t xml:space="preserve"> for the final decision because </w:t>
      </w:r>
      <w:r w:rsidR="00306B97">
        <w:t>of updates to Energex’s</w:t>
      </w:r>
      <w:r>
        <w:t xml:space="preserve"> 201</w:t>
      </w:r>
      <w:r w:rsidR="00306B97">
        <w:t>4</w:t>
      </w:r>
      <w:r>
        <w:t>–1</w:t>
      </w:r>
      <w:r w:rsidR="00306B97">
        <w:t>5</w:t>
      </w:r>
      <w:r>
        <w:t xml:space="preserve"> capex</w:t>
      </w:r>
      <w:r w:rsidR="00306B97">
        <w:t xml:space="preserve"> in the RAB roll forward</w:t>
      </w:r>
      <w:r>
        <w:t xml:space="preserve">. </w:t>
      </w:r>
      <w:r w:rsidRPr="00E029D1">
        <w:t>T</w:t>
      </w:r>
      <w:r w:rsidRPr="00E96E6A">
        <w:t>h</w:t>
      </w:r>
      <w:r w:rsidR="00306B97">
        <w:t>e</w:t>
      </w:r>
      <w:r w:rsidRPr="00E96E6A">
        <w:t xml:space="preserve"> </w:t>
      </w:r>
      <w:r w:rsidR="00306B97">
        <w:t xml:space="preserve">2014–15 </w:t>
      </w:r>
      <w:r w:rsidRPr="00E96E6A">
        <w:t xml:space="preserve">capex values are </w:t>
      </w:r>
      <w:r w:rsidR="00306B97">
        <w:t xml:space="preserve">inputs </w:t>
      </w:r>
      <w:r>
        <w:t>used to calculate</w:t>
      </w:r>
      <w:r w:rsidRPr="00E96E6A">
        <w:t xml:space="preserve"> the weighted average remaining asset lives</w:t>
      </w:r>
      <w:r w:rsidRPr="00E96E6A" w:rsidDel="00E31E5A">
        <w:t>.</w:t>
      </w:r>
      <w:r w:rsidRPr="00E96E6A">
        <w:rPr>
          <w:rStyle w:val="FootnoteReference"/>
        </w:rPr>
        <w:footnoteReference w:id="16"/>
      </w:r>
      <w:r>
        <w:t xml:space="preserve"> Based on the </w:t>
      </w:r>
      <w:r w:rsidR="00306B97">
        <w:t>revisions for 2014–15 capex</w:t>
      </w:r>
      <w:r w:rsidRPr="00E029D1">
        <w:t xml:space="preserve"> in the RAB roll forward as discussed in</w:t>
      </w:r>
      <w:r>
        <w:t xml:space="preserve"> </w:t>
      </w:r>
      <w:r w:rsidRPr="00E029D1">
        <w:t>attachment 2</w:t>
      </w:r>
      <w:r>
        <w:t>,</w:t>
      </w:r>
      <w:r w:rsidRPr="006B1299">
        <w:t xml:space="preserve"> </w:t>
      </w:r>
      <w:r>
        <w:t xml:space="preserve">we have </w:t>
      </w:r>
      <w:r w:rsidRPr="00E029D1">
        <w:t xml:space="preserve">updated </w:t>
      </w:r>
      <w:r w:rsidR="00306B97">
        <w:t>Energex</w:t>
      </w:r>
      <w:r w:rsidRPr="00E029D1">
        <w:t>'s remaining asset lives</w:t>
      </w:r>
      <w:r>
        <w:t xml:space="preserve"> at 1 July 201</w:t>
      </w:r>
      <w:r w:rsidR="00306B97">
        <w:t>5</w:t>
      </w:r>
      <w:r>
        <w:t xml:space="preserve"> for this final decision</w:t>
      </w:r>
      <w:r w:rsidRPr="00E029D1">
        <w:t>.</w:t>
      </w:r>
    </w:p>
    <w:p w:rsidR="007C7C6B" w:rsidRDefault="007C7C6B" w:rsidP="007C7C6B">
      <w:r w:rsidRPr="008478C7" w:rsidDel="00E31E5A">
        <w:t xml:space="preserve">In </w:t>
      </w:r>
      <w:r w:rsidRPr="008478C7">
        <w:t>the</w:t>
      </w:r>
      <w:r w:rsidRPr="008478C7" w:rsidDel="00E31E5A">
        <w:t xml:space="preserve"> </w:t>
      </w:r>
      <w:r w:rsidR="00306B97" w:rsidRPr="008478C7">
        <w:t>preliminary decision</w:t>
      </w:r>
      <w:r w:rsidRPr="008478C7" w:rsidDel="00E31E5A">
        <w:t xml:space="preserve">, we </w:t>
      </w:r>
      <w:r w:rsidR="00306B97" w:rsidRPr="008478C7">
        <w:t xml:space="preserve">also </w:t>
      </w:r>
      <w:r w:rsidRPr="008478C7" w:rsidDel="00E31E5A">
        <w:t xml:space="preserve">accepted </w:t>
      </w:r>
      <w:r w:rsidR="00306B97" w:rsidRPr="008478C7">
        <w:t xml:space="preserve">Energex’s reallocation of the residual value of the old 'Metering' asset class to be replaced by a new 'Load control &amp; network metering devices' asset class. </w:t>
      </w:r>
      <w:r w:rsidR="008478C7" w:rsidRPr="008478C7">
        <w:t>However, we revised the remaining asset life for past assets allocated to this asset class.</w:t>
      </w:r>
      <w:r w:rsidR="008478C7">
        <w:t xml:space="preserve"> Similarly, we revised the remaining asset life of the ‘Low voltage services’ asset class to account for the effect of the proposed shifting of assets to the old ‘Metering’ asset class.</w:t>
      </w:r>
      <w:r w:rsidRPr="00E96E6A">
        <w:rPr>
          <w:rStyle w:val="FootnoteReference"/>
        </w:rPr>
        <w:footnoteReference w:id="17"/>
      </w:r>
      <w:r w:rsidR="008478C7">
        <w:t xml:space="preserve"> Energex’</w:t>
      </w:r>
      <w:r w:rsidR="008478C7" w:rsidRPr="00E96E6A">
        <w:t>s revised proposal</w:t>
      </w:r>
      <w:r w:rsidR="008478C7" w:rsidRPr="00E96E6A" w:rsidDel="00E31E5A">
        <w:t xml:space="preserve"> </w:t>
      </w:r>
      <w:r w:rsidR="008478C7">
        <w:t xml:space="preserve">PTRM </w:t>
      </w:r>
      <w:r w:rsidR="008478C7" w:rsidRPr="00E96E6A" w:rsidDel="00E31E5A">
        <w:t xml:space="preserve">adopted our </w:t>
      </w:r>
      <w:r w:rsidR="008478C7">
        <w:t>preliminary</w:t>
      </w:r>
      <w:r w:rsidR="008478C7" w:rsidRPr="00E96E6A" w:rsidDel="00E31E5A">
        <w:t xml:space="preserve"> decision </w:t>
      </w:r>
      <w:r w:rsidR="008478C7">
        <w:t>approach to determining the</w:t>
      </w:r>
      <w:r w:rsidR="008478C7" w:rsidRPr="00E96E6A">
        <w:t xml:space="preserve"> </w:t>
      </w:r>
      <w:r w:rsidR="008478C7" w:rsidRPr="00E96E6A" w:rsidDel="00E31E5A">
        <w:t>remaining asset li</w:t>
      </w:r>
      <w:r w:rsidR="008478C7">
        <w:t>ves for these two asset classes.</w:t>
      </w:r>
      <w:r w:rsidR="008478C7">
        <w:rPr>
          <w:rStyle w:val="FootnoteReference"/>
        </w:rPr>
        <w:footnoteReference w:id="18"/>
      </w:r>
    </w:p>
    <w:p w:rsidR="007C7C6B" w:rsidRDefault="00306B97" w:rsidP="007C7C6B">
      <w:r>
        <w:fldChar w:fldCharType="begin"/>
      </w:r>
      <w:r>
        <w:instrText xml:space="preserve"> REF _Ref410391456 \h </w:instrText>
      </w:r>
      <w:r>
        <w:fldChar w:fldCharType="separate"/>
      </w:r>
      <w:r w:rsidR="00EB74FC">
        <w:t xml:space="preserve">Table </w:t>
      </w:r>
      <w:r w:rsidR="00EB74FC">
        <w:rPr>
          <w:noProof/>
        </w:rPr>
        <w:t>5</w:t>
      </w:r>
      <w:r w:rsidR="00EB74FC">
        <w:t>.</w:t>
      </w:r>
      <w:r w:rsidR="00EB74FC">
        <w:rPr>
          <w:noProof/>
        </w:rPr>
        <w:t>3</w:t>
      </w:r>
      <w:r>
        <w:fldChar w:fldCharType="end"/>
      </w:r>
      <w:r>
        <w:t xml:space="preserve"> </w:t>
      </w:r>
      <w:r w:rsidR="007C7C6B" w:rsidRPr="00E96E6A">
        <w:t>set</w:t>
      </w:r>
      <w:r w:rsidR="007C7C6B">
        <w:t>s</w:t>
      </w:r>
      <w:r w:rsidR="007C7C6B" w:rsidRPr="00E96E6A">
        <w:t xml:space="preserve"> out our final decision on </w:t>
      </w:r>
      <w:r w:rsidR="007C7C6B">
        <w:t>Energ</w:t>
      </w:r>
      <w:r>
        <w:t>ex</w:t>
      </w:r>
      <w:r w:rsidR="007C7C6B" w:rsidRPr="00E96E6A">
        <w:t>'s re</w:t>
      </w:r>
      <w:r>
        <w:t xml:space="preserve">maining asset lives for the </w:t>
      </w:r>
      <w:r>
        <w:br/>
        <w:t>2015</w:t>
      </w:r>
      <w:r w:rsidR="007C7C6B" w:rsidRPr="00E96E6A">
        <w:t>–</w:t>
      </w:r>
      <w:r>
        <w:t>20 regulatory control</w:t>
      </w:r>
      <w:r w:rsidR="007C7C6B" w:rsidRPr="00E96E6A">
        <w:t xml:space="preserve"> </w:t>
      </w:r>
      <w:proofErr w:type="gramStart"/>
      <w:r w:rsidR="007C7C6B" w:rsidRPr="00E96E6A">
        <w:t>period</w:t>
      </w:r>
      <w:proofErr w:type="gramEnd"/>
      <w:r w:rsidR="007C7C6B">
        <w:t>.</w:t>
      </w:r>
    </w:p>
    <w:p w:rsidR="00232B25" w:rsidRDefault="00232B25" w:rsidP="00232B25">
      <w:pPr>
        <w:pStyle w:val="Caption"/>
      </w:pPr>
      <w:bookmarkStart w:id="23" w:name="_Ref410391456"/>
      <w:proofErr w:type="gramStart"/>
      <w:r>
        <w:lastRenderedPageBreak/>
        <w:t xml:space="preserve">Table </w:t>
      </w:r>
      <w:r w:rsidR="0021281C">
        <w:fldChar w:fldCharType="begin"/>
      </w:r>
      <w:r w:rsidR="0021281C">
        <w:instrText xml:space="preserve"> STYLEREF 1 \s </w:instrText>
      </w:r>
      <w:r w:rsidR="0021281C">
        <w:fldChar w:fldCharType="separate"/>
      </w:r>
      <w:r w:rsidR="00EB74FC">
        <w:rPr>
          <w:noProof/>
        </w:rPr>
        <w:t>5</w:t>
      </w:r>
      <w:r w:rsidR="0021281C">
        <w:rPr>
          <w:noProof/>
        </w:rPr>
        <w:fldChar w:fldCharType="end"/>
      </w:r>
      <w:r>
        <w:t>.</w:t>
      </w:r>
      <w:proofErr w:type="gramEnd"/>
      <w:r w:rsidR="0021281C">
        <w:fldChar w:fldCharType="begin"/>
      </w:r>
      <w:r w:rsidR="0021281C">
        <w:instrText xml:space="preserve"> SEQ Table \* ARABIC \s 1 </w:instrText>
      </w:r>
      <w:r w:rsidR="0021281C">
        <w:fldChar w:fldCharType="separate"/>
      </w:r>
      <w:r w:rsidR="00EB74FC">
        <w:rPr>
          <w:noProof/>
        </w:rPr>
        <w:t>3</w:t>
      </w:r>
      <w:r w:rsidR="0021281C">
        <w:rPr>
          <w:noProof/>
        </w:rPr>
        <w:fldChar w:fldCharType="end"/>
      </w:r>
      <w:bookmarkEnd w:id="23"/>
      <w:r>
        <w:tab/>
      </w:r>
      <w:r w:rsidRPr="004B7618">
        <w:t xml:space="preserve">AER's </w:t>
      </w:r>
      <w:r>
        <w:t>final decision</w:t>
      </w:r>
      <w:r w:rsidRPr="004B7618">
        <w:t xml:space="preserve"> on </w:t>
      </w:r>
      <w:r>
        <w:t xml:space="preserve">Energex's standard and remaining asset </w:t>
      </w:r>
      <w:r w:rsidRPr="004B7618">
        <w:t>lives at 1 July 201</w:t>
      </w:r>
      <w:r>
        <w:t>5</w:t>
      </w:r>
      <w:r w:rsidRPr="004B7618">
        <w:t xml:space="preserve"> (years)</w:t>
      </w:r>
    </w:p>
    <w:tbl>
      <w:tblPr>
        <w:tblStyle w:val="AERtable-numbers"/>
        <w:tblW w:w="0" w:type="auto"/>
        <w:tblLayout w:type="fixed"/>
        <w:tblLook w:val="04A0" w:firstRow="1" w:lastRow="0" w:firstColumn="1" w:lastColumn="0" w:noHBand="0" w:noVBand="1"/>
      </w:tblPr>
      <w:tblGrid>
        <w:gridCol w:w="3587"/>
        <w:gridCol w:w="1908"/>
        <w:gridCol w:w="3118"/>
      </w:tblGrid>
      <w:tr w:rsidR="00232B25" w:rsidRPr="004B7618" w:rsidTr="007C7C6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232B25" w:rsidRPr="004B7618" w:rsidRDefault="00232B25" w:rsidP="007C7C6B">
            <w:r w:rsidRPr="004B7618">
              <w:t>Asset class</w:t>
            </w:r>
          </w:p>
        </w:tc>
        <w:tc>
          <w:tcPr>
            <w:tcW w:w="1908" w:type="dxa"/>
            <w:noWrap/>
            <w:hideMark/>
          </w:tcPr>
          <w:p w:rsidR="00232B25" w:rsidRPr="004B7618" w:rsidRDefault="00232B25" w:rsidP="007C7C6B">
            <w:pPr>
              <w:cnfStyle w:val="100000000000" w:firstRow="1" w:lastRow="0" w:firstColumn="0" w:lastColumn="0" w:oddVBand="0" w:evenVBand="0" w:oddHBand="0" w:evenHBand="0" w:firstRowFirstColumn="0" w:firstRowLastColumn="0" w:lastRowFirstColumn="0" w:lastRowLastColumn="0"/>
            </w:pPr>
            <w:r w:rsidRPr="004B7618">
              <w:t xml:space="preserve">Standard asset life </w:t>
            </w:r>
          </w:p>
        </w:tc>
        <w:tc>
          <w:tcPr>
            <w:tcW w:w="3118" w:type="dxa"/>
            <w:noWrap/>
            <w:hideMark/>
          </w:tcPr>
          <w:p w:rsidR="00232B25" w:rsidRPr="004B7618" w:rsidRDefault="00232B25" w:rsidP="007C7C6B">
            <w:pPr>
              <w:cnfStyle w:val="100000000000" w:firstRow="1" w:lastRow="0" w:firstColumn="0" w:lastColumn="0" w:oddVBand="0" w:evenVBand="0" w:oddHBand="0" w:evenHBand="0" w:firstRowFirstColumn="0" w:firstRowLastColumn="0" w:lastRowFirstColumn="0" w:lastRowLastColumn="0"/>
            </w:pPr>
            <w:r>
              <w:t xml:space="preserve">Remaining asset life </w:t>
            </w:r>
            <w:r w:rsidRPr="004B7618">
              <w:t>at 1 July 201</w:t>
            </w:r>
            <w:r>
              <w:t>5</w:t>
            </w:r>
            <w:r w:rsidRPr="004B7618">
              <w:t xml:space="preserve"> </w:t>
            </w:r>
          </w:p>
        </w:tc>
      </w:tr>
      <w:tr w:rsidR="00232B25" w:rsidRPr="004B7618" w:rsidTr="007C7C6B">
        <w:trPr>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232B25" w:rsidRPr="00515642" w:rsidRDefault="00232B25" w:rsidP="007C7C6B">
            <w:r w:rsidRPr="00515642">
              <w:t>OH Sub-transmission lines</w:t>
            </w:r>
          </w:p>
        </w:tc>
        <w:tc>
          <w:tcPr>
            <w:tcW w:w="1908" w:type="dxa"/>
            <w:noWrap/>
            <w:hideMark/>
          </w:tcPr>
          <w:p w:rsidR="00232B25" w:rsidRPr="00515642" w:rsidRDefault="00232B25" w:rsidP="007C7C6B">
            <w:pPr>
              <w:cnfStyle w:val="000000000000" w:firstRow="0" w:lastRow="0" w:firstColumn="0" w:lastColumn="0" w:oddVBand="0" w:evenVBand="0" w:oddHBand="0" w:evenHBand="0" w:firstRowFirstColumn="0" w:firstRowLastColumn="0" w:lastRowFirstColumn="0" w:lastRowLastColumn="0"/>
            </w:pPr>
            <w:r w:rsidRPr="00515642">
              <w:t>50.5</w:t>
            </w:r>
          </w:p>
        </w:tc>
        <w:tc>
          <w:tcPr>
            <w:tcW w:w="3118" w:type="dxa"/>
            <w:noWrap/>
            <w:vAlign w:val="bottom"/>
          </w:tcPr>
          <w:p w:rsidR="00232B25" w:rsidRPr="00515642" w:rsidRDefault="00232B25" w:rsidP="00B877BB">
            <w:pPr>
              <w:cnfStyle w:val="000000000000" w:firstRow="0" w:lastRow="0" w:firstColumn="0" w:lastColumn="0" w:oddVBand="0" w:evenVBand="0" w:oddHBand="0" w:evenHBand="0" w:firstRowFirstColumn="0" w:firstRowLastColumn="0" w:lastRowFirstColumn="0" w:lastRowLastColumn="0"/>
            </w:pPr>
            <w:r w:rsidRPr="00515642">
              <w:t>37.</w:t>
            </w:r>
            <w:r w:rsidR="00B877BB">
              <w:t>5</w:t>
            </w:r>
          </w:p>
        </w:tc>
      </w:tr>
      <w:tr w:rsidR="00232B25" w:rsidRPr="004B7618" w:rsidTr="007C7C6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232B25" w:rsidRPr="00515642" w:rsidRDefault="00232B25" w:rsidP="007C7C6B">
            <w:r w:rsidRPr="00515642">
              <w:t>UG Sub-transmission cables</w:t>
            </w:r>
          </w:p>
        </w:tc>
        <w:tc>
          <w:tcPr>
            <w:tcW w:w="1908" w:type="dxa"/>
            <w:noWrap/>
            <w:hideMark/>
          </w:tcPr>
          <w:p w:rsidR="00232B25" w:rsidRPr="00515642" w:rsidRDefault="00232B25" w:rsidP="007C7C6B">
            <w:pPr>
              <w:cnfStyle w:val="000000010000" w:firstRow="0" w:lastRow="0" w:firstColumn="0" w:lastColumn="0" w:oddVBand="0" w:evenVBand="0" w:oddHBand="0" w:evenHBand="1" w:firstRowFirstColumn="0" w:firstRowLastColumn="0" w:lastRowFirstColumn="0" w:lastRowLastColumn="0"/>
            </w:pPr>
            <w:r w:rsidRPr="00515642">
              <w:t>45.0</w:t>
            </w:r>
          </w:p>
        </w:tc>
        <w:tc>
          <w:tcPr>
            <w:tcW w:w="3118" w:type="dxa"/>
            <w:noWrap/>
            <w:vAlign w:val="bottom"/>
          </w:tcPr>
          <w:p w:rsidR="00232B25" w:rsidRPr="00515642" w:rsidRDefault="00232B25" w:rsidP="00B877BB">
            <w:pPr>
              <w:cnfStyle w:val="000000010000" w:firstRow="0" w:lastRow="0" w:firstColumn="0" w:lastColumn="0" w:oddVBand="0" w:evenVBand="0" w:oddHBand="0" w:evenHBand="1" w:firstRowFirstColumn="0" w:firstRowLastColumn="0" w:lastRowFirstColumn="0" w:lastRowLastColumn="0"/>
            </w:pPr>
            <w:r w:rsidRPr="00515642">
              <w:t>3</w:t>
            </w:r>
            <w:r w:rsidR="00B877BB">
              <w:t>2</w:t>
            </w:r>
            <w:r w:rsidRPr="00515642">
              <w:t>.</w:t>
            </w:r>
            <w:r w:rsidR="00B877BB">
              <w:t>8</w:t>
            </w:r>
          </w:p>
        </w:tc>
      </w:tr>
      <w:tr w:rsidR="00232B25" w:rsidRPr="004B7618" w:rsidTr="007C7C6B">
        <w:trPr>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232B25" w:rsidRPr="00515642" w:rsidRDefault="00232B25" w:rsidP="007C7C6B">
            <w:r w:rsidRPr="00515642">
              <w:t xml:space="preserve">OH Distribution </w:t>
            </w:r>
            <w:r>
              <w:t>l</w:t>
            </w:r>
            <w:r w:rsidRPr="00515642">
              <w:t>ines</w:t>
            </w:r>
          </w:p>
        </w:tc>
        <w:tc>
          <w:tcPr>
            <w:tcW w:w="1908" w:type="dxa"/>
            <w:noWrap/>
            <w:hideMark/>
          </w:tcPr>
          <w:p w:rsidR="00232B25" w:rsidRPr="00515642" w:rsidRDefault="00232B25" w:rsidP="007C7C6B">
            <w:pPr>
              <w:cnfStyle w:val="000000000000" w:firstRow="0" w:lastRow="0" w:firstColumn="0" w:lastColumn="0" w:oddVBand="0" w:evenVBand="0" w:oddHBand="0" w:evenHBand="0" w:firstRowFirstColumn="0" w:firstRowLastColumn="0" w:lastRowFirstColumn="0" w:lastRowLastColumn="0"/>
            </w:pPr>
            <w:r w:rsidRPr="00515642">
              <w:t>45.0</w:t>
            </w:r>
          </w:p>
        </w:tc>
        <w:tc>
          <w:tcPr>
            <w:tcW w:w="3118" w:type="dxa"/>
            <w:noWrap/>
            <w:vAlign w:val="bottom"/>
          </w:tcPr>
          <w:p w:rsidR="00232B25" w:rsidRPr="00515642" w:rsidRDefault="00232B25" w:rsidP="00B877BB">
            <w:pPr>
              <w:cnfStyle w:val="000000000000" w:firstRow="0" w:lastRow="0" w:firstColumn="0" w:lastColumn="0" w:oddVBand="0" w:evenVBand="0" w:oddHBand="0" w:evenHBand="0" w:firstRowFirstColumn="0" w:firstRowLastColumn="0" w:lastRowFirstColumn="0" w:lastRowLastColumn="0"/>
            </w:pPr>
            <w:r w:rsidRPr="00515642">
              <w:t>32.</w:t>
            </w:r>
            <w:r w:rsidR="00B877BB">
              <w:t>0</w:t>
            </w:r>
          </w:p>
        </w:tc>
      </w:tr>
      <w:tr w:rsidR="00232B25" w:rsidRPr="004B7618" w:rsidTr="007C7C6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232B25" w:rsidRPr="00515642" w:rsidRDefault="00232B25" w:rsidP="007C7C6B">
            <w:r w:rsidRPr="00515642">
              <w:t xml:space="preserve">UG Distribution </w:t>
            </w:r>
            <w:r>
              <w:t>c</w:t>
            </w:r>
            <w:r w:rsidRPr="00515642">
              <w:t>ables</w:t>
            </w:r>
          </w:p>
        </w:tc>
        <w:tc>
          <w:tcPr>
            <w:tcW w:w="1908" w:type="dxa"/>
            <w:noWrap/>
            <w:hideMark/>
          </w:tcPr>
          <w:p w:rsidR="00232B25" w:rsidRPr="00515642" w:rsidRDefault="00232B25" w:rsidP="007C7C6B">
            <w:pPr>
              <w:cnfStyle w:val="000000010000" w:firstRow="0" w:lastRow="0" w:firstColumn="0" w:lastColumn="0" w:oddVBand="0" w:evenVBand="0" w:oddHBand="0" w:evenHBand="1" w:firstRowFirstColumn="0" w:firstRowLastColumn="0" w:lastRowFirstColumn="0" w:lastRowLastColumn="0"/>
            </w:pPr>
            <w:r w:rsidRPr="00515642">
              <w:t>60.0</w:t>
            </w:r>
          </w:p>
        </w:tc>
        <w:tc>
          <w:tcPr>
            <w:tcW w:w="3118" w:type="dxa"/>
            <w:noWrap/>
            <w:vAlign w:val="bottom"/>
          </w:tcPr>
          <w:p w:rsidR="00232B25" w:rsidRPr="00515642" w:rsidRDefault="00232B25" w:rsidP="00B877BB">
            <w:pPr>
              <w:cnfStyle w:val="000000010000" w:firstRow="0" w:lastRow="0" w:firstColumn="0" w:lastColumn="0" w:oddVBand="0" w:evenVBand="0" w:oddHBand="0" w:evenHBand="1" w:firstRowFirstColumn="0" w:firstRowLastColumn="0" w:lastRowFirstColumn="0" w:lastRowLastColumn="0"/>
            </w:pPr>
            <w:r w:rsidRPr="00515642">
              <w:t>4</w:t>
            </w:r>
            <w:r w:rsidR="00B877BB">
              <w:t>6</w:t>
            </w:r>
            <w:r w:rsidRPr="00515642">
              <w:t>.</w:t>
            </w:r>
            <w:r w:rsidR="00B877BB">
              <w:t>9</w:t>
            </w:r>
          </w:p>
        </w:tc>
      </w:tr>
      <w:tr w:rsidR="00232B25" w:rsidRPr="004B7618" w:rsidTr="007C7C6B">
        <w:trPr>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232B25" w:rsidRPr="00515642" w:rsidRDefault="00232B25" w:rsidP="007C7C6B">
            <w:r w:rsidRPr="00515642">
              <w:t xml:space="preserve">Distribution </w:t>
            </w:r>
            <w:r>
              <w:t>e</w:t>
            </w:r>
            <w:r w:rsidRPr="00515642">
              <w:t>quipment</w:t>
            </w:r>
          </w:p>
        </w:tc>
        <w:tc>
          <w:tcPr>
            <w:tcW w:w="1908" w:type="dxa"/>
            <w:noWrap/>
            <w:hideMark/>
          </w:tcPr>
          <w:p w:rsidR="00232B25" w:rsidRPr="00515642" w:rsidRDefault="00232B25" w:rsidP="007C7C6B">
            <w:pPr>
              <w:cnfStyle w:val="000000000000" w:firstRow="0" w:lastRow="0" w:firstColumn="0" w:lastColumn="0" w:oddVBand="0" w:evenVBand="0" w:oddHBand="0" w:evenHBand="0" w:firstRowFirstColumn="0" w:firstRowLastColumn="0" w:lastRowFirstColumn="0" w:lastRowLastColumn="0"/>
            </w:pPr>
            <w:r w:rsidRPr="00515642">
              <w:t>35.0</w:t>
            </w:r>
          </w:p>
        </w:tc>
        <w:tc>
          <w:tcPr>
            <w:tcW w:w="3118" w:type="dxa"/>
            <w:noWrap/>
            <w:vAlign w:val="bottom"/>
          </w:tcPr>
          <w:p w:rsidR="00232B25" w:rsidRPr="00515642" w:rsidRDefault="00232B25" w:rsidP="00B877BB">
            <w:pPr>
              <w:cnfStyle w:val="000000000000" w:firstRow="0" w:lastRow="0" w:firstColumn="0" w:lastColumn="0" w:oddVBand="0" w:evenVBand="0" w:oddHBand="0" w:evenHBand="0" w:firstRowFirstColumn="0" w:firstRowLastColumn="0" w:lastRowFirstColumn="0" w:lastRowLastColumn="0"/>
            </w:pPr>
            <w:r w:rsidRPr="00515642">
              <w:t>29.</w:t>
            </w:r>
            <w:r w:rsidR="00B877BB">
              <w:t>3</w:t>
            </w:r>
          </w:p>
        </w:tc>
      </w:tr>
      <w:tr w:rsidR="00232B25" w:rsidRPr="004B7618" w:rsidTr="007C7C6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232B25" w:rsidRPr="00515642" w:rsidRDefault="00232B25" w:rsidP="007C7C6B">
            <w:r w:rsidRPr="00515642">
              <w:t xml:space="preserve">Substation </w:t>
            </w:r>
            <w:r>
              <w:t>b</w:t>
            </w:r>
            <w:r w:rsidRPr="00515642">
              <w:t>ays</w:t>
            </w:r>
          </w:p>
        </w:tc>
        <w:tc>
          <w:tcPr>
            <w:tcW w:w="1908" w:type="dxa"/>
            <w:noWrap/>
            <w:hideMark/>
          </w:tcPr>
          <w:p w:rsidR="00232B25" w:rsidRPr="00515642" w:rsidRDefault="00232B25" w:rsidP="007C7C6B">
            <w:pPr>
              <w:cnfStyle w:val="000000010000" w:firstRow="0" w:lastRow="0" w:firstColumn="0" w:lastColumn="0" w:oddVBand="0" w:evenVBand="0" w:oddHBand="0" w:evenHBand="1" w:firstRowFirstColumn="0" w:firstRowLastColumn="0" w:lastRowFirstColumn="0" w:lastRowLastColumn="0"/>
            </w:pPr>
            <w:r w:rsidRPr="00515642">
              <w:t>45.0</w:t>
            </w:r>
          </w:p>
        </w:tc>
        <w:tc>
          <w:tcPr>
            <w:tcW w:w="3118" w:type="dxa"/>
            <w:noWrap/>
            <w:vAlign w:val="bottom"/>
          </w:tcPr>
          <w:p w:rsidR="00232B25" w:rsidRPr="00515642" w:rsidRDefault="00232B25" w:rsidP="00B877BB">
            <w:pPr>
              <w:cnfStyle w:val="000000010000" w:firstRow="0" w:lastRow="0" w:firstColumn="0" w:lastColumn="0" w:oddVBand="0" w:evenVBand="0" w:oddHBand="0" w:evenHBand="1" w:firstRowFirstColumn="0" w:firstRowLastColumn="0" w:lastRowFirstColumn="0" w:lastRowLastColumn="0"/>
            </w:pPr>
            <w:r w:rsidRPr="00515642">
              <w:t>30.</w:t>
            </w:r>
            <w:r w:rsidR="00B877BB">
              <w:t>1</w:t>
            </w:r>
          </w:p>
        </w:tc>
      </w:tr>
      <w:tr w:rsidR="00232B25" w:rsidRPr="004B7618" w:rsidTr="007C7C6B">
        <w:trPr>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232B25" w:rsidRPr="00515642" w:rsidRDefault="00232B25" w:rsidP="007C7C6B">
            <w:r w:rsidRPr="00515642">
              <w:t xml:space="preserve">Substation </w:t>
            </w:r>
            <w:r>
              <w:t>e</w:t>
            </w:r>
            <w:r w:rsidRPr="00515642">
              <w:t>stablishment</w:t>
            </w:r>
          </w:p>
        </w:tc>
        <w:tc>
          <w:tcPr>
            <w:tcW w:w="1908" w:type="dxa"/>
            <w:noWrap/>
            <w:hideMark/>
          </w:tcPr>
          <w:p w:rsidR="00232B25" w:rsidRPr="00515642" w:rsidRDefault="00232B25" w:rsidP="007C7C6B">
            <w:pPr>
              <w:cnfStyle w:val="000000000000" w:firstRow="0" w:lastRow="0" w:firstColumn="0" w:lastColumn="0" w:oddVBand="0" w:evenVBand="0" w:oddHBand="0" w:evenHBand="0" w:firstRowFirstColumn="0" w:firstRowLastColumn="0" w:lastRowFirstColumn="0" w:lastRowLastColumn="0"/>
            </w:pPr>
            <w:r w:rsidRPr="00515642">
              <w:t>57.6</w:t>
            </w:r>
          </w:p>
        </w:tc>
        <w:tc>
          <w:tcPr>
            <w:tcW w:w="3118" w:type="dxa"/>
            <w:noWrap/>
            <w:vAlign w:val="bottom"/>
          </w:tcPr>
          <w:p w:rsidR="00232B25" w:rsidRPr="00515642" w:rsidRDefault="00232B25" w:rsidP="00B877BB">
            <w:pPr>
              <w:cnfStyle w:val="000000000000" w:firstRow="0" w:lastRow="0" w:firstColumn="0" w:lastColumn="0" w:oddVBand="0" w:evenVBand="0" w:oddHBand="0" w:evenHBand="0" w:firstRowFirstColumn="0" w:firstRowLastColumn="0" w:lastRowFirstColumn="0" w:lastRowLastColumn="0"/>
            </w:pPr>
            <w:r w:rsidRPr="00515642">
              <w:t>35.</w:t>
            </w:r>
            <w:r w:rsidR="00B877BB">
              <w:t>1</w:t>
            </w:r>
          </w:p>
        </w:tc>
      </w:tr>
      <w:tr w:rsidR="00232B25" w:rsidRPr="004B7618" w:rsidTr="007C7C6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232B25" w:rsidRPr="00515642" w:rsidRDefault="00232B25" w:rsidP="007C7C6B">
            <w:r w:rsidRPr="00515642">
              <w:t xml:space="preserve">Distribution </w:t>
            </w:r>
            <w:r>
              <w:t>s</w:t>
            </w:r>
            <w:r w:rsidRPr="00515642">
              <w:t xml:space="preserve">ubstation </w:t>
            </w:r>
            <w:r>
              <w:t>s</w:t>
            </w:r>
            <w:r w:rsidRPr="00515642">
              <w:t>witchgear</w:t>
            </w:r>
          </w:p>
        </w:tc>
        <w:tc>
          <w:tcPr>
            <w:tcW w:w="1908" w:type="dxa"/>
            <w:noWrap/>
            <w:hideMark/>
          </w:tcPr>
          <w:p w:rsidR="00232B25" w:rsidRPr="00515642" w:rsidRDefault="00232B25" w:rsidP="007C7C6B">
            <w:pPr>
              <w:cnfStyle w:val="000000010000" w:firstRow="0" w:lastRow="0" w:firstColumn="0" w:lastColumn="0" w:oddVBand="0" w:evenVBand="0" w:oddHBand="0" w:evenHBand="1" w:firstRowFirstColumn="0" w:firstRowLastColumn="0" w:lastRowFirstColumn="0" w:lastRowLastColumn="0"/>
            </w:pPr>
            <w:r w:rsidRPr="00515642">
              <w:t>45.0</w:t>
            </w:r>
          </w:p>
        </w:tc>
        <w:tc>
          <w:tcPr>
            <w:tcW w:w="3118" w:type="dxa"/>
            <w:noWrap/>
            <w:vAlign w:val="bottom"/>
          </w:tcPr>
          <w:p w:rsidR="00232B25" w:rsidRPr="00515642" w:rsidRDefault="00232B25" w:rsidP="00B877BB">
            <w:pPr>
              <w:cnfStyle w:val="000000010000" w:firstRow="0" w:lastRow="0" w:firstColumn="0" w:lastColumn="0" w:oddVBand="0" w:evenVBand="0" w:oddHBand="0" w:evenHBand="1" w:firstRowFirstColumn="0" w:firstRowLastColumn="0" w:lastRowFirstColumn="0" w:lastRowLastColumn="0"/>
            </w:pPr>
            <w:r w:rsidRPr="00515642">
              <w:t>38.</w:t>
            </w:r>
            <w:r w:rsidR="00B877BB">
              <w:t>9</w:t>
            </w:r>
          </w:p>
        </w:tc>
      </w:tr>
      <w:tr w:rsidR="00232B25" w:rsidRPr="004B7618" w:rsidTr="007C7C6B">
        <w:trPr>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232B25" w:rsidRPr="00515642" w:rsidRDefault="00232B25" w:rsidP="007C7C6B">
            <w:r w:rsidRPr="00515642">
              <w:t xml:space="preserve">Zone </w:t>
            </w:r>
            <w:r>
              <w:t>t</w:t>
            </w:r>
            <w:r w:rsidRPr="00515642">
              <w:t>ransformers</w:t>
            </w:r>
          </w:p>
        </w:tc>
        <w:tc>
          <w:tcPr>
            <w:tcW w:w="1908" w:type="dxa"/>
            <w:noWrap/>
            <w:hideMark/>
          </w:tcPr>
          <w:p w:rsidR="00232B25" w:rsidRPr="00515642" w:rsidRDefault="00232B25" w:rsidP="007C7C6B">
            <w:pPr>
              <w:cnfStyle w:val="000000000000" w:firstRow="0" w:lastRow="0" w:firstColumn="0" w:lastColumn="0" w:oddVBand="0" w:evenVBand="0" w:oddHBand="0" w:evenHBand="0" w:firstRowFirstColumn="0" w:firstRowLastColumn="0" w:lastRowFirstColumn="0" w:lastRowLastColumn="0"/>
            </w:pPr>
            <w:r w:rsidRPr="00515642">
              <w:t>50.0</w:t>
            </w:r>
          </w:p>
        </w:tc>
        <w:tc>
          <w:tcPr>
            <w:tcW w:w="3118" w:type="dxa"/>
            <w:noWrap/>
            <w:vAlign w:val="bottom"/>
          </w:tcPr>
          <w:p w:rsidR="00232B25" w:rsidRPr="00515642" w:rsidRDefault="00232B25" w:rsidP="00B877BB">
            <w:pPr>
              <w:cnfStyle w:val="000000000000" w:firstRow="0" w:lastRow="0" w:firstColumn="0" w:lastColumn="0" w:oddVBand="0" w:evenVBand="0" w:oddHBand="0" w:evenHBand="0" w:firstRowFirstColumn="0" w:firstRowLastColumn="0" w:lastRowFirstColumn="0" w:lastRowLastColumn="0"/>
            </w:pPr>
            <w:r w:rsidRPr="00515642">
              <w:t>40.</w:t>
            </w:r>
            <w:r w:rsidR="00B877BB">
              <w:t>7</w:t>
            </w:r>
          </w:p>
        </w:tc>
      </w:tr>
      <w:tr w:rsidR="00232B25" w:rsidRPr="004B7618" w:rsidTr="007C7C6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232B25" w:rsidRPr="00515642" w:rsidRDefault="00232B25" w:rsidP="007C7C6B">
            <w:r w:rsidRPr="00515642">
              <w:t xml:space="preserve">Distribution </w:t>
            </w:r>
            <w:r>
              <w:t>t</w:t>
            </w:r>
            <w:r w:rsidRPr="00515642">
              <w:t>ransformers</w:t>
            </w:r>
          </w:p>
        </w:tc>
        <w:tc>
          <w:tcPr>
            <w:tcW w:w="1908" w:type="dxa"/>
            <w:noWrap/>
            <w:hideMark/>
          </w:tcPr>
          <w:p w:rsidR="00232B25" w:rsidRPr="00515642" w:rsidRDefault="00232B25" w:rsidP="007C7C6B">
            <w:pPr>
              <w:cnfStyle w:val="000000010000" w:firstRow="0" w:lastRow="0" w:firstColumn="0" w:lastColumn="0" w:oddVBand="0" w:evenVBand="0" w:oddHBand="0" w:evenHBand="1" w:firstRowFirstColumn="0" w:firstRowLastColumn="0" w:lastRowFirstColumn="0" w:lastRowLastColumn="0"/>
            </w:pPr>
            <w:r w:rsidRPr="00515642">
              <w:t>40.6</w:t>
            </w:r>
          </w:p>
        </w:tc>
        <w:tc>
          <w:tcPr>
            <w:tcW w:w="3118" w:type="dxa"/>
            <w:noWrap/>
            <w:vAlign w:val="bottom"/>
          </w:tcPr>
          <w:p w:rsidR="00232B25" w:rsidRPr="00515642" w:rsidRDefault="00232B25" w:rsidP="00B877BB">
            <w:pPr>
              <w:cnfStyle w:val="000000010000" w:firstRow="0" w:lastRow="0" w:firstColumn="0" w:lastColumn="0" w:oddVBand="0" w:evenVBand="0" w:oddHBand="0" w:evenHBand="1" w:firstRowFirstColumn="0" w:firstRowLastColumn="0" w:lastRowFirstColumn="0" w:lastRowLastColumn="0"/>
            </w:pPr>
            <w:r w:rsidRPr="00515642">
              <w:t>28.</w:t>
            </w:r>
            <w:r w:rsidR="00B877BB">
              <w:t>6</w:t>
            </w:r>
          </w:p>
        </w:tc>
      </w:tr>
      <w:tr w:rsidR="00232B25" w:rsidRPr="004B7618" w:rsidTr="007C7C6B">
        <w:trPr>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232B25" w:rsidRPr="00515642" w:rsidRDefault="00232B25" w:rsidP="007C7C6B">
            <w:r w:rsidRPr="00515642">
              <w:t xml:space="preserve">Low </w:t>
            </w:r>
            <w:r>
              <w:t>v</w:t>
            </w:r>
            <w:r w:rsidRPr="00515642">
              <w:t xml:space="preserve">oltage </w:t>
            </w:r>
            <w:r>
              <w:t>s</w:t>
            </w:r>
            <w:r w:rsidRPr="00515642">
              <w:t>ervices</w:t>
            </w:r>
          </w:p>
        </w:tc>
        <w:tc>
          <w:tcPr>
            <w:tcW w:w="1908" w:type="dxa"/>
            <w:noWrap/>
            <w:hideMark/>
          </w:tcPr>
          <w:p w:rsidR="00232B25" w:rsidRPr="00515642" w:rsidRDefault="00232B25" w:rsidP="007C7C6B">
            <w:pPr>
              <w:cnfStyle w:val="000000000000" w:firstRow="0" w:lastRow="0" w:firstColumn="0" w:lastColumn="0" w:oddVBand="0" w:evenVBand="0" w:oddHBand="0" w:evenHBand="0" w:firstRowFirstColumn="0" w:firstRowLastColumn="0" w:lastRowFirstColumn="0" w:lastRowLastColumn="0"/>
            </w:pPr>
            <w:r w:rsidRPr="00515642">
              <w:t>35.0</w:t>
            </w:r>
          </w:p>
        </w:tc>
        <w:tc>
          <w:tcPr>
            <w:tcW w:w="3118" w:type="dxa"/>
            <w:noWrap/>
            <w:vAlign w:val="bottom"/>
          </w:tcPr>
          <w:p w:rsidR="00232B25" w:rsidRPr="00515642" w:rsidRDefault="00232B25" w:rsidP="00E6016E">
            <w:pPr>
              <w:cnfStyle w:val="000000000000" w:firstRow="0" w:lastRow="0" w:firstColumn="0" w:lastColumn="0" w:oddVBand="0" w:evenVBand="0" w:oddHBand="0" w:evenHBand="0" w:firstRowFirstColumn="0" w:firstRowLastColumn="0" w:lastRowFirstColumn="0" w:lastRowLastColumn="0"/>
            </w:pPr>
            <w:r w:rsidRPr="00515642">
              <w:t>28.</w:t>
            </w:r>
            <w:r w:rsidR="00E6016E">
              <w:t>6</w:t>
            </w:r>
          </w:p>
        </w:tc>
      </w:tr>
      <w:tr w:rsidR="00232B25" w:rsidRPr="004B7618" w:rsidTr="007C7C6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232B25" w:rsidRPr="00515642" w:rsidRDefault="00232B25" w:rsidP="007C7C6B">
            <w:r w:rsidRPr="00515642">
              <w:t xml:space="preserve">Load </w:t>
            </w:r>
            <w:r>
              <w:t>c</w:t>
            </w:r>
            <w:r w:rsidRPr="00515642">
              <w:t xml:space="preserve">ontrol &amp; </w:t>
            </w:r>
            <w:r>
              <w:t>n</w:t>
            </w:r>
            <w:r w:rsidRPr="00515642">
              <w:t xml:space="preserve">etwork </w:t>
            </w:r>
            <w:r>
              <w:t>m</w:t>
            </w:r>
            <w:r w:rsidRPr="00515642">
              <w:t xml:space="preserve">etering </w:t>
            </w:r>
            <w:r>
              <w:t>d</w:t>
            </w:r>
            <w:r w:rsidRPr="00515642">
              <w:t>evices</w:t>
            </w:r>
          </w:p>
        </w:tc>
        <w:tc>
          <w:tcPr>
            <w:tcW w:w="1908" w:type="dxa"/>
            <w:noWrap/>
            <w:hideMark/>
          </w:tcPr>
          <w:p w:rsidR="00232B25" w:rsidRPr="00515642" w:rsidRDefault="00232B25" w:rsidP="007C7C6B">
            <w:pPr>
              <w:cnfStyle w:val="000000010000" w:firstRow="0" w:lastRow="0" w:firstColumn="0" w:lastColumn="0" w:oddVBand="0" w:evenVBand="0" w:oddHBand="0" w:evenHBand="1" w:firstRowFirstColumn="0" w:firstRowLastColumn="0" w:lastRowFirstColumn="0" w:lastRowLastColumn="0"/>
            </w:pPr>
            <w:r w:rsidRPr="00515642">
              <w:t>15.0</w:t>
            </w:r>
          </w:p>
        </w:tc>
        <w:tc>
          <w:tcPr>
            <w:tcW w:w="3118" w:type="dxa"/>
            <w:noWrap/>
            <w:vAlign w:val="bottom"/>
          </w:tcPr>
          <w:p w:rsidR="00232B25" w:rsidRPr="00515642" w:rsidRDefault="00232B25" w:rsidP="00E6016E">
            <w:pPr>
              <w:cnfStyle w:val="000000010000" w:firstRow="0" w:lastRow="0" w:firstColumn="0" w:lastColumn="0" w:oddVBand="0" w:evenVBand="0" w:oddHBand="0" w:evenHBand="1" w:firstRowFirstColumn="0" w:firstRowLastColumn="0" w:lastRowFirstColumn="0" w:lastRowLastColumn="0"/>
            </w:pPr>
            <w:r w:rsidRPr="00515642">
              <w:t>1</w:t>
            </w:r>
            <w:r w:rsidR="00E6016E">
              <w:t>2.4</w:t>
            </w:r>
          </w:p>
        </w:tc>
      </w:tr>
      <w:tr w:rsidR="00232B25" w:rsidRPr="004B7618" w:rsidTr="007C7C6B">
        <w:trPr>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232B25" w:rsidRPr="00515642" w:rsidRDefault="00232B25" w:rsidP="007C7C6B">
            <w:r w:rsidRPr="00515642">
              <w:t xml:space="preserve">Communications - </w:t>
            </w:r>
            <w:r>
              <w:t>p</w:t>
            </w:r>
            <w:r w:rsidRPr="00515642">
              <w:t xml:space="preserve">ilot </w:t>
            </w:r>
            <w:r>
              <w:t>w</w:t>
            </w:r>
            <w:r w:rsidRPr="00515642">
              <w:t>ires</w:t>
            </w:r>
          </w:p>
        </w:tc>
        <w:tc>
          <w:tcPr>
            <w:tcW w:w="1908" w:type="dxa"/>
            <w:noWrap/>
            <w:hideMark/>
          </w:tcPr>
          <w:p w:rsidR="00232B25" w:rsidRPr="00515642" w:rsidRDefault="00232B25" w:rsidP="007C7C6B">
            <w:pPr>
              <w:cnfStyle w:val="000000000000" w:firstRow="0" w:lastRow="0" w:firstColumn="0" w:lastColumn="0" w:oddVBand="0" w:evenVBand="0" w:oddHBand="0" w:evenHBand="0" w:firstRowFirstColumn="0" w:firstRowLastColumn="0" w:lastRowFirstColumn="0" w:lastRowLastColumn="0"/>
            </w:pPr>
            <w:r w:rsidRPr="00515642">
              <w:t>29.3</w:t>
            </w:r>
          </w:p>
        </w:tc>
        <w:tc>
          <w:tcPr>
            <w:tcW w:w="3118" w:type="dxa"/>
            <w:noWrap/>
            <w:vAlign w:val="bottom"/>
          </w:tcPr>
          <w:p w:rsidR="00232B25" w:rsidRPr="00515642" w:rsidRDefault="00232B25" w:rsidP="00B877BB">
            <w:pPr>
              <w:cnfStyle w:val="000000000000" w:firstRow="0" w:lastRow="0" w:firstColumn="0" w:lastColumn="0" w:oddVBand="0" w:evenVBand="0" w:oddHBand="0" w:evenHBand="0" w:firstRowFirstColumn="0" w:firstRowLastColumn="0" w:lastRowFirstColumn="0" w:lastRowLastColumn="0"/>
            </w:pPr>
            <w:r w:rsidRPr="00515642">
              <w:t>23.</w:t>
            </w:r>
            <w:r w:rsidR="00B877BB">
              <w:t>4</w:t>
            </w:r>
          </w:p>
        </w:tc>
      </w:tr>
      <w:tr w:rsidR="00232B25" w:rsidRPr="004B7618" w:rsidTr="007C7C6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232B25" w:rsidRPr="00515642" w:rsidRDefault="00232B25" w:rsidP="007C7C6B">
            <w:r w:rsidRPr="00515642">
              <w:t xml:space="preserve">Street </w:t>
            </w:r>
            <w:r>
              <w:t>l</w:t>
            </w:r>
            <w:r w:rsidRPr="00515642">
              <w:t>ighting</w:t>
            </w:r>
          </w:p>
        </w:tc>
        <w:tc>
          <w:tcPr>
            <w:tcW w:w="1908" w:type="dxa"/>
            <w:noWrap/>
            <w:hideMark/>
          </w:tcPr>
          <w:p w:rsidR="00232B25" w:rsidRPr="00515642" w:rsidRDefault="00232B25" w:rsidP="007C7C6B">
            <w:pPr>
              <w:cnfStyle w:val="000000010000" w:firstRow="0" w:lastRow="0" w:firstColumn="0" w:lastColumn="0" w:oddVBand="0" w:evenVBand="0" w:oddHBand="0" w:evenHBand="1" w:firstRowFirstColumn="0" w:firstRowLastColumn="0" w:lastRowFirstColumn="0" w:lastRowLastColumn="0"/>
            </w:pPr>
            <w:r w:rsidRPr="00515642">
              <w:t>20.0</w:t>
            </w:r>
          </w:p>
        </w:tc>
        <w:tc>
          <w:tcPr>
            <w:tcW w:w="3118" w:type="dxa"/>
            <w:noWrap/>
            <w:vAlign w:val="bottom"/>
          </w:tcPr>
          <w:p w:rsidR="00232B25" w:rsidRPr="00515642" w:rsidRDefault="00232B25" w:rsidP="007C7C6B">
            <w:pPr>
              <w:cnfStyle w:val="000000010000" w:firstRow="0" w:lastRow="0" w:firstColumn="0" w:lastColumn="0" w:oddVBand="0" w:evenVBand="0" w:oddHBand="0" w:evenHBand="1" w:firstRowFirstColumn="0" w:firstRowLastColumn="0" w:lastRowFirstColumn="0" w:lastRowLastColumn="0"/>
            </w:pPr>
            <w:r w:rsidRPr="00515642">
              <w:t>5.8</w:t>
            </w:r>
          </w:p>
        </w:tc>
      </w:tr>
      <w:tr w:rsidR="00232B25" w:rsidRPr="004B7618" w:rsidTr="007C7C6B">
        <w:trPr>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232B25" w:rsidRPr="00515642" w:rsidRDefault="00232B25" w:rsidP="007C7C6B">
            <w:r w:rsidRPr="00515642">
              <w:t xml:space="preserve">Systems </w:t>
            </w:r>
            <w:r>
              <w:t>b</w:t>
            </w:r>
            <w:r w:rsidRPr="00515642">
              <w:t>uildings</w:t>
            </w:r>
          </w:p>
        </w:tc>
        <w:tc>
          <w:tcPr>
            <w:tcW w:w="1908" w:type="dxa"/>
            <w:noWrap/>
            <w:hideMark/>
          </w:tcPr>
          <w:p w:rsidR="00232B25" w:rsidRPr="00515642" w:rsidRDefault="00232B25" w:rsidP="007C7C6B">
            <w:pPr>
              <w:cnfStyle w:val="000000000000" w:firstRow="0" w:lastRow="0" w:firstColumn="0" w:lastColumn="0" w:oddVBand="0" w:evenVBand="0" w:oddHBand="0" w:evenHBand="0" w:firstRowFirstColumn="0" w:firstRowLastColumn="0" w:lastRowFirstColumn="0" w:lastRowLastColumn="0"/>
            </w:pPr>
            <w:r w:rsidRPr="00515642">
              <w:t>60.0</w:t>
            </w:r>
          </w:p>
        </w:tc>
        <w:tc>
          <w:tcPr>
            <w:tcW w:w="3118" w:type="dxa"/>
            <w:noWrap/>
            <w:vAlign w:val="bottom"/>
          </w:tcPr>
          <w:p w:rsidR="00232B25" w:rsidRPr="00515642" w:rsidRDefault="00232B25" w:rsidP="00B877BB">
            <w:pPr>
              <w:cnfStyle w:val="000000000000" w:firstRow="0" w:lastRow="0" w:firstColumn="0" w:lastColumn="0" w:oddVBand="0" w:evenVBand="0" w:oddHBand="0" w:evenHBand="0" w:firstRowFirstColumn="0" w:firstRowLastColumn="0" w:lastRowFirstColumn="0" w:lastRowLastColumn="0"/>
            </w:pPr>
            <w:r w:rsidRPr="00515642">
              <w:t>56.</w:t>
            </w:r>
            <w:r w:rsidR="00B877BB">
              <w:t>6</w:t>
            </w:r>
          </w:p>
        </w:tc>
      </w:tr>
      <w:tr w:rsidR="00232B25" w:rsidRPr="004B7618" w:rsidTr="007C7C6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232B25" w:rsidRPr="00515642" w:rsidRDefault="00232B25" w:rsidP="007C7C6B">
            <w:r w:rsidRPr="00515642">
              <w:t xml:space="preserve">Systems </w:t>
            </w:r>
            <w:r>
              <w:t>e</w:t>
            </w:r>
            <w:r w:rsidRPr="00515642">
              <w:t>asements</w:t>
            </w:r>
          </w:p>
        </w:tc>
        <w:tc>
          <w:tcPr>
            <w:tcW w:w="1908" w:type="dxa"/>
            <w:noWrap/>
            <w:hideMark/>
          </w:tcPr>
          <w:p w:rsidR="00232B25" w:rsidRPr="00515642" w:rsidRDefault="00232B25" w:rsidP="007C7C6B">
            <w:pPr>
              <w:cnfStyle w:val="000000010000" w:firstRow="0" w:lastRow="0" w:firstColumn="0" w:lastColumn="0" w:oddVBand="0" w:evenVBand="0" w:oddHBand="0" w:evenHBand="1" w:firstRowFirstColumn="0" w:firstRowLastColumn="0" w:lastRowFirstColumn="0" w:lastRowLastColumn="0"/>
            </w:pPr>
            <w:r w:rsidRPr="00515642">
              <w:t>n/a</w:t>
            </w:r>
          </w:p>
        </w:tc>
        <w:tc>
          <w:tcPr>
            <w:tcW w:w="3118" w:type="dxa"/>
            <w:noWrap/>
            <w:vAlign w:val="bottom"/>
          </w:tcPr>
          <w:p w:rsidR="00232B25" w:rsidRPr="00515642" w:rsidRDefault="00232B25" w:rsidP="007C7C6B">
            <w:pPr>
              <w:cnfStyle w:val="000000010000" w:firstRow="0" w:lastRow="0" w:firstColumn="0" w:lastColumn="0" w:oddVBand="0" w:evenVBand="0" w:oddHBand="0" w:evenHBand="1" w:firstRowFirstColumn="0" w:firstRowLastColumn="0" w:lastRowFirstColumn="0" w:lastRowLastColumn="0"/>
            </w:pPr>
            <w:r w:rsidRPr="00515642">
              <w:t>n/a</w:t>
            </w:r>
          </w:p>
        </w:tc>
      </w:tr>
      <w:tr w:rsidR="00232B25" w:rsidRPr="004B7618" w:rsidTr="007C7C6B">
        <w:trPr>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232B25" w:rsidRPr="00515642" w:rsidRDefault="00232B25" w:rsidP="007C7C6B">
            <w:r w:rsidRPr="00515642">
              <w:t xml:space="preserve">System </w:t>
            </w:r>
            <w:r>
              <w:t>l</w:t>
            </w:r>
            <w:r w:rsidRPr="00515642">
              <w:t>and</w:t>
            </w:r>
          </w:p>
        </w:tc>
        <w:tc>
          <w:tcPr>
            <w:tcW w:w="1908" w:type="dxa"/>
            <w:noWrap/>
            <w:hideMark/>
          </w:tcPr>
          <w:p w:rsidR="00232B25" w:rsidRPr="00515642" w:rsidRDefault="00232B25" w:rsidP="007C7C6B">
            <w:pPr>
              <w:cnfStyle w:val="000000000000" w:firstRow="0" w:lastRow="0" w:firstColumn="0" w:lastColumn="0" w:oddVBand="0" w:evenVBand="0" w:oddHBand="0" w:evenHBand="0" w:firstRowFirstColumn="0" w:firstRowLastColumn="0" w:lastRowFirstColumn="0" w:lastRowLastColumn="0"/>
            </w:pPr>
            <w:r w:rsidRPr="00515642">
              <w:t>n/a</w:t>
            </w:r>
          </w:p>
        </w:tc>
        <w:tc>
          <w:tcPr>
            <w:tcW w:w="3118" w:type="dxa"/>
            <w:noWrap/>
            <w:vAlign w:val="bottom"/>
          </w:tcPr>
          <w:p w:rsidR="00232B25" w:rsidRPr="00515642" w:rsidRDefault="00232B25" w:rsidP="007C7C6B">
            <w:pPr>
              <w:cnfStyle w:val="000000000000" w:firstRow="0" w:lastRow="0" w:firstColumn="0" w:lastColumn="0" w:oddVBand="0" w:evenVBand="0" w:oddHBand="0" w:evenHBand="0" w:firstRowFirstColumn="0" w:firstRowLastColumn="0" w:lastRowFirstColumn="0" w:lastRowLastColumn="0"/>
            </w:pPr>
            <w:r w:rsidRPr="00515642">
              <w:t>n/a</w:t>
            </w:r>
          </w:p>
        </w:tc>
      </w:tr>
      <w:tr w:rsidR="00232B25" w:rsidRPr="004B7618" w:rsidTr="007C7C6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232B25" w:rsidRPr="00515642" w:rsidRDefault="00232B25" w:rsidP="007C7C6B">
            <w:r w:rsidRPr="00515642">
              <w:t>Communications</w:t>
            </w:r>
          </w:p>
        </w:tc>
        <w:tc>
          <w:tcPr>
            <w:tcW w:w="1908" w:type="dxa"/>
            <w:noWrap/>
            <w:hideMark/>
          </w:tcPr>
          <w:p w:rsidR="00232B25" w:rsidRPr="00515642" w:rsidRDefault="00232B25" w:rsidP="007C7C6B">
            <w:pPr>
              <w:cnfStyle w:val="000000010000" w:firstRow="0" w:lastRow="0" w:firstColumn="0" w:lastColumn="0" w:oddVBand="0" w:evenVBand="0" w:oddHBand="0" w:evenHBand="1" w:firstRowFirstColumn="0" w:firstRowLastColumn="0" w:lastRowFirstColumn="0" w:lastRowLastColumn="0"/>
            </w:pPr>
            <w:r w:rsidRPr="00515642">
              <w:t>7.0</w:t>
            </w:r>
          </w:p>
        </w:tc>
        <w:tc>
          <w:tcPr>
            <w:tcW w:w="3118" w:type="dxa"/>
            <w:noWrap/>
            <w:vAlign w:val="bottom"/>
          </w:tcPr>
          <w:p w:rsidR="00232B25" w:rsidRPr="009A317A" w:rsidRDefault="009A317A" w:rsidP="009A317A">
            <w:pPr>
              <w:cnfStyle w:val="000000010000" w:firstRow="0" w:lastRow="0" w:firstColumn="0" w:lastColumn="0" w:oddVBand="0" w:evenVBand="0" w:oddHBand="0" w:evenHBand="1" w:firstRowFirstColumn="0" w:firstRowLastColumn="0" w:lastRowFirstColumn="0" w:lastRowLastColumn="0"/>
              <w:rPr>
                <w:rStyle w:val="AERsuperscript"/>
              </w:rPr>
            </w:pPr>
            <w:r>
              <w:t>1.0</w:t>
            </w:r>
            <w:r>
              <w:rPr>
                <w:rStyle w:val="AERsuperscript"/>
              </w:rPr>
              <w:t>a</w:t>
            </w:r>
          </w:p>
        </w:tc>
      </w:tr>
      <w:tr w:rsidR="00232B25" w:rsidRPr="004B7618" w:rsidTr="007C7C6B">
        <w:trPr>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232B25" w:rsidRPr="00515642" w:rsidRDefault="00232B25" w:rsidP="007C7C6B">
            <w:r w:rsidRPr="00515642">
              <w:t xml:space="preserve">Control </w:t>
            </w:r>
            <w:r>
              <w:t>c</w:t>
            </w:r>
            <w:r w:rsidRPr="00515642">
              <w:t>entre - SCADA</w:t>
            </w:r>
          </w:p>
        </w:tc>
        <w:tc>
          <w:tcPr>
            <w:tcW w:w="1908" w:type="dxa"/>
            <w:noWrap/>
            <w:hideMark/>
          </w:tcPr>
          <w:p w:rsidR="00232B25" w:rsidRPr="00515642" w:rsidRDefault="00232B25" w:rsidP="007C7C6B">
            <w:pPr>
              <w:cnfStyle w:val="000000000000" w:firstRow="0" w:lastRow="0" w:firstColumn="0" w:lastColumn="0" w:oddVBand="0" w:evenVBand="0" w:oddHBand="0" w:evenHBand="0" w:firstRowFirstColumn="0" w:firstRowLastColumn="0" w:lastRowFirstColumn="0" w:lastRowLastColumn="0"/>
            </w:pPr>
            <w:r w:rsidRPr="00515642">
              <w:t>12.0</w:t>
            </w:r>
          </w:p>
        </w:tc>
        <w:tc>
          <w:tcPr>
            <w:tcW w:w="3118" w:type="dxa"/>
            <w:noWrap/>
            <w:vAlign w:val="bottom"/>
          </w:tcPr>
          <w:p w:rsidR="00232B25" w:rsidRPr="00515642" w:rsidRDefault="00B877BB" w:rsidP="00B877BB">
            <w:pPr>
              <w:cnfStyle w:val="000000000000" w:firstRow="0" w:lastRow="0" w:firstColumn="0" w:lastColumn="0" w:oddVBand="0" w:evenVBand="0" w:oddHBand="0" w:evenHBand="0" w:firstRowFirstColumn="0" w:firstRowLastColumn="0" w:lastRowFirstColumn="0" w:lastRowLastColumn="0"/>
            </w:pPr>
            <w:r>
              <w:t>4</w:t>
            </w:r>
            <w:r w:rsidR="00232B25" w:rsidRPr="00515642">
              <w:t>.6</w:t>
            </w:r>
          </w:p>
        </w:tc>
      </w:tr>
      <w:tr w:rsidR="00232B25" w:rsidRPr="004B7618" w:rsidTr="007C7C6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232B25" w:rsidRPr="00515642" w:rsidRDefault="00232B25" w:rsidP="007C7C6B">
            <w:r w:rsidRPr="00515642">
              <w:t xml:space="preserve">IT </w:t>
            </w:r>
            <w:r>
              <w:t>s</w:t>
            </w:r>
            <w:r w:rsidRPr="00515642">
              <w:t>ystems</w:t>
            </w:r>
          </w:p>
        </w:tc>
        <w:tc>
          <w:tcPr>
            <w:tcW w:w="1908" w:type="dxa"/>
            <w:noWrap/>
            <w:hideMark/>
          </w:tcPr>
          <w:p w:rsidR="00232B25" w:rsidRPr="00515642" w:rsidRDefault="00232B25" w:rsidP="007C7C6B">
            <w:pPr>
              <w:cnfStyle w:val="000000010000" w:firstRow="0" w:lastRow="0" w:firstColumn="0" w:lastColumn="0" w:oddVBand="0" w:evenVBand="0" w:oddHBand="0" w:evenHBand="1" w:firstRowFirstColumn="0" w:firstRowLastColumn="0" w:lastRowFirstColumn="0" w:lastRowLastColumn="0"/>
            </w:pPr>
            <w:r w:rsidRPr="00515642">
              <w:t>5.0</w:t>
            </w:r>
          </w:p>
        </w:tc>
        <w:tc>
          <w:tcPr>
            <w:tcW w:w="3118" w:type="dxa"/>
            <w:noWrap/>
            <w:vAlign w:val="bottom"/>
          </w:tcPr>
          <w:p w:rsidR="00232B25" w:rsidRPr="00515642" w:rsidRDefault="00B877BB" w:rsidP="00B877BB">
            <w:pPr>
              <w:cnfStyle w:val="000000010000" w:firstRow="0" w:lastRow="0" w:firstColumn="0" w:lastColumn="0" w:oddVBand="0" w:evenVBand="0" w:oddHBand="0" w:evenHBand="1" w:firstRowFirstColumn="0" w:firstRowLastColumn="0" w:lastRowFirstColumn="0" w:lastRowLastColumn="0"/>
            </w:pPr>
            <w:r>
              <w:t>2</w:t>
            </w:r>
            <w:r w:rsidR="00232B25" w:rsidRPr="00515642">
              <w:t>.</w:t>
            </w:r>
            <w:r>
              <w:t>8</w:t>
            </w:r>
          </w:p>
        </w:tc>
      </w:tr>
      <w:tr w:rsidR="00232B25" w:rsidRPr="004B7618" w:rsidTr="007C7C6B">
        <w:trPr>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232B25" w:rsidRPr="00515642" w:rsidRDefault="00232B25" w:rsidP="007C7C6B">
            <w:r w:rsidRPr="00515642">
              <w:t xml:space="preserve">Office </w:t>
            </w:r>
            <w:r>
              <w:t>e</w:t>
            </w:r>
            <w:r w:rsidRPr="00515642">
              <w:t xml:space="preserve">quipment &amp; </w:t>
            </w:r>
            <w:r>
              <w:t>f</w:t>
            </w:r>
            <w:r w:rsidRPr="00515642">
              <w:t>urniture</w:t>
            </w:r>
          </w:p>
        </w:tc>
        <w:tc>
          <w:tcPr>
            <w:tcW w:w="1908" w:type="dxa"/>
            <w:noWrap/>
            <w:hideMark/>
          </w:tcPr>
          <w:p w:rsidR="00232B25" w:rsidRPr="00515642" w:rsidRDefault="00232B25" w:rsidP="007C7C6B">
            <w:pPr>
              <w:cnfStyle w:val="000000000000" w:firstRow="0" w:lastRow="0" w:firstColumn="0" w:lastColumn="0" w:oddVBand="0" w:evenVBand="0" w:oddHBand="0" w:evenHBand="0" w:firstRowFirstColumn="0" w:firstRowLastColumn="0" w:lastRowFirstColumn="0" w:lastRowLastColumn="0"/>
            </w:pPr>
            <w:r w:rsidRPr="00515642">
              <w:t>7.0</w:t>
            </w:r>
          </w:p>
        </w:tc>
        <w:tc>
          <w:tcPr>
            <w:tcW w:w="3118" w:type="dxa"/>
            <w:noWrap/>
            <w:vAlign w:val="bottom"/>
          </w:tcPr>
          <w:p w:rsidR="00232B25" w:rsidRPr="00515642" w:rsidRDefault="00232B25" w:rsidP="00B877BB">
            <w:pPr>
              <w:cnfStyle w:val="000000000000" w:firstRow="0" w:lastRow="0" w:firstColumn="0" w:lastColumn="0" w:oddVBand="0" w:evenVBand="0" w:oddHBand="0" w:evenHBand="0" w:firstRowFirstColumn="0" w:firstRowLastColumn="0" w:lastRowFirstColumn="0" w:lastRowLastColumn="0"/>
            </w:pPr>
            <w:r w:rsidRPr="00515642">
              <w:t>2.</w:t>
            </w:r>
            <w:r w:rsidR="00B877BB">
              <w:t>9</w:t>
            </w:r>
          </w:p>
        </w:tc>
      </w:tr>
      <w:tr w:rsidR="00232B25" w:rsidRPr="004B7618" w:rsidTr="007C7C6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232B25" w:rsidRPr="00515642" w:rsidRDefault="00232B25" w:rsidP="007C7C6B">
            <w:r w:rsidRPr="00515642">
              <w:t xml:space="preserve">Motor </w:t>
            </w:r>
            <w:r>
              <w:t>v</w:t>
            </w:r>
            <w:r w:rsidRPr="00515642">
              <w:t>ehicles</w:t>
            </w:r>
          </w:p>
        </w:tc>
        <w:tc>
          <w:tcPr>
            <w:tcW w:w="1908" w:type="dxa"/>
            <w:noWrap/>
            <w:hideMark/>
          </w:tcPr>
          <w:p w:rsidR="00232B25" w:rsidRPr="00515642" w:rsidRDefault="00232B25" w:rsidP="007C7C6B">
            <w:pPr>
              <w:cnfStyle w:val="000000010000" w:firstRow="0" w:lastRow="0" w:firstColumn="0" w:lastColumn="0" w:oddVBand="0" w:evenVBand="0" w:oddHBand="0" w:evenHBand="1" w:firstRowFirstColumn="0" w:firstRowLastColumn="0" w:lastRowFirstColumn="0" w:lastRowLastColumn="0"/>
            </w:pPr>
            <w:r w:rsidRPr="00515642">
              <w:t>9.0</w:t>
            </w:r>
          </w:p>
        </w:tc>
        <w:tc>
          <w:tcPr>
            <w:tcW w:w="3118" w:type="dxa"/>
            <w:noWrap/>
            <w:vAlign w:val="bottom"/>
          </w:tcPr>
          <w:p w:rsidR="00232B25" w:rsidRPr="00515642" w:rsidRDefault="00232B25" w:rsidP="009A317A">
            <w:pPr>
              <w:cnfStyle w:val="000000010000" w:firstRow="0" w:lastRow="0" w:firstColumn="0" w:lastColumn="0" w:oddVBand="0" w:evenVBand="0" w:oddHBand="0" w:evenHBand="1" w:firstRowFirstColumn="0" w:firstRowLastColumn="0" w:lastRowFirstColumn="0" w:lastRowLastColumn="0"/>
            </w:pPr>
            <w:r w:rsidRPr="00515642">
              <w:t>6.</w:t>
            </w:r>
            <w:r w:rsidR="009A317A">
              <w:t>0</w:t>
            </w:r>
          </w:p>
        </w:tc>
      </w:tr>
      <w:tr w:rsidR="00232B25" w:rsidRPr="004B7618" w:rsidTr="007C7C6B">
        <w:trPr>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232B25" w:rsidRPr="00515642" w:rsidRDefault="00232B25" w:rsidP="007C7C6B">
            <w:r w:rsidRPr="00515642">
              <w:t xml:space="preserve">Plant &amp; </w:t>
            </w:r>
            <w:r>
              <w:t>e</w:t>
            </w:r>
            <w:r w:rsidRPr="00515642">
              <w:t>quipment</w:t>
            </w:r>
          </w:p>
        </w:tc>
        <w:tc>
          <w:tcPr>
            <w:tcW w:w="1908" w:type="dxa"/>
            <w:noWrap/>
            <w:hideMark/>
          </w:tcPr>
          <w:p w:rsidR="00232B25" w:rsidRPr="00515642" w:rsidRDefault="00232B25" w:rsidP="007C7C6B">
            <w:pPr>
              <w:cnfStyle w:val="000000000000" w:firstRow="0" w:lastRow="0" w:firstColumn="0" w:lastColumn="0" w:oddVBand="0" w:evenVBand="0" w:oddHBand="0" w:evenHBand="0" w:firstRowFirstColumn="0" w:firstRowLastColumn="0" w:lastRowFirstColumn="0" w:lastRowLastColumn="0"/>
            </w:pPr>
            <w:r w:rsidRPr="00515642">
              <w:t>6.8</w:t>
            </w:r>
          </w:p>
        </w:tc>
        <w:tc>
          <w:tcPr>
            <w:tcW w:w="3118" w:type="dxa"/>
            <w:noWrap/>
            <w:vAlign w:val="bottom"/>
          </w:tcPr>
          <w:p w:rsidR="00232B25" w:rsidRPr="00515642" w:rsidRDefault="00232B25" w:rsidP="009A317A">
            <w:pPr>
              <w:cnfStyle w:val="000000000000" w:firstRow="0" w:lastRow="0" w:firstColumn="0" w:lastColumn="0" w:oddVBand="0" w:evenVBand="0" w:oddHBand="0" w:evenHBand="0" w:firstRowFirstColumn="0" w:firstRowLastColumn="0" w:lastRowFirstColumn="0" w:lastRowLastColumn="0"/>
            </w:pPr>
            <w:r w:rsidRPr="00515642">
              <w:t>5.</w:t>
            </w:r>
            <w:r w:rsidR="009A317A">
              <w:t>1</w:t>
            </w:r>
          </w:p>
        </w:tc>
      </w:tr>
      <w:tr w:rsidR="00232B25" w:rsidRPr="004B7618" w:rsidTr="007C7C6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232B25" w:rsidRPr="00515642" w:rsidRDefault="00232B25" w:rsidP="007C7C6B">
            <w:r w:rsidRPr="00515642">
              <w:t xml:space="preserve">Research &amp; </w:t>
            </w:r>
            <w:r>
              <w:t>d</w:t>
            </w:r>
            <w:r w:rsidRPr="00515642">
              <w:t>evelopment</w:t>
            </w:r>
          </w:p>
        </w:tc>
        <w:tc>
          <w:tcPr>
            <w:tcW w:w="1908" w:type="dxa"/>
            <w:noWrap/>
            <w:hideMark/>
          </w:tcPr>
          <w:p w:rsidR="00232B25" w:rsidRPr="00515642" w:rsidRDefault="00232B25" w:rsidP="007C7C6B">
            <w:pPr>
              <w:cnfStyle w:val="000000010000" w:firstRow="0" w:lastRow="0" w:firstColumn="0" w:lastColumn="0" w:oddVBand="0" w:evenVBand="0" w:oddHBand="0" w:evenHBand="1" w:firstRowFirstColumn="0" w:firstRowLastColumn="0" w:lastRowFirstColumn="0" w:lastRowLastColumn="0"/>
            </w:pPr>
            <w:r w:rsidRPr="00515642">
              <w:t>5.0</w:t>
            </w:r>
          </w:p>
        </w:tc>
        <w:tc>
          <w:tcPr>
            <w:tcW w:w="3118" w:type="dxa"/>
            <w:noWrap/>
            <w:vAlign w:val="bottom"/>
          </w:tcPr>
          <w:p w:rsidR="00232B25" w:rsidRPr="009A317A" w:rsidRDefault="009A317A" w:rsidP="009A317A">
            <w:pPr>
              <w:cnfStyle w:val="000000010000" w:firstRow="0" w:lastRow="0" w:firstColumn="0" w:lastColumn="0" w:oddVBand="0" w:evenVBand="0" w:oddHBand="0" w:evenHBand="1" w:firstRowFirstColumn="0" w:firstRowLastColumn="0" w:lastRowFirstColumn="0" w:lastRowLastColumn="0"/>
              <w:rPr>
                <w:rStyle w:val="AERsuperscript"/>
              </w:rPr>
            </w:pPr>
            <w:r>
              <w:t>1.0</w:t>
            </w:r>
            <w:r>
              <w:rPr>
                <w:rStyle w:val="AERsuperscript"/>
              </w:rPr>
              <w:t>a</w:t>
            </w:r>
          </w:p>
        </w:tc>
      </w:tr>
      <w:tr w:rsidR="00232B25" w:rsidRPr="004B7618" w:rsidTr="007C7C6B">
        <w:trPr>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232B25" w:rsidRPr="00515642" w:rsidRDefault="00232B25" w:rsidP="007C7C6B">
            <w:r w:rsidRPr="00515642">
              <w:t>Buildings</w:t>
            </w:r>
          </w:p>
        </w:tc>
        <w:tc>
          <w:tcPr>
            <w:tcW w:w="1908" w:type="dxa"/>
            <w:noWrap/>
            <w:hideMark/>
          </w:tcPr>
          <w:p w:rsidR="00232B25" w:rsidRPr="00515642" w:rsidRDefault="00232B25" w:rsidP="007C7C6B">
            <w:pPr>
              <w:cnfStyle w:val="000000000000" w:firstRow="0" w:lastRow="0" w:firstColumn="0" w:lastColumn="0" w:oddVBand="0" w:evenVBand="0" w:oddHBand="0" w:evenHBand="0" w:firstRowFirstColumn="0" w:firstRowLastColumn="0" w:lastRowFirstColumn="0" w:lastRowLastColumn="0"/>
            </w:pPr>
            <w:r w:rsidRPr="00515642">
              <w:t>40.0</w:t>
            </w:r>
          </w:p>
        </w:tc>
        <w:tc>
          <w:tcPr>
            <w:tcW w:w="3118" w:type="dxa"/>
            <w:noWrap/>
            <w:vAlign w:val="bottom"/>
          </w:tcPr>
          <w:p w:rsidR="00232B25" w:rsidRPr="00515642" w:rsidRDefault="00232B25" w:rsidP="009A317A">
            <w:pPr>
              <w:cnfStyle w:val="000000000000" w:firstRow="0" w:lastRow="0" w:firstColumn="0" w:lastColumn="0" w:oddVBand="0" w:evenVBand="0" w:oddHBand="0" w:evenHBand="0" w:firstRowFirstColumn="0" w:firstRowLastColumn="0" w:lastRowFirstColumn="0" w:lastRowLastColumn="0"/>
            </w:pPr>
            <w:r w:rsidRPr="00515642">
              <w:t>34.</w:t>
            </w:r>
            <w:r w:rsidR="009A317A">
              <w:t>1</w:t>
            </w:r>
          </w:p>
        </w:tc>
      </w:tr>
      <w:tr w:rsidR="00232B25" w:rsidRPr="004B7618" w:rsidTr="007C7C6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232B25" w:rsidRPr="00515642" w:rsidRDefault="00232B25" w:rsidP="007C7C6B">
            <w:r w:rsidRPr="00515642">
              <w:t>Easements</w:t>
            </w:r>
          </w:p>
        </w:tc>
        <w:tc>
          <w:tcPr>
            <w:tcW w:w="1908" w:type="dxa"/>
            <w:noWrap/>
            <w:hideMark/>
          </w:tcPr>
          <w:p w:rsidR="00232B25" w:rsidRPr="00515642" w:rsidRDefault="00232B25" w:rsidP="007C7C6B">
            <w:pPr>
              <w:cnfStyle w:val="000000010000" w:firstRow="0" w:lastRow="0" w:firstColumn="0" w:lastColumn="0" w:oddVBand="0" w:evenVBand="0" w:oddHBand="0" w:evenHBand="1" w:firstRowFirstColumn="0" w:firstRowLastColumn="0" w:lastRowFirstColumn="0" w:lastRowLastColumn="0"/>
            </w:pPr>
            <w:r w:rsidRPr="00515642">
              <w:t>n/a</w:t>
            </w:r>
          </w:p>
        </w:tc>
        <w:tc>
          <w:tcPr>
            <w:tcW w:w="3118" w:type="dxa"/>
            <w:noWrap/>
            <w:vAlign w:val="bottom"/>
          </w:tcPr>
          <w:p w:rsidR="00232B25" w:rsidRPr="00515642" w:rsidRDefault="00232B25" w:rsidP="007C7C6B">
            <w:pPr>
              <w:cnfStyle w:val="000000010000" w:firstRow="0" w:lastRow="0" w:firstColumn="0" w:lastColumn="0" w:oddVBand="0" w:evenVBand="0" w:oddHBand="0" w:evenHBand="1" w:firstRowFirstColumn="0" w:firstRowLastColumn="0" w:lastRowFirstColumn="0" w:lastRowLastColumn="0"/>
            </w:pPr>
            <w:r w:rsidRPr="00515642">
              <w:t>n/a</w:t>
            </w:r>
          </w:p>
        </w:tc>
      </w:tr>
      <w:tr w:rsidR="00232B25" w:rsidRPr="004B7618" w:rsidTr="007C7C6B">
        <w:trPr>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232B25" w:rsidRPr="00515642" w:rsidRDefault="00232B25" w:rsidP="007C7C6B">
            <w:r w:rsidRPr="00515642">
              <w:t>Land</w:t>
            </w:r>
          </w:p>
        </w:tc>
        <w:tc>
          <w:tcPr>
            <w:tcW w:w="1908" w:type="dxa"/>
            <w:noWrap/>
            <w:hideMark/>
          </w:tcPr>
          <w:p w:rsidR="00232B25" w:rsidRPr="00515642" w:rsidRDefault="00232B25" w:rsidP="007C7C6B">
            <w:pPr>
              <w:cnfStyle w:val="000000000000" w:firstRow="0" w:lastRow="0" w:firstColumn="0" w:lastColumn="0" w:oddVBand="0" w:evenVBand="0" w:oddHBand="0" w:evenHBand="0" w:firstRowFirstColumn="0" w:firstRowLastColumn="0" w:lastRowFirstColumn="0" w:lastRowLastColumn="0"/>
            </w:pPr>
            <w:r w:rsidRPr="00515642">
              <w:t>n/a</w:t>
            </w:r>
          </w:p>
        </w:tc>
        <w:tc>
          <w:tcPr>
            <w:tcW w:w="3118" w:type="dxa"/>
            <w:noWrap/>
            <w:vAlign w:val="bottom"/>
          </w:tcPr>
          <w:p w:rsidR="00232B25" w:rsidRPr="00515642" w:rsidRDefault="00232B25" w:rsidP="007C7C6B">
            <w:pPr>
              <w:cnfStyle w:val="000000000000" w:firstRow="0" w:lastRow="0" w:firstColumn="0" w:lastColumn="0" w:oddVBand="0" w:evenVBand="0" w:oddHBand="0" w:evenHBand="0" w:firstRowFirstColumn="0" w:firstRowLastColumn="0" w:lastRowFirstColumn="0" w:lastRowLastColumn="0"/>
            </w:pPr>
            <w:r w:rsidRPr="00515642">
              <w:t>n/a</w:t>
            </w:r>
          </w:p>
        </w:tc>
      </w:tr>
      <w:tr w:rsidR="00232B25" w:rsidRPr="004B7618" w:rsidTr="007C7C6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87" w:type="dxa"/>
            <w:noWrap/>
            <w:hideMark/>
          </w:tcPr>
          <w:p w:rsidR="00232B25" w:rsidRPr="00515642" w:rsidRDefault="00232B25" w:rsidP="007C7C6B">
            <w:r w:rsidRPr="00515642">
              <w:t xml:space="preserve">Equity </w:t>
            </w:r>
            <w:r>
              <w:t>r</w:t>
            </w:r>
            <w:r w:rsidRPr="00515642">
              <w:t xml:space="preserve">aising </w:t>
            </w:r>
            <w:r>
              <w:t>c</w:t>
            </w:r>
            <w:r w:rsidRPr="00515642">
              <w:t>osts</w:t>
            </w:r>
          </w:p>
        </w:tc>
        <w:tc>
          <w:tcPr>
            <w:tcW w:w="1908" w:type="dxa"/>
            <w:noWrap/>
            <w:hideMark/>
          </w:tcPr>
          <w:p w:rsidR="00232B25" w:rsidRPr="00515642" w:rsidRDefault="00232B25" w:rsidP="007C7C6B">
            <w:pPr>
              <w:cnfStyle w:val="000000010000" w:firstRow="0" w:lastRow="0" w:firstColumn="0" w:lastColumn="0" w:oddVBand="0" w:evenVBand="0" w:oddHBand="0" w:evenHBand="1" w:firstRowFirstColumn="0" w:firstRowLastColumn="0" w:lastRowFirstColumn="0" w:lastRowLastColumn="0"/>
            </w:pPr>
            <w:r w:rsidRPr="00515642">
              <w:t>46.1</w:t>
            </w:r>
          </w:p>
        </w:tc>
        <w:tc>
          <w:tcPr>
            <w:tcW w:w="3118" w:type="dxa"/>
            <w:noWrap/>
            <w:vAlign w:val="bottom"/>
          </w:tcPr>
          <w:p w:rsidR="00232B25" w:rsidRPr="00515642" w:rsidRDefault="00232B25" w:rsidP="007C7C6B">
            <w:pPr>
              <w:cnfStyle w:val="000000010000" w:firstRow="0" w:lastRow="0" w:firstColumn="0" w:lastColumn="0" w:oddVBand="0" w:evenVBand="0" w:oddHBand="0" w:evenHBand="1" w:firstRowFirstColumn="0" w:firstRowLastColumn="0" w:lastRowFirstColumn="0" w:lastRowLastColumn="0"/>
            </w:pPr>
            <w:r w:rsidRPr="00515642">
              <w:t>42.1</w:t>
            </w:r>
          </w:p>
        </w:tc>
      </w:tr>
    </w:tbl>
    <w:p w:rsidR="00232B25" w:rsidRDefault="00232B25" w:rsidP="00232B25">
      <w:pPr>
        <w:pStyle w:val="AERtablesource"/>
      </w:pPr>
      <w:r>
        <w:t>Source:</w:t>
      </w:r>
      <w:r>
        <w:tab/>
        <w:t>AER analysis.</w:t>
      </w:r>
    </w:p>
    <w:p w:rsidR="00801B07" w:rsidRPr="00801B07" w:rsidRDefault="00801B07" w:rsidP="00801B07">
      <w:pPr>
        <w:pStyle w:val="AERtablesource"/>
      </w:pPr>
      <w:r>
        <w:t>n/a:</w:t>
      </w:r>
      <w:r>
        <w:tab/>
        <w:t>not applicable.</w:t>
      </w:r>
    </w:p>
    <w:p w:rsidR="00232B25" w:rsidRPr="00F0007B" w:rsidRDefault="009A317A" w:rsidP="00A54254">
      <w:pPr>
        <w:pStyle w:val="AERtablesource"/>
      </w:pPr>
      <w:r>
        <w:t>(a)</w:t>
      </w:r>
      <w:r>
        <w:tab/>
        <w:t xml:space="preserve">Under the weighted average method, the remaining asset life is calculated as ‘n/a’. However, the RAB roll forward produces a </w:t>
      </w:r>
      <w:r w:rsidR="00664B1D">
        <w:t>small residual</w:t>
      </w:r>
      <w:r>
        <w:t xml:space="preserve"> value </w:t>
      </w:r>
      <w:r w:rsidR="00664B1D">
        <w:t xml:space="preserve">(negative) </w:t>
      </w:r>
      <w:r>
        <w:t>at 30 June 2015 and so assigning a remaining asset life of 1 year to fully depreciate</w:t>
      </w:r>
      <w:r w:rsidR="00664B1D">
        <w:t xml:space="preserve"> (by way of writing off)</w:t>
      </w:r>
      <w:r>
        <w:t xml:space="preserve"> the residual value is appropriate in this case.</w:t>
      </w:r>
      <w:r w:rsidR="00801B07">
        <w:t xml:space="preserve"> Applying ‘n/a’ means the residual value remains in the RAB and does not depreciate.</w:t>
      </w:r>
    </w:p>
    <w:sectPr w:rsidR="00232B25" w:rsidRPr="00F0007B" w:rsidSect="00BE4DEA">
      <w:pgSz w:w="11906" w:h="16838" w:code="9"/>
      <w:pgMar w:top="1276" w:right="1700" w:bottom="1134"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C6B" w:rsidRPr="00290C63" w:rsidRDefault="007C7C6B" w:rsidP="00290C63">
      <w:r>
        <w:separator/>
      </w:r>
    </w:p>
    <w:p w:rsidR="007C7C6B" w:rsidRDefault="007C7C6B"/>
  </w:endnote>
  <w:endnote w:type="continuationSeparator" w:id="0">
    <w:p w:rsidR="007C7C6B" w:rsidRPr="00290C63" w:rsidRDefault="007C7C6B" w:rsidP="00290C63">
      <w:r>
        <w:continuationSeparator/>
      </w:r>
    </w:p>
    <w:p w:rsidR="007C7C6B" w:rsidRDefault="007C7C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C6B" w:rsidRPr="00290C63" w:rsidRDefault="007C7C6B"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7C7C6B" w:rsidRDefault="007C7C6B"/>
  <w:p w:rsidR="007C7C6B" w:rsidRDefault="007C7C6B"/>
  <w:p w:rsidR="007C7C6B" w:rsidRDefault="007C7C6B"/>
  <w:p w:rsidR="007C7C6B" w:rsidRDefault="007C7C6B"/>
  <w:p w:rsidR="007C7C6B" w:rsidRDefault="007C7C6B"/>
  <w:p w:rsidR="007C7C6B" w:rsidRDefault="007C7C6B"/>
  <w:p w:rsidR="007C7C6B" w:rsidRDefault="007C7C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7C7C6B" w:rsidRDefault="007C7C6B">
        <w:pPr>
          <w:pStyle w:val="Footer"/>
        </w:pPr>
        <w:r>
          <w:fldChar w:fldCharType="begin"/>
        </w:r>
        <w:r>
          <w:instrText xml:space="preserve"> PAGE   \* MERGEFORMAT </w:instrText>
        </w:r>
        <w:r>
          <w:fldChar w:fldCharType="separate"/>
        </w:r>
        <w:r w:rsidR="0021281C">
          <w:rPr>
            <w:noProof/>
          </w:rPr>
          <w:t>5-7</w:t>
        </w:r>
        <w:r>
          <w:rPr>
            <w:noProof/>
          </w:rPr>
          <w:fldChar w:fldCharType="end"/>
        </w:r>
        <w:r>
          <w:rPr>
            <w:noProof/>
          </w:rPr>
          <w:t xml:space="preserve">      </w:t>
        </w:r>
        <w:r>
          <w:t xml:space="preserve">           </w:t>
        </w:r>
        <w:r>
          <w:rPr>
            <w:noProof/>
          </w:rPr>
          <w:t xml:space="preserve"> </w:t>
        </w:r>
        <w:r>
          <w:t xml:space="preserve">                        </w:t>
        </w:r>
        <w:r>
          <w:rPr>
            <w:noProof/>
          </w:rPr>
          <w:t xml:space="preserve"> Attachment </w:t>
        </w:r>
        <w:r>
          <w:t>5</w:t>
        </w:r>
        <w:r>
          <w:rPr>
            <w:noProof/>
          </w:rPr>
          <w:t xml:space="preserve"> </w:t>
        </w:r>
        <w:r>
          <w:rPr>
            <w:rFonts w:cs="Gautami"/>
            <w:noProof/>
          </w:rPr>
          <w:t xml:space="preserve">– </w:t>
        </w:r>
        <w:r>
          <w:t>Regulatory depreciation</w:t>
        </w:r>
        <w:r>
          <w:rPr>
            <w:rFonts w:cs="Gautami"/>
            <w:noProof/>
          </w:rPr>
          <w:t xml:space="preserve"> | </w:t>
        </w:r>
        <w:r>
          <w:t>Energex</w:t>
        </w:r>
        <w:r>
          <w:rPr>
            <w:rFonts w:cs="Gautami"/>
            <w:noProof/>
          </w:rPr>
          <w:t xml:space="preserve"> determination 2015–20</w:t>
        </w:r>
      </w:p>
    </w:sdtContent>
  </w:sdt>
  <w:p w:rsidR="007C7C6B" w:rsidRDefault="007C7C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C6B" w:rsidRPr="00290C63" w:rsidRDefault="007C7C6B"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7C7C6B" w:rsidRDefault="007C7C6B">
    <w:pPr>
      <w:pStyle w:val="Footer"/>
    </w:pPr>
  </w:p>
  <w:p w:rsidR="007C7C6B" w:rsidRDefault="007C7C6B"/>
  <w:p w:rsidR="007C7C6B" w:rsidRDefault="007C7C6B"/>
  <w:p w:rsidR="007C7C6B" w:rsidRDefault="007C7C6B"/>
  <w:p w:rsidR="007C7C6B" w:rsidRDefault="007C7C6B"/>
  <w:p w:rsidR="007C7C6B" w:rsidRDefault="007C7C6B"/>
  <w:p w:rsidR="007C7C6B" w:rsidRDefault="007C7C6B"/>
  <w:p w:rsidR="007C7C6B" w:rsidRDefault="007C7C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C6B" w:rsidRPr="00290C63" w:rsidRDefault="007C7C6B" w:rsidP="00290C63">
      <w:r>
        <w:separator/>
      </w:r>
    </w:p>
    <w:p w:rsidR="007C7C6B" w:rsidRDefault="007C7C6B"/>
  </w:footnote>
  <w:footnote w:type="continuationSeparator" w:id="0">
    <w:p w:rsidR="007C7C6B" w:rsidRPr="00290C63" w:rsidRDefault="007C7C6B" w:rsidP="00290C63">
      <w:r>
        <w:continuationSeparator/>
      </w:r>
    </w:p>
    <w:p w:rsidR="007C7C6B" w:rsidRDefault="007C7C6B"/>
  </w:footnote>
  <w:footnote w:id="1">
    <w:p w:rsidR="007C7C6B" w:rsidRDefault="007C7C6B" w:rsidP="000052B2">
      <w:pPr>
        <w:pStyle w:val="FootnoteText"/>
      </w:pPr>
      <w:r>
        <w:rPr>
          <w:rStyle w:val="FootnoteReference"/>
        </w:rPr>
        <w:footnoteRef/>
      </w:r>
      <w:r>
        <w:t xml:space="preserve"> </w:t>
      </w:r>
      <w:r>
        <w:tab/>
      </w:r>
      <w:proofErr w:type="gramStart"/>
      <w:r>
        <w:t xml:space="preserve">NER, </w:t>
      </w:r>
      <w:proofErr w:type="spellStart"/>
      <w:r w:rsidR="00C62650">
        <w:t>cl</w:t>
      </w:r>
      <w:r w:rsidR="0007331D">
        <w:t>s</w:t>
      </w:r>
      <w:proofErr w:type="spellEnd"/>
      <w:r>
        <w:t>.</w:t>
      </w:r>
      <w:proofErr w:type="gramEnd"/>
      <w:r>
        <w:t xml:space="preserve"> </w:t>
      </w:r>
      <w:r w:rsidR="0007331D">
        <w:t xml:space="preserve">6.12.1 and </w:t>
      </w:r>
      <w:r>
        <w:t>6.4</w:t>
      </w:r>
      <w:r w:rsidR="0007331D">
        <w:t>.</w:t>
      </w:r>
      <w:r>
        <w:t>3.</w:t>
      </w:r>
    </w:p>
  </w:footnote>
  <w:footnote w:id="2">
    <w:p w:rsidR="007C7C6B" w:rsidRDefault="007C7C6B" w:rsidP="000052B2">
      <w:pPr>
        <w:pStyle w:val="FootnoteText"/>
      </w:pPr>
      <w:r>
        <w:rPr>
          <w:rStyle w:val="FootnoteReference"/>
        </w:rPr>
        <w:footnoteRef/>
      </w:r>
      <w:r>
        <w:t xml:space="preserve"> </w:t>
      </w:r>
      <w:r>
        <w:tab/>
        <w:t xml:space="preserve">Energex, </w:t>
      </w:r>
      <w:r w:rsidRPr="001121F4">
        <w:rPr>
          <w:rStyle w:val="AERtextitalic"/>
        </w:rPr>
        <w:t>Revised regulatory proposal</w:t>
      </w:r>
      <w:r>
        <w:t xml:space="preserve">, July 2015, p. 71. </w:t>
      </w:r>
    </w:p>
  </w:footnote>
  <w:footnote w:id="3">
    <w:p w:rsidR="007C7C6B" w:rsidRDefault="007C7C6B">
      <w:pPr>
        <w:pStyle w:val="FootnoteText"/>
      </w:pPr>
      <w:r>
        <w:rPr>
          <w:rStyle w:val="FootnoteReference"/>
        </w:rPr>
        <w:footnoteRef/>
      </w:r>
      <w:r>
        <w:t xml:space="preserve"> </w:t>
      </w:r>
      <w:r>
        <w:tab/>
        <w:t>NER, cl. 6.5.5(a</w:t>
      </w:r>
      <w:proofErr w:type="gramStart"/>
      <w:r>
        <w:t>)(</w:t>
      </w:r>
      <w:proofErr w:type="gramEnd"/>
      <w:r>
        <w:t>1).</w:t>
      </w:r>
      <w:r w:rsidR="007014D2">
        <w:t xml:space="preserve"> Our final decision approves a lower forecast capex allowance compared to Energex’s revised proposal. This means lower regulatory depreciation for the assets forecast to be added to the RAB over the </w:t>
      </w:r>
      <w:r w:rsidR="007014D2">
        <w:br/>
        <w:t xml:space="preserve">2015–20 regulatory control period, all things being equal.   </w:t>
      </w:r>
    </w:p>
  </w:footnote>
  <w:footnote w:id="4">
    <w:p w:rsidR="007C7C6B" w:rsidRDefault="007C7C6B" w:rsidP="00C314A0">
      <w:pPr>
        <w:pStyle w:val="FootnoteText"/>
      </w:pPr>
      <w:r>
        <w:rPr>
          <w:rStyle w:val="FootnoteReference"/>
        </w:rPr>
        <w:footnoteRef/>
      </w:r>
      <w:r>
        <w:t xml:space="preserve"> </w:t>
      </w:r>
      <w:r>
        <w:tab/>
        <w:t xml:space="preserve">Energex, </w:t>
      </w:r>
      <w:r w:rsidRPr="001121F4">
        <w:rPr>
          <w:rStyle w:val="AERtextitalic"/>
        </w:rPr>
        <w:t>Revised regulatory proposal</w:t>
      </w:r>
      <w:r>
        <w:t xml:space="preserve">, July 2015, Attachment 2. </w:t>
      </w:r>
    </w:p>
  </w:footnote>
  <w:footnote w:id="5">
    <w:p w:rsidR="007C7C6B" w:rsidRDefault="007C7C6B">
      <w:pPr>
        <w:pStyle w:val="FootnoteText"/>
      </w:pPr>
      <w:r>
        <w:rPr>
          <w:rStyle w:val="FootnoteReference"/>
        </w:rPr>
        <w:footnoteRef/>
      </w:r>
      <w:r>
        <w:t xml:space="preserve"> </w:t>
      </w:r>
      <w:r>
        <w:tab/>
        <w:t xml:space="preserve">Energex, </w:t>
      </w:r>
      <w:r w:rsidRPr="001121F4">
        <w:rPr>
          <w:rStyle w:val="AERtextitalic"/>
        </w:rPr>
        <w:t>Revised regulatory proposal</w:t>
      </w:r>
      <w:r>
        <w:t>, July 2015, p. 72.</w:t>
      </w:r>
    </w:p>
  </w:footnote>
  <w:footnote w:id="6">
    <w:p w:rsidR="007C7C6B" w:rsidRDefault="007C7C6B" w:rsidP="00F0007B">
      <w:pPr>
        <w:pStyle w:val="FootnoteText"/>
      </w:pPr>
      <w:r>
        <w:rPr>
          <w:rStyle w:val="FootnoteReference"/>
        </w:rPr>
        <w:footnoteRef/>
      </w:r>
      <w:r>
        <w:t xml:space="preserve"> </w:t>
      </w:r>
      <w:r>
        <w:tab/>
      </w:r>
      <w:r w:rsidRPr="002C538E">
        <w:t xml:space="preserve">AER, </w:t>
      </w:r>
      <w:r>
        <w:rPr>
          <w:rStyle w:val="AERtextitalic"/>
        </w:rPr>
        <w:t xml:space="preserve">Preliminary </w:t>
      </w:r>
      <w:r w:rsidRPr="002C538E">
        <w:rPr>
          <w:rStyle w:val="AERtextitalic"/>
        </w:rPr>
        <w:t xml:space="preserve">decision </w:t>
      </w:r>
      <w:r>
        <w:rPr>
          <w:rStyle w:val="AERtextitalic"/>
        </w:rPr>
        <w:t>–</w:t>
      </w:r>
      <w:r w:rsidRPr="002C538E">
        <w:rPr>
          <w:rStyle w:val="AERtextitalic"/>
        </w:rPr>
        <w:t xml:space="preserve"> </w:t>
      </w:r>
      <w:r>
        <w:rPr>
          <w:rStyle w:val="AERtextitalic"/>
        </w:rPr>
        <w:t xml:space="preserve">Energex </w:t>
      </w:r>
      <w:r w:rsidRPr="002C538E">
        <w:rPr>
          <w:rStyle w:val="AERtextitalic"/>
        </w:rPr>
        <w:t xml:space="preserve">determination </w:t>
      </w:r>
      <w:r>
        <w:rPr>
          <w:rStyle w:val="AERtextitalic"/>
        </w:rPr>
        <w:t>2015–16 to 2019–20, A</w:t>
      </w:r>
      <w:r w:rsidRPr="002C538E">
        <w:rPr>
          <w:rStyle w:val="AERtextitalic"/>
        </w:rPr>
        <w:t xml:space="preserve">ttachment 5 </w:t>
      </w:r>
      <w:r>
        <w:rPr>
          <w:rStyle w:val="AERtextitalic"/>
        </w:rPr>
        <w:t>–</w:t>
      </w:r>
      <w:r w:rsidRPr="002C538E">
        <w:rPr>
          <w:rStyle w:val="AERtextitalic"/>
        </w:rPr>
        <w:t xml:space="preserve"> Regulatory depreciation</w:t>
      </w:r>
      <w:r w:rsidRPr="002C538E">
        <w:t xml:space="preserve">, </w:t>
      </w:r>
      <w:r>
        <w:t>April 2015</w:t>
      </w:r>
      <w:r w:rsidRPr="002C538E">
        <w:t xml:space="preserve">, pp. </w:t>
      </w:r>
      <w:r>
        <w:t>8–10.</w:t>
      </w:r>
    </w:p>
  </w:footnote>
  <w:footnote w:id="7">
    <w:p w:rsidR="007014D2" w:rsidRDefault="007014D2">
      <w:pPr>
        <w:pStyle w:val="FootnoteText"/>
      </w:pPr>
      <w:r>
        <w:rPr>
          <w:rStyle w:val="FootnoteReference"/>
        </w:rPr>
        <w:footnoteRef/>
      </w:r>
      <w:r>
        <w:t xml:space="preserve"> </w:t>
      </w:r>
      <w:r>
        <w:tab/>
        <w:t xml:space="preserve">Our final decision approves a lower forecast capex allowance compared to Energex’s revised proposal. This means lower regulatory depreciation for the assets forecast to be added to the RAB over the 2015–20 regulatory control period, all things being equal.   </w:t>
      </w:r>
    </w:p>
  </w:footnote>
  <w:footnote w:id="8">
    <w:p w:rsidR="004D14D9" w:rsidRDefault="004D14D9">
      <w:pPr>
        <w:pStyle w:val="FootnoteText"/>
      </w:pPr>
      <w:r>
        <w:rPr>
          <w:rStyle w:val="FootnoteReference"/>
        </w:rPr>
        <w:footnoteRef/>
      </w:r>
      <w:r>
        <w:t xml:space="preserve"> </w:t>
      </w:r>
      <w:r>
        <w:tab/>
        <w:t xml:space="preserve">Energy Users Association of Australia, </w:t>
      </w:r>
      <w:r w:rsidRPr="00295789">
        <w:rPr>
          <w:rStyle w:val="AERtextitalic"/>
        </w:rPr>
        <w:t>Submission to AER draft determination and Energex's revised revenue proposal 2015 to 2020</w:t>
      </w:r>
      <w:r>
        <w:t>, July 2015, p. 11</w:t>
      </w:r>
    </w:p>
  </w:footnote>
  <w:footnote w:id="9">
    <w:p w:rsidR="007C7C6B" w:rsidRDefault="007C7C6B" w:rsidP="005D76ED">
      <w:pPr>
        <w:pStyle w:val="FootnoteText"/>
      </w:pPr>
      <w:r>
        <w:rPr>
          <w:rStyle w:val="FootnoteReference"/>
        </w:rPr>
        <w:footnoteRef/>
      </w:r>
      <w:r>
        <w:t xml:space="preserve"> </w:t>
      </w:r>
      <w:r>
        <w:tab/>
      </w:r>
      <w:r w:rsidRPr="002C538E">
        <w:t xml:space="preserve">AER, </w:t>
      </w:r>
      <w:r>
        <w:rPr>
          <w:rStyle w:val="AERtextitalic"/>
        </w:rPr>
        <w:t xml:space="preserve">Preliminary </w:t>
      </w:r>
      <w:r w:rsidRPr="002C538E">
        <w:rPr>
          <w:rStyle w:val="AERtextitalic"/>
        </w:rPr>
        <w:t xml:space="preserve">decision </w:t>
      </w:r>
      <w:r>
        <w:rPr>
          <w:rStyle w:val="AERtextitalic"/>
        </w:rPr>
        <w:t>–</w:t>
      </w:r>
      <w:r w:rsidRPr="002C538E">
        <w:rPr>
          <w:rStyle w:val="AERtextitalic"/>
        </w:rPr>
        <w:t xml:space="preserve"> </w:t>
      </w:r>
      <w:r>
        <w:rPr>
          <w:rStyle w:val="AERtextitalic"/>
        </w:rPr>
        <w:t xml:space="preserve">Energex </w:t>
      </w:r>
      <w:r w:rsidRPr="002C538E">
        <w:rPr>
          <w:rStyle w:val="AERtextitalic"/>
        </w:rPr>
        <w:t xml:space="preserve">determination </w:t>
      </w:r>
      <w:r>
        <w:rPr>
          <w:rStyle w:val="AERtextitalic"/>
        </w:rPr>
        <w:t>2015–16 to 2019–20, A</w:t>
      </w:r>
      <w:r w:rsidRPr="002C538E">
        <w:rPr>
          <w:rStyle w:val="AERtextitalic"/>
        </w:rPr>
        <w:t xml:space="preserve">ttachment 5 </w:t>
      </w:r>
      <w:r>
        <w:rPr>
          <w:rStyle w:val="AERtextitalic"/>
        </w:rPr>
        <w:t>–</w:t>
      </w:r>
      <w:r w:rsidRPr="002C538E">
        <w:rPr>
          <w:rStyle w:val="AERtextitalic"/>
        </w:rPr>
        <w:t xml:space="preserve"> Regulatory depreciation</w:t>
      </w:r>
      <w:r w:rsidRPr="002C538E">
        <w:t xml:space="preserve">, </w:t>
      </w:r>
      <w:r>
        <w:t>April 2015, p</w:t>
      </w:r>
      <w:r w:rsidRPr="002C538E">
        <w:t xml:space="preserve">. </w:t>
      </w:r>
      <w:r>
        <w:t>11.</w:t>
      </w:r>
    </w:p>
  </w:footnote>
  <w:footnote w:id="10">
    <w:p w:rsidR="007C7C6B" w:rsidRDefault="007C7C6B">
      <w:pPr>
        <w:pStyle w:val="FootnoteText"/>
      </w:pPr>
      <w:r>
        <w:rPr>
          <w:rStyle w:val="FootnoteReference"/>
        </w:rPr>
        <w:footnoteRef/>
      </w:r>
      <w:r>
        <w:t xml:space="preserve"> </w:t>
      </w:r>
      <w:r>
        <w:tab/>
      </w:r>
      <w:r w:rsidRPr="002C538E">
        <w:t xml:space="preserve">AER, </w:t>
      </w:r>
      <w:r>
        <w:rPr>
          <w:rStyle w:val="AERtextitalic"/>
        </w:rPr>
        <w:t xml:space="preserve">Preliminary </w:t>
      </w:r>
      <w:r w:rsidRPr="002C538E">
        <w:rPr>
          <w:rStyle w:val="AERtextitalic"/>
        </w:rPr>
        <w:t xml:space="preserve">decision </w:t>
      </w:r>
      <w:r>
        <w:rPr>
          <w:rStyle w:val="AERtextitalic"/>
        </w:rPr>
        <w:t>–</w:t>
      </w:r>
      <w:r w:rsidRPr="002C538E">
        <w:rPr>
          <w:rStyle w:val="AERtextitalic"/>
        </w:rPr>
        <w:t xml:space="preserve"> </w:t>
      </w:r>
      <w:r>
        <w:rPr>
          <w:rStyle w:val="AERtextitalic"/>
        </w:rPr>
        <w:t xml:space="preserve">Energex </w:t>
      </w:r>
      <w:r w:rsidRPr="002C538E">
        <w:rPr>
          <w:rStyle w:val="AERtextitalic"/>
        </w:rPr>
        <w:t xml:space="preserve">determination </w:t>
      </w:r>
      <w:r>
        <w:rPr>
          <w:rStyle w:val="AERtextitalic"/>
        </w:rPr>
        <w:t>2015–16 to 2019–20, A</w:t>
      </w:r>
      <w:r w:rsidRPr="002C538E">
        <w:rPr>
          <w:rStyle w:val="AERtextitalic"/>
        </w:rPr>
        <w:t xml:space="preserve">ttachment 5 </w:t>
      </w:r>
      <w:r>
        <w:rPr>
          <w:rStyle w:val="AERtextitalic"/>
        </w:rPr>
        <w:t>–</w:t>
      </w:r>
      <w:r w:rsidRPr="002C538E">
        <w:rPr>
          <w:rStyle w:val="AERtextitalic"/>
        </w:rPr>
        <w:t xml:space="preserve"> Regulatory depreciation</w:t>
      </w:r>
      <w:r w:rsidRPr="002C538E">
        <w:t xml:space="preserve">, </w:t>
      </w:r>
      <w:r>
        <w:t>April 2015, p</w:t>
      </w:r>
      <w:r w:rsidRPr="002C538E">
        <w:t xml:space="preserve">. </w:t>
      </w:r>
      <w:r>
        <w:t>11.</w:t>
      </w:r>
    </w:p>
  </w:footnote>
  <w:footnote w:id="11">
    <w:p w:rsidR="0007331D" w:rsidRDefault="0007331D" w:rsidP="0007331D">
      <w:pPr>
        <w:pStyle w:val="FootnoteText"/>
      </w:pPr>
      <w:r>
        <w:rPr>
          <w:rStyle w:val="FootnoteReference"/>
        </w:rPr>
        <w:footnoteRef/>
      </w:r>
      <w:r>
        <w:t xml:space="preserve"> </w:t>
      </w:r>
      <w:r>
        <w:tab/>
      </w:r>
      <w:proofErr w:type="gramStart"/>
      <w:r w:rsidRPr="00C31EE9">
        <w:t>CCP2</w:t>
      </w:r>
      <w:r>
        <w:t xml:space="preserve"> (Hugh Grant)</w:t>
      </w:r>
      <w:r w:rsidRPr="00C31EE9">
        <w:t xml:space="preserve">, </w:t>
      </w:r>
      <w:r w:rsidRPr="00432EE9">
        <w:rPr>
          <w:rStyle w:val="AERtextitalic"/>
        </w:rPr>
        <w:t>Submission on the AER’s Preliminary Determinations for the Queensland Distributors</w:t>
      </w:r>
      <w:r w:rsidRPr="00C31EE9">
        <w:t xml:space="preserve">, </w:t>
      </w:r>
      <w:r>
        <w:t>September</w:t>
      </w:r>
      <w:r w:rsidRPr="00C31EE9">
        <w:t xml:space="preserve"> 2015</w:t>
      </w:r>
      <w:r>
        <w:t>, pp. 32–33.</w:t>
      </w:r>
      <w:proofErr w:type="gramEnd"/>
    </w:p>
  </w:footnote>
  <w:footnote w:id="12">
    <w:p w:rsidR="0007331D" w:rsidRDefault="0007331D" w:rsidP="0007331D">
      <w:pPr>
        <w:pStyle w:val="FootnoteText"/>
      </w:pPr>
      <w:r>
        <w:rPr>
          <w:rStyle w:val="FootnoteReference"/>
        </w:rPr>
        <w:footnoteRef/>
      </w:r>
      <w:r>
        <w:t xml:space="preserve"> </w:t>
      </w:r>
      <w:r>
        <w:tab/>
        <w:t>The different levels of disaggregation/aggregation are each appropriate for the relevant purpose.</w:t>
      </w:r>
    </w:p>
  </w:footnote>
  <w:footnote w:id="13">
    <w:p w:rsidR="0007331D" w:rsidRDefault="0007331D" w:rsidP="0007331D">
      <w:pPr>
        <w:pStyle w:val="FootnoteText"/>
      </w:pPr>
      <w:r>
        <w:rPr>
          <w:rStyle w:val="FootnoteReference"/>
        </w:rPr>
        <w:footnoteRef/>
      </w:r>
      <w:r>
        <w:t xml:space="preserve"> </w:t>
      </w:r>
      <w:r>
        <w:tab/>
        <w:t xml:space="preserve">In general, each distributor has some </w:t>
      </w:r>
      <w:proofErr w:type="spellStart"/>
      <w:r>
        <w:t>repex</w:t>
      </w:r>
      <w:proofErr w:type="spellEnd"/>
      <w:r>
        <w:t xml:space="preserve"> asset classes with below average standard asset lives, and some with above average asset lives. When these </w:t>
      </w:r>
      <w:proofErr w:type="spellStart"/>
      <w:r>
        <w:t>repex</w:t>
      </w:r>
      <w:proofErr w:type="spellEnd"/>
      <w:r>
        <w:t xml:space="preserve"> asset classes are aggregated into the higher level asset classes used in the RFM and PTRM, the two offset each other. Further, we must allow for some variation in standard asset lives even for disaggregated categories reflecting the specific nature of each distributor's network.</w:t>
      </w:r>
    </w:p>
  </w:footnote>
  <w:footnote w:id="14">
    <w:p w:rsidR="0007331D" w:rsidRDefault="0007331D" w:rsidP="0007331D">
      <w:pPr>
        <w:pStyle w:val="FootnoteText"/>
      </w:pPr>
      <w:r>
        <w:rPr>
          <w:rStyle w:val="FootnoteReference"/>
        </w:rPr>
        <w:footnoteRef/>
      </w:r>
      <w:r>
        <w:t xml:space="preserve"> </w:t>
      </w:r>
      <w:r>
        <w:tab/>
        <w:t>This includes the April 2015 final determinations for the NSW electricity distributors, as well as the Victorian preliminary distribution determinations made contemporaneously with this final decision. See also AER,</w:t>
      </w:r>
      <w:r w:rsidRPr="00432EE9">
        <w:t xml:space="preserve"> </w:t>
      </w:r>
      <w:r w:rsidRPr="00432EE9">
        <w:rPr>
          <w:rStyle w:val="AERtextitalic"/>
        </w:rPr>
        <w:t xml:space="preserve">Preliminary decision </w:t>
      </w:r>
      <w:r>
        <w:rPr>
          <w:rStyle w:val="AERtextitalic"/>
        </w:rPr>
        <w:t>Energex</w:t>
      </w:r>
      <w:r w:rsidRPr="00432EE9">
        <w:rPr>
          <w:rStyle w:val="AERtextitalic"/>
        </w:rPr>
        <w:t xml:space="preserve"> - Attachment 5 - Regulatory depreciation</w:t>
      </w:r>
      <w:r>
        <w:t>,</w:t>
      </w:r>
      <w:r w:rsidRPr="00432EE9">
        <w:t xml:space="preserve"> April 2015</w:t>
      </w:r>
      <w:r>
        <w:t>, p. 9.</w:t>
      </w:r>
    </w:p>
  </w:footnote>
  <w:footnote w:id="15">
    <w:p w:rsidR="007C7C6B" w:rsidRDefault="007C7C6B" w:rsidP="00232B25">
      <w:pPr>
        <w:pStyle w:val="FootnoteText"/>
      </w:pPr>
      <w:r>
        <w:rPr>
          <w:rStyle w:val="FootnoteReference"/>
        </w:rPr>
        <w:footnoteRef/>
      </w:r>
      <w:r>
        <w:t xml:space="preserve"> </w:t>
      </w:r>
      <w:r>
        <w:tab/>
        <w:t>NER, cl 6.5.5(b</w:t>
      </w:r>
      <w:proofErr w:type="gramStart"/>
      <w:r>
        <w:t>)(</w:t>
      </w:r>
      <w:proofErr w:type="gramEnd"/>
      <w:r>
        <w:t>1).</w:t>
      </w:r>
    </w:p>
  </w:footnote>
  <w:footnote w:id="16">
    <w:p w:rsidR="007C7C6B" w:rsidRDefault="007C7C6B" w:rsidP="007C7C6B">
      <w:pPr>
        <w:pStyle w:val="FootnoteText"/>
      </w:pPr>
      <w:r>
        <w:rPr>
          <w:rStyle w:val="FootnoteReference"/>
        </w:rPr>
        <w:footnoteRef/>
      </w:r>
      <w:r>
        <w:t xml:space="preserve"> </w:t>
      </w:r>
      <w:r>
        <w:tab/>
      </w:r>
      <w:r w:rsidR="00306B97" w:rsidRPr="002C538E">
        <w:t xml:space="preserve">AER, </w:t>
      </w:r>
      <w:r w:rsidR="00306B97">
        <w:rPr>
          <w:rStyle w:val="AERtextitalic"/>
        </w:rPr>
        <w:t xml:space="preserve">Preliminary </w:t>
      </w:r>
      <w:r w:rsidR="00306B97" w:rsidRPr="002C538E">
        <w:rPr>
          <w:rStyle w:val="AERtextitalic"/>
        </w:rPr>
        <w:t xml:space="preserve">decision </w:t>
      </w:r>
      <w:r w:rsidR="00306B97">
        <w:rPr>
          <w:rStyle w:val="AERtextitalic"/>
        </w:rPr>
        <w:t>–</w:t>
      </w:r>
      <w:r w:rsidR="00306B97" w:rsidRPr="002C538E">
        <w:rPr>
          <w:rStyle w:val="AERtextitalic"/>
        </w:rPr>
        <w:t xml:space="preserve"> </w:t>
      </w:r>
      <w:r w:rsidR="00306B97">
        <w:rPr>
          <w:rStyle w:val="AERtextitalic"/>
        </w:rPr>
        <w:t xml:space="preserve">Energex </w:t>
      </w:r>
      <w:r w:rsidR="00306B97" w:rsidRPr="002C538E">
        <w:rPr>
          <w:rStyle w:val="AERtextitalic"/>
        </w:rPr>
        <w:t xml:space="preserve">determination </w:t>
      </w:r>
      <w:r w:rsidR="00306B97">
        <w:rPr>
          <w:rStyle w:val="AERtextitalic"/>
        </w:rPr>
        <w:t>2015–16 to 2019–20, A</w:t>
      </w:r>
      <w:r w:rsidR="00306B97" w:rsidRPr="002C538E">
        <w:rPr>
          <w:rStyle w:val="AERtextitalic"/>
        </w:rPr>
        <w:t>ttachment 5</w:t>
      </w:r>
      <w:r w:rsidR="00306B97" w:rsidRPr="002C538E">
        <w:t xml:space="preserve">, </w:t>
      </w:r>
      <w:r w:rsidR="00306B97">
        <w:t>April 2015, p</w:t>
      </w:r>
      <w:r w:rsidR="00306B97" w:rsidRPr="002C538E">
        <w:t xml:space="preserve">. </w:t>
      </w:r>
      <w:r w:rsidR="00306B97">
        <w:t>11.</w:t>
      </w:r>
    </w:p>
  </w:footnote>
  <w:footnote w:id="17">
    <w:p w:rsidR="007C7C6B" w:rsidRDefault="007C7C6B" w:rsidP="007C7C6B">
      <w:pPr>
        <w:pStyle w:val="FootnoteText"/>
      </w:pPr>
      <w:r>
        <w:rPr>
          <w:rStyle w:val="FootnoteReference"/>
        </w:rPr>
        <w:footnoteRef/>
      </w:r>
      <w:r>
        <w:t xml:space="preserve"> </w:t>
      </w:r>
      <w:r>
        <w:tab/>
      </w:r>
      <w:r w:rsidR="008478C7" w:rsidRPr="002C538E">
        <w:t xml:space="preserve">AER, </w:t>
      </w:r>
      <w:r w:rsidR="008478C7">
        <w:rPr>
          <w:rStyle w:val="AERtextitalic"/>
        </w:rPr>
        <w:t xml:space="preserve">Preliminary </w:t>
      </w:r>
      <w:r w:rsidR="008478C7" w:rsidRPr="002C538E">
        <w:rPr>
          <w:rStyle w:val="AERtextitalic"/>
        </w:rPr>
        <w:t xml:space="preserve">decision </w:t>
      </w:r>
      <w:r w:rsidR="008478C7">
        <w:rPr>
          <w:rStyle w:val="AERtextitalic"/>
        </w:rPr>
        <w:t>–</w:t>
      </w:r>
      <w:r w:rsidR="008478C7" w:rsidRPr="002C538E">
        <w:rPr>
          <w:rStyle w:val="AERtextitalic"/>
        </w:rPr>
        <w:t xml:space="preserve"> </w:t>
      </w:r>
      <w:r w:rsidR="008478C7">
        <w:rPr>
          <w:rStyle w:val="AERtextitalic"/>
        </w:rPr>
        <w:t xml:space="preserve">Energex </w:t>
      </w:r>
      <w:r w:rsidR="008478C7" w:rsidRPr="002C538E">
        <w:rPr>
          <w:rStyle w:val="AERtextitalic"/>
        </w:rPr>
        <w:t xml:space="preserve">determination </w:t>
      </w:r>
      <w:r w:rsidR="008478C7">
        <w:rPr>
          <w:rStyle w:val="AERtextitalic"/>
        </w:rPr>
        <w:t>2015–16 to 2019–20, A</w:t>
      </w:r>
      <w:r w:rsidR="008478C7" w:rsidRPr="002C538E">
        <w:rPr>
          <w:rStyle w:val="AERtextitalic"/>
        </w:rPr>
        <w:t>ttachment 5</w:t>
      </w:r>
      <w:r w:rsidR="008478C7" w:rsidRPr="002C538E">
        <w:t xml:space="preserve">, </w:t>
      </w:r>
      <w:r w:rsidR="008478C7">
        <w:t>April 2015, p</w:t>
      </w:r>
      <w:r w:rsidR="008478C7" w:rsidRPr="002C538E">
        <w:t xml:space="preserve">. </w:t>
      </w:r>
      <w:r w:rsidR="008478C7">
        <w:t>12.</w:t>
      </w:r>
    </w:p>
  </w:footnote>
  <w:footnote w:id="18">
    <w:p w:rsidR="008478C7" w:rsidRDefault="008478C7">
      <w:pPr>
        <w:pStyle w:val="FootnoteText"/>
      </w:pPr>
      <w:r>
        <w:rPr>
          <w:rStyle w:val="FootnoteReference"/>
        </w:rPr>
        <w:footnoteRef/>
      </w:r>
      <w:r>
        <w:t xml:space="preserve"> </w:t>
      </w:r>
      <w:r>
        <w:tab/>
      </w:r>
      <w:proofErr w:type="gramStart"/>
      <w:r>
        <w:t xml:space="preserve">Energex, </w:t>
      </w:r>
      <w:r w:rsidRPr="001121F4">
        <w:rPr>
          <w:rStyle w:val="AERtextitalic"/>
        </w:rPr>
        <w:t>Revised regulatory proposal</w:t>
      </w:r>
      <w:r>
        <w:t xml:space="preserve">, July 2015, Attachment 2; Energex, </w:t>
      </w:r>
      <w:r w:rsidRPr="001121F4">
        <w:rPr>
          <w:rStyle w:val="AERtextitalic"/>
        </w:rPr>
        <w:t>Revised regulatory proposal</w:t>
      </w:r>
      <w:r>
        <w:t>, July 2015, p. 70.</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5"/>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A17193D"/>
    <w:multiLevelType w:val="multilevel"/>
    <w:tmpl w:val="950A1C52"/>
    <w:numStyleLink w:val="AERHeadings"/>
  </w:abstractNum>
  <w:abstractNum w:abstractNumId="25">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6">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5ECE4384"/>
    <w:multiLevelType w:val="multilevel"/>
    <w:tmpl w:val="F4C8637E"/>
    <w:lvl w:ilvl="0">
      <w:start w:val="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0">
    <w:nsid w:val="6DE36827"/>
    <w:multiLevelType w:val="multilevel"/>
    <w:tmpl w:val="950A1C52"/>
    <w:numStyleLink w:val="AERHeadings"/>
  </w:abstractNum>
  <w:abstractNum w:abstractNumId="31">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EE02AFC"/>
    <w:multiLevelType w:val="hybridMultilevel"/>
    <w:tmpl w:val="C09EF408"/>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1"/>
  </w:num>
  <w:num w:numId="2">
    <w:abstractNumId w:val="3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0"/>
  </w:num>
  <w:num w:numId="14">
    <w:abstractNumId w:val="10"/>
  </w:num>
  <w:num w:numId="15">
    <w:abstractNumId w:val="12"/>
  </w:num>
  <w:num w:numId="16">
    <w:abstractNumId w:val="22"/>
  </w:num>
  <w:num w:numId="17">
    <w:abstractNumId w:val="9"/>
  </w:num>
  <w:num w:numId="18">
    <w:abstractNumId w:val="16"/>
  </w:num>
  <w:num w:numId="19">
    <w:abstractNumId w:val="23"/>
  </w:num>
  <w:num w:numId="20">
    <w:abstractNumId w:val="31"/>
  </w:num>
  <w:num w:numId="21">
    <w:abstractNumId w:val="13"/>
  </w:num>
  <w:num w:numId="22">
    <w:abstractNumId w:val="27"/>
  </w:num>
  <w:num w:numId="23">
    <w:abstractNumId w:val="25"/>
  </w:num>
  <w:num w:numId="24">
    <w:abstractNumId w:val="18"/>
  </w:num>
  <w:num w:numId="25">
    <w:abstractNumId w:val="26"/>
  </w:num>
  <w:num w:numId="26">
    <w:abstractNumId w:val="28"/>
  </w:num>
  <w:num w:numId="27">
    <w:abstractNumId w:val="19"/>
  </w:num>
  <w:num w:numId="28">
    <w:abstractNumId w:val="17"/>
  </w:num>
  <w:num w:numId="29">
    <w:abstractNumId w:val="15"/>
  </w:num>
  <w:num w:numId="30">
    <w:abstractNumId w:val="32"/>
  </w:num>
  <w:num w:numId="31">
    <w:abstractNumId w:val="14"/>
  </w:num>
  <w:num w:numId="32">
    <w:abstractNumId w:val="21"/>
  </w:num>
  <w:num w:numId="33">
    <w:abstractNumId w:val="18"/>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0"/>
  </w:num>
  <w:num w:numId="37">
    <w:abstractNumId w:val="24"/>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656\AER15 194  DOC FINALISED - NO CHANGES - NEW - Energex - prelim decision - Attach 5 - Reg depreciation.DOCX"/>
  </w:docVars>
  <w:rsids>
    <w:rsidRoot w:val="00961A4A"/>
    <w:rsid w:val="00002BFC"/>
    <w:rsid w:val="00004A15"/>
    <w:rsid w:val="000052B2"/>
    <w:rsid w:val="00015F19"/>
    <w:rsid w:val="00021202"/>
    <w:rsid w:val="0002517F"/>
    <w:rsid w:val="0003578C"/>
    <w:rsid w:val="0003688E"/>
    <w:rsid w:val="00052837"/>
    <w:rsid w:val="000574D9"/>
    <w:rsid w:val="00063247"/>
    <w:rsid w:val="00070F9F"/>
    <w:rsid w:val="0007137B"/>
    <w:rsid w:val="000730B5"/>
    <w:rsid w:val="0007331D"/>
    <w:rsid w:val="00074B8F"/>
    <w:rsid w:val="00085663"/>
    <w:rsid w:val="00085EBF"/>
    <w:rsid w:val="000922BA"/>
    <w:rsid w:val="000A3020"/>
    <w:rsid w:val="000A6C7B"/>
    <w:rsid w:val="000C2F2D"/>
    <w:rsid w:val="000C5732"/>
    <w:rsid w:val="000D122C"/>
    <w:rsid w:val="000E1819"/>
    <w:rsid w:val="000E4821"/>
    <w:rsid w:val="000E6C72"/>
    <w:rsid w:val="000F551F"/>
    <w:rsid w:val="001061D6"/>
    <w:rsid w:val="00116EB2"/>
    <w:rsid w:val="001201F1"/>
    <w:rsid w:val="00124609"/>
    <w:rsid w:val="00126A4C"/>
    <w:rsid w:val="00134BFD"/>
    <w:rsid w:val="0014573B"/>
    <w:rsid w:val="001573E4"/>
    <w:rsid w:val="00160756"/>
    <w:rsid w:val="0017232E"/>
    <w:rsid w:val="00174102"/>
    <w:rsid w:val="00176CAC"/>
    <w:rsid w:val="00180157"/>
    <w:rsid w:val="00185CB9"/>
    <w:rsid w:val="00186F77"/>
    <w:rsid w:val="001926A4"/>
    <w:rsid w:val="00192AD5"/>
    <w:rsid w:val="001B45A0"/>
    <w:rsid w:val="001D055E"/>
    <w:rsid w:val="001E1E52"/>
    <w:rsid w:val="001F01D5"/>
    <w:rsid w:val="001F0BFF"/>
    <w:rsid w:val="001F492E"/>
    <w:rsid w:val="001F6DA3"/>
    <w:rsid w:val="002010BC"/>
    <w:rsid w:val="00202E03"/>
    <w:rsid w:val="0020345D"/>
    <w:rsid w:val="00204878"/>
    <w:rsid w:val="0020492C"/>
    <w:rsid w:val="0021281C"/>
    <w:rsid w:val="0021693D"/>
    <w:rsid w:val="00224DB9"/>
    <w:rsid w:val="00232B25"/>
    <w:rsid w:val="00233775"/>
    <w:rsid w:val="002352F8"/>
    <w:rsid w:val="00251745"/>
    <w:rsid w:val="00263AC0"/>
    <w:rsid w:val="00264264"/>
    <w:rsid w:val="0026772D"/>
    <w:rsid w:val="00286874"/>
    <w:rsid w:val="00290364"/>
    <w:rsid w:val="002904A0"/>
    <w:rsid w:val="00290C63"/>
    <w:rsid w:val="00296B65"/>
    <w:rsid w:val="002A7DEF"/>
    <w:rsid w:val="002B4F33"/>
    <w:rsid w:val="002E7B22"/>
    <w:rsid w:val="002F7986"/>
    <w:rsid w:val="00301B40"/>
    <w:rsid w:val="003029EE"/>
    <w:rsid w:val="00305CC8"/>
    <w:rsid w:val="00306B97"/>
    <w:rsid w:val="00307F6D"/>
    <w:rsid w:val="003177A2"/>
    <w:rsid w:val="00322A9B"/>
    <w:rsid w:val="003271B5"/>
    <w:rsid w:val="00327A1E"/>
    <w:rsid w:val="00331264"/>
    <w:rsid w:val="00334C8D"/>
    <w:rsid w:val="00343A18"/>
    <w:rsid w:val="003518B3"/>
    <w:rsid w:val="00373581"/>
    <w:rsid w:val="003846F1"/>
    <w:rsid w:val="003877F9"/>
    <w:rsid w:val="003A5459"/>
    <w:rsid w:val="003B484F"/>
    <w:rsid w:val="003F174D"/>
    <w:rsid w:val="004124A2"/>
    <w:rsid w:val="00416519"/>
    <w:rsid w:val="0045777E"/>
    <w:rsid w:val="00461497"/>
    <w:rsid w:val="00480B4B"/>
    <w:rsid w:val="00485DC4"/>
    <w:rsid w:val="004A43D1"/>
    <w:rsid w:val="004B4412"/>
    <w:rsid w:val="004B7618"/>
    <w:rsid w:val="004C348C"/>
    <w:rsid w:val="004D14D9"/>
    <w:rsid w:val="004D55BA"/>
    <w:rsid w:val="004E22EC"/>
    <w:rsid w:val="00511604"/>
    <w:rsid w:val="00515642"/>
    <w:rsid w:val="00530128"/>
    <w:rsid w:val="00532467"/>
    <w:rsid w:val="00563E10"/>
    <w:rsid w:val="00564A4D"/>
    <w:rsid w:val="00567BA5"/>
    <w:rsid w:val="00571B35"/>
    <w:rsid w:val="00571D57"/>
    <w:rsid w:val="005739E5"/>
    <w:rsid w:val="00577A09"/>
    <w:rsid w:val="005829C2"/>
    <w:rsid w:val="00584D8F"/>
    <w:rsid w:val="00594FD9"/>
    <w:rsid w:val="005A404D"/>
    <w:rsid w:val="005B1E3C"/>
    <w:rsid w:val="005B6543"/>
    <w:rsid w:val="005C26CC"/>
    <w:rsid w:val="005D61FE"/>
    <w:rsid w:val="005D76ED"/>
    <w:rsid w:val="005D7BA2"/>
    <w:rsid w:val="005E36C2"/>
    <w:rsid w:val="005F2207"/>
    <w:rsid w:val="00601661"/>
    <w:rsid w:val="00615C6B"/>
    <w:rsid w:val="00621DCE"/>
    <w:rsid w:val="00624B45"/>
    <w:rsid w:val="00632D6D"/>
    <w:rsid w:val="006410F3"/>
    <w:rsid w:val="00642C3E"/>
    <w:rsid w:val="00653A15"/>
    <w:rsid w:val="0066104A"/>
    <w:rsid w:val="00663DAD"/>
    <w:rsid w:val="00664B1D"/>
    <w:rsid w:val="00675E20"/>
    <w:rsid w:val="00676679"/>
    <w:rsid w:val="00683C89"/>
    <w:rsid w:val="006A1F33"/>
    <w:rsid w:val="006B2395"/>
    <w:rsid w:val="006B4CF9"/>
    <w:rsid w:val="006B7AC8"/>
    <w:rsid w:val="006D550F"/>
    <w:rsid w:val="006F48C3"/>
    <w:rsid w:val="007014D2"/>
    <w:rsid w:val="00701CAB"/>
    <w:rsid w:val="00707563"/>
    <w:rsid w:val="00712484"/>
    <w:rsid w:val="00714FFE"/>
    <w:rsid w:val="00715A82"/>
    <w:rsid w:val="0072348C"/>
    <w:rsid w:val="00724A37"/>
    <w:rsid w:val="00725C03"/>
    <w:rsid w:val="007303C3"/>
    <w:rsid w:val="00730BDE"/>
    <w:rsid w:val="007429BE"/>
    <w:rsid w:val="00743223"/>
    <w:rsid w:val="00745553"/>
    <w:rsid w:val="00746E01"/>
    <w:rsid w:val="00754812"/>
    <w:rsid w:val="00757BDF"/>
    <w:rsid w:val="00763E5D"/>
    <w:rsid w:val="00767740"/>
    <w:rsid w:val="00777EE6"/>
    <w:rsid w:val="00782EEA"/>
    <w:rsid w:val="007B2C72"/>
    <w:rsid w:val="007C1C53"/>
    <w:rsid w:val="007C74BB"/>
    <w:rsid w:val="007C7C6B"/>
    <w:rsid w:val="007D64DD"/>
    <w:rsid w:val="007E4904"/>
    <w:rsid w:val="007E4CB5"/>
    <w:rsid w:val="007F066B"/>
    <w:rsid w:val="007F70A0"/>
    <w:rsid w:val="00801B07"/>
    <w:rsid w:val="008033C4"/>
    <w:rsid w:val="00806C88"/>
    <w:rsid w:val="0081034E"/>
    <w:rsid w:val="008344F6"/>
    <w:rsid w:val="0083510F"/>
    <w:rsid w:val="00841137"/>
    <w:rsid w:val="00846D12"/>
    <w:rsid w:val="008478C7"/>
    <w:rsid w:val="00851209"/>
    <w:rsid w:val="008837AC"/>
    <w:rsid w:val="008A5491"/>
    <w:rsid w:val="008A587D"/>
    <w:rsid w:val="008A6FE1"/>
    <w:rsid w:val="008B35CD"/>
    <w:rsid w:val="008B5FCC"/>
    <w:rsid w:val="008B657A"/>
    <w:rsid w:val="008C5486"/>
    <w:rsid w:val="008D1661"/>
    <w:rsid w:val="008E6878"/>
    <w:rsid w:val="008E7031"/>
    <w:rsid w:val="008E77DE"/>
    <w:rsid w:val="008F07A3"/>
    <w:rsid w:val="00900E1B"/>
    <w:rsid w:val="00911361"/>
    <w:rsid w:val="009233EE"/>
    <w:rsid w:val="00945665"/>
    <w:rsid w:val="009460AA"/>
    <w:rsid w:val="00951978"/>
    <w:rsid w:val="00961A4A"/>
    <w:rsid w:val="009661DE"/>
    <w:rsid w:val="00971BA7"/>
    <w:rsid w:val="009828EC"/>
    <w:rsid w:val="00983C25"/>
    <w:rsid w:val="009856B7"/>
    <w:rsid w:val="00985C86"/>
    <w:rsid w:val="00997BA2"/>
    <w:rsid w:val="009A317A"/>
    <w:rsid w:val="009A5FC3"/>
    <w:rsid w:val="009B0C3B"/>
    <w:rsid w:val="009B74B0"/>
    <w:rsid w:val="009C3A35"/>
    <w:rsid w:val="009D2C87"/>
    <w:rsid w:val="009D6B46"/>
    <w:rsid w:val="009F4940"/>
    <w:rsid w:val="009F5BA1"/>
    <w:rsid w:val="00A02A88"/>
    <w:rsid w:val="00A031F9"/>
    <w:rsid w:val="00A0562E"/>
    <w:rsid w:val="00A0726D"/>
    <w:rsid w:val="00A32FBB"/>
    <w:rsid w:val="00A428EE"/>
    <w:rsid w:val="00A4478A"/>
    <w:rsid w:val="00A44852"/>
    <w:rsid w:val="00A54254"/>
    <w:rsid w:val="00A57D04"/>
    <w:rsid w:val="00A60A26"/>
    <w:rsid w:val="00A61598"/>
    <w:rsid w:val="00A720AE"/>
    <w:rsid w:val="00A84A99"/>
    <w:rsid w:val="00A84F46"/>
    <w:rsid w:val="00A871F4"/>
    <w:rsid w:val="00AC0E0F"/>
    <w:rsid w:val="00AC1B2C"/>
    <w:rsid w:val="00AC3264"/>
    <w:rsid w:val="00AC7273"/>
    <w:rsid w:val="00AE1BF1"/>
    <w:rsid w:val="00AF0DD2"/>
    <w:rsid w:val="00AF27B2"/>
    <w:rsid w:val="00B13048"/>
    <w:rsid w:val="00B1716D"/>
    <w:rsid w:val="00B17633"/>
    <w:rsid w:val="00B17A1D"/>
    <w:rsid w:val="00B207A0"/>
    <w:rsid w:val="00B40D4D"/>
    <w:rsid w:val="00B514DD"/>
    <w:rsid w:val="00B52AF0"/>
    <w:rsid w:val="00B561BD"/>
    <w:rsid w:val="00B56E03"/>
    <w:rsid w:val="00B64F64"/>
    <w:rsid w:val="00B65CF2"/>
    <w:rsid w:val="00B67449"/>
    <w:rsid w:val="00B676AC"/>
    <w:rsid w:val="00B7067D"/>
    <w:rsid w:val="00B8080B"/>
    <w:rsid w:val="00B877BB"/>
    <w:rsid w:val="00B87BA5"/>
    <w:rsid w:val="00B87C39"/>
    <w:rsid w:val="00BA4665"/>
    <w:rsid w:val="00BB2FB2"/>
    <w:rsid w:val="00BB3304"/>
    <w:rsid w:val="00BC1455"/>
    <w:rsid w:val="00BD3446"/>
    <w:rsid w:val="00BE1F1B"/>
    <w:rsid w:val="00BE47B5"/>
    <w:rsid w:val="00BE4DEA"/>
    <w:rsid w:val="00C00369"/>
    <w:rsid w:val="00C25FA6"/>
    <w:rsid w:val="00C314A0"/>
    <w:rsid w:val="00C538A9"/>
    <w:rsid w:val="00C53B5A"/>
    <w:rsid w:val="00C54F5A"/>
    <w:rsid w:val="00C569B4"/>
    <w:rsid w:val="00C578B9"/>
    <w:rsid w:val="00C62650"/>
    <w:rsid w:val="00C64FDD"/>
    <w:rsid w:val="00C67A92"/>
    <w:rsid w:val="00C74DCF"/>
    <w:rsid w:val="00C75625"/>
    <w:rsid w:val="00C86679"/>
    <w:rsid w:val="00CA489E"/>
    <w:rsid w:val="00CB0279"/>
    <w:rsid w:val="00CB503A"/>
    <w:rsid w:val="00CB666B"/>
    <w:rsid w:val="00CC6EF3"/>
    <w:rsid w:val="00CC7F1D"/>
    <w:rsid w:val="00CF469A"/>
    <w:rsid w:val="00D006AE"/>
    <w:rsid w:val="00D01CF0"/>
    <w:rsid w:val="00D028C3"/>
    <w:rsid w:val="00D0442A"/>
    <w:rsid w:val="00D23682"/>
    <w:rsid w:val="00D26FBD"/>
    <w:rsid w:val="00D61388"/>
    <w:rsid w:val="00D61A54"/>
    <w:rsid w:val="00D64366"/>
    <w:rsid w:val="00D64DEA"/>
    <w:rsid w:val="00D7168E"/>
    <w:rsid w:val="00D71E57"/>
    <w:rsid w:val="00D73468"/>
    <w:rsid w:val="00D80855"/>
    <w:rsid w:val="00D80893"/>
    <w:rsid w:val="00D84854"/>
    <w:rsid w:val="00D92CF1"/>
    <w:rsid w:val="00D92D38"/>
    <w:rsid w:val="00D93DF3"/>
    <w:rsid w:val="00D950F5"/>
    <w:rsid w:val="00D95C49"/>
    <w:rsid w:val="00DA4752"/>
    <w:rsid w:val="00DA61F3"/>
    <w:rsid w:val="00DB0F93"/>
    <w:rsid w:val="00DB1A67"/>
    <w:rsid w:val="00DB5074"/>
    <w:rsid w:val="00DC7981"/>
    <w:rsid w:val="00DC7CDC"/>
    <w:rsid w:val="00DE1093"/>
    <w:rsid w:val="00DE4EFA"/>
    <w:rsid w:val="00DE5520"/>
    <w:rsid w:val="00DE563D"/>
    <w:rsid w:val="00DE7949"/>
    <w:rsid w:val="00E04818"/>
    <w:rsid w:val="00E05ECB"/>
    <w:rsid w:val="00E06442"/>
    <w:rsid w:val="00E1115E"/>
    <w:rsid w:val="00E23993"/>
    <w:rsid w:val="00E2480A"/>
    <w:rsid w:val="00E25756"/>
    <w:rsid w:val="00E25B8C"/>
    <w:rsid w:val="00E5687C"/>
    <w:rsid w:val="00E6016E"/>
    <w:rsid w:val="00E65C85"/>
    <w:rsid w:val="00E66199"/>
    <w:rsid w:val="00E754B8"/>
    <w:rsid w:val="00E755EC"/>
    <w:rsid w:val="00E76204"/>
    <w:rsid w:val="00E7624D"/>
    <w:rsid w:val="00EA3D42"/>
    <w:rsid w:val="00EA5535"/>
    <w:rsid w:val="00EA6B1B"/>
    <w:rsid w:val="00EB47E8"/>
    <w:rsid w:val="00EB74FC"/>
    <w:rsid w:val="00ED7323"/>
    <w:rsid w:val="00EE0DE5"/>
    <w:rsid w:val="00EE28F3"/>
    <w:rsid w:val="00EE6542"/>
    <w:rsid w:val="00EF5110"/>
    <w:rsid w:val="00F0007B"/>
    <w:rsid w:val="00F01ABB"/>
    <w:rsid w:val="00F10411"/>
    <w:rsid w:val="00F10C90"/>
    <w:rsid w:val="00F15882"/>
    <w:rsid w:val="00F171E0"/>
    <w:rsid w:val="00F20BD3"/>
    <w:rsid w:val="00F373A5"/>
    <w:rsid w:val="00F433A3"/>
    <w:rsid w:val="00F47559"/>
    <w:rsid w:val="00F64C7B"/>
    <w:rsid w:val="00F676DD"/>
    <w:rsid w:val="00F75A26"/>
    <w:rsid w:val="00F76706"/>
    <w:rsid w:val="00F83FAD"/>
    <w:rsid w:val="00F952A0"/>
    <w:rsid w:val="00FA3C7F"/>
    <w:rsid w:val="00FA5FB3"/>
    <w:rsid w:val="00FB74E2"/>
    <w:rsid w:val="00FC10C4"/>
    <w:rsid w:val="00FD5614"/>
    <w:rsid w:val="00FE0BE1"/>
    <w:rsid w:val="00FE0FAC"/>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F10C90"/>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F10C90"/>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80773234">
      <w:bodyDiv w:val="1"/>
      <w:marLeft w:val="0"/>
      <w:marRight w:val="0"/>
      <w:marTop w:val="0"/>
      <w:marBottom w:val="0"/>
      <w:divBdr>
        <w:top w:val="none" w:sz="0" w:space="0" w:color="auto"/>
        <w:left w:val="none" w:sz="0" w:space="0" w:color="auto"/>
        <w:bottom w:val="none" w:sz="0" w:space="0" w:color="auto"/>
        <w:right w:val="none" w:sz="0" w:space="0" w:color="auto"/>
      </w:divBdr>
    </w:div>
    <w:div w:id="1252617650">
      <w:bodyDiv w:val="1"/>
      <w:marLeft w:val="0"/>
      <w:marRight w:val="0"/>
      <w:marTop w:val="0"/>
      <w:marBottom w:val="0"/>
      <w:divBdr>
        <w:top w:val="none" w:sz="0" w:space="0" w:color="auto"/>
        <w:left w:val="none" w:sz="0" w:space="0" w:color="auto"/>
        <w:bottom w:val="none" w:sz="0" w:space="0" w:color="auto"/>
        <w:right w:val="none" w:sz="0" w:space="0" w:color="auto"/>
      </w:divBdr>
    </w:div>
    <w:div w:id="178422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EF9CD5-2895-444A-B6D7-A7281AEBB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5726DA8E</Template>
  <TotalTime>0</TotalTime>
  <Pages>11</Pages>
  <Words>2244</Words>
  <Characters>12796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2015-10-23T06:51:00Z</dcterms:created>
  <dcterms:modified xsi:type="dcterms:W3CDTF">2015-10-23T06:51:00Z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8427740</vt:lpwstr>
  </property>
  <property fmtid="{D5CDD505-2E9C-101B-9397-08002B2CF9AE}" pid="3" name="_MarkAsFinal">
    <vt:bool>true</vt:bool>
  </property>
</Properties>
</file>