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eastAsiaTheme="majorEastAsia" w:cstheme="majorBidi"/>
          <w:noProof/>
          <w:sz w:val="36"/>
          <w:szCs w:val="36"/>
          <w:lang w:eastAsia="en-AU"/>
        </w:rPr>
        <w:id w:val="1021519724"/>
        <w:docPartObj>
          <w:docPartGallery w:val="Cover Pages"/>
          <w:docPartUnique/>
        </w:docPartObj>
      </w:sdtPr>
      <w:sdtEndPr/>
      <w:sdtContent>
        <w:p w:rsidR="000A6C7B" w:rsidRPr="00290C63" w:rsidRDefault="000A6C7B" w:rsidP="00290C63">
          <w:r w:rsidRPr="00290C63">
            <w:rPr>
              <w:noProof/>
              <w:lang w:eastAsia="en-AU"/>
            </w:rPr>
            <w:drawing>
              <wp:anchor distT="0" distB="0" distL="114300" distR="114300" simplePos="0" relativeHeight="251659264" behindDoc="1" locked="0" layoutInCell="1" allowOverlap="1" wp14:anchorId="6C3048DF" wp14:editId="13688A3A">
                <wp:simplePos x="0" y="0"/>
                <wp:positionH relativeFrom="column">
                  <wp:posOffset>-1104900</wp:posOffset>
                </wp:positionH>
                <wp:positionV relativeFrom="paragraph">
                  <wp:posOffset>-927735</wp:posOffset>
                </wp:positionV>
                <wp:extent cx="7591425" cy="10728960"/>
                <wp:effectExtent l="0" t="0" r="9525" b="0"/>
                <wp:wrapNone/>
                <wp:docPr id="2" name="Picture 2"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91425" cy="10728960"/>
                        </a:xfrm>
                        <a:prstGeom prst="rect">
                          <a:avLst/>
                        </a:prstGeom>
                        <a:noFill/>
                      </pic:spPr>
                    </pic:pic>
                  </a:graphicData>
                </a:graphic>
                <wp14:sizeRelH relativeFrom="page">
                  <wp14:pctWidth>0</wp14:pctWidth>
                </wp14:sizeRelH>
                <wp14:sizeRelV relativeFrom="page">
                  <wp14:pctHeight>0</wp14:pctHeight>
                </wp14:sizeRelV>
              </wp:anchor>
            </w:drawing>
          </w:r>
        </w:p>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327A1E" w:rsidRDefault="001140AD" w:rsidP="008F07A3">
          <w:pPr>
            <w:pStyle w:val="ReportSubtitle"/>
          </w:pPr>
          <w:r>
            <w:t>FINAL</w:t>
          </w:r>
          <w:r w:rsidR="00DA4752">
            <w:t xml:space="preserve"> DECISION</w:t>
          </w:r>
        </w:p>
        <w:p w:rsidR="000A6C7B" w:rsidRDefault="001201F1" w:rsidP="008F07A3">
          <w:pPr>
            <w:pStyle w:val="ReportSubtitle"/>
          </w:pPr>
          <w:r>
            <w:t>Energex</w:t>
          </w:r>
          <w:r w:rsidR="00DA4752">
            <w:t xml:space="preserve"> determination 2015</w:t>
          </w:r>
          <w:r w:rsidR="00DA4752">
            <w:rPr>
              <w:rFonts w:cs="Arial"/>
            </w:rPr>
            <w:t>−</w:t>
          </w:r>
          <w:r w:rsidR="00DA4752">
            <w:t>16 to 2019</w:t>
          </w:r>
          <w:r w:rsidR="00DA4752">
            <w:rPr>
              <w:rFonts w:cs="Arial"/>
            </w:rPr>
            <w:t>−</w:t>
          </w:r>
          <w:r w:rsidR="00DA4752">
            <w:t>20</w:t>
          </w:r>
        </w:p>
        <w:p w:rsidR="008F07A3" w:rsidRPr="000A6C7B" w:rsidRDefault="008F07A3" w:rsidP="008F07A3">
          <w:pPr>
            <w:pStyle w:val="ReportSubtitle"/>
          </w:pPr>
        </w:p>
        <w:p w:rsidR="000A6C7B" w:rsidRPr="000A6C7B" w:rsidRDefault="00DA4752" w:rsidP="008F07A3">
          <w:pPr>
            <w:pStyle w:val="ReportSubtitle"/>
          </w:pPr>
          <w:r>
            <w:t>Attachment 1</w:t>
          </w:r>
          <w:r w:rsidR="0086541F">
            <w:t>1</w:t>
          </w:r>
          <w:r>
            <w:t xml:space="preserve"> </w:t>
          </w:r>
          <w:r>
            <w:rPr>
              <w:rFonts w:cs="Arial"/>
            </w:rPr>
            <w:t>−</w:t>
          </w:r>
          <w:r>
            <w:t xml:space="preserve"> </w:t>
          </w:r>
          <w:r w:rsidR="0086541F">
            <w:t>Service target performance incentive scheme</w:t>
          </w:r>
        </w:p>
        <w:p w:rsidR="000A6C7B" w:rsidRPr="00327A1E" w:rsidRDefault="001140AD" w:rsidP="00327A1E">
          <w:pPr>
            <w:pStyle w:val="ReportDate"/>
          </w:pPr>
          <w:r>
            <w:t xml:space="preserve">October </w:t>
          </w:r>
          <w:r w:rsidR="00DA4752">
            <w:t>2015</w:t>
          </w:r>
        </w:p>
      </w:sdtContent>
    </w:sdt>
    <w:p w:rsidR="00327A1E" w:rsidRPr="00290C63" w:rsidRDefault="00327A1E" w:rsidP="00290C63">
      <w:r>
        <w:br w:type="page"/>
      </w:r>
    </w:p>
    <w:p w:rsidR="000A6C7B" w:rsidRDefault="008F07A3" w:rsidP="00961A4A">
      <w:pPr>
        <w:pStyle w:val="Copyright"/>
      </w:pPr>
      <w:r>
        <w:lastRenderedPageBreak/>
        <w:t>© Commonwealth of Australia 2015</w:t>
      </w:r>
    </w:p>
    <w:p w:rsidR="000A6C7B" w:rsidRDefault="000A6C7B" w:rsidP="000A6C7B">
      <w:pPr>
        <w:pStyle w:val="Copyright"/>
      </w:pPr>
      <w:r>
        <w:t>This work is copyright. In addition to any use permitted under the Copyright Act 1968, all material contained within this work is provided under a Creative Commons Attributions 3.0 Australia licence, with the exception of:</w:t>
      </w:r>
    </w:p>
    <w:p w:rsidR="000A6C7B" w:rsidRPr="00983C25" w:rsidRDefault="000A6C7B" w:rsidP="00983C25">
      <w:pPr>
        <w:pStyle w:val="AERbulletlistfirststyle"/>
        <w:rPr>
          <w:sz w:val="20"/>
          <w:szCs w:val="20"/>
        </w:rPr>
      </w:pPr>
      <w:r>
        <w:t xml:space="preserve">the </w:t>
      </w:r>
      <w:r w:rsidRPr="00983C25">
        <w:rPr>
          <w:sz w:val="20"/>
          <w:szCs w:val="20"/>
        </w:rPr>
        <w:t>Commonwealth Coat of Arms</w:t>
      </w:r>
    </w:p>
    <w:p w:rsidR="000A6C7B" w:rsidRPr="00983C25" w:rsidRDefault="000A6C7B" w:rsidP="00983C25">
      <w:pPr>
        <w:pStyle w:val="AERbulletlistfirststyle"/>
        <w:rPr>
          <w:sz w:val="20"/>
          <w:szCs w:val="20"/>
        </w:rPr>
      </w:pPr>
      <w:r w:rsidRPr="00983C25">
        <w:rPr>
          <w:sz w:val="20"/>
          <w:szCs w:val="20"/>
        </w:rPr>
        <w:t>the ACCC and AER logos</w:t>
      </w:r>
    </w:p>
    <w:p w:rsidR="000A6C7B" w:rsidRPr="00983C25" w:rsidRDefault="000A6C7B" w:rsidP="00983C25">
      <w:pPr>
        <w:pStyle w:val="AERbulletlistfirststyle"/>
        <w:rPr>
          <w:sz w:val="20"/>
        </w:rPr>
      </w:pPr>
      <w:r w:rsidRPr="00983C25">
        <w:rPr>
          <w:sz w:val="20"/>
        </w:rPr>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0A6C7B" w:rsidRDefault="000A6C7B" w:rsidP="000A6C7B">
      <w:pPr>
        <w:pStyle w:val="Copyright"/>
      </w:pPr>
      <w:r>
        <w:t>Requests and inquiries concerning reproduction and rights should be addressed to the Director, Corporate Communications,</w:t>
      </w:r>
      <w:r w:rsidR="00983C25">
        <w:br/>
      </w:r>
      <w:r>
        <w:t xml:space="preserve">Australian Competition and Consumer Commission, </w:t>
      </w:r>
      <w:r w:rsidR="00983C25">
        <w:br/>
      </w:r>
      <w:r>
        <w:t>GPO Box 4141, Canberra ACT 2601</w:t>
      </w:r>
      <w:r w:rsidR="00983C25">
        <w:br/>
      </w:r>
      <w:r>
        <w:t>or publishing.unit@accc.gov.au.</w:t>
      </w:r>
    </w:p>
    <w:p w:rsidR="00951978" w:rsidRDefault="000A6C7B" w:rsidP="00961A4A">
      <w:pPr>
        <w:pStyle w:val="Copyright"/>
      </w:pPr>
      <w:r>
        <w:t>Inquiries about this publication should be addressed to:</w:t>
      </w:r>
    </w:p>
    <w:p w:rsidR="000A6C7B" w:rsidRDefault="000A6C7B" w:rsidP="000A6C7B">
      <w:pPr>
        <w:pStyle w:val="Copyright"/>
      </w:pPr>
      <w:r>
        <w:t xml:space="preserve">Australian Energy </w:t>
      </w:r>
      <w:r w:rsidRPr="00F171E0">
        <w:t>Regulator</w:t>
      </w:r>
      <w:r w:rsidR="00951978">
        <w:br/>
      </w:r>
      <w:r>
        <w:t>GPO Box 520</w:t>
      </w:r>
      <w:r w:rsidR="00951978">
        <w:br/>
      </w:r>
      <w:r>
        <w:t>Melbourne  Vic  3001</w:t>
      </w:r>
    </w:p>
    <w:p w:rsidR="000A6C7B" w:rsidRDefault="000A6C7B" w:rsidP="00961A4A">
      <w:pPr>
        <w:pStyle w:val="Copyright"/>
      </w:pPr>
      <w:r>
        <w:t>Tel: (03) 9290 1444</w:t>
      </w:r>
      <w:r w:rsidR="00951978">
        <w:br/>
      </w:r>
      <w:r>
        <w:t>Fax: (03) 9290 1457</w:t>
      </w:r>
    </w:p>
    <w:p w:rsidR="005D7BA2" w:rsidRDefault="000A6C7B" w:rsidP="008F07A3">
      <w:pPr>
        <w:pStyle w:val="Copyright"/>
      </w:pPr>
      <w:r>
        <w:t xml:space="preserve">Email: </w:t>
      </w:r>
      <w:hyperlink r:id="rId11" w:history="1">
        <w:r w:rsidRPr="00D64888">
          <w:rPr>
            <w:rStyle w:val="Hyperlink"/>
          </w:rPr>
          <w:t>AERInquiry@aer.gov.au</w:t>
        </w:r>
      </w:hyperlink>
      <w:r w:rsidR="00951978">
        <w:rPr>
          <w:rStyle w:val="Hyperlink"/>
        </w:rPr>
        <w:br/>
      </w:r>
    </w:p>
    <w:p w:rsidR="008F07A3" w:rsidRDefault="008F07A3" w:rsidP="008F07A3"/>
    <w:p w:rsidR="001201F1" w:rsidRDefault="001201F1">
      <w:pPr>
        <w:spacing w:line="240" w:lineRule="auto"/>
      </w:pPr>
      <w:bookmarkStart w:id="0" w:name="_Toc404354899"/>
      <w:bookmarkStart w:id="1" w:name="_Toc404353070"/>
      <w:bookmarkStart w:id="2" w:name="_Toc404684201"/>
      <w:bookmarkStart w:id="3" w:name="_Toc404700923"/>
      <w:r>
        <w:br w:type="page"/>
      </w:r>
    </w:p>
    <w:p w:rsidR="008F07A3" w:rsidRDefault="00DA61F3" w:rsidP="008F07A3">
      <w:pPr>
        <w:pStyle w:val="UnnumberedHeading"/>
        <w:numPr>
          <w:ilvl w:val="0"/>
          <w:numId w:val="24"/>
        </w:numPr>
      </w:pPr>
      <w:bookmarkStart w:id="4" w:name="_Toc433026836"/>
      <w:r>
        <w:lastRenderedPageBreak/>
        <w:t>N</w:t>
      </w:r>
      <w:r w:rsidR="008F07A3">
        <w:t>ote</w:t>
      </w:r>
      <w:bookmarkEnd w:id="0"/>
      <w:bookmarkEnd w:id="1"/>
      <w:bookmarkEnd w:id="2"/>
      <w:bookmarkEnd w:id="3"/>
      <w:bookmarkEnd w:id="4"/>
    </w:p>
    <w:p w:rsidR="008F07A3" w:rsidRDefault="008F07A3" w:rsidP="008F07A3">
      <w:pPr>
        <w:numPr>
          <w:ilvl w:val="0"/>
          <w:numId w:val="25"/>
        </w:numPr>
      </w:pPr>
      <w:r>
        <w:t xml:space="preserve">This attachment forms part of the AER's </w:t>
      </w:r>
      <w:r w:rsidR="001140AD">
        <w:t>final</w:t>
      </w:r>
      <w:r>
        <w:t xml:space="preserve"> decision on </w:t>
      </w:r>
      <w:r w:rsidR="001201F1">
        <w:t>Energex's</w:t>
      </w:r>
      <w:r>
        <w:t xml:space="preserve"> 2015–20 distribution determination. It should be read with </w:t>
      </w:r>
      <w:r w:rsidR="00DF06C5">
        <w:t xml:space="preserve">all </w:t>
      </w:r>
      <w:r>
        <w:t xml:space="preserve">other parts of the </w:t>
      </w:r>
      <w:r w:rsidR="001140AD">
        <w:t xml:space="preserve">final </w:t>
      </w:r>
      <w:r>
        <w:t>decision.</w:t>
      </w:r>
    </w:p>
    <w:p w:rsidR="008F07A3" w:rsidRDefault="008F07A3" w:rsidP="008F07A3">
      <w:pPr>
        <w:numPr>
          <w:ilvl w:val="0"/>
          <w:numId w:val="25"/>
        </w:numPr>
      </w:pPr>
      <w:r>
        <w:t>The</w:t>
      </w:r>
      <w:r w:rsidR="001140AD">
        <w:t xml:space="preserve"> final</w:t>
      </w:r>
      <w:r>
        <w:t xml:space="preserve"> decision includes the following documents:</w:t>
      </w:r>
    </w:p>
    <w:p w:rsidR="008F07A3" w:rsidRDefault="008F07A3" w:rsidP="008F07A3">
      <w:pPr>
        <w:numPr>
          <w:ilvl w:val="0"/>
          <w:numId w:val="25"/>
        </w:numPr>
      </w:pPr>
      <w:r>
        <w:t>Overview</w:t>
      </w:r>
    </w:p>
    <w:p w:rsidR="008F07A3" w:rsidRDefault="008F07A3" w:rsidP="008F07A3">
      <w:pPr>
        <w:numPr>
          <w:ilvl w:val="0"/>
          <w:numId w:val="25"/>
        </w:numPr>
      </w:pPr>
      <w:r>
        <w:t>Attachment 1 – Annual revenue requirement</w:t>
      </w:r>
    </w:p>
    <w:p w:rsidR="008F07A3" w:rsidRDefault="008F07A3" w:rsidP="008F07A3">
      <w:pPr>
        <w:numPr>
          <w:ilvl w:val="0"/>
          <w:numId w:val="25"/>
        </w:numPr>
      </w:pPr>
      <w:r>
        <w:t>Attachment 2 – Regulatory asset base</w:t>
      </w:r>
    </w:p>
    <w:p w:rsidR="008F07A3" w:rsidRDefault="008F07A3" w:rsidP="008F07A3">
      <w:pPr>
        <w:numPr>
          <w:ilvl w:val="0"/>
          <w:numId w:val="25"/>
        </w:numPr>
      </w:pPr>
      <w:r>
        <w:t>Attachment 3 – Rate of return</w:t>
      </w:r>
    </w:p>
    <w:p w:rsidR="008F07A3" w:rsidRDefault="008F07A3" w:rsidP="008F07A3">
      <w:pPr>
        <w:numPr>
          <w:ilvl w:val="0"/>
          <w:numId w:val="25"/>
        </w:numPr>
      </w:pPr>
      <w:r>
        <w:t>Attachment 4 – Value of imputation credits</w:t>
      </w:r>
    </w:p>
    <w:p w:rsidR="008F07A3" w:rsidRDefault="008F07A3" w:rsidP="008F07A3">
      <w:pPr>
        <w:numPr>
          <w:ilvl w:val="0"/>
          <w:numId w:val="25"/>
        </w:numPr>
      </w:pPr>
      <w:r>
        <w:t>Attachment 5 – Regulatory depreciation</w:t>
      </w:r>
    </w:p>
    <w:p w:rsidR="008F07A3" w:rsidRDefault="008F07A3" w:rsidP="008F07A3">
      <w:pPr>
        <w:numPr>
          <w:ilvl w:val="0"/>
          <w:numId w:val="25"/>
        </w:numPr>
      </w:pPr>
      <w:r>
        <w:t xml:space="preserve">Attachment 6 – Capital expenditure </w:t>
      </w:r>
    </w:p>
    <w:p w:rsidR="008F07A3" w:rsidRDefault="008F07A3" w:rsidP="008F07A3">
      <w:pPr>
        <w:numPr>
          <w:ilvl w:val="0"/>
          <w:numId w:val="25"/>
        </w:numPr>
      </w:pPr>
      <w:r>
        <w:t>Attachment 7 – Operating expenditure</w:t>
      </w:r>
    </w:p>
    <w:p w:rsidR="008F07A3" w:rsidRDefault="008F07A3" w:rsidP="008F07A3">
      <w:pPr>
        <w:numPr>
          <w:ilvl w:val="0"/>
          <w:numId w:val="25"/>
        </w:numPr>
      </w:pPr>
      <w:r>
        <w:t>Attachment 8 – Corporate income tax</w:t>
      </w:r>
    </w:p>
    <w:p w:rsidR="008F07A3" w:rsidRDefault="008F07A3" w:rsidP="008F07A3">
      <w:pPr>
        <w:numPr>
          <w:ilvl w:val="0"/>
          <w:numId w:val="25"/>
        </w:numPr>
      </w:pPr>
      <w:r>
        <w:t>Attachment 9 – Efficiency benefit sharing scheme</w:t>
      </w:r>
    </w:p>
    <w:p w:rsidR="008F07A3" w:rsidRDefault="008F07A3" w:rsidP="008F07A3">
      <w:pPr>
        <w:numPr>
          <w:ilvl w:val="0"/>
          <w:numId w:val="25"/>
        </w:numPr>
      </w:pPr>
      <w:r>
        <w:t>Attachment 10 – Capital expenditure sharing scheme</w:t>
      </w:r>
    </w:p>
    <w:p w:rsidR="008F07A3" w:rsidRDefault="008F07A3" w:rsidP="008F07A3">
      <w:pPr>
        <w:numPr>
          <w:ilvl w:val="0"/>
          <w:numId w:val="25"/>
        </w:numPr>
      </w:pPr>
      <w:r>
        <w:t>Attachment 11 – Service target performance incentive scheme</w:t>
      </w:r>
    </w:p>
    <w:p w:rsidR="008F07A3" w:rsidRDefault="008F07A3" w:rsidP="008F07A3">
      <w:pPr>
        <w:numPr>
          <w:ilvl w:val="0"/>
          <w:numId w:val="25"/>
        </w:numPr>
      </w:pPr>
      <w:r>
        <w:t>Attachment 12 – Demand management incentive scheme</w:t>
      </w:r>
    </w:p>
    <w:p w:rsidR="008F07A3" w:rsidRDefault="008F07A3" w:rsidP="008F07A3">
      <w:pPr>
        <w:numPr>
          <w:ilvl w:val="0"/>
          <w:numId w:val="25"/>
        </w:numPr>
      </w:pPr>
      <w:r>
        <w:t>Attachment 13 – Classification of services</w:t>
      </w:r>
    </w:p>
    <w:p w:rsidR="008F07A3" w:rsidRDefault="008F07A3" w:rsidP="008F07A3">
      <w:pPr>
        <w:numPr>
          <w:ilvl w:val="0"/>
          <w:numId w:val="25"/>
        </w:numPr>
      </w:pPr>
      <w:r>
        <w:t>Attachment 14 – Control mechanism</w:t>
      </w:r>
    </w:p>
    <w:p w:rsidR="008F07A3" w:rsidRDefault="008F07A3" w:rsidP="008F07A3">
      <w:pPr>
        <w:numPr>
          <w:ilvl w:val="0"/>
          <w:numId w:val="25"/>
        </w:numPr>
      </w:pPr>
      <w:r>
        <w:t>Attachment 15 – Pass through events</w:t>
      </w:r>
    </w:p>
    <w:p w:rsidR="008F07A3" w:rsidRDefault="008F07A3" w:rsidP="008F07A3">
      <w:pPr>
        <w:numPr>
          <w:ilvl w:val="0"/>
          <w:numId w:val="25"/>
        </w:numPr>
      </w:pPr>
      <w:r>
        <w:t>Attachment 16 – Alternative control services</w:t>
      </w:r>
    </w:p>
    <w:p w:rsidR="008F07A3" w:rsidRDefault="008F07A3" w:rsidP="008F07A3">
      <w:pPr>
        <w:numPr>
          <w:ilvl w:val="0"/>
          <w:numId w:val="25"/>
        </w:numPr>
      </w:pPr>
      <w:r>
        <w:t>Attachment 17 – Negotiated services framework and criteria</w:t>
      </w:r>
    </w:p>
    <w:p w:rsidR="008F07A3" w:rsidRPr="008B6C33" w:rsidRDefault="008F07A3" w:rsidP="008F07A3">
      <w:pPr>
        <w:numPr>
          <w:ilvl w:val="0"/>
          <w:numId w:val="25"/>
        </w:numPr>
      </w:pPr>
      <w:r>
        <w:t xml:space="preserve">Attachment 18 – Connection </w:t>
      </w:r>
      <w:r w:rsidR="00CC4C3D">
        <w:t>policy</w:t>
      </w:r>
    </w:p>
    <w:p w:rsidR="008F07A3" w:rsidRPr="008F07A3" w:rsidRDefault="008F07A3" w:rsidP="008F07A3">
      <w:pPr>
        <w:sectPr w:rsidR="008F07A3" w:rsidRPr="008F07A3" w:rsidSect="00DE563D">
          <w:footerReference w:type="even" r:id="rId12"/>
          <w:footerReference w:type="default" r:id="rId13"/>
          <w:footerReference w:type="first" r:id="rId14"/>
          <w:pgSz w:w="11906" w:h="16838" w:code="9"/>
          <w:pgMar w:top="1440" w:right="1700" w:bottom="1582" w:left="1729" w:header="720" w:footer="0" w:gutter="0"/>
          <w:pgNumType w:start="0"/>
          <w:cols w:space="720"/>
          <w:docGrid w:linePitch="326"/>
        </w:sectPr>
      </w:pPr>
    </w:p>
    <w:p w:rsidR="005D7BA2" w:rsidRDefault="00DE563D" w:rsidP="00D72AA2">
      <w:pPr>
        <w:pStyle w:val="UnnumberedHeading"/>
        <w:numPr>
          <w:ilvl w:val="0"/>
          <w:numId w:val="24"/>
        </w:numPr>
        <w:spacing w:line="240" w:lineRule="auto"/>
      </w:pPr>
      <w:bookmarkStart w:id="5" w:name="_Toc403144133"/>
      <w:bookmarkStart w:id="6" w:name="_Toc433026837"/>
      <w:r>
        <w:lastRenderedPageBreak/>
        <w:t>Contents</w:t>
      </w:r>
      <w:bookmarkEnd w:id="5"/>
      <w:bookmarkEnd w:id="6"/>
    </w:p>
    <w:sdt>
      <w:sdtPr>
        <w:rPr>
          <w:rFonts w:eastAsiaTheme="majorEastAsia" w:cstheme="majorBidi"/>
          <w:b w:val="0"/>
          <w:bCs/>
          <w:noProof w:val="0"/>
          <w:color w:val="auto"/>
          <w:sz w:val="22"/>
          <w:szCs w:val="28"/>
          <w:lang w:val="en-AU" w:eastAsia="en-US"/>
        </w:rPr>
        <w:id w:val="1269200322"/>
        <w:docPartObj>
          <w:docPartGallery w:val="Table of Contents"/>
          <w:docPartUnique/>
        </w:docPartObj>
      </w:sdtPr>
      <w:sdtEndPr>
        <w:rPr>
          <w:rFonts w:eastAsiaTheme="minorHAnsi" w:cstheme="minorBidi"/>
          <w:b/>
          <w:bCs w:val="0"/>
          <w:noProof/>
          <w:color w:val="70635A" w:themeColor="text2"/>
          <w:sz w:val="24"/>
          <w:szCs w:val="22"/>
        </w:rPr>
      </w:sdtEndPr>
      <w:sdtContent>
        <w:p w:rsidR="002C3AB0" w:rsidRDefault="00DE563D">
          <w:pPr>
            <w:pStyle w:val="TOC1"/>
            <w:rPr>
              <w:rFonts w:asciiTheme="minorHAnsi" w:eastAsiaTheme="minorEastAsia" w:hAnsiTheme="minorHAnsi"/>
              <w:b w:val="0"/>
              <w:color w:val="auto"/>
              <w:sz w:val="22"/>
              <w:lang w:val="en-AU" w:eastAsia="en-AU"/>
            </w:rPr>
          </w:pPr>
          <w:r>
            <w:rPr>
              <w:color w:val="auto"/>
              <w:sz w:val="22"/>
            </w:rPr>
            <w:fldChar w:fldCharType="begin"/>
          </w:r>
          <w:r>
            <w:instrText xml:space="preserve"> TOC \o \h \z \u </w:instrText>
          </w:r>
          <w:r>
            <w:rPr>
              <w:color w:val="auto"/>
              <w:sz w:val="22"/>
            </w:rPr>
            <w:fldChar w:fldCharType="separate"/>
          </w:r>
          <w:hyperlink w:anchor="_Toc433026836" w:history="1">
            <w:r w:rsidR="002C3AB0" w:rsidRPr="009C1C2A">
              <w:rPr>
                <w:rStyle w:val="Hyperlink"/>
              </w:rPr>
              <w:t>Note</w:t>
            </w:r>
            <w:r w:rsidR="002C3AB0">
              <w:rPr>
                <w:webHidden/>
              </w:rPr>
              <w:tab/>
              <w:t>11-</w:t>
            </w:r>
            <w:r w:rsidR="002C3AB0">
              <w:rPr>
                <w:webHidden/>
              </w:rPr>
              <w:fldChar w:fldCharType="begin"/>
            </w:r>
            <w:r w:rsidR="002C3AB0">
              <w:rPr>
                <w:webHidden/>
              </w:rPr>
              <w:instrText xml:space="preserve"> PAGEREF _Toc433026836 \h </w:instrText>
            </w:r>
            <w:r w:rsidR="002C3AB0">
              <w:rPr>
                <w:webHidden/>
              </w:rPr>
            </w:r>
            <w:r w:rsidR="002C3AB0">
              <w:rPr>
                <w:webHidden/>
              </w:rPr>
              <w:fldChar w:fldCharType="separate"/>
            </w:r>
            <w:r w:rsidR="002C3AB0">
              <w:rPr>
                <w:webHidden/>
              </w:rPr>
              <w:t>2</w:t>
            </w:r>
            <w:r w:rsidR="002C3AB0">
              <w:rPr>
                <w:webHidden/>
              </w:rPr>
              <w:fldChar w:fldCharType="end"/>
            </w:r>
          </w:hyperlink>
        </w:p>
        <w:p w:rsidR="002C3AB0" w:rsidRDefault="007E1B6C">
          <w:pPr>
            <w:pStyle w:val="TOC1"/>
            <w:rPr>
              <w:rFonts w:asciiTheme="minorHAnsi" w:eastAsiaTheme="minorEastAsia" w:hAnsiTheme="minorHAnsi"/>
              <w:b w:val="0"/>
              <w:color w:val="auto"/>
              <w:sz w:val="22"/>
              <w:lang w:val="en-AU" w:eastAsia="en-AU"/>
            </w:rPr>
          </w:pPr>
          <w:hyperlink w:anchor="_Toc433026837" w:history="1">
            <w:r w:rsidR="002C3AB0" w:rsidRPr="009C1C2A">
              <w:rPr>
                <w:rStyle w:val="Hyperlink"/>
              </w:rPr>
              <w:t>Contents</w:t>
            </w:r>
            <w:r w:rsidR="002C3AB0">
              <w:rPr>
                <w:webHidden/>
              </w:rPr>
              <w:tab/>
              <w:t>11-</w:t>
            </w:r>
            <w:r w:rsidR="002C3AB0">
              <w:rPr>
                <w:webHidden/>
              </w:rPr>
              <w:fldChar w:fldCharType="begin"/>
            </w:r>
            <w:r w:rsidR="002C3AB0">
              <w:rPr>
                <w:webHidden/>
              </w:rPr>
              <w:instrText xml:space="preserve"> PAGEREF _Toc433026837 \h </w:instrText>
            </w:r>
            <w:r w:rsidR="002C3AB0">
              <w:rPr>
                <w:webHidden/>
              </w:rPr>
            </w:r>
            <w:r w:rsidR="002C3AB0">
              <w:rPr>
                <w:webHidden/>
              </w:rPr>
              <w:fldChar w:fldCharType="separate"/>
            </w:r>
            <w:r w:rsidR="002C3AB0">
              <w:rPr>
                <w:webHidden/>
              </w:rPr>
              <w:t>3</w:t>
            </w:r>
            <w:r w:rsidR="002C3AB0">
              <w:rPr>
                <w:webHidden/>
              </w:rPr>
              <w:fldChar w:fldCharType="end"/>
            </w:r>
          </w:hyperlink>
        </w:p>
        <w:p w:rsidR="002C3AB0" w:rsidRDefault="007E1B6C">
          <w:pPr>
            <w:pStyle w:val="TOC1"/>
            <w:rPr>
              <w:rFonts w:asciiTheme="minorHAnsi" w:eastAsiaTheme="minorEastAsia" w:hAnsiTheme="minorHAnsi"/>
              <w:b w:val="0"/>
              <w:color w:val="auto"/>
              <w:sz w:val="22"/>
              <w:lang w:val="en-AU" w:eastAsia="en-AU"/>
            </w:rPr>
          </w:pPr>
          <w:hyperlink w:anchor="_Toc433026838" w:history="1">
            <w:r w:rsidR="002C3AB0" w:rsidRPr="009C1C2A">
              <w:rPr>
                <w:rStyle w:val="Hyperlink"/>
              </w:rPr>
              <w:t>Shortened forms</w:t>
            </w:r>
            <w:r w:rsidR="002C3AB0">
              <w:rPr>
                <w:webHidden/>
              </w:rPr>
              <w:tab/>
              <w:t>11-</w:t>
            </w:r>
            <w:r w:rsidR="002C3AB0">
              <w:rPr>
                <w:webHidden/>
              </w:rPr>
              <w:fldChar w:fldCharType="begin"/>
            </w:r>
            <w:r w:rsidR="002C3AB0">
              <w:rPr>
                <w:webHidden/>
              </w:rPr>
              <w:instrText xml:space="preserve"> PAGEREF _Toc433026838 \h </w:instrText>
            </w:r>
            <w:r w:rsidR="002C3AB0">
              <w:rPr>
                <w:webHidden/>
              </w:rPr>
            </w:r>
            <w:r w:rsidR="002C3AB0">
              <w:rPr>
                <w:webHidden/>
              </w:rPr>
              <w:fldChar w:fldCharType="separate"/>
            </w:r>
            <w:r w:rsidR="002C3AB0">
              <w:rPr>
                <w:webHidden/>
              </w:rPr>
              <w:t>4</w:t>
            </w:r>
            <w:r w:rsidR="002C3AB0">
              <w:rPr>
                <w:webHidden/>
              </w:rPr>
              <w:fldChar w:fldCharType="end"/>
            </w:r>
          </w:hyperlink>
        </w:p>
        <w:p w:rsidR="002C3AB0" w:rsidRDefault="007E1B6C">
          <w:pPr>
            <w:pStyle w:val="TOC1"/>
            <w:rPr>
              <w:rFonts w:asciiTheme="minorHAnsi" w:eastAsiaTheme="minorEastAsia" w:hAnsiTheme="minorHAnsi"/>
              <w:b w:val="0"/>
              <w:color w:val="auto"/>
              <w:sz w:val="22"/>
              <w:lang w:val="en-AU" w:eastAsia="en-AU"/>
            </w:rPr>
          </w:pPr>
          <w:hyperlink w:anchor="_Toc433026839" w:history="1">
            <w:r w:rsidR="002C3AB0" w:rsidRPr="009C1C2A">
              <w:rPr>
                <w:rStyle w:val="Hyperlink"/>
              </w:rPr>
              <w:t>11</w:t>
            </w:r>
            <w:r w:rsidR="002C3AB0">
              <w:rPr>
                <w:rFonts w:asciiTheme="minorHAnsi" w:eastAsiaTheme="minorEastAsia" w:hAnsiTheme="minorHAnsi"/>
                <w:b w:val="0"/>
                <w:color w:val="auto"/>
                <w:sz w:val="22"/>
                <w:lang w:val="en-AU" w:eastAsia="en-AU"/>
              </w:rPr>
              <w:tab/>
            </w:r>
            <w:r w:rsidR="002C3AB0" w:rsidRPr="009C1C2A">
              <w:rPr>
                <w:rStyle w:val="Hyperlink"/>
              </w:rPr>
              <w:t>Service target performance incentive scheme</w:t>
            </w:r>
            <w:r w:rsidR="002C3AB0">
              <w:rPr>
                <w:webHidden/>
              </w:rPr>
              <w:tab/>
              <w:t>11-</w:t>
            </w:r>
            <w:r w:rsidR="002C3AB0">
              <w:rPr>
                <w:webHidden/>
              </w:rPr>
              <w:fldChar w:fldCharType="begin"/>
            </w:r>
            <w:r w:rsidR="002C3AB0">
              <w:rPr>
                <w:webHidden/>
              </w:rPr>
              <w:instrText xml:space="preserve"> PAGEREF _Toc433026839 \h </w:instrText>
            </w:r>
            <w:r w:rsidR="002C3AB0">
              <w:rPr>
                <w:webHidden/>
              </w:rPr>
            </w:r>
            <w:r w:rsidR="002C3AB0">
              <w:rPr>
                <w:webHidden/>
              </w:rPr>
              <w:fldChar w:fldCharType="separate"/>
            </w:r>
            <w:r w:rsidR="002C3AB0">
              <w:rPr>
                <w:webHidden/>
              </w:rPr>
              <w:t>6</w:t>
            </w:r>
            <w:r w:rsidR="002C3AB0">
              <w:rPr>
                <w:webHidden/>
              </w:rPr>
              <w:fldChar w:fldCharType="end"/>
            </w:r>
          </w:hyperlink>
        </w:p>
        <w:p w:rsidR="002C3AB0" w:rsidRDefault="007E1B6C">
          <w:pPr>
            <w:pStyle w:val="TOC2"/>
            <w:tabs>
              <w:tab w:val="left" w:pos="1276"/>
            </w:tabs>
            <w:rPr>
              <w:rFonts w:asciiTheme="minorHAnsi" w:eastAsiaTheme="minorEastAsia" w:hAnsiTheme="minorHAnsi"/>
              <w:b w:val="0"/>
              <w:color w:val="auto"/>
              <w:sz w:val="22"/>
              <w:lang w:eastAsia="en-AU"/>
            </w:rPr>
          </w:pPr>
          <w:hyperlink w:anchor="_Toc433026841" w:history="1">
            <w:r w:rsidR="002C3AB0" w:rsidRPr="009C1C2A">
              <w:rPr>
                <w:rStyle w:val="Hyperlink"/>
              </w:rPr>
              <w:t>11.1</w:t>
            </w:r>
            <w:r w:rsidR="002C3AB0">
              <w:rPr>
                <w:rFonts w:asciiTheme="minorHAnsi" w:eastAsiaTheme="minorEastAsia" w:hAnsiTheme="minorHAnsi"/>
                <w:b w:val="0"/>
                <w:color w:val="auto"/>
                <w:sz w:val="22"/>
                <w:lang w:eastAsia="en-AU"/>
              </w:rPr>
              <w:tab/>
            </w:r>
            <w:r w:rsidR="002C3AB0" w:rsidRPr="009C1C2A">
              <w:rPr>
                <w:rStyle w:val="Hyperlink"/>
              </w:rPr>
              <w:t>Final decision</w:t>
            </w:r>
            <w:r w:rsidR="002C3AB0">
              <w:rPr>
                <w:webHidden/>
              </w:rPr>
              <w:tab/>
              <w:t>11-</w:t>
            </w:r>
            <w:r w:rsidR="002C3AB0">
              <w:rPr>
                <w:webHidden/>
              </w:rPr>
              <w:fldChar w:fldCharType="begin"/>
            </w:r>
            <w:r w:rsidR="002C3AB0">
              <w:rPr>
                <w:webHidden/>
              </w:rPr>
              <w:instrText xml:space="preserve"> PAGEREF _Toc433026841 \h </w:instrText>
            </w:r>
            <w:r w:rsidR="002C3AB0">
              <w:rPr>
                <w:webHidden/>
              </w:rPr>
            </w:r>
            <w:r w:rsidR="002C3AB0">
              <w:rPr>
                <w:webHidden/>
              </w:rPr>
              <w:fldChar w:fldCharType="separate"/>
            </w:r>
            <w:r w:rsidR="002C3AB0">
              <w:rPr>
                <w:webHidden/>
              </w:rPr>
              <w:t>6</w:t>
            </w:r>
            <w:r w:rsidR="002C3AB0">
              <w:rPr>
                <w:webHidden/>
              </w:rPr>
              <w:fldChar w:fldCharType="end"/>
            </w:r>
          </w:hyperlink>
        </w:p>
        <w:p w:rsidR="002C3AB0" w:rsidRDefault="007E1B6C">
          <w:pPr>
            <w:pStyle w:val="TOC2"/>
            <w:tabs>
              <w:tab w:val="left" w:pos="1276"/>
            </w:tabs>
            <w:rPr>
              <w:rFonts w:asciiTheme="minorHAnsi" w:eastAsiaTheme="minorEastAsia" w:hAnsiTheme="minorHAnsi"/>
              <w:b w:val="0"/>
              <w:color w:val="auto"/>
              <w:sz w:val="22"/>
              <w:lang w:eastAsia="en-AU"/>
            </w:rPr>
          </w:pPr>
          <w:hyperlink w:anchor="_Toc433026842" w:history="1">
            <w:r w:rsidR="002C3AB0" w:rsidRPr="009C1C2A">
              <w:rPr>
                <w:rStyle w:val="Hyperlink"/>
              </w:rPr>
              <w:t>11.2</w:t>
            </w:r>
            <w:r w:rsidR="002C3AB0">
              <w:rPr>
                <w:rFonts w:asciiTheme="minorHAnsi" w:eastAsiaTheme="minorEastAsia" w:hAnsiTheme="minorHAnsi"/>
                <w:b w:val="0"/>
                <w:color w:val="auto"/>
                <w:sz w:val="22"/>
                <w:lang w:eastAsia="en-AU"/>
              </w:rPr>
              <w:tab/>
            </w:r>
            <w:r w:rsidR="002C3AB0" w:rsidRPr="009C1C2A">
              <w:rPr>
                <w:rStyle w:val="Hyperlink"/>
              </w:rPr>
              <w:t>Energex's revised proposal</w:t>
            </w:r>
            <w:r w:rsidR="002C3AB0">
              <w:rPr>
                <w:webHidden/>
              </w:rPr>
              <w:tab/>
              <w:t>11-</w:t>
            </w:r>
            <w:r w:rsidR="002C3AB0">
              <w:rPr>
                <w:webHidden/>
              </w:rPr>
              <w:fldChar w:fldCharType="begin"/>
            </w:r>
            <w:r w:rsidR="002C3AB0">
              <w:rPr>
                <w:webHidden/>
              </w:rPr>
              <w:instrText xml:space="preserve"> PAGEREF _Toc433026842 \h </w:instrText>
            </w:r>
            <w:r w:rsidR="002C3AB0">
              <w:rPr>
                <w:webHidden/>
              </w:rPr>
            </w:r>
            <w:r w:rsidR="002C3AB0">
              <w:rPr>
                <w:webHidden/>
              </w:rPr>
              <w:fldChar w:fldCharType="separate"/>
            </w:r>
            <w:r w:rsidR="002C3AB0">
              <w:rPr>
                <w:webHidden/>
              </w:rPr>
              <w:t>8</w:t>
            </w:r>
            <w:r w:rsidR="002C3AB0">
              <w:rPr>
                <w:webHidden/>
              </w:rPr>
              <w:fldChar w:fldCharType="end"/>
            </w:r>
          </w:hyperlink>
        </w:p>
        <w:p w:rsidR="002C3AB0" w:rsidRDefault="007E1B6C">
          <w:pPr>
            <w:pStyle w:val="TOC2"/>
            <w:tabs>
              <w:tab w:val="left" w:pos="1276"/>
            </w:tabs>
            <w:rPr>
              <w:rFonts w:asciiTheme="minorHAnsi" w:eastAsiaTheme="minorEastAsia" w:hAnsiTheme="minorHAnsi"/>
              <w:b w:val="0"/>
              <w:color w:val="auto"/>
              <w:sz w:val="22"/>
              <w:lang w:eastAsia="en-AU"/>
            </w:rPr>
          </w:pPr>
          <w:hyperlink w:anchor="_Toc433026843" w:history="1">
            <w:r w:rsidR="002C3AB0" w:rsidRPr="009C1C2A">
              <w:rPr>
                <w:rStyle w:val="Hyperlink"/>
              </w:rPr>
              <w:t>11.3</w:t>
            </w:r>
            <w:r w:rsidR="002C3AB0">
              <w:rPr>
                <w:rFonts w:asciiTheme="minorHAnsi" w:eastAsiaTheme="minorEastAsia" w:hAnsiTheme="minorHAnsi"/>
                <w:b w:val="0"/>
                <w:color w:val="auto"/>
                <w:sz w:val="22"/>
                <w:lang w:eastAsia="en-AU"/>
              </w:rPr>
              <w:tab/>
            </w:r>
            <w:r w:rsidR="002C3AB0" w:rsidRPr="009C1C2A">
              <w:rPr>
                <w:rStyle w:val="Hyperlink"/>
              </w:rPr>
              <w:t>AER’s assessment approach</w:t>
            </w:r>
            <w:r w:rsidR="002C3AB0">
              <w:rPr>
                <w:webHidden/>
              </w:rPr>
              <w:tab/>
              <w:t>11-</w:t>
            </w:r>
            <w:r w:rsidR="002C3AB0">
              <w:rPr>
                <w:webHidden/>
              </w:rPr>
              <w:fldChar w:fldCharType="begin"/>
            </w:r>
            <w:r w:rsidR="002C3AB0">
              <w:rPr>
                <w:webHidden/>
              </w:rPr>
              <w:instrText xml:space="preserve"> PAGEREF _Toc433026843 \h </w:instrText>
            </w:r>
            <w:r w:rsidR="002C3AB0">
              <w:rPr>
                <w:webHidden/>
              </w:rPr>
            </w:r>
            <w:r w:rsidR="002C3AB0">
              <w:rPr>
                <w:webHidden/>
              </w:rPr>
              <w:fldChar w:fldCharType="separate"/>
            </w:r>
            <w:r w:rsidR="002C3AB0">
              <w:rPr>
                <w:webHidden/>
              </w:rPr>
              <w:t>8</w:t>
            </w:r>
            <w:r w:rsidR="002C3AB0">
              <w:rPr>
                <w:webHidden/>
              </w:rPr>
              <w:fldChar w:fldCharType="end"/>
            </w:r>
          </w:hyperlink>
        </w:p>
        <w:p w:rsidR="002C3AB0" w:rsidRDefault="007E1B6C">
          <w:pPr>
            <w:pStyle w:val="TOC3"/>
            <w:rPr>
              <w:rFonts w:asciiTheme="minorHAnsi" w:eastAsiaTheme="minorEastAsia" w:hAnsiTheme="minorHAnsi"/>
              <w:lang w:eastAsia="en-AU"/>
            </w:rPr>
          </w:pPr>
          <w:hyperlink w:anchor="_Toc433026844" w:history="1">
            <w:r w:rsidR="002C3AB0" w:rsidRPr="009C1C2A">
              <w:rPr>
                <w:rStyle w:val="Hyperlink"/>
              </w:rPr>
              <w:t>11.3.1</w:t>
            </w:r>
            <w:r w:rsidR="002C3AB0">
              <w:rPr>
                <w:rFonts w:asciiTheme="minorHAnsi" w:eastAsiaTheme="minorEastAsia" w:hAnsiTheme="minorHAnsi"/>
                <w:lang w:eastAsia="en-AU"/>
              </w:rPr>
              <w:tab/>
            </w:r>
            <w:r w:rsidR="002C3AB0" w:rsidRPr="009C1C2A">
              <w:rPr>
                <w:rStyle w:val="Hyperlink"/>
              </w:rPr>
              <w:t>Interrelationships</w:t>
            </w:r>
            <w:r w:rsidR="002C3AB0">
              <w:rPr>
                <w:webHidden/>
              </w:rPr>
              <w:tab/>
              <w:t>11-</w:t>
            </w:r>
            <w:r w:rsidR="002C3AB0">
              <w:rPr>
                <w:webHidden/>
              </w:rPr>
              <w:fldChar w:fldCharType="begin"/>
            </w:r>
            <w:r w:rsidR="002C3AB0">
              <w:rPr>
                <w:webHidden/>
              </w:rPr>
              <w:instrText xml:space="preserve"> PAGEREF _Toc433026844 \h </w:instrText>
            </w:r>
            <w:r w:rsidR="002C3AB0">
              <w:rPr>
                <w:webHidden/>
              </w:rPr>
            </w:r>
            <w:r w:rsidR="002C3AB0">
              <w:rPr>
                <w:webHidden/>
              </w:rPr>
              <w:fldChar w:fldCharType="separate"/>
            </w:r>
            <w:r w:rsidR="002C3AB0">
              <w:rPr>
                <w:webHidden/>
              </w:rPr>
              <w:t>8</w:t>
            </w:r>
            <w:r w:rsidR="002C3AB0">
              <w:rPr>
                <w:webHidden/>
              </w:rPr>
              <w:fldChar w:fldCharType="end"/>
            </w:r>
          </w:hyperlink>
        </w:p>
        <w:p w:rsidR="002C3AB0" w:rsidRDefault="007E1B6C">
          <w:pPr>
            <w:pStyle w:val="TOC2"/>
            <w:tabs>
              <w:tab w:val="left" w:pos="1276"/>
            </w:tabs>
            <w:rPr>
              <w:rFonts w:asciiTheme="minorHAnsi" w:eastAsiaTheme="minorEastAsia" w:hAnsiTheme="minorHAnsi"/>
              <w:b w:val="0"/>
              <w:color w:val="auto"/>
              <w:sz w:val="22"/>
              <w:lang w:eastAsia="en-AU"/>
            </w:rPr>
          </w:pPr>
          <w:hyperlink w:anchor="_Toc433026845" w:history="1">
            <w:r w:rsidR="002C3AB0" w:rsidRPr="009C1C2A">
              <w:rPr>
                <w:rStyle w:val="Hyperlink"/>
              </w:rPr>
              <w:t>11.4</w:t>
            </w:r>
            <w:r w:rsidR="002C3AB0">
              <w:rPr>
                <w:rFonts w:asciiTheme="minorHAnsi" w:eastAsiaTheme="minorEastAsia" w:hAnsiTheme="minorHAnsi"/>
                <w:b w:val="0"/>
                <w:color w:val="auto"/>
                <w:sz w:val="22"/>
                <w:lang w:eastAsia="en-AU"/>
              </w:rPr>
              <w:tab/>
            </w:r>
            <w:r w:rsidR="002C3AB0" w:rsidRPr="009C1C2A">
              <w:rPr>
                <w:rStyle w:val="Hyperlink"/>
              </w:rPr>
              <w:t>Reasons for final decision</w:t>
            </w:r>
            <w:r w:rsidR="002C3AB0">
              <w:rPr>
                <w:webHidden/>
              </w:rPr>
              <w:tab/>
              <w:t>11-</w:t>
            </w:r>
            <w:r w:rsidR="002C3AB0">
              <w:rPr>
                <w:webHidden/>
              </w:rPr>
              <w:fldChar w:fldCharType="begin"/>
            </w:r>
            <w:r w:rsidR="002C3AB0">
              <w:rPr>
                <w:webHidden/>
              </w:rPr>
              <w:instrText xml:space="preserve"> PAGEREF _Toc433026845 \h </w:instrText>
            </w:r>
            <w:r w:rsidR="002C3AB0">
              <w:rPr>
                <w:webHidden/>
              </w:rPr>
            </w:r>
            <w:r w:rsidR="002C3AB0">
              <w:rPr>
                <w:webHidden/>
              </w:rPr>
              <w:fldChar w:fldCharType="separate"/>
            </w:r>
            <w:r w:rsidR="002C3AB0">
              <w:rPr>
                <w:webHidden/>
              </w:rPr>
              <w:t>9</w:t>
            </w:r>
            <w:r w:rsidR="002C3AB0">
              <w:rPr>
                <w:webHidden/>
              </w:rPr>
              <w:fldChar w:fldCharType="end"/>
            </w:r>
          </w:hyperlink>
        </w:p>
        <w:p w:rsidR="002C3AB0" w:rsidRDefault="007E1B6C">
          <w:pPr>
            <w:pStyle w:val="TOC2"/>
            <w:tabs>
              <w:tab w:val="left" w:pos="1276"/>
            </w:tabs>
            <w:rPr>
              <w:rFonts w:asciiTheme="minorHAnsi" w:eastAsiaTheme="minorEastAsia" w:hAnsiTheme="minorHAnsi"/>
              <w:b w:val="0"/>
              <w:color w:val="auto"/>
              <w:sz w:val="22"/>
              <w:lang w:eastAsia="en-AU"/>
            </w:rPr>
          </w:pPr>
          <w:hyperlink w:anchor="_Toc433026846" w:history="1">
            <w:r w:rsidR="002C3AB0" w:rsidRPr="009C1C2A">
              <w:rPr>
                <w:rStyle w:val="Hyperlink"/>
              </w:rPr>
              <w:t>11.5</w:t>
            </w:r>
            <w:r w:rsidR="002C3AB0">
              <w:rPr>
                <w:rFonts w:asciiTheme="minorHAnsi" w:eastAsiaTheme="minorEastAsia" w:hAnsiTheme="minorHAnsi"/>
                <w:b w:val="0"/>
                <w:color w:val="auto"/>
                <w:sz w:val="22"/>
                <w:lang w:eastAsia="en-AU"/>
              </w:rPr>
              <w:tab/>
            </w:r>
            <w:r w:rsidR="002C3AB0" w:rsidRPr="009C1C2A">
              <w:rPr>
                <w:rStyle w:val="Hyperlink"/>
              </w:rPr>
              <w:t>Applying the STPIS</w:t>
            </w:r>
            <w:r w:rsidR="002C3AB0">
              <w:rPr>
                <w:webHidden/>
              </w:rPr>
              <w:tab/>
              <w:t>11-</w:t>
            </w:r>
            <w:r w:rsidR="002C3AB0">
              <w:rPr>
                <w:webHidden/>
              </w:rPr>
              <w:fldChar w:fldCharType="begin"/>
            </w:r>
            <w:r w:rsidR="002C3AB0">
              <w:rPr>
                <w:webHidden/>
              </w:rPr>
              <w:instrText xml:space="preserve"> PAGEREF _Toc433026846 \h </w:instrText>
            </w:r>
            <w:r w:rsidR="002C3AB0">
              <w:rPr>
                <w:webHidden/>
              </w:rPr>
            </w:r>
            <w:r w:rsidR="002C3AB0">
              <w:rPr>
                <w:webHidden/>
              </w:rPr>
              <w:fldChar w:fldCharType="separate"/>
            </w:r>
            <w:r w:rsidR="002C3AB0">
              <w:rPr>
                <w:webHidden/>
              </w:rPr>
              <w:t>9</w:t>
            </w:r>
            <w:r w:rsidR="002C3AB0">
              <w:rPr>
                <w:webHidden/>
              </w:rPr>
              <w:fldChar w:fldCharType="end"/>
            </w:r>
          </w:hyperlink>
        </w:p>
        <w:p w:rsidR="002C3AB0" w:rsidRDefault="007E1B6C">
          <w:pPr>
            <w:pStyle w:val="TOC3"/>
            <w:rPr>
              <w:rFonts w:asciiTheme="minorHAnsi" w:eastAsiaTheme="minorEastAsia" w:hAnsiTheme="minorHAnsi"/>
              <w:lang w:eastAsia="en-AU"/>
            </w:rPr>
          </w:pPr>
          <w:hyperlink w:anchor="_Toc433026847" w:history="1">
            <w:r w:rsidR="002C3AB0" w:rsidRPr="009C1C2A">
              <w:rPr>
                <w:rStyle w:val="Hyperlink"/>
              </w:rPr>
              <w:t>11.5.1</w:t>
            </w:r>
            <w:r w:rsidR="002C3AB0">
              <w:rPr>
                <w:rFonts w:asciiTheme="minorHAnsi" w:eastAsiaTheme="minorEastAsia" w:hAnsiTheme="minorHAnsi"/>
                <w:lang w:eastAsia="en-AU"/>
              </w:rPr>
              <w:tab/>
            </w:r>
            <w:r w:rsidR="002C3AB0" w:rsidRPr="009C1C2A">
              <w:rPr>
                <w:rStyle w:val="Hyperlink"/>
              </w:rPr>
              <w:t>Revenue at risk</w:t>
            </w:r>
            <w:r w:rsidR="002C3AB0">
              <w:rPr>
                <w:webHidden/>
              </w:rPr>
              <w:tab/>
              <w:t>11-</w:t>
            </w:r>
            <w:r w:rsidR="002C3AB0">
              <w:rPr>
                <w:webHidden/>
              </w:rPr>
              <w:fldChar w:fldCharType="begin"/>
            </w:r>
            <w:r w:rsidR="002C3AB0">
              <w:rPr>
                <w:webHidden/>
              </w:rPr>
              <w:instrText xml:space="preserve"> PAGEREF _Toc433026847 \h </w:instrText>
            </w:r>
            <w:r w:rsidR="002C3AB0">
              <w:rPr>
                <w:webHidden/>
              </w:rPr>
            </w:r>
            <w:r w:rsidR="002C3AB0">
              <w:rPr>
                <w:webHidden/>
              </w:rPr>
              <w:fldChar w:fldCharType="separate"/>
            </w:r>
            <w:r w:rsidR="002C3AB0">
              <w:rPr>
                <w:webHidden/>
              </w:rPr>
              <w:t>9</w:t>
            </w:r>
            <w:r w:rsidR="002C3AB0">
              <w:rPr>
                <w:webHidden/>
              </w:rPr>
              <w:fldChar w:fldCharType="end"/>
            </w:r>
          </w:hyperlink>
        </w:p>
        <w:p w:rsidR="002C3AB0" w:rsidRDefault="007E1B6C">
          <w:pPr>
            <w:pStyle w:val="TOC3"/>
            <w:rPr>
              <w:rFonts w:asciiTheme="minorHAnsi" w:eastAsiaTheme="minorEastAsia" w:hAnsiTheme="minorHAnsi"/>
              <w:lang w:eastAsia="en-AU"/>
            </w:rPr>
          </w:pPr>
          <w:hyperlink w:anchor="_Toc433026848" w:history="1">
            <w:r w:rsidR="002C3AB0" w:rsidRPr="009C1C2A">
              <w:rPr>
                <w:rStyle w:val="Hyperlink"/>
              </w:rPr>
              <w:t>11.5.2</w:t>
            </w:r>
            <w:r w:rsidR="002C3AB0">
              <w:rPr>
                <w:rFonts w:asciiTheme="minorHAnsi" w:eastAsiaTheme="minorEastAsia" w:hAnsiTheme="minorHAnsi"/>
                <w:lang w:eastAsia="en-AU"/>
              </w:rPr>
              <w:tab/>
            </w:r>
            <w:r w:rsidR="002C3AB0" w:rsidRPr="009C1C2A">
              <w:rPr>
                <w:rStyle w:val="Hyperlink"/>
              </w:rPr>
              <w:t>Reliability of supply component</w:t>
            </w:r>
            <w:r w:rsidR="002C3AB0">
              <w:rPr>
                <w:webHidden/>
              </w:rPr>
              <w:tab/>
              <w:t>11-</w:t>
            </w:r>
            <w:r w:rsidR="002C3AB0">
              <w:rPr>
                <w:webHidden/>
              </w:rPr>
              <w:fldChar w:fldCharType="begin"/>
            </w:r>
            <w:r w:rsidR="002C3AB0">
              <w:rPr>
                <w:webHidden/>
              </w:rPr>
              <w:instrText xml:space="preserve"> PAGEREF _Toc433026848 \h </w:instrText>
            </w:r>
            <w:r w:rsidR="002C3AB0">
              <w:rPr>
                <w:webHidden/>
              </w:rPr>
            </w:r>
            <w:r w:rsidR="002C3AB0">
              <w:rPr>
                <w:webHidden/>
              </w:rPr>
              <w:fldChar w:fldCharType="separate"/>
            </w:r>
            <w:r w:rsidR="002C3AB0">
              <w:rPr>
                <w:webHidden/>
              </w:rPr>
              <w:t>10</w:t>
            </w:r>
            <w:r w:rsidR="002C3AB0">
              <w:rPr>
                <w:webHidden/>
              </w:rPr>
              <w:fldChar w:fldCharType="end"/>
            </w:r>
          </w:hyperlink>
        </w:p>
        <w:p w:rsidR="002C3AB0" w:rsidRDefault="007E1B6C">
          <w:pPr>
            <w:pStyle w:val="TOC3"/>
            <w:rPr>
              <w:rFonts w:asciiTheme="minorHAnsi" w:eastAsiaTheme="minorEastAsia" w:hAnsiTheme="minorHAnsi"/>
              <w:lang w:eastAsia="en-AU"/>
            </w:rPr>
          </w:pPr>
          <w:hyperlink w:anchor="_Toc433026851" w:history="1">
            <w:r w:rsidR="002C3AB0" w:rsidRPr="009C1C2A">
              <w:rPr>
                <w:rStyle w:val="Hyperlink"/>
              </w:rPr>
              <w:t>11.5.3</w:t>
            </w:r>
            <w:r w:rsidR="002C3AB0">
              <w:rPr>
                <w:rFonts w:asciiTheme="minorHAnsi" w:eastAsiaTheme="minorEastAsia" w:hAnsiTheme="minorHAnsi"/>
                <w:lang w:eastAsia="en-AU"/>
              </w:rPr>
              <w:tab/>
            </w:r>
            <w:r w:rsidR="002C3AB0" w:rsidRPr="009C1C2A">
              <w:rPr>
                <w:rStyle w:val="Hyperlink"/>
              </w:rPr>
              <w:t>Customer service component</w:t>
            </w:r>
            <w:r w:rsidR="002C3AB0">
              <w:rPr>
                <w:webHidden/>
              </w:rPr>
              <w:tab/>
              <w:t>11-</w:t>
            </w:r>
            <w:r w:rsidR="002C3AB0">
              <w:rPr>
                <w:webHidden/>
              </w:rPr>
              <w:fldChar w:fldCharType="begin"/>
            </w:r>
            <w:r w:rsidR="002C3AB0">
              <w:rPr>
                <w:webHidden/>
              </w:rPr>
              <w:instrText xml:space="preserve"> PAGEREF _Toc433026851 \h </w:instrText>
            </w:r>
            <w:r w:rsidR="002C3AB0">
              <w:rPr>
                <w:webHidden/>
              </w:rPr>
            </w:r>
            <w:r w:rsidR="002C3AB0">
              <w:rPr>
                <w:webHidden/>
              </w:rPr>
              <w:fldChar w:fldCharType="separate"/>
            </w:r>
            <w:r w:rsidR="002C3AB0">
              <w:rPr>
                <w:webHidden/>
              </w:rPr>
              <w:t>10</w:t>
            </w:r>
            <w:r w:rsidR="002C3AB0">
              <w:rPr>
                <w:webHidden/>
              </w:rPr>
              <w:fldChar w:fldCharType="end"/>
            </w:r>
          </w:hyperlink>
        </w:p>
        <w:p w:rsidR="002C3AB0" w:rsidRDefault="007E1B6C">
          <w:pPr>
            <w:pStyle w:val="TOC3"/>
            <w:rPr>
              <w:rFonts w:asciiTheme="minorHAnsi" w:eastAsiaTheme="minorEastAsia" w:hAnsiTheme="minorHAnsi"/>
              <w:lang w:eastAsia="en-AU"/>
            </w:rPr>
          </w:pPr>
          <w:hyperlink w:anchor="_Toc433026852" w:history="1">
            <w:r w:rsidR="002C3AB0" w:rsidRPr="009C1C2A">
              <w:rPr>
                <w:rStyle w:val="Hyperlink"/>
              </w:rPr>
              <w:t>11.5.4</w:t>
            </w:r>
            <w:r w:rsidR="002C3AB0">
              <w:rPr>
                <w:rFonts w:asciiTheme="minorHAnsi" w:eastAsiaTheme="minorEastAsia" w:hAnsiTheme="minorHAnsi"/>
                <w:lang w:eastAsia="en-AU"/>
              </w:rPr>
              <w:tab/>
            </w:r>
            <w:r w:rsidR="002C3AB0" w:rsidRPr="009C1C2A">
              <w:rPr>
                <w:rStyle w:val="Hyperlink"/>
              </w:rPr>
              <w:t>Performance targets</w:t>
            </w:r>
            <w:r w:rsidR="002C3AB0">
              <w:rPr>
                <w:webHidden/>
              </w:rPr>
              <w:tab/>
              <w:t>11-</w:t>
            </w:r>
            <w:r w:rsidR="002C3AB0">
              <w:rPr>
                <w:webHidden/>
              </w:rPr>
              <w:fldChar w:fldCharType="begin"/>
            </w:r>
            <w:r w:rsidR="002C3AB0">
              <w:rPr>
                <w:webHidden/>
              </w:rPr>
              <w:instrText xml:space="preserve"> PAGEREF _Toc433026852 \h </w:instrText>
            </w:r>
            <w:r w:rsidR="002C3AB0">
              <w:rPr>
                <w:webHidden/>
              </w:rPr>
            </w:r>
            <w:r w:rsidR="002C3AB0">
              <w:rPr>
                <w:webHidden/>
              </w:rPr>
              <w:fldChar w:fldCharType="separate"/>
            </w:r>
            <w:r w:rsidR="002C3AB0">
              <w:rPr>
                <w:webHidden/>
              </w:rPr>
              <w:t>10</w:t>
            </w:r>
            <w:r w:rsidR="002C3AB0">
              <w:rPr>
                <w:webHidden/>
              </w:rPr>
              <w:fldChar w:fldCharType="end"/>
            </w:r>
          </w:hyperlink>
        </w:p>
        <w:p w:rsidR="002C3AB0" w:rsidRDefault="007E1B6C">
          <w:pPr>
            <w:pStyle w:val="TOC3"/>
            <w:rPr>
              <w:rFonts w:asciiTheme="minorHAnsi" w:eastAsiaTheme="minorEastAsia" w:hAnsiTheme="minorHAnsi"/>
              <w:lang w:eastAsia="en-AU"/>
            </w:rPr>
          </w:pPr>
          <w:hyperlink w:anchor="_Toc433026853" w:history="1">
            <w:r w:rsidR="002C3AB0" w:rsidRPr="009C1C2A">
              <w:rPr>
                <w:rStyle w:val="Hyperlink"/>
              </w:rPr>
              <w:t>11.5.5</w:t>
            </w:r>
            <w:r w:rsidR="002C3AB0">
              <w:rPr>
                <w:rFonts w:asciiTheme="minorHAnsi" w:eastAsiaTheme="minorEastAsia" w:hAnsiTheme="minorHAnsi"/>
                <w:lang w:eastAsia="en-AU"/>
              </w:rPr>
              <w:tab/>
            </w:r>
            <w:r w:rsidR="002C3AB0" w:rsidRPr="009C1C2A">
              <w:rPr>
                <w:rStyle w:val="Hyperlink"/>
              </w:rPr>
              <w:t>Incentive rates</w:t>
            </w:r>
            <w:r w:rsidR="002C3AB0">
              <w:rPr>
                <w:webHidden/>
              </w:rPr>
              <w:tab/>
              <w:t>11-</w:t>
            </w:r>
            <w:r w:rsidR="002C3AB0">
              <w:rPr>
                <w:webHidden/>
              </w:rPr>
              <w:fldChar w:fldCharType="begin"/>
            </w:r>
            <w:r w:rsidR="002C3AB0">
              <w:rPr>
                <w:webHidden/>
              </w:rPr>
              <w:instrText xml:space="preserve"> PAGEREF _Toc433026853 \h </w:instrText>
            </w:r>
            <w:r w:rsidR="002C3AB0">
              <w:rPr>
                <w:webHidden/>
              </w:rPr>
            </w:r>
            <w:r w:rsidR="002C3AB0">
              <w:rPr>
                <w:webHidden/>
              </w:rPr>
              <w:fldChar w:fldCharType="separate"/>
            </w:r>
            <w:r w:rsidR="002C3AB0">
              <w:rPr>
                <w:webHidden/>
              </w:rPr>
              <w:t>11</w:t>
            </w:r>
            <w:r w:rsidR="002C3AB0">
              <w:rPr>
                <w:webHidden/>
              </w:rPr>
              <w:fldChar w:fldCharType="end"/>
            </w:r>
          </w:hyperlink>
        </w:p>
        <w:p w:rsidR="002C3AB0" w:rsidRDefault="007E1B6C">
          <w:pPr>
            <w:pStyle w:val="TOC2"/>
            <w:tabs>
              <w:tab w:val="left" w:pos="1276"/>
            </w:tabs>
            <w:rPr>
              <w:rFonts w:asciiTheme="minorHAnsi" w:eastAsiaTheme="minorEastAsia" w:hAnsiTheme="minorHAnsi"/>
              <w:b w:val="0"/>
              <w:color w:val="auto"/>
              <w:sz w:val="22"/>
              <w:lang w:eastAsia="en-AU"/>
            </w:rPr>
          </w:pPr>
          <w:hyperlink w:anchor="_Toc433026854" w:history="1">
            <w:r w:rsidR="002C3AB0" w:rsidRPr="009C1C2A">
              <w:rPr>
                <w:rStyle w:val="Hyperlink"/>
              </w:rPr>
              <w:t>11.6</w:t>
            </w:r>
            <w:r w:rsidR="002C3AB0">
              <w:rPr>
                <w:rFonts w:asciiTheme="minorHAnsi" w:eastAsiaTheme="minorEastAsia" w:hAnsiTheme="minorHAnsi"/>
                <w:b w:val="0"/>
                <w:color w:val="auto"/>
                <w:sz w:val="22"/>
                <w:lang w:eastAsia="en-AU"/>
              </w:rPr>
              <w:tab/>
            </w:r>
            <w:r w:rsidR="002C3AB0" w:rsidRPr="009C1C2A">
              <w:rPr>
                <w:rStyle w:val="Hyperlink"/>
              </w:rPr>
              <w:t>Other issues in applying the STPIS</w:t>
            </w:r>
            <w:r w:rsidR="002C3AB0">
              <w:rPr>
                <w:webHidden/>
              </w:rPr>
              <w:tab/>
              <w:t>11-</w:t>
            </w:r>
            <w:r w:rsidR="002C3AB0">
              <w:rPr>
                <w:webHidden/>
              </w:rPr>
              <w:fldChar w:fldCharType="begin"/>
            </w:r>
            <w:r w:rsidR="002C3AB0">
              <w:rPr>
                <w:webHidden/>
              </w:rPr>
              <w:instrText xml:space="preserve"> PAGEREF _Toc433026854 \h </w:instrText>
            </w:r>
            <w:r w:rsidR="002C3AB0">
              <w:rPr>
                <w:webHidden/>
              </w:rPr>
            </w:r>
            <w:r w:rsidR="002C3AB0">
              <w:rPr>
                <w:webHidden/>
              </w:rPr>
              <w:fldChar w:fldCharType="separate"/>
            </w:r>
            <w:r w:rsidR="002C3AB0">
              <w:rPr>
                <w:webHidden/>
              </w:rPr>
              <w:t>11</w:t>
            </w:r>
            <w:r w:rsidR="002C3AB0">
              <w:rPr>
                <w:webHidden/>
              </w:rPr>
              <w:fldChar w:fldCharType="end"/>
            </w:r>
          </w:hyperlink>
        </w:p>
        <w:p w:rsidR="002C3AB0" w:rsidRDefault="007E1B6C">
          <w:pPr>
            <w:pStyle w:val="TOC3"/>
            <w:rPr>
              <w:rFonts w:asciiTheme="minorHAnsi" w:eastAsiaTheme="minorEastAsia" w:hAnsiTheme="minorHAnsi"/>
              <w:lang w:eastAsia="en-AU"/>
            </w:rPr>
          </w:pPr>
          <w:hyperlink w:anchor="_Toc433026855" w:history="1">
            <w:r w:rsidR="002C3AB0" w:rsidRPr="009C1C2A">
              <w:rPr>
                <w:rStyle w:val="Hyperlink"/>
              </w:rPr>
              <w:t>11.6.1</w:t>
            </w:r>
            <w:r w:rsidR="002C3AB0">
              <w:rPr>
                <w:rFonts w:asciiTheme="minorHAnsi" w:eastAsiaTheme="minorEastAsia" w:hAnsiTheme="minorHAnsi"/>
                <w:lang w:eastAsia="en-AU"/>
              </w:rPr>
              <w:tab/>
            </w:r>
            <w:r w:rsidR="002C3AB0" w:rsidRPr="009C1C2A">
              <w:rPr>
                <w:rStyle w:val="Hyperlink"/>
              </w:rPr>
              <w:t>Accounting for step change between regulatory periods</w:t>
            </w:r>
            <w:r w:rsidR="002C3AB0">
              <w:rPr>
                <w:webHidden/>
              </w:rPr>
              <w:tab/>
              <w:t>11-</w:t>
            </w:r>
            <w:r w:rsidR="002C3AB0">
              <w:rPr>
                <w:webHidden/>
              </w:rPr>
              <w:fldChar w:fldCharType="begin"/>
            </w:r>
            <w:r w:rsidR="002C3AB0">
              <w:rPr>
                <w:webHidden/>
              </w:rPr>
              <w:instrText xml:space="preserve"> PAGEREF _Toc433026855 \h </w:instrText>
            </w:r>
            <w:r w:rsidR="002C3AB0">
              <w:rPr>
                <w:webHidden/>
              </w:rPr>
            </w:r>
            <w:r w:rsidR="002C3AB0">
              <w:rPr>
                <w:webHidden/>
              </w:rPr>
              <w:fldChar w:fldCharType="separate"/>
            </w:r>
            <w:r w:rsidR="002C3AB0">
              <w:rPr>
                <w:webHidden/>
              </w:rPr>
              <w:t>11</w:t>
            </w:r>
            <w:r w:rsidR="002C3AB0">
              <w:rPr>
                <w:webHidden/>
              </w:rPr>
              <w:fldChar w:fldCharType="end"/>
            </w:r>
          </w:hyperlink>
        </w:p>
        <w:p w:rsidR="002C3AB0" w:rsidRDefault="007E1B6C">
          <w:pPr>
            <w:pStyle w:val="TOC3"/>
            <w:rPr>
              <w:rFonts w:asciiTheme="minorHAnsi" w:eastAsiaTheme="minorEastAsia" w:hAnsiTheme="minorHAnsi"/>
              <w:lang w:eastAsia="en-AU"/>
            </w:rPr>
          </w:pPr>
          <w:hyperlink w:anchor="_Toc433026856" w:history="1">
            <w:r w:rsidR="002C3AB0" w:rsidRPr="009C1C2A">
              <w:rPr>
                <w:rStyle w:val="Hyperlink"/>
              </w:rPr>
              <w:t>11.6.2</w:t>
            </w:r>
            <w:r w:rsidR="002C3AB0">
              <w:rPr>
                <w:rFonts w:asciiTheme="minorHAnsi" w:eastAsiaTheme="minorEastAsia" w:hAnsiTheme="minorHAnsi"/>
                <w:lang w:eastAsia="en-AU"/>
              </w:rPr>
              <w:tab/>
            </w:r>
            <w:r w:rsidR="002C3AB0" w:rsidRPr="009C1C2A">
              <w:rPr>
                <w:rStyle w:val="Hyperlink"/>
              </w:rPr>
              <w:t>Submissions</w:t>
            </w:r>
            <w:r w:rsidR="002C3AB0">
              <w:rPr>
                <w:webHidden/>
              </w:rPr>
              <w:tab/>
              <w:t>11-</w:t>
            </w:r>
            <w:r w:rsidR="002C3AB0">
              <w:rPr>
                <w:webHidden/>
              </w:rPr>
              <w:fldChar w:fldCharType="begin"/>
            </w:r>
            <w:r w:rsidR="002C3AB0">
              <w:rPr>
                <w:webHidden/>
              </w:rPr>
              <w:instrText xml:space="preserve"> PAGEREF _Toc433026856 \h </w:instrText>
            </w:r>
            <w:r w:rsidR="002C3AB0">
              <w:rPr>
                <w:webHidden/>
              </w:rPr>
            </w:r>
            <w:r w:rsidR="002C3AB0">
              <w:rPr>
                <w:webHidden/>
              </w:rPr>
              <w:fldChar w:fldCharType="separate"/>
            </w:r>
            <w:r w:rsidR="002C3AB0">
              <w:rPr>
                <w:webHidden/>
              </w:rPr>
              <w:t>12</w:t>
            </w:r>
            <w:r w:rsidR="002C3AB0">
              <w:rPr>
                <w:webHidden/>
              </w:rPr>
              <w:fldChar w:fldCharType="end"/>
            </w:r>
          </w:hyperlink>
        </w:p>
        <w:p w:rsidR="00D72AA2" w:rsidRDefault="00DE563D" w:rsidP="00410438">
          <w:pPr>
            <w:pStyle w:val="TOC2"/>
            <w:tabs>
              <w:tab w:val="left" w:pos="1276"/>
            </w:tabs>
          </w:pPr>
          <w:r>
            <w:fldChar w:fldCharType="end"/>
          </w:r>
        </w:p>
      </w:sdtContent>
    </w:sdt>
    <w:bookmarkStart w:id="7" w:name="_Toc404700925" w:displacedByCustomXml="prev"/>
    <w:p w:rsidR="00DE563D" w:rsidRDefault="00DE563D" w:rsidP="00DE563D">
      <w:pPr>
        <w:pStyle w:val="UnnumberedHeading"/>
        <w:numPr>
          <w:ilvl w:val="0"/>
          <w:numId w:val="24"/>
        </w:numPr>
      </w:pPr>
      <w:bookmarkStart w:id="8" w:name="_Toc433026838"/>
      <w:r>
        <w:lastRenderedPageBreak/>
        <w:t>Shortened forms</w:t>
      </w:r>
      <w:bookmarkEnd w:id="8"/>
      <w:bookmarkEnd w:id="7"/>
    </w:p>
    <w:tbl>
      <w:tblPr>
        <w:tblStyle w:val="AERtable-numbers"/>
        <w:tblW w:w="0" w:type="auto"/>
        <w:tblLook w:val="04A0" w:firstRow="1" w:lastRow="0" w:firstColumn="1" w:lastColumn="0" w:noHBand="0" w:noVBand="1"/>
      </w:tblPr>
      <w:tblGrid>
        <w:gridCol w:w="4340"/>
        <w:gridCol w:w="4353"/>
      </w:tblGrid>
      <w:tr w:rsidR="00DE563D" w:rsidTr="00DF06C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Shortened form</w:t>
            </w:r>
          </w:p>
        </w:tc>
        <w:tc>
          <w:tcPr>
            <w:tcW w:w="4353" w:type="dxa"/>
          </w:tcPr>
          <w:p w:rsidR="00DE563D" w:rsidRDefault="00DE563D" w:rsidP="00DE563D">
            <w:pPr>
              <w:pStyle w:val="AERtabletextleft"/>
              <w:jc w:val="left"/>
              <w:cnfStyle w:val="100000000000" w:firstRow="1" w:lastRow="0" w:firstColumn="0" w:lastColumn="0" w:oddVBand="0" w:evenVBand="0" w:oddHBand="0" w:evenHBand="0" w:firstRowFirstColumn="0" w:firstRowLastColumn="0" w:lastRowFirstColumn="0" w:lastRowLastColumn="0"/>
            </w:pPr>
            <w:r>
              <w:t>Extended form</w:t>
            </w:r>
          </w:p>
        </w:tc>
      </w:tr>
      <w:tr w:rsidR="00DE563D" w:rsidTr="00DF06C5">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AEMC</w:t>
            </w:r>
          </w:p>
        </w:tc>
        <w:tc>
          <w:tcPr>
            <w:tcW w:w="4353"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Australian Energy Market Commission</w:t>
            </w:r>
          </w:p>
        </w:tc>
      </w:tr>
      <w:tr w:rsidR="00DE563D" w:rsidTr="00DF06C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AEMO</w:t>
            </w:r>
          </w:p>
        </w:tc>
        <w:tc>
          <w:tcPr>
            <w:tcW w:w="4353"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Australian Energy Market Operator</w:t>
            </w:r>
          </w:p>
        </w:tc>
      </w:tr>
      <w:tr w:rsidR="00DE563D" w:rsidTr="00DF06C5">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AER</w:t>
            </w:r>
          </w:p>
        </w:tc>
        <w:tc>
          <w:tcPr>
            <w:tcW w:w="4353"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Australian Energy Regulator</w:t>
            </w:r>
          </w:p>
        </w:tc>
      </w:tr>
      <w:tr w:rsidR="00DE563D" w:rsidTr="00DF06C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augex</w:t>
            </w:r>
          </w:p>
        </w:tc>
        <w:tc>
          <w:tcPr>
            <w:tcW w:w="4353"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augmentation expenditure</w:t>
            </w:r>
          </w:p>
        </w:tc>
      </w:tr>
      <w:tr w:rsidR="00DE563D" w:rsidTr="00DF06C5">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capex</w:t>
            </w:r>
          </w:p>
        </w:tc>
        <w:tc>
          <w:tcPr>
            <w:tcW w:w="4353"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capital expenditure</w:t>
            </w:r>
          </w:p>
        </w:tc>
      </w:tr>
      <w:tr w:rsidR="00DE563D" w:rsidTr="00DF06C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CCP</w:t>
            </w:r>
          </w:p>
        </w:tc>
        <w:tc>
          <w:tcPr>
            <w:tcW w:w="4353"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Co</w:t>
            </w:r>
            <w:bookmarkStart w:id="9" w:name="_GoBack"/>
            <w:bookmarkEnd w:id="9"/>
            <w:r>
              <w:t>nsumer Challenge Panel</w:t>
            </w:r>
          </w:p>
        </w:tc>
      </w:tr>
      <w:tr w:rsidR="00DE563D" w:rsidTr="00DF06C5">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CESS</w:t>
            </w:r>
          </w:p>
        </w:tc>
        <w:tc>
          <w:tcPr>
            <w:tcW w:w="4353"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capital expenditure sharing scheme</w:t>
            </w:r>
          </w:p>
        </w:tc>
      </w:tr>
      <w:tr w:rsidR="00DE563D" w:rsidTr="00DF06C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CPI</w:t>
            </w:r>
          </w:p>
        </w:tc>
        <w:tc>
          <w:tcPr>
            <w:tcW w:w="4353"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consumer price index</w:t>
            </w:r>
          </w:p>
        </w:tc>
      </w:tr>
      <w:tr w:rsidR="00DE563D" w:rsidTr="00DF06C5">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DRP</w:t>
            </w:r>
          </w:p>
        </w:tc>
        <w:tc>
          <w:tcPr>
            <w:tcW w:w="4353"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debt risk premium</w:t>
            </w:r>
          </w:p>
        </w:tc>
      </w:tr>
      <w:tr w:rsidR="00DE563D" w:rsidTr="00DF06C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DMIA</w:t>
            </w:r>
          </w:p>
        </w:tc>
        <w:tc>
          <w:tcPr>
            <w:tcW w:w="4353"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demand management innovation allowance</w:t>
            </w:r>
          </w:p>
        </w:tc>
      </w:tr>
      <w:tr w:rsidR="00DE563D" w:rsidTr="00DF06C5">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DMIS</w:t>
            </w:r>
          </w:p>
        </w:tc>
        <w:tc>
          <w:tcPr>
            <w:tcW w:w="4353"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demand management incentive scheme</w:t>
            </w:r>
          </w:p>
        </w:tc>
      </w:tr>
      <w:tr w:rsidR="00DE563D" w:rsidTr="00DF06C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distributor</w:t>
            </w:r>
          </w:p>
        </w:tc>
        <w:tc>
          <w:tcPr>
            <w:tcW w:w="4353"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distribution network service provider</w:t>
            </w:r>
          </w:p>
        </w:tc>
      </w:tr>
      <w:tr w:rsidR="00DE563D" w:rsidTr="00DF06C5">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DUoS</w:t>
            </w:r>
          </w:p>
        </w:tc>
        <w:tc>
          <w:tcPr>
            <w:tcW w:w="4353"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distribution use of system</w:t>
            </w:r>
          </w:p>
        </w:tc>
      </w:tr>
      <w:tr w:rsidR="00DE563D" w:rsidTr="00DF06C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EBSS</w:t>
            </w:r>
          </w:p>
        </w:tc>
        <w:tc>
          <w:tcPr>
            <w:tcW w:w="4353"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efficiency benefit sharing scheme</w:t>
            </w:r>
          </w:p>
        </w:tc>
      </w:tr>
      <w:tr w:rsidR="00DE563D" w:rsidTr="00DF06C5">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ERP</w:t>
            </w:r>
          </w:p>
        </w:tc>
        <w:tc>
          <w:tcPr>
            <w:tcW w:w="4353"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equity risk premium</w:t>
            </w:r>
          </w:p>
        </w:tc>
      </w:tr>
      <w:tr w:rsidR="00DE563D" w:rsidTr="00DF06C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DE563D" w:rsidRDefault="009E00C7" w:rsidP="009E00C7">
            <w:pPr>
              <w:pStyle w:val="AERtabletextleft"/>
            </w:pPr>
            <w:r>
              <w:t>E</w:t>
            </w:r>
            <w:r w:rsidR="00DE563D">
              <w:t xml:space="preserve">xpenditure </w:t>
            </w:r>
            <w:r>
              <w:t>A</w:t>
            </w:r>
            <w:r w:rsidR="00DE563D">
              <w:t xml:space="preserve">ssessment </w:t>
            </w:r>
            <w:r>
              <w:t>G</w:t>
            </w:r>
            <w:r w:rsidR="00DE563D">
              <w:t>uideline</w:t>
            </w:r>
          </w:p>
        </w:tc>
        <w:tc>
          <w:tcPr>
            <w:tcW w:w="4353" w:type="dxa"/>
          </w:tcPr>
          <w:p w:rsidR="00DE563D" w:rsidRDefault="001140AD" w:rsidP="009E00C7">
            <w:pPr>
              <w:pStyle w:val="AERtabletextleft"/>
              <w:jc w:val="left"/>
              <w:cnfStyle w:val="000000010000" w:firstRow="0" w:lastRow="0" w:firstColumn="0" w:lastColumn="0" w:oddVBand="0" w:evenVBand="0" w:oddHBand="0" w:evenHBand="1" w:firstRowFirstColumn="0" w:firstRowLastColumn="0" w:lastRowFirstColumn="0" w:lastRowLastColumn="0"/>
            </w:pPr>
            <w:r>
              <w:t>Expenditure Forecast A</w:t>
            </w:r>
            <w:r w:rsidR="00DE563D">
              <w:t xml:space="preserve">ssessment </w:t>
            </w:r>
            <w:r w:rsidR="009E00C7">
              <w:t>G</w:t>
            </w:r>
            <w:r w:rsidR="00DE563D">
              <w:t>uideline for electricity distribution</w:t>
            </w:r>
          </w:p>
        </w:tc>
      </w:tr>
      <w:tr w:rsidR="00DE563D" w:rsidTr="00DF06C5">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F&amp;A</w:t>
            </w:r>
          </w:p>
        </w:tc>
        <w:tc>
          <w:tcPr>
            <w:tcW w:w="4353"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framework and approach</w:t>
            </w:r>
          </w:p>
        </w:tc>
      </w:tr>
      <w:tr w:rsidR="00DE563D" w:rsidTr="00DF06C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MRP</w:t>
            </w:r>
          </w:p>
        </w:tc>
        <w:tc>
          <w:tcPr>
            <w:tcW w:w="4353"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market risk premium</w:t>
            </w:r>
          </w:p>
        </w:tc>
      </w:tr>
      <w:tr w:rsidR="00DE563D" w:rsidTr="00DF06C5">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NEL</w:t>
            </w:r>
          </w:p>
        </w:tc>
        <w:tc>
          <w:tcPr>
            <w:tcW w:w="4353"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national electricity law</w:t>
            </w:r>
          </w:p>
        </w:tc>
      </w:tr>
      <w:tr w:rsidR="00DE563D" w:rsidTr="00DF06C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NEM</w:t>
            </w:r>
          </w:p>
        </w:tc>
        <w:tc>
          <w:tcPr>
            <w:tcW w:w="4353"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national electricity market</w:t>
            </w:r>
          </w:p>
        </w:tc>
      </w:tr>
      <w:tr w:rsidR="00DE563D" w:rsidTr="00DF06C5">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NEO</w:t>
            </w:r>
          </w:p>
        </w:tc>
        <w:tc>
          <w:tcPr>
            <w:tcW w:w="4353"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national electricity objective</w:t>
            </w:r>
          </w:p>
        </w:tc>
      </w:tr>
      <w:tr w:rsidR="00DE563D" w:rsidTr="00DF06C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NER</w:t>
            </w:r>
          </w:p>
        </w:tc>
        <w:tc>
          <w:tcPr>
            <w:tcW w:w="4353"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national electricity rules</w:t>
            </w:r>
          </w:p>
        </w:tc>
      </w:tr>
      <w:tr w:rsidR="00DE563D" w:rsidTr="00DF06C5">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NSP</w:t>
            </w:r>
          </w:p>
        </w:tc>
        <w:tc>
          <w:tcPr>
            <w:tcW w:w="4353"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network service provider</w:t>
            </w:r>
          </w:p>
        </w:tc>
      </w:tr>
      <w:tr w:rsidR="00DE563D" w:rsidTr="00DF06C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opex</w:t>
            </w:r>
          </w:p>
        </w:tc>
        <w:tc>
          <w:tcPr>
            <w:tcW w:w="4353"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operating expenditure</w:t>
            </w:r>
          </w:p>
        </w:tc>
      </w:tr>
      <w:tr w:rsidR="00DE563D" w:rsidTr="00DF06C5">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PPI</w:t>
            </w:r>
          </w:p>
        </w:tc>
        <w:tc>
          <w:tcPr>
            <w:tcW w:w="4353"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partial performance indicators</w:t>
            </w:r>
          </w:p>
        </w:tc>
      </w:tr>
      <w:tr w:rsidR="00DE563D" w:rsidTr="00DF06C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PTRM</w:t>
            </w:r>
          </w:p>
        </w:tc>
        <w:tc>
          <w:tcPr>
            <w:tcW w:w="4353"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post-tax revenue model</w:t>
            </w:r>
          </w:p>
        </w:tc>
      </w:tr>
      <w:tr w:rsidR="00DE563D" w:rsidTr="00DF06C5">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lastRenderedPageBreak/>
              <w:t>RAB</w:t>
            </w:r>
          </w:p>
        </w:tc>
        <w:tc>
          <w:tcPr>
            <w:tcW w:w="4353"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regulatory asset base</w:t>
            </w:r>
          </w:p>
        </w:tc>
      </w:tr>
      <w:tr w:rsidR="00DE563D" w:rsidTr="00DF06C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RBA</w:t>
            </w:r>
          </w:p>
        </w:tc>
        <w:tc>
          <w:tcPr>
            <w:tcW w:w="4353"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Reserve Bank of Australia</w:t>
            </w:r>
          </w:p>
        </w:tc>
      </w:tr>
      <w:tr w:rsidR="00DE563D" w:rsidTr="00DF06C5">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repex</w:t>
            </w:r>
          </w:p>
        </w:tc>
        <w:tc>
          <w:tcPr>
            <w:tcW w:w="4353"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replacement expenditure</w:t>
            </w:r>
          </w:p>
        </w:tc>
      </w:tr>
      <w:tr w:rsidR="00DE563D" w:rsidTr="00DF06C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RFM</w:t>
            </w:r>
          </w:p>
        </w:tc>
        <w:tc>
          <w:tcPr>
            <w:tcW w:w="4353"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roll forward model</w:t>
            </w:r>
          </w:p>
        </w:tc>
      </w:tr>
      <w:tr w:rsidR="00DE563D" w:rsidTr="00DF06C5">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RIN</w:t>
            </w:r>
          </w:p>
        </w:tc>
        <w:tc>
          <w:tcPr>
            <w:tcW w:w="4353"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regulatory information notice</w:t>
            </w:r>
          </w:p>
        </w:tc>
      </w:tr>
      <w:tr w:rsidR="00DE563D" w:rsidTr="00DF06C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RPP</w:t>
            </w:r>
          </w:p>
        </w:tc>
        <w:tc>
          <w:tcPr>
            <w:tcW w:w="4353"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 xml:space="preserve">revenue </w:t>
            </w:r>
            <w:r w:rsidR="009E00C7">
              <w:t xml:space="preserve">and </w:t>
            </w:r>
            <w:r>
              <w:t>pricing principles</w:t>
            </w:r>
          </w:p>
        </w:tc>
      </w:tr>
      <w:tr w:rsidR="00DE563D" w:rsidTr="00DF06C5">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SAIDI</w:t>
            </w:r>
          </w:p>
        </w:tc>
        <w:tc>
          <w:tcPr>
            <w:tcW w:w="4353"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system average interruption duration index</w:t>
            </w:r>
          </w:p>
        </w:tc>
      </w:tr>
      <w:tr w:rsidR="00DE563D" w:rsidTr="00DF06C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SAIFI</w:t>
            </w:r>
          </w:p>
        </w:tc>
        <w:tc>
          <w:tcPr>
            <w:tcW w:w="4353" w:type="dxa"/>
          </w:tcPr>
          <w:p w:rsidR="00DE563D" w:rsidRDefault="00DE563D" w:rsidP="003B77C9">
            <w:pPr>
              <w:pStyle w:val="AERtabletextleft"/>
              <w:jc w:val="left"/>
              <w:cnfStyle w:val="000000010000" w:firstRow="0" w:lastRow="0" w:firstColumn="0" w:lastColumn="0" w:oddVBand="0" w:evenVBand="0" w:oddHBand="0" w:evenHBand="1" w:firstRowFirstColumn="0" w:firstRowLastColumn="0" w:lastRowFirstColumn="0" w:lastRowLastColumn="0"/>
            </w:pPr>
            <w:r>
              <w:t>system average interruption frequency index</w:t>
            </w:r>
          </w:p>
        </w:tc>
      </w:tr>
      <w:tr w:rsidR="00DE563D" w:rsidTr="00DF06C5">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SLCAPM</w:t>
            </w:r>
          </w:p>
        </w:tc>
        <w:tc>
          <w:tcPr>
            <w:tcW w:w="4353"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Sharpe-Lintner capital asset pricing model</w:t>
            </w:r>
          </w:p>
        </w:tc>
      </w:tr>
      <w:tr w:rsidR="00DE563D" w:rsidTr="00DF06C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STPIS</w:t>
            </w:r>
          </w:p>
        </w:tc>
        <w:tc>
          <w:tcPr>
            <w:tcW w:w="4353" w:type="dxa"/>
          </w:tcPr>
          <w:p w:rsidR="00DE563D" w:rsidRDefault="00DE563D" w:rsidP="00DE563D">
            <w:pPr>
              <w:pStyle w:val="AERtabletextleft"/>
              <w:jc w:val="center"/>
              <w:cnfStyle w:val="000000010000" w:firstRow="0" w:lastRow="0" w:firstColumn="0" w:lastColumn="0" w:oddVBand="0" w:evenVBand="0" w:oddHBand="0" w:evenHBand="1" w:firstRowFirstColumn="0" w:firstRowLastColumn="0" w:lastRowFirstColumn="0" w:lastRowLastColumn="0"/>
            </w:pPr>
            <w:r>
              <w:t>service target performance incentive scheme</w:t>
            </w:r>
          </w:p>
        </w:tc>
      </w:tr>
      <w:tr w:rsidR="00DE563D" w:rsidTr="00DF06C5">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WACC</w:t>
            </w:r>
          </w:p>
        </w:tc>
        <w:tc>
          <w:tcPr>
            <w:tcW w:w="4353"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weighted average cost of capital</w:t>
            </w:r>
          </w:p>
        </w:tc>
      </w:tr>
    </w:tbl>
    <w:p w:rsidR="00DE563D" w:rsidRPr="00271F7C" w:rsidRDefault="00DE563D" w:rsidP="00DE563D">
      <w:pPr>
        <w:numPr>
          <w:ilvl w:val="0"/>
          <w:numId w:val="25"/>
        </w:numPr>
      </w:pPr>
    </w:p>
    <w:p w:rsidR="00DE563D" w:rsidRPr="00436A39" w:rsidRDefault="00DE563D" w:rsidP="00DE563D">
      <w:pPr>
        <w:numPr>
          <w:ilvl w:val="0"/>
          <w:numId w:val="25"/>
        </w:numPr>
      </w:pPr>
    </w:p>
    <w:p w:rsidR="00DE563D" w:rsidRDefault="00DE563D" w:rsidP="00DE563D"/>
    <w:p w:rsidR="00637CAC" w:rsidRDefault="00637CAC" w:rsidP="00637CAC">
      <w:pPr>
        <w:pStyle w:val="Heading1"/>
      </w:pPr>
      <w:bookmarkStart w:id="10" w:name="_Toc428950586"/>
      <w:bookmarkStart w:id="11" w:name="_Toc433026839"/>
      <w:r w:rsidRPr="00B34302">
        <w:lastRenderedPageBreak/>
        <w:t>Service target performance incentive scheme</w:t>
      </w:r>
      <w:bookmarkEnd w:id="10"/>
      <w:bookmarkEnd w:id="11"/>
    </w:p>
    <w:p w:rsidR="00637CAC" w:rsidRDefault="00637CAC" w:rsidP="00637CAC">
      <w:r>
        <w:t xml:space="preserve">Under clause 6.3.2 of the </w:t>
      </w:r>
      <w:r w:rsidR="003B77C9">
        <w:t>NER</w:t>
      </w:r>
      <w:r>
        <w:t xml:space="preserve"> our regulatory determination must </w:t>
      </w:r>
      <w:r w:rsidRPr="00277932">
        <w:t xml:space="preserve">specify how any applicable </w:t>
      </w:r>
      <w:r>
        <w:t>service target performance incentive (</w:t>
      </w:r>
      <w:r w:rsidRPr="00277932">
        <w:t>STPIS</w:t>
      </w:r>
      <w:r>
        <w:t>)</w:t>
      </w:r>
      <w:r w:rsidRPr="00277932">
        <w:t xml:space="preserve"> is to apply in the </w:t>
      </w:r>
      <w:r>
        <w:t>2015–20</w:t>
      </w:r>
      <w:r w:rsidRPr="00277932">
        <w:t xml:space="preserve"> regulatory control period.</w:t>
      </w:r>
      <w:r>
        <w:t xml:space="preserve"> </w:t>
      </w:r>
    </w:p>
    <w:p w:rsidR="00637CAC" w:rsidRDefault="00637CAC" w:rsidP="00637CAC">
      <w:r>
        <w:t xml:space="preserve">This attachment sets out how we will apply the STPIS to Energex for the </w:t>
      </w:r>
      <w:r w:rsidR="003B77C9">
        <w:t>2015</w:t>
      </w:r>
      <w:r w:rsidR="003B77C9">
        <w:rPr>
          <w:rFonts w:cs="Arial"/>
        </w:rPr>
        <w:t>─</w:t>
      </w:r>
      <w:r w:rsidR="003B77C9">
        <w:t>20</w:t>
      </w:r>
      <w:r>
        <w:t xml:space="preserve"> regulatory control period.</w:t>
      </w:r>
    </w:p>
    <w:p w:rsidR="00637CAC" w:rsidRPr="003B77C9" w:rsidRDefault="00637CAC" w:rsidP="003B77C9">
      <w:pPr>
        <w:pStyle w:val="HeadingBoldBlue"/>
      </w:pPr>
      <w:bookmarkStart w:id="12" w:name="_Toc433026840"/>
      <w:r w:rsidRPr="003B77C9">
        <w:t>AER’s service target performance incentive scheme</w:t>
      </w:r>
      <w:bookmarkEnd w:id="12"/>
    </w:p>
    <w:p w:rsidR="00637CAC" w:rsidRDefault="00637CAC" w:rsidP="00637CAC">
      <w:r>
        <w:t>We published</w:t>
      </w:r>
      <w:r w:rsidRPr="00E73EFA">
        <w:t xml:space="preserve"> </w:t>
      </w:r>
      <w:r>
        <w:t xml:space="preserve">the current version of our national </w:t>
      </w:r>
      <w:r w:rsidRPr="00E73EFA">
        <w:t xml:space="preserve">STPIS </w:t>
      </w:r>
      <w:r>
        <w:t>in November 2009.</w:t>
      </w:r>
      <w:r>
        <w:rPr>
          <w:rStyle w:val="FootnoteReference"/>
        </w:rPr>
        <w:footnoteReference w:id="1"/>
      </w:r>
      <w:r>
        <w:t xml:space="preserve"> The </w:t>
      </w:r>
      <w:r w:rsidRPr="00401F71">
        <w:t xml:space="preserve">STPIS is intended to balance incentives to reduce expenditure with the need to maintain or improve service quality. It achieves this by providing financial incentives to </w:t>
      </w:r>
      <w:r>
        <w:t>distributors</w:t>
      </w:r>
      <w:r w:rsidRPr="00401F71">
        <w:t xml:space="preserve"> to maintain and improve service performance where customers are willing to pay for these improvements.</w:t>
      </w:r>
      <w:r>
        <w:t xml:space="preserve"> </w:t>
      </w:r>
    </w:p>
    <w:p w:rsidR="00637CAC" w:rsidRDefault="00637CAC" w:rsidP="00637CAC">
      <w:pPr>
        <w:pStyle w:val="Heading2"/>
      </w:pPr>
      <w:bookmarkStart w:id="13" w:name="_Toc418855286"/>
      <w:bookmarkStart w:id="14" w:name="_Toc428950587"/>
      <w:bookmarkStart w:id="15" w:name="_Toc433026841"/>
      <w:r>
        <w:t>Final</w:t>
      </w:r>
      <w:r w:rsidRPr="00B34302">
        <w:t xml:space="preserve"> decision</w:t>
      </w:r>
      <w:bookmarkEnd w:id="13"/>
      <w:bookmarkEnd w:id="14"/>
      <w:bookmarkEnd w:id="15"/>
    </w:p>
    <w:p w:rsidR="00637CAC" w:rsidRDefault="00637CAC" w:rsidP="00637CAC">
      <w:r>
        <w:t>We will apply th</w:t>
      </w:r>
      <w:r w:rsidR="003B77C9">
        <w:t>e STPIS to Energex for the 2015</w:t>
      </w:r>
      <w:r w:rsidR="003B77C9">
        <w:rPr>
          <w:rFonts w:cs="Arial"/>
        </w:rPr>
        <w:t>─</w:t>
      </w:r>
      <w:r>
        <w:t>20 regulatory control period. In applying the STPIS</w:t>
      </w:r>
      <w:r w:rsidR="00AF71FE">
        <w:t>,</w:t>
      </w:r>
      <w:r>
        <w:t xml:space="preserve"> we will: </w:t>
      </w:r>
    </w:p>
    <w:p w:rsidR="00637CAC" w:rsidRPr="00D6741A" w:rsidRDefault="00637CAC" w:rsidP="00637CAC">
      <w:pPr>
        <w:pStyle w:val="AERbulletlistfirststyle"/>
        <w:rPr>
          <w:rStyle w:val="AERbody"/>
        </w:rPr>
      </w:pPr>
      <w:r w:rsidRPr="00441E9B">
        <w:rPr>
          <w:rStyle w:val="AERbody"/>
        </w:rPr>
        <w:t xml:space="preserve">set revenue at risk for </w:t>
      </w:r>
      <w:r>
        <w:rPr>
          <w:rStyle w:val="AERbody"/>
        </w:rPr>
        <w:t xml:space="preserve">Energex at the </w:t>
      </w:r>
      <w:r w:rsidRPr="00441E9B">
        <w:rPr>
          <w:rStyle w:val="AERbody"/>
        </w:rPr>
        <w:t>range ±</w:t>
      </w:r>
      <w:r w:rsidR="00FE3211">
        <w:rPr>
          <w:rStyle w:val="AERbody"/>
        </w:rPr>
        <w:t xml:space="preserve"> </w:t>
      </w:r>
      <w:r w:rsidRPr="00D6741A">
        <w:rPr>
          <w:rStyle w:val="AERbody"/>
        </w:rPr>
        <w:t>2</w:t>
      </w:r>
      <w:r w:rsidR="00D46E0F">
        <w:rPr>
          <w:rStyle w:val="AERbody"/>
        </w:rPr>
        <w:t>.0</w:t>
      </w:r>
      <w:r w:rsidRPr="00D6741A">
        <w:rPr>
          <w:rStyle w:val="AERbody"/>
        </w:rPr>
        <w:t xml:space="preserve"> per cent</w:t>
      </w:r>
    </w:p>
    <w:p w:rsidR="00637CAC" w:rsidRPr="00D6741A" w:rsidRDefault="00637CAC" w:rsidP="00637CAC">
      <w:pPr>
        <w:pStyle w:val="AERbulletlistfirststyle"/>
      </w:pPr>
      <w:r w:rsidRPr="00C16C7B">
        <w:t xml:space="preserve">segment </w:t>
      </w:r>
      <w:r>
        <w:t xml:space="preserve">Energex's </w:t>
      </w:r>
      <w:r w:rsidRPr="00C16C7B">
        <w:t xml:space="preserve">network according to feeder categories </w:t>
      </w:r>
      <w:r>
        <w:t xml:space="preserve">CBD, </w:t>
      </w:r>
      <w:r w:rsidRPr="00C16C7B">
        <w:t>urban</w:t>
      </w:r>
      <w:r w:rsidRPr="00D6741A">
        <w:t xml:space="preserve"> and rural </w:t>
      </w:r>
    </w:p>
    <w:p w:rsidR="00637CAC" w:rsidRDefault="00637CAC" w:rsidP="00637CAC">
      <w:pPr>
        <w:pStyle w:val="AERbulletlistfirststyle"/>
        <w:rPr>
          <w:rStyle w:val="AERbody"/>
        </w:rPr>
      </w:pPr>
      <w:r w:rsidRPr="00C16C7B">
        <w:t>set applicable reliability of supply (</w:t>
      </w:r>
      <w:r w:rsidRPr="00D6741A">
        <w:t xml:space="preserve">system average interruption duration index or SAIDI and system average interruption frequency index or SAIFI) and </w:t>
      </w:r>
      <w:r w:rsidRPr="00D6741A">
        <w:rPr>
          <w:rStyle w:val="AERbody"/>
        </w:rPr>
        <w:t>customer service (telephone answering) parameters</w:t>
      </w:r>
    </w:p>
    <w:p w:rsidR="00637CAC" w:rsidRPr="00D6741A" w:rsidRDefault="00637CAC" w:rsidP="00637CAC">
      <w:pPr>
        <w:pStyle w:val="AERbulletlistfirststyle"/>
      </w:pPr>
      <w:r w:rsidRPr="00D6741A">
        <w:t xml:space="preserve">set performance targets based on the </w:t>
      </w:r>
      <w:r>
        <w:t>Energex's</w:t>
      </w:r>
      <w:r w:rsidRPr="00D6741A">
        <w:t xml:space="preserve"> average performance over the past five regulatory years </w:t>
      </w:r>
    </w:p>
    <w:p w:rsidR="00637CAC" w:rsidRPr="00D6741A" w:rsidRDefault="00637CAC" w:rsidP="00637CAC">
      <w:pPr>
        <w:pStyle w:val="AERbulletlistfirststyle"/>
      </w:pPr>
      <w:r w:rsidRPr="00D6741A">
        <w:t xml:space="preserve">apply the methodology indicated in the national STPIS for excluding specific events from the calculation of annual performance targets </w:t>
      </w:r>
    </w:p>
    <w:p w:rsidR="00637CAC" w:rsidRDefault="00637CAC" w:rsidP="00637CAC">
      <w:pPr>
        <w:pStyle w:val="AERbulletlistfirststyle"/>
      </w:pPr>
      <w:r w:rsidRPr="00D6741A">
        <w:t>apply the methodology and value of customer reliability (VCR) values to the calculation of incentive rates</w:t>
      </w:r>
      <w:r>
        <w:t xml:space="preserve"> using the latest VCR for Queensland</w:t>
      </w:r>
    </w:p>
    <w:p w:rsidR="00DB4F75" w:rsidRPr="00D6741A" w:rsidRDefault="00DB4F75" w:rsidP="00DB4F75">
      <w:pPr>
        <w:pStyle w:val="AERbulletlistfirststyle"/>
      </w:pPr>
      <w:r w:rsidRPr="00DB4F75">
        <w:t xml:space="preserve">not apply the GSL component as </w:t>
      </w:r>
      <w:r>
        <w:t>Energex</w:t>
      </w:r>
      <w:r w:rsidRPr="00DB4F75">
        <w:t xml:space="preserve"> is subject to a jurisdictional GSL scheme.</w:t>
      </w:r>
    </w:p>
    <w:p w:rsidR="00637CAC" w:rsidRPr="00914BCE" w:rsidRDefault="00637CAC" w:rsidP="00637CAC">
      <w:r>
        <w:t xml:space="preserve">In making our final decision on the STPIS, we have taken into account our preliminary decision, F&amp;A paper, Energex's </w:t>
      </w:r>
      <w:r w:rsidR="003B77C9">
        <w:t xml:space="preserve">initial and revised </w:t>
      </w:r>
      <w:r>
        <w:t>regulatory proposal</w:t>
      </w:r>
      <w:r w:rsidR="00ED6113">
        <w:t>s</w:t>
      </w:r>
      <w:r>
        <w:t xml:space="preserve">, our information requests to Energex and </w:t>
      </w:r>
      <w:r w:rsidR="002325EA">
        <w:t xml:space="preserve">a </w:t>
      </w:r>
      <w:r>
        <w:t>submission</w:t>
      </w:r>
      <w:r w:rsidR="002325EA">
        <w:t xml:space="preserve"> from the </w:t>
      </w:r>
      <w:r w:rsidR="00375932" w:rsidRPr="00375932">
        <w:rPr>
          <w:rStyle w:val="AERbody"/>
        </w:rPr>
        <w:t>Alliance of Electricity Consumers of Queensland</w:t>
      </w:r>
      <w:r>
        <w:t xml:space="preserve">. Our responses to the matters raised by Energex and </w:t>
      </w:r>
      <w:r w:rsidR="00375932" w:rsidRPr="00375932">
        <w:t xml:space="preserve">the </w:t>
      </w:r>
      <w:r w:rsidR="00375932" w:rsidRPr="00375932">
        <w:rPr>
          <w:rStyle w:val="AERbody"/>
        </w:rPr>
        <w:lastRenderedPageBreak/>
        <w:t>Alliance of Electricity Consumers of Queensland</w:t>
      </w:r>
      <w:r w:rsidR="00375932">
        <w:rPr>
          <w:rStyle w:val="AERbody"/>
        </w:rPr>
        <w:t xml:space="preserve"> </w:t>
      </w:r>
      <w:r>
        <w:t>about the application of the STPIS are also discussed in this final decision.</w:t>
      </w:r>
    </w:p>
    <w:p w:rsidR="00637CAC" w:rsidRDefault="003B77C9" w:rsidP="00637CAC">
      <w:bookmarkStart w:id="16" w:name="_Toc404362391"/>
      <w:r>
        <w:t xml:space="preserve">Tables 11.1 and 11.2 </w:t>
      </w:r>
      <w:r w:rsidR="00637CAC" w:rsidRPr="000B05E8">
        <w:t xml:space="preserve">present </w:t>
      </w:r>
      <w:r w:rsidR="00637CAC">
        <w:t xml:space="preserve">our final decision on the applicable incentives rates and targets that will be applied to Energex's STPIS for the 2015–20 regulatory </w:t>
      </w:r>
      <w:r>
        <w:t xml:space="preserve">control </w:t>
      </w:r>
      <w:proofErr w:type="gramStart"/>
      <w:r w:rsidR="00637CAC">
        <w:t>period</w:t>
      </w:r>
      <w:proofErr w:type="gramEnd"/>
      <w:r w:rsidR="00637CAC">
        <w:t>.</w:t>
      </w:r>
    </w:p>
    <w:p w:rsidR="00DD1254" w:rsidRDefault="00DD1254" w:rsidP="00637CAC">
      <w:r w:rsidRPr="002A3A62">
        <w:t xml:space="preserve">The incentive rate for the </w:t>
      </w:r>
      <w:r>
        <w:t xml:space="preserve">customer service component </w:t>
      </w:r>
      <w:r w:rsidR="003B77C9">
        <w:t xml:space="preserve">will be </w:t>
      </w:r>
      <w:r w:rsidR="003B77C9">
        <w:rPr>
          <w:rFonts w:cs="Arial"/>
        </w:rPr>
        <w:t>─</w:t>
      </w:r>
      <w:r>
        <w:t>0.040</w:t>
      </w:r>
      <w:r w:rsidRPr="002A3A62">
        <w:t xml:space="preserve"> per cent per unit of the telephone answering parameter.</w:t>
      </w:r>
    </w:p>
    <w:p w:rsidR="00637CAC" w:rsidRPr="0041215D" w:rsidRDefault="00637CAC" w:rsidP="0041215D">
      <w:pPr>
        <w:pStyle w:val="Caption"/>
      </w:pPr>
      <w:bookmarkStart w:id="17" w:name="_Ref430165095"/>
      <w:bookmarkStart w:id="18" w:name="_Ref417394504"/>
      <w:proofErr w:type="gramStart"/>
      <w:r w:rsidRPr="0041215D">
        <w:t xml:space="preserve">Table </w:t>
      </w:r>
      <w:r w:rsidR="007E1B6C">
        <w:fldChar w:fldCharType="begin"/>
      </w:r>
      <w:r w:rsidR="007E1B6C">
        <w:instrText xml:space="preserve"> STYLEREF 1 \s </w:instrText>
      </w:r>
      <w:r w:rsidR="007E1B6C">
        <w:fldChar w:fldCharType="separate"/>
      </w:r>
      <w:r w:rsidR="00365480" w:rsidRPr="0041215D">
        <w:t>11</w:t>
      </w:r>
      <w:r w:rsidR="007E1B6C">
        <w:fldChar w:fldCharType="end"/>
      </w:r>
      <w:r w:rsidR="003B77C9" w:rsidRPr="0041215D">
        <w:t>.</w:t>
      </w:r>
      <w:proofErr w:type="gramEnd"/>
      <w:r w:rsidR="003B77C9" w:rsidRPr="0041215D">
        <w:fldChar w:fldCharType="begin"/>
      </w:r>
      <w:r w:rsidR="003B77C9" w:rsidRPr="0041215D">
        <w:instrText xml:space="preserve"> SEQ Table \* ARABIC \s 1 </w:instrText>
      </w:r>
      <w:r w:rsidR="003B77C9" w:rsidRPr="0041215D">
        <w:fldChar w:fldCharType="separate"/>
      </w:r>
      <w:r w:rsidR="00365480" w:rsidRPr="0041215D">
        <w:t>1</w:t>
      </w:r>
      <w:r w:rsidR="003B77C9" w:rsidRPr="0041215D">
        <w:fldChar w:fldCharType="end"/>
      </w:r>
      <w:bookmarkEnd w:id="17"/>
      <w:r w:rsidRPr="0041215D">
        <w:tab/>
      </w:r>
      <w:r w:rsidR="00DB263E">
        <w:t xml:space="preserve">AER final decision on </w:t>
      </w:r>
      <w:r w:rsidRPr="0041215D">
        <w:t>STPIS incentive rates for Energex for the 2015–20</w:t>
      </w:r>
      <w:bookmarkEnd w:id="18"/>
      <w:r w:rsidRPr="0041215D">
        <w:t xml:space="preserve"> regulatory </w:t>
      </w:r>
      <w:r w:rsidR="003B77C9" w:rsidRPr="0041215D">
        <w:t xml:space="preserve">control </w:t>
      </w:r>
      <w:proofErr w:type="gramStart"/>
      <w:r w:rsidRPr="0041215D">
        <w:t>period</w:t>
      </w:r>
      <w:proofErr w:type="gramEnd"/>
    </w:p>
    <w:tbl>
      <w:tblPr>
        <w:tblStyle w:val="AERtable-numbers"/>
        <w:tblW w:w="5000" w:type="pct"/>
        <w:tblLook w:val="04A0" w:firstRow="1" w:lastRow="0" w:firstColumn="1" w:lastColumn="0" w:noHBand="0" w:noVBand="1"/>
      </w:tblPr>
      <w:tblGrid>
        <w:gridCol w:w="1758"/>
        <w:gridCol w:w="1620"/>
        <w:gridCol w:w="2658"/>
        <w:gridCol w:w="2657"/>
      </w:tblGrid>
      <w:tr w:rsidR="003B77C9" w:rsidRPr="00A946AA" w:rsidTr="003B77C9">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11" w:type="pct"/>
            <w:hideMark/>
          </w:tcPr>
          <w:p w:rsidR="00784F27" w:rsidRPr="00637CAC" w:rsidRDefault="00784F27" w:rsidP="003B77C9">
            <w:pPr>
              <w:pStyle w:val="AERtabletextleft"/>
            </w:pPr>
            <w:r w:rsidRPr="00A946AA">
              <w:t> </w:t>
            </w:r>
          </w:p>
        </w:tc>
        <w:tc>
          <w:tcPr>
            <w:tcW w:w="932" w:type="pct"/>
            <w:hideMark/>
          </w:tcPr>
          <w:p w:rsidR="00784F27" w:rsidRPr="00F61870" w:rsidRDefault="00784F27" w:rsidP="003B77C9">
            <w:pPr>
              <w:pStyle w:val="AERtabletextleft"/>
              <w:cnfStyle w:val="100000000000" w:firstRow="1" w:lastRow="0" w:firstColumn="0" w:lastColumn="0" w:oddVBand="0" w:evenVBand="0" w:oddHBand="0" w:evenHBand="0" w:firstRowFirstColumn="0" w:firstRowLastColumn="0" w:lastRowFirstColumn="0" w:lastRowLastColumn="0"/>
            </w:pPr>
            <w:r w:rsidRPr="00F61870">
              <w:t xml:space="preserve">CBD </w:t>
            </w:r>
          </w:p>
        </w:tc>
        <w:tc>
          <w:tcPr>
            <w:tcW w:w="1529" w:type="pct"/>
          </w:tcPr>
          <w:p w:rsidR="00784F27" w:rsidRPr="00F61870" w:rsidRDefault="00784F27" w:rsidP="003B77C9">
            <w:pPr>
              <w:pStyle w:val="AERtabletextleft"/>
              <w:cnfStyle w:val="100000000000" w:firstRow="1" w:lastRow="0" w:firstColumn="0" w:lastColumn="0" w:oddVBand="0" w:evenVBand="0" w:oddHBand="0" w:evenHBand="0" w:firstRowFirstColumn="0" w:firstRowLastColumn="0" w:lastRowFirstColumn="0" w:lastRowLastColumn="0"/>
            </w:pPr>
            <w:r w:rsidRPr="00F61870">
              <w:t>Urban</w:t>
            </w:r>
          </w:p>
        </w:tc>
        <w:tc>
          <w:tcPr>
            <w:tcW w:w="1528" w:type="pct"/>
          </w:tcPr>
          <w:p w:rsidR="00784F27" w:rsidRPr="00F61870" w:rsidRDefault="00784F27" w:rsidP="003B77C9">
            <w:pPr>
              <w:pStyle w:val="AERtabletextleft"/>
              <w:cnfStyle w:val="100000000000" w:firstRow="1" w:lastRow="0" w:firstColumn="0" w:lastColumn="0" w:oddVBand="0" w:evenVBand="0" w:oddHBand="0" w:evenHBand="0" w:firstRowFirstColumn="0" w:firstRowLastColumn="0" w:lastRowFirstColumn="0" w:lastRowLastColumn="0"/>
            </w:pPr>
            <w:r w:rsidRPr="00F61870">
              <w:t xml:space="preserve">Rural </w:t>
            </w:r>
          </w:p>
        </w:tc>
      </w:tr>
      <w:tr w:rsidR="009160E8" w:rsidRPr="00365480" w:rsidTr="003B77C9">
        <w:trPr>
          <w:trHeight w:val="465"/>
        </w:trPr>
        <w:tc>
          <w:tcPr>
            <w:cnfStyle w:val="001000000000" w:firstRow="0" w:lastRow="0" w:firstColumn="1" w:lastColumn="0" w:oddVBand="0" w:evenVBand="0" w:oddHBand="0" w:evenHBand="0" w:firstRowFirstColumn="0" w:firstRowLastColumn="0" w:lastRowFirstColumn="0" w:lastRowLastColumn="0"/>
            <w:tcW w:w="1011" w:type="pct"/>
            <w:hideMark/>
          </w:tcPr>
          <w:p w:rsidR="009160E8" w:rsidRPr="009160E8" w:rsidRDefault="009160E8" w:rsidP="003B77C9">
            <w:pPr>
              <w:pStyle w:val="AERtabletextleft"/>
              <w:rPr>
                <w:rStyle w:val="AERbody"/>
              </w:rPr>
            </w:pPr>
            <w:r w:rsidRPr="009160E8">
              <w:rPr>
                <w:rStyle w:val="AERbody"/>
              </w:rPr>
              <w:t>SAIDI</w:t>
            </w:r>
          </w:p>
        </w:tc>
        <w:tc>
          <w:tcPr>
            <w:tcW w:w="932" w:type="pct"/>
          </w:tcPr>
          <w:p w:rsidR="009160E8" w:rsidRPr="009160E8" w:rsidRDefault="009160E8" w:rsidP="003B77C9">
            <w:pPr>
              <w:pStyle w:val="AERtabletextleft"/>
              <w:cnfStyle w:val="000000000000" w:firstRow="0" w:lastRow="0" w:firstColumn="0" w:lastColumn="0" w:oddVBand="0" w:evenVBand="0" w:oddHBand="0" w:evenHBand="0" w:firstRowFirstColumn="0" w:firstRowLastColumn="0" w:lastRowFirstColumn="0" w:lastRowLastColumn="0"/>
            </w:pPr>
            <w:r w:rsidRPr="009160E8">
              <w:t>0.0028</w:t>
            </w:r>
          </w:p>
        </w:tc>
        <w:tc>
          <w:tcPr>
            <w:tcW w:w="1529" w:type="pct"/>
          </w:tcPr>
          <w:p w:rsidR="009160E8" w:rsidRPr="009160E8" w:rsidRDefault="009160E8" w:rsidP="003B77C9">
            <w:pPr>
              <w:pStyle w:val="AERtabletextleft"/>
              <w:cnfStyle w:val="000000000000" w:firstRow="0" w:lastRow="0" w:firstColumn="0" w:lastColumn="0" w:oddVBand="0" w:evenVBand="0" w:oddHBand="0" w:evenHBand="0" w:firstRowFirstColumn="0" w:firstRowLastColumn="0" w:lastRowFirstColumn="0" w:lastRowLastColumn="0"/>
            </w:pPr>
            <w:r w:rsidRPr="009160E8">
              <w:t>0.0494</w:t>
            </w:r>
          </w:p>
        </w:tc>
        <w:tc>
          <w:tcPr>
            <w:tcW w:w="1528" w:type="pct"/>
          </w:tcPr>
          <w:p w:rsidR="009160E8" w:rsidRPr="009160E8" w:rsidRDefault="009160E8" w:rsidP="003B77C9">
            <w:pPr>
              <w:pStyle w:val="AERtabletextleft"/>
              <w:cnfStyle w:val="000000000000" w:firstRow="0" w:lastRow="0" w:firstColumn="0" w:lastColumn="0" w:oddVBand="0" w:evenVBand="0" w:oddHBand="0" w:evenHBand="0" w:firstRowFirstColumn="0" w:firstRowLastColumn="0" w:lastRowFirstColumn="0" w:lastRowLastColumn="0"/>
            </w:pPr>
            <w:r w:rsidRPr="009160E8">
              <w:t>0.0116</w:t>
            </w:r>
          </w:p>
        </w:tc>
      </w:tr>
      <w:tr w:rsidR="003B77C9" w:rsidRPr="00365480" w:rsidTr="003B77C9">
        <w:trPr>
          <w:cnfStyle w:val="000000010000" w:firstRow="0" w:lastRow="0" w:firstColumn="0" w:lastColumn="0" w:oddVBand="0" w:evenVBand="0" w:oddHBand="0" w:evenHBand="1" w:firstRowFirstColumn="0" w:firstRowLastColumn="0" w:lastRowFirstColumn="0" w:lastRowLastColumn="0"/>
          <w:trHeight w:val="465"/>
        </w:trPr>
        <w:tc>
          <w:tcPr>
            <w:cnfStyle w:val="001000000000" w:firstRow="0" w:lastRow="0" w:firstColumn="1" w:lastColumn="0" w:oddVBand="0" w:evenVBand="0" w:oddHBand="0" w:evenHBand="0" w:firstRowFirstColumn="0" w:firstRowLastColumn="0" w:lastRowFirstColumn="0" w:lastRowLastColumn="0"/>
            <w:tcW w:w="1011" w:type="pct"/>
          </w:tcPr>
          <w:p w:rsidR="009160E8" w:rsidRPr="009160E8" w:rsidRDefault="009160E8" w:rsidP="003B77C9">
            <w:pPr>
              <w:pStyle w:val="AERtabletextleft"/>
              <w:rPr>
                <w:rStyle w:val="AERbody"/>
              </w:rPr>
            </w:pPr>
            <w:r w:rsidRPr="009160E8">
              <w:rPr>
                <w:rStyle w:val="AERbody"/>
              </w:rPr>
              <w:t>SAIFI</w:t>
            </w:r>
          </w:p>
        </w:tc>
        <w:tc>
          <w:tcPr>
            <w:tcW w:w="932" w:type="pct"/>
          </w:tcPr>
          <w:p w:rsidR="009160E8" w:rsidRPr="009160E8" w:rsidRDefault="009160E8" w:rsidP="003B77C9">
            <w:pPr>
              <w:pStyle w:val="AERtabletextleft"/>
              <w:cnfStyle w:val="000000010000" w:firstRow="0" w:lastRow="0" w:firstColumn="0" w:lastColumn="0" w:oddVBand="0" w:evenVBand="0" w:oddHBand="0" w:evenHBand="1" w:firstRowFirstColumn="0" w:firstRowLastColumn="0" w:lastRowFirstColumn="0" w:lastRowLastColumn="0"/>
            </w:pPr>
            <w:r w:rsidRPr="009160E8">
              <w:t>0.2735</w:t>
            </w:r>
          </w:p>
        </w:tc>
        <w:tc>
          <w:tcPr>
            <w:tcW w:w="1529" w:type="pct"/>
          </w:tcPr>
          <w:p w:rsidR="009160E8" w:rsidRPr="009160E8" w:rsidRDefault="009160E8" w:rsidP="003B77C9">
            <w:pPr>
              <w:pStyle w:val="AERtabletextleft"/>
              <w:cnfStyle w:val="000000010000" w:firstRow="0" w:lastRow="0" w:firstColumn="0" w:lastColumn="0" w:oddVBand="0" w:evenVBand="0" w:oddHBand="0" w:evenHBand="1" w:firstRowFirstColumn="0" w:firstRowLastColumn="0" w:lastRowFirstColumn="0" w:lastRowLastColumn="0"/>
            </w:pPr>
            <w:r w:rsidRPr="009160E8">
              <w:t>3.3749</w:t>
            </w:r>
          </w:p>
        </w:tc>
        <w:tc>
          <w:tcPr>
            <w:tcW w:w="1528" w:type="pct"/>
          </w:tcPr>
          <w:p w:rsidR="009160E8" w:rsidRPr="009160E8" w:rsidRDefault="009160E8" w:rsidP="003B77C9">
            <w:pPr>
              <w:pStyle w:val="AERtabletextleft"/>
              <w:cnfStyle w:val="000000010000" w:firstRow="0" w:lastRow="0" w:firstColumn="0" w:lastColumn="0" w:oddVBand="0" w:evenVBand="0" w:oddHBand="0" w:evenHBand="1" w:firstRowFirstColumn="0" w:firstRowLastColumn="0" w:lastRowFirstColumn="0" w:lastRowLastColumn="0"/>
            </w:pPr>
            <w:r w:rsidRPr="009160E8">
              <w:t>0.9693</w:t>
            </w:r>
          </w:p>
        </w:tc>
      </w:tr>
    </w:tbl>
    <w:p w:rsidR="00637CAC" w:rsidRDefault="00637CAC" w:rsidP="004633C5">
      <w:pPr>
        <w:pStyle w:val="AERtablesource"/>
      </w:pPr>
      <w:r>
        <w:t>Source:</w:t>
      </w:r>
      <w:r>
        <w:tab/>
      </w:r>
      <w:r w:rsidRPr="004633C5">
        <w:t>AER Analysis.</w:t>
      </w:r>
    </w:p>
    <w:p w:rsidR="00637CAC" w:rsidRDefault="00637CAC" w:rsidP="00637CAC">
      <w:pPr>
        <w:pStyle w:val="Caption"/>
      </w:pPr>
      <w:bookmarkStart w:id="19" w:name="_Ref430165103"/>
      <w:proofErr w:type="gramStart"/>
      <w:r>
        <w:t xml:space="preserve">Table </w:t>
      </w:r>
      <w:r w:rsidR="007E1B6C">
        <w:fldChar w:fldCharType="begin"/>
      </w:r>
      <w:r w:rsidR="007E1B6C">
        <w:instrText xml:space="preserve"> STYLEREF 1 \s </w:instrText>
      </w:r>
      <w:r w:rsidR="007E1B6C">
        <w:fldChar w:fldCharType="separate"/>
      </w:r>
      <w:r w:rsidR="00365480">
        <w:rPr>
          <w:noProof/>
        </w:rPr>
        <w:t>11</w:t>
      </w:r>
      <w:r w:rsidR="007E1B6C">
        <w:rPr>
          <w:noProof/>
        </w:rPr>
        <w:fldChar w:fldCharType="end"/>
      </w:r>
      <w:r w:rsidR="003B77C9">
        <w:t>.</w:t>
      </w:r>
      <w:proofErr w:type="gramEnd"/>
      <w:r w:rsidR="003B77C9">
        <w:fldChar w:fldCharType="begin"/>
      </w:r>
      <w:r w:rsidR="003B77C9">
        <w:instrText xml:space="preserve"> SEQ Table \* ARABIC \s 1 </w:instrText>
      </w:r>
      <w:r w:rsidR="003B77C9">
        <w:fldChar w:fldCharType="separate"/>
      </w:r>
      <w:r w:rsidR="00365480">
        <w:rPr>
          <w:noProof/>
        </w:rPr>
        <w:t>2</w:t>
      </w:r>
      <w:r w:rsidR="003B77C9">
        <w:rPr>
          <w:noProof/>
        </w:rPr>
        <w:fldChar w:fldCharType="end"/>
      </w:r>
      <w:bookmarkEnd w:id="19"/>
      <w:r>
        <w:tab/>
      </w:r>
      <w:r w:rsidR="00DB263E">
        <w:t xml:space="preserve">AER final decision on </w:t>
      </w:r>
      <w:r>
        <w:t xml:space="preserve">STPIS reliability targets for Energex for the 2015–20 regulatory </w:t>
      </w:r>
      <w:r w:rsidR="003B77C9">
        <w:t xml:space="preserve">control </w:t>
      </w:r>
      <w:r>
        <w:t>period</w:t>
      </w:r>
    </w:p>
    <w:tbl>
      <w:tblPr>
        <w:tblStyle w:val="AERtable-numbers"/>
        <w:tblW w:w="5000" w:type="pct"/>
        <w:tblLook w:val="04A0" w:firstRow="1" w:lastRow="0" w:firstColumn="1" w:lastColumn="0" w:noHBand="0" w:noVBand="1"/>
      </w:tblPr>
      <w:tblGrid>
        <w:gridCol w:w="3769"/>
        <w:gridCol w:w="4924"/>
      </w:tblGrid>
      <w:tr w:rsidR="00637CAC" w:rsidRPr="009160E8" w:rsidTr="009160E8">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68" w:type="pct"/>
            <w:hideMark/>
          </w:tcPr>
          <w:p w:rsidR="00637CAC" w:rsidRPr="00365480" w:rsidRDefault="00637CAC" w:rsidP="003B77C9">
            <w:pPr>
              <w:pStyle w:val="AERtabletextleft"/>
              <w:rPr>
                <w:rStyle w:val="AERbody"/>
              </w:rPr>
            </w:pPr>
          </w:p>
        </w:tc>
        <w:tc>
          <w:tcPr>
            <w:tcW w:w="2832" w:type="pct"/>
          </w:tcPr>
          <w:p w:rsidR="00637CAC" w:rsidRPr="009160E8" w:rsidRDefault="009160E8" w:rsidP="003B77C9">
            <w:pPr>
              <w:pStyle w:val="AERtabletextleft"/>
              <w:cnfStyle w:val="100000000000" w:firstRow="1" w:lastRow="0" w:firstColumn="0" w:lastColumn="0" w:oddVBand="0" w:evenVBand="0" w:oddHBand="0" w:evenHBand="0" w:firstRowFirstColumn="0" w:firstRowLastColumn="0" w:lastRowFirstColumn="0" w:lastRowLastColumn="0"/>
            </w:pPr>
            <w:r>
              <w:t>Value</w:t>
            </w:r>
          </w:p>
        </w:tc>
      </w:tr>
      <w:tr w:rsidR="00637CAC" w:rsidRPr="004A7196" w:rsidTr="009160E8">
        <w:trPr>
          <w:trHeight w:val="465"/>
        </w:trPr>
        <w:tc>
          <w:tcPr>
            <w:cnfStyle w:val="001000000000" w:firstRow="0" w:lastRow="0" w:firstColumn="1" w:lastColumn="0" w:oddVBand="0" w:evenVBand="0" w:oddHBand="0" w:evenHBand="0" w:firstRowFirstColumn="0" w:firstRowLastColumn="0" w:lastRowFirstColumn="0" w:lastRowLastColumn="0"/>
            <w:tcW w:w="2168" w:type="pct"/>
          </w:tcPr>
          <w:p w:rsidR="00637CAC" w:rsidRPr="004A7196" w:rsidRDefault="00637CAC" w:rsidP="003B77C9">
            <w:pPr>
              <w:pStyle w:val="AERtabletextleft"/>
              <w:rPr>
                <w:rStyle w:val="Strong"/>
              </w:rPr>
            </w:pPr>
            <w:r w:rsidRPr="004A7196">
              <w:rPr>
                <w:rStyle w:val="Strong"/>
              </w:rPr>
              <w:t>CBD</w:t>
            </w:r>
          </w:p>
        </w:tc>
        <w:tc>
          <w:tcPr>
            <w:tcW w:w="2832" w:type="pct"/>
          </w:tcPr>
          <w:p w:rsidR="00637CAC" w:rsidRPr="004A7196" w:rsidRDefault="00637CAC" w:rsidP="003B77C9">
            <w:pPr>
              <w:pStyle w:val="AERtabletextleft"/>
              <w:cnfStyle w:val="000000000000" w:firstRow="0" w:lastRow="0" w:firstColumn="0" w:lastColumn="0" w:oddVBand="0" w:evenVBand="0" w:oddHBand="0" w:evenHBand="0" w:firstRowFirstColumn="0" w:firstRowLastColumn="0" w:lastRowFirstColumn="0" w:lastRowLastColumn="0"/>
              <w:rPr>
                <w:rStyle w:val="Strong"/>
              </w:rPr>
            </w:pPr>
          </w:p>
        </w:tc>
      </w:tr>
      <w:tr w:rsidR="004633C5" w:rsidRPr="00670E6D" w:rsidTr="009160E8">
        <w:trPr>
          <w:cnfStyle w:val="000000010000" w:firstRow="0" w:lastRow="0" w:firstColumn="0" w:lastColumn="0" w:oddVBand="0" w:evenVBand="0" w:oddHBand="0" w:evenHBand="1" w:firstRowFirstColumn="0" w:firstRowLastColumn="0" w:lastRowFirstColumn="0" w:lastRowLastColumn="0"/>
          <w:trHeight w:val="465"/>
        </w:trPr>
        <w:tc>
          <w:tcPr>
            <w:cnfStyle w:val="001000000000" w:firstRow="0" w:lastRow="0" w:firstColumn="1" w:lastColumn="0" w:oddVBand="0" w:evenVBand="0" w:oddHBand="0" w:evenHBand="0" w:firstRowFirstColumn="0" w:firstRowLastColumn="0" w:lastRowFirstColumn="0" w:lastRowLastColumn="0"/>
            <w:tcW w:w="2168" w:type="pct"/>
            <w:hideMark/>
          </w:tcPr>
          <w:p w:rsidR="004633C5" w:rsidRPr="00365480" w:rsidRDefault="004633C5" w:rsidP="003B77C9">
            <w:pPr>
              <w:pStyle w:val="AERtabletextleft"/>
              <w:rPr>
                <w:rStyle w:val="AERbody"/>
              </w:rPr>
            </w:pPr>
            <w:r w:rsidRPr="00365480">
              <w:rPr>
                <w:rStyle w:val="AERbody"/>
              </w:rPr>
              <w:t>SAIDI</w:t>
            </w:r>
          </w:p>
        </w:tc>
        <w:tc>
          <w:tcPr>
            <w:tcW w:w="2832" w:type="pct"/>
          </w:tcPr>
          <w:p w:rsidR="004633C5" w:rsidRPr="00365480" w:rsidRDefault="004633C5" w:rsidP="003B77C9">
            <w:pPr>
              <w:pStyle w:val="AERtabletextleft"/>
              <w:cnfStyle w:val="000000010000" w:firstRow="0" w:lastRow="0" w:firstColumn="0" w:lastColumn="0" w:oddVBand="0" w:evenVBand="0" w:oddHBand="0" w:evenHBand="1" w:firstRowFirstColumn="0" w:firstRowLastColumn="0" w:lastRowFirstColumn="0" w:lastRowLastColumn="0"/>
              <w:rPr>
                <w:rStyle w:val="AERbody"/>
              </w:rPr>
            </w:pPr>
            <w:r w:rsidRPr="00365480">
              <w:rPr>
                <w:rStyle w:val="AERbody"/>
              </w:rPr>
              <w:t>3.89</w:t>
            </w:r>
            <w:r w:rsidR="00365480" w:rsidRPr="00365480">
              <w:rPr>
                <w:rStyle w:val="AERbody"/>
              </w:rPr>
              <w:t>7</w:t>
            </w:r>
          </w:p>
        </w:tc>
      </w:tr>
      <w:tr w:rsidR="004633C5" w:rsidRPr="00670E6D" w:rsidTr="009160E8">
        <w:trPr>
          <w:trHeight w:val="465"/>
        </w:trPr>
        <w:tc>
          <w:tcPr>
            <w:cnfStyle w:val="001000000000" w:firstRow="0" w:lastRow="0" w:firstColumn="1" w:lastColumn="0" w:oddVBand="0" w:evenVBand="0" w:oddHBand="0" w:evenHBand="0" w:firstRowFirstColumn="0" w:firstRowLastColumn="0" w:lastRowFirstColumn="0" w:lastRowLastColumn="0"/>
            <w:tcW w:w="2168" w:type="pct"/>
          </w:tcPr>
          <w:p w:rsidR="004633C5" w:rsidRPr="00365480" w:rsidRDefault="004633C5" w:rsidP="003B77C9">
            <w:pPr>
              <w:pStyle w:val="AERtabletextleft"/>
              <w:rPr>
                <w:rStyle w:val="AERbody"/>
              </w:rPr>
            </w:pPr>
            <w:r w:rsidRPr="00365480">
              <w:rPr>
                <w:rStyle w:val="AERbody"/>
              </w:rPr>
              <w:t>SAIFI</w:t>
            </w:r>
          </w:p>
        </w:tc>
        <w:tc>
          <w:tcPr>
            <w:tcW w:w="2832" w:type="pct"/>
          </w:tcPr>
          <w:p w:rsidR="004633C5" w:rsidRPr="00365480" w:rsidRDefault="004633C5" w:rsidP="003B77C9">
            <w:pPr>
              <w:pStyle w:val="AERtabletextleft"/>
              <w:cnfStyle w:val="000000000000" w:firstRow="0" w:lastRow="0" w:firstColumn="0" w:lastColumn="0" w:oddVBand="0" w:evenVBand="0" w:oddHBand="0" w:evenHBand="0" w:firstRowFirstColumn="0" w:firstRowLastColumn="0" w:lastRowFirstColumn="0" w:lastRowLastColumn="0"/>
              <w:rPr>
                <w:rStyle w:val="AERbody"/>
              </w:rPr>
            </w:pPr>
            <w:r w:rsidRPr="00365480">
              <w:rPr>
                <w:rStyle w:val="AERbody"/>
              </w:rPr>
              <w:t>0.0352</w:t>
            </w:r>
          </w:p>
        </w:tc>
      </w:tr>
      <w:tr w:rsidR="00637CAC" w:rsidRPr="004A7196" w:rsidTr="009160E8">
        <w:trPr>
          <w:cnfStyle w:val="000000010000" w:firstRow="0" w:lastRow="0" w:firstColumn="0" w:lastColumn="0" w:oddVBand="0" w:evenVBand="0" w:oddHBand="0" w:evenHBand="1" w:firstRowFirstColumn="0" w:firstRowLastColumn="0" w:lastRowFirstColumn="0" w:lastRowLastColumn="0"/>
          <w:trHeight w:val="465"/>
        </w:trPr>
        <w:tc>
          <w:tcPr>
            <w:cnfStyle w:val="001000000000" w:firstRow="0" w:lastRow="0" w:firstColumn="1" w:lastColumn="0" w:oddVBand="0" w:evenVBand="0" w:oddHBand="0" w:evenHBand="0" w:firstRowFirstColumn="0" w:firstRowLastColumn="0" w:lastRowFirstColumn="0" w:lastRowLastColumn="0"/>
            <w:tcW w:w="2168" w:type="pct"/>
          </w:tcPr>
          <w:p w:rsidR="00637CAC" w:rsidRPr="004A7196" w:rsidRDefault="00637CAC" w:rsidP="003B77C9">
            <w:pPr>
              <w:pStyle w:val="AERtabletextleft"/>
              <w:rPr>
                <w:rStyle w:val="Strong"/>
              </w:rPr>
            </w:pPr>
            <w:r w:rsidRPr="004A7196">
              <w:rPr>
                <w:rStyle w:val="Strong"/>
              </w:rPr>
              <w:t>Urban</w:t>
            </w:r>
          </w:p>
        </w:tc>
        <w:tc>
          <w:tcPr>
            <w:tcW w:w="2832" w:type="pct"/>
          </w:tcPr>
          <w:p w:rsidR="00637CAC" w:rsidRPr="004A7196" w:rsidRDefault="00637CAC" w:rsidP="003B77C9">
            <w:pPr>
              <w:pStyle w:val="AERtabletextleft"/>
              <w:cnfStyle w:val="000000010000" w:firstRow="0" w:lastRow="0" w:firstColumn="0" w:lastColumn="0" w:oddVBand="0" w:evenVBand="0" w:oddHBand="0" w:evenHBand="1" w:firstRowFirstColumn="0" w:firstRowLastColumn="0" w:lastRowFirstColumn="0" w:lastRowLastColumn="0"/>
              <w:rPr>
                <w:rStyle w:val="Strong"/>
              </w:rPr>
            </w:pPr>
          </w:p>
        </w:tc>
      </w:tr>
      <w:tr w:rsidR="004633C5" w:rsidRPr="00670E6D" w:rsidTr="009160E8">
        <w:trPr>
          <w:trHeight w:val="465"/>
        </w:trPr>
        <w:tc>
          <w:tcPr>
            <w:cnfStyle w:val="001000000000" w:firstRow="0" w:lastRow="0" w:firstColumn="1" w:lastColumn="0" w:oddVBand="0" w:evenVBand="0" w:oddHBand="0" w:evenHBand="0" w:firstRowFirstColumn="0" w:firstRowLastColumn="0" w:lastRowFirstColumn="0" w:lastRowLastColumn="0"/>
            <w:tcW w:w="2168" w:type="pct"/>
          </w:tcPr>
          <w:p w:rsidR="004633C5" w:rsidRPr="00365480" w:rsidRDefault="004633C5" w:rsidP="003B77C9">
            <w:pPr>
              <w:pStyle w:val="AERtabletextleft"/>
              <w:rPr>
                <w:rStyle w:val="AERbody"/>
              </w:rPr>
            </w:pPr>
            <w:r w:rsidRPr="00365480">
              <w:rPr>
                <w:rStyle w:val="AERbody"/>
              </w:rPr>
              <w:t>SAIDI</w:t>
            </w:r>
          </w:p>
        </w:tc>
        <w:tc>
          <w:tcPr>
            <w:tcW w:w="2832" w:type="pct"/>
          </w:tcPr>
          <w:p w:rsidR="004633C5" w:rsidRPr="00365480" w:rsidRDefault="004633C5" w:rsidP="003B77C9">
            <w:pPr>
              <w:pStyle w:val="AERtabletextleft"/>
              <w:cnfStyle w:val="000000000000" w:firstRow="0" w:lastRow="0" w:firstColumn="0" w:lastColumn="0" w:oddVBand="0" w:evenVBand="0" w:oddHBand="0" w:evenHBand="0" w:firstRowFirstColumn="0" w:firstRowLastColumn="0" w:lastRowFirstColumn="0" w:lastRowLastColumn="0"/>
              <w:rPr>
                <w:rStyle w:val="AERbody"/>
              </w:rPr>
            </w:pPr>
            <w:r w:rsidRPr="00365480">
              <w:rPr>
                <w:rStyle w:val="AERbody"/>
              </w:rPr>
              <w:t>60.118</w:t>
            </w:r>
          </w:p>
        </w:tc>
      </w:tr>
      <w:tr w:rsidR="004633C5" w:rsidRPr="00670E6D" w:rsidTr="009160E8">
        <w:trPr>
          <w:cnfStyle w:val="000000010000" w:firstRow="0" w:lastRow="0" w:firstColumn="0" w:lastColumn="0" w:oddVBand="0" w:evenVBand="0" w:oddHBand="0" w:evenHBand="1" w:firstRowFirstColumn="0" w:firstRowLastColumn="0" w:lastRowFirstColumn="0" w:lastRowLastColumn="0"/>
          <w:trHeight w:val="465"/>
        </w:trPr>
        <w:tc>
          <w:tcPr>
            <w:cnfStyle w:val="001000000000" w:firstRow="0" w:lastRow="0" w:firstColumn="1" w:lastColumn="0" w:oddVBand="0" w:evenVBand="0" w:oddHBand="0" w:evenHBand="0" w:firstRowFirstColumn="0" w:firstRowLastColumn="0" w:lastRowFirstColumn="0" w:lastRowLastColumn="0"/>
            <w:tcW w:w="2168" w:type="pct"/>
          </w:tcPr>
          <w:p w:rsidR="004633C5" w:rsidRPr="00365480" w:rsidRDefault="004633C5" w:rsidP="003B77C9">
            <w:pPr>
              <w:pStyle w:val="AERtabletextleft"/>
              <w:rPr>
                <w:rStyle w:val="AERbody"/>
              </w:rPr>
            </w:pPr>
            <w:r w:rsidRPr="00365480">
              <w:rPr>
                <w:rStyle w:val="AERbody"/>
              </w:rPr>
              <w:t>SAIFI</w:t>
            </w:r>
          </w:p>
        </w:tc>
        <w:tc>
          <w:tcPr>
            <w:tcW w:w="2832" w:type="pct"/>
          </w:tcPr>
          <w:p w:rsidR="004633C5" w:rsidRPr="00365480" w:rsidRDefault="004633C5" w:rsidP="003B77C9">
            <w:pPr>
              <w:pStyle w:val="AERtabletextleft"/>
              <w:cnfStyle w:val="000000010000" w:firstRow="0" w:lastRow="0" w:firstColumn="0" w:lastColumn="0" w:oddVBand="0" w:evenVBand="0" w:oddHBand="0" w:evenHBand="1" w:firstRowFirstColumn="0" w:firstRowLastColumn="0" w:lastRowFirstColumn="0" w:lastRowLastColumn="0"/>
              <w:rPr>
                <w:rStyle w:val="AERbody"/>
              </w:rPr>
            </w:pPr>
            <w:r w:rsidRPr="00365480">
              <w:rPr>
                <w:rStyle w:val="AERbody"/>
              </w:rPr>
              <w:t>0.908</w:t>
            </w:r>
            <w:r w:rsidR="00365480" w:rsidRPr="00365480">
              <w:rPr>
                <w:rStyle w:val="AERbody"/>
              </w:rPr>
              <w:t>1</w:t>
            </w:r>
          </w:p>
        </w:tc>
      </w:tr>
      <w:tr w:rsidR="00637CAC" w:rsidRPr="004A7196" w:rsidTr="009160E8">
        <w:trPr>
          <w:trHeight w:val="465"/>
        </w:trPr>
        <w:tc>
          <w:tcPr>
            <w:cnfStyle w:val="001000000000" w:firstRow="0" w:lastRow="0" w:firstColumn="1" w:lastColumn="0" w:oddVBand="0" w:evenVBand="0" w:oddHBand="0" w:evenHBand="0" w:firstRowFirstColumn="0" w:firstRowLastColumn="0" w:lastRowFirstColumn="0" w:lastRowLastColumn="0"/>
            <w:tcW w:w="2168" w:type="pct"/>
          </w:tcPr>
          <w:p w:rsidR="00637CAC" w:rsidRPr="004A7196" w:rsidRDefault="00637CAC" w:rsidP="003B77C9">
            <w:pPr>
              <w:pStyle w:val="AERtabletextleft"/>
              <w:rPr>
                <w:rStyle w:val="Strong"/>
              </w:rPr>
            </w:pPr>
            <w:r w:rsidRPr="004A7196">
              <w:rPr>
                <w:rStyle w:val="Strong"/>
              </w:rPr>
              <w:t xml:space="preserve">Rural </w:t>
            </w:r>
          </w:p>
        </w:tc>
        <w:tc>
          <w:tcPr>
            <w:tcW w:w="2832" w:type="pct"/>
          </w:tcPr>
          <w:p w:rsidR="00637CAC" w:rsidRPr="004A7196" w:rsidRDefault="00637CAC" w:rsidP="003B77C9">
            <w:pPr>
              <w:pStyle w:val="AERtabletextleft"/>
              <w:cnfStyle w:val="000000000000" w:firstRow="0" w:lastRow="0" w:firstColumn="0" w:lastColumn="0" w:oddVBand="0" w:evenVBand="0" w:oddHBand="0" w:evenHBand="0" w:firstRowFirstColumn="0" w:firstRowLastColumn="0" w:lastRowFirstColumn="0" w:lastRowLastColumn="0"/>
              <w:rPr>
                <w:rStyle w:val="Strong"/>
              </w:rPr>
            </w:pPr>
          </w:p>
        </w:tc>
      </w:tr>
      <w:tr w:rsidR="004633C5" w:rsidRPr="00670E6D" w:rsidTr="009160E8">
        <w:trPr>
          <w:cnfStyle w:val="000000010000" w:firstRow="0" w:lastRow="0" w:firstColumn="0" w:lastColumn="0" w:oddVBand="0" w:evenVBand="0" w:oddHBand="0" w:evenHBand="1" w:firstRowFirstColumn="0" w:firstRowLastColumn="0" w:lastRowFirstColumn="0" w:lastRowLastColumn="0"/>
          <w:trHeight w:val="465"/>
        </w:trPr>
        <w:tc>
          <w:tcPr>
            <w:cnfStyle w:val="001000000000" w:firstRow="0" w:lastRow="0" w:firstColumn="1" w:lastColumn="0" w:oddVBand="0" w:evenVBand="0" w:oddHBand="0" w:evenHBand="0" w:firstRowFirstColumn="0" w:firstRowLastColumn="0" w:lastRowFirstColumn="0" w:lastRowLastColumn="0"/>
            <w:tcW w:w="2168" w:type="pct"/>
          </w:tcPr>
          <w:p w:rsidR="004633C5" w:rsidRPr="00365480" w:rsidRDefault="004633C5" w:rsidP="003B77C9">
            <w:pPr>
              <w:pStyle w:val="AERtabletextleft"/>
              <w:rPr>
                <w:rStyle w:val="AERbody"/>
              </w:rPr>
            </w:pPr>
            <w:r w:rsidRPr="00365480">
              <w:rPr>
                <w:rStyle w:val="AERbody"/>
              </w:rPr>
              <w:t>SAIDI</w:t>
            </w:r>
          </w:p>
        </w:tc>
        <w:tc>
          <w:tcPr>
            <w:tcW w:w="2832" w:type="pct"/>
          </w:tcPr>
          <w:p w:rsidR="004633C5" w:rsidRPr="00365480" w:rsidRDefault="004633C5" w:rsidP="003B77C9">
            <w:pPr>
              <w:pStyle w:val="AERtabletextleft"/>
              <w:cnfStyle w:val="000000010000" w:firstRow="0" w:lastRow="0" w:firstColumn="0" w:lastColumn="0" w:oddVBand="0" w:evenVBand="0" w:oddHBand="0" w:evenHBand="1" w:firstRowFirstColumn="0" w:firstRowLastColumn="0" w:lastRowFirstColumn="0" w:lastRowLastColumn="0"/>
              <w:rPr>
                <w:rStyle w:val="AERbody"/>
              </w:rPr>
            </w:pPr>
            <w:r w:rsidRPr="00365480">
              <w:rPr>
                <w:rStyle w:val="AERbody"/>
              </w:rPr>
              <w:t>144.47</w:t>
            </w:r>
            <w:r w:rsidR="00365480" w:rsidRPr="00365480">
              <w:rPr>
                <w:rStyle w:val="AERbody"/>
              </w:rPr>
              <w:t>5</w:t>
            </w:r>
          </w:p>
        </w:tc>
      </w:tr>
      <w:tr w:rsidR="004633C5" w:rsidRPr="00670E6D" w:rsidTr="009160E8">
        <w:trPr>
          <w:trHeight w:val="465"/>
        </w:trPr>
        <w:tc>
          <w:tcPr>
            <w:cnfStyle w:val="001000000000" w:firstRow="0" w:lastRow="0" w:firstColumn="1" w:lastColumn="0" w:oddVBand="0" w:evenVBand="0" w:oddHBand="0" w:evenHBand="0" w:firstRowFirstColumn="0" w:firstRowLastColumn="0" w:lastRowFirstColumn="0" w:lastRowLastColumn="0"/>
            <w:tcW w:w="2168" w:type="pct"/>
          </w:tcPr>
          <w:p w:rsidR="004633C5" w:rsidRPr="00365480" w:rsidRDefault="004633C5" w:rsidP="003B77C9">
            <w:pPr>
              <w:pStyle w:val="AERtabletextleft"/>
              <w:rPr>
                <w:rStyle w:val="AERbody"/>
              </w:rPr>
            </w:pPr>
            <w:r w:rsidRPr="00365480">
              <w:rPr>
                <w:rStyle w:val="AERbody"/>
              </w:rPr>
              <w:t>SAIFI</w:t>
            </w:r>
          </w:p>
        </w:tc>
        <w:tc>
          <w:tcPr>
            <w:tcW w:w="2832" w:type="pct"/>
          </w:tcPr>
          <w:p w:rsidR="004633C5" w:rsidRPr="00365480" w:rsidRDefault="004633C5" w:rsidP="003B77C9">
            <w:pPr>
              <w:pStyle w:val="AERtabletextleft"/>
              <w:cnfStyle w:val="000000000000" w:firstRow="0" w:lastRow="0" w:firstColumn="0" w:lastColumn="0" w:oddVBand="0" w:evenVBand="0" w:oddHBand="0" w:evenHBand="0" w:firstRowFirstColumn="0" w:firstRowLastColumn="0" w:lastRowFirstColumn="0" w:lastRowLastColumn="0"/>
              <w:rPr>
                <w:rStyle w:val="AERbody"/>
              </w:rPr>
            </w:pPr>
            <w:r w:rsidRPr="00365480">
              <w:rPr>
                <w:rStyle w:val="AERbody"/>
              </w:rPr>
              <w:t>1.8747</w:t>
            </w:r>
          </w:p>
        </w:tc>
      </w:tr>
      <w:tr w:rsidR="00637CAC" w:rsidRPr="004A7196" w:rsidTr="009160E8">
        <w:trPr>
          <w:cnfStyle w:val="000000010000" w:firstRow="0" w:lastRow="0" w:firstColumn="0" w:lastColumn="0" w:oddVBand="0" w:evenVBand="0" w:oddHBand="0" w:evenHBand="1" w:firstRowFirstColumn="0" w:firstRowLastColumn="0" w:lastRowFirstColumn="0" w:lastRowLastColumn="0"/>
          <w:trHeight w:val="465"/>
        </w:trPr>
        <w:tc>
          <w:tcPr>
            <w:cnfStyle w:val="001000000000" w:firstRow="0" w:lastRow="0" w:firstColumn="1" w:lastColumn="0" w:oddVBand="0" w:evenVBand="0" w:oddHBand="0" w:evenHBand="0" w:firstRowFirstColumn="0" w:firstRowLastColumn="0" w:lastRowFirstColumn="0" w:lastRowLastColumn="0"/>
            <w:tcW w:w="2168" w:type="pct"/>
          </w:tcPr>
          <w:p w:rsidR="00637CAC" w:rsidRPr="004A7196" w:rsidRDefault="00637CAC" w:rsidP="003B77C9">
            <w:pPr>
              <w:pStyle w:val="AERtabletextleft"/>
              <w:rPr>
                <w:rStyle w:val="Strong"/>
              </w:rPr>
            </w:pPr>
            <w:r w:rsidRPr="004A7196">
              <w:rPr>
                <w:rStyle w:val="Strong"/>
              </w:rPr>
              <w:t>Telephone answering</w:t>
            </w:r>
          </w:p>
        </w:tc>
        <w:tc>
          <w:tcPr>
            <w:tcW w:w="2832" w:type="pct"/>
          </w:tcPr>
          <w:p w:rsidR="00637CAC" w:rsidRPr="004A7196" w:rsidRDefault="00637CAC" w:rsidP="003B77C9">
            <w:pPr>
              <w:pStyle w:val="AERtabletextleft"/>
              <w:cnfStyle w:val="000000010000" w:firstRow="0" w:lastRow="0" w:firstColumn="0" w:lastColumn="0" w:oddVBand="0" w:evenVBand="0" w:oddHBand="0" w:evenHBand="1" w:firstRowFirstColumn="0" w:firstRowLastColumn="0" w:lastRowFirstColumn="0" w:lastRowLastColumn="0"/>
              <w:rPr>
                <w:rStyle w:val="Strong"/>
              </w:rPr>
            </w:pPr>
          </w:p>
        </w:tc>
      </w:tr>
      <w:tr w:rsidR="00637CAC" w:rsidRPr="00670E6D" w:rsidTr="009160E8">
        <w:trPr>
          <w:trHeight w:val="465"/>
        </w:trPr>
        <w:tc>
          <w:tcPr>
            <w:cnfStyle w:val="001000000000" w:firstRow="0" w:lastRow="0" w:firstColumn="1" w:lastColumn="0" w:oddVBand="0" w:evenVBand="0" w:oddHBand="0" w:evenHBand="0" w:firstRowFirstColumn="0" w:firstRowLastColumn="0" w:lastRowFirstColumn="0" w:lastRowLastColumn="0"/>
            <w:tcW w:w="2168" w:type="pct"/>
          </w:tcPr>
          <w:p w:rsidR="00637CAC" w:rsidRPr="00365480" w:rsidRDefault="00637CAC" w:rsidP="003B77C9">
            <w:pPr>
              <w:pStyle w:val="AERtabletextleft"/>
              <w:rPr>
                <w:rStyle w:val="AERbody"/>
              </w:rPr>
            </w:pPr>
            <w:r w:rsidRPr="00365480">
              <w:rPr>
                <w:rStyle w:val="AERbody"/>
              </w:rPr>
              <w:t>Percentage of calls will be answered within 30 seconds</w:t>
            </w:r>
          </w:p>
        </w:tc>
        <w:tc>
          <w:tcPr>
            <w:tcW w:w="2832" w:type="pct"/>
          </w:tcPr>
          <w:p w:rsidR="00637CAC" w:rsidRPr="00365480" w:rsidRDefault="00F61870" w:rsidP="003B77C9">
            <w:pPr>
              <w:pStyle w:val="AERtabletextleft"/>
              <w:cnfStyle w:val="000000000000" w:firstRow="0" w:lastRow="0" w:firstColumn="0" w:lastColumn="0" w:oddVBand="0" w:evenVBand="0" w:oddHBand="0" w:evenHBand="0" w:firstRowFirstColumn="0" w:firstRowLastColumn="0" w:lastRowFirstColumn="0" w:lastRowLastColumn="0"/>
              <w:rPr>
                <w:rStyle w:val="AERbody"/>
              </w:rPr>
            </w:pPr>
            <w:r w:rsidRPr="00365480">
              <w:rPr>
                <w:rStyle w:val="AERbody"/>
              </w:rPr>
              <w:t>85</w:t>
            </w:r>
          </w:p>
        </w:tc>
      </w:tr>
    </w:tbl>
    <w:p w:rsidR="00637CAC" w:rsidRDefault="00637CAC" w:rsidP="00637CAC">
      <w:pPr>
        <w:pStyle w:val="AERtablesource"/>
      </w:pPr>
      <w:r>
        <w:t xml:space="preserve">Source: </w:t>
      </w:r>
      <w:r>
        <w:tab/>
        <w:t>AER analysis.</w:t>
      </w:r>
    </w:p>
    <w:p w:rsidR="007A7F5F" w:rsidRDefault="007A7F5F" w:rsidP="007A7F5F"/>
    <w:p w:rsidR="007A7F5F" w:rsidRDefault="007A7F5F" w:rsidP="007A7F5F"/>
    <w:p w:rsidR="00DE563D" w:rsidRDefault="001201F1" w:rsidP="00B34302">
      <w:pPr>
        <w:pStyle w:val="Heading2"/>
      </w:pPr>
      <w:bookmarkStart w:id="20" w:name="_Toc403144137"/>
      <w:bookmarkStart w:id="21" w:name="_Toc433026842"/>
      <w:bookmarkEnd w:id="16"/>
      <w:r w:rsidRPr="00B34302">
        <w:t>Energex's</w:t>
      </w:r>
      <w:r w:rsidR="00DE563D" w:rsidRPr="00B34302">
        <w:t xml:space="preserve"> </w:t>
      </w:r>
      <w:r w:rsidR="001140AD">
        <w:t xml:space="preserve">revised </w:t>
      </w:r>
      <w:r w:rsidR="00DE563D" w:rsidRPr="00B34302">
        <w:t>proposal</w:t>
      </w:r>
      <w:bookmarkEnd w:id="20"/>
      <w:bookmarkEnd w:id="21"/>
    </w:p>
    <w:p w:rsidR="00335393" w:rsidRPr="00335393" w:rsidRDefault="007A3BDD" w:rsidP="00335393">
      <w:r>
        <w:t xml:space="preserve">Energex's revised regulatory proposal accepted our </w:t>
      </w:r>
      <w:r w:rsidR="00F557D7">
        <w:t>preliminary</w:t>
      </w:r>
      <w:r>
        <w:t xml:space="preserve"> decision on its STPIS.</w:t>
      </w:r>
      <w:r>
        <w:rPr>
          <w:rStyle w:val="FootnoteReference"/>
        </w:rPr>
        <w:footnoteReference w:id="2"/>
      </w:r>
    </w:p>
    <w:p w:rsidR="00DE563D" w:rsidRDefault="00DE563D" w:rsidP="00B34302">
      <w:pPr>
        <w:pStyle w:val="Heading2"/>
      </w:pPr>
      <w:bookmarkStart w:id="22" w:name="_Toc403144138"/>
      <w:bookmarkStart w:id="23" w:name="_Toc433026843"/>
      <w:r w:rsidRPr="00B34302">
        <w:t>AER’s assessment approach</w:t>
      </w:r>
      <w:bookmarkEnd w:id="22"/>
      <w:bookmarkEnd w:id="23"/>
    </w:p>
    <w:p w:rsidR="00FE3211" w:rsidRDefault="00FE3211" w:rsidP="00FE3211">
      <w:r>
        <w:t>We are required to make a decision on how the STPIS is to apply to Energex.</w:t>
      </w:r>
      <w:r>
        <w:rPr>
          <w:rStyle w:val="FootnoteReference"/>
        </w:rPr>
        <w:footnoteReference w:id="3"/>
      </w:r>
      <w:r>
        <w:t xml:space="preserve"> When making a distribution determination, the STPIS requires us to determine all performance targets, incentive rates, revenue at risk and other parameters required to apply the scheme.</w:t>
      </w:r>
      <w:r>
        <w:rPr>
          <w:rStyle w:val="FootnoteReference"/>
        </w:rPr>
        <w:footnoteReference w:id="4"/>
      </w:r>
      <w:r>
        <w:t xml:space="preserve"> </w:t>
      </w:r>
    </w:p>
    <w:p w:rsidR="00FE3211" w:rsidRDefault="00FE3211" w:rsidP="00FE3211">
      <w:r>
        <w:t xml:space="preserve">We outlined our proposed approach to, and justification for, the application of the STPIS in our </w:t>
      </w:r>
      <w:r w:rsidR="003B77C9">
        <w:t>F&amp;A for</w:t>
      </w:r>
      <w:r>
        <w:t xml:space="preserve"> Energex.</w:t>
      </w:r>
      <w:r>
        <w:rPr>
          <w:rStyle w:val="FootnoteReference"/>
        </w:rPr>
        <w:footnoteReference w:id="5"/>
      </w:r>
      <w:r>
        <w:t xml:space="preserve"> Our preliminary</w:t>
      </w:r>
      <w:r w:rsidRPr="00277FF4">
        <w:t xml:space="preserve"> decision </w:t>
      </w:r>
      <w:r>
        <w:t xml:space="preserve">and final decision have adopted the same </w:t>
      </w:r>
      <w:r w:rsidR="003B77C9">
        <w:t>approach</w:t>
      </w:r>
      <w:r>
        <w:t>, unless new information has become available or new arguments have been put forward which warrant a reconsideration of this position.  We have considered material submitted to us by stakeholders and Energex. In each instance, we considered the relative merits of the alternative against the objectives of the STPIS.</w:t>
      </w:r>
      <w:r>
        <w:rPr>
          <w:rStyle w:val="FootnoteReference"/>
        </w:rPr>
        <w:footnoteReference w:id="6"/>
      </w:r>
    </w:p>
    <w:p w:rsidR="003736F3" w:rsidRDefault="003736F3" w:rsidP="003736F3">
      <w:pPr>
        <w:pStyle w:val="Heading3"/>
      </w:pPr>
      <w:bookmarkStart w:id="24" w:name="_Toc415040783"/>
      <w:bookmarkStart w:id="25" w:name="_Toc433026844"/>
      <w:r>
        <w:t>Interrelationship</w:t>
      </w:r>
      <w:bookmarkEnd w:id="24"/>
      <w:r w:rsidR="003B77C9">
        <w:t>s</w:t>
      </w:r>
      <w:bookmarkEnd w:id="25"/>
    </w:p>
    <w:p w:rsidR="00637CAC" w:rsidRPr="003861C2" w:rsidRDefault="00637CAC" w:rsidP="00637CAC">
      <w:r w:rsidRPr="003861C2">
        <w:t>In applying the STPIS we must consider any other incentives available to the distributor under the NER or relevant distribution determination</w:t>
      </w:r>
      <w:r w:rsidRPr="002204A1">
        <w:rPr>
          <w:rStyle w:val="AERbody"/>
        </w:rPr>
        <w:t>.</w:t>
      </w:r>
      <w:r>
        <w:rPr>
          <w:rStyle w:val="FootnoteReference"/>
        </w:rPr>
        <w:footnoteReference w:id="7"/>
      </w:r>
      <w:r w:rsidRPr="002204A1">
        <w:rPr>
          <w:rStyle w:val="AERbody"/>
        </w:rPr>
        <w:t xml:space="preserve"> </w:t>
      </w:r>
      <w:r w:rsidRPr="003861C2">
        <w:t>One of the objectives of the STPIS is to ensure that the incentives are sufficient to offset any financial incentives the distributor may have to reduce costs at the expense of service levels. For the 201</w:t>
      </w:r>
      <w:r>
        <w:t>5</w:t>
      </w:r>
      <w:r w:rsidRPr="003861C2">
        <w:t>–20 regulatory control period, the STPIS will interact with the Capital Expenditure Sharing Scheme (CESS) and the opex Expenditure Benefit Sharing Scheme (EBSS).</w:t>
      </w:r>
      <w:r>
        <w:rPr>
          <w:rStyle w:val="FootnoteReference"/>
        </w:rPr>
        <w:footnoteReference w:id="8"/>
      </w:r>
    </w:p>
    <w:p w:rsidR="00637CAC" w:rsidRPr="002204A1" w:rsidRDefault="00637CAC" w:rsidP="00637CAC">
      <w:pPr>
        <w:rPr>
          <w:rStyle w:val="AERbody"/>
        </w:rPr>
      </w:pPr>
      <w:r w:rsidRPr="002204A1">
        <w:rPr>
          <w:rStyle w:val="AERbody"/>
        </w:rPr>
        <w:t>The rewards and penalties amounts under STPIS</w:t>
      </w:r>
      <w:r>
        <w:rPr>
          <w:rStyle w:val="AERbody"/>
        </w:rPr>
        <w:t xml:space="preserve"> (the incentive rates)</w:t>
      </w:r>
      <w:r w:rsidRPr="002204A1">
        <w:rPr>
          <w:rStyle w:val="AERbody"/>
        </w:rPr>
        <w:t xml:space="preserve"> are determined based on the average customer value </w:t>
      </w:r>
      <w:r>
        <w:rPr>
          <w:rStyle w:val="AERbody"/>
        </w:rPr>
        <w:t>for</w:t>
      </w:r>
      <w:r w:rsidRPr="002204A1">
        <w:rPr>
          <w:rStyle w:val="AERbody"/>
        </w:rPr>
        <w:t xml:space="preserve"> the improvement, or otherwise, to supply reliability</w:t>
      </w:r>
      <w:r>
        <w:rPr>
          <w:rStyle w:val="AERbody"/>
        </w:rPr>
        <w:t xml:space="preserve"> </w:t>
      </w:r>
      <w:r w:rsidRPr="002204A1">
        <w:rPr>
          <w:rStyle w:val="AERbody"/>
        </w:rPr>
        <w:t xml:space="preserve">(the VCR). This </w:t>
      </w:r>
      <w:r>
        <w:rPr>
          <w:rStyle w:val="AERbody"/>
        </w:rPr>
        <w:t>is aimed at</w:t>
      </w:r>
      <w:r w:rsidRPr="002204A1">
        <w:rPr>
          <w:rStyle w:val="AERbody"/>
        </w:rPr>
        <w:t xml:space="preserve"> ensur</w:t>
      </w:r>
      <w:r>
        <w:rPr>
          <w:rStyle w:val="AERbody"/>
        </w:rPr>
        <w:t>ing</w:t>
      </w:r>
      <w:r w:rsidRPr="002204A1">
        <w:rPr>
          <w:rStyle w:val="AERbody"/>
        </w:rPr>
        <w:t xml:space="preserve"> that the distributor’s operational and investment strategies are consistent with customers’ value </w:t>
      </w:r>
      <w:r>
        <w:rPr>
          <w:rStyle w:val="AERbody"/>
        </w:rPr>
        <w:t>for</w:t>
      </w:r>
      <w:r w:rsidRPr="002204A1">
        <w:rPr>
          <w:rStyle w:val="AERbody"/>
        </w:rPr>
        <w:t xml:space="preserve"> the service</w:t>
      </w:r>
      <w:r>
        <w:rPr>
          <w:rStyle w:val="AERbody"/>
        </w:rPr>
        <w:t>s that are offered</w:t>
      </w:r>
      <w:r w:rsidRPr="002204A1">
        <w:rPr>
          <w:rStyle w:val="AERbody"/>
        </w:rPr>
        <w:t xml:space="preserve"> </w:t>
      </w:r>
      <w:r>
        <w:rPr>
          <w:rStyle w:val="AERbody"/>
        </w:rPr>
        <w:t>to them.</w:t>
      </w:r>
    </w:p>
    <w:p w:rsidR="00637CAC" w:rsidRDefault="00637CAC" w:rsidP="00637CAC">
      <w:pPr>
        <w:rPr>
          <w:rStyle w:val="AERbody"/>
        </w:rPr>
      </w:pPr>
      <w:r>
        <w:rPr>
          <w:rStyle w:val="AERbody"/>
        </w:rPr>
        <w:t>Our</w:t>
      </w:r>
      <w:r w:rsidRPr="002204A1">
        <w:rPr>
          <w:rStyle w:val="AERbody"/>
        </w:rPr>
        <w:t xml:space="preserve"> capex and opex allowances are</w:t>
      </w:r>
      <w:r>
        <w:rPr>
          <w:rStyle w:val="AERbody"/>
        </w:rPr>
        <w:t xml:space="preserve"> </w:t>
      </w:r>
      <w:r>
        <w:t xml:space="preserve">set to reasonably </w:t>
      </w:r>
      <w:r w:rsidRPr="00E47342">
        <w:t>reflect the expenditures required by a</w:t>
      </w:r>
      <w:r>
        <w:t xml:space="preserve"> prudent</w:t>
      </w:r>
      <w:r w:rsidRPr="00E47342">
        <w:t xml:space="preserve"> </w:t>
      </w:r>
      <w:r>
        <w:t xml:space="preserve">and </w:t>
      </w:r>
      <w:r w:rsidRPr="00E47342">
        <w:t xml:space="preserve">efficient business to </w:t>
      </w:r>
      <w:r>
        <w:t xml:space="preserve">achieve the capex and opex objectives. These </w:t>
      </w:r>
      <w:r>
        <w:lastRenderedPageBreak/>
        <w:t xml:space="preserve">include complying with all applicable regulatory </w:t>
      </w:r>
      <w:r w:rsidRPr="00E47342">
        <w:t>obligations</w:t>
      </w:r>
      <w:r>
        <w:t xml:space="preserve"> and requirements and, in the absence of such obligations, </w:t>
      </w:r>
      <w:r w:rsidRPr="00E47342">
        <w:t xml:space="preserve">maintaining </w:t>
      </w:r>
      <w:r>
        <w:t xml:space="preserve">quality, </w:t>
      </w:r>
      <w:r w:rsidRPr="00E47342">
        <w:t>reliability, and security outcomes</w:t>
      </w:r>
      <w:r>
        <w:t>.</w:t>
      </w:r>
      <w:r w:rsidRPr="002204A1">
        <w:rPr>
          <w:rStyle w:val="AERbody"/>
        </w:rPr>
        <w:t xml:space="preserve"> </w:t>
      </w:r>
    </w:p>
    <w:p w:rsidR="00637CAC" w:rsidRPr="002204A1" w:rsidRDefault="00637CAC" w:rsidP="00637CAC">
      <w:pPr>
        <w:rPr>
          <w:rStyle w:val="AERbody"/>
        </w:rPr>
      </w:pPr>
      <w:r>
        <w:rPr>
          <w:rStyle w:val="AERbody"/>
        </w:rPr>
        <w:t>T</w:t>
      </w:r>
      <w:r w:rsidRPr="002204A1">
        <w:rPr>
          <w:rStyle w:val="AERbody"/>
        </w:rPr>
        <w:t>he STPIS</w:t>
      </w:r>
      <w:r>
        <w:rPr>
          <w:rStyle w:val="AERbody"/>
        </w:rPr>
        <w:t>,</w:t>
      </w:r>
      <w:r w:rsidRPr="002204A1">
        <w:rPr>
          <w:rStyle w:val="AERbody"/>
        </w:rPr>
        <w:t xml:space="preserve"> </w:t>
      </w:r>
      <w:r>
        <w:rPr>
          <w:rStyle w:val="AERbody"/>
        </w:rPr>
        <w:t xml:space="preserve">on the other hand provides, an incentive for distributors to invest in further reliability improvements (via additional STPIS rewards) where customers are willing to pay for it. Conversely, the STPIS penalises distributors where they let reliability deteriorate. </w:t>
      </w:r>
      <w:r w:rsidRPr="002204A1">
        <w:rPr>
          <w:rStyle w:val="AERbody"/>
        </w:rPr>
        <w:t>Importantly, the distributor will only receive a financial reward</w:t>
      </w:r>
      <w:r>
        <w:rPr>
          <w:rStyle w:val="AERbody"/>
        </w:rPr>
        <w:t xml:space="preserve"> </w:t>
      </w:r>
      <w:r w:rsidRPr="002204A1">
        <w:rPr>
          <w:rStyle w:val="AERbody"/>
        </w:rPr>
        <w:t xml:space="preserve">after actual improvements are delivered to the customers. </w:t>
      </w:r>
    </w:p>
    <w:p w:rsidR="00637CAC" w:rsidRPr="002204A1" w:rsidRDefault="00637CAC" w:rsidP="00637CAC">
      <w:pPr>
        <w:rPr>
          <w:rStyle w:val="AERbody"/>
        </w:rPr>
      </w:pPr>
      <w:r w:rsidRPr="002204A1">
        <w:rPr>
          <w:rStyle w:val="AERbody"/>
        </w:rPr>
        <w:t xml:space="preserve">In conjunction with CESS and EBSS, the </w:t>
      </w:r>
      <w:r>
        <w:rPr>
          <w:rStyle w:val="AERbody"/>
        </w:rPr>
        <w:t>STPIS</w:t>
      </w:r>
      <w:r w:rsidRPr="002204A1">
        <w:rPr>
          <w:rStyle w:val="AERbody"/>
        </w:rPr>
        <w:t xml:space="preserve"> will ensure that:</w:t>
      </w:r>
    </w:p>
    <w:p w:rsidR="00637CAC" w:rsidRPr="003861C2" w:rsidRDefault="00637CAC" w:rsidP="00637CAC">
      <w:pPr>
        <w:pStyle w:val="AERbulletlistfirststyle"/>
        <w:rPr>
          <w:rStyle w:val="AERbody"/>
        </w:rPr>
      </w:pPr>
      <w:r w:rsidRPr="002204A1">
        <w:rPr>
          <w:rStyle w:val="AERbody"/>
        </w:rPr>
        <w:tab/>
      </w:r>
      <w:r w:rsidRPr="003861C2">
        <w:rPr>
          <w:rStyle w:val="AERbody"/>
        </w:rPr>
        <w:t>any additional investments to improve reliability are based on prudent economic decisions</w:t>
      </w:r>
    </w:p>
    <w:p w:rsidR="00637CAC" w:rsidRDefault="00637CAC" w:rsidP="00637CAC">
      <w:pPr>
        <w:pStyle w:val="AERbulletlistfirststyle"/>
        <w:rPr>
          <w:rStyle w:val="AERbody"/>
        </w:rPr>
      </w:pPr>
      <w:r w:rsidRPr="003861C2">
        <w:rPr>
          <w:rStyle w:val="AERbody"/>
        </w:rPr>
        <w:tab/>
        <w:t>reduction</w:t>
      </w:r>
      <w:r w:rsidR="00AF64B3">
        <w:rPr>
          <w:rStyle w:val="AERbody"/>
        </w:rPr>
        <w:t>s</w:t>
      </w:r>
      <w:r w:rsidRPr="003861C2">
        <w:rPr>
          <w:rStyle w:val="AERbody"/>
        </w:rPr>
        <w:t xml:space="preserve"> in capex and</w:t>
      </w:r>
      <w:r>
        <w:rPr>
          <w:rStyle w:val="AERbody"/>
        </w:rPr>
        <w:t>/or</w:t>
      </w:r>
      <w:r w:rsidRPr="003861C2">
        <w:rPr>
          <w:rStyle w:val="AERbody"/>
        </w:rPr>
        <w:t xml:space="preserve"> opex are achieved efficiently, rather than at the expense of service levels to customers.</w:t>
      </w:r>
    </w:p>
    <w:p w:rsidR="00DE563D" w:rsidRDefault="00DE563D" w:rsidP="00B34302">
      <w:pPr>
        <w:pStyle w:val="Heading2"/>
      </w:pPr>
      <w:bookmarkStart w:id="26" w:name="_Toc403144140"/>
      <w:bookmarkStart w:id="27" w:name="_Toc433026845"/>
      <w:r w:rsidRPr="00B34302">
        <w:t xml:space="preserve">Reasons for </w:t>
      </w:r>
      <w:r w:rsidR="001140AD">
        <w:t>final</w:t>
      </w:r>
      <w:r w:rsidRPr="00B34302">
        <w:t xml:space="preserve"> decision</w:t>
      </w:r>
      <w:bookmarkEnd w:id="26"/>
      <w:bookmarkEnd w:id="27"/>
      <w:r w:rsidRPr="00B34302">
        <w:t xml:space="preserve"> </w:t>
      </w:r>
    </w:p>
    <w:p w:rsidR="00793A61" w:rsidRDefault="00793A61" w:rsidP="00793A61">
      <w:r w:rsidRPr="009C0D52">
        <w:t xml:space="preserve">The following section sets out our </w:t>
      </w:r>
      <w:r>
        <w:t>detailed consideration o</w:t>
      </w:r>
      <w:r w:rsidRPr="009C0D52">
        <w:t>n</w:t>
      </w:r>
      <w:r>
        <w:t>:</w:t>
      </w:r>
    </w:p>
    <w:p w:rsidR="00793A61" w:rsidRDefault="00793A61" w:rsidP="00793A61">
      <w:pPr>
        <w:pStyle w:val="AERbulletlistfirststyle"/>
      </w:pPr>
      <w:r w:rsidRPr="009C0D52">
        <w:t xml:space="preserve">applying the STPIS to </w:t>
      </w:r>
      <w:r>
        <w:t xml:space="preserve">Energex </w:t>
      </w:r>
      <w:r w:rsidRPr="009C0D52">
        <w:t>for the 201</w:t>
      </w:r>
      <w:r>
        <w:t>5</w:t>
      </w:r>
      <w:r w:rsidRPr="009C0D52">
        <w:t>–</w:t>
      </w:r>
      <w:r>
        <w:t>20 regulatory control period</w:t>
      </w:r>
    </w:p>
    <w:p w:rsidR="00793A61" w:rsidRDefault="00A82044" w:rsidP="00793A61">
      <w:pPr>
        <w:pStyle w:val="AERbulletlistfirststyle"/>
      </w:pPr>
      <w:r>
        <w:t xml:space="preserve">how we will </w:t>
      </w:r>
      <w:r w:rsidR="00793A61">
        <w:t>apply</w:t>
      </w:r>
      <w:r>
        <w:t xml:space="preserve"> </w:t>
      </w:r>
      <w:r w:rsidR="00793A61">
        <w:t>the STPIS between regulatory control periods</w:t>
      </w:r>
      <w:r>
        <w:t xml:space="preserve"> and our response to submissions </w:t>
      </w:r>
      <w:r w:rsidR="00793A61">
        <w:t xml:space="preserve"> </w:t>
      </w:r>
    </w:p>
    <w:p w:rsidR="00793A61" w:rsidRDefault="00793A61" w:rsidP="00793A61">
      <w:pPr>
        <w:pStyle w:val="AERbulletlistfirststyle"/>
      </w:pPr>
      <w:r>
        <w:t>how we will apply the STPIS to Energex.</w:t>
      </w:r>
    </w:p>
    <w:p w:rsidR="00793A61" w:rsidRDefault="00793A61" w:rsidP="00793A61">
      <w:pPr>
        <w:pStyle w:val="Heading2"/>
      </w:pPr>
      <w:bookmarkStart w:id="28" w:name="_Toc429476215"/>
      <w:bookmarkStart w:id="29" w:name="_Toc433026846"/>
      <w:r>
        <w:t xml:space="preserve">Applying the </w:t>
      </w:r>
      <w:r w:rsidRPr="00BA36D5">
        <w:t>STPIS</w:t>
      </w:r>
      <w:bookmarkEnd w:id="28"/>
      <w:bookmarkEnd w:id="29"/>
    </w:p>
    <w:p w:rsidR="00793A61" w:rsidRDefault="00793A61" w:rsidP="00793A61">
      <w:r>
        <w:t>We will apply the STPIS in accordance with our preliminary decision and F&amp;A to Energex.</w:t>
      </w:r>
      <w:r w:rsidR="00FE3211">
        <w:rPr>
          <w:rStyle w:val="FootnoteReference"/>
        </w:rPr>
        <w:footnoteReference w:id="9"/>
      </w:r>
      <w:r>
        <w:t xml:space="preserve"> </w:t>
      </w:r>
    </w:p>
    <w:p w:rsidR="00793A61" w:rsidRDefault="00793A61" w:rsidP="00793A61">
      <w:r>
        <w:t>We have, however, updated Energex</w:t>
      </w:r>
      <w:r w:rsidR="003B77C9">
        <w:t>'s</w:t>
      </w:r>
      <w:r>
        <w:t xml:space="preserve"> incentive rates to reflect the</w:t>
      </w:r>
      <w:r w:rsidR="00DB0793">
        <w:t xml:space="preserve"> expected revenue (smoothed)</w:t>
      </w:r>
      <w:r w:rsidR="00C07665">
        <w:t xml:space="preserve"> </w:t>
      </w:r>
      <w:r>
        <w:t>for this final decision.</w:t>
      </w:r>
    </w:p>
    <w:p w:rsidR="00793A61" w:rsidRPr="009C0D52" w:rsidRDefault="00793A61" w:rsidP="00793A61">
      <w:pPr>
        <w:pStyle w:val="Heading3"/>
      </w:pPr>
      <w:bookmarkStart w:id="30" w:name="_Toc429476216"/>
      <w:bookmarkStart w:id="31" w:name="_Toc433026847"/>
      <w:r w:rsidRPr="009C0D52">
        <w:t>Revenue at risk</w:t>
      </w:r>
      <w:bookmarkEnd w:id="30"/>
      <w:bookmarkEnd w:id="31"/>
    </w:p>
    <w:p w:rsidR="00440BF4" w:rsidRDefault="00440BF4" w:rsidP="00440BF4">
      <w:r>
        <w:t>Energex's</w:t>
      </w:r>
      <w:r w:rsidRPr="009C0D52">
        <w:t xml:space="preserve"> revenue at risk for each regulatory year of the 2015–</w:t>
      </w:r>
      <w:r>
        <w:t>20</w:t>
      </w:r>
      <w:r w:rsidRPr="009C0D52">
        <w:t xml:space="preserve"> regulatory control period will be capped at ±</w:t>
      </w:r>
      <w:r w:rsidR="00F16574">
        <w:t xml:space="preserve"> </w:t>
      </w:r>
      <w:r w:rsidRPr="009C0D52">
        <w:t>2.</w:t>
      </w:r>
      <w:r>
        <w:t>0</w:t>
      </w:r>
      <w:r w:rsidRPr="009C0D52">
        <w:t xml:space="preserve"> per cent. Within this there will be a cap of ±</w:t>
      </w:r>
      <w:r w:rsidR="00F16574">
        <w:t xml:space="preserve"> </w:t>
      </w:r>
      <w:r>
        <w:t>1.9</w:t>
      </w:r>
      <w:r w:rsidRPr="009C0D52">
        <w:t xml:space="preserve"> per cent for the reliability of supply component and ±</w:t>
      </w:r>
      <w:r w:rsidR="00E01936">
        <w:t xml:space="preserve"> </w:t>
      </w:r>
      <w:r w:rsidRPr="009C0D52">
        <w:t>0.</w:t>
      </w:r>
      <w:r>
        <w:t>1</w:t>
      </w:r>
      <w:r w:rsidRPr="009C0D52">
        <w:t xml:space="preserve"> per cent for the customer service component.</w:t>
      </w:r>
    </w:p>
    <w:p w:rsidR="00440BF4" w:rsidRDefault="00440BF4" w:rsidP="00440BF4">
      <w:r w:rsidRPr="009C0D52">
        <w:t xml:space="preserve">Revenue at risk caps the potential rewards and penalties </w:t>
      </w:r>
      <w:r>
        <w:t>for</w:t>
      </w:r>
      <w:r w:rsidRPr="009C0D52">
        <w:t xml:space="preserve"> </w:t>
      </w:r>
      <w:r>
        <w:t xml:space="preserve">Energex </w:t>
      </w:r>
      <w:r w:rsidRPr="009C0D52">
        <w:t xml:space="preserve">under the </w:t>
      </w:r>
      <w:r>
        <w:t xml:space="preserve">STPIS. We consider an </w:t>
      </w:r>
      <w:r w:rsidRPr="009C0D52">
        <w:t>incentive</w:t>
      </w:r>
      <w:r>
        <w:t xml:space="preserve"> of </w:t>
      </w:r>
      <w:r w:rsidR="00DB0793" w:rsidRPr="009C0D52">
        <w:t>±</w:t>
      </w:r>
      <w:r w:rsidR="00DB0793">
        <w:t xml:space="preserve"> </w:t>
      </w:r>
      <w:r w:rsidR="00DB0793" w:rsidRPr="009C0D52">
        <w:t>2.</w:t>
      </w:r>
      <w:r w:rsidR="00DB0793">
        <w:t>0</w:t>
      </w:r>
      <w:r w:rsidR="00DB0793" w:rsidRPr="009C0D52">
        <w:t xml:space="preserve"> per cent</w:t>
      </w:r>
      <w:r w:rsidR="00DB0793" w:rsidDel="00DB0793">
        <w:t xml:space="preserve"> </w:t>
      </w:r>
      <w:r>
        <w:t xml:space="preserve">of </w:t>
      </w:r>
      <w:r w:rsidR="00724EC1">
        <w:t xml:space="preserve">the </w:t>
      </w:r>
      <w:r w:rsidR="00F16574">
        <w:t xml:space="preserve">smoothed </w:t>
      </w:r>
      <w:r w:rsidR="00724EC1">
        <w:t xml:space="preserve">annual </w:t>
      </w:r>
      <w:r w:rsidR="00DB0793">
        <w:t xml:space="preserve">allowable </w:t>
      </w:r>
      <w:r w:rsidR="00724EC1">
        <w:t>revenue</w:t>
      </w:r>
      <w:r w:rsidRPr="009C0D52">
        <w:t xml:space="preserve"> </w:t>
      </w:r>
      <w:r w:rsidRPr="009C0D52">
        <w:lastRenderedPageBreak/>
        <w:t xml:space="preserve">would balance the risk to both consumers and </w:t>
      </w:r>
      <w:r>
        <w:t>Energex</w:t>
      </w:r>
      <w:r w:rsidRPr="009C0D52">
        <w:t xml:space="preserve"> and thus better meet the objectives of the STPIS.</w:t>
      </w:r>
      <w:r>
        <w:t xml:space="preserve"> This rate is consistent with our </w:t>
      </w:r>
      <w:r w:rsidR="0041215D">
        <w:t>F&amp;A</w:t>
      </w:r>
      <w:r>
        <w:t xml:space="preserve">. </w:t>
      </w:r>
    </w:p>
    <w:p w:rsidR="0041215D" w:rsidRDefault="0041215D" w:rsidP="00440BF4"/>
    <w:p w:rsidR="00793A61" w:rsidRPr="00B82706" w:rsidRDefault="00793A61" w:rsidP="00793A61">
      <w:pPr>
        <w:pStyle w:val="Heading3"/>
      </w:pPr>
      <w:bookmarkStart w:id="32" w:name="_Toc429476217"/>
      <w:bookmarkStart w:id="33" w:name="_Toc433026848"/>
      <w:r w:rsidRPr="00B82706">
        <w:t>Reliability of supply component</w:t>
      </w:r>
      <w:bookmarkEnd w:id="32"/>
      <w:bookmarkEnd w:id="33"/>
    </w:p>
    <w:p w:rsidR="00793A61" w:rsidRPr="0041215D" w:rsidRDefault="00793A61" w:rsidP="0041215D">
      <w:pPr>
        <w:pStyle w:val="HeadingBoldBlue"/>
      </w:pPr>
      <w:bookmarkStart w:id="34" w:name="_Toc433026849"/>
      <w:r w:rsidRPr="0041215D">
        <w:t>Applicable components and parameters</w:t>
      </w:r>
      <w:bookmarkEnd w:id="34"/>
      <w:r w:rsidRPr="0041215D">
        <w:t xml:space="preserve"> </w:t>
      </w:r>
    </w:p>
    <w:p w:rsidR="00793A61" w:rsidRDefault="00793A61" w:rsidP="00793A61">
      <w:r w:rsidRPr="00B82706">
        <w:t>We will apply unplanned SAIDI</w:t>
      </w:r>
      <w:r>
        <w:t xml:space="preserve"> and </w:t>
      </w:r>
      <w:r w:rsidRPr="00B82706">
        <w:t>unplanned SAIFI</w:t>
      </w:r>
      <w:r>
        <w:t xml:space="preserve"> </w:t>
      </w:r>
      <w:r w:rsidRPr="00B82706">
        <w:t xml:space="preserve">parameters under the reliability of supply component to </w:t>
      </w:r>
      <w:r>
        <w:t>Energex</w:t>
      </w:r>
      <w:r w:rsidR="00D8508D">
        <w:t>'s</w:t>
      </w:r>
      <w:r>
        <w:t xml:space="preserve"> CBD, Urban, and rural feeders </w:t>
      </w:r>
      <w:r w:rsidRPr="00B82706">
        <w:t>for the 201</w:t>
      </w:r>
      <w:r>
        <w:t>5</w:t>
      </w:r>
      <w:r w:rsidRPr="00B82706">
        <w:t>–</w:t>
      </w:r>
      <w:r>
        <w:t>20</w:t>
      </w:r>
      <w:r w:rsidR="0041215D">
        <w:t xml:space="preserve"> regulatory control </w:t>
      </w:r>
      <w:proofErr w:type="gramStart"/>
      <w:r w:rsidR="0041215D">
        <w:t>period</w:t>
      </w:r>
      <w:proofErr w:type="gramEnd"/>
      <w:r w:rsidRPr="00B82706">
        <w:t>. Unplanned SAIDI measures the sum of the duration of each unplanned sustained customer interruption (in minutes) divided by the total number of distribution customers. Unplanned SAIFI measures the total number of unplanned sustained customer interruptions divided by the total number of distribution customers.</w:t>
      </w:r>
      <w:r>
        <w:t xml:space="preserve"> </w:t>
      </w:r>
    </w:p>
    <w:p w:rsidR="00793A61" w:rsidRPr="0041215D" w:rsidRDefault="00793A61" w:rsidP="0041215D">
      <w:pPr>
        <w:pStyle w:val="HeadingBoldBlue"/>
      </w:pPr>
      <w:bookmarkStart w:id="35" w:name="_Toc433026850"/>
      <w:r w:rsidRPr="0041215D">
        <w:t>Exclusions</w:t>
      </w:r>
      <w:bookmarkEnd w:id="35"/>
    </w:p>
    <w:p w:rsidR="00793A61" w:rsidRPr="00B82706" w:rsidRDefault="00793A61" w:rsidP="00793A61">
      <w:r w:rsidRPr="005473F3">
        <w:rPr>
          <w:rStyle w:val="AERbody"/>
        </w:rPr>
        <w:t xml:space="preserve">The STPIS allows certain events to be excluded from the calculation of the </w:t>
      </w:r>
      <w:r w:rsidR="0041215D">
        <w:t>service standards component (the s-factor)</w:t>
      </w:r>
      <w:r w:rsidRPr="005473F3">
        <w:rPr>
          <w:rStyle w:val="AERbody"/>
        </w:rPr>
        <w:t xml:space="preserve"> revenue adjustment. These exclusions include the events that are beyond the control of </w:t>
      </w:r>
      <w:r>
        <w:rPr>
          <w:rStyle w:val="AERbody"/>
        </w:rPr>
        <w:t>Energex</w:t>
      </w:r>
      <w:r w:rsidRPr="005473F3">
        <w:rPr>
          <w:rStyle w:val="AERbody"/>
        </w:rPr>
        <w:t xml:space="preserve">, such as the effects of transmission network outages and other upstream events. They also exclude the effects of extreme weather events that have the potential to significantly affect </w:t>
      </w:r>
      <w:r>
        <w:rPr>
          <w:rStyle w:val="AERbody"/>
        </w:rPr>
        <w:t>Energex'</w:t>
      </w:r>
      <w:r w:rsidR="00784F27">
        <w:rPr>
          <w:rStyle w:val="AERbody"/>
        </w:rPr>
        <w:t>s</w:t>
      </w:r>
      <w:r>
        <w:rPr>
          <w:rStyle w:val="AERbody"/>
        </w:rPr>
        <w:t xml:space="preserve"> </w:t>
      </w:r>
      <w:r w:rsidRPr="005473F3">
        <w:rPr>
          <w:rStyle w:val="AERbody"/>
        </w:rPr>
        <w:t>STPIS performance</w:t>
      </w:r>
      <w:r w:rsidRPr="00B82706">
        <w:t xml:space="preserve">. </w:t>
      </w:r>
    </w:p>
    <w:p w:rsidR="00793A61" w:rsidRDefault="00793A61" w:rsidP="00793A61">
      <w:r>
        <w:t xml:space="preserve">Energex </w:t>
      </w:r>
      <w:r w:rsidRPr="00B82706">
        <w:t xml:space="preserve">proposed to calculate </w:t>
      </w:r>
      <w:r>
        <w:t>the major event day (</w:t>
      </w:r>
      <w:r w:rsidRPr="00B82706">
        <w:t>MED</w:t>
      </w:r>
      <w:r>
        <w:t>)</w:t>
      </w:r>
      <w:r w:rsidRPr="00B82706">
        <w:t xml:space="preserve"> threshold using </w:t>
      </w:r>
      <w:r>
        <w:t xml:space="preserve">the </w:t>
      </w:r>
      <w:r w:rsidRPr="00B82706">
        <w:t>2.</w:t>
      </w:r>
      <w:r>
        <w:t>5</w:t>
      </w:r>
      <w:r w:rsidRPr="00B82706">
        <w:t xml:space="preserve"> beta</w:t>
      </w:r>
      <w:r>
        <w:t xml:space="preserve"> </w:t>
      </w:r>
      <w:r w:rsidRPr="00B82706">
        <w:t xml:space="preserve">method </w:t>
      </w:r>
      <w:r>
        <w:t>i</w:t>
      </w:r>
      <w:r w:rsidRPr="00B82706">
        <w:t xml:space="preserve">n accordance </w:t>
      </w:r>
      <w:r w:rsidR="0041215D">
        <w:t xml:space="preserve">with </w:t>
      </w:r>
      <w:r>
        <w:t>the STPIS</w:t>
      </w:r>
      <w:r w:rsidRPr="00B82706">
        <w:t>.</w:t>
      </w:r>
      <w:r>
        <w:t xml:space="preserve"> Since we have not received any submissions that we should depart from our F&amp;A, we accept Energex's proposal to apply the STPIS to calculate the MED.</w:t>
      </w:r>
    </w:p>
    <w:p w:rsidR="00793A61" w:rsidRPr="00574E96" w:rsidRDefault="00793A61" w:rsidP="00793A61">
      <w:pPr>
        <w:pStyle w:val="Heading3"/>
      </w:pPr>
      <w:bookmarkStart w:id="36" w:name="_Toc429476219"/>
      <w:bookmarkStart w:id="37" w:name="_Toc433026851"/>
      <w:bookmarkStart w:id="38" w:name="_Toc429476218"/>
      <w:r w:rsidRPr="00574E96">
        <w:t>Customer service component</w:t>
      </w:r>
      <w:bookmarkEnd w:id="36"/>
      <w:bookmarkEnd w:id="37"/>
    </w:p>
    <w:p w:rsidR="00793A61" w:rsidRPr="00574E96" w:rsidRDefault="00793A61" w:rsidP="00793A61">
      <w:r>
        <w:t>The national</w:t>
      </w:r>
      <w:r w:rsidRPr="00574E96">
        <w:t xml:space="preserve"> STPIS customer service target applicable to</w:t>
      </w:r>
      <w:r>
        <w:t xml:space="preserve"> Energex</w:t>
      </w:r>
      <w:r w:rsidRPr="00574E96">
        <w:t xml:space="preserve"> is telephone response measured as the number of</w:t>
      </w:r>
      <w:r>
        <w:t xml:space="preserve"> </w:t>
      </w:r>
      <w:r w:rsidRPr="00574E96">
        <w:t>telephone calls answered within 30 seconds. This measure</w:t>
      </w:r>
      <w:r>
        <w:t xml:space="preserve"> </w:t>
      </w:r>
      <w:r w:rsidRPr="00574E96">
        <w:t>is referred to as the telephone Grade of Service (GOS).</w:t>
      </w:r>
    </w:p>
    <w:p w:rsidR="00793A61" w:rsidRDefault="00793A61" w:rsidP="00793A61">
      <w:r>
        <w:t>In accordance with our preliminary decision, we accept Energex'</w:t>
      </w:r>
      <w:r w:rsidR="00592250">
        <w:t>s</w:t>
      </w:r>
      <w:r>
        <w:t xml:space="preserve"> customer service targets as it has applied a 5 year historical average to derive them for the </w:t>
      </w:r>
      <w:r w:rsidR="002C3AB0">
        <w:t>2015</w:t>
      </w:r>
      <w:r w:rsidR="002C3AB0">
        <w:rPr>
          <w:rFonts w:cs="Arial"/>
        </w:rPr>
        <w:t>─</w:t>
      </w:r>
      <w:r w:rsidR="002C3AB0">
        <w:t>20</w:t>
      </w:r>
      <w:r>
        <w:t xml:space="preserve"> regulatory control period. This is consistent with our national STPIS.</w:t>
      </w:r>
    </w:p>
    <w:p w:rsidR="00793A61" w:rsidRPr="00B82706" w:rsidRDefault="00793A61" w:rsidP="00793A61">
      <w:pPr>
        <w:pStyle w:val="Heading3"/>
      </w:pPr>
      <w:bookmarkStart w:id="39" w:name="_Toc433026852"/>
      <w:r>
        <w:t>Performance target</w:t>
      </w:r>
      <w:r w:rsidRPr="00B82706">
        <w:t>s</w:t>
      </w:r>
      <w:bookmarkEnd w:id="38"/>
      <w:bookmarkEnd w:id="39"/>
    </w:p>
    <w:p w:rsidR="00793A61" w:rsidRPr="00C639D9" w:rsidRDefault="00793A61" w:rsidP="00793A61">
      <w:r>
        <w:t>T</w:t>
      </w:r>
      <w:r w:rsidRPr="00B82706">
        <w:t xml:space="preserve">he STPIS </w:t>
      </w:r>
      <w:r>
        <w:t xml:space="preserve">specifies that the performance targets should be based on the </w:t>
      </w:r>
      <w:r w:rsidRPr="00C639D9">
        <w:t>average performance over the past five</w:t>
      </w:r>
      <w:r>
        <w:t xml:space="preserve"> </w:t>
      </w:r>
      <w:r w:rsidRPr="00C639D9">
        <w:t>regulatory years</w:t>
      </w:r>
      <w:r>
        <w:t xml:space="preserve">. It also states that the performance </w:t>
      </w:r>
      <w:r>
        <w:lastRenderedPageBreak/>
        <w:t xml:space="preserve">target must be modified for </w:t>
      </w:r>
      <w:r w:rsidRPr="00C639D9">
        <w:t>any reliability improvements completed or planned where the planned</w:t>
      </w:r>
      <w:r>
        <w:t xml:space="preserve"> </w:t>
      </w:r>
      <w:r w:rsidRPr="00C639D9">
        <w:t>reliability improvements are:</w:t>
      </w:r>
      <w:r>
        <w:rPr>
          <w:rStyle w:val="FootnoteReference"/>
        </w:rPr>
        <w:footnoteReference w:id="10"/>
      </w:r>
    </w:p>
    <w:p w:rsidR="00793A61" w:rsidRPr="00C639D9" w:rsidRDefault="00793A61" w:rsidP="00793A61">
      <w:pPr>
        <w:pStyle w:val="AERbulletlistfirststyle"/>
      </w:pPr>
      <w:r w:rsidRPr="00C639D9">
        <w:t xml:space="preserve">included in the expenditure program proposed by the </w:t>
      </w:r>
      <w:r>
        <w:t>distributor</w:t>
      </w:r>
      <w:r w:rsidRPr="00C639D9">
        <w:t xml:space="preserve"> in its</w:t>
      </w:r>
      <w:r>
        <w:t xml:space="preserve"> </w:t>
      </w:r>
      <w:r w:rsidRPr="00C639D9">
        <w:t>regulatory proposal, or</w:t>
      </w:r>
    </w:p>
    <w:p w:rsidR="00793A61" w:rsidRDefault="00793A61" w:rsidP="00793A61">
      <w:pPr>
        <w:pStyle w:val="AERbulletlistfirststyle"/>
      </w:pPr>
      <w:r w:rsidRPr="00C639D9">
        <w:t xml:space="preserve">proposed by the </w:t>
      </w:r>
      <w:r>
        <w:t>distributor</w:t>
      </w:r>
      <w:r w:rsidRPr="00C639D9">
        <w:t>, and the cost of the improvements is allowed</w:t>
      </w:r>
      <w:r>
        <w:t xml:space="preserve"> </w:t>
      </w:r>
      <w:r w:rsidRPr="00C639D9">
        <w:t xml:space="preserve">by the relevant regulator, in the </w:t>
      </w:r>
      <w:r>
        <w:t>distributor's</w:t>
      </w:r>
      <w:r w:rsidRPr="00C639D9">
        <w:t xml:space="preserve"> previous regulatory</w:t>
      </w:r>
      <w:r>
        <w:t xml:space="preserve"> </w:t>
      </w:r>
      <w:r w:rsidRPr="00C639D9">
        <w:t>proposal or regulatory submission</w:t>
      </w:r>
      <w:r>
        <w:t>, and</w:t>
      </w:r>
    </w:p>
    <w:p w:rsidR="00793A61" w:rsidRDefault="00793A61" w:rsidP="00793A61">
      <w:pPr>
        <w:pStyle w:val="AERbulletlistfirststyle"/>
      </w:pPr>
      <w:r>
        <w:t>expected to result in a material improvement in supply reliability.</w:t>
      </w:r>
    </w:p>
    <w:p w:rsidR="00793A61" w:rsidRDefault="00793A61" w:rsidP="00793A61">
      <w:r>
        <w:rPr>
          <w:rStyle w:val="AERbody"/>
        </w:rPr>
        <w:t>Energex accepted our preliminary decision on the performance targets</w:t>
      </w:r>
      <w:r w:rsidR="002F58E1">
        <w:rPr>
          <w:rStyle w:val="AERbody"/>
        </w:rPr>
        <w:t xml:space="preserve"> in its revised regulatory proposal</w:t>
      </w:r>
      <w:r>
        <w:rPr>
          <w:rStyle w:val="AERbody"/>
        </w:rPr>
        <w:t>.</w:t>
      </w:r>
      <w:r w:rsidR="00AA0BB7">
        <w:rPr>
          <w:rStyle w:val="FootnoteReference"/>
        </w:rPr>
        <w:footnoteReference w:id="11"/>
      </w:r>
      <w:r>
        <w:rPr>
          <w:rStyle w:val="AERbody"/>
        </w:rPr>
        <w:t xml:space="preserve"> </w:t>
      </w:r>
      <w:r w:rsidR="002F58E1">
        <w:rPr>
          <w:rStyle w:val="AERbody"/>
        </w:rPr>
        <w:t>Consistent with our preliminary decision, o</w:t>
      </w:r>
      <w:r w:rsidRPr="00CE5BC6">
        <w:t xml:space="preserve">ur calculated performance targets for </w:t>
      </w:r>
      <w:r>
        <w:t>Energex</w:t>
      </w:r>
      <w:r w:rsidRPr="00CE5BC6">
        <w:t xml:space="preserve"> are presented in</w:t>
      </w:r>
      <w:bookmarkStart w:id="40" w:name="_Ref414974575"/>
      <w:r>
        <w:t xml:space="preserve"> </w:t>
      </w:r>
      <w:r w:rsidR="002C3AB0">
        <w:t>table 11.2 above</w:t>
      </w:r>
      <w:r>
        <w:t>.</w:t>
      </w:r>
    </w:p>
    <w:p w:rsidR="00793A61" w:rsidRPr="007D3DEA" w:rsidRDefault="00793A61" w:rsidP="00793A61">
      <w:pPr>
        <w:pStyle w:val="Heading3"/>
      </w:pPr>
      <w:bookmarkStart w:id="41" w:name="_Toc429476220"/>
      <w:bookmarkStart w:id="42" w:name="_Toc433026853"/>
      <w:bookmarkEnd w:id="40"/>
      <w:r w:rsidRPr="007D3DEA">
        <w:t>Incentive rates</w:t>
      </w:r>
      <w:bookmarkEnd w:id="41"/>
      <w:bookmarkEnd w:id="42"/>
    </w:p>
    <w:p w:rsidR="00793A61" w:rsidRDefault="00793A61" w:rsidP="00793A61">
      <w:r w:rsidRPr="00E51231">
        <w:t xml:space="preserve">The </w:t>
      </w:r>
      <w:r>
        <w:t xml:space="preserve">incentive rates applicable to Energex </w:t>
      </w:r>
      <w:r w:rsidRPr="00E51231">
        <w:t>for the reliability of supply performance parameters of the STPIS have been calculated in accordance with clause 3.2.2 and using the formulae provided a</w:t>
      </w:r>
      <w:r w:rsidR="002C3AB0">
        <w:t>t</w:t>
      </w:r>
      <w:r w:rsidRPr="00E51231">
        <w:t xml:space="preserve"> </w:t>
      </w:r>
      <w:r>
        <w:t>a</w:t>
      </w:r>
      <w:r w:rsidRPr="00E51231">
        <w:t>ppendix B of the National STPIS.</w:t>
      </w:r>
      <w:r>
        <w:t xml:space="preserve"> </w:t>
      </w:r>
    </w:p>
    <w:p w:rsidR="00AF64B3" w:rsidRDefault="00C07665" w:rsidP="00793A61">
      <w:r>
        <w:rPr>
          <w:rStyle w:val="AERbody"/>
        </w:rPr>
        <w:t xml:space="preserve">Energex accepted our preliminary decision on the VCR </w:t>
      </w:r>
      <w:r w:rsidR="001C3226">
        <w:rPr>
          <w:rStyle w:val="AERbody"/>
        </w:rPr>
        <w:t xml:space="preserve">for setting </w:t>
      </w:r>
      <w:r>
        <w:rPr>
          <w:rStyle w:val="AERbody"/>
        </w:rPr>
        <w:t>the incentive rates.</w:t>
      </w:r>
      <w:r>
        <w:rPr>
          <w:rStyle w:val="FootnoteReference"/>
        </w:rPr>
        <w:footnoteReference w:id="12"/>
      </w:r>
      <w:r>
        <w:rPr>
          <w:rStyle w:val="AERbody"/>
        </w:rPr>
        <w:t xml:space="preserve"> Consequently, t</w:t>
      </w:r>
      <w:r>
        <w:t xml:space="preserve">his final decision adopted the VCR outlined in </w:t>
      </w:r>
      <w:r w:rsidRPr="0095058F">
        <w:t xml:space="preserve">the preliminary decision </w:t>
      </w:r>
      <w:r>
        <w:t>in setting Energex's incentive rates for the 2015–20 regulatory control period.</w:t>
      </w:r>
    </w:p>
    <w:p w:rsidR="00793A61" w:rsidRPr="00E51231" w:rsidRDefault="00793A61" w:rsidP="00793A61">
      <w:r>
        <w:t xml:space="preserve">The final </w:t>
      </w:r>
      <w:proofErr w:type="gramStart"/>
      <w:r>
        <w:t>incentive</w:t>
      </w:r>
      <w:proofErr w:type="gramEnd"/>
      <w:r>
        <w:t xml:space="preserve"> rates based on the VCR and </w:t>
      </w:r>
      <w:r w:rsidR="00F16574">
        <w:t xml:space="preserve">smoothed </w:t>
      </w:r>
      <w:r w:rsidR="00DB0793">
        <w:t xml:space="preserve">expected </w:t>
      </w:r>
      <w:r w:rsidR="00724EC1">
        <w:t xml:space="preserve">revenue </w:t>
      </w:r>
      <w:r>
        <w:t xml:space="preserve">are found in </w:t>
      </w:r>
      <w:r w:rsidR="002C3AB0">
        <w:t>table 11.3</w:t>
      </w:r>
      <w:r>
        <w:t xml:space="preserve">. </w:t>
      </w:r>
      <w:r w:rsidRPr="002A3A62">
        <w:t xml:space="preserve">The incentive rate for the </w:t>
      </w:r>
      <w:r>
        <w:t xml:space="preserve">customer service component </w:t>
      </w:r>
      <w:r w:rsidR="002C3AB0">
        <w:t xml:space="preserve">will be </w:t>
      </w:r>
      <w:r w:rsidR="002C3AB0">
        <w:rPr>
          <w:rFonts w:cs="Arial"/>
        </w:rPr>
        <w:t>─</w:t>
      </w:r>
      <w:r w:rsidR="00C07665">
        <w:t xml:space="preserve">0.040 </w:t>
      </w:r>
      <w:r w:rsidRPr="002A3A62">
        <w:t>per cent per unit of the telephone answering parameter.</w:t>
      </w:r>
      <w:r w:rsidR="00FD37C3">
        <w:rPr>
          <w:rStyle w:val="FootnoteReference"/>
        </w:rPr>
        <w:footnoteReference w:id="13"/>
      </w:r>
      <w:r>
        <w:t xml:space="preserve"> </w:t>
      </w:r>
    </w:p>
    <w:p w:rsidR="00793A61" w:rsidRPr="00A946AA" w:rsidRDefault="00793A61" w:rsidP="00793A61">
      <w:pPr>
        <w:pStyle w:val="Caption"/>
      </w:pPr>
      <w:bookmarkStart w:id="43" w:name="_Ref430165304"/>
      <w:r>
        <w:t xml:space="preserve">Table </w:t>
      </w:r>
      <w:bookmarkEnd w:id="43"/>
      <w:r w:rsidR="002C3AB0">
        <w:t>11.3</w:t>
      </w:r>
      <w:r>
        <w:tab/>
        <w:t>Final decision—STPIS i</w:t>
      </w:r>
      <w:r w:rsidRPr="00A946AA">
        <w:t>ncentive rates</w:t>
      </w:r>
      <w:r>
        <w:t xml:space="preserve"> for Energex</w:t>
      </w:r>
      <w:r w:rsidRPr="00A946AA">
        <w:t xml:space="preserve"> </w:t>
      </w:r>
      <w:r>
        <w:t xml:space="preserve">for the 2015–20 regulatory </w:t>
      </w:r>
      <w:proofErr w:type="gramStart"/>
      <w:r>
        <w:t>period</w:t>
      </w:r>
      <w:proofErr w:type="gramEnd"/>
    </w:p>
    <w:tbl>
      <w:tblPr>
        <w:tblStyle w:val="AERtable-numbers"/>
        <w:tblW w:w="5000" w:type="pct"/>
        <w:tblLook w:val="04A0" w:firstRow="1" w:lastRow="0" w:firstColumn="1" w:lastColumn="0" w:noHBand="0" w:noVBand="1"/>
      </w:tblPr>
      <w:tblGrid>
        <w:gridCol w:w="1758"/>
        <w:gridCol w:w="1620"/>
        <w:gridCol w:w="2658"/>
        <w:gridCol w:w="2657"/>
      </w:tblGrid>
      <w:tr w:rsidR="004C77BC" w:rsidRPr="00A946AA" w:rsidTr="00DB0793">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11" w:type="pct"/>
            <w:hideMark/>
          </w:tcPr>
          <w:p w:rsidR="004C77BC" w:rsidRPr="00365480" w:rsidRDefault="004C77BC" w:rsidP="00793A61">
            <w:pPr>
              <w:pStyle w:val="Tabletext-centred"/>
              <w:rPr>
                <w:rStyle w:val="AERbody"/>
              </w:rPr>
            </w:pPr>
            <w:r w:rsidRPr="00365480">
              <w:rPr>
                <w:rStyle w:val="AERbody"/>
              </w:rPr>
              <w:t> </w:t>
            </w:r>
          </w:p>
        </w:tc>
        <w:tc>
          <w:tcPr>
            <w:tcW w:w="932" w:type="pct"/>
            <w:hideMark/>
          </w:tcPr>
          <w:p w:rsidR="004C77BC" w:rsidRPr="009160E8" w:rsidRDefault="004C77BC" w:rsidP="009160E8">
            <w:pPr>
              <w:cnfStyle w:val="100000000000" w:firstRow="1" w:lastRow="0" w:firstColumn="0" w:lastColumn="0" w:oddVBand="0" w:evenVBand="0" w:oddHBand="0" w:evenHBand="0" w:firstRowFirstColumn="0" w:firstRowLastColumn="0" w:lastRowFirstColumn="0" w:lastRowLastColumn="0"/>
            </w:pPr>
            <w:r w:rsidRPr="009160E8">
              <w:t xml:space="preserve">CBD </w:t>
            </w:r>
          </w:p>
        </w:tc>
        <w:tc>
          <w:tcPr>
            <w:tcW w:w="1529" w:type="pct"/>
          </w:tcPr>
          <w:p w:rsidR="004C77BC" w:rsidRPr="009160E8" w:rsidRDefault="004C77BC" w:rsidP="009160E8">
            <w:pPr>
              <w:cnfStyle w:val="100000000000" w:firstRow="1" w:lastRow="0" w:firstColumn="0" w:lastColumn="0" w:oddVBand="0" w:evenVBand="0" w:oddHBand="0" w:evenHBand="0" w:firstRowFirstColumn="0" w:firstRowLastColumn="0" w:lastRowFirstColumn="0" w:lastRowLastColumn="0"/>
            </w:pPr>
            <w:r w:rsidRPr="009160E8">
              <w:t>Urban</w:t>
            </w:r>
          </w:p>
        </w:tc>
        <w:tc>
          <w:tcPr>
            <w:tcW w:w="1528" w:type="pct"/>
          </w:tcPr>
          <w:p w:rsidR="004C77BC" w:rsidRPr="009160E8" w:rsidRDefault="004C77BC" w:rsidP="009160E8">
            <w:pPr>
              <w:cnfStyle w:val="100000000000" w:firstRow="1" w:lastRow="0" w:firstColumn="0" w:lastColumn="0" w:oddVBand="0" w:evenVBand="0" w:oddHBand="0" w:evenHBand="0" w:firstRowFirstColumn="0" w:firstRowLastColumn="0" w:lastRowFirstColumn="0" w:lastRowLastColumn="0"/>
            </w:pPr>
            <w:r w:rsidRPr="009160E8">
              <w:t xml:space="preserve">Rural </w:t>
            </w:r>
          </w:p>
        </w:tc>
      </w:tr>
      <w:tr w:rsidR="009160E8" w:rsidRPr="00A946AA" w:rsidTr="003B77C9">
        <w:trPr>
          <w:trHeight w:val="465"/>
        </w:trPr>
        <w:tc>
          <w:tcPr>
            <w:cnfStyle w:val="001000000000" w:firstRow="0" w:lastRow="0" w:firstColumn="1" w:lastColumn="0" w:oddVBand="0" w:evenVBand="0" w:oddHBand="0" w:evenHBand="0" w:firstRowFirstColumn="0" w:firstRowLastColumn="0" w:lastRowFirstColumn="0" w:lastRowLastColumn="0"/>
            <w:tcW w:w="1011" w:type="pct"/>
            <w:hideMark/>
          </w:tcPr>
          <w:p w:rsidR="009160E8" w:rsidRPr="009160E8" w:rsidRDefault="009160E8" w:rsidP="009160E8">
            <w:pPr>
              <w:rPr>
                <w:rStyle w:val="AERbody"/>
              </w:rPr>
            </w:pPr>
            <w:r w:rsidRPr="009160E8">
              <w:rPr>
                <w:rStyle w:val="AERbody"/>
              </w:rPr>
              <w:t>SAIDI</w:t>
            </w:r>
          </w:p>
        </w:tc>
        <w:tc>
          <w:tcPr>
            <w:tcW w:w="932" w:type="pct"/>
          </w:tcPr>
          <w:p w:rsidR="009160E8" w:rsidRPr="009160E8" w:rsidRDefault="009160E8" w:rsidP="009160E8">
            <w:pPr>
              <w:pStyle w:val="AERtabletextright"/>
              <w:cnfStyle w:val="000000000000" w:firstRow="0" w:lastRow="0" w:firstColumn="0" w:lastColumn="0" w:oddVBand="0" w:evenVBand="0" w:oddHBand="0" w:evenHBand="0" w:firstRowFirstColumn="0" w:firstRowLastColumn="0" w:lastRowFirstColumn="0" w:lastRowLastColumn="0"/>
            </w:pPr>
            <w:r w:rsidRPr="009160E8">
              <w:t>0.0028</w:t>
            </w:r>
          </w:p>
        </w:tc>
        <w:tc>
          <w:tcPr>
            <w:tcW w:w="1529" w:type="pct"/>
          </w:tcPr>
          <w:p w:rsidR="009160E8" w:rsidRPr="009160E8" w:rsidRDefault="009160E8" w:rsidP="009160E8">
            <w:pPr>
              <w:pStyle w:val="AERtabletextright"/>
              <w:cnfStyle w:val="000000000000" w:firstRow="0" w:lastRow="0" w:firstColumn="0" w:lastColumn="0" w:oddVBand="0" w:evenVBand="0" w:oddHBand="0" w:evenHBand="0" w:firstRowFirstColumn="0" w:firstRowLastColumn="0" w:lastRowFirstColumn="0" w:lastRowLastColumn="0"/>
            </w:pPr>
            <w:r w:rsidRPr="009160E8">
              <w:t>0.0494</w:t>
            </w:r>
          </w:p>
        </w:tc>
        <w:tc>
          <w:tcPr>
            <w:tcW w:w="1528" w:type="pct"/>
          </w:tcPr>
          <w:p w:rsidR="009160E8" w:rsidRPr="009160E8" w:rsidRDefault="009160E8" w:rsidP="009160E8">
            <w:pPr>
              <w:pStyle w:val="AERtabletextright"/>
              <w:cnfStyle w:val="000000000000" w:firstRow="0" w:lastRow="0" w:firstColumn="0" w:lastColumn="0" w:oddVBand="0" w:evenVBand="0" w:oddHBand="0" w:evenHBand="0" w:firstRowFirstColumn="0" w:firstRowLastColumn="0" w:lastRowFirstColumn="0" w:lastRowLastColumn="0"/>
            </w:pPr>
            <w:r w:rsidRPr="009160E8">
              <w:t>0.0116</w:t>
            </w:r>
          </w:p>
        </w:tc>
      </w:tr>
      <w:tr w:rsidR="009160E8" w:rsidRPr="00A946AA" w:rsidTr="003B77C9">
        <w:trPr>
          <w:cnfStyle w:val="000000010000" w:firstRow="0" w:lastRow="0" w:firstColumn="0" w:lastColumn="0" w:oddVBand="0" w:evenVBand="0" w:oddHBand="0" w:evenHBand="1" w:firstRowFirstColumn="0" w:firstRowLastColumn="0" w:lastRowFirstColumn="0" w:lastRowLastColumn="0"/>
          <w:trHeight w:val="465"/>
        </w:trPr>
        <w:tc>
          <w:tcPr>
            <w:cnfStyle w:val="001000000000" w:firstRow="0" w:lastRow="0" w:firstColumn="1" w:lastColumn="0" w:oddVBand="0" w:evenVBand="0" w:oddHBand="0" w:evenHBand="0" w:firstRowFirstColumn="0" w:firstRowLastColumn="0" w:lastRowFirstColumn="0" w:lastRowLastColumn="0"/>
            <w:tcW w:w="1011" w:type="pct"/>
          </w:tcPr>
          <w:p w:rsidR="009160E8" w:rsidRPr="009160E8" w:rsidRDefault="009160E8" w:rsidP="009160E8">
            <w:pPr>
              <w:rPr>
                <w:rStyle w:val="AERbody"/>
              </w:rPr>
            </w:pPr>
            <w:r w:rsidRPr="009160E8">
              <w:rPr>
                <w:rStyle w:val="AERbody"/>
              </w:rPr>
              <w:t>SAIFI</w:t>
            </w:r>
          </w:p>
        </w:tc>
        <w:tc>
          <w:tcPr>
            <w:tcW w:w="932" w:type="pct"/>
          </w:tcPr>
          <w:p w:rsidR="009160E8" w:rsidRPr="009160E8" w:rsidRDefault="009160E8" w:rsidP="009160E8">
            <w:pPr>
              <w:pStyle w:val="AERtabletextright"/>
              <w:cnfStyle w:val="000000010000" w:firstRow="0" w:lastRow="0" w:firstColumn="0" w:lastColumn="0" w:oddVBand="0" w:evenVBand="0" w:oddHBand="0" w:evenHBand="1" w:firstRowFirstColumn="0" w:firstRowLastColumn="0" w:lastRowFirstColumn="0" w:lastRowLastColumn="0"/>
            </w:pPr>
            <w:r w:rsidRPr="009160E8">
              <w:t>0.2735</w:t>
            </w:r>
          </w:p>
        </w:tc>
        <w:tc>
          <w:tcPr>
            <w:tcW w:w="1529" w:type="pct"/>
          </w:tcPr>
          <w:p w:rsidR="009160E8" w:rsidRPr="009160E8" w:rsidRDefault="009160E8" w:rsidP="009160E8">
            <w:pPr>
              <w:pStyle w:val="AERtabletextright"/>
              <w:cnfStyle w:val="000000010000" w:firstRow="0" w:lastRow="0" w:firstColumn="0" w:lastColumn="0" w:oddVBand="0" w:evenVBand="0" w:oddHBand="0" w:evenHBand="1" w:firstRowFirstColumn="0" w:firstRowLastColumn="0" w:lastRowFirstColumn="0" w:lastRowLastColumn="0"/>
            </w:pPr>
            <w:r w:rsidRPr="009160E8">
              <w:t>3.3749</w:t>
            </w:r>
          </w:p>
        </w:tc>
        <w:tc>
          <w:tcPr>
            <w:tcW w:w="1528" w:type="pct"/>
          </w:tcPr>
          <w:p w:rsidR="009160E8" w:rsidRPr="009160E8" w:rsidRDefault="009160E8" w:rsidP="009160E8">
            <w:pPr>
              <w:pStyle w:val="AERtabletextright"/>
              <w:cnfStyle w:val="000000010000" w:firstRow="0" w:lastRow="0" w:firstColumn="0" w:lastColumn="0" w:oddVBand="0" w:evenVBand="0" w:oddHBand="0" w:evenHBand="1" w:firstRowFirstColumn="0" w:firstRowLastColumn="0" w:lastRowFirstColumn="0" w:lastRowLastColumn="0"/>
            </w:pPr>
            <w:r w:rsidRPr="009160E8">
              <w:t>0.9693</w:t>
            </w:r>
          </w:p>
        </w:tc>
      </w:tr>
    </w:tbl>
    <w:p w:rsidR="00793A61" w:rsidRDefault="00793A61" w:rsidP="00F61870">
      <w:pPr>
        <w:pStyle w:val="AERtablesource"/>
      </w:pPr>
      <w:r>
        <w:t>Source:</w:t>
      </w:r>
      <w:r>
        <w:tab/>
      </w:r>
      <w:r w:rsidRPr="00F61870">
        <w:rPr>
          <w:rStyle w:val="EndnoteReference"/>
          <w:vertAlign w:val="baseline"/>
        </w:rPr>
        <w:t>AER Analysi</w:t>
      </w:r>
      <w:r w:rsidRPr="00F61870">
        <w:t>s.</w:t>
      </w:r>
    </w:p>
    <w:p w:rsidR="00592250" w:rsidRPr="00592250" w:rsidRDefault="00592250" w:rsidP="00592250">
      <w:pPr>
        <w:pStyle w:val="Heading2"/>
      </w:pPr>
      <w:bookmarkStart w:id="44" w:name="_Toc433026854"/>
      <w:bookmarkStart w:id="45" w:name="_Toc415040786"/>
      <w:r>
        <w:t xml:space="preserve">Other </w:t>
      </w:r>
      <w:r w:rsidRPr="00592250">
        <w:t>issues in applying the STPIS</w:t>
      </w:r>
      <w:bookmarkEnd w:id="44"/>
    </w:p>
    <w:p w:rsidR="00810BCA" w:rsidRPr="00432754" w:rsidRDefault="00E32CF0" w:rsidP="00592250">
      <w:pPr>
        <w:pStyle w:val="Heading3"/>
      </w:pPr>
      <w:bookmarkStart w:id="46" w:name="_Toc433026855"/>
      <w:r>
        <w:t>Accounting for step change between regulatory periods</w:t>
      </w:r>
      <w:bookmarkEnd w:id="46"/>
      <w:r>
        <w:t xml:space="preserve"> </w:t>
      </w:r>
      <w:bookmarkEnd w:id="45"/>
    </w:p>
    <w:p w:rsidR="00AF64B3" w:rsidRPr="00AF64B3" w:rsidRDefault="00AF64B3" w:rsidP="00AF64B3">
      <w:r w:rsidRPr="00AF64B3">
        <w:lastRenderedPageBreak/>
        <w:t xml:space="preserve">A </w:t>
      </w:r>
      <w:r>
        <w:t>distributor's</w:t>
      </w:r>
      <w:r w:rsidRPr="00AF64B3">
        <w:t xml:space="preserve"> performance in the last regulatory year of its regulatory control period</w:t>
      </w:r>
      <w:r>
        <w:t xml:space="preserve"> </w:t>
      </w:r>
      <w:r w:rsidRPr="00AF64B3">
        <w:t>will affect its revenue in the second regulatory year in the next regulatory control</w:t>
      </w:r>
      <w:r>
        <w:t xml:space="preserve"> </w:t>
      </w:r>
      <w:r w:rsidRPr="00AF64B3">
        <w:t>period.</w:t>
      </w:r>
    </w:p>
    <w:p w:rsidR="00AF64B3" w:rsidRDefault="00AF64B3" w:rsidP="00AF64B3">
      <w:r w:rsidRPr="00AF64B3">
        <w:t xml:space="preserve">For example, if a </w:t>
      </w:r>
      <w:r>
        <w:t>distributor</w:t>
      </w:r>
      <w:r w:rsidRPr="00AF64B3">
        <w:t xml:space="preserve"> has a regulatory control period of 5 regulatory years</w:t>
      </w:r>
      <w:r>
        <w:t xml:space="preserve"> </w:t>
      </w:r>
      <w:r w:rsidRPr="00AF64B3">
        <w:t>between 1 July 2007 and 30 June 2012, its performance in the 2011–12 financial year</w:t>
      </w:r>
      <w:r>
        <w:t xml:space="preserve"> </w:t>
      </w:r>
      <w:r w:rsidRPr="00AF64B3">
        <w:t>will affect its revenues in the second regulatory year of the next regulatory control</w:t>
      </w:r>
      <w:r>
        <w:t xml:space="preserve"> </w:t>
      </w:r>
      <w:r w:rsidRPr="00AF64B3">
        <w:t>period (that is from 1 July 2014).</w:t>
      </w:r>
      <w:r>
        <w:rPr>
          <w:rStyle w:val="FootnoteReference"/>
        </w:rPr>
        <w:footnoteReference w:id="14"/>
      </w:r>
    </w:p>
    <w:p w:rsidR="0031258F" w:rsidRPr="00FD0BEC" w:rsidRDefault="0031258F" w:rsidP="0031258F">
      <w:r>
        <w:t xml:space="preserve">The STPIS provides a mechanism to </w:t>
      </w:r>
      <w:r w:rsidRPr="00FD0BEC">
        <w:t xml:space="preserve">account for any step change in revenues (or prices), via </w:t>
      </w:r>
      <m:oMath>
        <m:sSub>
          <m:sSubPr>
            <m:ctrlPr>
              <w:rPr>
                <w:rFonts w:ascii="Cambria Math" w:hAnsi="Cambria Math"/>
              </w:rPr>
            </m:ctrlPr>
          </m:sSubPr>
          <m:e>
            <m:r>
              <w:rPr>
                <w:rFonts w:ascii="Cambria Math" w:hAnsi="Cambria Math"/>
              </w:rPr>
              <m:t>X</m:t>
            </m:r>
          </m:e>
          <m:sub>
            <m:r>
              <w:rPr>
                <w:rFonts w:ascii="Cambria Math" w:hAnsi="Cambria Math"/>
              </w:rPr>
              <m:t>0</m:t>
            </m:r>
          </m:sub>
        </m:sSub>
        <m:r>
          <w:rPr>
            <w:rStyle w:val="FootnoteReference"/>
            <w:rFonts w:ascii="Cambria Math" w:hAnsi="Cambria Math"/>
            <w:i/>
          </w:rPr>
          <w:footnoteReference w:id="15"/>
        </m:r>
      </m:oMath>
      <w:r w:rsidRPr="00FD0BEC">
        <w:t>, from one regulatory</w:t>
      </w:r>
      <w:r>
        <w:t xml:space="preserve"> </w:t>
      </w:r>
      <w:r w:rsidRPr="00FD0BEC">
        <w:t>control period to the next</w:t>
      </w:r>
      <w:r>
        <w:t xml:space="preserve">. </w:t>
      </w:r>
      <w:r w:rsidR="00592250">
        <w:t>For Energex, t</w:t>
      </w:r>
      <w:r w:rsidRPr="00FD0BEC">
        <w:t>he ‘raw’ s-factor calculated for the last and second last regulatory years of the regulatory control period (which is applied in the first and second regulatory years of the next regulatory control period) is adjusted in accordance with the following formula:</w:t>
      </w:r>
      <w:r w:rsidRPr="00FD0BEC">
        <w:rPr>
          <w:rStyle w:val="FootnoteReference"/>
        </w:rPr>
        <w:footnoteReference w:id="16"/>
      </w:r>
      <w:r w:rsidRPr="00FD0BEC">
        <w:t xml:space="preserve"> </w:t>
      </w:r>
    </w:p>
    <w:p w:rsidR="006C7727" w:rsidRPr="006C7727" w:rsidRDefault="007E1B6C" w:rsidP="006C7727">
      <m:oMath>
        <m:sSubSup>
          <m:sSubSupPr>
            <m:ctrlPr>
              <w:rPr>
                <w:rFonts w:ascii="Cambria Math" w:hAnsi="Cambria Math"/>
                <w:i/>
              </w:rPr>
            </m:ctrlPr>
          </m:sSubSupPr>
          <m:e>
            <m:r>
              <w:rPr>
                <w:rFonts w:ascii="Cambria Math" w:hAnsi="Cambria Math"/>
              </w:rPr>
              <m:t>S</m:t>
            </m:r>
          </m:e>
          <m:sub>
            <m:r>
              <w:rPr>
                <w:rFonts w:ascii="Cambria Math" w:hAnsi="Cambria Math"/>
              </w:rPr>
              <m:t>t</m:t>
            </m:r>
          </m:sub>
          <m:sup>
            <m:r>
              <w:rPr>
                <w:rFonts w:ascii="Cambria Math" w:hAnsi="Cambria Math"/>
              </w:rPr>
              <m:t>""</m:t>
            </m:r>
          </m:sup>
        </m:sSubSup>
        <m:r>
          <w:rPr>
            <w:rFonts w:ascii="Cambria Math" w:hAnsi="Cambria Math"/>
          </w:rPr>
          <m:t>=</m:t>
        </m:r>
        <m:f>
          <m:fPr>
            <m:ctrlPr>
              <w:rPr>
                <w:rFonts w:ascii="Cambria Math" w:hAnsi="Cambria Math"/>
                <w:i/>
              </w:rPr>
            </m:ctrlPr>
          </m:fPr>
          <m:num>
            <m:sSubSup>
              <m:sSubSupPr>
                <m:ctrlPr>
                  <w:rPr>
                    <w:rFonts w:ascii="Cambria Math" w:hAnsi="Cambria Math"/>
                    <w:i/>
                  </w:rPr>
                </m:ctrlPr>
              </m:sSubSupPr>
              <m:e>
                <m:r>
                  <w:rPr>
                    <w:rFonts w:ascii="Cambria Math" w:hAnsi="Cambria Math"/>
                  </w:rPr>
                  <m:t>S</m:t>
                </m:r>
              </m:e>
              <m:sub>
                <m:r>
                  <w:rPr>
                    <w:rFonts w:ascii="Cambria Math" w:hAnsi="Cambria Math"/>
                  </w:rPr>
                  <m:t>t</m:t>
                </m:r>
              </m:sub>
              <m:sup>
                <m:r>
                  <w:rPr>
                    <w:rFonts w:ascii="Cambria Math" w:hAnsi="Cambria Math"/>
                  </w:rPr>
                  <m:t>'</m:t>
                </m:r>
              </m:sup>
            </m:sSubSup>
          </m:num>
          <m:den>
            <m:sSubSup>
              <m:sSubSupPr>
                <m:ctrlPr>
                  <w:rPr>
                    <w:rFonts w:ascii="Cambria Math" w:hAnsi="Cambria Math"/>
                    <w:i/>
                  </w:rPr>
                </m:ctrlPr>
              </m:sSubSupPr>
              <m:e>
                <m:r>
                  <w:rPr>
                    <w:rFonts w:ascii="Cambria Math" w:hAnsi="Cambria Math"/>
                  </w:rPr>
                  <m:t>1-X</m:t>
                </m:r>
              </m:e>
              <m:sub>
                <m:r>
                  <w:rPr>
                    <w:rFonts w:ascii="Cambria Math" w:hAnsi="Cambria Math"/>
                  </w:rPr>
                  <m:t>0</m:t>
                </m:r>
              </m:sub>
              <m:sup/>
            </m:sSubSup>
          </m:den>
        </m:f>
      </m:oMath>
      <w:r w:rsidR="00CC2B78">
        <w:t xml:space="preserve"> </w:t>
      </w:r>
    </w:p>
    <w:p w:rsidR="006C7727" w:rsidRDefault="006C7727" w:rsidP="006C7727">
      <w:r>
        <w:t>Where:</w:t>
      </w:r>
    </w:p>
    <w:p w:rsidR="00CC2B78" w:rsidRDefault="007E1B6C" w:rsidP="00CC2B78">
      <w:pPr>
        <w:pStyle w:val="AERbulletlistfirststyle"/>
      </w:pPr>
      <m:oMath>
        <m:sSub>
          <m:sSubPr>
            <m:ctrlPr>
              <w:rPr>
                <w:rFonts w:ascii="Cambria Math" w:hAnsi="Cambria Math"/>
              </w:rPr>
            </m:ctrlPr>
          </m:sSubPr>
          <m:e>
            <m:r>
              <w:rPr>
                <w:rFonts w:ascii="Cambria Math" w:hAnsi="Cambria Math"/>
              </w:rPr>
              <m:t>X</m:t>
            </m:r>
          </m:e>
          <m:sub>
            <m:r>
              <m:rPr>
                <m:sty m:val="p"/>
              </m:rPr>
              <w:rPr>
                <w:rFonts w:ascii="Cambria Math" w:hAnsi="Cambria Math"/>
              </w:rPr>
              <m:t>0</m:t>
            </m:r>
          </m:sub>
        </m:sSub>
        <m:r>
          <m:rPr>
            <m:sty m:val="p"/>
          </m:rP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AR</m:t>
                </m:r>
              </m:e>
              <m:sub>
                <m:r>
                  <m:rPr>
                    <m:sty m:val="p"/>
                  </m:rPr>
                  <w:rPr>
                    <w:rFonts w:ascii="Cambria Math" w:hAnsi="Cambria Math"/>
                  </w:rPr>
                  <m:t>2014–15</m:t>
                </m:r>
              </m:sub>
            </m:sSub>
            <m:r>
              <m:rPr>
                <m:sty m:val="p"/>
              </m:rPr>
              <w:rPr>
                <w:rFonts w:ascii="Cambria Math" w:hAnsi="Cambria Math"/>
              </w:rPr>
              <m:t>-</m:t>
            </m:r>
            <m:sSub>
              <m:sSubPr>
                <m:ctrlPr>
                  <w:rPr>
                    <w:rFonts w:ascii="Cambria Math" w:hAnsi="Cambria Math"/>
                  </w:rPr>
                </m:ctrlPr>
              </m:sSubPr>
              <m:e>
                <m:r>
                  <w:rPr>
                    <w:rFonts w:ascii="Cambria Math" w:hAnsi="Cambria Math"/>
                  </w:rPr>
                  <m:t>AR</m:t>
                </m:r>
              </m:e>
              <m:sub>
                <m:r>
                  <m:rPr>
                    <m:sty m:val="p"/>
                  </m:rPr>
                  <w:rPr>
                    <w:rFonts w:ascii="Cambria Math" w:hAnsi="Cambria Math"/>
                  </w:rPr>
                  <m:t>2015–16</m:t>
                </m:r>
              </m:sub>
            </m:sSub>
          </m:num>
          <m:den>
            <m:sSub>
              <m:sSubPr>
                <m:ctrlPr>
                  <w:rPr>
                    <w:rFonts w:ascii="Cambria Math" w:hAnsi="Cambria Math"/>
                  </w:rPr>
                </m:ctrlPr>
              </m:sSubPr>
              <m:e>
                <m:r>
                  <w:rPr>
                    <w:rFonts w:ascii="Cambria Math" w:hAnsi="Cambria Math"/>
                  </w:rPr>
                  <m:t>AR</m:t>
                </m:r>
              </m:e>
              <m:sub>
                <m:r>
                  <m:rPr>
                    <m:sty m:val="p"/>
                  </m:rPr>
                  <w:rPr>
                    <w:rFonts w:ascii="Cambria Math" w:hAnsi="Cambria Math"/>
                  </w:rPr>
                  <m:t>2014–15</m:t>
                </m:r>
              </m:sub>
            </m:sSub>
          </m:den>
        </m:f>
      </m:oMath>
      <w:r w:rsidR="00CC2B78">
        <w:t xml:space="preserve"> </w:t>
      </w:r>
    </w:p>
    <w:p w:rsidR="00CC2B78" w:rsidRDefault="007E1B6C" w:rsidP="00CC2B78">
      <w:pPr>
        <w:pStyle w:val="AERbulletlistfirststyle"/>
      </w:pPr>
      <m:oMath>
        <m:sSub>
          <m:sSubPr>
            <m:ctrlPr>
              <w:rPr>
                <w:rFonts w:ascii="Cambria Math" w:hAnsi="Cambria Math"/>
              </w:rPr>
            </m:ctrlPr>
          </m:sSubPr>
          <m:e>
            <m:r>
              <w:rPr>
                <w:rFonts w:ascii="Cambria Math" w:hAnsi="Cambria Math"/>
              </w:rPr>
              <m:t>AR</m:t>
            </m:r>
          </m:e>
          <m:sub>
            <m:r>
              <m:rPr>
                <m:sty m:val="p"/>
              </m:rPr>
              <w:rPr>
                <w:rFonts w:ascii="Cambria Math" w:hAnsi="Cambria Math"/>
              </w:rPr>
              <m:t>2014–15</m:t>
            </m:r>
          </m:sub>
        </m:sSub>
      </m:oMath>
      <w:r w:rsidR="00CC2B78">
        <w:t xml:space="preserve"> is </w:t>
      </w:r>
      <w:r w:rsidR="00CC2B78" w:rsidRPr="00CC2B78">
        <w:t>Energex</w:t>
      </w:r>
      <w:r w:rsidR="00CC2B78">
        <w:t>'s</w:t>
      </w:r>
      <w:r w:rsidR="00CC2B78" w:rsidRPr="00CC2B78">
        <w:t xml:space="preserve"> </w:t>
      </w:r>
      <w:r w:rsidR="00CC2B78">
        <w:t>a</w:t>
      </w:r>
      <w:r w:rsidR="00CC2B78" w:rsidRPr="00CC2B78">
        <w:t xml:space="preserve">pproved </w:t>
      </w:r>
      <w:r w:rsidR="00CC2B78">
        <w:t>revenue in the 2014–15</w:t>
      </w:r>
      <w:r w:rsidR="00CC2B78" w:rsidRPr="00CC2B78">
        <w:t xml:space="preserve"> </w:t>
      </w:r>
      <w:r w:rsidR="00CC2B78">
        <w:t>p</w:t>
      </w:r>
      <w:r w:rsidR="00CC2B78" w:rsidRPr="00CC2B78">
        <w:t xml:space="preserve">ricing </w:t>
      </w:r>
      <w:r w:rsidR="00CC2B78">
        <w:t>p</w:t>
      </w:r>
      <w:r w:rsidR="00CC2B78" w:rsidRPr="00CC2B78">
        <w:t xml:space="preserve">roposal </w:t>
      </w:r>
    </w:p>
    <w:p w:rsidR="002E4E94" w:rsidRDefault="007E1B6C" w:rsidP="00592250">
      <w:pPr>
        <w:pStyle w:val="AERbulletlistfirststyle"/>
      </w:pPr>
      <m:oMath>
        <m:sSub>
          <m:sSubPr>
            <m:ctrlPr>
              <w:rPr>
                <w:rFonts w:ascii="Cambria Math" w:hAnsi="Cambria Math"/>
              </w:rPr>
            </m:ctrlPr>
          </m:sSubPr>
          <m:e>
            <m:r>
              <w:rPr>
                <w:rFonts w:ascii="Cambria Math" w:hAnsi="Cambria Math"/>
              </w:rPr>
              <m:t>AR</m:t>
            </m:r>
          </m:e>
          <m:sub>
            <m:r>
              <m:rPr>
                <m:sty m:val="p"/>
              </m:rPr>
              <w:rPr>
                <w:rFonts w:ascii="Cambria Math" w:hAnsi="Cambria Math"/>
              </w:rPr>
              <m:t>2015–16</m:t>
            </m:r>
          </m:sub>
        </m:sSub>
      </m:oMath>
      <w:r w:rsidR="00CC2B78" w:rsidRPr="00CC2B78">
        <w:t xml:space="preserve"> is Energex's allowable revenue </w:t>
      </w:r>
      <w:r w:rsidR="00D86D98">
        <w:t>in the</w:t>
      </w:r>
      <w:r w:rsidR="00CC2B78" w:rsidRPr="00CC2B78">
        <w:t xml:space="preserve"> final determination </w:t>
      </w:r>
      <w:r w:rsidR="00D86D98">
        <w:t xml:space="preserve">for </w:t>
      </w:r>
      <w:r w:rsidR="00CC2B78" w:rsidRPr="00CC2B78">
        <w:t>2015–20.</w:t>
      </w:r>
    </w:p>
    <w:p w:rsidR="004A026F" w:rsidRDefault="004A026F" w:rsidP="00592250">
      <w:pPr>
        <w:pStyle w:val="Heading3"/>
      </w:pPr>
      <w:bookmarkStart w:id="47" w:name="_Toc433026856"/>
      <w:r>
        <w:t>Submissions</w:t>
      </w:r>
      <w:bookmarkEnd w:id="47"/>
    </w:p>
    <w:p w:rsidR="008D25C6" w:rsidRDefault="004A026F" w:rsidP="004A026F">
      <w:pPr>
        <w:rPr>
          <w:rStyle w:val="AERbody"/>
        </w:rPr>
      </w:pPr>
      <w:r>
        <w:rPr>
          <w:rStyle w:val="AERbody"/>
        </w:rPr>
        <w:t xml:space="preserve">We received a submission from the Alliance of Electricity Consumers of Queensland regarding </w:t>
      </w:r>
      <w:r w:rsidR="008D25C6">
        <w:rPr>
          <w:rStyle w:val="AERbody"/>
        </w:rPr>
        <w:t>Energex</w:t>
      </w:r>
      <w:r>
        <w:rPr>
          <w:rStyle w:val="AERbody"/>
        </w:rPr>
        <w:t xml:space="preserve">'s STPIS proposal. </w:t>
      </w:r>
    </w:p>
    <w:p w:rsidR="00784F27" w:rsidRDefault="00784F27" w:rsidP="00784F27">
      <w:pPr>
        <w:rPr>
          <w:rStyle w:val="AERbody"/>
        </w:rPr>
      </w:pPr>
      <w:r>
        <w:rPr>
          <w:rStyle w:val="AERbody"/>
        </w:rPr>
        <w:t>The Consumer Challenge Panel did not provide a submission on the STPIS.</w:t>
      </w:r>
    </w:p>
    <w:p w:rsidR="004A026F" w:rsidRDefault="004A026F" w:rsidP="004A026F">
      <w:pPr>
        <w:rPr>
          <w:rStyle w:val="AERbody"/>
        </w:rPr>
      </w:pPr>
      <w:r w:rsidRPr="0039307D">
        <w:rPr>
          <w:rStyle w:val="AERbody"/>
        </w:rPr>
        <w:t>The Alliance of Electricity Consumers</w:t>
      </w:r>
      <w:r>
        <w:rPr>
          <w:rStyle w:val="AERbody"/>
        </w:rPr>
        <w:t xml:space="preserve"> re–</w:t>
      </w:r>
      <w:r w:rsidRPr="0039307D">
        <w:rPr>
          <w:rStyle w:val="AERbody"/>
        </w:rPr>
        <w:t>submitted that E</w:t>
      </w:r>
      <w:r w:rsidR="008D25C6">
        <w:rPr>
          <w:rStyle w:val="AERbody"/>
        </w:rPr>
        <w:t>nergex</w:t>
      </w:r>
      <w:r w:rsidRPr="0039307D">
        <w:rPr>
          <w:rStyle w:val="AERbody"/>
        </w:rPr>
        <w:t xml:space="preserve"> should not be rewarded for meeting its legislative level of service. As such, </w:t>
      </w:r>
      <w:r w:rsidR="002C3AB0">
        <w:rPr>
          <w:rStyle w:val="AERbody"/>
        </w:rPr>
        <w:t>we</w:t>
      </w:r>
      <w:r w:rsidRPr="0039307D">
        <w:rPr>
          <w:rStyle w:val="AERbody"/>
        </w:rPr>
        <w:t xml:space="preserve"> should revoke the </w:t>
      </w:r>
      <w:r>
        <w:rPr>
          <w:rStyle w:val="AERbody"/>
        </w:rPr>
        <w:t xml:space="preserve">STPIS </w:t>
      </w:r>
      <w:r w:rsidRPr="0039307D">
        <w:rPr>
          <w:rStyle w:val="AERbody"/>
        </w:rPr>
        <w:t>payment</w:t>
      </w:r>
      <w:r>
        <w:rPr>
          <w:rStyle w:val="AERbody"/>
        </w:rPr>
        <w:t>s</w:t>
      </w:r>
      <w:r w:rsidRPr="0039307D">
        <w:rPr>
          <w:rStyle w:val="AERbody"/>
        </w:rPr>
        <w:t xml:space="preserve"> E</w:t>
      </w:r>
      <w:r w:rsidR="008D25C6">
        <w:rPr>
          <w:rStyle w:val="AERbody"/>
        </w:rPr>
        <w:t>nergex</w:t>
      </w:r>
      <w:r>
        <w:rPr>
          <w:rStyle w:val="AERbody"/>
        </w:rPr>
        <w:t xml:space="preserve"> is seeking to recover in the </w:t>
      </w:r>
      <w:r w:rsidR="002C3AB0">
        <w:rPr>
          <w:rStyle w:val="AERbody"/>
        </w:rPr>
        <w:t>2015</w:t>
      </w:r>
      <w:r w:rsidR="002C3AB0">
        <w:rPr>
          <w:rStyle w:val="AERbody"/>
          <w:rFonts w:cs="Arial"/>
        </w:rPr>
        <w:t>─</w:t>
      </w:r>
      <w:r w:rsidR="002C3AB0">
        <w:rPr>
          <w:rStyle w:val="AERbody"/>
        </w:rPr>
        <w:t>20</w:t>
      </w:r>
      <w:r>
        <w:rPr>
          <w:rStyle w:val="AERbody"/>
        </w:rPr>
        <w:t xml:space="preserve"> regulatory control period</w:t>
      </w:r>
      <w:r w:rsidRPr="0039307D">
        <w:rPr>
          <w:rStyle w:val="AERbody"/>
        </w:rPr>
        <w:t>.</w:t>
      </w:r>
      <w:r>
        <w:rPr>
          <w:rStyle w:val="FootnoteReference"/>
        </w:rPr>
        <w:footnoteReference w:id="17"/>
      </w:r>
    </w:p>
    <w:p w:rsidR="004A026F" w:rsidRDefault="004A026F" w:rsidP="004A026F">
      <w:pPr>
        <w:rPr>
          <w:rStyle w:val="AERbody"/>
        </w:rPr>
      </w:pPr>
      <w:r>
        <w:lastRenderedPageBreak/>
        <w:t xml:space="preserve">The </w:t>
      </w:r>
      <w:r w:rsidRPr="0039307D">
        <w:rPr>
          <w:rStyle w:val="AERbody"/>
        </w:rPr>
        <w:t>Alliance of Electricity Consumers</w:t>
      </w:r>
      <w:r>
        <w:rPr>
          <w:rStyle w:val="AERbody"/>
        </w:rPr>
        <w:t xml:space="preserve"> may be referring to the deterministic "N-1" planning standard for supply security.</w:t>
      </w:r>
      <w:r w:rsidR="00592250">
        <w:rPr>
          <w:rStyle w:val="FootnoteReference"/>
        </w:rPr>
        <w:footnoteReference w:id="18"/>
      </w:r>
      <w:r>
        <w:rPr>
          <w:rStyle w:val="AERbody"/>
        </w:rPr>
        <w:t xml:space="preserve"> The deterministic "N-1" planning standard is no longer enforced and has been replaced with cost/benefit trade-off "probabilistic" planning approach. Both deterministic and </w:t>
      </w:r>
      <w:r w:rsidRPr="00E020FB">
        <w:rPr>
          <w:rStyle w:val="AERbody"/>
        </w:rPr>
        <w:t xml:space="preserve">probabilistic </w:t>
      </w:r>
      <w:r>
        <w:rPr>
          <w:rStyle w:val="AERbody"/>
        </w:rPr>
        <w:t>planning standards mainly address capacity shortfalls rather than reliability outcomes.</w:t>
      </w:r>
      <w:r w:rsidR="00592250">
        <w:rPr>
          <w:rStyle w:val="CommentReference"/>
          <w:rFonts w:asciiTheme="minorHAnsi" w:eastAsia="Calibri" w:hAnsiTheme="minorHAnsi" w:cs="Times New Roman"/>
        </w:rPr>
        <w:t xml:space="preserve"> </w:t>
      </w:r>
    </w:p>
    <w:p w:rsidR="004A026F" w:rsidRPr="00E928A1" w:rsidRDefault="004A026F" w:rsidP="004A026F">
      <w:r w:rsidRPr="00E928A1">
        <w:t xml:space="preserve">The STPIS </w:t>
      </w:r>
      <w:r>
        <w:t xml:space="preserve">on the other hand has a different purpose. It is an outcome focused mechanism </w:t>
      </w:r>
      <w:r w:rsidRPr="00E928A1">
        <w:t xml:space="preserve">intended to balance incentives to reduce expenditure with the need to maintain or improve service quality. It achieves this by providing financial incentives to </w:t>
      </w:r>
      <w:r w:rsidR="0031258F">
        <w:t xml:space="preserve">electricity distributors </w:t>
      </w:r>
      <w:r w:rsidRPr="00E928A1">
        <w:t xml:space="preserve">maintain and improve service performance where customers are willing to pay for these improvements. </w:t>
      </w:r>
    </w:p>
    <w:p w:rsidR="004A026F" w:rsidRDefault="0031258F" w:rsidP="004A026F">
      <w:r>
        <w:t>Energex</w:t>
      </w:r>
      <w:r w:rsidR="004A026F">
        <w:t xml:space="preserve"> was rewarded under the STPIS in the current regulatory control period because it met it reliability targets or the intended outcome which was set above the reliability standard. </w:t>
      </w:r>
    </w:p>
    <w:p w:rsidR="004A026F" w:rsidRPr="007A3BDD" w:rsidRDefault="004A026F" w:rsidP="007A3BDD"/>
    <w:sectPr w:rsidR="004A026F" w:rsidRPr="007A3BDD" w:rsidSect="00DE563D">
      <w:pgSz w:w="11906" w:h="16838" w:code="9"/>
      <w:pgMar w:top="1440" w:right="1700" w:bottom="1582" w:left="1729" w:header="720" w:footer="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77C9" w:rsidRPr="00290C63" w:rsidRDefault="003B77C9" w:rsidP="00290C63">
      <w:r>
        <w:separator/>
      </w:r>
    </w:p>
    <w:p w:rsidR="003B77C9" w:rsidRDefault="003B77C9"/>
  </w:endnote>
  <w:endnote w:type="continuationSeparator" w:id="0">
    <w:p w:rsidR="003B77C9" w:rsidRPr="00290C63" w:rsidRDefault="003B77C9" w:rsidP="00290C63">
      <w:r>
        <w:continuationSeparator/>
      </w:r>
    </w:p>
    <w:p w:rsidR="003B77C9" w:rsidRDefault="003B77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utami">
    <w:panose1 w:val="020B0502040204020203"/>
    <w:charset w:val="01"/>
    <w:family w:val="roman"/>
    <w:notTrueType/>
    <w:pitch w:val="variable"/>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77C9" w:rsidRPr="00290C63" w:rsidRDefault="003B77C9" w:rsidP="00290C63">
    <w:pPr>
      <w:rPr>
        <w:rStyle w:val="PageNumber"/>
      </w:rPr>
    </w:pPr>
    <w:r w:rsidRPr="00290C63">
      <w:rPr>
        <w:rStyle w:val="PageNumber"/>
      </w:rPr>
      <w:fldChar w:fldCharType="begin"/>
    </w:r>
    <w:r w:rsidRPr="00290C63">
      <w:rPr>
        <w:rStyle w:val="PageNumber"/>
      </w:rPr>
      <w:instrText xml:space="preserve"> PAGE   \* MERGEFORMAT </w:instrText>
    </w:r>
    <w:r w:rsidRPr="00290C63">
      <w:rPr>
        <w:rStyle w:val="PageNumber"/>
      </w:rPr>
      <w:fldChar w:fldCharType="separate"/>
    </w:r>
    <w:r w:rsidRPr="00290C63">
      <w:rPr>
        <w:rStyle w:val="PageNumber"/>
      </w:rPr>
      <w:t>2</w:t>
    </w:r>
    <w:r w:rsidRPr="00290C63">
      <w:rPr>
        <w:rStyle w:val="PageNumber"/>
      </w:rPr>
      <w:fldChar w:fldCharType="end"/>
    </w:r>
    <w:r w:rsidRPr="00290C63">
      <w:rPr>
        <w:rStyle w:val="PageNumber"/>
      </w:rPr>
      <w:tab/>
      <w:t>Xxx report—month/year</w:t>
    </w:r>
  </w:p>
  <w:p w:rsidR="003B77C9" w:rsidRDefault="003B77C9"/>
  <w:p w:rsidR="003B77C9" w:rsidRDefault="003B77C9"/>
  <w:p w:rsidR="003B77C9" w:rsidRDefault="003B77C9"/>
  <w:p w:rsidR="003B77C9" w:rsidRDefault="003B77C9"/>
  <w:p w:rsidR="003B77C9" w:rsidRDefault="003B77C9"/>
  <w:p w:rsidR="003B77C9" w:rsidRDefault="003B77C9"/>
  <w:p w:rsidR="003B77C9" w:rsidRDefault="003B77C9"/>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3655474"/>
      <w:docPartObj>
        <w:docPartGallery w:val="Page Numbers (Bottom of Page)"/>
        <w:docPartUnique/>
      </w:docPartObj>
    </w:sdtPr>
    <w:sdtEndPr>
      <w:rPr>
        <w:noProof/>
      </w:rPr>
    </w:sdtEndPr>
    <w:sdtContent>
      <w:p w:rsidR="003B77C9" w:rsidRDefault="003B77C9">
        <w:pPr>
          <w:pStyle w:val="Footer"/>
        </w:pPr>
        <w:r>
          <w:t>11-</w:t>
        </w:r>
        <w:r>
          <w:fldChar w:fldCharType="begin"/>
        </w:r>
        <w:r>
          <w:instrText xml:space="preserve"> PAGE   \* MERGEFORMAT </w:instrText>
        </w:r>
        <w:r>
          <w:fldChar w:fldCharType="separate"/>
        </w:r>
        <w:r w:rsidR="00965C4B">
          <w:rPr>
            <w:noProof/>
          </w:rPr>
          <w:t>4</w:t>
        </w:r>
        <w:r>
          <w:rPr>
            <w:noProof/>
          </w:rPr>
          <w:fldChar w:fldCharType="end"/>
        </w:r>
        <w:r>
          <w:rPr>
            <w:noProof/>
          </w:rPr>
          <w:t xml:space="preserve">      </w:t>
        </w:r>
        <w:r>
          <w:t xml:space="preserve">           </w:t>
        </w:r>
        <w:r>
          <w:rPr>
            <w:noProof/>
          </w:rPr>
          <w:t xml:space="preserve">  Attachment 1</w:t>
        </w:r>
        <w:r>
          <w:t>1</w:t>
        </w:r>
        <w:r>
          <w:rPr>
            <w:noProof/>
          </w:rPr>
          <w:t xml:space="preserve"> </w:t>
        </w:r>
        <w:r>
          <w:rPr>
            <w:rFonts w:cs="Gautami"/>
            <w:noProof/>
          </w:rPr>
          <w:t xml:space="preserve">– </w:t>
        </w:r>
        <w:r>
          <w:t>STPIS</w:t>
        </w:r>
        <w:r>
          <w:rPr>
            <w:rFonts w:cs="Gautami"/>
            <w:noProof/>
          </w:rPr>
          <w:t xml:space="preserve"> | </w:t>
        </w:r>
        <w:r>
          <w:t>Energex</w:t>
        </w:r>
        <w:r>
          <w:rPr>
            <w:rFonts w:cs="Gautami"/>
            <w:noProof/>
          </w:rPr>
          <w:t xml:space="preserve"> determination 2015–20</w:t>
        </w:r>
      </w:p>
    </w:sdtContent>
  </w:sdt>
  <w:p w:rsidR="003B77C9" w:rsidRDefault="003B77C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77C9" w:rsidRPr="00290C63" w:rsidRDefault="003B77C9" w:rsidP="00290C63">
    <w:pPr>
      <w:pStyle w:val="Footer"/>
    </w:pPr>
    <w:r>
      <w:t>Name of Report</w:t>
    </w:r>
    <w:r>
      <w:tab/>
    </w:r>
    <w:r>
      <w:tab/>
    </w:r>
    <w:r w:rsidRPr="00290C63">
      <w:fldChar w:fldCharType="begin"/>
    </w:r>
    <w:r w:rsidRPr="00290C63">
      <w:instrText xml:space="preserve"> PAGE   \* MERGEFORMAT </w:instrText>
    </w:r>
    <w:r w:rsidRPr="00290C63">
      <w:fldChar w:fldCharType="separate"/>
    </w:r>
    <w:r w:rsidRPr="00290C63">
      <w:t>1</w:t>
    </w:r>
    <w:r w:rsidRPr="00290C63">
      <w:fldChar w:fldCharType="end"/>
    </w:r>
  </w:p>
  <w:p w:rsidR="003B77C9" w:rsidRDefault="003B77C9">
    <w:pPr>
      <w:pStyle w:val="Footer"/>
    </w:pPr>
  </w:p>
  <w:p w:rsidR="003B77C9" w:rsidRDefault="003B77C9"/>
  <w:p w:rsidR="003B77C9" w:rsidRDefault="003B77C9"/>
  <w:p w:rsidR="003B77C9" w:rsidRDefault="003B77C9"/>
  <w:p w:rsidR="003B77C9" w:rsidRDefault="003B77C9"/>
  <w:p w:rsidR="003B77C9" w:rsidRDefault="003B77C9"/>
  <w:p w:rsidR="003B77C9" w:rsidRDefault="003B77C9"/>
  <w:p w:rsidR="003B77C9" w:rsidRDefault="003B77C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77C9" w:rsidRPr="00290C63" w:rsidRDefault="003B77C9" w:rsidP="00290C63">
      <w:r>
        <w:separator/>
      </w:r>
    </w:p>
    <w:p w:rsidR="003B77C9" w:rsidRDefault="003B77C9"/>
  </w:footnote>
  <w:footnote w:type="continuationSeparator" w:id="0">
    <w:p w:rsidR="003B77C9" w:rsidRPr="00290C63" w:rsidRDefault="003B77C9" w:rsidP="00290C63">
      <w:r>
        <w:continuationSeparator/>
      </w:r>
    </w:p>
    <w:p w:rsidR="003B77C9" w:rsidRDefault="003B77C9"/>
  </w:footnote>
  <w:footnote w:id="1">
    <w:p w:rsidR="003B77C9" w:rsidRDefault="003B77C9" w:rsidP="00637CAC">
      <w:pPr>
        <w:pStyle w:val="FootnoteText"/>
      </w:pPr>
      <w:r>
        <w:rPr>
          <w:rStyle w:val="FootnoteReference"/>
        </w:rPr>
        <w:footnoteRef/>
      </w:r>
      <w:r>
        <w:t xml:space="preserve"> </w:t>
      </w:r>
      <w:r>
        <w:tab/>
      </w:r>
      <w:r w:rsidRPr="005D44E7">
        <w:t xml:space="preserve">AER, </w:t>
      </w:r>
      <w:r w:rsidRPr="000565BE">
        <w:rPr>
          <w:rStyle w:val="AERtextitalic"/>
        </w:rPr>
        <w:t>Electricity distribution network service providers—service target performance incentive scheme</w:t>
      </w:r>
      <w:r w:rsidRPr="005D44E7">
        <w:t xml:space="preserve">, 1 November 2009. (AER, </w:t>
      </w:r>
      <w:r w:rsidRPr="000565BE">
        <w:rPr>
          <w:rStyle w:val="AERtextitalic"/>
        </w:rPr>
        <w:t>STPIS</w:t>
      </w:r>
      <w:r w:rsidRPr="005D44E7">
        <w:t>, Nov</w:t>
      </w:r>
      <w:r>
        <w:t>ember</w:t>
      </w:r>
      <w:r w:rsidRPr="005D44E7">
        <w:t xml:space="preserve"> 2009).</w:t>
      </w:r>
    </w:p>
  </w:footnote>
  <w:footnote w:id="2">
    <w:p w:rsidR="003B77C9" w:rsidRDefault="003B77C9">
      <w:pPr>
        <w:pStyle w:val="FootnoteText"/>
      </w:pPr>
      <w:r>
        <w:rPr>
          <w:rStyle w:val="FootnoteReference"/>
        </w:rPr>
        <w:footnoteRef/>
      </w:r>
      <w:r>
        <w:t xml:space="preserve"> </w:t>
      </w:r>
      <w:r>
        <w:tab/>
      </w:r>
      <w:r w:rsidRPr="005B3005">
        <w:t>Energex</w:t>
      </w:r>
      <w:r>
        <w:t xml:space="preserve">, </w:t>
      </w:r>
      <w:r w:rsidRPr="003B77C9">
        <w:rPr>
          <w:rStyle w:val="AERtextitalic"/>
        </w:rPr>
        <w:t>R</w:t>
      </w:r>
      <w:r w:rsidRPr="005B3005">
        <w:rPr>
          <w:rStyle w:val="AERtextitalic"/>
        </w:rPr>
        <w:t>evised regulatory proposal</w:t>
      </w:r>
      <w:r w:rsidRPr="005B3005">
        <w:t>, 3 July 2015, p. 131.</w:t>
      </w:r>
    </w:p>
  </w:footnote>
  <w:footnote w:id="3">
    <w:p w:rsidR="003B77C9" w:rsidRDefault="003B77C9" w:rsidP="00FE3211">
      <w:pPr>
        <w:pStyle w:val="FootnoteText"/>
      </w:pPr>
      <w:r>
        <w:rPr>
          <w:rStyle w:val="FootnoteReference"/>
        </w:rPr>
        <w:footnoteRef/>
      </w:r>
      <w:r>
        <w:t xml:space="preserve"> </w:t>
      </w:r>
      <w:r>
        <w:tab/>
        <w:t>NER, cl. 6.12.1(9).</w:t>
      </w:r>
    </w:p>
  </w:footnote>
  <w:footnote w:id="4">
    <w:p w:rsidR="003B77C9" w:rsidRDefault="003B77C9" w:rsidP="00FE3211">
      <w:pPr>
        <w:pStyle w:val="FootnoteText"/>
      </w:pPr>
      <w:r>
        <w:rPr>
          <w:rStyle w:val="FootnoteReference"/>
        </w:rPr>
        <w:footnoteRef/>
      </w:r>
      <w:r>
        <w:t xml:space="preserve"> </w:t>
      </w:r>
      <w:r>
        <w:tab/>
        <w:t>AER, STPIS, cl. 2.1(d).</w:t>
      </w:r>
    </w:p>
  </w:footnote>
  <w:footnote w:id="5">
    <w:p w:rsidR="003B77C9" w:rsidRDefault="003B77C9" w:rsidP="00FE3211">
      <w:pPr>
        <w:pStyle w:val="FootnoteText"/>
      </w:pPr>
      <w:r>
        <w:rPr>
          <w:rStyle w:val="FootnoteReference"/>
        </w:rPr>
        <w:footnoteRef/>
      </w:r>
      <w:r>
        <w:t xml:space="preserve"> </w:t>
      </w:r>
      <w:r>
        <w:tab/>
      </w:r>
      <w:proofErr w:type="gramStart"/>
      <w:r>
        <w:t xml:space="preserve">AER, </w:t>
      </w:r>
      <w:r w:rsidRPr="003D6AD9">
        <w:rPr>
          <w:rStyle w:val="AERtextitalic"/>
        </w:rPr>
        <w:t>Final Framew</w:t>
      </w:r>
      <w:r>
        <w:rPr>
          <w:rStyle w:val="AERtextitalic"/>
        </w:rPr>
        <w:t xml:space="preserve">ork and approach for Energex an Ergon </w:t>
      </w:r>
      <w:r w:rsidRPr="003D6AD9">
        <w:rPr>
          <w:rStyle w:val="AERtextitalic"/>
        </w:rPr>
        <w:t>Energy Regulatory control period commencing 1 July 2015</w:t>
      </w:r>
      <w:r>
        <w:t xml:space="preserve">, </w:t>
      </w:r>
      <w:r w:rsidRPr="003D6AD9">
        <w:t>April 2014</w:t>
      </w:r>
      <w:r>
        <w:t>, pp. 70</w:t>
      </w:r>
      <w:r>
        <w:rPr>
          <w:rFonts w:cs="Arial"/>
        </w:rPr>
        <w:t>─</w:t>
      </w:r>
      <w:r>
        <w:t>71.</w:t>
      </w:r>
      <w:proofErr w:type="gramEnd"/>
    </w:p>
  </w:footnote>
  <w:footnote w:id="6">
    <w:p w:rsidR="003B77C9" w:rsidRDefault="003B77C9" w:rsidP="00FE3211">
      <w:pPr>
        <w:pStyle w:val="FootnoteText"/>
      </w:pPr>
      <w:r>
        <w:rPr>
          <w:rStyle w:val="FootnoteReference"/>
        </w:rPr>
        <w:footnoteRef/>
      </w:r>
      <w:r>
        <w:t xml:space="preserve"> </w:t>
      </w:r>
      <w:r>
        <w:tab/>
      </w:r>
      <w:r w:rsidRPr="00881D15">
        <w:t xml:space="preserve">AER, </w:t>
      </w:r>
      <w:r w:rsidRPr="00170B0D">
        <w:rPr>
          <w:rStyle w:val="AERtextitalic"/>
        </w:rPr>
        <w:t>STPIS</w:t>
      </w:r>
      <w:r w:rsidRPr="00881D15">
        <w:t>, November 2009, cl</w:t>
      </w:r>
      <w:r>
        <w:t>.</w:t>
      </w:r>
      <w:r w:rsidRPr="00881D15">
        <w:t xml:space="preserve"> </w:t>
      </w:r>
      <w:r>
        <w:t>1.8</w:t>
      </w:r>
      <w:r w:rsidRPr="00881D15">
        <w:t>(</w:t>
      </w:r>
      <w:r>
        <w:t>f</w:t>
      </w:r>
      <w:r w:rsidRPr="00881D15">
        <w:t>).</w:t>
      </w:r>
    </w:p>
  </w:footnote>
  <w:footnote w:id="7">
    <w:p w:rsidR="003B77C9" w:rsidRDefault="003B77C9" w:rsidP="00637CAC">
      <w:pPr>
        <w:pStyle w:val="FootnoteText"/>
      </w:pPr>
      <w:r>
        <w:rPr>
          <w:rStyle w:val="FootnoteReference"/>
        </w:rPr>
        <w:footnoteRef/>
      </w:r>
      <w:r>
        <w:t xml:space="preserve"> </w:t>
      </w:r>
      <w:r>
        <w:tab/>
        <w:t>NER, cl. 6.6.2(b)(3)(iv).</w:t>
      </w:r>
    </w:p>
  </w:footnote>
  <w:footnote w:id="8">
    <w:p w:rsidR="003B77C9" w:rsidRDefault="003B77C9" w:rsidP="00637CAC">
      <w:pPr>
        <w:pStyle w:val="FootnoteText"/>
      </w:pPr>
      <w:r>
        <w:rPr>
          <w:rStyle w:val="FootnoteReference"/>
        </w:rPr>
        <w:footnoteRef/>
      </w:r>
      <w:r>
        <w:t xml:space="preserve"> </w:t>
      </w:r>
      <w:r>
        <w:tab/>
        <w:t xml:space="preserve">AER, </w:t>
      </w:r>
      <w:r w:rsidRPr="008A5AB3">
        <w:rPr>
          <w:rStyle w:val="AERtextitalic"/>
        </w:rPr>
        <w:t>STPIS</w:t>
      </w:r>
      <w:r>
        <w:t>, November 2009, cl. 1.5(b)(5).</w:t>
      </w:r>
    </w:p>
  </w:footnote>
  <w:footnote w:id="9">
    <w:p w:rsidR="003B77C9" w:rsidRDefault="003B77C9" w:rsidP="00FE3211">
      <w:pPr>
        <w:pStyle w:val="FootnoteText"/>
      </w:pPr>
      <w:r>
        <w:rPr>
          <w:rStyle w:val="FootnoteReference"/>
        </w:rPr>
        <w:footnoteRef/>
      </w:r>
      <w:r>
        <w:t xml:space="preserve"> </w:t>
      </w:r>
      <w:r>
        <w:tab/>
        <w:t xml:space="preserve">AER, </w:t>
      </w:r>
      <w:r w:rsidRPr="003D6AD9">
        <w:rPr>
          <w:rStyle w:val="AERtextitalic"/>
        </w:rPr>
        <w:t>Final Framew</w:t>
      </w:r>
      <w:r>
        <w:rPr>
          <w:rStyle w:val="AERtextitalic"/>
        </w:rPr>
        <w:t xml:space="preserve">ork and approach for Energex an Ergon </w:t>
      </w:r>
      <w:r w:rsidRPr="003D6AD9">
        <w:rPr>
          <w:rStyle w:val="AERtextitalic"/>
        </w:rPr>
        <w:t>Energy Regulatory control period commencing 1 July 2015</w:t>
      </w:r>
      <w:r>
        <w:t xml:space="preserve">, </w:t>
      </w:r>
      <w:r w:rsidRPr="003D6AD9">
        <w:t>April 2014</w:t>
      </w:r>
      <w:r>
        <w:t xml:space="preserve">, p. 70-71; AER, </w:t>
      </w:r>
      <w:r w:rsidRPr="00FE3211">
        <w:rPr>
          <w:rStyle w:val="AERtextitalic"/>
        </w:rPr>
        <w:t>Preliminary decision Energex determination 2015−16 to 2019−20 Attachment 11 − Service target performance incentive scheme</w:t>
      </w:r>
      <w:r>
        <w:t xml:space="preserve">, </w:t>
      </w:r>
      <w:r w:rsidRPr="00FE3211">
        <w:t>April 2015</w:t>
      </w:r>
      <w:r>
        <w:t>.</w:t>
      </w:r>
    </w:p>
  </w:footnote>
  <w:footnote w:id="10">
    <w:p w:rsidR="003B77C9" w:rsidRDefault="003B77C9" w:rsidP="00793A61">
      <w:pPr>
        <w:pStyle w:val="FootnoteText"/>
      </w:pPr>
      <w:r>
        <w:rPr>
          <w:rStyle w:val="FootnoteReference"/>
        </w:rPr>
        <w:footnoteRef/>
      </w:r>
      <w:r>
        <w:t xml:space="preserve"> </w:t>
      </w:r>
      <w:r>
        <w:tab/>
        <w:t xml:space="preserve">AER, </w:t>
      </w:r>
      <w:r w:rsidRPr="000A1C5A">
        <w:rPr>
          <w:rStyle w:val="AERtextitalic"/>
        </w:rPr>
        <w:t>STPIS</w:t>
      </w:r>
      <w:r w:rsidRPr="000A1C5A">
        <w:t xml:space="preserve">, November 2009, </w:t>
      </w:r>
      <w:r>
        <w:t xml:space="preserve">cl. 3.2.1. </w:t>
      </w:r>
    </w:p>
  </w:footnote>
  <w:footnote w:id="11">
    <w:p w:rsidR="003B77C9" w:rsidRDefault="003B77C9">
      <w:pPr>
        <w:pStyle w:val="FootnoteText"/>
      </w:pPr>
      <w:r>
        <w:rPr>
          <w:rStyle w:val="FootnoteReference"/>
        </w:rPr>
        <w:footnoteRef/>
      </w:r>
      <w:r>
        <w:t xml:space="preserve"> </w:t>
      </w:r>
      <w:r>
        <w:tab/>
      </w:r>
      <w:r w:rsidRPr="005B3005">
        <w:t xml:space="preserve">Energex, </w:t>
      </w:r>
      <w:r w:rsidRPr="005B3005">
        <w:rPr>
          <w:rStyle w:val="AERtextitalic"/>
        </w:rPr>
        <w:t>Energex 2015-20 revised regulatory proposal</w:t>
      </w:r>
      <w:r w:rsidRPr="005B3005">
        <w:t>, 3 July 2015, p. 131.</w:t>
      </w:r>
      <w:r>
        <w:t xml:space="preserve"> </w:t>
      </w:r>
    </w:p>
  </w:footnote>
  <w:footnote w:id="12">
    <w:p w:rsidR="003B77C9" w:rsidRDefault="003B77C9" w:rsidP="00C07665">
      <w:pPr>
        <w:pStyle w:val="FootnoteText"/>
      </w:pPr>
      <w:r>
        <w:rPr>
          <w:rStyle w:val="FootnoteReference"/>
        </w:rPr>
        <w:footnoteRef/>
      </w:r>
      <w:r>
        <w:t xml:space="preserve"> </w:t>
      </w:r>
      <w:r>
        <w:tab/>
      </w:r>
      <w:r w:rsidRPr="005B3005">
        <w:t xml:space="preserve">Energex, </w:t>
      </w:r>
      <w:r w:rsidRPr="005B3005">
        <w:rPr>
          <w:rStyle w:val="AERtextitalic"/>
        </w:rPr>
        <w:t>Energex 2015-20 revised regulatory proposal</w:t>
      </w:r>
      <w:r w:rsidRPr="005B3005">
        <w:t>, 3 July 2015, p. 131.</w:t>
      </w:r>
    </w:p>
  </w:footnote>
  <w:footnote w:id="13">
    <w:p w:rsidR="003B77C9" w:rsidRDefault="003B77C9" w:rsidP="00FD37C3">
      <w:pPr>
        <w:pStyle w:val="FootnoteText"/>
      </w:pPr>
      <w:r>
        <w:rPr>
          <w:rStyle w:val="FootnoteReference"/>
        </w:rPr>
        <w:footnoteRef/>
      </w:r>
      <w:r>
        <w:t xml:space="preserve"> </w:t>
      </w:r>
      <w:r>
        <w:tab/>
      </w:r>
      <w:r w:rsidRPr="00755F8E">
        <w:t xml:space="preserve">AER, </w:t>
      </w:r>
      <w:r w:rsidRPr="00E37324">
        <w:rPr>
          <w:rStyle w:val="AERtextitalic"/>
        </w:rPr>
        <w:t>STPIS</w:t>
      </w:r>
      <w:r>
        <w:t>, November 2009, cl. 5.3.2(a).</w:t>
      </w:r>
    </w:p>
  </w:footnote>
  <w:footnote w:id="14">
    <w:p w:rsidR="003B77C9" w:rsidRDefault="003B77C9">
      <w:pPr>
        <w:pStyle w:val="FootnoteText"/>
      </w:pPr>
      <w:r>
        <w:rPr>
          <w:rStyle w:val="FootnoteReference"/>
        </w:rPr>
        <w:footnoteRef/>
      </w:r>
      <w:r>
        <w:t xml:space="preserve"> </w:t>
      </w:r>
      <w:r>
        <w:tab/>
        <w:t xml:space="preserve">AER, </w:t>
      </w:r>
      <w:r w:rsidRPr="008A5AB3">
        <w:rPr>
          <w:rStyle w:val="AERtextitalic"/>
        </w:rPr>
        <w:t>STPIS</w:t>
      </w:r>
      <w:r>
        <w:t>, November 2009, appendix C.</w:t>
      </w:r>
    </w:p>
  </w:footnote>
  <w:footnote w:id="15">
    <w:p w:rsidR="003B77C9" w:rsidRDefault="003B77C9" w:rsidP="00AF64B3">
      <w:pPr>
        <w:pStyle w:val="FootnoteText"/>
      </w:pPr>
      <w:r>
        <w:rPr>
          <w:rStyle w:val="FootnoteReference"/>
        </w:rPr>
        <w:footnoteRef/>
      </w:r>
      <w:r>
        <w:t xml:space="preserve"> </w:t>
      </w:r>
      <w:r>
        <w:tab/>
        <w:t xml:space="preserve">Defined as </w:t>
      </w:r>
      <w:r w:rsidRPr="00AF64B3">
        <w:t>the percentage change between the annual revenue requirement in</w:t>
      </w:r>
      <w:r>
        <w:t xml:space="preserve"> </w:t>
      </w:r>
      <w:r w:rsidRPr="00AF64B3">
        <w:t>the last regulatory year of the previous regulatory control period and</w:t>
      </w:r>
      <w:r>
        <w:t xml:space="preserve"> </w:t>
      </w:r>
      <w:r w:rsidRPr="00AF64B3">
        <w:t>the annual revenue requirement for first regulatory year of the next</w:t>
      </w:r>
      <w:r>
        <w:t xml:space="preserve"> </w:t>
      </w:r>
      <w:r w:rsidRPr="00AF64B3">
        <w:t xml:space="preserve">regulatory control period taken from the post-tax revenue model. </w:t>
      </w:r>
    </w:p>
  </w:footnote>
  <w:footnote w:id="16">
    <w:p w:rsidR="003B77C9" w:rsidRDefault="003B77C9" w:rsidP="0031258F">
      <w:pPr>
        <w:pStyle w:val="FootnoteText"/>
      </w:pPr>
      <w:r>
        <w:rPr>
          <w:rStyle w:val="FootnoteReference"/>
        </w:rPr>
        <w:footnoteRef/>
      </w:r>
      <w:r>
        <w:t xml:space="preserve"> </w:t>
      </w:r>
      <w:r>
        <w:tab/>
        <w:t xml:space="preserve">AER, </w:t>
      </w:r>
      <w:r w:rsidRPr="008A5AB3">
        <w:rPr>
          <w:rStyle w:val="AERtextitalic"/>
        </w:rPr>
        <w:t>STPIS</w:t>
      </w:r>
      <w:r>
        <w:t>, November 2009, Appendix C, pp. 33–34.</w:t>
      </w:r>
    </w:p>
  </w:footnote>
  <w:footnote w:id="17">
    <w:p w:rsidR="003B77C9" w:rsidRDefault="003B77C9" w:rsidP="004A026F">
      <w:pPr>
        <w:pStyle w:val="FootnoteText"/>
      </w:pPr>
      <w:r>
        <w:rPr>
          <w:rStyle w:val="FootnoteReference"/>
        </w:rPr>
        <w:footnoteRef/>
      </w:r>
      <w:r>
        <w:t xml:space="preserve"> </w:t>
      </w:r>
      <w:r>
        <w:tab/>
      </w:r>
      <w:r w:rsidRPr="002F40C8">
        <w:t>Alliance</w:t>
      </w:r>
      <w:r>
        <w:t xml:space="preserve"> </w:t>
      </w:r>
      <w:r w:rsidRPr="002F40C8">
        <w:t>of</w:t>
      </w:r>
      <w:r>
        <w:t xml:space="preserve"> </w:t>
      </w:r>
      <w:r w:rsidRPr="002F40C8">
        <w:t>Electricity</w:t>
      </w:r>
      <w:r>
        <w:t xml:space="preserve"> </w:t>
      </w:r>
      <w:r w:rsidRPr="002F40C8">
        <w:t>Consumers</w:t>
      </w:r>
      <w:r>
        <w:t xml:space="preserve">, </w:t>
      </w:r>
      <w:r w:rsidRPr="002F40C8">
        <w:rPr>
          <w:rStyle w:val="AERtextitalic"/>
        </w:rPr>
        <w:t xml:space="preserve">Submission </w:t>
      </w:r>
      <w:r>
        <w:rPr>
          <w:rStyle w:val="AERtextitalic"/>
        </w:rPr>
        <w:t>to the Australian Energy Regulator's preliminary decision (Queensland)</w:t>
      </w:r>
      <w:r>
        <w:t>, 3 July 2015, p.30.</w:t>
      </w:r>
    </w:p>
  </w:footnote>
  <w:footnote w:id="18">
    <w:p w:rsidR="003B77C9" w:rsidRDefault="003B77C9">
      <w:pPr>
        <w:pStyle w:val="FootnoteText"/>
      </w:pPr>
      <w:r>
        <w:rPr>
          <w:rStyle w:val="FootnoteReference"/>
        </w:rPr>
        <w:footnoteRef/>
      </w:r>
      <w:r>
        <w:t xml:space="preserve"> </w:t>
      </w:r>
      <w:r>
        <w:tab/>
      </w:r>
      <w:r w:rsidRPr="002F40C8">
        <w:t xml:space="preserve">Alliance of Electricity Consumers, </w:t>
      </w:r>
      <w:r w:rsidRPr="002F40C8">
        <w:rPr>
          <w:rStyle w:val="AERtextitalic"/>
        </w:rPr>
        <w:t xml:space="preserve">Submission </w:t>
      </w:r>
      <w:r>
        <w:rPr>
          <w:rStyle w:val="AERtextitalic"/>
        </w:rPr>
        <w:t>to the Australian Energy Regulator's preliminary decision (Queensland)</w:t>
      </w:r>
      <w:r>
        <w:t>, 3 July 2015, p.30.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6AE9A80"/>
    <w:lvl w:ilvl="0">
      <w:start w:val="1"/>
      <w:numFmt w:val="upperLetter"/>
      <w:pStyle w:val="ListBullet3"/>
      <w:lvlText w:val="(%1)"/>
      <w:lvlJc w:val="left"/>
      <w:pPr>
        <w:ind w:left="720" w:hanging="360"/>
      </w:pPr>
      <w:rPr>
        <w:rFonts w:hint="default"/>
      </w:rPr>
    </w:lvl>
  </w:abstractNum>
  <w:abstractNum w:abstractNumId="7">
    <w:nsid w:val="FFFFFF83"/>
    <w:multiLevelType w:val="singleLevel"/>
    <w:tmpl w:val="72802F94"/>
    <w:lvl w:ilvl="0">
      <w:start w:val="1"/>
      <w:numFmt w:val="lowerLetter"/>
      <w:pStyle w:val="ListBullet2"/>
      <w:lvlText w:val="(%1)"/>
      <w:lvlJc w:val="left"/>
      <w:pPr>
        <w:ind w:left="700" w:hanging="360"/>
      </w:pPr>
      <w:rPr>
        <w:rFonts w:hint="default"/>
      </w:rPr>
    </w:lvl>
  </w:abstractNum>
  <w:abstractNum w:abstractNumId="8">
    <w:nsid w:val="FFFFFF88"/>
    <w:multiLevelType w:val="singleLevel"/>
    <w:tmpl w:val="F0E083E8"/>
    <w:lvl w:ilvl="0">
      <w:start w:val="1"/>
      <w:numFmt w:val="decimal"/>
      <w:pStyle w:val="ListNumber"/>
      <w:lvlText w:val="%1."/>
      <w:lvlJc w:val="left"/>
      <w:pPr>
        <w:tabs>
          <w:tab w:val="num" w:pos="360"/>
        </w:tabs>
        <w:ind w:left="360" w:hanging="360"/>
      </w:pPr>
    </w:lvl>
  </w:abstractNum>
  <w:abstractNum w:abstractNumId="9">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0">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10FC3577"/>
    <w:multiLevelType w:val="multilevel"/>
    <w:tmpl w:val="8AE4EE6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3">
    <w:nsid w:val="1CF519CE"/>
    <w:multiLevelType w:val="multilevel"/>
    <w:tmpl w:val="FDC07CAE"/>
    <w:lvl w:ilvl="0">
      <w:start w:val="1"/>
      <w:numFmt w:val="decimal"/>
      <w:pStyle w:val="Numbered1111111"/>
      <w:lvlText w:val="%1."/>
      <w:lvlJc w:val="left"/>
      <w:pPr>
        <w:ind w:left="360" w:hanging="360"/>
      </w:pPr>
    </w:lvl>
    <w:lvl w:ilvl="1">
      <w:start w:val="1"/>
      <w:numFmt w:val="decimal"/>
      <w:pStyle w:val="Numberedparagraph11"/>
      <w:lvlText w:val="%1.%2."/>
      <w:lvlJc w:val="left"/>
      <w:pPr>
        <w:ind w:left="792" w:hanging="432"/>
      </w:pPr>
    </w:lvl>
    <w:lvl w:ilvl="2">
      <w:start w:val="1"/>
      <w:numFmt w:val="decimal"/>
      <w:pStyle w:val="Numbered111111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pStyle w:val="Numbered1111111"/>
      <w:lvlText w:val="%1.%2.%3.%4.%5.%6.%7."/>
      <w:lvlJc w:val="left"/>
      <w:pPr>
        <w:ind w:left="3240" w:hanging="1080"/>
      </w:pPr>
    </w:lvl>
    <w:lvl w:ilvl="7">
      <w:start w:val="1"/>
      <w:numFmt w:val="decimal"/>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4">
    <w:nsid w:val="1F6066C2"/>
    <w:multiLevelType w:val="hybridMultilevel"/>
    <w:tmpl w:val="2F5E7F54"/>
    <w:lvl w:ilvl="0" w:tplc="C5FCFD8A">
      <w:start w:val="1"/>
      <w:numFmt w:val="decimal"/>
      <w:lvlText w:val="1.%1"/>
      <w:lvlJc w:val="left"/>
      <w:pPr>
        <w:ind w:left="36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241317C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26AA0DA7"/>
    <w:multiLevelType w:val="multilevel"/>
    <w:tmpl w:val="F49485A8"/>
    <w:lvl w:ilvl="0">
      <w:start w:val="1"/>
      <w:numFmt w:val="upperLetter"/>
      <w:pStyle w:val="Heading7"/>
      <w:lvlText w:val="%1"/>
      <w:lvlJc w:val="left"/>
      <w:pPr>
        <w:ind w:left="340" w:hanging="340"/>
      </w:pPr>
      <w:rPr>
        <w:rFonts w:hint="default"/>
      </w:rPr>
    </w:lvl>
    <w:lvl w:ilvl="1">
      <w:start w:val="1"/>
      <w:numFmt w:val="decimal"/>
      <w:lvlRestart w:val="0"/>
      <w:pStyle w:val="Heading8"/>
      <w:lvlText w:val="%1.%2"/>
      <w:lvlJc w:val="left"/>
      <w:pPr>
        <w:tabs>
          <w:tab w:val="num" w:pos="1021"/>
        </w:tabs>
        <w:ind w:left="1021" w:hanging="1021"/>
      </w:pPr>
      <w:rPr>
        <w:rFonts w:hint="default"/>
      </w:rPr>
    </w:lvl>
    <w:lvl w:ilvl="2">
      <w:start w:val="1"/>
      <w:numFmt w:val="decimal"/>
      <w:pStyle w:val="Heading9"/>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nsid w:val="28865DF8"/>
    <w:multiLevelType w:val="hybridMultilevel"/>
    <w:tmpl w:val="EC0E5568"/>
    <w:lvl w:ilvl="0" w:tplc="D90E7D7A">
      <w:start w:val="1"/>
      <w:numFmt w:val="lowerLetter"/>
      <w:pStyle w:val="AERnumberedlistsecondstyle"/>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8">
    <w:nsid w:val="295C7239"/>
    <w:multiLevelType w:val="multilevel"/>
    <w:tmpl w:val="950A1C52"/>
    <w:numStyleLink w:val="AERHeadings"/>
  </w:abstractNum>
  <w:abstractNum w:abstractNumId="19">
    <w:nsid w:val="2A7A4051"/>
    <w:multiLevelType w:val="multilevel"/>
    <w:tmpl w:val="C04EFA60"/>
    <w:lvl w:ilvl="0">
      <w:start w:val="1"/>
      <w:numFmt w:val="upperLetter"/>
      <w:lvlText w:val="%1"/>
      <w:lvlJc w:val="left"/>
      <w:pPr>
        <w:ind w:left="340" w:hanging="340"/>
      </w:pPr>
      <w:rPr>
        <w:rFonts w:hint="default"/>
      </w:rPr>
    </w:lvl>
    <w:lvl w:ilvl="1">
      <w:start w:val="1"/>
      <w:numFmt w:val="decimal"/>
      <w:lvlRestart w:val="0"/>
      <w:lvlText w:val="%1.%2"/>
      <w:lvlJc w:val="left"/>
      <w:pPr>
        <w:tabs>
          <w:tab w:val="num" w:pos="1021"/>
        </w:tabs>
        <w:ind w:left="1021" w:hanging="1021"/>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0">
    <w:nsid w:val="2FB612CC"/>
    <w:multiLevelType w:val="multilevel"/>
    <w:tmpl w:val="950A1C52"/>
    <w:styleLink w:val="AERHeadings"/>
    <w:lvl w:ilvl="0">
      <w:start w:val="1"/>
      <w:numFmt w:val="none"/>
      <w:lvlText w:val="%1"/>
      <w:lvlJc w:val="left"/>
      <w:pPr>
        <w:tabs>
          <w:tab w:val="num" w:pos="0"/>
        </w:tabs>
        <w:ind w:left="0" w:firstLine="0"/>
      </w:pPr>
      <w:rPr>
        <w:rFonts w:hint="default"/>
      </w:rPr>
    </w:lvl>
    <w:lvl w:ilvl="1">
      <w:start w:val="1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21">
    <w:nsid w:val="349327AC"/>
    <w:multiLevelType w:val="multilevel"/>
    <w:tmpl w:val="950A1C52"/>
    <w:numStyleLink w:val="AERHeadings"/>
  </w:abstractNum>
  <w:abstractNum w:abstractNumId="22">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3923347D"/>
    <w:multiLevelType w:val="hybridMultilevel"/>
    <w:tmpl w:val="8E96A9EE"/>
    <w:lvl w:ilvl="0" w:tplc="5E568C86">
      <w:start w:val="1"/>
      <w:numFmt w:val="decimal"/>
      <w:pStyle w:val="ListBullet"/>
      <w:lvlText w:val="(%1)"/>
      <w:lvlJc w:val="left"/>
      <w:pPr>
        <w:ind w:left="360" w:hanging="360"/>
      </w:pPr>
      <w:rPr>
        <w:rFont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41412A8D"/>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5">
    <w:nsid w:val="443F74CB"/>
    <w:multiLevelType w:val="hybridMultilevel"/>
    <w:tmpl w:val="5FB40038"/>
    <w:lvl w:ilvl="0" w:tplc="921A7DDA">
      <w:start w:val="1"/>
      <w:numFmt w:val="decimal"/>
      <w:lvlText w:val="%1."/>
      <w:lvlJc w:val="left"/>
      <w:pPr>
        <w:tabs>
          <w:tab w:val="num" w:pos="357"/>
        </w:tabs>
        <w:ind w:left="357" w:hanging="357"/>
      </w:pPr>
      <w:rPr>
        <w:rFonts w:ascii="Gautami" w:hAnsi="Gautami" w:hint="default"/>
        <w:b w:val="0"/>
        <w:i w:val="0"/>
        <w:sz w:val="22"/>
      </w:rPr>
    </w:lvl>
    <w:lvl w:ilvl="1" w:tplc="6A7A61AE">
      <w:start w:val="1"/>
      <w:numFmt w:val="bullet"/>
      <w:lvlText w:val=""/>
      <w:lvlJc w:val="left"/>
      <w:pPr>
        <w:tabs>
          <w:tab w:val="num" w:pos="4498"/>
        </w:tabs>
        <w:ind w:left="4498" w:hanging="358"/>
      </w:pPr>
      <w:rPr>
        <w:rFonts w:ascii="Wingdings" w:hAnsi="Wingdings" w:hint="default"/>
        <w:b w:val="0"/>
        <w:i w:val="0"/>
        <w:sz w:val="22"/>
      </w:rPr>
    </w:lvl>
    <w:lvl w:ilvl="2" w:tplc="0C090005" w:tentative="1">
      <w:start w:val="1"/>
      <w:numFmt w:val="lowerRoman"/>
      <w:lvlText w:val="%3."/>
      <w:lvlJc w:val="right"/>
      <w:pPr>
        <w:tabs>
          <w:tab w:val="num" w:pos="5220"/>
        </w:tabs>
        <w:ind w:left="5220" w:hanging="180"/>
      </w:pPr>
    </w:lvl>
    <w:lvl w:ilvl="3" w:tplc="0C090001" w:tentative="1">
      <w:start w:val="1"/>
      <w:numFmt w:val="decimal"/>
      <w:lvlText w:val="%4."/>
      <w:lvlJc w:val="left"/>
      <w:pPr>
        <w:tabs>
          <w:tab w:val="num" w:pos="5940"/>
        </w:tabs>
        <w:ind w:left="5940" w:hanging="360"/>
      </w:pPr>
    </w:lvl>
    <w:lvl w:ilvl="4" w:tplc="0C090003">
      <w:start w:val="1"/>
      <w:numFmt w:val="lowerLetter"/>
      <w:lvlText w:val="%5."/>
      <w:lvlJc w:val="left"/>
      <w:pPr>
        <w:tabs>
          <w:tab w:val="num" w:pos="6660"/>
        </w:tabs>
        <w:ind w:left="6660" w:hanging="360"/>
      </w:pPr>
    </w:lvl>
    <w:lvl w:ilvl="5" w:tplc="0C090005">
      <w:start w:val="1"/>
      <w:numFmt w:val="lowerRoman"/>
      <w:lvlText w:val="%6."/>
      <w:lvlJc w:val="right"/>
      <w:pPr>
        <w:tabs>
          <w:tab w:val="num" w:pos="7380"/>
        </w:tabs>
        <w:ind w:left="7380" w:hanging="180"/>
      </w:pPr>
    </w:lvl>
    <w:lvl w:ilvl="6" w:tplc="0C090001" w:tentative="1">
      <w:start w:val="1"/>
      <w:numFmt w:val="decimal"/>
      <w:lvlText w:val="%7."/>
      <w:lvlJc w:val="left"/>
      <w:pPr>
        <w:tabs>
          <w:tab w:val="num" w:pos="8100"/>
        </w:tabs>
        <w:ind w:left="8100" w:hanging="360"/>
      </w:pPr>
    </w:lvl>
    <w:lvl w:ilvl="7" w:tplc="0C090003" w:tentative="1">
      <w:start w:val="1"/>
      <w:numFmt w:val="lowerLetter"/>
      <w:lvlText w:val="%8."/>
      <w:lvlJc w:val="left"/>
      <w:pPr>
        <w:tabs>
          <w:tab w:val="num" w:pos="8820"/>
        </w:tabs>
        <w:ind w:left="8820" w:hanging="360"/>
      </w:pPr>
    </w:lvl>
    <w:lvl w:ilvl="8" w:tplc="0C090005" w:tentative="1">
      <w:start w:val="1"/>
      <w:numFmt w:val="lowerRoman"/>
      <w:lvlText w:val="%9."/>
      <w:lvlJc w:val="right"/>
      <w:pPr>
        <w:tabs>
          <w:tab w:val="num" w:pos="9540"/>
        </w:tabs>
        <w:ind w:left="9540" w:hanging="180"/>
      </w:pPr>
    </w:lvl>
  </w:abstractNum>
  <w:abstractNum w:abstractNumId="26">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3621"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nsid w:val="4C6A3DDE"/>
    <w:multiLevelType w:val="hybridMultilevel"/>
    <w:tmpl w:val="F51A789C"/>
    <w:lvl w:ilvl="0" w:tplc="92E84616">
      <w:start w:val="1"/>
      <w:numFmt w:val="bullet"/>
      <w:pStyle w:val="AERquotebullet1"/>
      <w:lvlText w:val=""/>
      <w:lvlJc w:val="left"/>
      <w:pPr>
        <w:ind w:left="1040" w:hanging="360"/>
      </w:pPr>
      <w:rPr>
        <w:rFonts w:ascii="Symbol" w:hAnsi="Symbol" w:hint="default"/>
      </w:rPr>
    </w:lvl>
    <w:lvl w:ilvl="1" w:tplc="0C090003" w:tentative="1">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29">
    <w:nsid w:val="51487971"/>
    <w:multiLevelType w:val="multilevel"/>
    <w:tmpl w:val="39D4CB02"/>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454"/>
        </w:tabs>
        <w:ind w:left="454" w:hanging="454"/>
      </w:pPr>
      <w:rPr>
        <w:rFonts w:hint="default"/>
      </w:rPr>
    </w:lvl>
    <w:lvl w:ilvl="5">
      <w:start w:val="1"/>
      <w:numFmt w:val="lowerLetter"/>
      <w:lvlText w:val="(%6)"/>
      <w:lvlJc w:val="left"/>
      <w:pPr>
        <w:tabs>
          <w:tab w:val="num" w:pos="811"/>
        </w:tabs>
        <w:ind w:left="811" w:hanging="357"/>
      </w:pPr>
      <w:rPr>
        <w:rFonts w:hint="default"/>
      </w:rPr>
    </w:lvl>
    <w:lvl w:ilvl="6">
      <w:start w:val="1"/>
      <w:numFmt w:val="lowerRoman"/>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31">
    <w:nsid w:val="5ECE4384"/>
    <w:multiLevelType w:val="multilevel"/>
    <w:tmpl w:val="62F0EC10"/>
    <w:lvl w:ilvl="0">
      <w:start w:val="1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2">
    <w:nsid w:val="6726588A"/>
    <w:multiLevelType w:val="hybridMultilevel"/>
    <w:tmpl w:val="6568C8B8"/>
    <w:lvl w:ilvl="0" w:tplc="0C09000F">
      <w:start w:val="1"/>
      <w:numFmt w:val="bullet"/>
      <w:pStyle w:val="AERbulletlistsecondstyle"/>
      <w:lvlText w:val="o"/>
      <w:lvlJc w:val="left"/>
      <w:pPr>
        <w:ind w:left="1081" w:hanging="360"/>
      </w:pPr>
      <w:rPr>
        <w:rFonts w:ascii="Courier New" w:hAnsi="Courier New" w:cs="Courier New" w:hint="default"/>
      </w:rPr>
    </w:lvl>
    <w:lvl w:ilvl="1" w:tplc="0C090019" w:tentative="1">
      <w:start w:val="1"/>
      <w:numFmt w:val="bullet"/>
      <w:lvlText w:val="o"/>
      <w:lvlJc w:val="left"/>
      <w:pPr>
        <w:ind w:left="1801" w:hanging="360"/>
      </w:pPr>
      <w:rPr>
        <w:rFonts w:ascii="Courier New" w:hAnsi="Courier New" w:cs="Courier New" w:hint="default"/>
      </w:rPr>
    </w:lvl>
    <w:lvl w:ilvl="2" w:tplc="C38EC922">
      <w:start w:val="1"/>
      <w:numFmt w:val="bullet"/>
      <w:pStyle w:val="AERbulletlistthirdstyle"/>
      <w:lvlText w:val=""/>
      <w:lvlJc w:val="left"/>
      <w:pPr>
        <w:ind w:left="2521" w:hanging="360"/>
      </w:pPr>
      <w:rPr>
        <w:rFonts w:ascii="Wingdings" w:hAnsi="Wingdings" w:hint="default"/>
      </w:rPr>
    </w:lvl>
    <w:lvl w:ilvl="3" w:tplc="0C09000F" w:tentative="1">
      <w:start w:val="1"/>
      <w:numFmt w:val="bullet"/>
      <w:lvlText w:val=""/>
      <w:lvlJc w:val="left"/>
      <w:pPr>
        <w:ind w:left="3241" w:hanging="360"/>
      </w:pPr>
      <w:rPr>
        <w:rFonts w:ascii="Symbol" w:hAnsi="Symbol" w:hint="default"/>
      </w:rPr>
    </w:lvl>
    <w:lvl w:ilvl="4" w:tplc="0C090019" w:tentative="1">
      <w:start w:val="1"/>
      <w:numFmt w:val="bullet"/>
      <w:lvlText w:val="o"/>
      <w:lvlJc w:val="left"/>
      <w:pPr>
        <w:ind w:left="3961" w:hanging="360"/>
      </w:pPr>
      <w:rPr>
        <w:rFonts w:ascii="Courier New" w:hAnsi="Courier New" w:cs="Courier New" w:hint="default"/>
      </w:rPr>
    </w:lvl>
    <w:lvl w:ilvl="5" w:tplc="0C09001B" w:tentative="1">
      <w:start w:val="1"/>
      <w:numFmt w:val="bullet"/>
      <w:lvlText w:val=""/>
      <w:lvlJc w:val="left"/>
      <w:pPr>
        <w:ind w:left="4681" w:hanging="360"/>
      </w:pPr>
      <w:rPr>
        <w:rFonts w:ascii="Wingdings" w:hAnsi="Wingdings" w:hint="default"/>
      </w:rPr>
    </w:lvl>
    <w:lvl w:ilvl="6" w:tplc="0C09000F" w:tentative="1">
      <w:start w:val="1"/>
      <w:numFmt w:val="bullet"/>
      <w:lvlText w:val=""/>
      <w:lvlJc w:val="left"/>
      <w:pPr>
        <w:ind w:left="5401" w:hanging="360"/>
      </w:pPr>
      <w:rPr>
        <w:rFonts w:ascii="Symbol" w:hAnsi="Symbol" w:hint="default"/>
      </w:rPr>
    </w:lvl>
    <w:lvl w:ilvl="7" w:tplc="0C090019" w:tentative="1">
      <w:start w:val="1"/>
      <w:numFmt w:val="bullet"/>
      <w:lvlText w:val="o"/>
      <w:lvlJc w:val="left"/>
      <w:pPr>
        <w:ind w:left="6121" w:hanging="360"/>
      </w:pPr>
      <w:rPr>
        <w:rFonts w:ascii="Courier New" w:hAnsi="Courier New" w:cs="Courier New" w:hint="default"/>
      </w:rPr>
    </w:lvl>
    <w:lvl w:ilvl="8" w:tplc="0C09001B" w:tentative="1">
      <w:start w:val="1"/>
      <w:numFmt w:val="bullet"/>
      <w:lvlText w:val=""/>
      <w:lvlJc w:val="left"/>
      <w:pPr>
        <w:ind w:left="6841" w:hanging="360"/>
      </w:pPr>
      <w:rPr>
        <w:rFonts w:ascii="Wingdings" w:hAnsi="Wingdings" w:hint="default"/>
      </w:rPr>
    </w:lvl>
  </w:abstractNum>
  <w:abstractNum w:abstractNumId="33">
    <w:nsid w:val="6B9873D6"/>
    <w:multiLevelType w:val="hybridMultilevel"/>
    <w:tmpl w:val="F856849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4">
    <w:nsid w:val="6DE36827"/>
    <w:multiLevelType w:val="multilevel"/>
    <w:tmpl w:val="950A1C52"/>
    <w:numStyleLink w:val="AERHeadings"/>
  </w:abstractNum>
  <w:abstractNum w:abstractNumId="35">
    <w:nsid w:val="71052EFE"/>
    <w:multiLevelType w:val="hybridMultilevel"/>
    <w:tmpl w:val="52FCFAA8"/>
    <w:lvl w:ilvl="0" w:tplc="C846CA5C">
      <w:start w:val="1"/>
      <w:numFmt w:val="lowerRoman"/>
      <w:pStyle w:val="AERnumberedlistthirdstyle"/>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nsid w:val="71964B06"/>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7E2819EC"/>
    <w:multiLevelType w:val="multilevel"/>
    <w:tmpl w:val="1250F310"/>
    <w:lvl w:ilvl="0">
      <w:start w:val="1"/>
      <w:numFmt w:val="bullet"/>
      <w:pStyle w:val="AERbulletlistfirststyle"/>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nsid w:val="7E5D0E08"/>
    <w:multiLevelType w:val="multilevel"/>
    <w:tmpl w:val="EFEA7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2"/>
  </w:num>
  <w:num w:numId="2">
    <w:abstractNumId w:val="37"/>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32"/>
  </w:num>
  <w:num w:numId="13">
    <w:abstractNumId w:val="23"/>
  </w:num>
  <w:num w:numId="14">
    <w:abstractNumId w:val="10"/>
  </w:num>
  <w:num w:numId="15">
    <w:abstractNumId w:val="13"/>
  </w:num>
  <w:num w:numId="16">
    <w:abstractNumId w:val="26"/>
  </w:num>
  <w:num w:numId="17">
    <w:abstractNumId w:val="9"/>
  </w:num>
  <w:num w:numId="18">
    <w:abstractNumId w:val="17"/>
  </w:num>
  <w:num w:numId="19">
    <w:abstractNumId w:val="27"/>
  </w:num>
  <w:num w:numId="20">
    <w:abstractNumId w:val="35"/>
  </w:num>
  <w:num w:numId="21">
    <w:abstractNumId w:val="14"/>
  </w:num>
  <w:num w:numId="22">
    <w:abstractNumId w:val="30"/>
  </w:num>
  <w:num w:numId="23">
    <w:abstractNumId w:val="28"/>
  </w:num>
  <w:num w:numId="24">
    <w:abstractNumId w:val="20"/>
  </w:num>
  <w:num w:numId="25">
    <w:abstractNumId w:val="29"/>
  </w:num>
  <w:num w:numId="26">
    <w:abstractNumId w:val="31"/>
  </w:num>
  <w:num w:numId="27">
    <w:abstractNumId w:val="22"/>
  </w:num>
  <w:num w:numId="28">
    <w:abstractNumId w:val="19"/>
  </w:num>
  <w:num w:numId="29">
    <w:abstractNumId w:val="16"/>
  </w:num>
  <w:num w:numId="30">
    <w:abstractNumId w:val="36"/>
  </w:num>
  <w:num w:numId="31">
    <w:abstractNumId w:val="15"/>
  </w:num>
  <w:num w:numId="32">
    <w:abstractNumId w:val="24"/>
  </w:num>
  <w:num w:numId="33">
    <w:abstractNumId w:val="20"/>
    <w:lvlOverride w:ilvl="0">
      <w:lvl w:ilvl="0">
        <w:start w:val="1"/>
        <w:numFmt w:val="none"/>
        <w:lvlText w:val="%1"/>
        <w:lvlJc w:val="left"/>
        <w:pPr>
          <w:tabs>
            <w:tab w:val="num" w:pos="0"/>
          </w:tabs>
          <w:ind w:left="0" w:firstLine="0"/>
        </w:pPr>
        <w:rPr>
          <w:rFonts w:hint="default"/>
        </w:rPr>
      </w:lvl>
    </w:lvlOverride>
    <w:lvlOverride w:ilvl="1">
      <w:lvl w:ilvl="1">
        <w:start w:val="7"/>
        <w:numFmt w:val="decimal"/>
        <w:lvlText w:val="%2"/>
        <w:lvlJc w:val="left"/>
        <w:pPr>
          <w:tabs>
            <w:tab w:val="num" w:pos="0"/>
          </w:tabs>
          <w:ind w:left="0" w:hanging="851"/>
        </w:pPr>
        <w:rPr>
          <w:rFonts w:ascii="Gautami" w:eastAsia="Times New Roman" w:hAnsi="Gautami" w:cs="Times New Roman"/>
        </w:rPr>
      </w:lvl>
    </w:lvlOverride>
    <w:lvlOverride w:ilvl="2">
      <w:lvl w:ilvl="2">
        <w:start w:val="1"/>
        <w:numFmt w:val="decimal"/>
        <w:lvlText w:val="%1%2.%3"/>
        <w:lvlJc w:val="left"/>
        <w:pPr>
          <w:tabs>
            <w:tab w:val="num" w:pos="0"/>
          </w:tabs>
          <w:ind w:left="0" w:hanging="851"/>
        </w:pPr>
        <w:rPr>
          <w:rFonts w:hint="default"/>
        </w:rPr>
      </w:lvl>
    </w:lvlOverride>
    <w:lvlOverride w:ilvl="3">
      <w:lvl w:ilvl="3">
        <w:start w:val="1"/>
        <w:numFmt w:val="decimal"/>
        <w:lvlText w:val="%2.%3.%4"/>
        <w:lvlJc w:val="left"/>
        <w:pPr>
          <w:tabs>
            <w:tab w:val="num" w:pos="0"/>
          </w:tabs>
          <w:ind w:left="0" w:hanging="851"/>
        </w:pPr>
        <w:rPr>
          <w:rFonts w:hint="default"/>
        </w:rPr>
      </w:lvl>
    </w:lvlOverride>
    <w:lvlOverride w:ilvl="4">
      <w:lvl w:ilvl="4">
        <w:start w:val="1"/>
        <w:numFmt w:val="upperLetter"/>
        <w:lvlRestart w:val="1"/>
        <w:lvlText w:val="%5"/>
        <w:lvlJc w:val="left"/>
        <w:pPr>
          <w:tabs>
            <w:tab w:val="num" w:pos="0"/>
          </w:tabs>
          <w:ind w:left="0" w:hanging="851"/>
        </w:pPr>
        <w:rPr>
          <w:rFonts w:hint="default"/>
        </w:rPr>
      </w:lvl>
    </w:lvlOverride>
    <w:lvlOverride w:ilvl="5">
      <w:lvl w:ilvl="5">
        <w:start w:val="1"/>
        <w:numFmt w:val="decimal"/>
        <w:lvlText w:val="%5.%6"/>
        <w:lvlJc w:val="left"/>
        <w:pPr>
          <w:tabs>
            <w:tab w:val="num" w:pos="0"/>
          </w:tabs>
          <w:ind w:left="0" w:hanging="851"/>
        </w:pPr>
        <w:rPr>
          <w:rFonts w:hint="default"/>
        </w:rPr>
      </w:lvl>
    </w:lvlOverride>
    <w:lvlOverride w:ilvl="6">
      <w:lvl w:ilvl="6">
        <w:start w:val="1"/>
        <w:numFmt w:val="decimal"/>
        <w:lvlText w:val="%5.%6.%7"/>
        <w:lvlJc w:val="left"/>
        <w:pPr>
          <w:tabs>
            <w:tab w:val="num" w:pos="0"/>
          </w:tabs>
          <w:ind w:left="0" w:hanging="851"/>
        </w:pPr>
        <w:rPr>
          <w:rFonts w:hint="default"/>
        </w:rPr>
      </w:lvl>
    </w:lvlOverride>
    <w:lvlOverride w:ilvl="7">
      <w:lvl w:ilvl="7">
        <w:start w:val="1"/>
        <w:numFmt w:val="none"/>
        <w:lvlRestart w:val="0"/>
        <w:lvlText w:val=""/>
        <w:lvlJc w:val="left"/>
        <w:pPr>
          <w:tabs>
            <w:tab w:val="num" w:pos="0"/>
          </w:tabs>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34">
    <w:abstractNumId w:val="20"/>
    <w:lvlOverride w:ilvl="0">
      <w:startOverride w:val="1"/>
      <w:lvl w:ilvl="0">
        <w:start w:val="1"/>
        <w:numFmt w:val="none"/>
        <w:lvlText w:val="%1"/>
        <w:lvlJc w:val="left"/>
        <w:pPr>
          <w:tabs>
            <w:tab w:val="num" w:pos="0"/>
          </w:tabs>
          <w:ind w:left="0" w:firstLine="0"/>
        </w:pPr>
        <w:rPr>
          <w:rFonts w:hint="default"/>
        </w:rPr>
      </w:lvl>
    </w:lvlOverride>
    <w:lvlOverride w:ilvl="1">
      <w:startOverride w:val="16"/>
      <w:lvl w:ilvl="1">
        <w:start w:val="16"/>
        <w:numFmt w:val="decimal"/>
        <w:lvlText w:val="%2"/>
        <w:lvlJc w:val="left"/>
        <w:pPr>
          <w:tabs>
            <w:tab w:val="num" w:pos="0"/>
          </w:tabs>
          <w:ind w:left="0" w:hanging="851"/>
        </w:pPr>
        <w:rPr>
          <w:rFonts w:ascii="Gautami" w:eastAsia="Times New Roman" w:hAnsi="Gautami" w:cs="Times New Roman"/>
        </w:rPr>
      </w:lvl>
    </w:lvlOverride>
  </w:num>
  <w:num w:numId="35">
    <w:abstractNumId w:val="20"/>
    <w:lvlOverride w:ilvl="0">
      <w:startOverride w:val="1"/>
      <w:lvl w:ilvl="0">
        <w:start w:val="1"/>
        <w:numFmt w:val="none"/>
        <w:lvlText w:val="%1"/>
        <w:lvlJc w:val="left"/>
        <w:pPr>
          <w:tabs>
            <w:tab w:val="num" w:pos="0"/>
          </w:tabs>
          <w:ind w:left="0" w:firstLine="0"/>
        </w:pPr>
        <w:rPr>
          <w:rFonts w:hint="default"/>
        </w:rPr>
      </w:lvl>
    </w:lvlOverride>
    <w:lvlOverride w:ilvl="1">
      <w:startOverride w:val="18"/>
      <w:lvl w:ilvl="1">
        <w:start w:val="18"/>
        <w:numFmt w:val="decimal"/>
        <w:lvlText w:val="%2"/>
        <w:lvlJc w:val="left"/>
        <w:pPr>
          <w:tabs>
            <w:tab w:val="num" w:pos="0"/>
          </w:tabs>
          <w:ind w:left="0" w:hanging="851"/>
        </w:pPr>
        <w:rPr>
          <w:rFonts w:ascii="Gautami" w:eastAsia="Times New Roman" w:hAnsi="Gautami" w:cs="Times New Roman"/>
        </w:rPr>
      </w:lvl>
    </w:lvlOverride>
  </w:num>
  <w:num w:numId="36">
    <w:abstractNumId w:val="34"/>
  </w:num>
  <w:num w:numId="37">
    <w:abstractNumId w:val="21"/>
  </w:num>
  <w:num w:numId="38">
    <w:abstractNumId w:val="25"/>
  </w:num>
  <w:num w:numId="39">
    <w:abstractNumId w:val="18"/>
  </w:num>
  <w:num w:numId="40">
    <w:abstractNumId w:val="37"/>
  </w:num>
  <w:num w:numId="41">
    <w:abstractNumId w:val="38"/>
  </w:num>
  <w:num w:numId="42">
    <w:abstractNumId w:val="8"/>
    <w:lvlOverride w:ilvl="0">
      <w:startOverride w:val="1"/>
    </w:lvlOverride>
  </w:num>
  <w:num w:numId="43">
    <w:abstractNumId w:val="11"/>
  </w:num>
  <w:num w:numId="44">
    <w:abstractNumId w:val="33"/>
  </w:num>
  <w:num w:numId="45">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proofState w:spelling="clean" w:grammar="clean"/>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1" w:spinCount="100000" w:hashValue="b4E08GQCdWdrfeS9TmqSe+6kVB3YLr9ih76PHSmQnYc=" w:saltValue="WXs9WH4ctvSOo/IVCx1FUQ==" w:algorithmName="SHA-256"/>
  <w:defaultTabStop w:val="340"/>
  <w:characterSpacingControl w:val="doNotCompress"/>
  <w:hdrShapeDefaults>
    <o:shapedefaults v:ext="edit" spidmax="2088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H:\trimdata\TRIM\TEMP\HPTRIM.5276\AER15 187  DOC FINALISED - NO CHANGES - NEW - Energex - prelim decision - Attach 11 - STPIS.DOCX"/>
  </w:docVars>
  <w:rsids>
    <w:rsidRoot w:val="00961A4A"/>
    <w:rsid w:val="00007B4A"/>
    <w:rsid w:val="00017C70"/>
    <w:rsid w:val="00020563"/>
    <w:rsid w:val="00021202"/>
    <w:rsid w:val="0002517F"/>
    <w:rsid w:val="0002744A"/>
    <w:rsid w:val="0003578C"/>
    <w:rsid w:val="000425B0"/>
    <w:rsid w:val="000577C6"/>
    <w:rsid w:val="00063247"/>
    <w:rsid w:val="000656D7"/>
    <w:rsid w:val="00070F9F"/>
    <w:rsid w:val="0007137B"/>
    <w:rsid w:val="00080356"/>
    <w:rsid w:val="00085663"/>
    <w:rsid w:val="00085EBF"/>
    <w:rsid w:val="00090759"/>
    <w:rsid w:val="000A3020"/>
    <w:rsid w:val="000A6C7B"/>
    <w:rsid w:val="000B054C"/>
    <w:rsid w:val="000B34B1"/>
    <w:rsid w:val="000C0E01"/>
    <w:rsid w:val="000D122C"/>
    <w:rsid w:val="000D12B9"/>
    <w:rsid w:val="000D67CF"/>
    <w:rsid w:val="000E1819"/>
    <w:rsid w:val="000E32E7"/>
    <w:rsid w:val="000E4821"/>
    <w:rsid w:val="000E6C72"/>
    <w:rsid w:val="000F19F9"/>
    <w:rsid w:val="000F6F3B"/>
    <w:rsid w:val="001140AD"/>
    <w:rsid w:val="00116EB2"/>
    <w:rsid w:val="001201F1"/>
    <w:rsid w:val="00124609"/>
    <w:rsid w:val="00126A4C"/>
    <w:rsid w:val="00132441"/>
    <w:rsid w:val="00142E3C"/>
    <w:rsid w:val="0014573B"/>
    <w:rsid w:val="00146981"/>
    <w:rsid w:val="00153D0D"/>
    <w:rsid w:val="001573E4"/>
    <w:rsid w:val="00160756"/>
    <w:rsid w:val="0017232E"/>
    <w:rsid w:val="00174102"/>
    <w:rsid w:val="00175699"/>
    <w:rsid w:val="00180157"/>
    <w:rsid w:val="00185CB9"/>
    <w:rsid w:val="00186F77"/>
    <w:rsid w:val="001926A4"/>
    <w:rsid w:val="00192AD5"/>
    <w:rsid w:val="001B45A0"/>
    <w:rsid w:val="001C3226"/>
    <w:rsid w:val="001D055E"/>
    <w:rsid w:val="001D3B8B"/>
    <w:rsid w:val="001E0DFF"/>
    <w:rsid w:val="001F1259"/>
    <w:rsid w:val="001F3C8B"/>
    <w:rsid w:val="001F492E"/>
    <w:rsid w:val="001F6DA3"/>
    <w:rsid w:val="002010BC"/>
    <w:rsid w:val="00202E03"/>
    <w:rsid w:val="0020492C"/>
    <w:rsid w:val="00207C6B"/>
    <w:rsid w:val="0021595E"/>
    <w:rsid w:val="00220409"/>
    <w:rsid w:val="00221648"/>
    <w:rsid w:val="00224DB9"/>
    <w:rsid w:val="002325EA"/>
    <w:rsid w:val="00233775"/>
    <w:rsid w:val="00237D84"/>
    <w:rsid w:val="002416BD"/>
    <w:rsid w:val="00245137"/>
    <w:rsid w:val="00251745"/>
    <w:rsid w:val="00263AC0"/>
    <w:rsid w:val="00264264"/>
    <w:rsid w:val="00265A4B"/>
    <w:rsid w:val="0026772D"/>
    <w:rsid w:val="00281587"/>
    <w:rsid w:val="00286874"/>
    <w:rsid w:val="00290C63"/>
    <w:rsid w:val="00296B65"/>
    <w:rsid w:val="002A3A62"/>
    <w:rsid w:val="002A7DEF"/>
    <w:rsid w:val="002C3AB0"/>
    <w:rsid w:val="002D164D"/>
    <w:rsid w:val="002E4E94"/>
    <w:rsid w:val="002E7B22"/>
    <w:rsid w:val="002F5469"/>
    <w:rsid w:val="002F58E1"/>
    <w:rsid w:val="002F7986"/>
    <w:rsid w:val="00301B40"/>
    <w:rsid w:val="003029EE"/>
    <w:rsid w:val="00303610"/>
    <w:rsid w:val="00305CC8"/>
    <w:rsid w:val="00306D50"/>
    <w:rsid w:val="00307F6D"/>
    <w:rsid w:val="0031258F"/>
    <w:rsid w:val="003177A2"/>
    <w:rsid w:val="003271B5"/>
    <w:rsid w:val="00327A1E"/>
    <w:rsid w:val="00331264"/>
    <w:rsid w:val="00334C8D"/>
    <w:rsid w:val="00335393"/>
    <w:rsid w:val="00341304"/>
    <w:rsid w:val="00343A18"/>
    <w:rsid w:val="003518B3"/>
    <w:rsid w:val="00351F48"/>
    <w:rsid w:val="0035295E"/>
    <w:rsid w:val="00353139"/>
    <w:rsid w:val="00365480"/>
    <w:rsid w:val="003736F3"/>
    <w:rsid w:val="00375932"/>
    <w:rsid w:val="0037782C"/>
    <w:rsid w:val="003846F1"/>
    <w:rsid w:val="003B484F"/>
    <w:rsid w:val="003B77C9"/>
    <w:rsid w:val="003C65E2"/>
    <w:rsid w:val="003D5918"/>
    <w:rsid w:val="003D6AD9"/>
    <w:rsid w:val="003F174D"/>
    <w:rsid w:val="00401F71"/>
    <w:rsid w:val="00410438"/>
    <w:rsid w:val="0041215D"/>
    <w:rsid w:val="0041529E"/>
    <w:rsid w:val="00420B73"/>
    <w:rsid w:val="00440BF4"/>
    <w:rsid w:val="00450CC0"/>
    <w:rsid w:val="004554E2"/>
    <w:rsid w:val="0045777E"/>
    <w:rsid w:val="004633C5"/>
    <w:rsid w:val="0047143E"/>
    <w:rsid w:val="004727E0"/>
    <w:rsid w:val="00480B4B"/>
    <w:rsid w:val="004839B3"/>
    <w:rsid w:val="00485DC4"/>
    <w:rsid w:val="0049622C"/>
    <w:rsid w:val="004A026F"/>
    <w:rsid w:val="004A128F"/>
    <w:rsid w:val="004A43D1"/>
    <w:rsid w:val="004A7196"/>
    <w:rsid w:val="004B1563"/>
    <w:rsid w:val="004B4412"/>
    <w:rsid w:val="004B7D52"/>
    <w:rsid w:val="004C348C"/>
    <w:rsid w:val="004C77BC"/>
    <w:rsid w:val="004D55BA"/>
    <w:rsid w:val="004E22EC"/>
    <w:rsid w:val="004E39F7"/>
    <w:rsid w:val="004E3FB2"/>
    <w:rsid w:val="004F619D"/>
    <w:rsid w:val="00530128"/>
    <w:rsid w:val="00532467"/>
    <w:rsid w:val="00543215"/>
    <w:rsid w:val="00562971"/>
    <w:rsid w:val="00563050"/>
    <w:rsid w:val="00564A4D"/>
    <w:rsid w:val="00566401"/>
    <w:rsid w:val="00567BA5"/>
    <w:rsid w:val="00571B35"/>
    <w:rsid w:val="00571D57"/>
    <w:rsid w:val="00573E52"/>
    <w:rsid w:val="00577A09"/>
    <w:rsid w:val="005829C2"/>
    <w:rsid w:val="00584D8F"/>
    <w:rsid w:val="00592250"/>
    <w:rsid w:val="005A404D"/>
    <w:rsid w:val="005B1E3C"/>
    <w:rsid w:val="005B3005"/>
    <w:rsid w:val="005B37F4"/>
    <w:rsid w:val="005C26CC"/>
    <w:rsid w:val="005D5DEC"/>
    <w:rsid w:val="005D7BA2"/>
    <w:rsid w:val="005E03ED"/>
    <w:rsid w:val="005E1D1F"/>
    <w:rsid w:val="005E25E4"/>
    <w:rsid w:val="005E36C2"/>
    <w:rsid w:val="005F01E2"/>
    <w:rsid w:val="00602EFB"/>
    <w:rsid w:val="00612939"/>
    <w:rsid w:val="00615C6B"/>
    <w:rsid w:val="00621632"/>
    <w:rsid w:val="00621DCE"/>
    <w:rsid w:val="0063186A"/>
    <w:rsid w:val="00632D6D"/>
    <w:rsid w:val="0063621E"/>
    <w:rsid w:val="00637CAC"/>
    <w:rsid w:val="00642C3E"/>
    <w:rsid w:val="0066104A"/>
    <w:rsid w:val="00663DAD"/>
    <w:rsid w:val="00675E20"/>
    <w:rsid w:val="00676679"/>
    <w:rsid w:val="00683C89"/>
    <w:rsid w:val="00692750"/>
    <w:rsid w:val="00696547"/>
    <w:rsid w:val="006B2395"/>
    <w:rsid w:val="006B4CF9"/>
    <w:rsid w:val="006B7AC8"/>
    <w:rsid w:val="006C3F85"/>
    <w:rsid w:val="006C7685"/>
    <w:rsid w:val="006C7727"/>
    <w:rsid w:val="006D550F"/>
    <w:rsid w:val="006E06E2"/>
    <w:rsid w:val="00701CAB"/>
    <w:rsid w:val="00703D8C"/>
    <w:rsid w:val="00707563"/>
    <w:rsid w:val="007172C6"/>
    <w:rsid w:val="0072348C"/>
    <w:rsid w:val="00724A37"/>
    <w:rsid w:val="00724EC1"/>
    <w:rsid w:val="007303C3"/>
    <w:rsid w:val="00730AD9"/>
    <w:rsid w:val="007429BE"/>
    <w:rsid w:val="00743223"/>
    <w:rsid w:val="00746E01"/>
    <w:rsid w:val="007552BD"/>
    <w:rsid w:val="00757BDF"/>
    <w:rsid w:val="00763E5D"/>
    <w:rsid w:val="00767740"/>
    <w:rsid w:val="007756A9"/>
    <w:rsid w:val="00777EE6"/>
    <w:rsid w:val="007801CF"/>
    <w:rsid w:val="00780A33"/>
    <w:rsid w:val="00782EEA"/>
    <w:rsid w:val="00784F27"/>
    <w:rsid w:val="007879E1"/>
    <w:rsid w:val="00793A61"/>
    <w:rsid w:val="00794C57"/>
    <w:rsid w:val="0079650A"/>
    <w:rsid w:val="007A3BDD"/>
    <w:rsid w:val="007A7E70"/>
    <w:rsid w:val="007A7F5F"/>
    <w:rsid w:val="007B2C72"/>
    <w:rsid w:val="007C1C53"/>
    <w:rsid w:val="007C6D59"/>
    <w:rsid w:val="007C74BB"/>
    <w:rsid w:val="007D1DDE"/>
    <w:rsid w:val="007D3DEA"/>
    <w:rsid w:val="007E1B6C"/>
    <w:rsid w:val="007E4904"/>
    <w:rsid w:val="007E4CB5"/>
    <w:rsid w:val="007F066B"/>
    <w:rsid w:val="007F71EC"/>
    <w:rsid w:val="008033C4"/>
    <w:rsid w:val="00806C88"/>
    <w:rsid w:val="0081034E"/>
    <w:rsid w:val="00810BCA"/>
    <w:rsid w:val="00825E58"/>
    <w:rsid w:val="008344F6"/>
    <w:rsid w:val="0083510F"/>
    <w:rsid w:val="00842503"/>
    <w:rsid w:val="00842E4B"/>
    <w:rsid w:val="00845711"/>
    <w:rsid w:val="00851209"/>
    <w:rsid w:val="00854C16"/>
    <w:rsid w:val="0086541F"/>
    <w:rsid w:val="008837AC"/>
    <w:rsid w:val="0089115F"/>
    <w:rsid w:val="00894556"/>
    <w:rsid w:val="008976FC"/>
    <w:rsid w:val="008A587D"/>
    <w:rsid w:val="008A5AB3"/>
    <w:rsid w:val="008A6777"/>
    <w:rsid w:val="008B35CD"/>
    <w:rsid w:val="008B5FCC"/>
    <w:rsid w:val="008B6231"/>
    <w:rsid w:val="008C5486"/>
    <w:rsid w:val="008D1661"/>
    <w:rsid w:val="008D25C6"/>
    <w:rsid w:val="008E7031"/>
    <w:rsid w:val="008E77DE"/>
    <w:rsid w:val="008F07A3"/>
    <w:rsid w:val="00900E1B"/>
    <w:rsid w:val="009160E8"/>
    <w:rsid w:val="009233EE"/>
    <w:rsid w:val="0093647A"/>
    <w:rsid w:val="009460AA"/>
    <w:rsid w:val="009466C1"/>
    <w:rsid w:val="009469D5"/>
    <w:rsid w:val="00947767"/>
    <w:rsid w:val="00951978"/>
    <w:rsid w:val="00961A4A"/>
    <w:rsid w:val="00965C4B"/>
    <w:rsid w:val="009661DE"/>
    <w:rsid w:val="00983C25"/>
    <w:rsid w:val="009856B7"/>
    <w:rsid w:val="00985C86"/>
    <w:rsid w:val="009A5FC3"/>
    <w:rsid w:val="009B74B0"/>
    <w:rsid w:val="009C0D52"/>
    <w:rsid w:val="009C1AE5"/>
    <w:rsid w:val="009C3191"/>
    <w:rsid w:val="009D40C9"/>
    <w:rsid w:val="009D6B46"/>
    <w:rsid w:val="009E00C7"/>
    <w:rsid w:val="009F4940"/>
    <w:rsid w:val="009F5BA1"/>
    <w:rsid w:val="00A01745"/>
    <w:rsid w:val="00A02A88"/>
    <w:rsid w:val="00A031EC"/>
    <w:rsid w:val="00A048DE"/>
    <w:rsid w:val="00A0562E"/>
    <w:rsid w:val="00A0726D"/>
    <w:rsid w:val="00A213D3"/>
    <w:rsid w:val="00A32FBB"/>
    <w:rsid w:val="00A345D1"/>
    <w:rsid w:val="00A40B28"/>
    <w:rsid w:val="00A428EE"/>
    <w:rsid w:val="00A4478A"/>
    <w:rsid w:val="00A44852"/>
    <w:rsid w:val="00A54E6D"/>
    <w:rsid w:val="00A5791F"/>
    <w:rsid w:val="00A57D04"/>
    <w:rsid w:val="00A60A26"/>
    <w:rsid w:val="00A61598"/>
    <w:rsid w:val="00A82044"/>
    <w:rsid w:val="00A84A99"/>
    <w:rsid w:val="00A84F46"/>
    <w:rsid w:val="00A871F4"/>
    <w:rsid w:val="00A946AA"/>
    <w:rsid w:val="00AA0BB7"/>
    <w:rsid w:val="00AA2EB4"/>
    <w:rsid w:val="00AA51D8"/>
    <w:rsid w:val="00AC1B2C"/>
    <w:rsid w:val="00AC3264"/>
    <w:rsid w:val="00AD411F"/>
    <w:rsid w:val="00AE1BF1"/>
    <w:rsid w:val="00AF0DD2"/>
    <w:rsid w:val="00AF55C5"/>
    <w:rsid w:val="00AF64B3"/>
    <w:rsid w:val="00AF66BB"/>
    <w:rsid w:val="00AF71FE"/>
    <w:rsid w:val="00B001C5"/>
    <w:rsid w:val="00B10CC5"/>
    <w:rsid w:val="00B13048"/>
    <w:rsid w:val="00B1716D"/>
    <w:rsid w:val="00B17A1D"/>
    <w:rsid w:val="00B17E26"/>
    <w:rsid w:val="00B207A0"/>
    <w:rsid w:val="00B34302"/>
    <w:rsid w:val="00B514DD"/>
    <w:rsid w:val="00B51F91"/>
    <w:rsid w:val="00B52AF0"/>
    <w:rsid w:val="00B561BD"/>
    <w:rsid w:val="00B56E03"/>
    <w:rsid w:val="00B7063F"/>
    <w:rsid w:val="00B8080B"/>
    <w:rsid w:val="00B82706"/>
    <w:rsid w:val="00B83039"/>
    <w:rsid w:val="00B868EE"/>
    <w:rsid w:val="00B87BA5"/>
    <w:rsid w:val="00B87C39"/>
    <w:rsid w:val="00B93F14"/>
    <w:rsid w:val="00BA1D32"/>
    <w:rsid w:val="00BA4665"/>
    <w:rsid w:val="00BA5A26"/>
    <w:rsid w:val="00BB1A04"/>
    <w:rsid w:val="00BB2FB2"/>
    <w:rsid w:val="00BB3304"/>
    <w:rsid w:val="00BD3446"/>
    <w:rsid w:val="00BE1F1B"/>
    <w:rsid w:val="00BE47B5"/>
    <w:rsid w:val="00BF1682"/>
    <w:rsid w:val="00C02E16"/>
    <w:rsid w:val="00C07665"/>
    <w:rsid w:val="00C16EC0"/>
    <w:rsid w:val="00C25FA6"/>
    <w:rsid w:val="00C33819"/>
    <w:rsid w:val="00C52FD1"/>
    <w:rsid w:val="00C538A9"/>
    <w:rsid w:val="00C53B5A"/>
    <w:rsid w:val="00C54F5A"/>
    <w:rsid w:val="00C569B4"/>
    <w:rsid w:val="00C57F8A"/>
    <w:rsid w:val="00C67A92"/>
    <w:rsid w:val="00C86679"/>
    <w:rsid w:val="00C90436"/>
    <w:rsid w:val="00C91158"/>
    <w:rsid w:val="00C93E1F"/>
    <w:rsid w:val="00CA489E"/>
    <w:rsid w:val="00CB0279"/>
    <w:rsid w:val="00CB666B"/>
    <w:rsid w:val="00CC262C"/>
    <w:rsid w:val="00CC2B78"/>
    <w:rsid w:val="00CC3E57"/>
    <w:rsid w:val="00CC4C3D"/>
    <w:rsid w:val="00CC6E50"/>
    <w:rsid w:val="00CC7F1D"/>
    <w:rsid w:val="00CE1BB7"/>
    <w:rsid w:val="00D006AE"/>
    <w:rsid w:val="00D01CF0"/>
    <w:rsid w:val="00D0442A"/>
    <w:rsid w:val="00D14D94"/>
    <w:rsid w:val="00D30E42"/>
    <w:rsid w:val="00D400C3"/>
    <w:rsid w:val="00D46E0F"/>
    <w:rsid w:val="00D47FA9"/>
    <w:rsid w:val="00D61388"/>
    <w:rsid w:val="00D61A54"/>
    <w:rsid w:val="00D64DEA"/>
    <w:rsid w:val="00D7168E"/>
    <w:rsid w:val="00D71E57"/>
    <w:rsid w:val="00D72AA2"/>
    <w:rsid w:val="00D72CC2"/>
    <w:rsid w:val="00D72D94"/>
    <w:rsid w:val="00D80022"/>
    <w:rsid w:val="00D80893"/>
    <w:rsid w:val="00D84854"/>
    <w:rsid w:val="00D8508D"/>
    <w:rsid w:val="00D86D98"/>
    <w:rsid w:val="00D92CF1"/>
    <w:rsid w:val="00D92D38"/>
    <w:rsid w:val="00D950F5"/>
    <w:rsid w:val="00D95D38"/>
    <w:rsid w:val="00D97269"/>
    <w:rsid w:val="00DA38E0"/>
    <w:rsid w:val="00DA4752"/>
    <w:rsid w:val="00DA5785"/>
    <w:rsid w:val="00DA61F3"/>
    <w:rsid w:val="00DB0793"/>
    <w:rsid w:val="00DB0F93"/>
    <w:rsid w:val="00DB1A67"/>
    <w:rsid w:val="00DB263E"/>
    <w:rsid w:val="00DB4C30"/>
    <w:rsid w:val="00DB4F75"/>
    <w:rsid w:val="00DB5074"/>
    <w:rsid w:val="00DC22D6"/>
    <w:rsid w:val="00DC7981"/>
    <w:rsid w:val="00DD1254"/>
    <w:rsid w:val="00DD2840"/>
    <w:rsid w:val="00DD46B6"/>
    <w:rsid w:val="00DE1093"/>
    <w:rsid w:val="00DE1D89"/>
    <w:rsid w:val="00DE3209"/>
    <w:rsid w:val="00DE3A0D"/>
    <w:rsid w:val="00DE41B1"/>
    <w:rsid w:val="00DE4EFA"/>
    <w:rsid w:val="00DE5520"/>
    <w:rsid w:val="00DE563D"/>
    <w:rsid w:val="00DF06C5"/>
    <w:rsid w:val="00DF23D9"/>
    <w:rsid w:val="00E01936"/>
    <w:rsid w:val="00E04818"/>
    <w:rsid w:val="00E06442"/>
    <w:rsid w:val="00E20BA5"/>
    <w:rsid w:val="00E23993"/>
    <w:rsid w:val="00E25B8C"/>
    <w:rsid w:val="00E32CF0"/>
    <w:rsid w:val="00E37324"/>
    <w:rsid w:val="00E4107A"/>
    <w:rsid w:val="00E64333"/>
    <w:rsid w:val="00E65C85"/>
    <w:rsid w:val="00E66199"/>
    <w:rsid w:val="00E755EC"/>
    <w:rsid w:val="00E7624D"/>
    <w:rsid w:val="00E96DBF"/>
    <w:rsid w:val="00EA22F3"/>
    <w:rsid w:val="00EA3D42"/>
    <w:rsid w:val="00EA6B1B"/>
    <w:rsid w:val="00EB5C4F"/>
    <w:rsid w:val="00ED6113"/>
    <w:rsid w:val="00ED7323"/>
    <w:rsid w:val="00EE28F3"/>
    <w:rsid w:val="00EF5110"/>
    <w:rsid w:val="00EF686C"/>
    <w:rsid w:val="00F10411"/>
    <w:rsid w:val="00F15882"/>
    <w:rsid w:val="00F16574"/>
    <w:rsid w:val="00F171E0"/>
    <w:rsid w:val="00F20BD3"/>
    <w:rsid w:val="00F22ACB"/>
    <w:rsid w:val="00F236B8"/>
    <w:rsid w:val="00F34393"/>
    <w:rsid w:val="00F373A5"/>
    <w:rsid w:val="00F47559"/>
    <w:rsid w:val="00F557D7"/>
    <w:rsid w:val="00F61870"/>
    <w:rsid w:val="00F64C7B"/>
    <w:rsid w:val="00F662ED"/>
    <w:rsid w:val="00F676DD"/>
    <w:rsid w:val="00F74172"/>
    <w:rsid w:val="00F75A26"/>
    <w:rsid w:val="00F76706"/>
    <w:rsid w:val="00F83FAD"/>
    <w:rsid w:val="00F948C8"/>
    <w:rsid w:val="00F952A0"/>
    <w:rsid w:val="00F9743D"/>
    <w:rsid w:val="00FA3C7F"/>
    <w:rsid w:val="00FA5ABE"/>
    <w:rsid w:val="00FB74E2"/>
    <w:rsid w:val="00FC10C4"/>
    <w:rsid w:val="00FC12A8"/>
    <w:rsid w:val="00FD37C3"/>
    <w:rsid w:val="00FD5614"/>
    <w:rsid w:val="00FE0BE1"/>
    <w:rsid w:val="00FE1DE9"/>
    <w:rsid w:val="00FE3211"/>
    <w:rsid w:val="00FE36AF"/>
    <w:rsid w:val="00FE39C2"/>
    <w:rsid w:val="00FE3C32"/>
    <w:rsid w:val="00FE64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88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qFormat="1"/>
    <w:lsdException w:name="header" w:qFormat="1"/>
    <w:lsdException w:name="footer" w:qFormat="1"/>
    <w:lsdException w:name="caption" w:uiPriority="0"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aliases w:val="(Alt + 1)"/>
    <w:basedOn w:val="Normal"/>
    <w:next w:val="Normal"/>
    <w:link w:val="Heading1Char"/>
    <w:uiPriority w:val="9"/>
    <w:qFormat/>
    <w:rsid w:val="00DE1093"/>
    <w:pPr>
      <w:pageBreakBefore/>
      <w:numPr>
        <w:numId w:val="26"/>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6"/>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6"/>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6"/>
      </w:numPr>
      <w:tabs>
        <w:tab w:val="left" w:pos="1021"/>
      </w:tabs>
      <w:spacing w:before="240"/>
      <w:outlineLvl w:val="3"/>
    </w:pPr>
    <w:rPr>
      <w:rFonts w:eastAsiaTheme="majorEastAsia" w:cstheme="majorBidi"/>
      <w:b/>
      <w:bCs/>
      <w:iCs/>
      <w:color w:val="51626F"/>
      <w:sz w:val="24"/>
    </w:rPr>
  </w:style>
  <w:style w:type="paragraph" w:styleId="Heading5">
    <w:name w:val="heading 5"/>
    <w:aliases w:val="Appendix 1"/>
    <w:next w:val="Normal"/>
    <w:link w:val="Heading5Char"/>
    <w:uiPriority w:val="9"/>
    <w:qFormat/>
    <w:rsid w:val="00126A4C"/>
    <w:pPr>
      <w:numPr>
        <w:ilvl w:val="4"/>
        <w:numId w:val="26"/>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aliases w:val="Appendix 2"/>
    <w:basedOn w:val="Normal"/>
    <w:next w:val="Normal"/>
    <w:link w:val="Heading6Char"/>
    <w:uiPriority w:val="9"/>
    <w:qFormat/>
    <w:rsid w:val="00126A4C"/>
    <w:pPr>
      <w:numPr>
        <w:ilvl w:val="5"/>
        <w:numId w:val="26"/>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9"/>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9"/>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9"/>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lt +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aliases w:val="Appendix 1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aliases w:val="Appendix 2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86541F"/>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iPriority w:val="99"/>
    <w:unhideWhenUsed/>
    <w:qFormat/>
    <w:rsid w:val="00DB5074"/>
    <w:pPr>
      <w:tabs>
        <w:tab w:val="left" w:pos="340"/>
      </w:tabs>
      <w:spacing w:before="120"/>
      <w:ind w:left="340"/>
    </w:pPr>
  </w:style>
  <w:style w:type="paragraph" w:styleId="ListContinue2">
    <w:name w:val="List Continue 2"/>
    <w:aliases w:val="AER body text (indent 2)"/>
    <w:basedOn w:val="Normal"/>
    <w:uiPriority w:val="99"/>
    <w:unhideWhenUsed/>
    <w:rsid w:val="00567BA5"/>
    <w:pPr>
      <w:tabs>
        <w:tab w:val="left" w:pos="680"/>
      </w:tabs>
      <w:spacing w:before="120"/>
      <w:ind w:left="680"/>
    </w:pPr>
  </w:style>
  <w:style w:type="paragraph" w:styleId="ListContinue3">
    <w:name w:val="List Continue 3"/>
    <w:aliases w:val="AER body text (indent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2"/>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3"/>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4"/>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5"/>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7"/>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semiHidden/>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qFormat="1"/>
    <w:lsdException w:name="header" w:qFormat="1"/>
    <w:lsdException w:name="footer" w:qFormat="1"/>
    <w:lsdException w:name="caption" w:uiPriority="0"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aliases w:val="(Alt + 1)"/>
    <w:basedOn w:val="Normal"/>
    <w:next w:val="Normal"/>
    <w:link w:val="Heading1Char"/>
    <w:uiPriority w:val="9"/>
    <w:qFormat/>
    <w:rsid w:val="00DE1093"/>
    <w:pPr>
      <w:pageBreakBefore/>
      <w:numPr>
        <w:numId w:val="26"/>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6"/>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6"/>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6"/>
      </w:numPr>
      <w:tabs>
        <w:tab w:val="left" w:pos="1021"/>
      </w:tabs>
      <w:spacing w:before="240"/>
      <w:outlineLvl w:val="3"/>
    </w:pPr>
    <w:rPr>
      <w:rFonts w:eastAsiaTheme="majorEastAsia" w:cstheme="majorBidi"/>
      <w:b/>
      <w:bCs/>
      <w:iCs/>
      <w:color w:val="51626F"/>
      <w:sz w:val="24"/>
    </w:rPr>
  </w:style>
  <w:style w:type="paragraph" w:styleId="Heading5">
    <w:name w:val="heading 5"/>
    <w:aliases w:val="Appendix 1"/>
    <w:next w:val="Normal"/>
    <w:link w:val="Heading5Char"/>
    <w:uiPriority w:val="9"/>
    <w:qFormat/>
    <w:rsid w:val="00126A4C"/>
    <w:pPr>
      <w:numPr>
        <w:ilvl w:val="4"/>
        <w:numId w:val="26"/>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aliases w:val="Appendix 2"/>
    <w:basedOn w:val="Normal"/>
    <w:next w:val="Normal"/>
    <w:link w:val="Heading6Char"/>
    <w:uiPriority w:val="9"/>
    <w:qFormat/>
    <w:rsid w:val="00126A4C"/>
    <w:pPr>
      <w:numPr>
        <w:ilvl w:val="5"/>
        <w:numId w:val="26"/>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9"/>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9"/>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9"/>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lt +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aliases w:val="Appendix 1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aliases w:val="Appendix 2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86541F"/>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iPriority w:val="99"/>
    <w:unhideWhenUsed/>
    <w:qFormat/>
    <w:rsid w:val="00DB5074"/>
    <w:pPr>
      <w:tabs>
        <w:tab w:val="left" w:pos="340"/>
      </w:tabs>
      <w:spacing w:before="120"/>
      <w:ind w:left="340"/>
    </w:pPr>
  </w:style>
  <w:style w:type="paragraph" w:styleId="ListContinue2">
    <w:name w:val="List Continue 2"/>
    <w:aliases w:val="AER body text (indent 2)"/>
    <w:basedOn w:val="Normal"/>
    <w:uiPriority w:val="99"/>
    <w:unhideWhenUsed/>
    <w:rsid w:val="00567BA5"/>
    <w:pPr>
      <w:tabs>
        <w:tab w:val="left" w:pos="680"/>
      </w:tabs>
      <w:spacing w:before="120"/>
      <w:ind w:left="680"/>
    </w:pPr>
  </w:style>
  <w:style w:type="paragraph" w:styleId="ListContinue3">
    <w:name w:val="List Continue 3"/>
    <w:aliases w:val="AER body text (indent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2"/>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3"/>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4"/>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5"/>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7"/>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semiHidden/>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602964">
      <w:bodyDiv w:val="1"/>
      <w:marLeft w:val="0"/>
      <w:marRight w:val="0"/>
      <w:marTop w:val="0"/>
      <w:marBottom w:val="0"/>
      <w:divBdr>
        <w:top w:val="none" w:sz="0" w:space="0" w:color="auto"/>
        <w:left w:val="none" w:sz="0" w:space="0" w:color="auto"/>
        <w:bottom w:val="none" w:sz="0" w:space="0" w:color="auto"/>
        <w:right w:val="none" w:sz="0" w:space="0" w:color="auto"/>
      </w:divBdr>
    </w:div>
    <w:div w:id="386610702">
      <w:bodyDiv w:val="1"/>
      <w:marLeft w:val="0"/>
      <w:marRight w:val="0"/>
      <w:marTop w:val="0"/>
      <w:marBottom w:val="0"/>
      <w:divBdr>
        <w:top w:val="none" w:sz="0" w:space="0" w:color="auto"/>
        <w:left w:val="none" w:sz="0" w:space="0" w:color="auto"/>
        <w:bottom w:val="none" w:sz="0" w:space="0" w:color="auto"/>
        <w:right w:val="none" w:sz="0" w:space="0" w:color="auto"/>
      </w:divBdr>
    </w:div>
    <w:div w:id="552425704">
      <w:bodyDiv w:val="1"/>
      <w:marLeft w:val="0"/>
      <w:marRight w:val="0"/>
      <w:marTop w:val="0"/>
      <w:marBottom w:val="0"/>
      <w:divBdr>
        <w:top w:val="none" w:sz="0" w:space="0" w:color="auto"/>
        <w:left w:val="none" w:sz="0" w:space="0" w:color="auto"/>
        <w:bottom w:val="none" w:sz="0" w:space="0" w:color="auto"/>
        <w:right w:val="none" w:sz="0" w:space="0" w:color="auto"/>
      </w:divBdr>
    </w:div>
    <w:div w:id="635840213">
      <w:bodyDiv w:val="1"/>
      <w:marLeft w:val="0"/>
      <w:marRight w:val="0"/>
      <w:marTop w:val="0"/>
      <w:marBottom w:val="0"/>
      <w:divBdr>
        <w:top w:val="none" w:sz="0" w:space="0" w:color="auto"/>
        <w:left w:val="none" w:sz="0" w:space="0" w:color="auto"/>
        <w:bottom w:val="none" w:sz="0" w:space="0" w:color="auto"/>
        <w:right w:val="none" w:sz="0" w:space="0" w:color="auto"/>
      </w:divBdr>
    </w:div>
    <w:div w:id="649017148">
      <w:bodyDiv w:val="1"/>
      <w:marLeft w:val="0"/>
      <w:marRight w:val="0"/>
      <w:marTop w:val="0"/>
      <w:marBottom w:val="0"/>
      <w:divBdr>
        <w:top w:val="none" w:sz="0" w:space="0" w:color="auto"/>
        <w:left w:val="none" w:sz="0" w:space="0" w:color="auto"/>
        <w:bottom w:val="none" w:sz="0" w:space="0" w:color="auto"/>
        <w:right w:val="none" w:sz="0" w:space="0" w:color="auto"/>
      </w:divBdr>
    </w:div>
    <w:div w:id="1005353415">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160658046">
      <w:bodyDiv w:val="1"/>
      <w:marLeft w:val="0"/>
      <w:marRight w:val="0"/>
      <w:marTop w:val="0"/>
      <w:marBottom w:val="0"/>
      <w:divBdr>
        <w:top w:val="none" w:sz="0" w:space="0" w:color="auto"/>
        <w:left w:val="none" w:sz="0" w:space="0" w:color="auto"/>
        <w:bottom w:val="none" w:sz="0" w:space="0" w:color="auto"/>
        <w:right w:val="none" w:sz="0" w:space="0" w:color="auto"/>
      </w:divBdr>
    </w:div>
    <w:div w:id="1586645889">
      <w:bodyDiv w:val="1"/>
      <w:marLeft w:val="0"/>
      <w:marRight w:val="0"/>
      <w:marTop w:val="0"/>
      <w:marBottom w:val="0"/>
      <w:divBdr>
        <w:top w:val="none" w:sz="0" w:space="0" w:color="auto"/>
        <w:left w:val="none" w:sz="0" w:space="0" w:color="auto"/>
        <w:bottom w:val="none" w:sz="0" w:space="0" w:color="auto"/>
        <w:right w:val="none" w:sz="0" w:space="0" w:color="auto"/>
      </w:divBdr>
    </w:div>
    <w:div w:id="1648515287">
      <w:bodyDiv w:val="1"/>
      <w:marLeft w:val="0"/>
      <w:marRight w:val="0"/>
      <w:marTop w:val="0"/>
      <w:marBottom w:val="0"/>
      <w:divBdr>
        <w:top w:val="none" w:sz="0" w:space="0" w:color="auto"/>
        <w:left w:val="none" w:sz="0" w:space="0" w:color="auto"/>
        <w:bottom w:val="none" w:sz="0" w:space="0" w:color="auto"/>
        <w:right w:val="none" w:sz="0" w:space="0" w:color="auto"/>
      </w:divBdr>
    </w:div>
    <w:div w:id="1701007174">
      <w:bodyDiv w:val="1"/>
      <w:marLeft w:val="0"/>
      <w:marRight w:val="0"/>
      <w:marTop w:val="0"/>
      <w:marBottom w:val="0"/>
      <w:divBdr>
        <w:top w:val="none" w:sz="0" w:space="0" w:color="auto"/>
        <w:left w:val="none" w:sz="0" w:space="0" w:color="auto"/>
        <w:bottom w:val="none" w:sz="0" w:space="0" w:color="auto"/>
        <w:right w:val="none" w:sz="0" w:space="0" w:color="auto"/>
      </w:divBdr>
    </w:div>
    <w:div w:id="1929995647">
      <w:bodyDiv w:val="1"/>
      <w:marLeft w:val="0"/>
      <w:marRight w:val="0"/>
      <w:marTop w:val="0"/>
      <w:marBottom w:val="0"/>
      <w:divBdr>
        <w:top w:val="none" w:sz="0" w:space="0" w:color="auto"/>
        <w:left w:val="none" w:sz="0" w:space="0" w:color="auto"/>
        <w:bottom w:val="none" w:sz="0" w:space="0" w:color="auto"/>
        <w:right w:val="none" w:sz="0" w:space="0" w:color="auto"/>
      </w:divBdr>
    </w:div>
    <w:div w:id="1941911591">
      <w:bodyDiv w:val="1"/>
      <w:marLeft w:val="0"/>
      <w:marRight w:val="0"/>
      <w:marTop w:val="0"/>
      <w:marBottom w:val="0"/>
      <w:divBdr>
        <w:top w:val="none" w:sz="0" w:space="0" w:color="auto"/>
        <w:left w:val="none" w:sz="0" w:space="0" w:color="auto"/>
        <w:bottom w:val="none" w:sz="0" w:space="0" w:color="auto"/>
        <w:right w:val="none" w:sz="0" w:space="0" w:color="auto"/>
      </w:divBdr>
    </w:div>
    <w:div w:id="1999570242">
      <w:bodyDiv w:val="1"/>
      <w:marLeft w:val="0"/>
      <w:marRight w:val="0"/>
      <w:marTop w:val="0"/>
      <w:marBottom w:val="0"/>
      <w:divBdr>
        <w:top w:val="none" w:sz="0" w:space="0" w:color="auto"/>
        <w:left w:val="none" w:sz="0" w:space="0" w:color="auto"/>
        <w:bottom w:val="none" w:sz="0" w:space="0" w:color="auto"/>
        <w:right w:val="none" w:sz="0" w:space="0" w:color="auto"/>
      </w:divBdr>
    </w:div>
    <w:div w:id="2019579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ERInquiry@aer.gov.au" TargetMode="Externa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3.xml"/></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7DD4DBF-50A4-4013-A214-EC45E7989C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C6AC902D</Template>
  <TotalTime>0</TotalTime>
  <Pages>14</Pages>
  <Words>2792</Words>
  <Characters>15919</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2015-10-23T07:02:00Z</dcterms:created>
  <dcterms:modified xsi:type="dcterms:W3CDTF">2015-10-23T07:02:00Z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I">
    <vt:lpwstr>8427671</vt:lpwstr>
  </property>
  <property fmtid="{D5CDD505-2E9C-101B-9397-08002B2CF9AE}" pid="3" name="_MarkAsFinal">
    <vt:bool>true</vt:bool>
  </property>
</Properties>
</file>