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7B174B8" wp14:editId="3DD76F3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9A50E1">
            <w:t>9</w:t>
          </w:r>
          <w:r>
            <w:t xml:space="preserve"> </w:t>
          </w:r>
          <w:r>
            <w:rPr>
              <w:rFonts w:cs="Arial"/>
            </w:rPr>
            <w:t>−</w:t>
          </w:r>
          <w:r>
            <w:t xml:space="preserve"> </w:t>
          </w:r>
          <w:r w:rsidR="009A50E1">
            <w:t>Efficiency benefit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7735120"/>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Default="00AF1F9E" w:rsidP="00AF1F9E">
      <w:pPr>
        <w:numPr>
          <w:ilvl w:val="0"/>
          <w:numId w:val="25"/>
        </w:numPr>
        <w:spacing w:before="0" w:after="240" w:line="288" w:lineRule="auto"/>
        <w:jc w:val="both"/>
      </w:pPr>
      <w:r w:rsidRPr="009134B1">
        <w:t>Attachment 13 – pass through events</w:t>
      </w:r>
    </w:p>
    <w:p w:rsidR="009012C3" w:rsidRPr="009134B1" w:rsidRDefault="009012C3" w:rsidP="00AF1F9E">
      <w:pPr>
        <w:numPr>
          <w:ilvl w:val="0"/>
          <w:numId w:val="25"/>
        </w:numPr>
        <w:spacing w:before="0" w:after="240" w:line="288" w:lineRule="auto"/>
        <w:jc w:val="both"/>
      </w:pPr>
    </w:p>
    <w:p w:rsidR="00AF1F9E" w:rsidRPr="008F07A3" w:rsidRDefault="00AF1F9E" w:rsidP="008F07A3">
      <w:pPr>
        <w:sectPr w:rsidR="00AF1F9E" w:rsidRPr="008F07A3" w:rsidSect="00121DAB">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73512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E65A2"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735120" w:history="1">
            <w:r w:rsidR="00FE65A2" w:rsidRPr="00BC2955">
              <w:rPr>
                <w:rStyle w:val="Hyperlink"/>
              </w:rPr>
              <w:t>Note</w:t>
            </w:r>
            <w:r w:rsidR="00FE65A2">
              <w:rPr>
                <w:webHidden/>
              </w:rPr>
              <w:tab/>
            </w:r>
            <w:r w:rsidR="00FE65A2">
              <w:rPr>
                <w:webHidden/>
              </w:rPr>
              <w:fldChar w:fldCharType="begin"/>
            </w:r>
            <w:r w:rsidR="00FE65A2">
              <w:rPr>
                <w:webHidden/>
              </w:rPr>
              <w:instrText xml:space="preserve"> PAGEREF _Toc417735120 \h </w:instrText>
            </w:r>
            <w:r w:rsidR="00FE65A2">
              <w:rPr>
                <w:webHidden/>
              </w:rPr>
            </w:r>
            <w:r w:rsidR="00FE65A2">
              <w:rPr>
                <w:webHidden/>
              </w:rPr>
              <w:fldChar w:fldCharType="separate"/>
            </w:r>
            <w:r w:rsidR="00B9110D">
              <w:rPr>
                <w:webHidden/>
              </w:rPr>
              <w:t>9-2</w:t>
            </w:r>
            <w:r w:rsidR="00FE65A2">
              <w:rPr>
                <w:webHidden/>
              </w:rPr>
              <w:fldChar w:fldCharType="end"/>
            </w:r>
          </w:hyperlink>
        </w:p>
        <w:p w:rsidR="00FE65A2" w:rsidRDefault="00237A3D">
          <w:pPr>
            <w:pStyle w:val="TOC1"/>
            <w:rPr>
              <w:rFonts w:asciiTheme="minorHAnsi" w:eastAsiaTheme="minorEastAsia" w:hAnsiTheme="minorHAnsi"/>
              <w:b w:val="0"/>
              <w:color w:val="auto"/>
              <w:sz w:val="22"/>
              <w:lang w:val="en-AU" w:eastAsia="en-AU"/>
            </w:rPr>
          </w:pPr>
          <w:hyperlink w:anchor="_Toc417735121" w:history="1">
            <w:r w:rsidR="00FE65A2" w:rsidRPr="00BC2955">
              <w:rPr>
                <w:rStyle w:val="Hyperlink"/>
              </w:rPr>
              <w:t>Contents</w:t>
            </w:r>
            <w:r w:rsidR="00FE65A2">
              <w:rPr>
                <w:webHidden/>
              </w:rPr>
              <w:tab/>
            </w:r>
            <w:r w:rsidR="00FE65A2">
              <w:rPr>
                <w:webHidden/>
              </w:rPr>
              <w:fldChar w:fldCharType="begin"/>
            </w:r>
            <w:r w:rsidR="00FE65A2">
              <w:rPr>
                <w:webHidden/>
              </w:rPr>
              <w:instrText xml:space="preserve"> PAGEREF _Toc417735121 \h </w:instrText>
            </w:r>
            <w:r w:rsidR="00FE65A2">
              <w:rPr>
                <w:webHidden/>
              </w:rPr>
            </w:r>
            <w:r w:rsidR="00FE65A2">
              <w:rPr>
                <w:webHidden/>
              </w:rPr>
              <w:fldChar w:fldCharType="separate"/>
            </w:r>
            <w:r w:rsidR="00B9110D">
              <w:rPr>
                <w:webHidden/>
              </w:rPr>
              <w:t>9-3</w:t>
            </w:r>
            <w:r w:rsidR="00FE65A2">
              <w:rPr>
                <w:webHidden/>
              </w:rPr>
              <w:fldChar w:fldCharType="end"/>
            </w:r>
          </w:hyperlink>
        </w:p>
        <w:p w:rsidR="00FE65A2" w:rsidRDefault="00237A3D">
          <w:pPr>
            <w:pStyle w:val="TOC1"/>
            <w:rPr>
              <w:rFonts w:asciiTheme="minorHAnsi" w:eastAsiaTheme="minorEastAsia" w:hAnsiTheme="minorHAnsi"/>
              <w:b w:val="0"/>
              <w:color w:val="auto"/>
              <w:sz w:val="22"/>
              <w:lang w:val="en-AU" w:eastAsia="en-AU"/>
            </w:rPr>
          </w:pPr>
          <w:hyperlink w:anchor="_Toc417735122" w:history="1">
            <w:r w:rsidR="00FE65A2" w:rsidRPr="00BC2955">
              <w:rPr>
                <w:rStyle w:val="Hyperlink"/>
              </w:rPr>
              <w:t>Shortened forms</w:t>
            </w:r>
            <w:r w:rsidR="00FE65A2">
              <w:rPr>
                <w:webHidden/>
              </w:rPr>
              <w:tab/>
            </w:r>
            <w:r w:rsidR="00FE65A2">
              <w:rPr>
                <w:webHidden/>
              </w:rPr>
              <w:fldChar w:fldCharType="begin"/>
            </w:r>
            <w:r w:rsidR="00FE65A2">
              <w:rPr>
                <w:webHidden/>
              </w:rPr>
              <w:instrText xml:space="preserve"> PAGEREF _Toc417735122 \h </w:instrText>
            </w:r>
            <w:r w:rsidR="00FE65A2">
              <w:rPr>
                <w:webHidden/>
              </w:rPr>
            </w:r>
            <w:r w:rsidR="00FE65A2">
              <w:rPr>
                <w:webHidden/>
              </w:rPr>
              <w:fldChar w:fldCharType="separate"/>
            </w:r>
            <w:r w:rsidR="00B9110D">
              <w:rPr>
                <w:webHidden/>
              </w:rPr>
              <w:t>9-4</w:t>
            </w:r>
            <w:r w:rsidR="00FE65A2">
              <w:rPr>
                <w:webHidden/>
              </w:rPr>
              <w:fldChar w:fldCharType="end"/>
            </w:r>
          </w:hyperlink>
        </w:p>
        <w:p w:rsidR="00FE65A2" w:rsidRDefault="00237A3D">
          <w:pPr>
            <w:pStyle w:val="TOC1"/>
            <w:rPr>
              <w:rFonts w:asciiTheme="minorHAnsi" w:eastAsiaTheme="minorEastAsia" w:hAnsiTheme="minorHAnsi"/>
              <w:b w:val="0"/>
              <w:color w:val="auto"/>
              <w:sz w:val="22"/>
              <w:lang w:val="en-AU" w:eastAsia="en-AU"/>
            </w:rPr>
          </w:pPr>
          <w:hyperlink w:anchor="_Toc417735123" w:history="1">
            <w:r w:rsidR="00FE65A2" w:rsidRPr="00BC2955">
              <w:rPr>
                <w:rStyle w:val="Hyperlink"/>
              </w:rPr>
              <w:t>9</w:t>
            </w:r>
            <w:r w:rsidR="00FE65A2">
              <w:rPr>
                <w:rFonts w:asciiTheme="minorHAnsi" w:eastAsiaTheme="minorEastAsia" w:hAnsiTheme="minorHAnsi"/>
                <w:b w:val="0"/>
                <w:color w:val="auto"/>
                <w:sz w:val="22"/>
                <w:lang w:val="en-AU" w:eastAsia="en-AU"/>
              </w:rPr>
              <w:tab/>
            </w:r>
            <w:r w:rsidR="00FE65A2" w:rsidRPr="00BC2955">
              <w:rPr>
                <w:rStyle w:val="Hyperlink"/>
              </w:rPr>
              <w:t>Efficiency benefit sharing scheme</w:t>
            </w:r>
            <w:r w:rsidR="00FE65A2">
              <w:rPr>
                <w:webHidden/>
              </w:rPr>
              <w:tab/>
            </w:r>
            <w:r w:rsidR="00FE65A2">
              <w:rPr>
                <w:webHidden/>
              </w:rPr>
              <w:fldChar w:fldCharType="begin"/>
            </w:r>
            <w:r w:rsidR="00FE65A2">
              <w:rPr>
                <w:webHidden/>
              </w:rPr>
              <w:instrText xml:space="preserve"> PAGEREF _Toc417735123 \h </w:instrText>
            </w:r>
            <w:r w:rsidR="00FE65A2">
              <w:rPr>
                <w:webHidden/>
              </w:rPr>
            </w:r>
            <w:r w:rsidR="00FE65A2">
              <w:rPr>
                <w:webHidden/>
              </w:rPr>
              <w:fldChar w:fldCharType="separate"/>
            </w:r>
            <w:r w:rsidR="00B9110D">
              <w:rPr>
                <w:webHidden/>
              </w:rPr>
              <w:t>9-6</w:t>
            </w:r>
            <w:r w:rsidR="00FE65A2">
              <w:rPr>
                <w:webHidden/>
              </w:rPr>
              <w:fldChar w:fldCharType="end"/>
            </w:r>
          </w:hyperlink>
        </w:p>
        <w:p w:rsidR="00FE65A2" w:rsidRDefault="00237A3D">
          <w:pPr>
            <w:pStyle w:val="TOC2"/>
            <w:rPr>
              <w:rFonts w:asciiTheme="minorHAnsi" w:eastAsiaTheme="minorEastAsia" w:hAnsiTheme="minorHAnsi"/>
              <w:b w:val="0"/>
              <w:color w:val="auto"/>
              <w:sz w:val="22"/>
              <w:lang w:eastAsia="en-AU"/>
            </w:rPr>
          </w:pPr>
          <w:hyperlink w:anchor="_Toc417735124" w:history="1">
            <w:r w:rsidR="00FE65A2" w:rsidRPr="00BC2955">
              <w:rPr>
                <w:rStyle w:val="Hyperlink"/>
              </w:rPr>
              <w:t>9.1</w:t>
            </w:r>
            <w:r w:rsidR="00FE65A2">
              <w:rPr>
                <w:rFonts w:asciiTheme="minorHAnsi" w:eastAsiaTheme="minorEastAsia" w:hAnsiTheme="minorHAnsi"/>
                <w:b w:val="0"/>
                <w:color w:val="auto"/>
                <w:sz w:val="22"/>
                <w:lang w:eastAsia="en-AU"/>
              </w:rPr>
              <w:tab/>
            </w:r>
            <w:r w:rsidR="00FE65A2" w:rsidRPr="00BC2955">
              <w:rPr>
                <w:rStyle w:val="Hyperlink"/>
              </w:rPr>
              <w:t>Final decision</w:t>
            </w:r>
            <w:r w:rsidR="00FE65A2">
              <w:rPr>
                <w:webHidden/>
              </w:rPr>
              <w:tab/>
            </w:r>
            <w:r w:rsidR="00FE65A2">
              <w:rPr>
                <w:webHidden/>
              </w:rPr>
              <w:fldChar w:fldCharType="begin"/>
            </w:r>
            <w:r w:rsidR="00FE65A2">
              <w:rPr>
                <w:webHidden/>
              </w:rPr>
              <w:instrText xml:space="preserve"> PAGEREF _Toc417735124 \h </w:instrText>
            </w:r>
            <w:r w:rsidR="00FE65A2">
              <w:rPr>
                <w:webHidden/>
              </w:rPr>
            </w:r>
            <w:r w:rsidR="00FE65A2">
              <w:rPr>
                <w:webHidden/>
              </w:rPr>
              <w:fldChar w:fldCharType="separate"/>
            </w:r>
            <w:r w:rsidR="00B9110D">
              <w:rPr>
                <w:webHidden/>
              </w:rPr>
              <w:t>9-6</w:t>
            </w:r>
            <w:r w:rsidR="00FE65A2">
              <w:rPr>
                <w:webHidden/>
              </w:rPr>
              <w:fldChar w:fldCharType="end"/>
            </w:r>
          </w:hyperlink>
        </w:p>
        <w:p w:rsidR="00FE65A2" w:rsidRDefault="00237A3D">
          <w:pPr>
            <w:pStyle w:val="TOC2"/>
            <w:rPr>
              <w:rFonts w:asciiTheme="minorHAnsi" w:eastAsiaTheme="minorEastAsia" w:hAnsiTheme="minorHAnsi"/>
              <w:b w:val="0"/>
              <w:color w:val="auto"/>
              <w:sz w:val="22"/>
              <w:lang w:eastAsia="en-AU"/>
            </w:rPr>
          </w:pPr>
          <w:hyperlink w:anchor="_Toc417735125" w:history="1">
            <w:r w:rsidR="00FE65A2" w:rsidRPr="00BC2955">
              <w:rPr>
                <w:rStyle w:val="Hyperlink"/>
              </w:rPr>
              <w:t>9.2</w:t>
            </w:r>
            <w:r w:rsidR="00FE65A2">
              <w:rPr>
                <w:rFonts w:asciiTheme="minorHAnsi" w:eastAsiaTheme="minorEastAsia" w:hAnsiTheme="minorHAnsi"/>
                <w:b w:val="0"/>
                <w:color w:val="auto"/>
                <w:sz w:val="22"/>
                <w:lang w:eastAsia="en-AU"/>
              </w:rPr>
              <w:tab/>
            </w:r>
            <w:r w:rsidR="00FE65A2" w:rsidRPr="00BC2955">
              <w:rPr>
                <w:rStyle w:val="Hyperlink"/>
              </w:rPr>
              <w:t>Draft decision</w:t>
            </w:r>
            <w:r w:rsidR="00FE65A2">
              <w:rPr>
                <w:webHidden/>
              </w:rPr>
              <w:tab/>
            </w:r>
            <w:r w:rsidR="00FE65A2">
              <w:rPr>
                <w:webHidden/>
              </w:rPr>
              <w:fldChar w:fldCharType="begin"/>
            </w:r>
            <w:r w:rsidR="00FE65A2">
              <w:rPr>
                <w:webHidden/>
              </w:rPr>
              <w:instrText xml:space="preserve"> PAGEREF _Toc417735125 \h </w:instrText>
            </w:r>
            <w:r w:rsidR="00FE65A2">
              <w:rPr>
                <w:webHidden/>
              </w:rPr>
            </w:r>
            <w:r w:rsidR="00FE65A2">
              <w:rPr>
                <w:webHidden/>
              </w:rPr>
              <w:fldChar w:fldCharType="separate"/>
            </w:r>
            <w:r w:rsidR="00B9110D">
              <w:rPr>
                <w:webHidden/>
              </w:rPr>
              <w:t>9-6</w:t>
            </w:r>
            <w:r w:rsidR="00FE65A2">
              <w:rPr>
                <w:webHidden/>
              </w:rPr>
              <w:fldChar w:fldCharType="end"/>
            </w:r>
          </w:hyperlink>
        </w:p>
        <w:p w:rsidR="00FE65A2" w:rsidRDefault="00237A3D">
          <w:pPr>
            <w:pStyle w:val="TOC2"/>
            <w:rPr>
              <w:rFonts w:asciiTheme="minorHAnsi" w:eastAsiaTheme="minorEastAsia" w:hAnsiTheme="minorHAnsi"/>
              <w:b w:val="0"/>
              <w:color w:val="auto"/>
              <w:sz w:val="22"/>
              <w:lang w:eastAsia="en-AU"/>
            </w:rPr>
          </w:pPr>
          <w:hyperlink w:anchor="_Toc417735126" w:history="1">
            <w:r w:rsidR="00FE65A2" w:rsidRPr="00BC2955">
              <w:rPr>
                <w:rStyle w:val="Hyperlink"/>
              </w:rPr>
              <w:t>9.3</w:t>
            </w:r>
            <w:r w:rsidR="00FE65A2">
              <w:rPr>
                <w:rFonts w:asciiTheme="minorHAnsi" w:eastAsiaTheme="minorEastAsia" w:hAnsiTheme="minorHAnsi"/>
                <w:b w:val="0"/>
                <w:color w:val="auto"/>
                <w:sz w:val="22"/>
                <w:lang w:eastAsia="en-AU"/>
              </w:rPr>
              <w:tab/>
            </w:r>
            <w:r w:rsidR="00FE65A2" w:rsidRPr="00BC2955">
              <w:rPr>
                <w:rStyle w:val="Hyperlink"/>
              </w:rPr>
              <w:t>Directlink’s revised proposal</w:t>
            </w:r>
            <w:r w:rsidR="00FE65A2">
              <w:rPr>
                <w:webHidden/>
              </w:rPr>
              <w:tab/>
            </w:r>
            <w:r w:rsidR="00FE65A2">
              <w:rPr>
                <w:webHidden/>
              </w:rPr>
              <w:fldChar w:fldCharType="begin"/>
            </w:r>
            <w:r w:rsidR="00FE65A2">
              <w:rPr>
                <w:webHidden/>
              </w:rPr>
              <w:instrText xml:space="preserve"> PAGEREF _Toc417735126 \h </w:instrText>
            </w:r>
            <w:r w:rsidR="00FE65A2">
              <w:rPr>
                <w:webHidden/>
              </w:rPr>
            </w:r>
            <w:r w:rsidR="00FE65A2">
              <w:rPr>
                <w:webHidden/>
              </w:rPr>
              <w:fldChar w:fldCharType="separate"/>
            </w:r>
            <w:r w:rsidR="00B9110D">
              <w:rPr>
                <w:webHidden/>
              </w:rPr>
              <w:t>9-6</w:t>
            </w:r>
            <w:r w:rsidR="00FE65A2">
              <w:rPr>
                <w:webHidden/>
              </w:rPr>
              <w:fldChar w:fldCharType="end"/>
            </w:r>
          </w:hyperlink>
        </w:p>
        <w:p w:rsidR="00FE65A2" w:rsidRDefault="00237A3D">
          <w:pPr>
            <w:pStyle w:val="TOC2"/>
            <w:rPr>
              <w:rFonts w:asciiTheme="minorHAnsi" w:eastAsiaTheme="minorEastAsia" w:hAnsiTheme="minorHAnsi"/>
              <w:b w:val="0"/>
              <w:color w:val="auto"/>
              <w:sz w:val="22"/>
              <w:lang w:eastAsia="en-AU"/>
            </w:rPr>
          </w:pPr>
          <w:hyperlink w:anchor="_Toc417735127" w:history="1">
            <w:r w:rsidR="00FE65A2" w:rsidRPr="00BC2955">
              <w:rPr>
                <w:rStyle w:val="Hyperlink"/>
              </w:rPr>
              <w:t>9.4</w:t>
            </w:r>
            <w:r w:rsidR="00FE65A2">
              <w:rPr>
                <w:rFonts w:asciiTheme="minorHAnsi" w:eastAsiaTheme="minorEastAsia" w:hAnsiTheme="minorHAnsi"/>
                <w:b w:val="0"/>
                <w:color w:val="auto"/>
                <w:sz w:val="22"/>
                <w:lang w:eastAsia="en-AU"/>
              </w:rPr>
              <w:tab/>
            </w:r>
            <w:r w:rsidR="00FE65A2" w:rsidRPr="00BC2955">
              <w:rPr>
                <w:rStyle w:val="Hyperlink"/>
              </w:rPr>
              <w:t>Assessment approach</w:t>
            </w:r>
            <w:r w:rsidR="00FE65A2">
              <w:rPr>
                <w:webHidden/>
              </w:rPr>
              <w:tab/>
            </w:r>
            <w:r w:rsidR="00FE65A2">
              <w:rPr>
                <w:webHidden/>
              </w:rPr>
              <w:fldChar w:fldCharType="begin"/>
            </w:r>
            <w:r w:rsidR="00FE65A2">
              <w:rPr>
                <w:webHidden/>
              </w:rPr>
              <w:instrText xml:space="preserve"> PAGEREF _Toc417735127 \h </w:instrText>
            </w:r>
            <w:r w:rsidR="00FE65A2">
              <w:rPr>
                <w:webHidden/>
              </w:rPr>
            </w:r>
            <w:r w:rsidR="00FE65A2">
              <w:rPr>
                <w:webHidden/>
              </w:rPr>
              <w:fldChar w:fldCharType="separate"/>
            </w:r>
            <w:r w:rsidR="00B9110D">
              <w:rPr>
                <w:webHidden/>
              </w:rPr>
              <w:t>9-7</w:t>
            </w:r>
            <w:r w:rsidR="00FE65A2">
              <w:rPr>
                <w:webHidden/>
              </w:rPr>
              <w:fldChar w:fldCharType="end"/>
            </w:r>
          </w:hyperlink>
        </w:p>
        <w:p w:rsidR="00FE65A2" w:rsidRDefault="00237A3D">
          <w:pPr>
            <w:pStyle w:val="TOC2"/>
            <w:rPr>
              <w:rFonts w:asciiTheme="minorHAnsi" w:eastAsiaTheme="minorEastAsia" w:hAnsiTheme="minorHAnsi"/>
              <w:b w:val="0"/>
              <w:color w:val="auto"/>
              <w:sz w:val="22"/>
              <w:lang w:eastAsia="en-AU"/>
            </w:rPr>
          </w:pPr>
          <w:hyperlink w:anchor="_Toc417735128" w:history="1">
            <w:r w:rsidR="00FE65A2" w:rsidRPr="00BC2955">
              <w:rPr>
                <w:rStyle w:val="Hyperlink"/>
              </w:rPr>
              <w:t>9.5</w:t>
            </w:r>
            <w:r w:rsidR="00FE65A2">
              <w:rPr>
                <w:rFonts w:asciiTheme="minorHAnsi" w:eastAsiaTheme="minorEastAsia" w:hAnsiTheme="minorHAnsi"/>
                <w:b w:val="0"/>
                <w:color w:val="auto"/>
                <w:sz w:val="22"/>
                <w:lang w:eastAsia="en-AU"/>
              </w:rPr>
              <w:tab/>
            </w:r>
            <w:r w:rsidR="00FE65A2" w:rsidRPr="00BC2955">
              <w:rPr>
                <w:rStyle w:val="Hyperlink"/>
              </w:rPr>
              <w:t>Reasons for final decision</w:t>
            </w:r>
            <w:r w:rsidR="00FE65A2">
              <w:rPr>
                <w:webHidden/>
              </w:rPr>
              <w:tab/>
            </w:r>
            <w:r w:rsidR="00FE65A2">
              <w:rPr>
                <w:webHidden/>
              </w:rPr>
              <w:fldChar w:fldCharType="begin"/>
            </w:r>
            <w:r w:rsidR="00FE65A2">
              <w:rPr>
                <w:webHidden/>
              </w:rPr>
              <w:instrText xml:space="preserve"> PAGEREF _Toc417735128 \h </w:instrText>
            </w:r>
            <w:r w:rsidR="00FE65A2">
              <w:rPr>
                <w:webHidden/>
              </w:rPr>
            </w:r>
            <w:r w:rsidR="00FE65A2">
              <w:rPr>
                <w:webHidden/>
              </w:rPr>
              <w:fldChar w:fldCharType="separate"/>
            </w:r>
            <w:r w:rsidR="00B9110D">
              <w:rPr>
                <w:webHidden/>
              </w:rPr>
              <w:t>9-7</w:t>
            </w:r>
            <w:r w:rsidR="00FE65A2">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735122"/>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D5364" w:rsidRPr="00307E24" w:rsidTr="00EE67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Shortened form</w:t>
            </w:r>
          </w:p>
        </w:tc>
        <w:tc>
          <w:tcPr>
            <w:tcW w:w="4353"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B9110D"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B9110D" w:rsidRPr="00307E24" w:rsidRDefault="00B9110D" w:rsidP="00DD5364">
            <w:pPr>
              <w:numPr>
                <w:ilvl w:val="0"/>
                <w:numId w:val="25"/>
              </w:numPr>
              <w:spacing w:after="240" w:line="288" w:lineRule="auto"/>
              <w:jc w:val="both"/>
            </w:pPr>
            <w:r>
              <w:t>AARR</w:t>
            </w:r>
          </w:p>
        </w:tc>
        <w:tc>
          <w:tcPr>
            <w:tcW w:w="4353" w:type="dxa"/>
          </w:tcPr>
          <w:p w:rsidR="00B9110D" w:rsidRPr="00307E24" w:rsidRDefault="00B9110D"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AEMC</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AEMO</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AER</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B9110D"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B9110D" w:rsidRPr="00307E24" w:rsidRDefault="00B9110D" w:rsidP="00DD5364">
            <w:pPr>
              <w:numPr>
                <w:ilvl w:val="0"/>
                <w:numId w:val="25"/>
              </w:numPr>
              <w:spacing w:after="240" w:line="288" w:lineRule="auto"/>
              <w:jc w:val="both"/>
            </w:pPr>
            <w:r>
              <w:t>ASRR</w:t>
            </w:r>
          </w:p>
        </w:tc>
        <w:tc>
          <w:tcPr>
            <w:tcW w:w="4353" w:type="dxa"/>
          </w:tcPr>
          <w:p w:rsidR="00B9110D" w:rsidRPr="00307E24" w:rsidRDefault="00B9110D"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 service revenue requirement</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augex</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capex</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CCP</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CESS</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CPI</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DRP</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EBSS</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ERP</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MAR</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MRP</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NEL</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NEM</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NEO</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NER</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NSP</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NTSC</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lastRenderedPageBreak/>
              <w:t>opex</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PPI</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PTRM</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RAB</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RBA</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repex</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RFM</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RIN</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RPP</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B755AA">
              <w:t xml:space="preserve">and </w:t>
            </w:r>
            <w:r w:rsidRPr="00307E24">
              <w:t>pricing principles</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SLCAPM</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STPIS</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TNSP</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EE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TUoS</w:t>
            </w:r>
          </w:p>
        </w:tc>
        <w:tc>
          <w:tcPr>
            <w:tcW w:w="4353"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EE671D">
        <w:tc>
          <w:tcPr>
            <w:cnfStyle w:val="001000000000" w:firstRow="0" w:lastRow="0" w:firstColumn="1" w:lastColumn="0" w:oddVBand="0" w:evenVBand="0" w:oddHBand="0" w:evenHBand="0" w:firstRowFirstColumn="0" w:firstRowLastColumn="0" w:lastRowFirstColumn="0" w:lastRowLastColumn="0"/>
            <w:tcW w:w="4340" w:type="dxa"/>
          </w:tcPr>
          <w:p w:rsidR="00DD5364" w:rsidRPr="00307E24" w:rsidRDefault="00DD5364" w:rsidP="00DD5364">
            <w:pPr>
              <w:numPr>
                <w:ilvl w:val="0"/>
                <w:numId w:val="25"/>
              </w:numPr>
              <w:spacing w:after="240" w:line="288" w:lineRule="auto"/>
              <w:jc w:val="both"/>
            </w:pPr>
            <w:r w:rsidRPr="00307E24">
              <w:t>WACC</w:t>
            </w:r>
          </w:p>
        </w:tc>
        <w:tc>
          <w:tcPr>
            <w:tcW w:w="4353"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916966" w:rsidRDefault="00916966" w:rsidP="00916966">
      <w:pPr>
        <w:pStyle w:val="Heading1"/>
      </w:pPr>
      <w:bookmarkStart w:id="10" w:name="_Toc417735123"/>
      <w:r>
        <w:lastRenderedPageBreak/>
        <w:t>Efficiency benefit sharing scheme</w:t>
      </w:r>
      <w:bookmarkEnd w:id="10"/>
    </w:p>
    <w:p w:rsidR="00916966" w:rsidRDefault="00916966" w:rsidP="00916966">
      <w:pPr>
        <w:numPr>
          <w:ilvl w:val="0"/>
          <w:numId w:val="25"/>
        </w:numPr>
      </w:pPr>
      <w:bookmarkStart w:id="11" w:name="_Toc403144136"/>
      <w:bookmarkStart w:id="12" w:name="_Toc408496795"/>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p>
    <w:p w:rsidR="00916966" w:rsidRDefault="00D85AA3" w:rsidP="00916966">
      <w:pPr>
        <w:numPr>
          <w:ilvl w:val="0"/>
          <w:numId w:val="25"/>
        </w:num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difference between its approved forecast and its actual opex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opex it makes and </w:t>
      </w:r>
      <w:r>
        <w:rPr>
          <w:rStyle w:val="AERbody"/>
        </w:rPr>
        <w:t>additional penalties for in</w:t>
      </w:r>
      <w:r w:rsidRPr="000C2EF1">
        <w:rPr>
          <w:rStyle w:val="AERbody"/>
        </w:rPr>
        <w:t xml:space="preserve">creases in opex. In total these rewards and penalties work together to provide a constant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opex </w:t>
      </w:r>
      <w:r w:rsidRPr="000C2EF1">
        <w:rPr>
          <w:rStyle w:val="AERbody"/>
        </w:rPr>
        <w:t>in the expected base year in order to receive a higher opex allowance in the following regulatory control period</w:t>
      </w:r>
      <w:r w:rsidR="00916966">
        <w:t xml:space="preserve">. </w:t>
      </w:r>
    </w:p>
    <w:p w:rsidR="00916966" w:rsidRPr="00916966" w:rsidRDefault="00916966" w:rsidP="00916966">
      <w:pPr>
        <w:pStyle w:val="ListParagraph"/>
        <w:numPr>
          <w:ilvl w:val="0"/>
          <w:numId w:val="25"/>
        </w:numPr>
      </w:pPr>
      <w:r w:rsidRPr="00916966">
        <w:t>An EBSS did not appl</w:t>
      </w:r>
      <w:r w:rsidR="0084175F">
        <w:t>y to Directlink during the 2006–</w:t>
      </w:r>
      <w:r w:rsidRPr="00916966">
        <w:t xml:space="preserve">15 regulatory control period. </w:t>
      </w:r>
    </w:p>
    <w:p w:rsidR="00916966" w:rsidRPr="001754EE" w:rsidRDefault="00916966" w:rsidP="00916966">
      <w:pPr>
        <w:pStyle w:val="Heading2"/>
      </w:pPr>
      <w:bookmarkStart w:id="13" w:name="_Toc417735124"/>
      <w:r w:rsidRPr="001754EE">
        <w:t>Final decision</w:t>
      </w:r>
      <w:bookmarkEnd w:id="11"/>
      <w:bookmarkEnd w:id="12"/>
      <w:bookmarkEnd w:id="13"/>
    </w:p>
    <w:p w:rsidR="00916966" w:rsidRDefault="00916966" w:rsidP="00916966">
      <w:pPr>
        <w:numPr>
          <w:ilvl w:val="0"/>
          <w:numId w:val="25"/>
        </w:numPr>
      </w:pPr>
      <w:bookmarkStart w:id="14" w:name="_Ref387739438"/>
      <w:bookmarkStart w:id="15" w:name="_Toc403144137"/>
      <w:bookmarkStart w:id="16" w:name="_Toc408496796"/>
      <w:r w:rsidRPr="00BD4587">
        <w:t>W</w:t>
      </w:r>
      <w:r>
        <w:t>e</w:t>
      </w:r>
      <w:r w:rsidRPr="00BD4587">
        <w:t xml:space="preserve"> w</w:t>
      </w:r>
      <w:r>
        <w:t>ill</w:t>
      </w:r>
      <w:r w:rsidRPr="00BD4587">
        <w:t xml:space="preserve"> apply version </w:t>
      </w:r>
      <w:r>
        <w:t>two</w:t>
      </w:r>
      <w:r w:rsidRPr="00BD4587">
        <w:t xml:space="preserve"> of the EBSS to </w:t>
      </w:r>
      <w:r>
        <w:t>Directlink during the 2015–20</w:t>
      </w:r>
      <w:r w:rsidRPr="00BD4587">
        <w:t xml:space="preserve"> </w:t>
      </w:r>
      <w:r>
        <w:t xml:space="preserve">regulatory control </w:t>
      </w:r>
      <w:r w:rsidRPr="00BD4587">
        <w:t>period</w:t>
      </w:r>
      <w:r>
        <w:t>.</w:t>
      </w:r>
      <w:r w:rsidR="008F45BA" w:rsidRPr="008F45BA">
        <w:rPr>
          <w:rStyle w:val="FootnoteReference"/>
        </w:rPr>
        <w:t xml:space="preserve"> </w:t>
      </w:r>
      <w:r w:rsidR="008F45BA" w:rsidRPr="00A95046">
        <w:rPr>
          <w:rStyle w:val="FootnoteReference"/>
        </w:rPr>
        <w:footnoteReference w:id="1"/>
      </w:r>
      <w:r w:rsidRPr="00BD4587">
        <w:t xml:space="preserve"> </w:t>
      </w:r>
      <w:r>
        <w:t>W</w:t>
      </w:r>
      <w:r w:rsidRPr="00BD4587">
        <w:t xml:space="preserve">e will exclude </w:t>
      </w:r>
      <w:r>
        <w:t>debt raising costs from</w:t>
      </w:r>
      <w:r w:rsidRPr="00BD4587">
        <w:t xml:space="preserve"> the calculat</w:t>
      </w:r>
      <w:r>
        <w:t>ion of EBSS carryover amounts</w:t>
      </w:r>
      <w:r w:rsidR="00D25574">
        <w:t>.</w:t>
      </w:r>
      <w:r w:rsidR="00945E4A">
        <w:t xml:space="preserve"> This is consistent with our draft decision.</w:t>
      </w:r>
      <w:r w:rsidR="00D25574">
        <w:t xml:space="preserve"> </w:t>
      </w:r>
      <w:r w:rsidR="00090216">
        <w:fldChar w:fldCharType="begin"/>
      </w:r>
      <w:r w:rsidR="00090216">
        <w:instrText xml:space="preserve"> REF _Ref414952409 \h </w:instrText>
      </w:r>
      <w:r w:rsidR="00090216">
        <w:fldChar w:fldCharType="separate"/>
      </w:r>
      <w:r w:rsidR="00B9110D">
        <w:t xml:space="preserve">Table </w:t>
      </w:r>
      <w:r w:rsidR="00B9110D">
        <w:rPr>
          <w:noProof/>
        </w:rPr>
        <w:t>9</w:t>
      </w:r>
      <w:r w:rsidR="00B9110D">
        <w:t>.</w:t>
      </w:r>
      <w:r w:rsidR="00B9110D">
        <w:rPr>
          <w:noProof/>
        </w:rPr>
        <w:t>1</w:t>
      </w:r>
      <w:r w:rsidR="00090216">
        <w:fldChar w:fldCharType="end"/>
      </w:r>
      <w:r w:rsidR="00090216">
        <w:t xml:space="preserve"> </w:t>
      </w:r>
      <w:r>
        <w:t>illustrates</w:t>
      </w:r>
      <w:r w:rsidRPr="00BD4587">
        <w:t xml:space="preserve"> the total opex forecasts we </w:t>
      </w:r>
      <w:r>
        <w:t xml:space="preserve">expect we </w:t>
      </w:r>
      <w:r w:rsidRPr="00BD4587">
        <w:t xml:space="preserve">will use to calculate efficiency </w:t>
      </w:r>
      <w:r w:rsidR="00021A68">
        <w:t>gains and losses for the 2015–</w:t>
      </w:r>
      <w:r>
        <w:t>20</w:t>
      </w:r>
      <w:r w:rsidRPr="00BD4587">
        <w:t xml:space="preserve"> </w:t>
      </w:r>
      <w:r>
        <w:t xml:space="preserve">regulatory control </w:t>
      </w:r>
      <w:r w:rsidRPr="00BD4587">
        <w:t>period</w:t>
      </w:r>
      <w:r>
        <w:t xml:space="preserve">. </w:t>
      </w:r>
    </w:p>
    <w:p w:rsidR="00916966" w:rsidRDefault="00916966" w:rsidP="00916966">
      <w:pPr>
        <w:pStyle w:val="Heading2"/>
      </w:pPr>
      <w:bookmarkStart w:id="17" w:name="_Toc417735125"/>
      <w:bookmarkEnd w:id="14"/>
      <w:r>
        <w:t>Draft decision</w:t>
      </w:r>
      <w:bookmarkEnd w:id="17"/>
    </w:p>
    <w:p w:rsidR="00EB3F0F" w:rsidRDefault="00916966" w:rsidP="00916966">
      <w:r w:rsidRPr="00A95046">
        <w:rPr>
          <w:rStyle w:val="AERbody"/>
        </w:rPr>
        <w:t xml:space="preserve">We </w:t>
      </w:r>
      <w:r>
        <w:rPr>
          <w:rStyle w:val="AERbody"/>
        </w:rPr>
        <w:t>proposed to apply</w:t>
      </w:r>
      <w:r w:rsidRPr="00A95046">
        <w:rPr>
          <w:rStyle w:val="AERbody"/>
        </w:rPr>
        <w:t xml:space="preserve"> version two of the EBSS to </w:t>
      </w:r>
      <w:r w:rsidR="00D25574">
        <w:rPr>
          <w:rStyle w:val="AERbody"/>
        </w:rPr>
        <w:t>Directlink for the 2015</w:t>
      </w:r>
      <w:r w:rsidRPr="0005367B">
        <w:rPr>
          <w:rStyle w:val="AERbody"/>
        </w:rPr>
        <w:t>–</w:t>
      </w:r>
      <w:r w:rsidR="00D25574">
        <w:rPr>
          <w:rStyle w:val="AERbody"/>
        </w:rPr>
        <w:t>20 regulatory control</w:t>
      </w:r>
      <w:r>
        <w:rPr>
          <w:rStyle w:val="AERbody"/>
        </w:rPr>
        <w:t xml:space="preserve"> period.</w:t>
      </w:r>
      <w:r w:rsidRPr="00A95046">
        <w:t xml:space="preserve"> We </w:t>
      </w:r>
      <w:r w:rsidR="00EB3F0F">
        <w:t xml:space="preserve">also </w:t>
      </w:r>
      <w:r>
        <w:t>proposed</w:t>
      </w:r>
      <w:r w:rsidR="00EB3F0F">
        <w:t>:</w:t>
      </w:r>
      <w:r w:rsidR="008F45BA">
        <w:rPr>
          <w:rStyle w:val="FootnoteReference"/>
        </w:rPr>
        <w:footnoteReference w:id="2"/>
      </w:r>
      <w:r>
        <w:t xml:space="preserve"> </w:t>
      </w:r>
    </w:p>
    <w:p w:rsidR="00916966" w:rsidRDefault="00916966" w:rsidP="00EB3F0F">
      <w:pPr>
        <w:pStyle w:val="AERbulletlistfirststyle"/>
      </w:pPr>
      <w:r>
        <w:t xml:space="preserve">a </w:t>
      </w:r>
      <w:r w:rsidR="00D25574">
        <w:t>five</w:t>
      </w:r>
      <w:r>
        <w:t xml:space="preserve"> year carryover period </w:t>
      </w:r>
    </w:p>
    <w:p w:rsidR="00EB3F0F" w:rsidRDefault="00916966" w:rsidP="00EB3F0F">
      <w:pPr>
        <w:pStyle w:val="AERbulletlistfirststyle"/>
        <w:rPr>
          <w:rStyle w:val="AERbody"/>
        </w:rPr>
      </w:pPr>
      <w:r w:rsidRPr="00D25574">
        <w:rPr>
          <w:rStyle w:val="AERbody"/>
        </w:rPr>
        <w:t xml:space="preserve">to exclude </w:t>
      </w:r>
      <w:r w:rsidR="00D25574" w:rsidRPr="00D25574">
        <w:rPr>
          <w:rStyle w:val="AERbody"/>
        </w:rPr>
        <w:t>debt raising costs</w:t>
      </w:r>
      <w:r w:rsidR="00D25574">
        <w:rPr>
          <w:rStyle w:val="AERbody"/>
        </w:rPr>
        <w:t xml:space="preserve"> from the </w:t>
      </w:r>
      <w:r w:rsidR="008201F1">
        <w:rPr>
          <w:rStyle w:val="AERbody"/>
        </w:rPr>
        <w:t xml:space="preserve">calculation of the </w:t>
      </w:r>
      <w:r w:rsidR="00D25574">
        <w:rPr>
          <w:rStyle w:val="AERbody"/>
        </w:rPr>
        <w:t>EBSS</w:t>
      </w:r>
      <w:r w:rsidR="008201F1">
        <w:rPr>
          <w:rStyle w:val="AERbody"/>
        </w:rPr>
        <w:t xml:space="preserve"> carryover amounts</w:t>
      </w:r>
    </w:p>
    <w:p w:rsidR="00916966" w:rsidRPr="00D25574" w:rsidRDefault="00EB3F0F" w:rsidP="00EB3F0F">
      <w:pPr>
        <w:pStyle w:val="AERbulletlistfirststyle"/>
        <w:rPr>
          <w:rStyle w:val="AERbody"/>
        </w:rPr>
      </w:pPr>
      <w:r w:rsidRPr="00945E4A">
        <w:t>the efficiency gain in the first year will be the difference between actual opex and forecast opex in that year</w:t>
      </w:r>
      <w:r w:rsidR="00D25574">
        <w:rPr>
          <w:rStyle w:val="AERbody"/>
        </w:rPr>
        <w:t>.</w:t>
      </w:r>
    </w:p>
    <w:p w:rsidR="00916966" w:rsidRDefault="00945E4A" w:rsidP="00916966">
      <w:pPr>
        <w:pStyle w:val="Heading2"/>
      </w:pPr>
      <w:bookmarkStart w:id="18" w:name="_Toc417735126"/>
      <w:r>
        <w:t>Directlink</w:t>
      </w:r>
      <w:r w:rsidR="00916966" w:rsidRPr="001754EE">
        <w:t>’s revised proposal</w:t>
      </w:r>
      <w:bookmarkEnd w:id="15"/>
      <w:bookmarkEnd w:id="16"/>
      <w:bookmarkEnd w:id="18"/>
    </w:p>
    <w:p w:rsidR="00945E4A" w:rsidRDefault="00945E4A" w:rsidP="00945E4A">
      <w:r>
        <w:t xml:space="preserve">Directlink did not </w:t>
      </w:r>
      <w:r w:rsidR="003B46AA">
        <w:t>comment on</w:t>
      </w:r>
      <w:r>
        <w:t xml:space="preserve"> the EBSS in its revised proposal.</w:t>
      </w:r>
    </w:p>
    <w:p w:rsidR="0037630C" w:rsidRDefault="0037630C" w:rsidP="00945E4A"/>
    <w:p w:rsidR="0037630C" w:rsidRPr="00945E4A" w:rsidRDefault="0037630C" w:rsidP="00945E4A"/>
    <w:p w:rsidR="00916966" w:rsidRPr="00F402A5" w:rsidRDefault="00916966" w:rsidP="00916966">
      <w:pPr>
        <w:pStyle w:val="Heading2"/>
      </w:pPr>
      <w:bookmarkStart w:id="19" w:name="_Toc417735127"/>
      <w:bookmarkStart w:id="20" w:name="_Toc408496800"/>
      <w:r>
        <w:lastRenderedPageBreak/>
        <w:t>A</w:t>
      </w:r>
      <w:r w:rsidRPr="00F402A5">
        <w:t>ssessment approach</w:t>
      </w:r>
      <w:bookmarkEnd w:id="19"/>
    </w:p>
    <w:p w:rsidR="00916966" w:rsidRPr="00E7780E" w:rsidRDefault="009754C4" w:rsidP="00723B2C">
      <w:pPr>
        <w:numPr>
          <w:ilvl w:val="0"/>
          <w:numId w:val="25"/>
        </w:numPr>
      </w:pPr>
      <w:r>
        <w:t>Our assessment approach is the same as in the draft decision</w:t>
      </w:r>
      <w:r w:rsidR="00916966" w:rsidRPr="00E7780E">
        <w:t>.</w:t>
      </w:r>
      <w:r>
        <w:t xml:space="preserve"> </w:t>
      </w:r>
      <w:r w:rsidR="00EB3F0F">
        <w:t>In the draft decision we</w:t>
      </w:r>
      <w:r>
        <w:t xml:space="preserve"> </w:t>
      </w:r>
      <w:r w:rsidR="00EB3F0F">
        <w:t xml:space="preserve">also </w:t>
      </w:r>
      <w:r>
        <w:t xml:space="preserve">discuss the interrelationships between the EBSS, our forecasting approach and </w:t>
      </w:r>
      <w:r w:rsidR="00EB3F0F">
        <w:t xml:space="preserve">other </w:t>
      </w:r>
      <w:r>
        <w:t xml:space="preserve">incentive </w:t>
      </w:r>
      <w:r w:rsidR="00EB3F0F">
        <w:t>schemes</w:t>
      </w:r>
      <w:r>
        <w:t>.</w:t>
      </w:r>
      <w:r w:rsidR="00EB3F0F" w:rsidRPr="00E7780E">
        <w:rPr>
          <w:rStyle w:val="FootnoteReference"/>
        </w:rPr>
        <w:footnoteReference w:id="3"/>
      </w:r>
    </w:p>
    <w:p w:rsidR="00916966" w:rsidRPr="00F402A5" w:rsidRDefault="00916966" w:rsidP="00916966">
      <w:pPr>
        <w:rPr>
          <w:rStyle w:val="AERbody"/>
        </w:rPr>
      </w:pPr>
      <w:r>
        <w:t xml:space="preserve">Details of how </w:t>
      </w:r>
      <w:r w:rsidR="00EB3F0F">
        <w:t xml:space="preserve">version two of </w:t>
      </w:r>
      <w:r>
        <w:t xml:space="preserve">the EBSS will operate are set out in </w:t>
      </w:r>
      <w:r w:rsidRPr="00F402A5">
        <w:rPr>
          <w:rStyle w:val="AERtextitalic"/>
        </w:rPr>
        <w:t>Explanatory Statement - Efficiency Benefit Sharing Scheme for Electricity Network Service Providers</w:t>
      </w:r>
      <w:r w:rsidRPr="00F402A5">
        <w:rPr>
          <w:rStyle w:val="AERbody"/>
        </w:rPr>
        <w:t>.</w:t>
      </w:r>
      <w:r w:rsidR="0004442C">
        <w:rPr>
          <w:rStyle w:val="AERbody"/>
        </w:rPr>
        <w:t xml:space="preserve"> It </w:t>
      </w:r>
      <w:r w:rsidR="0004442C" w:rsidRPr="00945E4A">
        <w:t>specifies our approach to determining the length of the carryover period, calculating the incremental efficiency gains and adjusting forecast or actual opex when calculating carryover amounts</w:t>
      </w:r>
      <w:r w:rsidR="0004442C" w:rsidRPr="00F402A5">
        <w:rPr>
          <w:rStyle w:val="FootnoteReference"/>
        </w:rPr>
        <w:t xml:space="preserve"> </w:t>
      </w:r>
      <w:r w:rsidRPr="00F402A5">
        <w:rPr>
          <w:rStyle w:val="FootnoteReference"/>
        </w:rPr>
        <w:footnoteReference w:id="4"/>
      </w:r>
    </w:p>
    <w:p w:rsidR="00916966" w:rsidRDefault="00916966" w:rsidP="00916966">
      <w:pPr>
        <w:pStyle w:val="Heading2"/>
      </w:pPr>
      <w:bookmarkStart w:id="21" w:name="_Toc403144140"/>
      <w:bookmarkStart w:id="22" w:name="_Toc408496802"/>
      <w:bookmarkStart w:id="23" w:name="_Toc417735128"/>
      <w:bookmarkEnd w:id="20"/>
      <w:r w:rsidRPr="001754EE">
        <w:t>Reasons</w:t>
      </w:r>
      <w:r>
        <w:t xml:space="preserve"> for final decision</w:t>
      </w:r>
      <w:bookmarkEnd w:id="21"/>
      <w:bookmarkEnd w:id="22"/>
      <w:bookmarkEnd w:id="23"/>
      <w:r>
        <w:t xml:space="preserve"> </w:t>
      </w:r>
    </w:p>
    <w:p w:rsidR="00763448" w:rsidRDefault="00945E4A" w:rsidP="00945E4A">
      <w:bookmarkStart w:id="24" w:name="_Toc408496803"/>
      <w:r w:rsidRPr="00945E4A">
        <w:t>We will apply version two of the EBSS to Directlink during the 2015</w:t>
      </w:r>
      <w:r w:rsidR="0004442C">
        <w:t>–20 regulatory control period.</w:t>
      </w:r>
    </w:p>
    <w:p w:rsidR="00945E4A" w:rsidRPr="00945E4A" w:rsidRDefault="002538A9" w:rsidP="00945E4A">
      <w:r>
        <w:t xml:space="preserve">Our final </w:t>
      </w:r>
      <w:r w:rsidR="00976328">
        <w:t>decision</w:t>
      </w:r>
      <w:r>
        <w:t xml:space="preserve"> is </w:t>
      </w:r>
      <w:r w:rsidR="00763448">
        <w:t>the same as</w:t>
      </w:r>
      <w:r>
        <w:t xml:space="preserve"> our draft </w:t>
      </w:r>
      <w:r w:rsidR="00976328">
        <w:t>decision</w:t>
      </w:r>
      <w:r>
        <w:t>.</w:t>
      </w:r>
      <w:r w:rsidR="00763448">
        <w:t xml:space="preserve"> </w:t>
      </w:r>
      <w:r w:rsidR="0004442C">
        <w:t xml:space="preserve">In its revised proposal, </w:t>
      </w:r>
      <w:r w:rsidR="00763448">
        <w:t xml:space="preserve">Directlink did not </w:t>
      </w:r>
      <w:r w:rsidR="00976328">
        <w:t>comment further on</w:t>
      </w:r>
      <w:r w:rsidR="00763448">
        <w:t xml:space="preserve"> the EBSS</w:t>
      </w:r>
      <w:r w:rsidR="00976328">
        <w:t>,</w:t>
      </w:r>
      <w:r w:rsidR="00763448">
        <w:t xml:space="preserve"> and we did we receive any submissions on the matter.</w:t>
      </w:r>
      <w:r w:rsidR="00976328" w:rsidRPr="00976328">
        <w:t xml:space="preserve"> </w:t>
      </w:r>
      <w:r w:rsidR="00976328">
        <w:t xml:space="preserve">Therefore, we </w:t>
      </w:r>
      <w:r w:rsidR="0004442C">
        <w:t>see</w:t>
      </w:r>
      <w:r w:rsidR="00976328">
        <w:t xml:space="preserve"> no reason </w:t>
      </w:r>
      <w:r w:rsidR="0004442C">
        <w:t xml:space="preserve">for our final decision </w:t>
      </w:r>
      <w:r w:rsidR="00976328">
        <w:t xml:space="preserve">to change </w:t>
      </w:r>
      <w:r w:rsidR="0004442C">
        <w:t xml:space="preserve">from </w:t>
      </w:r>
      <w:r w:rsidR="00976328">
        <w:t>our draft decision.</w:t>
      </w:r>
    </w:p>
    <w:p w:rsidR="00945E4A" w:rsidRPr="00945E4A" w:rsidRDefault="001943D1" w:rsidP="00945E4A">
      <w:r>
        <w:fldChar w:fldCharType="begin"/>
      </w:r>
      <w:r>
        <w:instrText xml:space="preserve"> REF _Ref414952409 \h </w:instrText>
      </w:r>
      <w:r>
        <w:fldChar w:fldCharType="separate"/>
      </w:r>
      <w:r w:rsidR="00B9110D">
        <w:t xml:space="preserve">Table </w:t>
      </w:r>
      <w:r w:rsidR="00B9110D">
        <w:rPr>
          <w:noProof/>
        </w:rPr>
        <w:t>9</w:t>
      </w:r>
      <w:r w:rsidR="00B9110D">
        <w:t>.</w:t>
      </w:r>
      <w:r w:rsidR="00B9110D">
        <w:rPr>
          <w:noProof/>
        </w:rPr>
        <w:t>1</w:t>
      </w:r>
      <w:r>
        <w:fldChar w:fldCharType="end"/>
      </w:r>
      <w:r w:rsidR="00C73818">
        <w:t xml:space="preserve"> </w:t>
      </w:r>
      <w:r w:rsidR="00945E4A" w:rsidRPr="00945E4A">
        <w:t xml:space="preserve">sets out our </w:t>
      </w:r>
      <w:r w:rsidR="0060749E">
        <w:t xml:space="preserve">final </w:t>
      </w:r>
      <w:r w:rsidR="00945E4A" w:rsidRPr="00945E4A">
        <w:t>decision on Directlink's target opex for the EBSS (total</w:t>
      </w:r>
      <w:r w:rsidR="008201F1">
        <w:t xml:space="preserve"> opex less excluded categories)</w:t>
      </w:r>
      <w:r w:rsidR="00945E4A" w:rsidRPr="00945E4A">
        <w:t xml:space="preserve"> against which we will calculate efficiency gains in the 2015–20 regulatory control period.</w:t>
      </w:r>
    </w:p>
    <w:p w:rsidR="00945E4A" w:rsidRPr="00945E4A" w:rsidRDefault="00C73818" w:rsidP="00C73818">
      <w:pPr>
        <w:pStyle w:val="Caption"/>
      </w:pPr>
      <w:bookmarkStart w:id="25" w:name="_Ref414952409"/>
      <w:r>
        <w:t xml:space="preserve">Table </w:t>
      </w:r>
      <w:fldSimple w:instr=" STYLEREF 1 \s ">
        <w:r w:rsidR="00B9110D">
          <w:rPr>
            <w:noProof/>
          </w:rPr>
          <w:t>9</w:t>
        </w:r>
      </w:fldSimple>
      <w:r>
        <w:t>.</w:t>
      </w:r>
      <w:fldSimple w:instr=" SEQ Table \* ARABIC \s 1 ">
        <w:r w:rsidR="00B9110D">
          <w:rPr>
            <w:noProof/>
          </w:rPr>
          <w:t>1</w:t>
        </w:r>
      </w:fldSimple>
      <w:bookmarkEnd w:id="25"/>
      <w:r w:rsidR="00945E4A" w:rsidRPr="00945E4A">
        <w:tab/>
      </w:r>
      <w:r w:rsidR="005C5797">
        <w:t>Final</w:t>
      </w:r>
      <w:r w:rsidR="00945E4A" w:rsidRPr="00945E4A">
        <w:t xml:space="preserve"> decision on Directlink's forecast opex for the EBSS </w:t>
      </w:r>
      <w:r>
        <w:br/>
      </w:r>
      <w:r w:rsidR="00945E4A" w:rsidRPr="00945E4A">
        <w:t>($ million, 201</w:t>
      </w:r>
      <w:r w:rsidR="00723B2C">
        <w:t>4–15</w:t>
      </w:r>
      <w:r w:rsidR="00945E4A" w:rsidRPr="00945E4A">
        <w:t>)</w:t>
      </w:r>
    </w:p>
    <w:tbl>
      <w:tblPr>
        <w:tblStyle w:val="AERtable-numbers"/>
        <w:tblW w:w="5000" w:type="pct"/>
        <w:tblLayout w:type="fixed"/>
        <w:tblLook w:val="04A0" w:firstRow="1" w:lastRow="0" w:firstColumn="1" w:lastColumn="0" w:noHBand="0" w:noVBand="1"/>
      </w:tblPr>
      <w:tblGrid>
        <w:gridCol w:w="2661"/>
        <w:gridCol w:w="1020"/>
        <w:gridCol w:w="1021"/>
        <w:gridCol w:w="1021"/>
        <w:gridCol w:w="1021"/>
        <w:gridCol w:w="1021"/>
        <w:gridCol w:w="928"/>
      </w:tblGrid>
      <w:tr w:rsidR="0037630C" w:rsidTr="00376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pct"/>
          </w:tcPr>
          <w:p w:rsidR="00723B2C" w:rsidRDefault="00723B2C" w:rsidP="00723B2C">
            <w:pPr>
              <w:pStyle w:val="AERtabletextleft"/>
            </w:pPr>
          </w:p>
        </w:tc>
        <w:tc>
          <w:tcPr>
            <w:tcW w:w="587" w:type="pct"/>
          </w:tcPr>
          <w:p w:rsidR="00723B2C" w:rsidRPr="00723B2C" w:rsidRDefault="00723B2C" w:rsidP="00723B2C">
            <w:pPr>
              <w:pStyle w:val="AERtabletextright"/>
              <w:cnfStyle w:val="100000000000" w:firstRow="1" w:lastRow="0" w:firstColumn="0" w:lastColumn="0" w:oddVBand="0" w:evenVBand="0" w:oddHBand="0" w:evenHBand="0" w:firstRowFirstColumn="0" w:firstRowLastColumn="0" w:lastRowFirstColumn="0" w:lastRowLastColumn="0"/>
            </w:pPr>
            <w:r>
              <w:t>2015</w:t>
            </w:r>
            <w:r w:rsidRPr="00723B2C">
              <w:t>–16</w:t>
            </w:r>
          </w:p>
        </w:tc>
        <w:tc>
          <w:tcPr>
            <w:tcW w:w="587" w:type="pct"/>
          </w:tcPr>
          <w:p w:rsidR="00723B2C" w:rsidRPr="00723B2C" w:rsidRDefault="00723B2C" w:rsidP="00723B2C">
            <w:pPr>
              <w:pStyle w:val="AERtabletextright"/>
              <w:cnfStyle w:val="100000000000" w:firstRow="1" w:lastRow="0" w:firstColumn="0" w:lastColumn="0" w:oddVBand="0" w:evenVBand="0" w:oddHBand="0" w:evenHBand="0" w:firstRowFirstColumn="0" w:firstRowLastColumn="0" w:lastRowFirstColumn="0" w:lastRowLastColumn="0"/>
            </w:pPr>
            <w:r>
              <w:t>2016</w:t>
            </w:r>
            <w:r w:rsidRPr="00723B2C">
              <w:t>–17</w:t>
            </w:r>
          </w:p>
        </w:tc>
        <w:tc>
          <w:tcPr>
            <w:tcW w:w="587" w:type="pct"/>
          </w:tcPr>
          <w:p w:rsidR="00723B2C" w:rsidRPr="00723B2C" w:rsidRDefault="00723B2C" w:rsidP="00723B2C">
            <w:pPr>
              <w:pStyle w:val="AERtabletextright"/>
              <w:cnfStyle w:val="100000000000" w:firstRow="1" w:lastRow="0" w:firstColumn="0" w:lastColumn="0" w:oddVBand="0" w:evenVBand="0" w:oddHBand="0" w:evenHBand="0" w:firstRowFirstColumn="0" w:firstRowLastColumn="0" w:lastRowFirstColumn="0" w:lastRowLastColumn="0"/>
            </w:pPr>
            <w:r>
              <w:t>2017</w:t>
            </w:r>
            <w:r w:rsidRPr="00723B2C">
              <w:t>–18</w:t>
            </w:r>
          </w:p>
        </w:tc>
        <w:tc>
          <w:tcPr>
            <w:tcW w:w="587" w:type="pct"/>
          </w:tcPr>
          <w:p w:rsidR="00723B2C" w:rsidRPr="00723B2C" w:rsidRDefault="00723B2C" w:rsidP="00723B2C">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587" w:type="pct"/>
          </w:tcPr>
          <w:p w:rsidR="00723B2C" w:rsidRPr="00723B2C" w:rsidRDefault="00723B2C" w:rsidP="00723B2C">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535" w:type="pct"/>
          </w:tcPr>
          <w:p w:rsidR="00723B2C" w:rsidRDefault="00723B2C" w:rsidP="00723B2C">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37630C" w:rsidRPr="0084175F" w:rsidTr="0037630C">
        <w:tc>
          <w:tcPr>
            <w:cnfStyle w:val="001000000000" w:firstRow="0" w:lastRow="0" w:firstColumn="1" w:lastColumn="0" w:oddVBand="0" w:evenVBand="0" w:oddHBand="0" w:evenHBand="0" w:firstRowFirstColumn="0" w:firstRowLastColumn="0" w:lastRowFirstColumn="0" w:lastRowLastColumn="0"/>
            <w:tcW w:w="1531" w:type="pct"/>
          </w:tcPr>
          <w:p w:rsidR="00723B2C" w:rsidRPr="0084175F" w:rsidRDefault="00723B2C" w:rsidP="0084175F">
            <w:r w:rsidRPr="0084175F">
              <w:t>Forecast opex for EBSS</w:t>
            </w:r>
            <w:r w:rsidR="0084175F" w:rsidRPr="0084175F">
              <w:t xml:space="preserve"> (excluding debt raising costs)</w:t>
            </w:r>
          </w:p>
        </w:tc>
        <w:tc>
          <w:tcPr>
            <w:tcW w:w="587" w:type="pct"/>
          </w:tcPr>
          <w:p w:rsidR="00723B2C" w:rsidRPr="0084175F" w:rsidRDefault="005A28B5" w:rsidP="00082377">
            <w:pPr>
              <w:cnfStyle w:val="000000000000" w:firstRow="0" w:lastRow="0" w:firstColumn="0" w:lastColumn="0" w:oddVBand="0" w:evenVBand="0" w:oddHBand="0" w:evenHBand="0" w:firstRowFirstColumn="0" w:firstRowLastColumn="0" w:lastRowFirstColumn="0" w:lastRowLastColumn="0"/>
            </w:pPr>
            <w:r w:rsidRPr="0084175F">
              <w:t>4.</w:t>
            </w:r>
            <w:r w:rsidR="00082377">
              <w:t>09</w:t>
            </w:r>
          </w:p>
        </w:tc>
        <w:tc>
          <w:tcPr>
            <w:tcW w:w="587" w:type="pct"/>
          </w:tcPr>
          <w:p w:rsidR="00723B2C" w:rsidRPr="0084175F" w:rsidRDefault="005A28B5" w:rsidP="00082377">
            <w:pPr>
              <w:cnfStyle w:val="000000000000" w:firstRow="0" w:lastRow="0" w:firstColumn="0" w:lastColumn="0" w:oddVBand="0" w:evenVBand="0" w:oddHBand="0" w:evenHBand="0" w:firstRowFirstColumn="0" w:firstRowLastColumn="0" w:lastRowFirstColumn="0" w:lastRowLastColumn="0"/>
            </w:pPr>
            <w:r w:rsidRPr="0084175F">
              <w:t>3.</w:t>
            </w:r>
            <w:r w:rsidR="00082377">
              <w:t>37</w:t>
            </w:r>
          </w:p>
        </w:tc>
        <w:tc>
          <w:tcPr>
            <w:tcW w:w="587" w:type="pct"/>
          </w:tcPr>
          <w:p w:rsidR="00723B2C" w:rsidRPr="0084175F" w:rsidRDefault="005A28B5" w:rsidP="00082377">
            <w:pPr>
              <w:cnfStyle w:val="000000000000" w:firstRow="0" w:lastRow="0" w:firstColumn="0" w:lastColumn="0" w:oddVBand="0" w:evenVBand="0" w:oddHBand="0" w:evenHBand="0" w:firstRowFirstColumn="0" w:firstRowLastColumn="0" w:lastRowFirstColumn="0" w:lastRowLastColumn="0"/>
            </w:pPr>
            <w:r w:rsidRPr="0084175F">
              <w:t>3.4</w:t>
            </w:r>
            <w:r w:rsidR="00082377">
              <w:t>5</w:t>
            </w:r>
          </w:p>
        </w:tc>
        <w:tc>
          <w:tcPr>
            <w:tcW w:w="587" w:type="pct"/>
          </w:tcPr>
          <w:p w:rsidR="00723B2C" w:rsidRPr="0084175F" w:rsidRDefault="005A28B5" w:rsidP="00082377">
            <w:pPr>
              <w:cnfStyle w:val="000000000000" w:firstRow="0" w:lastRow="0" w:firstColumn="0" w:lastColumn="0" w:oddVBand="0" w:evenVBand="0" w:oddHBand="0" w:evenHBand="0" w:firstRowFirstColumn="0" w:firstRowLastColumn="0" w:lastRowFirstColumn="0" w:lastRowLastColumn="0"/>
            </w:pPr>
            <w:r w:rsidRPr="0084175F">
              <w:t>3.4</w:t>
            </w:r>
            <w:r w:rsidR="00082377">
              <w:t>1</w:t>
            </w:r>
          </w:p>
        </w:tc>
        <w:tc>
          <w:tcPr>
            <w:tcW w:w="587" w:type="pct"/>
          </w:tcPr>
          <w:p w:rsidR="00723B2C" w:rsidRPr="0084175F" w:rsidRDefault="005A28B5" w:rsidP="00082377">
            <w:pPr>
              <w:cnfStyle w:val="000000000000" w:firstRow="0" w:lastRow="0" w:firstColumn="0" w:lastColumn="0" w:oddVBand="0" w:evenVBand="0" w:oddHBand="0" w:evenHBand="0" w:firstRowFirstColumn="0" w:firstRowLastColumn="0" w:lastRowFirstColumn="0" w:lastRowLastColumn="0"/>
            </w:pPr>
            <w:r w:rsidRPr="0084175F">
              <w:t>3.4</w:t>
            </w:r>
            <w:r w:rsidR="00082377">
              <w:t>2</w:t>
            </w:r>
          </w:p>
        </w:tc>
        <w:tc>
          <w:tcPr>
            <w:tcW w:w="535" w:type="pct"/>
          </w:tcPr>
          <w:p w:rsidR="00723B2C" w:rsidRPr="0084175F" w:rsidRDefault="005A28B5" w:rsidP="00082377">
            <w:pPr>
              <w:cnfStyle w:val="000000000000" w:firstRow="0" w:lastRow="0" w:firstColumn="0" w:lastColumn="0" w:oddVBand="0" w:evenVBand="0" w:oddHBand="0" w:evenHBand="0" w:firstRowFirstColumn="0" w:firstRowLastColumn="0" w:lastRowFirstColumn="0" w:lastRowLastColumn="0"/>
            </w:pPr>
            <w:r w:rsidRPr="0084175F">
              <w:t>17.</w:t>
            </w:r>
            <w:r w:rsidR="00082377">
              <w:t>73</w:t>
            </w:r>
          </w:p>
        </w:tc>
      </w:tr>
    </w:tbl>
    <w:p w:rsidR="00916966" w:rsidRDefault="005A28B5" w:rsidP="005A28B5">
      <w:pPr>
        <w:pStyle w:val="AERtablesource"/>
      </w:pPr>
      <w:r>
        <w:t>Note: Numbers may not add due to rounding.</w:t>
      </w:r>
    </w:p>
    <w:bookmarkEnd w:id="24"/>
    <w:sectPr w:rsidR="00916966"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fldChar w:fldCharType="begin"/>
        </w:r>
        <w:r>
          <w:instrText xml:space="preserve"> PAGE   \* MERGEFORMAT </w:instrText>
        </w:r>
        <w:r>
          <w:fldChar w:fldCharType="separate"/>
        </w:r>
        <w:r w:rsidR="00237A3D">
          <w:rPr>
            <w:noProof/>
          </w:rPr>
          <w:t>9-3</w:t>
        </w:r>
        <w:r>
          <w:rPr>
            <w:noProof/>
          </w:rPr>
          <w:fldChar w:fldCharType="end"/>
        </w:r>
        <w:r w:rsidR="0049627F">
          <w:t xml:space="preserve"> </w:t>
        </w:r>
        <w:r w:rsidR="005F61FF">
          <w:tab/>
        </w:r>
        <w:r>
          <w:rPr>
            <w:noProof/>
          </w:rPr>
          <w:t xml:space="preserve">Attachment </w:t>
        </w:r>
        <w:r w:rsidR="009A50E1">
          <w:t>9</w:t>
        </w:r>
        <w:r>
          <w:rPr>
            <w:noProof/>
          </w:rPr>
          <w:t xml:space="preserve"> </w:t>
        </w:r>
        <w:r>
          <w:rPr>
            <w:rFonts w:cs="Gautami"/>
            <w:noProof/>
          </w:rPr>
          <w:t>–</w:t>
        </w:r>
        <w:r w:rsidR="00EC5AAE">
          <w:t xml:space="preserve"> </w:t>
        </w:r>
        <w:r w:rsidR="009A50E1">
          <w:t>E</w:t>
        </w:r>
        <w:r w:rsidR="0049627F">
          <w:t xml:space="preserve">BSS </w:t>
        </w:r>
        <w:r>
          <w:rPr>
            <w:rFonts w:cs="Gautami"/>
            <w:noProof/>
          </w:rPr>
          <w:t xml:space="preserve">| </w:t>
        </w:r>
        <w:r w:rsidR="00AF1F9E">
          <w:t xml:space="preserve">Final decision: </w:t>
        </w:r>
        <w:r w:rsidR="006707E1">
          <w:t xml:space="preserve">Directlink </w:t>
        </w:r>
        <w:r w:rsidR="00AF1F9E">
          <w:t xml:space="preserve">transmission </w:t>
        </w:r>
        <w:r>
          <w:rPr>
            <w:rFonts w:cs="Gautami"/>
            <w:noProof/>
          </w:rPr>
          <w:t>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8F45BA" w:rsidRDefault="008F45BA" w:rsidP="008F45BA">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2">
    <w:p w:rsidR="008F45BA" w:rsidRDefault="008F45BA">
      <w:pPr>
        <w:pStyle w:val="FootnoteText"/>
      </w:pPr>
      <w:r>
        <w:rPr>
          <w:rStyle w:val="FootnoteReference"/>
        </w:rPr>
        <w:footnoteRef/>
      </w:r>
      <w:r>
        <w:t xml:space="preserve"> </w:t>
      </w:r>
      <w:r>
        <w:tab/>
        <w:t xml:space="preserve">AER, </w:t>
      </w:r>
      <w:r w:rsidRPr="009754C4">
        <w:rPr>
          <w:rStyle w:val="AERtextitalic"/>
        </w:rPr>
        <w:t xml:space="preserve">Draft decision, Directlink </w:t>
      </w:r>
      <w:r>
        <w:rPr>
          <w:rStyle w:val="AERtextitalic"/>
        </w:rPr>
        <w:t>transmission</w:t>
      </w:r>
      <w:r w:rsidRPr="009754C4">
        <w:rPr>
          <w:rStyle w:val="AERtextitalic"/>
        </w:rPr>
        <w:t xml:space="preserve"> determination</w:t>
      </w:r>
      <w:r>
        <w:rPr>
          <w:rStyle w:val="AERtextitalic"/>
        </w:rPr>
        <w:t>,</w:t>
      </w:r>
      <w:r w:rsidRPr="009754C4">
        <w:t xml:space="preserve"> </w:t>
      </w:r>
      <w:r w:rsidRPr="009754C4">
        <w:rPr>
          <w:rStyle w:val="AERtextitalic"/>
        </w:rPr>
        <w:t>Attachment 9 EBSS</w:t>
      </w:r>
      <w:r>
        <w:t>, November 2014, p. 9-8 to 10.</w:t>
      </w:r>
    </w:p>
  </w:footnote>
  <w:footnote w:id="3">
    <w:p w:rsidR="00EB3F0F" w:rsidRDefault="00EB3F0F" w:rsidP="00EB3F0F">
      <w:pPr>
        <w:pStyle w:val="FootnoteText"/>
      </w:pPr>
      <w:r>
        <w:rPr>
          <w:rStyle w:val="FootnoteReference"/>
        </w:rPr>
        <w:footnoteRef/>
      </w:r>
      <w:r>
        <w:t xml:space="preserve"> </w:t>
      </w:r>
      <w:r>
        <w:tab/>
        <w:t xml:space="preserve">AER, </w:t>
      </w:r>
      <w:r w:rsidRPr="009754C4">
        <w:rPr>
          <w:rStyle w:val="AERtextitalic"/>
        </w:rPr>
        <w:t xml:space="preserve">Draft decision, Directlink </w:t>
      </w:r>
      <w:r>
        <w:rPr>
          <w:rStyle w:val="AERtextitalic"/>
        </w:rPr>
        <w:t>transmission</w:t>
      </w:r>
      <w:r w:rsidRPr="009754C4">
        <w:rPr>
          <w:rStyle w:val="AERtextitalic"/>
        </w:rPr>
        <w:t xml:space="preserve"> determination</w:t>
      </w:r>
      <w:r>
        <w:rPr>
          <w:rStyle w:val="AERtextitalic"/>
        </w:rPr>
        <w:t>,</w:t>
      </w:r>
      <w:r w:rsidRPr="009754C4">
        <w:t xml:space="preserve"> </w:t>
      </w:r>
      <w:r w:rsidRPr="009754C4">
        <w:rPr>
          <w:rStyle w:val="AERtextitalic"/>
        </w:rPr>
        <w:t>Attachment 9 EBSS</w:t>
      </w:r>
      <w:r>
        <w:t>, November 2014, p. 9-8.</w:t>
      </w:r>
    </w:p>
  </w:footnote>
  <w:footnote w:id="4">
    <w:p w:rsidR="00916966" w:rsidRPr="002A4C9A" w:rsidRDefault="00916966" w:rsidP="00916966">
      <w:pPr>
        <w:pStyle w:val="FootnoteText"/>
        <w:rPr>
          <w:rStyle w:val="AERbody"/>
        </w:rPr>
      </w:pPr>
      <w:r>
        <w:rPr>
          <w:rStyle w:val="FootnoteReference"/>
        </w:rPr>
        <w:footnoteRef/>
      </w:r>
      <w:r>
        <w:t xml:space="preserve"> </w:t>
      </w:r>
      <w:r>
        <w:tab/>
        <w:t xml:space="preserve">AER, </w:t>
      </w:r>
      <w:r>
        <w:rPr>
          <w:rStyle w:val="AERtextitalic"/>
        </w:rPr>
        <w:t xml:space="preserve">Explanatory Statement - Efficiency Benefit Sharing Scheme for Electricity Network Service Providers, </w:t>
      </w:r>
      <w:r w:rsidRPr="002A4C9A">
        <w:rPr>
          <w:rStyle w:val="AERtextsize8"/>
        </w:rPr>
        <w:t>November 2013</w:t>
      </w:r>
      <w:r>
        <w:rPr>
          <w:rStyle w:val="AERtextsize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2784418"/>
    <w:multiLevelType w:val="multilevel"/>
    <w:tmpl w:val="950A1C52"/>
    <w:numStyleLink w:val="AERHeadings"/>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BF70C510"/>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3"/>
  </w:num>
  <w:num w:numId="17">
    <w:abstractNumId w:val="9"/>
  </w:num>
  <w:num w:numId="18">
    <w:abstractNumId w:val="16"/>
  </w:num>
  <w:num w:numId="19">
    <w:abstractNumId w:val="24"/>
  </w:num>
  <w:num w:numId="20">
    <w:abstractNumId w:val="31"/>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2"/>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sa6zaA49oi0L0VEW63op6UoFA03GZJ2rloncHOkvJQ=" w:saltValue="81hbAvgDZ0OLeYE/aQSYMQ==" w:algorithmName="SHA-256"/>
  <w:defaultTabStop w:val="34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9 - Efficiency benefit sharing scheme - April 2015.DOCX"/>
  </w:docVars>
  <w:rsids>
    <w:rsidRoot w:val="00961A4A"/>
    <w:rsid w:val="00021202"/>
    <w:rsid w:val="00021A68"/>
    <w:rsid w:val="0002517F"/>
    <w:rsid w:val="0003578C"/>
    <w:rsid w:val="0004442C"/>
    <w:rsid w:val="00063247"/>
    <w:rsid w:val="00070F9F"/>
    <w:rsid w:val="0007137B"/>
    <w:rsid w:val="00082377"/>
    <w:rsid w:val="00085663"/>
    <w:rsid w:val="00085EBF"/>
    <w:rsid w:val="00090216"/>
    <w:rsid w:val="000A3020"/>
    <w:rsid w:val="000A6C7B"/>
    <w:rsid w:val="000D122C"/>
    <w:rsid w:val="000E1819"/>
    <w:rsid w:val="000E4821"/>
    <w:rsid w:val="000E6C72"/>
    <w:rsid w:val="00116EB2"/>
    <w:rsid w:val="00121DAB"/>
    <w:rsid w:val="00124609"/>
    <w:rsid w:val="00126A4C"/>
    <w:rsid w:val="0014573B"/>
    <w:rsid w:val="001573E4"/>
    <w:rsid w:val="00160756"/>
    <w:rsid w:val="0017232E"/>
    <w:rsid w:val="00174102"/>
    <w:rsid w:val="00180157"/>
    <w:rsid w:val="00185CB9"/>
    <w:rsid w:val="00186F77"/>
    <w:rsid w:val="001926A4"/>
    <w:rsid w:val="00192AD5"/>
    <w:rsid w:val="001943D1"/>
    <w:rsid w:val="001B45A0"/>
    <w:rsid w:val="001D055E"/>
    <w:rsid w:val="001F492E"/>
    <w:rsid w:val="001F6DA3"/>
    <w:rsid w:val="002010BC"/>
    <w:rsid w:val="00202E03"/>
    <w:rsid w:val="0020492C"/>
    <w:rsid w:val="00216E9C"/>
    <w:rsid w:val="00224DB9"/>
    <w:rsid w:val="00233775"/>
    <w:rsid w:val="00237A3D"/>
    <w:rsid w:val="00251745"/>
    <w:rsid w:val="002538A9"/>
    <w:rsid w:val="00263AC0"/>
    <w:rsid w:val="00264264"/>
    <w:rsid w:val="0026772D"/>
    <w:rsid w:val="00285FC0"/>
    <w:rsid w:val="00286874"/>
    <w:rsid w:val="00290C63"/>
    <w:rsid w:val="00296B65"/>
    <w:rsid w:val="002A7DEF"/>
    <w:rsid w:val="002E6A08"/>
    <w:rsid w:val="002E7B22"/>
    <w:rsid w:val="002F7986"/>
    <w:rsid w:val="00301B40"/>
    <w:rsid w:val="003029EE"/>
    <w:rsid w:val="00305CC8"/>
    <w:rsid w:val="00307F6D"/>
    <w:rsid w:val="00312C02"/>
    <w:rsid w:val="003177A2"/>
    <w:rsid w:val="003271B5"/>
    <w:rsid w:val="00327A1E"/>
    <w:rsid w:val="00331264"/>
    <w:rsid w:val="00334C8D"/>
    <w:rsid w:val="00343A18"/>
    <w:rsid w:val="003518B3"/>
    <w:rsid w:val="0037630C"/>
    <w:rsid w:val="003846F1"/>
    <w:rsid w:val="003B46AA"/>
    <w:rsid w:val="003B484F"/>
    <w:rsid w:val="003F174D"/>
    <w:rsid w:val="0045777E"/>
    <w:rsid w:val="00480B4B"/>
    <w:rsid w:val="00485DC4"/>
    <w:rsid w:val="0049627F"/>
    <w:rsid w:val="004A43D1"/>
    <w:rsid w:val="004B4412"/>
    <w:rsid w:val="004C348C"/>
    <w:rsid w:val="004D55BA"/>
    <w:rsid w:val="004E22EC"/>
    <w:rsid w:val="0052404B"/>
    <w:rsid w:val="00530128"/>
    <w:rsid w:val="00532467"/>
    <w:rsid w:val="00564A4D"/>
    <w:rsid w:val="00567BA5"/>
    <w:rsid w:val="00571B35"/>
    <w:rsid w:val="00571D57"/>
    <w:rsid w:val="00577A09"/>
    <w:rsid w:val="005829C2"/>
    <w:rsid w:val="00584D8F"/>
    <w:rsid w:val="005A28B5"/>
    <w:rsid w:val="005A404D"/>
    <w:rsid w:val="005B1E3C"/>
    <w:rsid w:val="005C26CC"/>
    <w:rsid w:val="005C5797"/>
    <w:rsid w:val="005D7BA2"/>
    <w:rsid w:val="005E36C2"/>
    <w:rsid w:val="005F61FF"/>
    <w:rsid w:val="0060749E"/>
    <w:rsid w:val="00615C6B"/>
    <w:rsid w:val="00621DCE"/>
    <w:rsid w:val="00632D6D"/>
    <w:rsid w:val="00637FFE"/>
    <w:rsid w:val="00642C3E"/>
    <w:rsid w:val="006567A1"/>
    <w:rsid w:val="0066104A"/>
    <w:rsid w:val="00663DAD"/>
    <w:rsid w:val="006707E1"/>
    <w:rsid w:val="0067138E"/>
    <w:rsid w:val="0067302D"/>
    <w:rsid w:val="00675E20"/>
    <w:rsid w:val="00676679"/>
    <w:rsid w:val="00683C89"/>
    <w:rsid w:val="006B2395"/>
    <w:rsid w:val="006B4CF9"/>
    <w:rsid w:val="006B7AC8"/>
    <w:rsid w:val="006D550F"/>
    <w:rsid w:val="00701CAB"/>
    <w:rsid w:val="00707563"/>
    <w:rsid w:val="00717674"/>
    <w:rsid w:val="0072348C"/>
    <w:rsid w:val="00723B2C"/>
    <w:rsid w:val="00724A37"/>
    <w:rsid w:val="007303C3"/>
    <w:rsid w:val="007429BE"/>
    <w:rsid w:val="00743223"/>
    <w:rsid w:val="00746E01"/>
    <w:rsid w:val="00757BDF"/>
    <w:rsid w:val="00763448"/>
    <w:rsid w:val="00763E5D"/>
    <w:rsid w:val="00767740"/>
    <w:rsid w:val="00777AE0"/>
    <w:rsid w:val="00777EE6"/>
    <w:rsid w:val="00782EEA"/>
    <w:rsid w:val="007B2C72"/>
    <w:rsid w:val="007B49E1"/>
    <w:rsid w:val="007C1C53"/>
    <w:rsid w:val="007C74BB"/>
    <w:rsid w:val="007E4904"/>
    <w:rsid w:val="007E4CB5"/>
    <w:rsid w:val="007F066B"/>
    <w:rsid w:val="008033C4"/>
    <w:rsid w:val="00806C88"/>
    <w:rsid w:val="0081034E"/>
    <w:rsid w:val="008201F1"/>
    <w:rsid w:val="008344F6"/>
    <w:rsid w:val="0083510F"/>
    <w:rsid w:val="0084175F"/>
    <w:rsid w:val="00851209"/>
    <w:rsid w:val="008837AC"/>
    <w:rsid w:val="008A587D"/>
    <w:rsid w:val="008B35CD"/>
    <w:rsid w:val="008B5FCC"/>
    <w:rsid w:val="008C5486"/>
    <w:rsid w:val="008D1661"/>
    <w:rsid w:val="008E7031"/>
    <w:rsid w:val="008E77DE"/>
    <w:rsid w:val="008F07A3"/>
    <w:rsid w:val="008F45BA"/>
    <w:rsid w:val="00900E1B"/>
    <w:rsid w:val="009012C3"/>
    <w:rsid w:val="0090747B"/>
    <w:rsid w:val="00916966"/>
    <w:rsid w:val="009233EE"/>
    <w:rsid w:val="00945E4A"/>
    <w:rsid w:val="009460AA"/>
    <w:rsid w:val="00951978"/>
    <w:rsid w:val="00961A4A"/>
    <w:rsid w:val="009661DE"/>
    <w:rsid w:val="009754C4"/>
    <w:rsid w:val="00976328"/>
    <w:rsid w:val="00983C25"/>
    <w:rsid w:val="009856B7"/>
    <w:rsid w:val="00985C86"/>
    <w:rsid w:val="00994B92"/>
    <w:rsid w:val="009A50E1"/>
    <w:rsid w:val="009A5FC3"/>
    <w:rsid w:val="009B74B0"/>
    <w:rsid w:val="009D6B46"/>
    <w:rsid w:val="009F4940"/>
    <w:rsid w:val="009F5BA1"/>
    <w:rsid w:val="00A02A88"/>
    <w:rsid w:val="00A0562E"/>
    <w:rsid w:val="00A0726D"/>
    <w:rsid w:val="00A32FBB"/>
    <w:rsid w:val="00A428EE"/>
    <w:rsid w:val="00A4478A"/>
    <w:rsid w:val="00A44852"/>
    <w:rsid w:val="00A57D04"/>
    <w:rsid w:val="00A60A26"/>
    <w:rsid w:val="00A61598"/>
    <w:rsid w:val="00A779F1"/>
    <w:rsid w:val="00A84A99"/>
    <w:rsid w:val="00A84F46"/>
    <w:rsid w:val="00A871F4"/>
    <w:rsid w:val="00AC1B2C"/>
    <w:rsid w:val="00AC3264"/>
    <w:rsid w:val="00AE1BF1"/>
    <w:rsid w:val="00AF0DD2"/>
    <w:rsid w:val="00AF1F9E"/>
    <w:rsid w:val="00B13048"/>
    <w:rsid w:val="00B1716D"/>
    <w:rsid w:val="00B17A1D"/>
    <w:rsid w:val="00B207A0"/>
    <w:rsid w:val="00B514DD"/>
    <w:rsid w:val="00B52AF0"/>
    <w:rsid w:val="00B561BD"/>
    <w:rsid w:val="00B56E03"/>
    <w:rsid w:val="00B755AA"/>
    <w:rsid w:val="00B8080B"/>
    <w:rsid w:val="00B87BA5"/>
    <w:rsid w:val="00B87C39"/>
    <w:rsid w:val="00B9110D"/>
    <w:rsid w:val="00BA4665"/>
    <w:rsid w:val="00BB2FB2"/>
    <w:rsid w:val="00BB3304"/>
    <w:rsid w:val="00BD3446"/>
    <w:rsid w:val="00BE1F1B"/>
    <w:rsid w:val="00BE47B5"/>
    <w:rsid w:val="00C12416"/>
    <w:rsid w:val="00C25FA6"/>
    <w:rsid w:val="00C538A9"/>
    <w:rsid w:val="00C53B5A"/>
    <w:rsid w:val="00C54F5A"/>
    <w:rsid w:val="00C569B4"/>
    <w:rsid w:val="00C67A92"/>
    <w:rsid w:val="00C73818"/>
    <w:rsid w:val="00C86679"/>
    <w:rsid w:val="00CA489E"/>
    <w:rsid w:val="00CB0279"/>
    <w:rsid w:val="00CB666B"/>
    <w:rsid w:val="00CC7F1D"/>
    <w:rsid w:val="00CE1FA9"/>
    <w:rsid w:val="00CF7FCD"/>
    <w:rsid w:val="00D006AE"/>
    <w:rsid w:val="00D01CF0"/>
    <w:rsid w:val="00D0442A"/>
    <w:rsid w:val="00D0577F"/>
    <w:rsid w:val="00D11EEB"/>
    <w:rsid w:val="00D25574"/>
    <w:rsid w:val="00D61388"/>
    <w:rsid w:val="00D61A54"/>
    <w:rsid w:val="00D64DEA"/>
    <w:rsid w:val="00D7168E"/>
    <w:rsid w:val="00D71E57"/>
    <w:rsid w:val="00D80893"/>
    <w:rsid w:val="00D84854"/>
    <w:rsid w:val="00D85AA3"/>
    <w:rsid w:val="00D92CF1"/>
    <w:rsid w:val="00D92D38"/>
    <w:rsid w:val="00D950F5"/>
    <w:rsid w:val="00DA4752"/>
    <w:rsid w:val="00DA61F3"/>
    <w:rsid w:val="00DB0F93"/>
    <w:rsid w:val="00DB1A67"/>
    <w:rsid w:val="00DB5074"/>
    <w:rsid w:val="00DC7981"/>
    <w:rsid w:val="00DD5364"/>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B3F0F"/>
    <w:rsid w:val="00EC51AE"/>
    <w:rsid w:val="00EC5AAE"/>
    <w:rsid w:val="00ED7323"/>
    <w:rsid w:val="00EE28F3"/>
    <w:rsid w:val="00EE671D"/>
    <w:rsid w:val="00EF5110"/>
    <w:rsid w:val="00F10411"/>
    <w:rsid w:val="00F15882"/>
    <w:rsid w:val="00F171E0"/>
    <w:rsid w:val="00F20BD3"/>
    <w:rsid w:val="00F373A5"/>
    <w:rsid w:val="00F474F4"/>
    <w:rsid w:val="00F47559"/>
    <w:rsid w:val="00F64C7B"/>
    <w:rsid w:val="00F676DD"/>
    <w:rsid w:val="00F75A26"/>
    <w:rsid w:val="00F76706"/>
    <w:rsid w:val="00F80077"/>
    <w:rsid w:val="00F83FAD"/>
    <w:rsid w:val="00F952A0"/>
    <w:rsid w:val="00FA22F2"/>
    <w:rsid w:val="00FA3C7F"/>
    <w:rsid w:val="00FB74E2"/>
    <w:rsid w:val="00FC10C4"/>
    <w:rsid w:val="00FD5614"/>
    <w:rsid w:val="00FE0BE1"/>
    <w:rsid w:val="00FE1DE9"/>
    <w:rsid w:val="00FE36AF"/>
    <w:rsid w:val="00FE39C2"/>
    <w:rsid w:val="00FE3C32"/>
    <w:rsid w:val="00FE64AE"/>
    <w:rsid w:val="00FE6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7144BC0C</Template>
  <TotalTime>0</TotalTime>
  <Pages>8</Pages>
  <Words>1128</Words>
  <Characters>6435</Characters>
  <Application>Microsoft Office Word</Application>
  <DocSecurity>4</DocSecurity>
  <Lines>53</Lines>
  <Paragraphs>15</Paragraphs>
  <ScaleCrop>false</ScaleCrop>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2015-04-27T04:13:00Z</dcterms:created>
  <dcterms:modified xsi:type="dcterms:W3CDTF">2015-04-27T04:13:00Z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