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B230275" wp14:editId="3922342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777AE0">
            <w:t>6</w:t>
          </w:r>
          <w:r>
            <w:t xml:space="preserve"> </w:t>
          </w:r>
          <w:r>
            <w:rPr>
              <w:rFonts w:cs="Arial"/>
            </w:rPr>
            <w:t>−</w:t>
          </w:r>
          <w:r>
            <w:t xml:space="preserve"> </w:t>
          </w:r>
          <w:r w:rsidR="00777AE0">
            <w:t>Capital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A7A43" w:rsidRDefault="000A6C7B" w:rsidP="009A7A43">
      <w:pPr>
        <w:pStyle w:val="AERbulletlistfirststyle"/>
        <w:ind w:left="357" w:hanging="357"/>
        <w:rPr>
          <w:sz w:val="20"/>
          <w:szCs w:val="20"/>
        </w:rPr>
      </w:pPr>
      <w:r w:rsidRPr="009A7A43">
        <w:rPr>
          <w:sz w:val="20"/>
          <w:szCs w:val="20"/>
        </w:rPr>
        <w:t>the 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742814"/>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D76C60">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4281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1281F" w:rsidRDefault="009A7A43">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742814" w:history="1">
            <w:r w:rsidR="0011281F" w:rsidRPr="00AD2233">
              <w:rPr>
                <w:rStyle w:val="Hyperlink"/>
              </w:rPr>
              <w:t>Note</w:t>
            </w:r>
            <w:r w:rsidR="0011281F">
              <w:rPr>
                <w:webHidden/>
              </w:rPr>
              <w:tab/>
            </w:r>
            <w:r w:rsidR="0011281F">
              <w:rPr>
                <w:webHidden/>
              </w:rPr>
              <w:fldChar w:fldCharType="begin"/>
            </w:r>
            <w:r w:rsidR="0011281F">
              <w:rPr>
                <w:webHidden/>
              </w:rPr>
              <w:instrText xml:space="preserve"> PAGEREF _Toc417742814 \h </w:instrText>
            </w:r>
            <w:r w:rsidR="0011281F">
              <w:rPr>
                <w:webHidden/>
              </w:rPr>
            </w:r>
            <w:r w:rsidR="0011281F">
              <w:rPr>
                <w:webHidden/>
              </w:rPr>
              <w:fldChar w:fldCharType="separate"/>
            </w:r>
            <w:r w:rsidR="0011281F">
              <w:rPr>
                <w:webHidden/>
              </w:rPr>
              <w:t>6-2</w:t>
            </w:r>
            <w:r w:rsidR="0011281F">
              <w:rPr>
                <w:webHidden/>
              </w:rPr>
              <w:fldChar w:fldCharType="end"/>
            </w:r>
          </w:hyperlink>
        </w:p>
        <w:p w:rsidR="0011281F" w:rsidRDefault="00611B75">
          <w:pPr>
            <w:pStyle w:val="TOC1"/>
            <w:rPr>
              <w:rFonts w:asciiTheme="minorHAnsi" w:eastAsiaTheme="minorEastAsia" w:hAnsiTheme="minorHAnsi"/>
              <w:b w:val="0"/>
              <w:color w:val="auto"/>
              <w:sz w:val="22"/>
              <w:lang w:val="en-AU" w:eastAsia="en-AU"/>
            </w:rPr>
          </w:pPr>
          <w:hyperlink w:anchor="_Toc417742815" w:history="1">
            <w:r w:rsidR="0011281F" w:rsidRPr="00AD2233">
              <w:rPr>
                <w:rStyle w:val="Hyperlink"/>
              </w:rPr>
              <w:t>Contents</w:t>
            </w:r>
            <w:r w:rsidR="0011281F">
              <w:rPr>
                <w:webHidden/>
              </w:rPr>
              <w:tab/>
            </w:r>
            <w:r w:rsidR="0011281F">
              <w:rPr>
                <w:webHidden/>
              </w:rPr>
              <w:fldChar w:fldCharType="begin"/>
            </w:r>
            <w:r w:rsidR="0011281F">
              <w:rPr>
                <w:webHidden/>
              </w:rPr>
              <w:instrText xml:space="preserve"> PAGEREF _Toc417742815 \h </w:instrText>
            </w:r>
            <w:r w:rsidR="0011281F">
              <w:rPr>
                <w:webHidden/>
              </w:rPr>
            </w:r>
            <w:r w:rsidR="0011281F">
              <w:rPr>
                <w:webHidden/>
              </w:rPr>
              <w:fldChar w:fldCharType="separate"/>
            </w:r>
            <w:r w:rsidR="0011281F">
              <w:rPr>
                <w:webHidden/>
              </w:rPr>
              <w:t>6-3</w:t>
            </w:r>
            <w:r w:rsidR="0011281F">
              <w:rPr>
                <w:webHidden/>
              </w:rPr>
              <w:fldChar w:fldCharType="end"/>
            </w:r>
          </w:hyperlink>
        </w:p>
        <w:p w:rsidR="0011281F" w:rsidRDefault="00611B75">
          <w:pPr>
            <w:pStyle w:val="TOC1"/>
            <w:rPr>
              <w:rFonts w:asciiTheme="minorHAnsi" w:eastAsiaTheme="minorEastAsia" w:hAnsiTheme="minorHAnsi"/>
              <w:b w:val="0"/>
              <w:color w:val="auto"/>
              <w:sz w:val="22"/>
              <w:lang w:val="en-AU" w:eastAsia="en-AU"/>
            </w:rPr>
          </w:pPr>
          <w:hyperlink w:anchor="_Toc417742816" w:history="1">
            <w:r w:rsidR="0011281F" w:rsidRPr="00AD2233">
              <w:rPr>
                <w:rStyle w:val="Hyperlink"/>
              </w:rPr>
              <w:t>Shortened forms</w:t>
            </w:r>
            <w:r w:rsidR="0011281F">
              <w:rPr>
                <w:webHidden/>
              </w:rPr>
              <w:tab/>
            </w:r>
            <w:r w:rsidR="0011281F">
              <w:rPr>
                <w:webHidden/>
              </w:rPr>
              <w:fldChar w:fldCharType="begin"/>
            </w:r>
            <w:r w:rsidR="0011281F">
              <w:rPr>
                <w:webHidden/>
              </w:rPr>
              <w:instrText xml:space="preserve"> PAGEREF _Toc417742816 \h </w:instrText>
            </w:r>
            <w:r w:rsidR="0011281F">
              <w:rPr>
                <w:webHidden/>
              </w:rPr>
            </w:r>
            <w:r w:rsidR="0011281F">
              <w:rPr>
                <w:webHidden/>
              </w:rPr>
              <w:fldChar w:fldCharType="separate"/>
            </w:r>
            <w:r w:rsidR="0011281F">
              <w:rPr>
                <w:webHidden/>
              </w:rPr>
              <w:t>6-4</w:t>
            </w:r>
            <w:r w:rsidR="0011281F">
              <w:rPr>
                <w:webHidden/>
              </w:rPr>
              <w:fldChar w:fldCharType="end"/>
            </w:r>
          </w:hyperlink>
        </w:p>
        <w:p w:rsidR="0011281F" w:rsidRDefault="00611B75">
          <w:pPr>
            <w:pStyle w:val="TOC1"/>
            <w:rPr>
              <w:rFonts w:asciiTheme="minorHAnsi" w:eastAsiaTheme="minorEastAsia" w:hAnsiTheme="minorHAnsi"/>
              <w:b w:val="0"/>
              <w:color w:val="auto"/>
              <w:sz w:val="22"/>
              <w:lang w:val="en-AU" w:eastAsia="en-AU"/>
            </w:rPr>
          </w:pPr>
          <w:hyperlink w:anchor="_Toc417742817" w:history="1">
            <w:r w:rsidR="0011281F" w:rsidRPr="00AD2233">
              <w:rPr>
                <w:rStyle w:val="Hyperlink"/>
              </w:rPr>
              <w:t>6</w:t>
            </w:r>
            <w:r w:rsidR="0011281F">
              <w:rPr>
                <w:rFonts w:asciiTheme="minorHAnsi" w:eastAsiaTheme="minorEastAsia" w:hAnsiTheme="minorHAnsi"/>
                <w:b w:val="0"/>
                <w:color w:val="auto"/>
                <w:sz w:val="22"/>
                <w:lang w:val="en-AU" w:eastAsia="en-AU"/>
              </w:rPr>
              <w:tab/>
            </w:r>
            <w:r w:rsidR="0011281F" w:rsidRPr="00AD2233">
              <w:rPr>
                <w:rStyle w:val="Hyperlink"/>
              </w:rPr>
              <w:t>Capital expenditure</w:t>
            </w:r>
            <w:r w:rsidR="0011281F">
              <w:rPr>
                <w:webHidden/>
              </w:rPr>
              <w:tab/>
            </w:r>
            <w:r w:rsidR="0011281F">
              <w:rPr>
                <w:webHidden/>
              </w:rPr>
              <w:fldChar w:fldCharType="begin"/>
            </w:r>
            <w:r w:rsidR="0011281F">
              <w:rPr>
                <w:webHidden/>
              </w:rPr>
              <w:instrText xml:space="preserve"> PAGEREF _Toc417742817 \h </w:instrText>
            </w:r>
            <w:r w:rsidR="0011281F">
              <w:rPr>
                <w:webHidden/>
              </w:rPr>
            </w:r>
            <w:r w:rsidR="0011281F">
              <w:rPr>
                <w:webHidden/>
              </w:rPr>
              <w:fldChar w:fldCharType="separate"/>
            </w:r>
            <w:r w:rsidR="0011281F">
              <w:rPr>
                <w:webHidden/>
              </w:rPr>
              <w:t>6-6</w:t>
            </w:r>
            <w:r w:rsidR="0011281F">
              <w:rPr>
                <w:webHidden/>
              </w:rPr>
              <w:fldChar w:fldCharType="end"/>
            </w:r>
          </w:hyperlink>
        </w:p>
        <w:p w:rsidR="0011281F" w:rsidRDefault="00611B75">
          <w:pPr>
            <w:pStyle w:val="TOC2"/>
            <w:rPr>
              <w:rFonts w:asciiTheme="minorHAnsi" w:eastAsiaTheme="minorEastAsia" w:hAnsiTheme="minorHAnsi"/>
              <w:b w:val="0"/>
              <w:color w:val="auto"/>
              <w:sz w:val="22"/>
              <w:lang w:eastAsia="en-AU"/>
            </w:rPr>
          </w:pPr>
          <w:hyperlink w:anchor="_Toc417742818" w:history="1">
            <w:r w:rsidR="0011281F" w:rsidRPr="00AD2233">
              <w:rPr>
                <w:rStyle w:val="Hyperlink"/>
              </w:rPr>
              <w:t>6.1</w:t>
            </w:r>
            <w:r w:rsidR="0011281F">
              <w:rPr>
                <w:rFonts w:asciiTheme="minorHAnsi" w:eastAsiaTheme="minorEastAsia" w:hAnsiTheme="minorHAnsi"/>
                <w:b w:val="0"/>
                <w:color w:val="auto"/>
                <w:sz w:val="22"/>
                <w:lang w:eastAsia="en-AU"/>
              </w:rPr>
              <w:tab/>
            </w:r>
            <w:r w:rsidR="0011281F" w:rsidRPr="00AD2233">
              <w:rPr>
                <w:rStyle w:val="Hyperlink"/>
              </w:rPr>
              <w:t>Final decision</w:t>
            </w:r>
            <w:r w:rsidR="0011281F">
              <w:rPr>
                <w:webHidden/>
              </w:rPr>
              <w:tab/>
            </w:r>
            <w:r w:rsidR="0011281F">
              <w:rPr>
                <w:webHidden/>
              </w:rPr>
              <w:fldChar w:fldCharType="begin"/>
            </w:r>
            <w:r w:rsidR="0011281F">
              <w:rPr>
                <w:webHidden/>
              </w:rPr>
              <w:instrText xml:space="preserve"> PAGEREF _Toc417742818 \h </w:instrText>
            </w:r>
            <w:r w:rsidR="0011281F">
              <w:rPr>
                <w:webHidden/>
              </w:rPr>
            </w:r>
            <w:r w:rsidR="0011281F">
              <w:rPr>
                <w:webHidden/>
              </w:rPr>
              <w:fldChar w:fldCharType="separate"/>
            </w:r>
            <w:r w:rsidR="0011281F">
              <w:rPr>
                <w:webHidden/>
              </w:rPr>
              <w:t>6-6</w:t>
            </w:r>
            <w:r w:rsidR="0011281F">
              <w:rPr>
                <w:webHidden/>
              </w:rPr>
              <w:fldChar w:fldCharType="end"/>
            </w:r>
          </w:hyperlink>
        </w:p>
        <w:p w:rsidR="0011281F" w:rsidRDefault="00611B75">
          <w:pPr>
            <w:pStyle w:val="TOC2"/>
            <w:rPr>
              <w:rFonts w:asciiTheme="minorHAnsi" w:eastAsiaTheme="minorEastAsia" w:hAnsiTheme="minorHAnsi"/>
              <w:b w:val="0"/>
              <w:color w:val="auto"/>
              <w:sz w:val="22"/>
              <w:lang w:eastAsia="en-AU"/>
            </w:rPr>
          </w:pPr>
          <w:hyperlink w:anchor="_Toc417742819" w:history="1">
            <w:r w:rsidR="0011281F" w:rsidRPr="00AD2233">
              <w:rPr>
                <w:rStyle w:val="Hyperlink"/>
              </w:rPr>
              <w:t>6.2</w:t>
            </w:r>
            <w:r w:rsidR="0011281F">
              <w:rPr>
                <w:rFonts w:asciiTheme="minorHAnsi" w:eastAsiaTheme="minorEastAsia" w:hAnsiTheme="minorHAnsi"/>
                <w:b w:val="0"/>
                <w:color w:val="auto"/>
                <w:sz w:val="22"/>
                <w:lang w:eastAsia="en-AU"/>
              </w:rPr>
              <w:tab/>
            </w:r>
            <w:r w:rsidR="0011281F" w:rsidRPr="00AD2233">
              <w:rPr>
                <w:rStyle w:val="Hyperlink"/>
              </w:rPr>
              <w:t>Directlink’s revised proposal</w:t>
            </w:r>
            <w:r w:rsidR="0011281F">
              <w:rPr>
                <w:webHidden/>
              </w:rPr>
              <w:tab/>
            </w:r>
            <w:r w:rsidR="0011281F">
              <w:rPr>
                <w:webHidden/>
              </w:rPr>
              <w:fldChar w:fldCharType="begin"/>
            </w:r>
            <w:r w:rsidR="0011281F">
              <w:rPr>
                <w:webHidden/>
              </w:rPr>
              <w:instrText xml:space="preserve"> PAGEREF _Toc417742819 \h </w:instrText>
            </w:r>
            <w:r w:rsidR="0011281F">
              <w:rPr>
                <w:webHidden/>
              </w:rPr>
            </w:r>
            <w:r w:rsidR="0011281F">
              <w:rPr>
                <w:webHidden/>
              </w:rPr>
              <w:fldChar w:fldCharType="separate"/>
            </w:r>
            <w:r w:rsidR="0011281F">
              <w:rPr>
                <w:webHidden/>
              </w:rPr>
              <w:t>6-7</w:t>
            </w:r>
            <w:r w:rsidR="0011281F">
              <w:rPr>
                <w:webHidden/>
              </w:rPr>
              <w:fldChar w:fldCharType="end"/>
            </w:r>
          </w:hyperlink>
        </w:p>
        <w:p w:rsidR="0011281F" w:rsidRDefault="00611B75">
          <w:pPr>
            <w:pStyle w:val="TOC2"/>
            <w:rPr>
              <w:rFonts w:asciiTheme="minorHAnsi" w:eastAsiaTheme="minorEastAsia" w:hAnsiTheme="minorHAnsi"/>
              <w:b w:val="0"/>
              <w:color w:val="auto"/>
              <w:sz w:val="22"/>
              <w:lang w:eastAsia="en-AU"/>
            </w:rPr>
          </w:pPr>
          <w:hyperlink w:anchor="_Toc417742820" w:history="1">
            <w:r w:rsidR="0011281F" w:rsidRPr="00AD2233">
              <w:rPr>
                <w:rStyle w:val="Hyperlink"/>
              </w:rPr>
              <w:t>6.3</w:t>
            </w:r>
            <w:r w:rsidR="0011281F">
              <w:rPr>
                <w:rFonts w:asciiTheme="minorHAnsi" w:eastAsiaTheme="minorEastAsia" w:hAnsiTheme="minorHAnsi"/>
                <w:b w:val="0"/>
                <w:color w:val="auto"/>
                <w:sz w:val="22"/>
                <w:lang w:eastAsia="en-AU"/>
              </w:rPr>
              <w:tab/>
            </w:r>
            <w:r w:rsidR="0011281F" w:rsidRPr="00AD2233">
              <w:rPr>
                <w:rStyle w:val="Hyperlink"/>
              </w:rPr>
              <w:t>AER’s assessment approach</w:t>
            </w:r>
            <w:r w:rsidR="0011281F">
              <w:rPr>
                <w:webHidden/>
              </w:rPr>
              <w:tab/>
            </w:r>
            <w:r w:rsidR="0011281F">
              <w:rPr>
                <w:webHidden/>
              </w:rPr>
              <w:fldChar w:fldCharType="begin"/>
            </w:r>
            <w:r w:rsidR="0011281F">
              <w:rPr>
                <w:webHidden/>
              </w:rPr>
              <w:instrText xml:space="preserve"> PAGEREF _Toc417742820 \h </w:instrText>
            </w:r>
            <w:r w:rsidR="0011281F">
              <w:rPr>
                <w:webHidden/>
              </w:rPr>
            </w:r>
            <w:r w:rsidR="0011281F">
              <w:rPr>
                <w:webHidden/>
              </w:rPr>
              <w:fldChar w:fldCharType="separate"/>
            </w:r>
            <w:r w:rsidR="0011281F">
              <w:rPr>
                <w:webHidden/>
              </w:rPr>
              <w:t>6-9</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1" w:history="1">
            <w:r w:rsidR="0011281F" w:rsidRPr="00AD2233">
              <w:rPr>
                <w:rStyle w:val="Hyperlink"/>
              </w:rPr>
              <w:t>6.3.1</w:t>
            </w:r>
            <w:r w:rsidR="0011281F">
              <w:rPr>
                <w:rFonts w:asciiTheme="minorHAnsi" w:eastAsiaTheme="minorEastAsia" w:hAnsiTheme="minorHAnsi"/>
                <w:lang w:eastAsia="en-AU"/>
              </w:rPr>
              <w:tab/>
            </w:r>
            <w:r w:rsidR="0011281F" w:rsidRPr="00AD2233">
              <w:rPr>
                <w:rStyle w:val="Hyperlink"/>
              </w:rPr>
              <w:t>The Expenditure Forecast Assessment Guideline</w:t>
            </w:r>
            <w:r w:rsidR="0011281F">
              <w:rPr>
                <w:webHidden/>
              </w:rPr>
              <w:tab/>
            </w:r>
            <w:r w:rsidR="0011281F">
              <w:rPr>
                <w:webHidden/>
              </w:rPr>
              <w:fldChar w:fldCharType="begin"/>
            </w:r>
            <w:r w:rsidR="0011281F">
              <w:rPr>
                <w:webHidden/>
              </w:rPr>
              <w:instrText xml:space="preserve"> PAGEREF _Toc417742821 \h </w:instrText>
            </w:r>
            <w:r w:rsidR="0011281F">
              <w:rPr>
                <w:webHidden/>
              </w:rPr>
            </w:r>
            <w:r w:rsidR="0011281F">
              <w:rPr>
                <w:webHidden/>
              </w:rPr>
              <w:fldChar w:fldCharType="separate"/>
            </w:r>
            <w:r w:rsidR="0011281F">
              <w:rPr>
                <w:webHidden/>
              </w:rPr>
              <w:t>6-11</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2" w:history="1">
            <w:r w:rsidR="0011281F" w:rsidRPr="00AD2233">
              <w:rPr>
                <w:rStyle w:val="Hyperlink"/>
              </w:rPr>
              <w:t>6.3.2</w:t>
            </w:r>
            <w:r w:rsidR="0011281F">
              <w:rPr>
                <w:rFonts w:asciiTheme="minorHAnsi" w:eastAsiaTheme="minorEastAsia" w:hAnsiTheme="minorHAnsi"/>
                <w:lang w:eastAsia="en-AU"/>
              </w:rPr>
              <w:tab/>
            </w:r>
            <w:r w:rsidR="0011281F" w:rsidRPr="00AD2233">
              <w:rPr>
                <w:rStyle w:val="Hyperlink"/>
              </w:rPr>
              <w:t>Building an alternative estimate of total forecast capex</w:t>
            </w:r>
            <w:r w:rsidR="0011281F">
              <w:rPr>
                <w:webHidden/>
              </w:rPr>
              <w:tab/>
            </w:r>
            <w:r w:rsidR="0011281F">
              <w:rPr>
                <w:webHidden/>
              </w:rPr>
              <w:fldChar w:fldCharType="begin"/>
            </w:r>
            <w:r w:rsidR="0011281F">
              <w:rPr>
                <w:webHidden/>
              </w:rPr>
              <w:instrText xml:space="preserve"> PAGEREF _Toc417742822 \h </w:instrText>
            </w:r>
            <w:r w:rsidR="0011281F">
              <w:rPr>
                <w:webHidden/>
              </w:rPr>
            </w:r>
            <w:r w:rsidR="0011281F">
              <w:rPr>
                <w:webHidden/>
              </w:rPr>
              <w:fldChar w:fldCharType="separate"/>
            </w:r>
            <w:r w:rsidR="0011281F">
              <w:rPr>
                <w:webHidden/>
              </w:rPr>
              <w:t>6-11</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3" w:history="1">
            <w:r w:rsidR="0011281F" w:rsidRPr="00AD2233">
              <w:rPr>
                <w:rStyle w:val="Hyperlink"/>
              </w:rPr>
              <w:t>6.3.3</w:t>
            </w:r>
            <w:r w:rsidR="0011281F">
              <w:rPr>
                <w:rFonts w:asciiTheme="minorHAnsi" w:eastAsiaTheme="minorEastAsia" w:hAnsiTheme="minorHAnsi"/>
                <w:lang w:eastAsia="en-AU"/>
              </w:rPr>
              <w:tab/>
            </w:r>
            <w:r w:rsidR="0011281F" w:rsidRPr="00AD2233">
              <w:rPr>
                <w:rStyle w:val="Hyperlink"/>
              </w:rPr>
              <w:t>Comparing the service provider's proposal with our estimate</w:t>
            </w:r>
            <w:r w:rsidR="0011281F">
              <w:rPr>
                <w:webHidden/>
              </w:rPr>
              <w:tab/>
            </w:r>
            <w:r w:rsidR="0011281F">
              <w:rPr>
                <w:webHidden/>
              </w:rPr>
              <w:fldChar w:fldCharType="begin"/>
            </w:r>
            <w:r w:rsidR="0011281F">
              <w:rPr>
                <w:webHidden/>
              </w:rPr>
              <w:instrText xml:space="preserve"> PAGEREF _Toc417742823 \h </w:instrText>
            </w:r>
            <w:r w:rsidR="0011281F">
              <w:rPr>
                <w:webHidden/>
              </w:rPr>
            </w:r>
            <w:r w:rsidR="0011281F">
              <w:rPr>
                <w:webHidden/>
              </w:rPr>
              <w:fldChar w:fldCharType="separate"/>
            </w:r>
            <w:r w:rsidR="0011281F">
              <w:rPr>
                <w:webHidden/>
              </w:rPr>
              <w:t>6-13</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4" w:history="1">
            <w:r w:rsidR="0011281F" w:rsidRPr="00AD2233">
              <w:rPr>
                <w:rStyle w:val="Hyperlink"/>
              </w:rPr>
              <w:t>6.3.4</w:t>
            </w:r>
            <w:r w:rsidR="0011281F">
              <w:rPr>
                <w:rFonts w:asciiTheme="minorHAnsi" w:eastAsiaTheme="minorEastAsia" w:hAnsiTheme="minorHAnsi"/>
                <w:lang w:eastAsia="en-AU"/>
              </w:rPr>
              <w:tab/>
            </w:r>
            <w:r w:rsidR="0011281F" w:rsidRPr="00AD2233">
              <w:rPr>
                <w:rStyle w:val="Hyperlink"/>
              </w:rPr>
              <w:t>Interrelationships</w:t>
            </w:r>
            <w:r w:rsidR="0011281F">
              <w:rPr>
                <w:webHidden/>
              </w:rPr>
              <w:tab/>
            </w:r>
            <w:r w:rsidR="0011281F">
              <w:rPr>
                <w:webHidden/>
              </w:rPr>
              <w:fldChar w:fldCharType="begin"/>
            </w:r>
            <w:r w:rsidR="0011281F">
              <w:rPr>
                <w:webHidden/>
              </w:rPr>
              <w:instrText xml:space="preserve"> PAGEREF _Toc417742824 \h </w:instrText>
            </w:r>
            <w:r w:rsidR="0011281F">
              <w:rPr>
                <w:webHidden/>
              </w:rPr>
            </w:r>
            <w:r w:rsidR="0011281F">
              <w:rPr>
                <w:webHidden/>
              </w:rPr>
              <w:fldChar w:fldCharType="separate"/>
            </w:r>
            <w:r w:rsidR="0011281F">
              <w:rPr>
                <w:webHidden/>
              </w:rPr>
              <w:t>6-14</w:t>
            </w:r>
            <w:r w:rsidR="0011281F">
              <w:rPr>
                <w:webHidden/>
              </w:rPr>
              <w:fldChar w:fldCharType="end"/>
            </w:r>
          </w:hyperlink>
        </w:p>
        <w:p w:rsidR="0011281F" w:rsidRDefault="00611B75">
          <w:pPr>
            <w:pStyle w:val="TOC2"/>
            <w:rPr>
              <w:rFonts w:asciiTheme="minorHAnsi" w:eastAsiaTheme="minorEastAsia" w:hAnsiTheme="minorHAnsi"/>
              <w:b w:val="0"/>
              <w:color w:val="auto"/>
              <w:sz w:val="22"/>
              <w:lang w:eastAsia="en-AU"/>
            </w:rPr>
          </w:pPr>
          <w:hyperlink w:anchor="_Toc417742825" w:history="1">
            <w:r w:rsidR="0011281F" w:rsidRPr="00AD2233">
              <w:rPr>
                <w:rStyle w:val="Hyperlink"/>
              </w:rPr>
              <w:t>6.4</w:t>
            </w:r>
            <w:r w:rsidR="0011281F">
              <w:rPr>
                <w:rFonts w:asciiTheme="minorHAnsi" w:eastAsiaTheme="minorEastAsia" w:hAnsiTheme="minorHAnsi"/>
                <w:b w:val="0"/>
                <w:color w:val="auto"/>
                <w:sz w:val="22"/>
                <w:lang w:eastAsia="en-AU"/>
              </w:rPr>
              <w:tab/>
            </w:r>
            <w:r w:rsidR="0011281F" w:rsidRPr="00AD2233">
              <w:rPr>
                <w:rStyle w:val="Hyperlink"/>
              </w:rPr>
              <w:t>Reasons for final decision</w:t>
            </w:r>
            <w:r w:rsidR="0011281F">
              <w:rPr>
                <w:webHidden/>
              </w:rPr>
              <w:tab/>
            </w:r>
            <w:r w:rsidR="0011281F">
              <w:rPr>
                <w:webHidden/>
              </w:rPr>
              <w:fldChar w:fldCharType="begin"/>
            </w:r>
            <w:r w:rsidR="0011281F">
              <w:rPr>
                <w:webHidden/>
              </w:rPr>
              <w:instrText xml:space="preserve"> PAGEREF _Toc417742825 \h </w:instrText>
            </w:r>
            <w:r w:rsidR="0011281F">
              <w:rPr>
                <w:webHidden/>
              </w:rPr>
            </w:r>
            <w:r w:rsidR="0011281F">
              <w:rPr>
                <w:webHidden/>
              </w:rPr>
              <w:fldChar w:fldCharType="separate"/>
            </w:r>
            <w:r w:rsidR="0011281F">
              <w:rPr>
                <w:webHidden/>
              </w:rPr>
              <w:t>6-14</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6" w:history="1">
            <w:r w:rsidR="0011281F" w:rsidRPr="00AD2233">
              <w:rPr>
                <w:rStyle w:val="Hyperlink"/>
              </w:rPr>
              <w:t>6.4.1</w:t>
            </w:r>
            <w:r w:rsidR="0011281F">
              <w:rPr>
                <w:rFonts w:asciiTheme="minorHAnsi" w:eastAsiaTheme="minorEastAsia" w:hAnsiTheme="minorHAnsi"/>
                <w:lang w:eastAsia="en-AU"/>
              </w:rPr>
              <w:tab/>
            </w:r>
            <w:r w:rsidR="0011281F" w:rsidRPr="00AD2233">
              <w:rPr>
                <w:rStyle w:val="Hyperlink"/>
              </w:rPr>
              <w:t>Assessment of revised proposed capital expenditure</w:t>
            </w:r>
            <w:r w:rsidR="0011281F">
              <w:rPr>
                <w:webHidden/>
              </w:rPr>
              <w:tab/>
            </w:r>
            <w:r w:rsidR="0011281F">
              <w:rPr>
                <w:webHidden/>
              </w:rPr>
              <w:fldChar w:fldCharType="begin"/>
            </w:r>
            <w:r w:rsidR="0011281F">
              <w:rPr>
                <w:webHidden/>
              </w:rPr>
              <w:instrText xml:space="preserve"> PAGEREF _Toc417742826 \h </w:instrText>
            </w:r>
            <w:r w:rsidR="0011281F">
              <w:rPr>
                <w:webHidden/>
              </w:rPr>
            </w:r>
            <w:r w:rsidR="0011281F">
              <w:rPr>
                <w:webHidden/>
              </w:rPr>
              <w:fldChar w:fldCharType="separate"/>
            </w:r>
            <w:r w:rsidR="0011281F">
              <w:rPr>
                <w:webHidden/>
              </w:rPr>
              <w:t>6-15</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7" w:history="1">
            <w:r w:rsidR="0011281F" w:rsidRPr="00AD2233">
              <w:rPr>
                <w:rStyle w:val="Hyperlink"/>
              </w:rPr>
              <w:t>6.4.2</w:t>
            </w:r>
            <w:r w:rsidR="0011281F">
              <w:rPr>
                <w:rFonts w:asciiTheme="minorHAnsi" w:eastAsiaTheme="minorEastAsia" w:hAnsiTheme="minorHAnsi"/>
                <w:lang w:eastAsia="en-AU"/>
              </w:rPr>
              <w:tab/>
            </w:r>
            <w:r w:rsidR="0011281F" w:rsidRPr="00AD2233">
              <w:rPr>
                <w:rStyle w:val="Hyperlink"/>
              </w:rPr>
              <w:t>Real price escalators</w:t>
            </w:r>
            <w:r w:rsidR="0011281F">
              <w:rPr>
                <w:webHidden/>
              </w:rPr>
              <w:tab/>
            </w:r>
            <w:r w:rsidR="0011281F">
              <w:rPr>
                <w:webHidden/>
              </w:rPr>
              <w:fldChar w:fldCharType="begin"/>
            </w:r>
            <w:r w:rsidR="0011281F">
              <w:rPr>
                <w:webHidden/>
              </w:rPr>
              <w:instrText xml:space="preserve"> PAGEREF _Toc417742827 \h </w:instrText>
            </w:r>
            <w:r w:rsidR="0011281F">
              <w:rPr>
                <w:webHidden/>
              </w:rPr>
            </w:r>
            <w:r w:rsidR="0011281F">
              <w:rPr>
                <w:webHidden/>
              </w:rPr>
              <w:fldChar w:fldCharType="separate"/>
            </w:r>
            <w:r w:rsidR="0011281F">
              <w:rPr>
                <w:webHidden/>
              </w:rPr>
              <w:t>6-19</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8" w:history="1">
            <w:r w:rsidR="0011281F" w:rsidRPr="00AD2233">
              <w:rPr>
                <w:rStyle w:val="Hyperlink"/>
              </w:rPr>
              <w:t>6.4.3</w:t>
            </w:r>
            <w:r w:rsidR="0011281F">
              <w:rPr>
                <w:rFonts w:asciiTheme="minorHAnsi" w:eastAsiaTheme="minorEastAsia" w:hAnsiTheme="minorHAnsi"/>
                <w:lang w:eastAsia="en-AU"/>
              </w:rPr>
              <w:tab/>
            </w:r>
            <w:r w:rsidR="0011281F" w:rsidRPr="00AD2233">
              <w:rPr>
                <w:rStyle w:val="Hyperlink"/>
              </w:rPr>
              <w:t>Consideration of the capex factors</w:t>
            </w:r>
            <w:r w:rsidR="0011281F">
              <w:rPr>
                <w:webHidden/>
              </w:rPr>
              <w:tab/>
            </w:r>
            <w:r w:rsidR="0011281F">
              <w:rPr>
                <w:webHidden/>
              </w:rPr>
              <w:fldChar w:fldCharType="begin"/>
            </w:r>
            <w:r w:rsidR="0011281F">
              <w:rPr>
                <w:webHidden/>
              </w:rPr>
              <w:instrText xml:space="preserve"> PAGEREF _Toc417742828 \h </w:instrText>
            </w:r>
            <w:r w:rsidR="0011281F">
              <w:rPr>
                <w:webHidden/>
              </w:rPr>
            </w:r>
            <w:r w:rsidR="0011281F">
              <w:rPr>
                <w:webHidden/>
              </w:rPr>
              <w:fldChar w:fldCharType="separate"/>
            </w:r>
            <w:r w:rsidR="0011281F">
              <w:rPr>
                <w:webHidden/>
              </w:rPr>
              <w:t>6-19</w:t>
            </w:r>
            <w:r w:rsidR="0011281F">
              <w:rPr>
                <w:webHidden/>
              </w:rPr>
              <w:fldChar w:fldCharType="end"/>
            </w:r>
          </w:hyperlink>
        </w:p>
        <w:p w:rsidR="0011281F" w:rsidRDefault="00611B75">
          <w:pPr>
            <w:pStyle w:val="TOC3"/>
            <w:rPr>
              <w:rFonts w:asciiTheme="minorHAnsi" w:eastAsiaTheme="minorEastAsia" w:hAnsiTheme="minorHAnsi"/>
              <w:lang w:eastAsia="en-AU"/>
            </w:rPr>
          </w:pPr>
          <w:hyperlink w:anchor="_Toc417742829" w:history="1">
            <w:r w:rsidR="0011281F" w:rsidRPr="00AD2233">
              <w:rPr>
                <w:rStyle w:val="Hyperlink"/>
              </w:rPr>
              <w:t>6.4.4</w:t>
            </w:r>
            <w:r w:rsidR="0011281F">
              <w:rPr>
                <w:rFonts w:asciiTheme="minorHAnsi" w:eastAsiaTheme="minorEastAsia" w:hAnsiTheme="minorHAnsi"/>
                <w:lang w:eastAsia="en-AU"/>
              </w:rPr>
              <w:tab/>
            </w:r>
            <w:r w:rsidR="0011281F" w:rsidRPr="00AD2233">
              <w:rPr>
                <w:rStyle w:val="Hyperlink"/>
              </w:rPr>
              <w:t>Conclusion</w:t>
            </w:r>
            <w:r w:rsidR="0011281F">
              <w:rPr>
                <w:webHidden/>
              </w:rPr>
              <w:tab/>
            </w:r>
            <w:r w:rsidR="0011281F">
              <w:rPr>
                <w:webHidden/>
              </w:rPr>
              <w:fldChar w:fldCharType="begin"/>
            </w:r>
            <w:r w:rsidR="0011281F">
              <w:rPr>
                <w:webHidden/>
              </w:rPr>
              <w:instrText xml:space="preserve"> PAGEREF _Toc417742829 \h </w:instrText>
            </w:r>
            <w:r w:rsidR="0011281F">
              <w:rPr>
                <w:webHidden/>
              </w:rPr>
            </w:r>
            <w:r w:rsidR="0011281F">
              <w:rPr>
                <w:webHidden/>
              </w:rPr>
              <w:fldChar w:fldCharType="separate"/>
            </w:r>
            <w:r w:rsidR="0011281F">
              <w:rPr>
                <w:webHidden/>
              </w:rPr>
              <w:t>6-21</w:t>
            </w:r>
            <w:r w:rsidR="0011281F">
              <w:rPr>
                <w:webHidden/>
              </w:rPr>
              <w:fldChar w:fldCharType="end"/>
            </w:r>
          </w:hyperlink>
        </w:p>
        <w:p w:rsidR="00DE563D" w:rsidRDefault="009A7A43" w:rsidP="009A7A43">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42816"/>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503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271C3E"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271C3E">
              <w:t xml:space="preserve">and </w:t>
            </w:r>
            <w:r w:rsidRPr="00307E24">
              <w:t>pricing principles</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503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50341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777AE0" w:rsidP="00777AE0">
      <w:pPr>
        <w:pStyle w:val="Heading1"/>
      </w:pPr>
      <w:bookmarkStart w:id="10" w:name="_Toc417742817"/>
      <w:r>
        <w:lastRenderedPageBreak/>
        <w:t>Capital expenditure</w:t>
      </w:r>
      <w:bookmarkEnd w:id="10"/>
    </w:p>
    <w:p w:rsidR="00297427" w:rsidRDefault="00297427" w:rsidP="00297427">
      <w:pPr>
        <w:numPr>
          <w:ilvl w:val="0"/>
          <w:numId w:val="25"/>
        </w:numPr>
      </w:pPr>
      <w:r w:rsidRPr="00F73128">
        <w:t xml:space="preserve">The National </w:t>
      </w:r>
      <w:r>
        <w:t xml:space="preserve">Electricity Rules (NER) </w:t>
      </w:r>
      <w:r w:rsidR="00D25B09">
        <w:t>require</w:t>
      </w:r>
      <w:r>
        <w:t xml:space="preserve"> Directlink to include</w:t>
      </w:r>
      <w:r w:rsidRPr="00F73128">
        <w:t xml:space="preserve"> </w:t>
      </w:r>
      <w:r>
        <w:t xml:space="preserve">a forecast of </w:t>
      </w:r>
      <w:r w:rsidRPr="00F73128">
        <w:t>total ca</w:t>
      </w:r>
      <w:r>
        <w:t>pital expenditure (capex) in</w:t>
      </w:r>
      <w:r w:rsidRPr="00F73128">
        <w:t xml:space="preserve"> </w:t>
      </w:r>
      <w:r>
        <w:t xml:space="preserve">its </w:t>
      </w:r>
      <w:r w:rsidRPr="00F73128">
        <w:t>revenue proposal for the 201</w:t>
      </w:r>
      <w:r>
        <w:t xml:space="preserve">5–20 </w:t>
      </w:r>
      <w:r w:rsidR="00613409">
        <w:t xml:space="preserve">regulatory </w:t>
      </w:r>
      <w:r w:rsidR="009A7A43">
        <w:t xml:space="preserve">control </w:t>
      </w:r>
      <w:r>
        <w:t>period.</w:t>
      </w:r>
      <w:r>
        <w:rPr>
          <w:rStyle w:val="FootnoteReference"/>
        </w:rPr>
        <w:footnoteReference w:id="1"/>
      </w:r>
      <w:r>
        <w:t xml:space="preserve"> The return on </w:t>
      </w:r>
      <w:r w:rsidRPr="00F73128">
        <w:t>and of capex are components of the buil</w:t>
      </w:r>
      <w:r>
        <w:t>ding block revenue requirement.</w:t>
      </w:r>
      <w:r>
        <w:rPr>
          <w:rStyle w:val="FootnoteReference"/>
        </w:rPr>
        <w:footnoteReference w:id="2"/>
      </w:r>
      <w:r w:rsidRPr="00F73128">
        <w:t xml:space="preserve"> </w:t>
      </w:r>
    </w:p>
    <w:p w:rsidR="00297427" w:rsidRPr="00F73128" w:rsidRDefault="00297427" w:rsidP="00297427">
      <w:pPr>
        <w:numPr>
          <w:ilvl w:val="0"/>
          <w:numId w:val="25"/>
        </w:numPr>
      </w:pPr>
      <w:r>
        <w:t>We generally categorise c</w:t>
      </w:r>
      <w:r w:rsidRPr="00F73128">
        <w:t xml:space="preserve">apex </w:t>
      </w:r>
      <w:r>
        <w:t>as either network or</w:t>
      </w:r>
      <w:r w:rsidRPr="00F73128">
        <w:t xml:space="preserve"> non-network </w:t>
      </w:r>
      <w:r>
        <w:t>capex. Network capex includes</w:t>
      </w:r>
      <w:r w:rsidRPr="00F73128">
        <w:t>:</w:t>
      </w:r>
    </w:p>
    <w:p w:rsidR="00297427" w:rsidRPr="00297427" w:rsidRDefault="00297427" w:rsidP="00297427">
      <w:pPr>
        <w:pStyle w:val="AERbulletlistfirststyle"/>
      </w:pPr>
      <w:r w:rsidRPr="004861E1">
        <w:t xml:space="preserve">growth </w:t>
      </w:r>
      <w:r w:rsidRPr="00297427">
        <w:t>driven capex, including for augmentation and new connections</w:t>
      </w:r>
    </w:p>
    <w:p w:rsidR="00297427" w:rsidRPr="00297427" w:rsidRDefault="00297427" w:rsidP="00297427">
      <w:pPr>
        <w:pStyle w:val="AERbulletlistfirststyle"/>
      </w:pPr>
      <w:r w:rsidRPr="00F73128">
        <w:t xml:space="preserve">non-load driven </w:t>
      </w:r>
      <w:r w:rsidRPr="00297427">
        <w:t>capex, including replacement and refurbishment capex.</w:t>
      </w:r>
    </w:p>
    <w:p w:rsidR="00297427" w:rsidRDefault="00297427" w:rsidP="00297427">
      <w:pPr>
        <w:numPr>
          <w:ilvl w:val="0"/>
          <w:numId w:val="25"/>
        </w:numPr>
      </w:pPr>
      <w:r>
        <w:t>N</w:t>
      </w:r>
      <w:r w:rsidRPr="00F73128">
        <w:t xml:space="preserve">on-network </w:t>
      </w:r>
      <w:r>
        <w:t xml:space="preserve">capex covers expenditure in areas other than the network and includes </w:t>
      </w:r>
      <w:r w:rsidRPr="004861E1">
        <w:t>business information technology (IT) and buildings/facilities.</w:t>
      </w:r>
    </w:p>
    <w:p w:rsidR="00297427" w:rsidRPr="004861E1" w:rsidRDefault="00297427" w:rsidP="00297427">
      <w:r w:rsidRPr="00FC11B0">
        <w:t xml:space="preserve">This </w:t>
      </w:r>
      <w:r w:rsidRPr="00297427">
        <w:t xml:space="preserve">attachment </w:t>
      </w:r>
      <w:r w:rsidRPr="00FC11B0">
        <w:t>sets out</w:t>
      </w:r>
      <w:r w:rsidRPr="001760E8">
        <w:t xml:space="preserve"> our </w:t>
      </w:r>
      <w:r>
        <w:t>final</w:t>
      </w:r>
      <w:r w:rsidRPr="001760E8">
        <w:t xml:space="preserve"> decision on </w:t>
      </w:r>
      <w:r>
        <w:t>Directlink's</w:t>
      </w:r>
      <w:r w:rsidRPr="001760E8">
        <w:t xml:space="preserve"> </w:t>
      </w:r>
      <w:r w:rsidR="00A13F97">
        <w:t xml:space="preserve">revised </w:t>
      </w:r>
      <w:r w:rsidRPr="001760E8">
        <w:t>propos</w:t>
      </w:r>
      <w:r w:rsidR="009A7A43">
        <w:t xml:space="preserve">al on </w:t>
      </w:r>
      <w:r w:rsidRPr="001760E8">
        <w:t>total forecast capex.</w:t>
      </w:r>
    </w:p>
    <w:p w:rsidR="00DE563D" w:rsidRPr="00AF1F9E" w:rsidRDefault="00AF1F9E" w:rsidP="00AF1F9E">
      <w:pPr>
        <w:pStyle w:val="Heading2"/>
      </w:pPr>
      <w:bookmarkStart w:id="11" w:name="_Toc403144136"/>
      <w:bookmarkStart w:id="12" w:name="_Toc417742818"/>
      <w:r>
        <w:t>Final</w:t>
      </w:r>
      <w:r w:rsidR="00DE563D" w:rsidRPr="00AF1F9E">
        <w:t xml:space="preserve"> decision</w:t>
      </w:r>
      <w:bookmarkEnd w:id="11"/>
      <w:bookmarkEnd w:id="12"/>
    </w:p>
    <w:p w:rsidR="00A13F97" w:rsidRPr="00DB3227" w:rsidRDefault="00A13F97" w:rsidP="00D820B2">
      <w:r>
        <w:t xml:space="preserve">Our final decision is to not accept Directlink's proposed total forecast capex of </w:t>
      </w:r>
      <w:r w:rsidRPr="00D820B2">
        <w:t>$</w:t>
      </w:r>
      <w:r w:rsidR="00EA5F72">
        <w:t>37.06</w:t>
      </w:r>
      <w:r>
        <w:t xml:space="preserve"> million ($ real 2014-15) for the 2015-20 regulatory </w:t>
      </w:r>
      <w:r w:rsidR="009A7A43">
        <w:t xml:space="preserve">control </w:t>
      </w:r>
      <w:r>
        <w:t xml:space="preserve">period because we are not satisfied that it reasonably reflects the capex criteria. Our estimate of the total forecast capex that reasonably reflects the capex criteria is </w:t>
      </w:r>
      <w:r w:rsidRPr="00D820B2">
        <w:t>$</w:t>
      </w:r>
      <w:r w:rsidR="005A3139" w:rsidRPr="00D820B2">
        <w:t>2</w:t>
      </w:r>
      <w:r w:rsidR="00D820B2" w:rsidRPr="00D820B2">
        <w:t>6.</w:t>
      </w:r>
      <w:r w:rsidR="00B44317">
        <w:t>86</w:t>
      </w:r>
      <w:r w:rsidR="005A3139">
        <w:t xml:space="preserve"> </w:t>
      </w:r>
      <w:r w:rsidRPr="00B10E5D">
        <w:t>million</w:t>
      </w:r>
      <w:r>
        <w:t xml:space="preserve">, a reduction of </w:t>
      </w:r>
      <w:r w:rsidR="00DF0B30">
        <w:t>2</w:t>
      </w:r>
      <w:r w:rsidR="00FE5AE0">
        <w:t>7.5</w:t>
      </w:r>
      <w:r>
        <w:t xml:space="preserve"> per cent. </w:t>
      </w:r>
      <w:r w:rsidR="0011281F">
        <w:fldChar w:fldCharType="begin"/>
      </w:r>
      <w:r w:rsidR="0011281F">
        <w:instrText xml:space="preserve"> REF _Ref417742573 \h </w:instrText>
      </w:r>
      <w:r w:rsidR="0011281F">
        <w:fldChar w:fldCharType="separate"/>
      </w:r>
      <w:r w:rsidR="0011281F">
        <w:t xml:space="preserve">Table </w:t>
      </w:r>
      <w:r w:rsidR="0011281F">
        <w:rPr>
          <w:noProof/>
        </w:rPr>
        <w:t>6</w:t>
      </w:r>
      <w:r w:rsidR="0011281F">
        <w:noBreakHyphen/>
      </w:r>
      <w:r w:rsidR="0011281F">
        <w:rPr>
          <w:noProof/>
        </w:rPr>
        <w:t>1</w:t>
      </w:r>
      <w:r w:rsidR="0011281F">
        <w:fldChar w:fldCharType="end"/>
      </w:r>
      <w:r w:rsidRPr="00DB3227">
        <w:t>outlines our draft decision.</w:t>
      </w:r>
    </w:p>
    <w:p w:rsidR="007B49E1" w:rsidRDefault="0011281F" w:rsidP="0011281F">
      <w:pPr>
        <w:pStyle w:val="Caption"/>
      </w:pPr>
      <w:bookmarkStart w:id="13" w:name="_Ref417742573"/>
      <w:r>
        <w:t xml:space="preserve">Table </w:t>
      </w:r>
      <w:r w:rsidR="00611B75">
        <w:fldChar w:fldCharType="begin"/>
      </w:r>
      <w:r w:rsidR="00611B75">
        <w:instrText xml:space="preserve"> STYLEREF 1 \s </w:instrText>
      </w:r>
      <w:r w:rsidR="00611B75">
        <w:fldChar w:fldCharType="separate"/>
      </w:r>
      <w:r>
        <w:rPr>
          <w:noProof/>
        </w:rPr>
        <w:t>6</w:t>
      </w:r>
      <w:r w:rsidR="00611B75">
        <w:rPr>
          <w:noProof/>
        </w:rPr>
        <w:fldChar w:fldCharType="end"/>
      </w:r>
      <w:r>
        <w:noBreakHyphen/>
      </w:r>
      <w:r w:rsidR="00611B75">
        <w:fldChar w:fldCharType="begin"/>
      </w:r>
      <w:r w:rsidR="00611B75">
        <w:instrText xml:space="preserve"> SEQ Table \* ARABIC \s 1 </w:instrText>
      </w:r>
      <w:r w:rsidR="00611B75">
        <w:fldChar w:fldCharType="separate"/>
      </w:r>
      <w:r>
        <w:rPr>
          <w:noProof/>
        </w:rPr>
        <w:t>1</w:t>
      </w:r>
      <w:r w:rsidR="00611B75">
        <w:rPr>
          <w:noProof/>
        </w:rPr>
        <w:fldChar w:fldCharType="end"/>
      </w:r>
      <w:bookmarkEnd w:id="13"/>
      <w:r w:rsidR="00041F4E" w:rsidRPr="00041F4E">
        <w:tab/>
      </w:r>
      <w:r w:rsidR="00041F4E">
        <w:t>AER</w:t>
      </w:r>
      <w:r w:rsidR="00041F4E" w:rsidRPr="00041F4E">
        <w:t xml:space="preserve"> </w:t>
      </w:r>
      <w:r w:rsidR="00041F4E">
        <w:t>final</w:t>
      </w:r>
      <w:r w:rsidR="00041F4E" w:rsidRPr="00041F4E">
        <w:t xml:space="preserve"> decision on Directlink's total capex ($ million 2014</w:t>
      </w:r>
      <w:r w:rsidR="00613409">
        <w:t> </w:t>
      </w:r>
      <w:r w:rsidR="00613409">
        <w:noBreakHyphen/>
      </w:r>
      <w:r w:rsidR="00041F4E" w:rsidRPr="00041F4E">
        <w:t>15)</w:t>
      </w:r>
    </w:p>
    <w:tbl>
      <w:tblPr>
        <w:tblStyle w:val="AERtable-numbers"/>
        <w:tblW w:w="0" w:type="auto"/>
        <w:tblLook w:val="04A0" w:firstRow="1" w:lastRow="0" w:firstColumn="1" w:lastColumn="0" w:noHBand="0" w:noVBand="1"/>
      </w:tblPr>
      <w:tblGrid>
        <w:gridCol w:w="2122"/>
        <w:gridCol w:w="1176"/>
        <w:gridCol w:w="1080"/>
        <w:gridCol w:w="1080"/>
        <w:gridCol w:w="1080"/>
        <w:gridCol w:w="1122"/>
        <w:gridCol w:w="1033"/>
      </w:tblGrid>
      <w:tr w:rsidR="00B576C4" w:rsidRPr="00DB3227" w:rsidTr="00B57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24CAD" w:rsidRPr="00DB3227" w:rsidRDefault="00C24CAD" w:rsidP="00C24CAD"/>
        </w:tc>
        <w:tc>
          <w:tcPr>
            <w:tcW w:w="1176"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201</w:t>
            </w:r>
            <w:r w:rsidRPr="00C24CAD">
              <w:t>5–16</w:t>
            </w:r>
          </w:p>
        </w:tc>
        <w:tc>
          <w:tcPr>
            <w:tcW w:w="1080"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201</w:t>
            </w:r>
            <w:r w:rsidRPr="00C24CAD">
              <w:t>6–17</w:t>
            </w:r>
          </w:p>
        </w:tc>
        <w:tc>
          <w:tcPr>
            <w:tcW w:w="1080"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201</w:t>
            </w:r>
            <w:r w:rsidRPr="00C24CAD">
              <w:t>7–18</w:t>
            </w:r>
          </w:p>
        </w:tc>
        <w:tc>
          <w:tcPr>
            <w:tcW w:w="1080"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201</w:t>
            </w:r>
            <w:r w:rsidRPr="00C24CAD">
              <w:t>8–19</w:t>
            </w:r>
          </w:p>
        </w:tc>
        <w:tc>
          <w:tcPr>
            <w:tcW w:w="1122"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201</w:t>
            </w:r>
            <w:r w:rsidRPr="00C24CAD">
              <w:t>9–20</w:t>
            </w:r>
          </w:p>
        </w:tc>
        <w:tc>
          <w:tcPr>
            <w:tcW w:w="1033" w:type="dxa"/>
          </w:tcPr>
          <w:p w:rsidR="00C24CAD" w:rsidRPr="00C24CAD" w:rsidRDefault="00C24CAD" w:rsidP="00C24CAD">
            <w:pPr>
              <w:cnfStyle w:val="100000000000" w:firstRow="1" w:lastRow="0" w:firstColumn="0" w:lastColumn="0" w:oddVBand="0" w:evenVBand="0" w:oddHBand="0" w:evenHBand="0" w:firstRowFirstColumn="0" w:firstRowLastColumn="0" w:lastRowFirstColumn="0" w:lastRowLastColumn="0"/>
            </w:pPr>
            <w:r w:rsidRPr="00DB3227">
              <w:t>Total</w:t>
            </w:r>
          </w:p>
        </w:tc>
      </w:tr>
      <w:tr w:rsidR="00C24CAD" w:rsidRPr="00DB3227" w:rsidTr="00B576C4">
        <w:tc>
          <w:tcPr>
            <w:cnfStyle w:val="001000000000" w:firstRow="0" w:lastRow="0" w:firstColumn="1" w:lastColumn="0" w:oddVBand="0" w:evenVBand="0" w:oddHBand="0" w:evenHBand="0" w:firstRowFirstColumn="0" w:firstRowLastColumn="0" w:lastRowFirstColumn="0" w:lastRowLastColumn="0"/>
            <w:tcW w:w="2122" w:type="dxa"/>
          </w:tcPr>
          <w:p w:rsidR="00C24CAD" w:rsidRPr="00C24CAD" w:rsidRDefault="00C24CAD" w:rsidP="00C24CAD">
            <w:r w:rsidRPr="00B42744">
              <w:t xml:space="preserve">Directlink's </w:t>
            </w:r>
            <w:r w:rsidR="00041F4E">
              <w:t xml:space="preserve">revised </w:t>
            </w:r>
            <w:r w:rsidRPr="00B42744">
              <w:t>proposal</w:t>
            </w:r>
          </w:p>
        </w:tc>
        <w:tc>
          <w:tcPr>
            <w:tcW w:w="1176" w:type="dxa"/>
            <w:vAlign w:val="bottom"/>
          </w:tcPr>
          <w:p w:rsidR="00C24CAD" w:rsidRPr="00E547E8" w:rsidRDefault="00E547E8" w:rsidP="00601827">
            <w:pPr>
              <w:cnfStyle w:val="000000000000" w:firstRow="0" w:lastRow="0" w:firstColumn="0" w:lastColumn="0" w:oddVBand="0" w:evenVBand="0" w:oddHBand="0" w:evenHBand="0" w:firstRowFirstColumn="0" w:firstRowLastColumn="0" w:lastRowFirstColumn="0" w:lastRowLastColumn="0"/>
            </w:pPr>
            <w:r>
              <w:t>10.1</w:t>
            </w:r>
            <w:r w:rsidR="00EA5F72">
              <w:t>4</w:t>
            </w:r>
          </w:p>
        </w:tc>
        <w:tc>
          <w:tcPr>
            <w:tcW w:w="1080" w:type="dxa"/>
            <w:vAlign w:val="bottom"/>
          </w:tcPr>
          <w:p w:rsidR="00C24CAD" w:rsidRPr="00E547E8" w:rsidRDefault="00C62AC0" w:rsidP="00601827">
            <w:pPr>
              <w:cnfStyle w:val="000000000000" w:firstRow="0" w:lastRow="0" w:firstColumn="0" w:lastColumn="0" w:oddVBand="0" w:evenVBand="0" w:oddHBand="0" w:evenHBand="0" w:firstRowFirstColumn="0" w:firstRowLastColumn="0" w:lastRowFirstColumn="0" w:lastRowLastColumn="0"/>
            </w:pPr>
            <w:r w:rsidRPr="00E547E8">
              <w:t>3.</w:t>
            </w:r>
            <w:r w:rsidR="00E547E8">
              <w:t>7</w:t>
            </w:r>
            <w:r w:rsidR="00EA5F72">
              <w:t>1</w:t>
            </w:r>
          </w:p>
        </w:tc>
        <w:tc>
          <w:tcPr>
            <w:tcW w:w="1080" w:type="dxa"/>
            <w:vAlign w:val="bottom"/>
          </w:tcPr>
          <w:p w:rsidR="00C24CAD" w:rsidRPr="00E547E8" w:rsidRDefault="00C62AC0" w:rsidP="00601827">
            <w:pPr>
              <w:cnfStyle w:val="000000000000" w:firstRow="0" w:lastRow="0" w:firstColumn="0" w:lastColumn="0" w:oddVBand="0" w:evenVBand="0" w:oddHBand="0" w:evenHBand="0" w:firstRowFirstColumn="0" w:firstRowLastColumn="0" w:lastRowFirstColumn="0" w:lastRowLastColumn="0"/>
            </w:pPr>
            <w:r w:rsidRPr="00E547E8">
              <w:t>3.</w:t>
            </w:r>
            <w:r w:rsidR="00D820B2">
              <w:t>5</w:t>
            </w:r>
            <w:r w:rsidR="00EA5F72">
              <w:t>5</w:t>
            </w:r>
          </w:p>
        </w:tc>
        <w:tc>
          <w:tcPr>
            <w:tcW w:w="1080" w:type="dxa"/>
            <w:vAlign w:val="bottom"/>
          </w:tcPr>
          <w:p w:rsidR="00C24CAD" w:rsidRPr="00E547E8" w:rsidRDefault="00C62AC0" w:rsidP="00601827">
            <w:pPr>
              <w:cnfStyle w:val="000000000000" w:firstRow="0" w:lastRow="0" w:firstColumn="0" w:lastColumn="0" w:oddVBand="0" w:evenVBand="0" w:oddHBand="0" w:evenHBand="0" w:firstRowFirstColumn="0" w:firstRowLastColumn="0" w:lastRowFirstColumn="0" w:lastRowLastColumn="0"/>
            </w:pPr>
            <w:r w:rsidRPr="00E547E8">
              <w:t>4.3</w:t>
            </w:r>
            <w:r w:rsidR="00EA5F72">
              <w:t>3</w:t>
            </w:r>
          </w:p>
        </w:tc>
        <w:tc>
          <w:tcPr>
            <w:tcW w:w="1122" w:type="dxa"/>
            <w:vAlign w:val="bottom"/>
          </w:tcPr>
          <w:p w:rsidR="00C24CAD" w:rsidRPr="00E547E8" w:rsidRDefault="00C62AC0" w:rsidP="00601827">
            <w:pPr>
              <w:cnfStyle w:val="000000000000" w:firstRow="0" w:lastRow="0" w:firstColumn="0" w:lastColumn="0" w:oddVBand="0" w:evenVBand="0" w:oddHBand="0" w:evenHBand="0" w:firstRowFirstColumn="0" w:firstRowLastColumn="0" w:lastRowFirstColumn="0" w:lastRowLastColumn="0"/>
            </w:pPr>
            <w:r w:rsidRPr="00E547E8">
              <w:t>15.3</w:t>
            </w:r>
            <w:r w:rsidR="00EA5F72">
              <w:t>3</w:t>
            </w:r>
            <w:r w:rsidRPr="00E547E8">
              <w:t xml:space="preserve"> </w:t>
            </w:r>
          </w:p>
        </w:tc>
        <w:tc>
          <w:tcPr>
            <w:tcW w:w="1033" w:type="dxa"/>
            <w:vAlign w:val="bottom"/>
          </w:tcPr>
          <w:p w:rsidR="00C24CAD" w:rsidRPr="00E547E8" w:rsidRDefault="00E547E8" w:rsidP="00EA5F72">
            <w:pPr>
              <w:cnfStyle w:val="000000000000" w:firstRow="0" w:lastRow="0" w:firstColumn="0" w:lastColumn="0" w:oddVBand="0" w:evenVBand="0" w:oddHBand="0" w:evenHBand="0" w:firstRowFirstColumn="0" w:firstRowLastColumn="0" w:lastRowFirstColumn="0" w:lastRowLastColumn="0"/>
            </w:pPr>
            <w:r>
              <w:t>37.</w:t>
            </w:r>
            <w:r w:rsidR="00EA5F72">
              <w:t>06</w:t>
            </w:r>
          </w:p>
        </w:tc>
      </w:tr>
      <w:tr w:rsidR="00041F4E" w:rsidRPr="00DB3227" w:rsidTr="00B57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24CAD" w:rsidRPr="00C24CAD" w:rsidRDefault="00C24CAD" w:rsidP="00B576C4">
            <w:r w:rsidRPr="00B42744">
              <w:t xml:space="preserve">AER </w:t>
            </w:r>
            <w:r w:rsidR="00B576C4">
              <w:t>final</w:t>
            </w:r>
            <w:r w:rsidRPr="00B42744">
              <w:t xml:space="preserve"> decision</w:t>
            </w:r>
          </w:p>
        </w:tc>
        <w:tc>
          <w:tcPr>
            <w:tcW w:w="1176" w:type="dxa"/>
            <w:vAlign w:val="bottom"/>
          </w:tcPr>
          <w:p w:rsidR="00C24CAD" w:rsidRPr="00E547E8" w:rsidRDefault="00B44317" w:rsidP="00EA5F72">
            <w:pPr>
              <w:cnfStyle w:val="000000010000" w:firstRow="0" w:lastRow="0" w:firstColumn="0" w:lastColumn="0" w:oddVBand="0" w:evenVBand="0" w:oddHBand="0" w:evenHBand="1" w:firstRowFirstColumn="0" w:firstRowLastColumn="0" w:lastRowFirstColumn="0" w:lastRowLastColumn="0"/>
            </w:pPr>
            <w:r>
              <w:t>7.0</w:t>
            </w:r>
          </w:p>
        </w:tc>
        <w:tc>
          <w:tcPr>
            <w:tcW w:w="1080" w:type="dxa"/>
            <w:vAlign w:val="bottom"/>
          </w:tcPr>
          <w:p w:rsidR="00C24CAD" w:rsidRPr="00E547E8" w:rsidRDefault="00D820B2" w:rsidP="00EA5F72">
            <w:pPr>
              <w:cnfStyle w:val="000000010000" w:firstRow="0" w:lastRow="0" w:firstColumn="0" w:lastColumn="0" w:oddVBand="0" w:evenVBand="0" w:oddHBand="0" w:evenHBand="1" w:firstRowFirstColumn="0" w:firstRowLastColumn="0" w:lastRowFirstColumn="0" w:lastRowLastColumn="0"/>
            </w:pPr>
            <w:r>
              <w:t>1.</w:t>
            </w:r>
            <w:r w:rsidR="00EA5F72">
              <w:t>6</w:t>
            </w:r>
          </w:p>
        </w:tc>
        <w:tc>
          <w:tcPr>
            <w:tcW w:w="1080" w:type="dxa"/>
            <w:vAlign w:val="bottom"/>
          </w:tcPr>
          <w:p w:rsidR="00C24CAD" w:rsidRPr="00E547E8" w:rsidRDefault="005A3139" w:rsidP="00E547E8">
            <w:pPr>
              <w:cnfStyle w:val="000000010000" w:firstRow="0" w:lastRow="0" w:firstColumn="0" w:lastColumn="0" w:oddVBand="0" w:evenVBand="0" w:oddHBand="0" w:evenHBand="1" w:firstRowFirstColumn="0" w:firstRowLastColumn="0" w:lastRowFirstColumn="0" w:lastRowLastColumn="0"/>
            </w:pPr>
            <w:r w:rsidRPr="00E547E8">
              <w:t>1.9</w:t>
            </w:r>
          </w:p>
        </w:tc>
        <w:tc>
          <w:tcPr>
            <w:tcW w:w="1080" w:type="dxa"/>
            <w:vAlign w:val="bottom"/>
          </w:tcPr>
          <w:p w:rsidR="00C24CAD" w:rsidRPr="00E547E8" w:rsidRDefault="005A3139" w:rsidP="00E547E8">
            <w:pPr>
              <w:cnfStyle w:val="000000010000" w:firstRow="0" w:lastRow="0" w:firstColumn="0" w:lastColumn="0" w:oddVBand="0" w:evenVBand="0" w:oddHBand="0" w:evenHBand="1" w:firstRowFirstColumn="0" w:firstRowLastColumn="0" w:lastRowFirstColumn="0" w:lastRowLastColumn="0"/>
            </w:pPr>
            <w:r w:rsidRPr="00E547E8">
              <w:t>2.7</w:t>
            </w:r>
          </w:p>
        </w:tc>
        <w:tc>
          <w:tcPr>
            <w:tcW w:w="1122" w:type="dxa"/>
            <w:vAlign w:val="bottom"/>
          </w:tcPr>
          <w:p w:rsidR="00C24CAD" w:rsidRPr="00E547E8" w:rsidRDefault="005A3139" w:rsidP="00E547E8">
            <w:pPr>
              <w:cnfStyle w:val="000000010000" w:firstRow="0" w:lastRow="0" w:firstColumn="0" w:lastColumn="0" w:oddVBand="0" w:evenVBand="0" w:oddHBand="0" w:evenHBand="1" w:firstRowFirstColumn="0" w:firstRowLastColumn="0" w:lastRowFirstColumn="0" w:lastRowLastColumn="0"/>
            </w:pPr>
            <w:r w:rsidRPr="00E547E8">
              <w:t>13.7</w:t>
            </w:r>
          </w:p>
        </w:tc>
        <w:tc>
          <w:tcPr>
            <w:tcW w:w="1033" w:type="dxa"/>
            <w:vAlign w:val="bottom"/>
          </w:tcPr>
          <w:p w:rsidR="00C24CAD" w:rsidRPr="00E547E8" w:rsidRDefault="005A3139" w:rsidP="00B44317">
            <w:pPr>
              <w:cnfStyle w:val="000000010000" w:firstRow="0" w:lastRow="0" w:firstColumn="0" w:lastColumn="0" w:oddVBand="0" w:evenVBand="0" w:oddHBand="0" w:evenHBand="1" w:firstRowFirstColumn="0" w:firstRowLastColumn="0" w:lastRowFirstColumn="0" w:lastRowLastColumn="0"/>
            </w:pPr>
            <w:r w:rsidRPr="00E547E8">
              <w:t>2</w:t>
            </w:r>
            <w:r w:rsidR="00EA5F72">
              <w:t>6.</w:t>
            </w:r>
            <w:r w:rsidR="00B44317">
              <w:t>86</w:t>
            </w:r>
          </w:p>
        </w:tc>
      </w:tr>
      <w:tr w:rsidR="00C965CC" w:rsidRPr="00DB3227" w:rsidTr="00B576C4">
        <w:trPr>
          <w:trHeight w:val="80"/>
        </w:trPr>
        <w:tc>
          <w:tcPr>
            <w:cnfStyle w:val="001000000000" w:firstRow="0" w:lastRow="0" w:firstColumn="1" w:lastColumn="0" w:oddVBand="0" w:evenVBand="0" w:oddHBand="0" w:evenHBand="0" w:firstRowFirstColumn="0" w:firstRowLastColumn="0" w:lastRowFirstColumn="0" w:lastRowLastColumn="0"/>
            <w:tcW w:w="2122" w:type="dxa"/>
          </w:tcPr>
          <w:p w:rsidR="00C965CC" w:rsidRPr="00C965CC" w:rsidRDefault="00C965CC" w:rsidP="00C965CC">
            <w:r w:rsidRPr="00C965CC">
              <w:t>Difference ($million)</w:t>
            </w:r>
          </w:p>
        </w:tc>
        <w:tc>
          <w:tcPr>
            <w:tcW w:w="1176" w:type="dxa"/>
            <w:vAlign w:val="bottom"/>
          </w:tcPr>
          <w:p w:rsidR="00C965CC" w:rsidRPr="00E547E8" w:rsidRDefault="00EA5F72" w:rsidP="00B44317">
            <w:pPr>
              <w:cnfStyle w:val="000000000000" w:firstRow="0" w:lastRow="0" w:firstColumn="0" w:lastColumn="0" w:oddVBand="0" w:evenVBand="0" w:oddHBand="0" w:evenHBand="0" w:firstRowFirstColumn="0" w:firstRowLastColumn="0" w:lastRowFirstColumn="0" w:lastRowLastColumn="0"/>
            </w:pPr>
            <w:r>
              <w:t>3.</w:t>
            </w:r>
            <w:r w:rsidR="00B44317">
              <w:t>18</w:t>
            </w:r>
          </w:p>
        </w:tc>
        <w:tc>
          <w:tcPr>
            <w:tcW w:w="1080" w:type="dxa"/>
            <w:vAlign w:val="bottom"/>
          </w:tcPr>
          <w:p w:rsidR="00C965CC" w:rsidRPr="00E547E8" w:rsidRDefault="00C965CC" w:rsidP="00EA5F72">
            <w:pPr>
              <w:cnfStyle w:val="000000000000" w:firstRow="0" w:lastRow="0" w:firstColumn="0" w:lastColumn="0" w:oddVBand="0" w:evenVBand="0" w:oddHBand="0" w:evenHBand="0" w:firstRowFirstColumn="0" w:firstRowLastColumn="0" w:lastRowFirstColumn="0" w:lastRowLastColumn="0"/>
            </w:pPr>
            <w:r w:rsidRPr="00E547E8">
              <w:t>2.</w:t>
            </w:r>
            <w:r w:rsidR="00EA5F72">
              <w:t>11</w:t>
            </w:r>
          </w:p>
        </w:tc>
        <w:tc>
          <w:tcPr>
            <w:tcW w:w="1080" w:type="dxa"/>
            <w:vAlign w:val="bottom"/>
          </w:tcPr>
          <w:p w:rsidR="00C965CC" w:rsidRPr="00E547E8" w:rsidRDefault="00C965CC" w:rsidP="00E547E8">
            <w:pPr>
              <w:cnfStyle w:val="000000000000" w:firstRow="0" w:lastRow="0" w:firstColumn="0" w:lastColumn="0" w:oddVBand="0" w:evenVBand="0" w:oddHBand="0" w:evenHBand="0" w:firstRowFirstColumn="0" w:firstRowLastColumn="0" w:lastRowFirstColumn="0" w:lastRowLastColumn="0"/>
            </w:pPr>
            <w:r w:rsidRPr="00E547E8">
              <w:t>1.6</w:t>
            </w:r>
            <w:r w:rsidR="00EA5F72">
              <w:t>5</w:t>
            </w:r>
          </w:p>
        </w:tc>
        <w:tc>
          <w:tcPr>
            <w:tcW w:w="1080" w:type="dxa"/>
            <w:vAlign w:val="bottom"/>
          </w:tcPr>
          <w:p w:rsidR="00C965CC" w:rsidRPr="00E547E8" w:rsidRDefault="00C965CC" w:rsidP="00E547E8">
            <w:pPr>
              <w:cnfStyle w:val="000000000000" w:firstRow="0" w:lastRow="0" w:firstColumn="0" w:lastColumn="0" w:oddVBand="0" w:evenVBand="0" w:oddHBand="0" w:evenHBand="0" w:firstRowFirstColumn="0" w:firstRowLastColumn="0" w:lastRowFirstColumn="0" w:lastRowLastColumn="0"/>
            </w:pPr>
            <w:r w:rsidRPr="00E547E8">
              <w:t>1.6</w:t>
            </w:r>
            <w:r w:rsidR="00C97B11">
              <w:t>3</w:t>
            </w:r>
          </w:p>
        </w:tc>
        <w:tc>
          <w:tcPr>
            <w:tcW w:w="1122" w:type="dxa"/>
            <w:vAlign w:val="bottom"/>
          </w:tcPr>
          <w:p w:rsidR="00C965CC" w:rsidRPr="00E547E8" w:rsidRDefault="00C965CC" w:rsidP="00E547E8">
            <w:pPr>
              <w:cnfStyle w:val="000000000000" w:firstRow="0" w:lastRow="0" w:firstColumn="0" w:lastColumn="0" w:oddVBand="0" w:evenVBand="0" w:oddHBand="0" w:evenHBand="0" w:firstRowFirstColumn="0" w:firstRowLastColumn="0" w:lastRowFirstColumn="0" w:lastRowLastColumn="0"/>
            </w:pPr>
            <w:r w:rsidRPr="00E547E8">
              <w:t>1.6</w:t>
            </w:r>
            <w:r w:rsidR="00C97B11">
              <w:t>3</w:t>
            </w:r>
          </w:p>
        </w:tc>
        <w:tc>
          <w:tcPr>
            <w:tcW w:w="1033" w:type="dxa"/>
            <w:vAlign w:val="bottom"/>
          </w:tcPr>
          <w:p w:rsidR="00C965CC" w:rsidRPr="00E547E8" w:rsidRDefault="00C965CC" w:rsidP="00B44317">
            <w:pPr>
              <w:cnfStyle w:val="000000000000" w:firstRow="0" w:lastRow="0" w:firstColumn="0" w:lastColumn="0" w:oddVBand="0" w:evenVBand="0" w:oddHBand="0" w:evenHBand="0" w:firstRowFirstColumn="0" w:firstRowLastColumn="0" w:lastRowFirstColumn="0" w:lastRowLastColumn="0"/>
            </w:pPr>
            <w:r w:rsidRPr="00E547E8">
              <w:t>1</w:t>
            </w:r>
            <w:r w:rsidR="00EA5F72">
              <w:t>0.</w:t>
            </w:r>
            <w:r w:rsidR="00B44317">
              <w:t>20</w:t>
            </w:r>
          </w:p>
        </w:tc>
      </w:tr>
      <w:tr w:rsidR="00C965CC" w:rsidRPr="00DB3227" w:rsidTr="00B576C4">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2" w:type="dxa"/>
          </w:tcPr>
          <w:p w:rsidR="00C965CC" w:rsidRPr="00C965CC" w:rsidRDefault="00C965CC" w:rsidP="00C965CC">
            <w:r w:rsidRPr="00C965CC">
              <w:t>Difference (per cent)</w:t>
            </w:r>
          </w:p>
        </w:tc>
        <w:tc>
          <w:tcPr>
            <w:tcW w:w="1176" w:type="dxa"/>
            <w:vAlign w:val="bottom"/>
          </w:tcPr>
          <w:p w:rsidR="00C965CC" w:rsidRPr="00E547E8" w:rsidRDefault="00C965CC" w:rsidP="00B44317">
            <w:pPr>
              <w:cnfStyle w:val="000000010000" w:firstRow="0" w:lastRow="0" w:firstColumn="0" w:lastColumn="0" w:oddVBand="0" w:evenVBand="0" w:oddHBand="0" w:evenHBand="1" w:firstRowFirstColumn="0" w:firstRowLastColumn="0" w:lastRowFirstColumn="0" w:lastRowLastColumn="0"/>
            </w:pPr>
            <w:r w:rsidRPr="00E547E8">
              <w:t>3</w:t>
            </w:r>
            <w:r w:rsidR="00B44317">
              <w:t>0.1</w:t>
            </w:r>
          </w:p>
        </w:tc>
        <w:tc>
          <w:tcPr>
            <w:tcW w:w="1080" w:type="dxa"/>
            <w:vAlign w:val="bottom"/>
          </w:tcPr>
          <w:p w:rsidR="00C965CC" w:rsidRPr="00E547E8" w:rsidRDefault="00C965CC" w:rsidP="00EA5F72">
            <w:pPr>
              <w:cnfStyle w:val="000000010000" w:firstRow="0" w:lastRow="0" w:firstColumn="0" w:lastColumn="0" w:oddVBand="0" w:evenVBand="0" w:oddHBand="0" w:evenHBand="1" w:firstRowFirstColumn="0" w:firstRowLastColumn="0" w:lastRowFirstColumn="0" w:lastRowLastColumn="0"/>
            </w:pPr>
            <w:r w:rsidRPr="00E547E8">
              <w:t>5</w:t>
            </w:r>
            <w:r w:rsidR="00EA5F72">
              <w:t>6.9</w:t>
            </w:r>
          </w:p>
        </w:tc>
        <w:tc>
          <w:tcPr>
            <w:tcW w:w="1080" w:type="dxa"/>
            <w:vAlign w:val="bottom"/>
          </w:tcPr>
          <w:p w:rsidR="00C965CC" w:rsidRPr="00E547E8" w:rsidRDefault="00C965CC" w:rsidP="00EA5F72">
            <w:pPr>
              <w:cnfStyle w:val="000000010000" w:firstRow="0" w:lastRow="0" w:firstColumn="0" w:lastColumn="0" w:oddVBand="0" w:evenVBand="0" w:oddHBand="0" w:evenHBand="1" w:firstRowFirstColumn="0" w:firstRowLastColumn="0" w:lastRowFirstColumn="0" w:lastRowLastColumn="0"/>
            </w:pPr>
            <w:r w:rsidRPr="00E547E8">
              <w:t>4</w:t>
            </w:r>
            <w:r w:rsidR="00EA5F72">
              <w:t>6.5</w:t>
            </w:r>
          </w:p>
        </w:tc>
        <w:tc>
          <w:tcPr>
            <w:tcW w:w="1080" w:type="dxa"/>
            <w:vAlign w:val="bottom"/>
          </w:tcPr>
          <w:p w:rsidR="00C965CC" w:rsidRPr="00E547E8" w:rsidRDefault="00C965CC" w:rsidP="00EA5F72">
            <w:pPr>
              <w:cnfStyle w:val="000000010000" w:firstRow="0" w:lastRow="0" w:firstColumn="0" w:lastColumn="0" w:oddVBand="0" w:evenVBand="0" w:oddHBand="0" w:evenHBand="1" w:firstRowFirstColumn="0" w:firstRowLastColumn="0" w:lastRowFirstColumn="0" w:lastRowLastColumn="0"/>
            </w:pPr>
            <w:r w:rsidRPr="00E547E8">
              <w:t>37.</w:t>
            </w:r>
            <w:r w:rsidR="00EA5F72">
              <w:t>6</w:t>
            </w:r>
          </w:p>
        </w:tc>
        <w:tc>
          <w:tcPr>
            <w:tcW w:w="1122" w:type="dxa"/>
            <w:vAlign w:val="bottom"/>
          </w:tcPr>
          <w:p w:rsidR="00C965CC" w:rsidRPr="00E547E8" w:rsidRDefault="00C965CC" w:rsidP="00EA5F72">
            <w:pPr>
              <w:cnfStyle w:val="000000010000" w:firstRow="0" w:lastRow="0" w:firstColumn="0" w:lastColumn="0" w:oddVBand="0" w:evenVBand="0" w:oddHBand="0" w:evenHBand="1" w:firstRowFirstColumn="0" w:firstRowLastColumn="0" w:lastRowFirstColumn="0" w:lastRowLastColumn="0"/>
            </w:pPr>
            <w:r w:rsidRPr="00E547E8">
              <w:t>10.</w:t>
            </w:r>
            <w:r w:rsidR="00EA5F72">
              <w:t>6</w:t>
            </w:r>
          </w:p>
        </w:tc>
        <w:tc>
          <w:tcPr>
            <w:tcW w:w="1033" w:type="dxa"/>
            <w:vAlign w:val="bottom"/>
          </w:tcPr>
          <w:p w:rsidR="00C965CC" w:rsidRPr="00E547E8" w:rsidRDefault="00C965CC" w:rsidP="00FE5AE0">
            <w:pPr>
              <w:cnfStyle w:val="000000010000" w:firstRow="0" w:lastRow="0" w:firstColumn="0" w:lastColumn="0" w:oddVBand="0" w:evenVBand="0" w:oddHBand="0" w:evenHBand="1" w:firstRowFirstColumn="0" w:firstRowLastColumn="0" w:lastRowFirstColumn="0" w:lastRowLastColumn="0"/>
            </w:pPr>
            <w:r w:rsidRPr="00E547E8">
              <w:t>2</w:t>
            </w:r>
            <w:r w:rsidR="00FE5AE0">
              <w:t>7.52</w:t>
            </w:r>
          </w:p>
        </w:tc>
      </w:tr>
    </w:tbl>
    <w:p w:rsidR="00B576C4" w:rsidRDefault="00B576C4" w:rsidP="00B576C4">
      <w:pPr>
        <w:pStyle w:val="AERtablesource"/>
      </w:pPr>
      <w:r w:rsidRPr="00DB3227">
        <w:t>Source:</w:t>
      </w:r>
      <w:r w:rsidRPr="00DB3227">
        <w:tab/>
      </w:r>
      <w:r>
        <w:t>Directlink,</w:t>
      </w:r>
      <w:r w:rsidRPr="00DB3227">
        <w:t xml:space="preserve"> </w:t>
      </w:r>
      <w:r>
        <w:t xml:space="preserve">Revised </w:t>
      </w:r>
      <w:r w:rsidR="0020548A">
        <w:t>r</w:t>
      </w:r>
      <w:r w:rsidRPr="00DB3227">
        <w:t>e</w:t>
      </w:r>
      <w:r w:rsidR="0020548A">
        <w:t>venue p</w:t>
      </w:r>
      <w:r w:rsidRPr="00DB3227">
        <w:t>roposal</w:t>
      </w:r>
      <w:r>
        <w:t>; Directlink responses to AER Information Requests</w:t>
      </w:r>
      <w:r w:rsidRPr="00DB3227">
        <w:t>; AER analysis</w:t>
      </w:r>
      <w:r>
        <w:t>.</w:t>
      </w:r>
    </w:p>
    <w:p w:rsidR="002D4F49" w:rsidRPr="002D4F49" w:rsidRDefault="002D4F49" w:rsidP="002D4F49">
      <w:pPr>
        <w:pStyle w:val="AERtablesource"/>
      </w:pPr>
      <w:r>
        <w:t>Note:</w:t>
      </w:r>
      <w:r>
        <w:tab/>
        <w:t xml:space="preserve">Numbers may not add to </w:t>
      </w:r>
      <w:r w:rsidR="00613409">
        <w:t>t</w:t>
      </w:r>
      <w:r>
        <w:t>otal due to rounding.</w:t>
      </w:r>
    </w:p>
    <w:p w:rsidR="00125736" w:rsidRPr="00125736" w:rsidRDefault="00125736" w:rsidP="00125736">
      <w:pPr>
        <w:numPr>
          <w:ilvl w:val="0"/>
          <w:numId w:val="25"/>
        </w:numPr>
      </w:pPr>
      <w:r w:rsidRPr="00125736">
        <w:lastRenderedPageBreak/>
        <w:t xml:space="preserve">Our testing </w:t>
      </w:r>
      <w:r>
        <w:t xml:space="preserve">of Directlink's revised proposal </w:t>
      </w:r>
      <w:r w:rsidRPr="00125736">
        <w:t xml:space="preserve">used techniques tailored to </w:t>
      </w:r>
      <w:r>
        <w:t>its circumstances and the nature of the expenditure</w:t>
      </w:r>
      <w:r w:rsidR="009A7A43">
        <w:t>,</w:t>
      </w:r>
      <w:r>
        <w:t xml:space="preserve"> and</w:t>
      </w:r>
      <w:r w:rsidRPr="00125736">
        <w:t xml:space="preserve"> taking into account the best available evidence. The outcomes of </w:t>
      </w:r>
      <w:r>
        <w:t>our assessment</w:t>
      </w:r>
      <w:r w:rsidRPr="00125736">
        <w:t xml:space="preserve"> revealed that </w:t>
      </w:r>
      <w:r w:rsidR="009A7A43">
        <w:t xml:space="preserve">inclusion of </w:t>
      </w:r>
      <w:r w:rsidRPr="00125736">
        <w:t xml:space="preserve">some </w:t>
      </w:r>
      <w:r>
        <w:t>of Directlink's proposed projects</w:t>
      </w:r>
      <w:r w:rsidR="00FB5AA4">
        <w:t>,</w:t>
      </w:r>
      <w:r>
        <w:t xml:space="preserve"> or sets of projects</w:t>
      </w:r>
      <w:r w:rsidRPr="00125736">
        <w:t xml:space="preserve">, </w:t>
      </w:r>
      <w:r w:rsidR="009A7A43">
        <w:t xml:space="preserve">in its total forecast capex </w:t>
      </w:r>
      <w:r w:rsidR="00A71618">
        <w:t xml:space="preserve">was </w:t>
      </w:r>
      <w:r w:rsidR="00A71618" w:rsidRPr="00125736">
        <w:t>consistent</w:t>
      </w:r>
      <w:r w:rsidRPr="00125736">
        <w:t xml:space="preserve"> with the NER requirements in that t</w:t>
      </w:r>
      <w:r>
        <w:t>he forecast expenditure associated with these projects</w:t>
      </w:r>
      <w:r w:rsidRPr="00125736">
        <w:t xml:space="preserve"> reasonably reflected the costs </w:t>
      </w:r>
      <w:r w:rsidR="009A7A43">
        <w:t xml:space="preserve">that </w:t>
      </w:r>
      <w:r w:rsidRPr="00125736">
        <w:t xml:space="preserve">a prudent </w:t>
      </w:r>
      <w:r w:rsidR="009A7A43">
        <w:t xml:space="preserve">and efficient </w:t>
      </w:r>
      <w:r w:rsidRPr="00125736">
        <w:t>service provider</w:t>
      </w:r>
      <w:r w:rsidR="009A7A43">
        <w:t>—with</w:t>
      </w:r>
      <w:r w:rsidRPr="00125736">
        <w:t xml:space="preserve"> a realistic expect</w:t>
      </w:r>
      <w:r w:rsidR="00A71618">
        <w:t xml:space="preserve">ation of </w:t>
      </w:r>
      <w:r w:rsidRPr="00125736">
        <w:t>demand and cost inputs</w:t>
      </w:r>
      <w:r w:rsidR="009A7A43">
        <w:t>—would</w:t>
      </w:r>
      <w:r w:rsidRPr="00125736">
        <w:t xml:space="preserve"> require to achieve the capex objectives. We found that </w:t>
      </w:r>
      <w:r w:rsidR="009A7A43">
        <w:t xml:space="preserve">this was not so for </w:t>
      </w:r>
      <w:r w:rsidRPr="00125736">
        <w:t xml:space="preserve">other aspects of </w:t>
      </w:r>
      <w:r>
        <w:t>Directlink's</w:t>
      </w:r>
      <w:r w:rsidRPr="00125736">
        <w:t xml:space="preserve"> proposal. </w:t>
      </w:r>
      <w:r>
        <w:t>A key difference is that our substitute estimate does not include</w:t>
      </w:r>
      <w:r w:rsidRPr="00125736">
        <w:t xml:space="preserve"> </w:t>
      </w:r>
      <w:r>
        <w:t xml:space="preserve">Directlink's proposed forecast expenditure for its capex cable replacement program of $8.37 million ($2014-15). This expenditure is instead considered as part of our opex assessment.  </w:t>
      </w:r>
    </w:p>
    <w:p w:rsidR="00125736" w:rsidRPr="00125736" w:rsidRDefault="00125736" w:rsidP="00125736">
      <w:pPr>
        <w:numPr>
          <w:ilvl w:val="0"/>
          <w:numId w:val="25"/>
        </w:numPr>
      </w:pPr>
      <w:r w:rsidRPr="00125736">
        <w:t xml:space="preserve">Our final decision concerns </w:t>
      </w:r>
      <w:r>
        <w:t>Directlink's</w:t>
      </w:r>
      <w:r w:rsidRPr="00125736">
        <w:t xml:space="preserve"> total forecast capex. We are not approving an amount of forecast expenditure for </w:t>
      </w:r>
      <w:r>
        <w:t>particular projects</w:t>
      </w:r>
      <w:r w:rsidRPr="00125736">
        <w:t xml:space="preserve">. </w:t>
      </w:r>
      <w:r>
        <w:t xml:space="preserve">Our assessment of the expenditure associated with particular projects is a means by which to test Directlink's overall proposed forecast capex. </w:t>
      </w:r>
      <w:r w:rsidRPr="00125736">
        <w:t xml:space="preserve">However, we do use our findings on the </w:t>
      </w:r>
      <w:r>
        <w:t xml:space="preserve">proposed expenditure for different projects in order </w:t>
      </w:r>
      <w:r w:rsidRPr="00125736">
        <w:t>to arrive at a substitute estimate for total capex because as a total, this amount has been tested against the NER requirements. This estimate represents what we are satisfied is total forecast capex that as a whole reasonably reflects all aspects of the capex criteria.</w:t>
      </w:r>
    </w:p>
    <w:p w:rsidR="00DE563D" w:rsidRPr="00AF1F9E" w:rsidRDefault="00AF1F9E" w:rsidP="00AF1F9E">
      <w:pPr>
        <w:pStyle w:val="Heading2"/>
      </w:pPr>
      <w:bookmarkStart w:id="14" w:name="_Toc403144137"/>
      <w:bookmarkStart w:id="15" w:name="_Toc417742819"/>
      <w:r>
        <w:t>Directlink’s revised</w:t>
      </w:r>
      <w:r w:rsidR="00DE563D" w:rsidRPr="00AF1F9E">
        <w:t xml:space="preserve"> proposal</w:t>
      </w:r>
      <w:bookmarkEnd w:id="14"/>
      <w:bookmarkEnd w:id="15"/>
    </w:p>
    <w:p w:rsidR="00613409" w:rsidRDefault="00032F50" w:rsidP="00FA03FC">
      <w:r w:rsidRPr="00032F50">
        <w:t>Directlink</w:t>
      </w:r>
      <w:r>
        <w:t>'s revised</w:t>
      </w:r>
      <w:r w:rsidRPr="00032F50">
        <w:t xml:space="preserve"> proposed forecast capex of $</w:t>
      </w:r>
      <w:r w:rsidR="00C34F2B">
        <w:t>37.06</w:t>
      </w:r>
      <w:r w:rsidRPr="00032F50">
        <w:t xml:space="preserve"> million ($ real 20</w:t>
      </w:r>
      <w:r w:rsidR="00053F5C">
        <w:t>14-</w:t>
      </w:r>
      <w:r w:rsidRPr="00032F50">
        <w:t xml:space="preserve">15) for the 2015-20 </w:t>
      </w:r>
      <w:r w:rsidR="00053F5C">
        <w:t xml:space="preserve">regulatory </w:t>
      </w:r>
      <w:r w:rsidR="0011281F">
        <w:t xml:space="preserve">control </w:t>
      </w:r>
      <w:r w:rsidRPr="00032F50">
        <w:t>period</w:t>
      </w:r>
      <w:r>
        <w:t xml:space="preserve"> is </w:t>
      </w:r>
      <w:r w:rsidR="00C965CC">
        <w:t>$</w:t>
      </w:r>
      <w:r w:rsidR="00C34F2B">
        <w:t>1</w:t>
      </w:r>
      <w:r w:rsidR="00C965CC">
        <w:t>.</w:t>
      </w:r>
      <w:r w:rsidR="00C34F2B">
        <w:t>8</w:t>
      </w:r>
      <w:r w:rsidR="00C965CC">
        <w:t>7 million ($</w:t>
      </w:r>
      <w:r w:rsidR="00613409">
        <w:t xml:space="preserve"> </w:t>
      </w:r>
      <w:r w:rsidR="00C965CC">
        <w:t>real 20</w:t>
      </w:r>
      <w:r w:rsidR="00053F5C">
        <w:t>14-</w:t>
      </w:r>
      <w:r w:rsidR="00C965CC">
        <w:t>15)</w:t>
      </w:r>
      <w:r w:rsidR="00F31945">
        <w:t>,</w:t>
      </w:r>
      <w:r>
        <w:t xml:space="preserve"> </w:t>
      </w:r>
      <w:r w:rsidR="00613409">
        <w:t xml:space="preserve">or </w:t>
      </w:r>
      <w:r w:rsidR="00C34F2B">
        <w:t>5.3</w:t>
      </w:r>
      <w:r w:rsidR="00613409">
        <w:t xml:space="preserve"> per cent</w:t>
      </w:r>
      <w:r w:rsidR="00F31945">
        <w:t>,</w:t>
      </w:r>
      <w:r>
        <w:t xml:space="preserve"> higher than </w:t>
      </w:r>
      <w:r w:rsidR="00C965CC">
        <w:t xml:space="preserve">the forecast capex in its </w:t>
      </w:r>
      <w:r w:rsidR="00613409">
        <w:t xml:space="preserve">initial </w:t>
      </w:r>
      <w:r w:rsidR="00C965CC">
        <w:t>proposal</w:t>
      </w:r>
      <w:r w:rsidR="00F31945">
        <w:t>.</w:t>
      </w:r>
      <w:r w:rsidR="00813FCC" w:rsidRPr="00813FCC">
        <w:rPr>
          <w:rStyle w:val="AERsuperscript"/>
        </w:rPr>
        <w:footnoteReference w:id="3"/>
      </w:r>
      <w:r w:rsidR="00813FCC">
        <w:t xml:space="preserve"> </w:t>
      </w:r>
      <w:r w:rsidR="00F31945">
        <w:t xml:space="preserve">It is </w:t>
      </w:r>
      <w:r w:rsidR="00813FCC" w:rsidRPr="00813FCC">
        <w:t>$</w:t>
      </w:r>
      <w:r w:rsidR="00813FCC">
        <w:t>2</w:t>
      </w:r>
      <w:r w:rsidR="00C34F2B">
        <w:t>1.7</w:t>
      </w:r>
      <w:r w:rsidR="00813FCC" w:rsidRPr="00813FCC">
        <w:t xml:space="preserve"> million</w:t>
      </w:r>
      <w:r w:rsidR="00F31945">
        <w:t>,</w:t>
      </w:r>
      <w:r w:rsidR="00813FCC" w:rsidRPr="00813FCC">
        <w:t xml:space="preserve"> or 1</w:t>
      </w:r>
      <w:r w:rsidR="00DF0B30">
        <w:t>41</w:t>
      </w:r>
      <w:r w:rsidR="00813FCC" w:rsidRPr="00813FCC">
        <w:t xml:space="preserve"> per cent</w:t>
      </w:r>
      <w:r w:rsidR="00F31945">
        <w:t>,</w:t>
      </w:r>
      <w:r w:rsidR="00813FCC" w:rsidRPr="00813FCC">
        <w:t xml:space="preserve"> higher than the actual/estimated capex over the previous 10 year 2005-15 regulatory </w:t>
      </w:r>
      <w:r w:rsidR="00F31945">
        <w:t xml:space="preserve">control </w:t>
      </w:r>
      <w:r w:rsidR="00813FCC" w:rsidRPr="00813FCC">
        <w:t>period.</w:t>
      </w:r>
      <w:r w:rsidR="00813FCC" w:rsidRPr="00813FCC">
        <w:rPr>
          <w:rStyle w:val="AERsuperscript"/>
        </w:rPr>
        <w:footnoteReference w:id="4"/>
      </w:r>
      <w:r w:rsidRPr="00032F50">
        <w:t xml:space="preserve"> </w:t>
      </w:r>
    </w:p>
    <w:p w:rsidR="00FA03FC" w:rsidRDefault="00032F50" w:rsidP="00FA03FC">
      <w:r w:rsidRPr="00032F50">
        <w:t xml:space="preserve">Directlink </w:t>
      </w:r>
      <w:r w:rsidR="00FA03FC">
        <w:t>identified three broad categories in which its revised proposal addressed the AER's draft decision on Directlink's forecast capital expenditure:</w:t>
      </w:r>
      <w:r w:rsidR="00242D4C">
        <w:rPr>
          <w:rStyle w:val="FootnoteReference"/>
        </w:rPr>
        <w:footnoteReference w:id="5"/>
      </w:r>
    </w:p>
    <w:p w:rsidR="00FA03FC" w:rsidRDefault="006B0FFD" w:rsidP="00FA03FC">
      <w:pPr>
        <w:pStyle w:val="AERbulletlistfirststyle"/>
      </w:pPr>
      <w:r>
        <w:t xml:space="preserve">projects </w:t>
      </w:r>
      <w:r w:rsidR="0005048F">
        <w:t xml:space="preserve">subject to cost confirmation </w:t>
      </w:r>
      <w:r w:rsidR="00FA03FC" w:rsidRPr="00FA03FC">
        <w:t>(fire suppression</w:t>
      </w:r>
      <w:r w:rsidR="00DE1079">
        <w:t xml:space="preserve"> system</w:t>
      </w:r>
      <w:r w:rsidR="00FA03FC" w:rsidRPr="00FA03FC">
        <w:t xml:space="preserve">, </w:t>
      </w:r>
      <w:r w:rsidR="00FA03FC">
        <w:t>phase reactor cooling revisions (</w:t>
      </w:r>
      <w:r w:rsidR="00FA03FC" w:rsidRPr="00FA03FC">
        <w:t>Gotland solution</w:t>
      </w:r>
      <w:r w:rsidR="00FA03FC">
        <w:t>) and</w:t>
      </w:r>
      <w:r w:rsidR="00FA03FC" w:rsidRPr="00FA03FC">
        <w:t xml:space="preserve"> zero s</w:t>
      </w:r>
      <w:r w:rsidR="00FA03FC">
        <w:t>equence phase reactor repairs)</w:t>
      </w:r>
    </w:p>
    <w:p w:rsidR="00FA03FC" w:rsidRPr="00FA03FC" w:rsidRDefault="006B0FFD" w:rsidP="00FA03FC">
      <w:pPr>
        <w:pStyle w:val="AERbulletlistfirststyle"/>
      </w:pPr>
      <w:r>
        <w:t xml:space="preserve">projects </w:t>
      </w:r>
      <w:r w:rsidR="0005048F">
        <w:t xml:space="preserve">subject to scope confirmation </w:t>
      </w:r>
      <w:r w:rsidR="00FA03FC" w:rsidRPr="00FA03FC">
        <w:t>(cable replacement program, cable joint sourcing program</w:t>
      </w:r>
      <w:r w:rsidR="00FA03FC">
        <w:t xml:space="preserve"> and roof repair program), and</w:t>
      </w:r>
    </w:p>
    <w:p w:rsidR="00FA03FC" w:rsidRPr="00FA03FC" w:rsidRDefault="0005048F" w:rsidP="00FA03FC">
      <w:pPr>
        <w:pStyle w:val="AERbulletlistfirststyle"/>
      </w:pPr>
      <w:r>
        <w:t xml:space="preserve">routine capex that did not warrant specific business cases </w:t>
      </w:r>
      <w:r w:rsidR="00FA03FC" w:rsidRPr="00FA03FC">
        <w:t>(“Other”</w:t>
      </w:r>
      <w:r w:rsidR="00242D4C">
        <w:t xml:space="preserve"> projects</w:t>
      </w:r>
      <w:r w:rsidR="00FA03FC" w:rsidRPr="00FA03FC">
        <w:t xml:space="preserve">) </w:t>
      </w:r>
    </w:p>
    <w:p w:rsidR="00032F50" w:rsidRDefault="00242D4C" w:rsidP="00032F50">
      <w:r>
        <w:t xml:space="preserve">Details of these projects </w:t>
      </w:r>
      <w:proofErr w:type="gramStart"/>
      <w:r>
        <w:t>are described</w:t>
      </w:r>
      <w:proofErr w:type="gramEnd"/>
      <w:r w:rsidR="00833879">
        <w:t xml:space="preserve"> in </w:t>
      </w:r>
      <w:r w:rsidR="0011281F">
        <w:fldChar w:fldCharType="begin"/>
      </w:r>
      <w:r w:rsidR="0011281F">
        <w:instrText xml:space="preserve"> REF _Ref417742598 \h </w:instrText>
      </w:r>
      <w:r w:rsidR="0011281F">
        <w:fldChar w:fldCharType="separate"/>
      </w:r>
      <w:r w:rsidR="0011281F">
        <w:t xml:space="preserve">Table </w:t>
      </w:r>
      <w:r w:rsidR="0011281F">
        <w:rPr>
          <w:noProof/>
        </w:rPr>
        <w:t>6</w:t>
      </w:r>
      <w:r w:rsidR="0011281F">
        <w:noBreakHyphen/>
      </w:r>
      <w:r w:rsidR="0011281F">
        <w:rPr>
          <w:noProof/>
        </w:rPr>
        <w:t>2</w:t>
      </w:r>
      <w:r w:rsidR="0011281F">
        <w:fldChar w:fldCharType="end"/>
      </w:r>
      <w:r w:rsidR="0011281F">
        <w:t xml:space="preserve"> </w:t>
      </w:r>
      <w:r w:rsidR="00833879">
        <w:t>below</w:t>
      </w:r>
      <w:r>
        <w:t>.</w:t>
      </w:r>
    </w:p>
    <w:p w:rsidR="00833879" w:rsidRDefault="0011281F" w:rsidP="0011281F">
      <w:pPr>
        <w:pStyle w:val="Caption"/>
      </w:pPr>
      <w:bookmarkStart w:id="16" w:name="_Ref417742598"/>
      <w:r>
        <w:lastRenderedPageBreak/>
        <w:t xml:space="preserve">Table </w:t>
      </w:r>
      <w:r w:rsidR="00611B75">
        <w:fldChar w:fldCharType="begin"/>
      </w:r>
      <w:r w:rsidR="00611B75">
        <w:instrText xml:space="preserve"> STYLEREF 1 \s </w:instrText>
      </w:r>
      <w:r w:rsidR="00611B75">
        <w:fldChar w:fldCharType="separate"/>
      </w:r>
      <w:r>
        <w:rPr>
          <w:noProof/>
        </w:rPr>
        <w:t>6</w:t>
      </w:r>
      <w:r w:rsidR="00611B75">
        <w:rPr>
          <w:noProof/>
        </w:rPr>
        <w:fldChar w:fldCharType="end"/>
      </w:r>
      <w:r>
        <w:noBreakHyphen/>
      </w:r>
      <w:r w:rsidR="00611B75">
        <w:fldChar w:fldCharType="begin"/>
      </w:r>
      <w:r w:rsidR="00611B75">
        <w:instrText xml:space="preserve"> SEQ Table \* ARABIC \s 1 </w:instrText>
      </w:r>
      <w:r w:rsidR="00611B75">
        <w:fldChar w:fldCharType="separate"/>
      </w:r>
      <w:r>
        <w:rPr>
          <w:noProof/>
        </w:rPr>
        <w:t>2</w:t>
      </w:r>
      <w:r w:rsidR="00611B75">
        <w:rPr>
          <w:noProof/>
        </w:rPr>
        <w:fldChar w:fldCharType="end"/>
      </w:r>
      <w:bookmarkEnd w:id="16"/>
      <w:r>
        <w:t xml:space="preserve"> </w:t>
      </w:r>
      <w:r w:rsidR="00833879">
        <w:t xml:space="preserve">Directlink's revised </w:t>
      </w:r>
      <w:r w:rsidR="00DF2967">
        <w:t>proposed</w:t>
      </w:r>
      <w:r w:rsidR="00833879">
        <w:t xml:space="preserve"> </w:t>
      </w:r>
      <w:r w:rsidR="00F31945">
        <w:t>capex</w:t>
      </w:r>
      <w:r w:rsidR="00833879">
        <w:t xml:space="preserve"> projects</w:t>
      </w:r>
    </w:p>
    <w:tbl>
      <w:tblPr>
        <w:tblStyle w:val="AERtable-numbers"/>
        <w:tblW w:w="0" w:type="auto"/>
        <w:tblLook w:val="04A0" w:firstRow="1" w:lastRow="0" w:firstColumn="1" w:lastColumn="0" w:noHBand="0" w:noVBand="1"/>
      </w:tblPr>
      <w:tblGrid>
        <w:gridCol w:w="2122"/>
        <w:gridCol w:w="4932"/>
        <w:gridCol w:w="1559"/>
      </w:tblGrid>
      <w:tr w:rsidR="00431160" w:rsidRPr="00DB3227" w:rsidTr="001128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00431160" w:rsidRPr="00DB3227" w:rsidRDefault="00431160" w:rsidP="00833879"/>
        </w:tc>
        <w:tc>
          <w:tcPr>
            <w:tcW w:w="4932" w:type="dxa"/>
          </w:tcPr>
          <w:p w:rsidR="00431160" w:rsidRPr="00833879" w:rsidRDefault="00431160" w:rsidP="00DE1079">
            <w:pPr>
              <w:jc w:val="left"/>
              <w:cnfStyle w:val="100000000000" w:firstRow="1" w:lastRow="0" w:firstColumn="0" w:lastColumn="0" w:oddVBand="0" w:evenVBand="0" w:oddHBand="0" w:evenHBand="0" w:firstRowFirstColumn="0" w:firstRowLastColumn="0" w:lastRowFirstColumn="0" w:lastRowLastColumn="0"/>
            </w:pPr>
            <w:r>
              <w:t xml:space="preserve">Details </w:t>
            </w:r>
          </w:p>
        </w:tc>
        <w:tc>
          <w:tcPr>
            <w:tcW w:w="1559" w:type="dxa"/>
          </w:tcPr>
          <w:p w:rsidR="00431160" w:rsidRPr="00833879" w:rsidRDefault="00431160" w:rsidP="00053F5C">
            <w:pPr>
              <w:jc w:val="left"/>
              <w:cnfStyle w:val="100000000000" w:firstRow="1" w:lastRow="0" w:firstColumn="0" w:lastColumn="0" w:oddVBand="0" w:evenVBand="0" w:oddHBand="0" w:evenHBand="0" w:firstRowFirstColumn="0" w:firstRowLastColumn="0" w:lastRowFirstColumn="0" w:lastRowLastColumn="0"/>
            </w:pPr>
            <w:r>
              <w:t>Directlink proposed capex</w:t>
            </w:r>
            <w:r w:rsidR="00EB6A01">
              <w:t xml:space="preserve"> </w:t>
            </w:r>
            <w:r w:rsidR="00DF2967">
              <w:t xml:space="preserve">for the 2015-20 regulatory period </w:t>
            </w:r>
            <w:r w:rsidR="00EB6A01">
              <w:t xml:space="preserve">($ </w:t>
            </w:r>
            <w:r w:rsidR="00C56FA1">
              <w:t xml:space="preserve">million </w:t>
            </w:r>
            <w:r w:rsidR="00EB6A01">
              <w:t>real 20</w:t>
            </w:r>
            <w:r w:rsidR="00053F5C">
              <w:t>14-</w:t>
            </w:r>
            <w:r w:rsidR="00EB6A01">
              <w:t>15)</w:t>
            </w:r>
          </w:p>
        </w:tc>
      </w:tr>
      <w:tr w:rsidR="00431160" w:rsidRPr="00DB3227" w:rsidTr="00DF2967">
        <w:tc>
          <w:tcPr>
            <w:cnfStyle w:val="001000000000" w:firstRow="0" w:lastRow="0" w:firstColumn="1" w:lastColumn="0" w:oddVBand="0" w:evenVBand="0" w:oddHBand="0" w:evenHBand="0" w:firstRowFirstColumn="0" w:firstRowLastColumn="0" w:lastRowFirstColumn="0" w:lastRowLastColumn="0"/>
            <w:tcW w:w="2122" w:type="dxa"/>
          </w:tcPr>
          <w:p w:rsidR="00431160" w:rsidRPr="00833879" w:rsidRDefault="00431160" w:rsidP="00833879">
            <w:r w:rsidRPr="00242D4C">
              <w:rPr>
                <w:rStyle w:val="AERtextitalic"/>
              </w:rPr>
              <w:t>P</w:t>
            </w:r>
            <w:r w:rsidRPr="00431160">
              <w:rPr>
                <w:rStyle w:val="AERtextitalic"/>
              </w:rPr>
              <w:t>rojects subject to cost confirmation</w:t>
            </w:r>
          </w:p>
        </w:tc>
        <w:tc>
          <w:tcPr>
            <w:tcW w:w="4932" w:type="dxa"/>
            <w:vAlign w:val="bottom"/>
          </w:tcPr>
          <w:p w:rsidR="00431160" w:rsidRPr="00833879" w:rsidRDefault="00431160" w:rsidP="00DE1079">
            <w:pPr>
              <w:jc w:val="left"/>
              <w:cnfStyle w:val="000000000000" w:firstRow="0" w:lastRow="0" w:firstColumn="0" w:lastColumn="0" w:oddVBand="0" w:evenVBand="0" w:oddHBand="0" w:evenHBand="0" w:firstRowFirstColumn="0" w:firstRowLastColumn="0" w:lastRowFirstColumn="0" w:lastRowLastColumn="0"/>
              <w:rPr>
                <w:rStyle w:val="AERtexthighlight"/>
              </w:rPr>
            </w:pPr>
          </w:p>
        </w:tc>
        <w:tc>
          <w:tcPr>
            <w:tcW w:w="1559" w:type="dxa"/>
            <w:vAlign w:val="bottom"/>
          </w:tcPr>
          <w:p w:rsidR="00431160" w:rsidRPr="00833879" w:rsidRDefault="00431160" w:rsidP="00833879">
            <w:pPr>
              <w:cnfStyle w:val="000000000000" w:firstRow="0" w:lastRow="0" w:firstColumn="0" w:lastColumn="0" w:oddVBand="0" w:evenVBand="0" w:oddHBand="0" w:evenHBand="0" w:firstRowFirstColumn="0" w:firstRowLastColumn="0" w:lastRowFirstColumn="0" w:lastRowLastColumn="0"/>
              <w:rPr>
                <w:rStyle w:val="AERtexthighlight"/>
              </w:rPr>
            </w:pPr>
          </w:p>
        </w:tc>
      </w:tr>
      <w:tr w:rsidR="00431160" w:rsidRPr="00DB3227" w:rsidTr="00DF29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31160" w:rsidRPr="00833879" w:rsidRDefault="00DE1079" w:rsidP="00833879">
            <w:r>
              <w:t>Fire suppression system</w:t>
            </w:r>
          </w:p>
        </w:tc>
        <w:tc>
          <w:tcPr>
            <w:tcW w:w="4932" w:type="dxa"/>
            <w:vAlign w:val="bottom"/>
          </w:tcPr>
          <w:p w:rsidR="00431160" w:rsidRPr="00DE1079" w:rsidRDefault="00DE1079" w:rsidP="00053F5C">
            <w:pPr>
              <w:jc w:val="left"/>
              <w:cnfStyle w:val="000000010000" w:firstRow="0" w:lastRow="0" w:firstColumn="0" w:lastColumn="0" w:oddVBand="0" w:evenVBand="0" w:oddHBand="0" w:evenHBand="1" w:firstRowFirstColumn="0" w:firstRowLastColumn="0" w:lastRowFirstColumn="0" w:lastRowLastColumn="0"/>
            </w:pPr>
            <w:r>
              <w:t>Directlink's May 2014 revenue proposal estimate was based on indicative estimates which ha</w:t>
            </w:r>
            <w:r w:rsidR="00053F5C">
              <w:t>ve</w:t>
            </w:r>
            <w:r>
              <w:t xml:space="preserve"> been revised based on a tender process subsequently undertaken by Directlink. Directlink</w:t>
            </w:r>
            <w:r w:rsidR="00C56FA1">
              <w:t xml:space="preserve"> also decided to advance</w:t>
            </w:r>
            <w:r w:rsidR="00CC3EBD">
              <w:t xml:space="preserve"> the</w:t>
            </w:r>
            <w:r w:rsidR="00C56FA1">
              <w:t xml:space="preserve"> timing of the project to commence in 2015.</w:t>
            </w:r>
            <w:r w:rsidR="00D142FC">
              <w:rPr>
                <w:rStyle w:val="FootnoteReference"/>
              </w:rPr>
              <w:footnoteReference w:id="6"/>
            </w:r>
          </w:p>
        </w:tc>
        <w:tc>
          <w:tcPr>
            <w:tcW w:w="1559" w:type="dxa"/>
            <w:vAlign w:val="bottom"/>
          </w:tcPr>
          <w:p w:rsidR="00431160" w:rsidRPr="00C56FA1" w:rsidRDefault="007B3999" w:rsidP="00A40625">
            <w:pPr>
              <w:jc w:val="center"/>
              <w:cnfStyle w:val="000000010000" w:firstRow="0" w:lastRow="0" w:firstColumn="0" w:lastColumn="0" w:oddVBand="0" w:evenVBand="0" w:oddHBand="0" w:evenHBand="1" w:firstRowFirstColumn="0" w:firstRowLastColumn="0" w:lastRowFirstColumn="0" w:lastRowLastColumn="0"/>
            </w:pPr>
            <w:r>
              <w:t>$</w:t>
            </w:r>
            <w:r w:rsidR="00A40625">
              <w:t>5.496</w:t>
            </w:r>
          </w:p>
        </w:tc>
      </w:tr>
      <w:tr w:rsidR="00431160" w:rsidRPr="00DB3227" w:rsidTr="00DF2967">
        <w:trPr>
          <w:trHeight w:val="80"/>
        </w:trPr>
        <w:tc>
          <w:tcPr>
            <w:cnfStyle w:val="001000000000" w:firstRow="0" w:lastRow="0" w:firstColumn="1" w:lastColumn="0" w:oddVBand="0" w:evenVBand="0" w:oddHBand="0" w:evenHBand="0" w:firstRowFirstColumn="0" w:firstRowLastColumn="0" w:lastRowFirstColumn="0" w:lastRowLastColumn="0"/>
            <w:tcW w:w="2122" w:type="dxa"/>
          </w:tcPr>
          <w:p w:rsidR="00431160" w:rsidRPr="00833879" w:rsidRDefault="00C56FA1" w:rsidP="00833879">
            <w:r>
              <w:t>Phase reactor cooling revisions (</w:t>
            </w:r>
            <w:r w:rsidRPr="00C56FA1">
              <w:t>Gotland solution)</w:t>
            </w:r>
          </w:p>
        </w:tc>
        <w:tc>
          <w:tcPr>
            <w:tcW w:w="4932" w:type="dxa"/>
            <w:vAlign w:val="bottom"/>
          </w:tcPr>
          <w:p w:rsidR="00431160" w:rsidRPr="00833879" w:rsidRDefault="006E351F" w:rsidP="006E351F">
            <w:pPr>
              <w:jc w:val="left"/>
              <w:cnfStyle w:val="000000000000" w:firstRow="0" w:lastRow="0" w:firstColumn="0" w:lastColumn="0" w:oddVBand="0" w:evenVBand="0" w:oddHBand="0" w:evenHBand="0" w:firstRowFirstColumn="0" w:firstRowLastColumn="0" w:lastRowFirstColumn="0" w:lastRowLastColumn="0"/>
            </w:pPr>
            <w:r>
              <w:t>At the time of lodging its revenue proposal in May 2014, Directlink was still negotiating the final costs of the project. These negotiations have been completed and the cost has been appropriated between the pilot, which has been included in historical capex, and the rollout which is scheduled to occur in 2016.</w:t>
            </w:r>
            <w:r w:rsidR="00D142FC">
              <w:rPr>
                <w:rStyle w:val="FootnoteReference"/>
              </w:rPr>
              <w:footnoteReference w:id="7"/>
            </w:r>
          </w:p>
        </w:tc>
        <w:tc>
          <w:tcPr>
            <w:tcW w:w="1559" w:type="dxa"/>
            <w:vAlign w:val="bottom"/>
          </w:tcPr>
          <w:p w:rsidR="00431160" w:rsidRPr="00833879" w:rsidRDefault="007B3999" w:rsidP="00A40625">
            <w:pPr>
              <w:jc w:val="center"/>
              <w:cnfStyle w:val="000000000000" w:firstRow="0" w:lastRow="0" w:firstColumn="0" w:lastColumn="0" w:oddVBand="0" w:evenVBand="0" w:oddHBand="0" w:evenHBand="0" w:firstRowFirstColumn="0" w:firstRowLastColumn="0" w:lastRowFirstColumn="0" w:lastRowLastColumn="0"/>
            </w:pPr>
            <w:r>
              <w:t>$</w:t>
            </w:r>
            <w:r w:rsidR="00A40625">
              <w:t>2.822</w:t>
            </w:r>
          </w:p>
        </w:tc>
      </w:tr>
      <w:tr w:rsidR="00431160" w:rsidRPr="00DB3227" w:rsidTr="00DF2967">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2" w:type="dxa"/>
          </w:tcPr>
          <w:p w:rsidR="00431160" w:rsidRPr="00833879" w:rsidRDefault="003430BD" w:rsidP="00833879">
            <w:r>
              <w:t>Zero sequence reactor repair</w:t>
            </w:r>
          </w:p>
        </w:tc>
        <w:tc>
          <w:tcPr>
            <w:tcW w:w="4932" w:type="dxa"/>
            <w:vAlign w:val="bottom"/>
          </w:tcPr>
          <w:p w:rsidR="00431160" w:rsidRDefault="003430BD" w:rsidP="00DE1079">
            <w:pPr>
              <w:jc w:val="left"/>
              <w:cnfStyle w:val="000000010000" w:firstRow="0" w:lastRow="0" w:firstColumn="0" w:lastColumn="0" w:oddVBand="0" w:evenVBand="0" w:oddHBand="0" w:evenHBand="1" w:firstRowFirstColumn="0" w:firstRowLastColumn="0" w:lastRowFirstColumn="0" w:lastRowLastColumn="0"/>
            </w:pPr>
            <w:r>
              <w:t>Directlink submitted that it is prudent and efficient to source the spare reactor from the original man</w:t>
            </w:r>
            <w:r w:rsidR="007B3999">
              <w:t>ufacturer because:</w:t>
            </w:r>
          </w:p>
          <w:p w:rsidR="003430BD" w:rsidRDefault="007B3999" w:rsidP="00FB5AA4">
            <w:pPr>
              <w:pStyle w:val="AERbulletlistfirststyle"/>
              <w:numPr>
                <w:ilvl w:val="0"/>
                <w:numId w:val="0"/>
              </w:numPr>
              <w:ind w:left="357"/>
              <w:jc w:val="left"/>
              <w:cnfStyle w:val="000000010000" w:firstRow="0" w:lastRow="0" w:firstColumn="0" w:lastColumn="0" w:oddVBand="0" w:evenVBand="0" w:oddHBand="0" w:evenHBand="1" w:firstRowFirstColumn="0" w:firstRowLastColumn="0" w:lastRowFirstColumn="0" w:lastRowLastColumn="0"/>
            </w:pPr>
            <w:r w:rsidRPr="007B3999">
              <w:t>Directlink's experience with the reconstruction of the Mullumbimby converter station indicates that there are significant risks associated with sourcing key components</w:t>
            </w:r>
            <w:r>
              <w:t xml:space="preserve"> from </w:t>
            </w:r>
            <w:r w:rsidR="00D25B09">
              <w:t>manufacturers</w:t>
            </w:r>
            <w:r>
              <w:t xml:space="preserve"> other than the original equipment manufacturer</w:t>
            </w:r>
            <w:r w:rsidR="000C3AB8">
              <w:t>, and</w:t>
            </w:r>
          </w:p>
          <w:p w:rsidR="007B3999" w:rsidRDefault="007B3999" w:rsidP="00FB5AA4">
            <w:pPr>
              <w:pStyle w:val="AERbulletlistfirststyle"/>
              <w:numPr>
                <w:ilvl w:val="0"/>
                <w:numId w:val="0"/>
              </w:numPr>
              <w:ind w:left="357"/>
              <w:jc w:val="left"/>
              <w:cnfStyle w:val="000000010000" w:firstRow="0" w:lastRow="0" w:firstColumn="0" w:lastColumn="0" w:oddVBand="0" w:evenVBand="0" w:oddHBand="0" w:evenHBand="1" w:firstRowFirstColumn="0" w:firstRowLastColumn="0" w:lastRowFirstColumn="0" w:lastRowLastColumn="0"/>
            </w:pPr>
            <w:r>
              <w:t xml:space="preserve">as the unit may remain in storage for a significant period of time before it is deployed, it is critical to ensure that the manufacturer remains in business and available to address any concerns. </w:t>
            </w:r>
            <w:r w:rsidR="000C3AB8">
              <w:t>Directlink consider that it is not prudent to rely on</w:t>
            </w:r>
            <w:r w:rsidR="000C3AB8" w:rsidRPr="000C3AB8">
              <w:t xml:space="preserve"> an aftermarket supplier whose availability may be in question in years to come</w:t>
            </w:r>
            <w:r w:rsidR="000C3AB8">
              <w:t>.</w:t>
            </w:r>
          </w:p>
          <w:p w:rsidR="000C3AB8" w:rsidRPr="000C3AB8" w:rsidRDefault="000C3AB8" w:rsidP="000C3AB8">
            <w:pPr>
              <w:jc w:val="left"/>
              <w:cnfStyle w:val="000000010000" w:firstRow="0" w:lastRow="0" w:firstColumn="0" w:lastColumn="0" w:oddVBand="0" w:evenVBand="0" w:oddHBand="0" w:evenHBand="1" w:firstRowFirstColumn="0" w:firstRowLastColumn="0" w:lastRowFirstColumn="0" w:lastRowLastColumn="0"/>
            </w:pPr>
            <w:r>
              <w:t xml:space="preserve">Directlink also considers that the draft decision did not provide </w:t>
            </w:r>
            <w:r w:rsidRPr="000C3AB8">
              <w:t xml:space="preserve">any reference information to allow Directlink to test the </w:t>
            </w:r>
            <w:r>
              <w:t>r</w:t>
            </w:r>
            <w:r w:rsidRPr="000C3AB8">
              <w:t xml:space="preserve">easonableness of </w:t>
            </w:r>
            <w:r>
              <w:t>the AER's</w:t>
            </w:r>
            <w:r w:rsidRPr="000C3AB8">
              <w:t xml:space="preserve"> assessed costs</w:t>
            </w:r>
            <w:r>
              <w:t xml:space="preserve"> of the reactor</w:t>
            </w:r>
            <w:r w:rsidRPr="000C3AB8">
              <w:t>.</w:t>
            </w:r>
            <w:r w:rsidR="00D142FC">
              <w:rPr>
                <w:rStyle w:val="FootnoteReference"/>
              </w:rPr>
              <w:footnoteReference w:id="8"/>
            </w:r>
            <w:r w:rsidR="00053F5C">
              <w:t xml:space="preserve"> </w:t>
            </w:r>
          </w:p>
        </w:tc>
        <w:tc>
          <w:tcPr>
            <w:tcW w:w="1559" w:type="dxa"/>
            <w:vAlign w:val="bottom"/>
          </w:tcPr>
          <w:p w:rsidR="00431160" w:rsidRPr="00833879" w:rsidRDefault="00A40625" w:rsidP="00A40625">
            <w:pPr>
              <w:cnfStyle w:val="000000010000" w:firstRow="0" w:lastRow="0" w:firstColumn="0" w:lastColumn="0" w:oddVBand="0" w:evenVBand="0" w:oddHBand="0" w:evenHBand="1" w:firstRowFirstColumn="0" w:firstRowLastColumn="0" w:lastRowFirstColumn="0" w:lastRowLastColumn="0"/>
            </w:pPr>
            <w:r>
              <w:t>$1.498</w:t>
            </w:r>
          </w:p>
        </w:tc>
      </w:tr>
      <w:tr w:rsidR="000C3AB8" w:rsidRPr="00DB3227" w:rsidTr="00DF2967">
        <w:trPr>
          <w:trHeight w:val="80"/>
        </w:trPr>
        <w:tc>
          <w:tcPr>
            <w:cnfStyle w:val="001000000000" w:firstRow="0" w:lastRow="0" w:firstColumn="1" w:lastColumn="0" w:oddVBand="0" w:evenVBand="0" w:oddHBand="0" w:evenHBand="0" w:firstRowFirstColumn="0" w:firstRowLastColumn="0" w:lastRowFirstColumn="0" w:lastRowLastColumn="0"/>
            <w:tcW w:w="2122" w:type="dxa"/>
          </w:tcPr>
          <w:p w:rsidR="000C3AB8" w:rsidRDefault="00DF2967" w:rsidP="00DF2967">
            <w:r w:rsidRPr="00242D4C">
              <w:rPr>
                <w:rStyle w:val="AERtextitalic"/>
              </w:rPr>
              <w:t>P</w:t>
            </w:r>
            <w:r w:rsidRPr="00DF2967">
              <w:rPr>
                <w:rStyle w:val="AERtextitalic"/>
              </w:rPr>
              <w:t xml:space="preserve">rojects subject to </w:t>
            </w:r>
            <w:r>
              <w:rPr>
                <w:rStyle w:val="AERtextitalic"/>
              </w:rPr>
              <w:t xml:space="preserve">scope </w:t>
            </w:r>
            <w:r w:rsidRPr="00DF2967">
              <w:rPr>
                <w:rStyle w:val="AERtextitalic"/>
              </w:rPr>
              <w:t>confirmation</w:t>
            </w:r>
          </w:p>
        </w:tc>
        <w:tc>
          <w:tcPr>
            <w:tcW w:w="4932" w:type="dxa"/>
            <w:vAlign w:val="bottom"/>
          </w:tcPr>
          <w:p w:rsidR="000C3AB8" w:rsidRDefault="000C3AB8" w:rsidP="00DE1079">
            <w:pPr>
              <w:cnfStyle w:val="000000000000" w:firstRow="0" w:lastRow="0" w:firstColumn="0" w:lastColumn="0" w:oddVBand="0" w:evenVBand="0" w:oddHBand="0" w:evenHBand="0" w:firstRowFirstColumn="0" w:firstRowLastColumn="0" w:lastRowFirstColumn="0" w:lastRowLastColumn="0"/>
            </w:pPr>
          </w:p>
        </w:tc>
        <w:tc>
          <w:tcPr>
            <w:tcW w:w="1559" w:type="dxa"/>
            <w:vAlign w:val="bottom"/>
          </w:tcPr>
          <w:p w:rsidR="000C3AB8" w:rsidRPr="00833879" w:rsidRDefault="000C3AB8" w:rsidP="00833879">
            <w:pPr>
              <w:cnfStyle w:val="000000000000" w:firstRow="0" w:lastRow="0" w:firstColumn="0" w:lastColumn="0" w:oddVBand="0" w:evenVBand="0" w:oddHBand="0" w:evenHBand="0" w:firstRowFirstColumn="0" w:firstRowLastColumn="0" w:lastRowFirstColumn="0" w:lastRowLastColumn="0"/>
            </w:pPr>
          </w:p>
        </w:tc>
      </w:tr>
      <w:tr w:rsidR="00DF2967" w:rsidRPr="00DB3227" w:rsidTr="00DF2967">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2" w:type="dxa"/>
          </w:tcPr>
          <w:p w:rsidR="00DF2967" w:rsidRPr="00524B29" w:rsidRDefault="00524B29" w:rsidP="00524B29">
            <w:r w:rsidRPr="00524B29">
              <w:t>Cable replacement program</w:t>
            </w:r>
          </w:p>
        </w:tc>
        <w:tc>
          <w:tcPr>
            <w:tcW w:w="4932" w:type="dxa"/>
            <w:vAlign w:val="bottom"/>
          </w:tcPr>
          <w:p w:rsidR="00DF2967" w:rsidRDefault="00524B29" w:rsidP="000642B8">
            <w:pPr>
              <w:jc w:val="left"/>
              <w:cnfStyle w:val="000000010000" w:firstRow="0" w:lastRow="0" w:firstColumn="0" w:lastColumn="0" w:oddVBand="0" w:evenVBand="0" w:oddHBand="0" w:evenHBand="1" w:firstRowFirstColumn="0" w:firstRowLastColumn="0" w:lastRowFirstColumn="0" w:lastRowLastColumn="0"/>
            </w:pPr>
            <w:r>
              <w:t>Directlink submitted that its cable</w:t>
            </w:r>
            <w:r w:rsidRPr="00524B29">
              <w:t xml:space="preserve"> replacement program is designed to undertake targeted replacements of cable in known trouble spots, in addition to the longer cable lengths replaced in response to faults under the current trial program. As the program continues, Directlink </w:t>
            </w:r>
            <w:r w:rsidR="000642B8">
              <w:t xml:space="preserve">expect it </w:t>
            </w:r>
            <w:r w:rsidRPr="00524B29">
              <w:t>will see a lower proportion of reactive cable replacements and a higher proportion of proactive cable replacements</w:t>
            </w:r>
            <w:r w:rsidR="000642B8">
              <w:t xml:space="preserve">. </w:t>
            </w:r>
            <w:r w:rsidR="000642B8" w:rsidRPr="000642B8">
              <w:t xml:space="preserve">The total capital expenditure cost of the (reactive and proactive) cable replacement program is the sum of the cost of the cable, the cable joints, and the costs of planning </w:t>
            </w:r>
            <w:r w:rsidR="000642B8" w:rsidRPr="000642B8">
              <w:lastRenderedPageBreak/>
              <w:t>and coordinating the program, as well as installing the replacement cable</w:t>
            </w:r>
            <w:r w:rsidR="000642B8">
              <w:t>.</w:t>
            </w:r>
            <w:r w:rsidR="00D142FC">
              <w:rPr>
                <w:rStyle w:val="FootnoteReference"/>
              </w:rPr>
              <w:footnoteReference w:id="9"/>
            </w:r>
          </w:p>
        </w:tc>
        <w:tc>
          <w:tcPr>
            <w:tcW w:w="1559" w:type="dxa"/>
            <w:vAlign w:val="bottom"/>
          </w:tcPr>
          <w:p w:rsidR="00DF2967" w:rsidRPr="00833879" w:rsidRDefault="000642B8" w:rsidP="00833879">
            <w:pPr>
              <w:cnfStyle w:val="000000010000" w:firstRow="0" w:lastRow="0" w:firstColumn="0" w:lastColumn="0" w:oddVBand="0" w:evenVBand="0" w:oddHBand="0" w:evenHBand="1" w:firstRowFirstColumn="0" w:firstRowLastColumn="0" w:lastRowFirstColumn="0" w:lastRowLastColumn="0"/>
            </w:pPr>
            <w:r>
              <w:lastRenderedPageBreak/>
              <w:t>$8.370</w:t>
            </w:r>
          </w:p>
        </w:tc>
      </w:tr>
      <w:tr w:rsidR="00DF2967" w:rsidRPr="00DB3227" w:rsidTr="00DF2967">
        <w:trPr>
          <w:trHeight w:val="80"/>
        </w:trPr>
        <w:tc>
          <w:tcPr>
            <w:cnfStyle w:val="001000000000" w:firstRow="0" w:lastRow="0" w:firstColumn="1" w:lastColumn="0" w:oddVBand="0" w:evenVBand="0" w:oddHBand="0" w:evenHBand="0" w:firstRowFirstColumn="0" w:firstRowLastColumn="0" w:lastRowFirstColumn="0" w:lastRowLastColumn="0"/>
            <w:tcW w:w="2122" w:type="dxa"/>
          </w:tcPr>
          <w:p w:rsidR="00DF2967" w:rsidRPr="000642B8" w:rsidRDefault="000642B8" w:rsidP="000642B8">
            <w:r w:rsidRPr="000642B8">
              <w:lastRenderedPageBreak/>
              <w:t>Converter station roof restoration program</w:t>
            </w:r>
          </w:p>
        </w:tc>
        <w:tc>
          <w:tcPr>
            <w:tcW w:w="4932" w:type="dxa"/>
            <w:vAlign w:val="bottom"/>
          </w:tcPr>
          <w:p w:rsidR="00DF2967" w:rsidRDefault="000642B8" w:rsidP="003F0F56">
            <w:pPr>
              <w:jc w:val="left"/>
              <w:cnfStyle w:val="000000000000" w:firstRow="0" w:lastRow="0" w:firstColumn="0" w:lastColumn="0" w:oddVBand="0" w:evenVBand="0" w:oddHBand="0" w:evenHBand="0" w:firstRowFirstColumn="0" w:firstRowLastColumn="0" w:lastRowFirstColumn="0" w:lastRowLastColumn="0"/>
            </w:pPr>
            <w:r>
              <w:t xml:space="preserve">Directlink accepted the draft decisions conclusion that the restoration work could be completed as a single project rather than an annual roof repair program as originally proposed. </w:t>
            </w:r>
            <w:r w:rsidR="003F0F56">
              <w:t>Directlink provided two quotes for repairs to the roofing of the converter stations.</w:t>
            </w:r>
            <w:r w:rsidR="00D142FC">
              <w:rPr>
                <w:rStyle w:val="FootnoteReference"/>
              </w:rPr>
              <w:footnoteReference w:id="10"/>
            </w:r>
          </w:p>
        </w:tc>
        <w:tc>
          <w:tcPr>
            <w:tcW w:w="1559" w:type="dxa"/>
            <w:vAlign w:val="bottom"/>
          </w:tcPr>
          <w:p w:rsidR="00DF2967" w:rsidRPr="00833879" w:rsidRDefault="003F0F56" w:rsidP="00833879">
            <w:pPr>
              <w:cnfStyle w:val="000000000000" w:firstRow="0" w:lastRow="0" w:firstColumn="0" w:lastColumn="0" w:oddVBand="0" w:evenVBand="0" w:oddHBand="0" w:evenHBand="0" w:firstRowFirstColumn="0" w:firstRowLastColumn="0" w:lastRowFirstColumn="0" w:lastRowLastColumn="0"/>
            </w:pPr>
            <w:r>
              <w:t>$0.287</w:t>
            </w:r>
          </w:p>
        </w:tc>
      </w:tr>
      <w:tr w:rsidR="00DF2967" w:rsidRPr="00DB3227" w:rsidTr="00DF2967">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2" w:type="dxa"/>
          </w:tcPr>
          <w:p w:rsidR="00DF2967" w:rsidRPr="00242D4C" w:rsidRDefault="003F0F56" w:rsidP="00DF2967">
            <w:pPr>
              <w:rPr>
                <w:rStyle w:val="AERtextitalic"/>
              </w:rPr>
            </w:pPr>
            <w:r>
              <w:rPr>
                <w:rStyle w:val="AERtextitalic"/>
              </w:rPr>
              <w:t>Other projects</w:t>
            </w:r>
          </w:p>
        </w:tc>
        <w:tc>
          <w:tcPr>
            <w:tcW w:w="4932" w:type="dxa"/>
            <w:vAlign w:val="bottom"/>
          </w:tcPr>
          <w:p w:rsidR="00DF2967" w:rsidRDefault="003F0F56" w:rsidP="003F0F56">
            <w:pPr>
              <w:jc w:val="left"/>
              <w:cnfStyle w:val="000000010000" w:firstRow="0" w:lastRow="0" w:firstColumn="0" w:lastColumn="0" w:oddVBand="0" w:evenVBand="0" w:oddHBand="0" w:evenHBand="1" w:firstRowFirstColumn="0" w:firstRowLastColumn="0" w:lastRowFirstColumn="0" w:lastRowLastColumn="0"/>
            </w:pPr>
            <w:r>
              <w:t>Directlink provided details of its routine "Stay in Business" capex projects that do not warrant individual discussion or business cases.</w:t>
            </w:r>
            <w:r w:rsidR="009046BE">
              <w:rPr>
                <w:rStyle w:val="FootnoteReference"/>
              </w:rPr>
              <w:footnoteReference w:id="11"/>
            </w:r>
          </w:p>
        </w:tc>
        <w:tc>
          <w:tcPr>
            <w:tcW w:w="1559" w:type="dxa"/>
            <w:vAlign w:val="bottom"/>
          </w:tcPr>
          <w:p w:rsidR="00DF2967" w:rsidRPr="00833879" w:rsidRDefault="003F0F56" w:rsidP="00833879">
            <w:pPr>
              <w:cnfStyle w:val="000000010000" w:firstRow="0" w:lastRow="0" w:firstColumn="0" w:lastColumn="0" w:oddVBand="0" w:evenVBand="0" w:oddHBand="0" w:evenHBand="1" w:firstRowFirstColumn="0" w:firstRowLastColumn="0" w:lastRowFirstColumn="0" w:lastRowLastColumn="0"/>
            </w:pPr>
            <w:r>
              <w:t>$1.577</w:t>
            </w:r>
          </w:p>
        </w:tc>
      </w:tr>
    </w:tbl>
    <w:p w:rsidR="00833879" w:rsidRDefault="00050D5B" w:rsidP="00050D5B">
      <w:pPr>
        <w:pStyle w:val="AERtablesource"/>
      </w:pPr>
      <w:r>
        <w:t xml:space="preserve">Source: Directlink </w:t>
      </w:r>
      <w:r w:rsidR="0050341D">
        <w:t>Revised</w:t>
      </w:r>
      <w:r w:rsidR="0020548A">
        <w:t xml:space="preserve"> r</w:t>
      </w:r>
      <w:r>
        <w:t xml:space="preserve">evenue </w:t>
      </w:r>
      <w:r w:rsidR="0020548A">
        <w:t>p</w:t>
      </w:r>
      <w:r>
        <w:t>roposal.</w:t>
      </w:r>
    </w:p>
    <w:p w:rsidR="00DE563D" w:rsidRPr="00AF1F9E" w:rsidRDefault="00DE563D" w:rsidP="00AF1F9E">
      <w:pPr>
        <w:pStyle w:val="Heading2"/>
      </w:pPr>
      <w:bookmarkStart w:id="17" w:name="_Toc403144138"/>
      <w:bookmarkStart w:id="18" w:name="_Toc417742820"/>
      <w:r w:rsidRPr="00AF1F9E">
        <w:t>AER’s assessment approach</w:t>
      </w:r>
      <w:bookmarkEnd w:id="17"/>
      <w:bookmarkEnd w:id="18"/>
    </w:p>
    <w:p w:rsidR="0050341D" w:rsidRPr="00D305F4" w:rsidRDefault="0050341D" w:rsidP="0050341D">
      <w:pPr>
        <w:numPr>
          <w:ilvl w:val="0"/>
          <w:numId w:val="25"/>
        </w:numPr>
      </w:pPr>
      <w:r w:rsidRPr="00D305F4">
        <w:t>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w:t>
      </w:r>
    </w:p>
    <w:p w:rsidR="004F0671" w:rsidRPr="00D305F4" w:rsidRDefault="0050341D" w:rsidP="004F0671">
      <w:pPr>
        <w:numPr>
          <w:ilvl w:val="0"/>
          <w:numId w:val="25"/>
        </w:numPr>
      </w:pPr>
      <w:r w:rsidRPr="00D305F4">
        <w:t>We will accept Directlink's proposed total forecast capex if we are satisfied that it reasonably reflects the capex criteria.</w:t>
      </w:r>
      <w:r w:rsidRPr="003B71B0">
        <w:rPr>
          <w:rStyle w:val="AERsuperscript"/>
        </w:rPr>
        <w:footnoteReference w:id="12"/>
      </w:r>
      <w:r w:rsidRPr="00D305F4">
        <w:t xml:space="preserve"> If we are not satisfied, we replace it with our estimate of a total forecast capex that we are satisfied reasonably reflects the capex criteria.</w:t>
      </w:r>
      <w:r w:rsidRPr="003B71B0">
        <w:rPr>
          <w:rStyle w:val="AERsuperscript"/>
        </w:rPr>
        <w:footnoteReference w:id="13"/>
      </w:r>
      <w:r w:rsidRPr="00D305F4">
        <w:t xml:space="preserve"> The capex criteria are:</w:t>
      </w:r>
    </w:p>
    <w:p w:rsidR="0050341D" w:rsidRPr="00D305F4" w:rsidRDefault="0050341D" w:rsidP="0011281F">
      <w:pPr>
        <w:pStyle w:val="ListNumber"/>
      </w:pPr>
      <w:r w:rsidRPr="00D305F4">
        <w:t>the efficient costs of achieving the capital expenditure objectives</w:t>
      </w:r>
    </w:p>
    <w:p w:rsidR="0050341D" w:rsidRPr="00D305F4" w:rsidRDefault="0050341D" w:rsidP="0011281F">
      <w:pPr>
        <w:pStyle w:val="ListNumber"/>
      </w:pPr>
      <w:r w:rsidRPr="00D305F4">
        <w:t>the costs that a prudent operator would require to achieve the capital expenditure objectives</w:t>
      </w:r>
    </w:p>
    <w:p w:rsidR="0050341D" w:rsidRPr="00D305F4" w:rsidRDefault="0050341D" w:rsidP="0011281F">
      <w:pPr>
        <w:pStyle w:val="ListNumber"/>
      </w:pPr>
      <w:r w:rsidRPr="00D305F4">
        <w:t>a realistic expectation of the demand forecast and cost inputs required to achieve the capital expenditure objectives.</w:t>
      </w:r>
    </w:p>
    <w:p w:rsidR="0050341D" w:rsidRDefault="0050341D" w:rsidP="0050341D">
      <w:pPr>
        <w:numPr>
          <w:ilvl w:val="0"/>
          <w:numId w:val="25"/>
        </w:numPr>
      </w:pPr>
      <w:r w:rsidRPr="00D305F4">
        <w:t>The Australian Energy Market Commission (AEMC) noted that '[t]hese criteria broadly reflect the NEO [National Electricity Objective]'.</w:t>
      </w:r>
      <w:r w:rsidRPr="003B71B0">
        <w:rPr>
          <w:rStyle w:val="AERsuperscript"/>
        </w:rPr>
        <w:footnoteReference w:id="14"/>
      </w:r>
      <w:r w:rsidRPr="00D305F4">
        <w:t xml:space="preserve"> The capex objectives referred to in the capex criteria, are to:</w:t>
      </w:r>
      <w:r w:rsidRPr="003B71B0">
        <w:rPr>
          <w:rStyle w:val="AERsuperscript"/>
        </w:rPr>
        <w:footnoteReference w:id="15"/>
      </w:r>
    </w:p>
    <w:p w:rsidR="0050341D" w:rsidRPr="00D305F4" w:rsidRDefault="0050341D" w:rsidP="0011281F">
      <w:pPr>
        <w:pStyle w:val="ListNumber"/>
        <w:numPr>
          <w:ilvl w:val="0"/>
          <w:numId w:val="42"/>
        </w:numPr>
      </w:pPr>
      <w:r w:rsidRPr="00D305F4">
        <w:lastRenderedPageBreak/>
        <w:t>meet or manage the expected demand for prescribed transmission services over the period</w:t>
      </w:r>
    </w:p>
    <w:p w:rsidR="0050341D" w:rsidRPr="00D305F4" w:rsidRDefault="0050341D" w:rsidP="0011281F">
      <w:pPr>
        <w:pStyle w:val="ListNumber"/>
        <w:numPr>
          <w:ilvl w:val="0"/>
          <w:numId w:val="42"/>
        </w:numPr>
      </w:pPr>
      <w:r w:rsidRPr="00D305F4">
        <w:t xml:space="preserve">comply with all regulatory obligations or requirements associated with the provision of prescribed transmission services </w:t>
      </w:r>
    </w:p>
    <w:p w:rsidR="0050341D" w:rsidRPr="00D305F4" w:rsidRDefault="0050341D" w:rsidP="0011281F">
      <w:pPr>
        <w:pStyle w:val="ListNumber"/>
        <w:numPr>
          <w:ilvl w:val="0"/>
          <w:numId w:val="42"/>
        </w:numPr>
      </w:pPr>
      <w:r w:rsidRPr="00D305F4">
        <w:t>to the extent that there are no such obligations or requirements, maintain service quality, reliability and security of supply of prescribed transmission services and maintain the reliability and security of the transmission system</w:t>
      </w:r>
    </w:p>
    <w:p w:rsidR="0050341D" w:rsidRPr="00D305F4" w:rsidRDefault="0050341D" w:rsidP="0011281F">
      <w:pPr>
        <w:pStyle w:val="ListNumber"/>
        <w:numPr>
          <w:ilvl w:val="0"/>
          <w:numId w:val="42"/>
        </w:numPr>
      </w:pPr>
      <w:r w:rsidRPr="00D305F4">
        <w:t>maintain the safety of the transmission system through the supply of prescribed transmission services.</w:t>
      </w:r>
    </w:p>
    <w:p w:rsidR="0050341D" w:rsidRPr="00D305F4" w:rsidRDefault="0050341D" w:rsidP="0050341D">
      <w:pPr>
        <w:numPr>
          <w:ilvl w:val="0"/>
          <w:numId w:val="25"/>
        </w:numPr>
      </w:pPr>
      <w:r w:rsidRPr="00D305F4">
        <w:t>Importantly, our assessment is about the total forecast capex and not about particular categories or projects in the capex forecast. The AEMC has expressed our role in these terms:</w:t>
      </w:r>
      <w:r w:rsidRPr="003B71B0">
        <w:rPr>
          <w:rStyle w:val="AERsuperscript"/>
        </w:rPr>
        <w:footnoteReference w:id="16"/>
      </w:r>
    </w:p>
    <w:p w:rsidR="0050341D" w:rsidRPr="00D305F4" w:rsidRDefault="0050341D" w:rsidP="0050341D">
      <w:pPr>
        <w:pStyle w:val="AERquote"/>
      </w:pPr>
      <w:r w:rsidRPr="00D305F4">
        <w:t>It should be noted here that what the AER approves in this context is expenditure allowances, not projects.</w:t>
      </w:r>
    </w:p>
    <w:p w:rsidR="0050341D" w:rsidRPr="00D305F4" w:rsidRDefault="0050341D" w:rsidP="0050341D">
      <w:r w:rsidRPr="00D305F4">
        <w:t>In deciding whether we are satisfied if Directlink's proposed total forecast capex reasonably reflects the capex criteria, we have regard to the capex factors.</w:t>
      </w:r>
    </w:p>
    <w:p w:rsidR="0050341D" w:rsidRDefault="0050341D" w:rsidP="0050341D">
      <w:r w:rsidRPr="00D305F4">
        <w:t>The capex factors are:</w:t>
      </w:r>
      <w:r w:rsidRPr="003B71B0">
        <w:rPr>
          <w:rStyle w:val="AERsuperscript"/>
        </w:rPr>
        <w:footnoteReference w:id="17"/>
      </w:r>
    </w:p>
    <w:p w:rsidR="0050341D" w:rsidRPr="0043259E" w:rsidRDefault="0050341D" w:rsidP="0011281F">
      <w:pPr>
        <w:pStyle w:val="ListNumber"/>
        <w:numPr>
          <w:ilvl w:val="0"/>
          <w:numId w:val="45"/>
        </w:numPr>
      </w:pPr>
      <w:r w:rsidRPr="0043259E">
        <w:t>the AER's most recent annual benchmarking report and benchmarking capex that would be incurred by an efficient TNSP over the relevant regulatory control period</w:t>
      </w:r>
    </w:p>
    <w:p w:rsidR="0050341D" w:rsidRPr="0043259E" w:rsidRDefault="0050341D" w:rsidP="0011281F">
      <w:pPr>
        <w:pStyle w:val="ListNumber"/>
        <w:numPr>
          <w:ilvl w:val="0"/>
          <w:numId w:val="45"/>
        </w:numPr>
      </w:pPr>
      <w:r w:rsidRPr="0043259E">
        <w:t>the actual and expected capex of the TNSP during the preceding regulatory control periods</w:t>
      </w:r>
    </w:p>
    <w:p w:rsidR="0050341D" w:rsidRPr="0043259E" w:rsidRDefault="0050341D" w:rsidP="0011281F">
      <w:pPr>
        <w:pStyle w:val="ListNumber"/>
        <w:numPr>
          <w:ilvl w:val="0"/>
          <w:numId w:val="45"/>
        </w:numPr>
      </w:pPr>
      <w:r w:rsidRPr="0043259E">
        <w:t>the extent to which the capex forecast includes expenditure to address the concerns of electricity consumers as identified by the TNSP in the course of its engagement with electricity consumers</w:t>
      </w:r>
    </w:p>
    <w:p w:rsidR="0050341D" w:rsidRPr="0043259E" w:rsidRDefault="0050341D" w:rsidP="0011281F">
      <w:pPr>
        <w:pStyle w:val="ListNumber"/>
        <w:numPr>
          <w:ilvl w:val="0"/>
          <w:numId w:val="45"/>
        </w:numPr>
      </w:pPr>
      <w:r w:rsidRPr="0043259E">
        <w:t>the relative prices of operating and capital inputs</w:t>
      </w:r>
    </w:p>
    <w:p w:rsidR="0050341D" w:rsidRPr="0043259E" w:rsidRDefault="0050341D" w:rsidP="0011281F">
      <w:pPr>
        <w:pStyle w:val="ListNumber"/>
        <w:numPr>
          <w:ilvl w:val="0"/>
          <w:numId w:val="45"/>
        </w:numPr>
      </w:pPr>
      <w:r w:rsidRPr="0043259E">
        <w:t>the substitution possibilities between operating and capital expenditure</w:t>
      </w:r>
    </w:p>
    <w:p w:rsidR="0050341D" w:rsidRPr="0043259E" w:rsidRDefault="0050341D" w:rsidP="0011281F">
      <w:pPr>
        <w:pStyle w:val="ListNumber"/>
        <w:numPr>
          <w:ilvl w:val="0"/>
          <w:numId w:val="45"/>
        </w:numPr>
      </w:pPr>
      <w:r w:rsidRPr="0043259E">
        <w:t>whether the capex forecast is consistent with any incentive scheme or schemes that apply to the TNSP</w:t>
      </w:r>
    </w:p>
    <w:p w:rsidR="0050341D" w:rsidRPr="0043259E" w:rsidRDefault="0050341D" w:rsidP="0011281F">
      <w:pPr>
        <w:pStyle w:val="ListNumber"/>
        <w:numPr>
          <w:ilvl w:val="0"/>
          <w:numId w:val="45"/>
        </w:numPr>
      </w:pPr>
      <w:r w:rsidRPr="0043259E">
        <w:t>the extent to which the capex forecast is referable to arrangements with a person other than the TNSP that, in the opinion of the AER, do not reflect arm's length terms</w:t>
      </w:r>
    </w:p>
    <w:p w:rsidR="0050341D" w:rsidRPr="0043259E" w:rsidRDefault="0050341D" w:rsidP="0011281F">
      <w:pPr>
        <w:pStyle w:val="ListNumber"/>
        <w:numPr>
          <w:ilvl w:val="0"/>
          <w:numId w:val="45"/>
        </w:numPr>
      </w:pPr>
      <w:r w:rsidRPr="0043259E">
        <w:t>whether the capex forecast includes an amount relating to a project that should more appropriately be included as a contingent project</w:t>
      </w:r>
    </w:p>
    <w:p w:rsidR="0050341D" w:rsidRPr="0043259E" w:rsidRDefault="0050341D" w:rsidP="0011281F">
      <w:pPr>
        <w:pStyle w:val="ListNumber"/>
        <w:numPr>
          <w:ilvl w:val="0"/>
          <w:numId w:val="45"/>
        </w:numPr>
      </w:pPr>
      <w:r w:rsidRPr="0043259E">
        <w:lastRenderedPageBreak/>
        <w:t>the most recent National Transmission Network Development Plan (NTNDP) and any submissions made by AEMO on the forecast of the TNSP's required capex</w:t>
      </w:r>
    </w:p>
    <w:p w:rsidR="0050341D" w:rsidRPr="0043259E" w:rsidRDefault="0050341D" w:rsidP="0011281F">
      <w:pPr>
        <w:pStyle w:val="ListNumber"/>
        <w:numPr>
          <w:ilvl w:val="0"/>
          <w:numId w:val="45"/>
        </w:numPr>
      </w:pPr>
      <w:r w:rsidRPr="0043259E">
        <w:t>the extent to which the TNSP has considered, and made provision for, efficient and prudent non-network alternatives.</w:t>
      </w:r>
    </w:p>
    <w:p w:rsidR="0050341D" w:rsidRPr="0043259E" w:rsidRDefault="0050341D" w:rsidP="0011281F">
      <w:pPr>
        <w:pStyle w:val="ListNumber"/>
        <w:numPr>
          <w:ilvl w:val="0"/>
          <w:numId w:val="45"/>
        </w:numPr>
      </w:pPr>
      <w:r w:rsidRPr="0043259E">
        <w:t xml:space="preserve">any relevant project assessment conclusions report under clause 5.6.6 of the NER. </w:t>
      </w:r>
    </w:p>
    <w:p w:rsidR="0050341D" w:rsidRPr="00D305F4" w:rsidRDefault="0050341D" w:rsidP="0050341D">
      <w:r w:rsidRPr="00D305F4">
        <w:t>In addition, the AER may notify the TNSP in writing, prior to the submission of its revised revenue proposal, of any other factor it considers relevant.</w:t>
      </w:r>
      <w:r w:rsidRPr="003B71B0">
        <w:rPr>
          <w:rStyle w:val="AERsuperscript"/>
        </w:rPr>
        <w:footnoteReference w:id="18"/>
      </w:r>
      <w:r w:rsidR="00524F55">
        <w:t xml:space="preserve"> We have not had regard to any additional factors in this final decision for Directlink. </w:t>
      </w:r>
    </w:p>
    <w:p w:rsidR="0050341D" w:rsidRPr="00D305F4" w:rsidRDefault="0050341D" w:rsidP="0050341D">
      <w:r w:rsidRPr="00D305F4">
        <w:t>In taking these factors into account, the AEMC has noted that:</w:t>
      </w:r>
      <w:r w:rsidRPr="003B71B0">
        <w:rPr>
          <w:rStyle w:val="AERsuperscript"/>
        </w:rPr>
        <w:footnoteReference w:id="19"/>
      </w:r>
    </w:p>
    <w:p w:rsidR="0050341D" w:rsidRPr="00D305F4" w:rsidRDefault="0050341D" w:rsidP="0050341D">
      <w:pPr>
        <w:pStyle w:val="AERquote"/>
      </w:pPr>
      <w:r w:rsidRPr="00D305F4">
        <w:t>…this does not mean that every factor will be relevant to every aspect of every regulatory determination the AER makes. The AER may decide that certain factors are not relevant in certain cases once it has considered them.</w:t>
      </w:r>
    </w:p>
    <w:p w:rsidR="0050341D" w:rsidRPr="00D305F4" w:rsidRDefault="0050341D" w:rsidP="0050341D">
      <w:pPr>
        <w:numPr>
          <w:ilvl w:val="0"/>
          <w:numId w:val="25"/>
        </w:numPr>
      </w:pPr>
      <w:r w:rsidRPr="00D305F4">
        <w:t>For transparency and ease of reference, we have included a summary of how we have had regard to each of the capex factors in our assessment at the end of this attachment.</w:t>
      </w:r>
    </w:p>
    <w:p w:rsidR="0050341D" w:rsidRPr="00D305F4" w:rsidRDefault="0050341D" w:rsidP="0050341D">
      <w:pPr>
        <w:numPr>
          <w:ilvl w:val="0"/>
          <w:numId w:val="25"/>
        </w:numPr>
      </w:pPr>
      <w:r w:rsidRPr="00D305F4">
        <w:t>More broadly, we also note that in exercising our discretion, we take into account the revenue and pricing principles which are set out in the National Electricity Law.</w:t>
      </w:r>
      <w:r w:rsidRPr="00325130">
        <w:rPr>
          <w:rStyle w:val="AERsuperscript"/>
        </w:rPr>
        <w:footnoteReference w:id="20"/>
      </w:r>
    </w:p>
    <w:p w:rsidR="0050341D" w:rsidRPr="00D305F4" w:rsidRDefault="0050341D" w:rsidP="0011281F">
      <w:pPr>
        <w:pStyle w:val="Heading3"/>
      </w:pPr>
      <w:bookmarkStart w:id="19" w:name="_Toc417742821"/>
      <w:r w:rsidRPr="00D305F4">
        <w:t>The Expenditure Forecast Assessment Guideline</w:t>
      </w:r>
      <w:bookmarkEnd w:id="19"/>
    </w:p>
    <w:p w:rsidR="0050341D" w:rsidRPr="00D305F4" w:rsidRDefault="000303B7" w:rsidP="0050341D">
      <w:r>
        <w:t>Under the NER, we</w:t>
      </w:r>
      <w:r w:rsidR="0050341D" w:rsidRPr="00D305F4">
        <w:t xml:space="preserve"> </w:t>
      </w:r>
      <w:r>
        <w:t>must</w:t>
      </w:r>
      <w:r w:rsidR="0050341D" w:rsidRPr="00D305F4">
        <w:t xml:space="preserve"> make and publish an Expenditure Forecast Assessment Guideline for Electricity Transmission</w:t>
      </w:r>
      <w:r w:rsidR="005A22BA">
        <w:t xml:space="preserve"> (Guideline). We released the Guideline </w:t>
      </w:r>
      <w:r w:rsidR="0050341D" w:rsidRPr="00D305F4">
        <w:t xml:space="preserve">in November 2013. The Guideline sets out the AER's proposed general approach to assessing capex (and opex) forecasts.  The rule changes also require us to set out our approach to assessing capex in the relevant framework and approach paper. For Directlink, our framework and approach paper (published in January 2014) stated that we would apply the </w:t>
      </w:r>
      <w:r w:rsidR="00D45F96">
        <w:t>G</w:t>
      </w:r>
      <w:r w:rsidR="0050341D" w:rsidRPr="00D305F4">
        <w:t>uideline, including the assessment techniques outlined in it. We may depart from our Guideline approach and if we do so, need to explain why.  In this determination we have not departed from the ap</w:t>
      </w:r>
      <w:r w:rsidR="0050341D">
        <w:t>proach set out in our Guideline</w:t>
      </w:r>
      <w:r w:rsidR="007E28AD">
        <w:t xml:space="preserve">. However, </w:t>
      </w:r>
      <w:r w:rsidR="0050341D">
        <w:t>we have not assessed Directlink's capex by specific reference to capex drivers, and have used a more limited number of techniques than we would typically use. Our reasons for our approach are set out below.</w:t>
      </w:r>
    </w:p>
    <w:p w:rsidR="0050341D" w:rsidRPr="00D305F4" w:rsidRDefault="0050341D" w:rsidP="0011281F">
      <w:pPr>
        <w:pStyle w:val="Heading3"/>
      </w:pPr>
      <w:bookmarkStart w:id="20" w:name="_Toc417742822"/>
      <w:r w:rsidRPr="00D305F4">
        <w:t>Building an alternative estimate of total forecast capex</w:t>
      </w:r>
      <w:bookmarkEnd w:id="20"/>
    </w:p>
    <w:p w:rsidR="0050341D" w:rsidRPr="00D305F4" w:rsidRDefault="0050341D" w:rsidP="0050341D">
      <w:pPr>
        <w:numPr>
          <w:ilvl w:val="0"/>
          <w:numId w:val="25"/>
        </w:numPr>
      </w:pPr>
      <w:r w:rsidRPr="00D305F4">
        <w:t>Our starting point is the service provider's proposal.</w:t>
      </w:r>
      <w:r w:rsidRPr="00ED5D2A">
        <w:rPr>
          <w:rStyle w:val="AERsuperscript"/>
        </w:rPr>
        <w:footnoteReference w:id="21"/>
      </w:r>
      <w:r w:rsidRPr="00D305F4">
        <w:t xml:space="preserve"> We then considered the service provider's performance in the previous regulatory control period to inform our </w:t>
      </w:r>
      <w:r w:rsidRPr="00D305F4">
        <w:lastRenderedPageBreak/>
        <w:t>alternative estimate. We also reviewed the proposed forecast methodology and the service provider's reliance on key assumptions that underlie its forecast.</w:t>
      </w:r>
    </w:p>
    <w:p w:rsidR="0050341D" w:rsidRPr="00D305F4" w:rsidRDefault="0050341D" w:rsidP="0050341D">
      <w:pPr>
        <w:numPr>
          <w:ilvl w:val="0"/>
          <w:numId w:val="25"/>
        </w:numPr>
      </w:pPr>
      <w:r w:rsidRPr="00D305F4">
        <w:t>We then applied our specific assessment techniques, outlined below, to develop and estimate and assess the economic justifications that the service provider put forward. The specific techniques that we have used in this draft decision include:</w:t>
      </w:r>
    </w:p>
    <w:p w:rsidR="0050341D" w:rsidRPr="0050341D" w:rsidRDefault="0050341D" w:rsidP="0050341D">
      <w:pPr>
        <w:pStyle w:val="AERbulletlistfirststyle"/>
      </w:pPr>
      <w:r w:rsidRPr="00D305F4">
        <w:t xml:space="preserve">trend analysis—forecasting future expenditure based on historical information, </w:t>
      </w:r>
    </w:p>
    <w:p w:rsidR="0050341D" w:rsidRPr="0050341D" w:rsidRDefault="0050341D" w:rsidP="0050341D">
      <w:pPr>
        <w:pStyle w:val="AERbulletlistfirststyle"/>
      </w:pPr>
      <w:r w:rsidRPr="00D305F4">
        <w:t>review of asset management practices and a technical review of each of the capex projects</w:t>
      </w:r>
      <w:r w:rsidR="00D45F96">
        <w:t>.</w:t>
      </w:r>
    </w:p>
    <w:p w:rsidR="00401E6D" w:rsidRPr="00401E6D" w:rsidRDefault="00401E6D" w:rsidP="000832CE">
      <w:r>
        <w:t xml:space="preserve">As </w:t>
      </w:r>
      <w:r w:rsidRPr="000832CE">
        <w:t>explained in our draft decision, we did not place much reliance on Directlink's past performance. For Directlink, we have relied primarily on our technical review of its proposed projects and programs. This is because for Directlink, we consider that this is the most robust technique given the nature and small scale of its operations, and its</w:t>
      </w:r>
      <w:r w:rsidRPr="00401E6D">
        <w:t xml:space="preserve"> previous regulatory allowance.</w:t>
      </w:r>
      <w:r w:rsidRPr="00401E6D">
        <w:rPr>
          <w:rStyle w:val="AERsuperscript"/>
        </w:rPr>
        <w:footnoteReference w:id="22"/>
      </w:r>
    </w:p>
    <w:p w:rsidR="0050341D" w:rsidRDefault="0050341D" w:rsidP="00401E6D">
      <w:pPr>
        <w:numPr>
          <w:ilvl w:val="0"/>
          <w:numId w:val="25"/>
        </w:numPr>
      </w:pPr>
      <w:r w:rsidRPr="00D305F4">
        <w:t xml:space="preserve">Importantly, our review of </w:t>
      </w:r>
      <w:r w:rsidR="00401E6D">
        <w:t xml:space="preserve">the expenditure for </w:t>
      </w:r>
      <w:r w:rsidRPr="00D305F4">
        <w:t>particular projects and programs</w:t>
      </w:r>
      <w:r w:rsidR="00401E6D">
        <w:t xml:space="preserve"> proposed</w:t>
      </w:r>
      <w:r w:rsidRPr="00D305F4">
        <w:t xml:space="preserve"> </w:t>
      </w:r>
      <w:r w:rsidR="00401E6D">
        <w:t xml:space="preserve">by Directlink </w:t>
      </w:r>
      <w:r w:rsidRPr="00D305F4">
        <w:t xml:space="preserve">is not conducted for the purpose of determining at a detailed level what projects or programs of work </w:t>
      </w:r>
      <w:r w:rsidR="00401E6D">
        <w:t>Directlink</w:t>
      </w:r>
      <w:r w:rsidRPr="00D305F4">
        <w:t xml:space="preserve"> should or should not undertake. </w:t>
      </w:r>
      <w:r w:rsidR="00401E6D">
        <w:t>A</w:t>
      </w:r>
      <w:r w:rsidR="00401E6D" w:rsidRPr="00D305F4">
        <w:t xml:space="preserve">s </w:t>
      </w:r>
      <w:r w:rsidRPr="00D305F4">
        <w:t xml:space="preserve">the AEMC notes, </w:t>
      </w:r>
      <w:r w:rsidR="00401E6D">
        <w:t>we do</w:t>
      </w:r>
      <w:r w:rsidRPr="00D305F4">
        <w:t xml:space="preserve"> not approve projects.</w:t>
      </w:r>
      <w:r w:rsidR="000832CE">
        <w:t xml:space="preserve"> </w:t>
      </w:r>
      <w:r w:rsidR="00401E6D">
        <w:t>Directlink</w:t>
      </w:r>
      <w:r w:rsidRPr="00D305F4">
        <w:t xml:space="preserve"> will have to prioritise its capex program given the prevailing circumstances at the time (such as demand and economic conditions that impact during the regulatory </w:t>
      </w:r>
      <w:r w:rsidR="0011281F">
        <w:t xml:space="preserve">control </w:t>
      </w:r>
      <w:r w:rsidRPr="00D305F4">
        <w:t xml:space="preserve">period). Most likely, some projects or programs of work that were not anticipated will be required. Equally likely, some of the projects or programs of work that </w:t>
      </w:r>
      <w:r w:rsidR="00401E6D">
        <w:t>it</w:t>
      </w:r>
      <w:r w:rsidRPr="00D305F4">
        <w:t xml:space="preserve"> has proposed for the regulatory control period will not be required. We consider that</w:t>
      </w:r>
      <w:r w:rsidR="00D45F96">
        <w:t>,</w:t>
      </w:r>
      <w:r w:rsidRPr="00D305F4">
        <w:t xml:space="preserve"> acting prudently and efficiently, the service provider will consider the changing environment throughout the regulatory</w:t>
      </w:r>
      <w:r w:rsidR="0011281F">
        <w:t xml:space="preserve"> control </w:t>
      </w:r>
      <w:r w:rsidRPr="00D305F4">
        <w:t>period and make sound decisions taking into account their individual circumstances</w:t>
      </w:r>
      <w:r w:rsidR="00401E6D">
        <w:t xml:space="preserve"> and in order to address any unanticipated issues</w:t>
      </w:r>
      <w:r w:rsidRPr="00D305F4">
        <w:t>.</w:t>
      </w:r>
    </w:p>
    <w:p w:rsidR="0050341D" w:rsidRPr="00D305F4" w:rsidRDefault="0050341D" w:rsidP="000832CE">
      <w:r w:rsidRPr="00D305F4">
        <w:t>We also need to take into account the various interrelationships between the total forecast capex and other components of a service provider's transmission determination. We identify these interrelationships in section</w:t>
      </w:r>
      <w:r w:rsidR="00D45F96">
        <w:t xml:space="preserve">s </w:t>
      </w:r>
      <w:r w:rsidR="00D45F96">
        <w:fldChar w:fldCharType="begin"/>
      </w:r>
      <w:r w:rsidR="00D45F96">
        <w:instrText xml:space="preserve"> REF _Ref417740333 \r \h </w:instrText>
      </w:r>
      <w:r w:rsidR="00D45F96">
        <w:fldChar w:fldCharType="separate"/>
      </w:r>
      <w:r w:rsidR="00D45F96">
        <w:t>6.3.3</w:t>
      </w:r>
      <w:r w:rsidR="00D45F96">
        <w:fldChar w:fldCharType="end"/>
      </w:r>
      <w:r w:rsidR="00D45F96">
        <w:t xml:space="preserve"> and </w:t>
      </w:r>
      <w:r w:rsidR="00D45F96">
        <w:fldChar w:fldCharType="begin"/>
      </w:r>
      <w:r w:rsidR="00D45F96">
        <w:instrText xml:space="preserve"> REF _Ref417740340 \r \h </w:instrText>
      </w:r>
      <w:r w:rsidR="00D45F96">
        <w:fldChar w:fldCharType="separate"/>
      </w:r>
      <w:r w:rsidR="00D45F96">
        <w:t>6.4.3</w:t>
      </w:r>
      <w:r w:rsidR="00D45F96">
        <w:fldChar w:fldCharType="end"/>
      </w:r>
      <w:r w:rsidRPr="00D305F4">
        <w:t xml:space="preserve"> below. </w:t>
      </w:r>
    </w:p>
    <w:p w:rsidR="0050341D" w:rsidRPr="00D305F4" w:rsidRDefault="0050341D" w:rsidP="0050341D">
      <w:pPr>
        <w:numPr>
          <w:ilvl w:val="0"/>
          <w:numId w:val="25"/>
        </w:numPr>
      </w:pPr>
      <w:r w:rsidRPr="00D305F4">
        <w:t>Underlying our approach are two general assumptions:</w:t>
      </w:r>
    </w:p>
    <w:p w:rsidR="0050341D" w:rsidRPr="0050341D" w:rsidRDefault="0050341D" w:rsidP="0050341D">
      <w:pPr>
        <w:pStyle w:val="AERbulletlistfirststyle"/>
      </w:pPr>
      <w:r w:rsidRPr="00D305F4">
        <w:t>Capex criteria relating to a prudent operator and efficient costs are complementary</w:t>
      </w:r>
      <w:r w:rsidR="00D45F96">
        <w:t>,</w:t>
      </w:r>
      <w:r w:rsidRPr="00D305F4">
        <w:t xml:space="preserve"> such that prudent and efficient expenditure reflects the lowest long-term </w:t>
      </w:r>
      <w:r w:rsidR="000303B7">
        <w:t xml:space="preserve">or sustainable </w:t>
      </w:r>
      <w:r w:rsidRPr="00D305F4">
        <w:t xml:space="preserve">cost to consumers for the most appropriate investment or </w:t>
      </w:r>
      <w:r w:rsidRPr="0050341D">
        <w:t>activity required to achieve the expenditure objectives.</w:t>
      </w:r>
      <w:r w:rsidRPr="0050341D">
        <w:rPr>
          <w:rStyle w:val="AERsuperscript"/>
        </w:rPr>
        <w:footnoteReference w:id="23"/>
      </w:r>
      <w:r w:rsidRPr="0050341D">
        <w:t xml:space="preserve"> </w:t>
      </w:r>
    </w:p>
    <w:p w:rsidR="0050341D" w:rsidRPr="0050341D" w:rsidRDefault="0050341D" w:rsidP="0050341D">
      <w:pPr>
        <w:pStyle w:val="AERbulletlistfirststyle"/>
      </w:pPr>
      <w:r w:rsidRPr="00D305F4">
        <w:lastRenderedPageBreak/>
        <w:t>Past expenditure was sufficient for Directlink to manage and operate its network in that previous period, in a manner that achieved the capex objectives.</w:t>
      </w:r>
      <w:r w:rsidRPr="0050341D">
        <w:rPr>
          <w:rStyle w:val="AERsuperscript"/>
        </w:rPr>
        <w:footnoteReference w:id="24"/>
      </w:r>
      <w:r w:rsidRPr="0050341D">
        <w:t xml:space="preserve"> </w:t>
      </w:r>
      <w:r w:rsidR="004B6D7C">
        <w:t>T</w:t>
      </w:r>
      <w:r w:rsidRPr="0050341D">
        <w:t>hough for Directlink we have taken into account where relevant the operating risks arising from the impact of the Mullumbimby converter station fire in August 2012.</w:t>
      </w:r>
    </w:p>
    <w:p w:rsidR="0050341D" w:rsidRPr="00D305F4" w:rsidRDefault="0050341D" w:rsidP="0050341D">
      <w:r w:rsidRPr="00D305F4">
        <w:t>After applying the above approach, we arrive at our estimate of the total capex forecast.</w:t>
      </w:r>
    </w:p>
    <w:p w:rsidR="0050341D" w:rsidRPr="00D305F4" w:rsidRDefault="0050341D" w:rsidP="0011281F">
      <w:pPr>
        <w:pStyle w:val="Heading3"/>
      </w:pPr>
      <w:bookmarkStart w:id="21" w:name="_Toc417742823"/>
      <w:r w:rsidRPr="00D305F4">
        <w:t>Comparing the service provider's proposal with our estimate</w:t>
      </w:r>
      <w:bookmarkEnd w:id="21"/>
    </w:p>
    <w:p w:rsidR="0050341D" w:rsidRPr="00D305F4" w:rsidRDefault="0050341D" w:rsidP="0050341D">
      <w:pPr>
        <w:numPr>
          <w:ilvl w:val="0"/>
          <w:numId w:val="25"/>
        </w:numPr>
      </w:pPr>
      <w:r w:rsidRPr="00D305F4">
        <w:t xml:space="preserve">Having established our estimate of the total forecast capex, we can test the service provider's proposed total forecast capex. This includes comparing our alternative estimate of forecast total capex with the service provider's forecast total. The service provider's forecast methodology and its key assumptions may explain any differences between our alternative estimate and its proposal. </w:t>
      </w:r>
    </w:p>
    <w:p w:rsidR="0050341D" w:rsidRPr="00D305F4" w:rsidRDefault="0050341D" w:rsidP="0050341D">
      <w:pPr>
        <w:numPr>
          <w:ilvl w:val="0"/>
          <w:numId w:val="25"/>
        </w:numPr>
      </w:pPr>
      <w:r w:rsidRPr="00D305F4">
        <w:t>As the AEMC foreshadowed, we may need to exercise our judgement in determining whether any 'margin of difference' is reasonable:</w:t>
      </w:r>
      <w:r w:rsidRPr="00ED5D2A">
        <w:rPr>
          <w:rStyle w:val="AERsuperscript"/>
        </w:rPr>
        <w:footnoteReference w:id="25"/>
      </w:r>
    </w:p>
    <w:p w:rsidR="0050341D" w:rsidRPr="00D305F4" w:rsidRDefault="0050341D" w:rsidP="0050341D">
      <w:pPr>
        <w:pStyle w:val="AERquote"/>
      </w:pPr>
      <w:r w:rsidRPr="00D305F4">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401E6D" w:rsidRPr="000832CE" w:rsidRDefault="00401E6D" w:rsidP="000832CE">
      <w:r w:rsidRPr="000832CE">
        <w:t xml:space="preserve">Our provision of a total capex allowance does not constrain a service provider’s actual spending – either as a cap or as a requirement that the allowance be spent on specific projects or activities. It is conceivable that a service provider might wish to expend particular capital expenditure differently or in excess of the total capex forecast set out in our this decision. Our decision does not constrain it from doing so.  </w:t>
      </w:r>
    </w:p>
    <w:p w:rsidR="00401E6D" w:rsidRPr="00595873" w:rsidRDefault="00401E6D" w:rsidP="00401E6D">
      <w:pPr>
        <w:pStyle w:val="ListParagraph"/>
        <w:numPr>
          <w:ilvl w:val="0"/>
          <w:numId w:val="25"/>
        </w:numPr>
      </w:pPr>
      <w:r w:rsidRPr="00595873">
        <w:t>The regulatory framework has a number of mechanisms to deal with unanticipated expenditure needs. Importantly, where an</w:t>
      </w:r>
      <w:r>
        <w:t xml:space="preserve"> </w:t>
      </w:r>
      <w:r w:rsidRPr="00595873">
        <w:t xml:space="preserve">unexpected event or events lead to an overspend of the approved capex forecast, a service provider does not bear the full cost, but rather bears 30 per cent of this cost, if the expenditure is found to be prudent and efficient. Further, for significant unexpected capex, the pass-through provisions provide a means during the regulatory </w:t>
      </w:r>
      <w:r w:rsidR="0011281F">
        <w:t xml:space="preserve">control </w:t>
      </w:r>
      <w:r w:rsidRPr="00595873">
        <w:t xml:space="preserve">period for a service provider to pass on such expenses to customers where appropriate. </w:t>
      </w:r>
    </w:p>
    <w:p w:rsidR="00401E6D" w:rsidRPr="00595873" w:rsidRDefault="00401E6D" w:rsidP="00401E6D">
      <w:pPr>
        <w:pStyle w:val="ListParagraph"/>
        <w:numPr>
          <w:ilvl w:val="0"/>
          <w:numId w:val="25"/>
        </w:numPr>
      </w:pPr>
      <w:r w:rsidRPr="00595873">
        <w:t xml:space="preserve">This does not mean that we have set our alternative estimate below the level where </w:t>
      </w:r>
      <w:r>
        <w:t>Directlink</w:t>
      </w:r>
      <w:r w:rsidRPr="00595873">
        <w:t xml:space="preserve"> has a reasonable chance to recover its efficient costs. Rather, we note that </w:t>
      </w:r>
      <w:r w:rsidRPr="00595873">
        <w:lastRenderedPageBreak/>
        <w:t xml:space="preserve">the regulatory framework allows for </w:t>
      </w:r>
      <w:r>
        <w:t>Directlink</w:t>
      </w:r>
      <w:r w:rsidRPr="00595873">
        <w:t xml:space="preserve"> to respond to any unanticipated issues that arise during the regulatory</w:t>
      </w:r>
      <w:r w:rsidR="0011281F">
        <w:t xml:space="preserve"> control </w:t>
      </w:r>
      <w:r w:rsidRPr="00595873">
        <w:t xml:space="preserve">period that were not proposed as part of this determination. In this way, </w:t>
      </w:r>
      <w:r>
        <w:t xml:space="preserve">Directlink </w:t>
      </w:r>
      <w:r w:rsidRPr="00595873">
        <w:t xml:space="preserve">has significant flexibility to allow it to meet its obligations. Conversely, if we overestimate the amount of capex required, the stronger incentives put in place by the AEMC in 2012 should lead to a business spending only what is efficient, with the benefits of the underspend being shared between businesses and </w:t>
      </w:r>
      <w:r w:rsidR="0050126F">
        <w:t>customers</w:t>
      </w:r>
      <w:r w:rsidRPr="00595873">
        <w:t xml:space="preserve">. </w:t>
      </w:r>
    </w:p>
    <w:p w:rsidR="00DE563D" w:rsidRPr="00AF1F9E" w:rsidRDefault="00DE563D" w:rsidP="00AF1F9E">
      <w:pPr>
        <w:pStyle w:val="Heading3"/>
      </w:pPr>
      <w:bookmarkStart w:id="22" w:name="_Toc403144139"/>
      <w:bookmarkStart w:id="23" w:name="_Ref417740333"/>
      <w:bookmarkStart w:id="24" w:name="_Toc417742824"/>
      <w:r w:rsidRPr="00AF1F9E">
        <w:t>Interrelationships</w:t>
      </w:r>
      <w:bookmarkEnd w:id="22"/>
      <w:bookmarkEnd w:id="23"/>
      <w:bookmarkEnd w:id="24"/>
    </w:p>
    <w:p w:rsidR="00DE563D" w:rsidRDefault="0050341D" w:rsidP="00AF1F9E">
      <w:r>
        <w:t>Directlink's revised revenue proposal included an amount of $8.37 million ($2014-15) for its proposed cable replacement program.</w:t>
      </w:r>
      <w:r>
        <w:rPr>
          <w:rStyle w:val="FootnoteReference"/>
        </w:rPr>
        <w:footnoteReference w:id="26"/>
      </w:r>
      <w:r>
        <w:t xml:space="preserve"> </w:t>
      </w:r>
      <w:r w:rsidR="00D75173">
        <w:t xml:space="preserve">We </w:t>
      </w:r>
      <w:r w:rsidR="00053F5C">
        <w:t xml:space="preserve">have </w:t>
      </w:r>
      <w:r w:rsidR="00D75173">
        <w:t>classif</w:t>
      </w:r>
      <w:r w:rsidR="00053F5C">
        <w:t>ied</w:t>
      </w:r>
      <w:r w:rsidR="00D75173">
        <w:t xml:space="preserve"> the proposed cable repair program as ope</w:t>
      </w:r>
      <w:r w:rsidR="00053F5C">
        <w:t xml:space="preserve">rating expenditure </w:t>
      </w:r>
      <w:r w:rsidR="00D75173">
        <w:t>as Directlink has not identified any future economic benefits associated with the cable replacement program. This is consistent with industry practice, where repairs are classified as ope</w:t>
      </w:r>
      <w:r w:rsidR="00053F5C">
        <w:t>rating expenditure</w:t>
      </w:r>
      <w:r w:rsidR="00D75173">
        <w:t>.</w:t>
      </w:r>
      <w:r w:rsidR="007C51DD">
        <w:rPr>
          <w:rStyle w:val="FootnoteReference"/>
        </w:rPr>
        <w:footnoteReference w:id="27"/>
      </w:r>
      <w:r w:rsidR="00D75173">
        <w:t xml:space="preserve"> Consequently, Directlink's proposed cable replacement program expenditure is discussed under the opex </w:t>
      </w:r>
      <w:r w:rsidR="00165AA1">
        <w:t xml:space="preserve">attachment of this </w:t>
      </w:r>
      <w:r w:rsidR="0050126F">
        <w:t xml:space="preserve">final </w:t>
      </w:r>
      <w:r w:rsidR="00165AA1">
        <w:t>decision</w:t>
      </w:r>
      <w:r w:rsidR="0050126F">
        <w:t xml:space="preserve"> (Attachment 7)</w:t>
      </w:r>
      <w:r w:rsidR="0020548A">
        <w:t>.</w:t>
      </w:r>
      <w:r w:rsidR="007C51DD">
        <w:t xml:space="preserve"> </w:t>
      </w:r>
    </w:p>
    <w:p w:rsidR="007C51DD" w:rsidRPr="00AF1F9E" w:rsidRDefault="008141E3" w:rsidP="00AF1F9E">
      <w:r w:rsidRPr="008141E3">
        <w:t>Directlink's network service is subject to a Service Target Performance Incentive Scheme (STPIS). On the basis of significantly increased capex and anticipated increased reliability as a consequence of the impact of the Mullumbimby converter station fire, Directlink's STPIS performance targets will require recalibration.</w:t>
      </w:r>
      <w:r w:rsidRPr="008141E3">
        <w:rPr>
          <w:rStyle w:val="FootnoteReference"/>
        </w:rPr>
        <w:footnoteReference w:id="28"/>
      </w:r>
      <w:r w:rsidRPr="008141E3">
        <w:t xml:space="preserve"> The anticipated improvement in reliability has resulted in stricter performance targets. Details of the recalibrated STPIS targets are discussed in </w:t>
      </w:r>
      <w:r w:rsidR="0050126F">
        <w:t>A</w:t>
      </w:r>
      <w:r w:rsidRPr="008141E3">
        <w:t>ttachment 11 of this decision.</w:t>
      </w:r>
    </w:p>
    <w:p w:rsidR="00DE563D" w:rsidRDefault="00DE563D" w:rsidP="00AF1F9E">
      <w:pPr>
        <w:pStyle w:val="Heading2"/>
      </w:pPr>
      <w:bookmarkStart w:id="25" w:name="_Toc403144140"/>
      <w:bookmarkStart w:id="26" w:name="_Toc417742825"/>
      <w:r w:rsidRPr="00AF1F9E">
        <w:t xml:space="preserve">Reasons for </w:t>
      </w:r>
      <w:r w:rsidR="00AF1F9E">
        <w:t>final</w:t>
      </w:r>
      <w:r w:rsidRPr="00AF1F9E">
        <w:t xml:space="preserve"> decision</w:t>
      </w:r>
      <w:bookmarkEnd w:id="25"/>
      <w:bookmarkEnd w:id="26"/>
      <w:r w:rsidRPr="00AF1F9E">
        <w:t xml:space="preserve"> </w:t>
      </w:r>
    </w:p>
    <w:p w:rsidR="0020548A" w:rsidRDefault="005E4520" w:rsidP="0020548A">
      <w:r w:rsidRPr="00D305F4">
        <w:t xml:space="preserve">We are not satisfied that Directlink's </w:t>
      </w:r>
      <w:r>
        <w:t xml:space="preserve">revised </w:t>
      </w:r>
      <w:r w:rsidRPr="00D305F4">
        <w:t>total forecast capex reasonably reflects the capex criteria. We compared Directlink's proposed total capex forecast to our alternative capex forecast constructed using certain techniques as outlined above. For the reasons set out below, we consider that our substitute estimate reasonably reflects the capex criteria.</w:t>
      </w:r>
    </w:p>
    <w:p w:rsidR="000C2084" w:rsidRDefault="000C2084" w:rsidP="0020548A">
      <w:r>
        <w:t>The key areas of difference between our alternative estimate of total capex and Directlink's proposed forecast total capex are</w:t>
      </w:r>
      <w:r w:rsidR="0005048F">
        <w:t xml:space="preserve"> that the AER's alternative estimate </w:t>
      </w:r>
      <w:r w:rsidR="00EE27BF">
        <w:t>reflects</w:t>
      </w:r>
      <w:r w:rsidR="005D0E94">
        <w:t>:</w:t>
      </w:r>
    </w:p>
    <w:p w:rsidR="000C2084" w:rsidRDefault="00D8364D" w:rsidP="0011281F">
      <w:pPr>
        <w:pStyle w:val="ListNumber"/>
        <w:numPr>
          <w:ilvl w:val="0"/>
          <w:numId w:val="46"/>
        </w:numPr>
      </w:pPr>
      <w:r>
        <w:t>the transfer of Directlink's proposed capex cable replacement program of $8.37 million ($2014-15) for review as operating expenditure</w:t>
      </w:r>
    </w:p>
    <w:p w:rsidR="00D8364D" w:rsidRDefault="00D8364D" w:rsidP="000C2084">
      <w:pPr>
        <w:pStyle w:val="ListNumber"/>
      </w:pPr>
      <w:r>
        <w:lastRenderedPageBreak/>
        <w:t xml:space="preserve">a reduction </w:t>
      </w:r>
      <w:r w:rsidR="00D92329">
        <w:t xml:space="preserve">of $1.25 million ($2014-15) </w:t>
      </w:r>
      <w:r>
        <w:t xml:space="preserve">to Directlink's proposed </w:t>
      </w:r>
      <w:r w:rsidR="00D92329">
        <w:t xml:space="preserve">fire suppression system on the basis of adjustments to </w:t>
      </w:r>
      <w:r w:rsidR="00B67A37">
        <w:t>proposed contingencies, project management and supervision costs and labour hour estimates</w:t>
      </w:r>
    </w:p>
    <w:p w:rsidR="00B67A37" w:rsidRDefault="00B67A37" w:rsidP="000C2084">
      <w:pPr>
        <w:pStyle w:val="ListNumber"/>
      </w:pPr>
      <w:r>
        <w:t>a reduction of $0.</w:t>
      </w:r>
      <w:r w:rsidR="00FE5AE0">
        <w:t>40</w:t>
      </w:r>
      <w:r>
        <w:t xml:space="preserve"> million ($2014-15) to Directlink's proposed phase reactor cooling system upgrade on the basis of adjustments to proposed contingencies, labour hour estimates, design outsourcing costs and adjustments for economies of </w:t>
      </w:r>
      <w:r w:rsidR="00DA092A">
        <w:t>scale in sundry materials costs, and</w:t>
      </w:r>
    </w:p>
    <w:p w:rsidR="00DA092A" w:rsidRDefault="00DA092A" w:rsidP="000C2084">
      <w:pPr>
        <w:pStyle w:val="ListNumber"/>
      </w:pPr>
      <w:r>
        <w:t xml:space="preserve">a reduction of $0.18 million ($2014-15) to Directlink's proposed converter station roof repair </w:t>
      </w:r>
      <w:r w:rsidR="00A71618">
        <w:t>based on</w:t>
      </w:r>
      <w:r>
        <w:t xml:space="preserve"> a lower suitable quote for the proposed work.</w:t>
      </w:r>
    </w:p>
    <w:p w:rsidR="00AD0982" w:rsidRPr="00AD0982" w:rsidRDefault="00AD0982" w:rsidP="00AD0982">
      <w:r w:rsidRPr="00AD0982">
        <w:t xml:space="preserve">We have accepted all other </w:t>
      </w:r>
      <w:r>
        <w:t>capex</w:t>
      </w:r>
      <w:r w:rsidRPr="00AD0982">
        <w:t xml:space="preserve"> proposed by </w:t>
      </w:r>
      <w:r>
        <w:t xml:space="preserve">Directlink </w:t>
      </w:r>
      <w:r w:rsidRPr="00AD0982">
        <w:t>for the following projects</w:t>
      </w:r>
      <w:r>
        <w:t>:</w:t>
      </w:r>
      <w:r w:rsidRPr="00AD0982">
        <w:t xml:space="preserve"> </w:t>
      </w:r>
    </w:p>
    <w:p w:rsidR="00AD0982" w:rsidRPr="00AD0982" w:rsidRDefault="00AD0982" w:rsidP="00AD0982">
      <w:pPr>
        <w:pStyle w:val="AERbulletlistfirststyle"/>
      </w:pPr>
      <w:r w:rsidRPr="00AD0982">
        <w:t>industrial computers control system</w:t>
      </w:r>
      <w:r w:rsidR="00D62FB3">
        <w:t xml:space="preserve"> upgrade</w:t>
      </w:r>
    </w:p>
    <w:p w:rsidR="00AD0982" w:rsidRDefault="00D62FB3" w:rsidP="00AD0982">
      <w:pPr>
        <w:pStyle w:val="AERbulletlistfirststyle"/>
      </w:pPr>
      <w:r>
        <w:t>zero sequence reactor repair</w:t>
      </w:r>
    </w:p>
    <w:p w:rsidR="00D62FB3" w:rsidRDefault="00D62FB3" w:rsidP="00AD0982">
      <w:pPr>
        <w:pStyle w:val="AERbulletlistfirststyle"/>
      </w:pPr>
      <w:r>
        <w:t>Bungalora safety hand rails</w:t>
      </w:r>
    </w:p>
    <w:p w:rsidR="00D62FB3" w:rsidRDefault="00D62FB3" w:rsidP="00AD0982">
      <w:pPr>
        <w:pStyle w:val="AERbulletlistfirststyle"/>
      </w:pPr>
      <w:r>
        <w:t>IGBTs sourcing program</w:t>
      </w:r>
    </w:p>
    <w:p w:rsidR="00D62FB3" w:rsidRDefault="00D62FB3" w:rsidP="00AD0982">
      <w:pPr>
        <w:pStyle w:val="AERbulletlistfirststyle"/>
      </w:pPr>
      <w:r>
        <w:t>optic fibre cables and connectors</w:t>
      </w:r>
    </w:p>
    <w:p w:rsidR="00D62FB3" w:rsidRPr="00D62FB3" w:rsidRDefault="00D62FB3" w:rsidP="00D62FB3">
      <w:pPr>
        <w:pStyle w:val="AERbulletlistfirststyle"/>
      </w:pPr>
      <w:r>
        <w:t xml:space="preserve">cooling </w:t>
      </w:r>
      <w:r w:rsidRPr="00D62FB3">
        <w:t>tower sound enclosure remediation</w:t>
      </w:r>
    </w:p>
    <w:p w:rsidR="00D62FB3" w:rsidRPr="00D62FB3" w:rsidRDefault="00D62FB3" w:rsidP="00D62FB3">
      <w:pPr>
        <w:pStyle w:val="AERbulletlistfirststyle"/>
      </w:pPr>
      <w:r>
        <w:t>s</w:t>
      </w:r>
      <w:r w:rsidRPr="00D62FB3">
        <w:t>ecurity fence upgrade</w:t>
      </w:r>
    </w:p>
    <w:p w:rsidR="00D62FB3" w:rsidRPr="00D62FB3" w:rsidRDefault="00D62FB3" w:rsidP="00D62FB3">
      <w:pPr>
        <w:pStyle w:val="AERbulletlistfirststyle"/>
      </w:pPr>
      <w:r>
        <w:t>b</w:t>
      </w:r>
      <w:r w:rsidRPr="00D62FB3">
        <w:t>uilding safety upgrade</w:t>
      </w:r>
    </w:p>
    <w:p w:rsidR="00D62FB3" w:rsidRPr="00D62FB3" w:rsidRDefault="00D62FB3" w:rsidP="00D62FB3">
      <w:pPr>
        <w:pStyle w:val="AERbulletlistfirststyle"/>
      </w:pPr>
      <w:r>
        <w:t>c</w:t>
      </w:r>
      <w:r w:rsidRPr="00D62FB3">
        <w:t>onverter buildings ventilation sound dampers corrosion repair</w:t>
      </w:r>
      <w:r>
        <w:t>, and</w:t>
      </w:r>
    </w:p>
    <w:p w:rsidR="00D62FB3" w:rsidRDefault="00D62FB3" w:rsidP="00D62FB3">
      <w:pPr>
        <w:pStyle w:val="AERbulletlistfirststyle"/>
      </w:pPr>
      <w:r>
        <w:t>o</w:t>
      </w:r>
      <w:r w:rsidRPr="00D62FB3">
        <w:t>ther stay in business capex</w:t>
      </w:r>
      <w:r>
        <w:t>.</w:t>
      </w:r>
    </w:p>
    <w:p w:rsidR="00D62FB3" w:rsidRPr="00D62FB3" w:rsidRDefault="00D62FB3" w:rsidP="00D62FB3">
      <w:r w:rsidRPr="00D62FB3">
        <w:t>Our reasons for finding that this expenditure reasonably reflects the capex criteria are set out in our draft decision.</w:t>
      </w:r>
      <w:r w:rsidR="00A8490B">
        <w:rPr>
          <w:rStyle w:val="FootnoteReference"/>
        </w:rPr>
        <w:footnoteReference w:id="29"/>
      </w:r>
    </w:p>
    <w:p w:rsidR="00AF1F9E" w:rsidRDefault="00DA092A" w:rsidP="00AF1F9E">
      <w:pPr>
        <w:pStyle w:val="Heading3"/>
      </w:pPr>
      <w:bookmarkStart w:id="27" w:name="_Toc417742826"/>
      <w:r>
        <w:t>Assessment of revised proposed capital expenditure</w:t>
      </w:r>
      <w:bookmarkEnd w:id="27"/>
    </w:p>
    <w:p w:rsidR="00B2613F" w:rsidRDefault="00B2613F" w:rsidP="00B2613F">
      <w:pPr>
        <w:numPr>
          <w:ilvl w:val="0"/>
          <w:numId w:val="25"/>
        </w:numPr>
      </w:pPr>
      <w:r>
        <w:t>Based on our review of Directlink's asset management practices and a technical review of each of the capex projects proposed by Directlink</w:t>
      </w:r>
      <w:r w:rsidR="001B55F7">
        <w:t xml:space="preserve"> in its revised revenue proposal</w:t>
      </w:r>
      <w:r>
        <w:t>, we consider that total forecast capex of $</w:t>
      </w:r>
      <w:r w:rsidR="001B55F7">
        <w:t>26.</w:t>
      </w:r>
      <w:r w:rsidR="00FE5AE0">
        <w:t>86</w:t>
      </w:r>
      <w:r>
        <w:t xml:space="preserve"> million ($</w:t>
      </w:r>
      <w:r w:rsidR="00AB0A35">
        <w:t>2014-</w:t>
      </w:r>
      <w:r>
        <w:t xml:space="preserve">2015) for Directlink in the 2015-20 </w:t>
      </w:r>
      <w:r w:rsidR="00517BFC">
        <w:t>regulatory</w:t>
      </w:r>
      <w:r w:rsidR="004B2B3D">
        <w:t xml:space="preserve"> control </w:t>
      </w:r>
      <w:r>
        <w:t>period reasonably reflects the capex criteria. This is a reduction of $</w:t>
      </w:r>
      <w:r w:rsidR="001B55F7">
        <w:t>10.</w:t>
      </w:r>
      <w:r w:rsidR="00FE5AE0">
        <w:t>2</w:t>
      </w:r>
      <w:r>
        <w:t xml:space="preserve"> million</w:t>
      </w:r>
      <w:r w:rsidR="004B2B3D">
        <w:t>,</w:t>
      </w:r>
      <w:r>
        <w:t xml:space="preserve"> or 2</w:t>
      </w:r>
      <w:r w:rsidR="00FE5AE0">
        <w:t>8</w:t>
      </w:r>
      <w:r>
        <w:t xml:space="preserve"> per cent</w:t>
      </w:r>
      <w:r w:rsidR="004B2B3D">
        <w:t xml:space="preserve">, from </w:t>
      </w:r>
      <w:r>
        <w:t xml:space="preserve">Directlink's </w:t>
      </w:r>
      <w:r w:rsidR="001B55F7">
        <w:t xml:space="preserve">revised </w:t>
      </w:r>
      <w:r>
        <w:t>capex forecast of $</w:t>
      </w:r>
      <w:r w:rsidR="001B55F7">
        <w:t>37.06</w:t>
      </w:r>
      <w:r>
        <w:t xml:space="preserve"> million. </w:t>
      </w:r>
      <w:r w:rsidR="001B55F7">
        <w:t>Our approved total capex forecast is $</w:t>
      </w:r>
      <w:r w:rsidR="00FE5AE0">
        <w:t>1.23</w:t>
      </w:r>
      <w:r w:rsidR="001B55F7">
        <w:t xml:space="preserve"> million ($2014-15)</w:t>
      </w:r>
      <w:r w:rsidR="004B2B3D">
        <w:t>. This is</w:t>
      </w:r>
      <w:r w:rsidR="001B55F7">
        <w:t xml:space="preserve"> </w:t>
      </w:r>
      <w:r w:rsidR="00FE5AE0">
        <w:t>4.8</w:t>
      </w:r>
      <w:r w:rsidR="001B55F7">
        <w:t xml:space="preserve"> per cent </w:t>
      </w:r>
      <w:r w:rsidR="00894F48">
        <w:t>more than our draft decision</w:t>
      </w:r>
      <w:r w:rsidR="004B2B3D">
        <w:t>,</w:t>
      </w:r>
      <w:r w:rsidR="00894F48">
        <w:t xml:space="preserve"> and $8.</w:t>
      </w:r>
      <w:r w:rsidR="00FE5AE0">
        <w:t>33</w:t>
      </w:r>
      <w:r w:rsidR="00894F48">
        <w:t xml:space="preserve"> million ($2014-15)</w:t>
      </w:r>
      <w:r w:rsidR="004B2B3D">
        <w:t>,</w:t>
      </w:r>
      <w:r w:rsidR="00894F48">
        <w:t xml:space="preserve"> or 2</w:t>
      </w:r>
      <w:r w:rsidR="00FE5AE0">
        <w:t>4</w:t>
      </w:r>
      <w:r w:rsidR="00894F48">
        <w:t xml:space="preserve"> per cent</w:t>
      </w:r>
      <w:r w:rsidR="004B2B3D">
        <w:t>,</w:t>
      </w:r>
      <w:r w:rsidR="00894F48">
        <w:t xml:space="preserve"> less than </w:t>
      </w:r>
      <w:r w:rsidR="003A316E">
        <w:t>Directlink's initial</w:t>
      </w:r>
      <w:r w:rsidR="0005048F">
        <w:t xml:space="preserve"> </w:t>
      </w:r>
      <w:r w:rsidR="00894F48">
        <w:t>proposal.</w:t>
      </w:r>
      <w:r w:rsidR="001B55F7">
        <w:t xml:space="preserve"> </w:t>
      </w:r>
      <w:r>
        <w:t>Total forecast capex of $2</w:t>
      </w:r>
      <w:r w:rsidR="00894F48">
        <w:t>6.</w:t>
      </w:r>
      <w:r w:rsidR="00FE5AE0">
        <w:t>86</w:t>
      </w:r>
      <w:r w:rsidRPr="001547D5">
        <w:t xml:space="preserve"> million </w:t>
      </w:r>
      <w:r>
        <w:t>provides Directlink with a reasonable opportunity to recover at least the efficient costs it incurs in providing direct control network services.</w:t>
      </w:r>
      <w:r>
        <w:rPr>
          <w:rStyle w:val="FootnoteReference"/>
        </w:rPr>
        <w:footnoteReference w:id="30"/>
      </w:r>
      <w:r>
        <w:t xml:space="preserve">Our alternative estimate of </w:t>
      </w:r>
      <w:r>
        <w:lastRenderedPageBreak/>
        <w:t xml:space="preserve">the total forecast capex required reflects the following adjustments to Directlink's </w:t>
      </w:r>
      <w:r w:rsidR="00894F48">
        <w:t xml:space="preserve">revised </w:t>
      </w:r>
      <w:r>
        <w:t>proposed capex:</w:t>
      </w:r>
    </w:p>
    <w:p w:rsidR="00DA092A" w:rsidRPr="00256E1B" w:rsidRDefault="00894F48" w:rsidP="0011281F">
      <w:pPr>
        <w:pStyle w:val="HeadingBoldBlue"/>
        <w:rPr>
          <w:rStyle w:val="AERtextitalic"/>
          <w:i w:val="0"/>
        </w:rPr>
      </w:pPr>
      <w:r w:rsidRPr="00256E1B">
        <w:rPr>
          <w:rStyle w:val="AERtextitalic"/>
          <w:i w:val="0"/>
        </w:rPr>
        <w:t>Cable replacement program</w:t>
      </w:r>
    </w:p>
    <w:p w:rsidR="00165AA1" w:rsidRDefault="00BF7FB3" w:rsidP="00165AA1">
      <w:r>
        <w:t xml:space="preserve">We have </w:t>
      </w:r>
      <w:r w:rsidR="00D25B09">
        <w:t>transferred</w:t>
      </w:r>
      <w:r>
        <w:t xml:space="preserve"> Directlink's proposed capex cable replacement program of $8.37 million ($2014-15) for review as operating expenditure. </w:t>
      </w:r>
      <w:r w:rsidR="00165AA1">
        <w:t>We are classifying the proposed cable repair program as opex as Directlink has not identified any future economic benefits associated with the cable replacement program. This is consistent with industry practice, where repairs are classified as opex.</w:t>
      </w:r>
      <w:r w:rsidR="007103B2">
        <w:t xml:space="preserve"> </w:t>
      </w:r>
    </w:p>
    <w:p w:rsidR="00BF7FB3" w:rsidRPr="00256E1B" w:rsidRDefault="00C357A5" w:rsidP="0011281F">
      <w:pPr>
        <w:pStyle w:val="HeadingBoldBlue"/>
        <w:rPr>
          <w:rStyle w:val="AERtextitalic"/>
          <w:i w:val="0"/>
        </w:rPr>
      </w:pPr>
      <w:r w:rsidRPr="00256E1B">
        <w:rPr>
          <w:rStyle w:val="AERtextitalic"/>
          <w:i w:val="0"/>
        </w:rPr>
        <w:t>Fire suppression system</w:t>
      </w:r>
    </w:p>
    <w:p w:rsidR="00C357A5" w:rsidRDefault="00C357A5" w:rsidP="00DA092A">
      <w:r>
        <w:t xml:space="preserve">We have made a reduction of $1.25 million ($2014-15) to Directlink's proposed fire suppression system </w:t>
      </w:r>
      <w:r w:rsidR="0051557D">
        <w:t xml:space="preserve">capex of $5.496 million ($2014-15) </w:t>
      </w:r>
      <w:r>
        <w:t>on the basis of adjustments to proposed contingencies, project management and supervision costs</w:t>
      </w:r>
      <w:r w:rsidR="0051557D">
        <w:t>,</w:t>
      </w:r>
      <w:r>
        <w:t xml:space="preserve"> and labour hour estimates</w:t>
      </w:r>
      <w:r w:rsidR="0051557D">
        <w:t>.</w:t>
      </w:r>
    </w:p>
    <w:p w:rsidR="0051557D" w:rsidRDefault="004E5007" w:rsidP="005B05ED">
      <w:r>
        <w:t xml:space="preserve">Directlink has applied an unspecified contingency of 15 per cent to the fire suppression systems overall, including to a number of fixed and controllable costs such as </w:t>
      </w:r>
      <w:r w:rsidR="0079438B">
        <w:t>A</w:t>
      </w:r>
      <w:r>
        <w:t xml:space="preserve">sset </w:t>
      </w:r>
      <w:r w:rsidR="0079438B">
        <w:t>Fire and S</w:t>
      </w:r>
      <w:r>
        <w:t>ecurity</w:t>
      </w:r>
      <w:r w:rsidR="0079438B">
        <w:t xml:space="preserve"> Cost</w:t>
      </w:r>
      <w:r>
        <w:t>, legal fees and PSC consultancy contract costs.</w:t>
      </w:r>
      <w:r w:rsidR="002205CE">
        <w:rPr>
          <w:rStyle w:val="FootnoteReference"/>
        </w:rPr>
        <w:footnoteReference w:id="31"/>
      </w:r>
      <w:r w:rsidR="0079438B">
        <w:t xml:space="preserve"> </w:t>
      </w:r>
      <w:r w:rsidR="0079438B" w:rsidRPr="005B05ED">
        <w:t>Directlink stated that contingencies are included to "……accommodate unknowns in the construction process, particularly in brownfield sites such as this."</w:t>
      </w:r>
      <w:r w:rsidR="005B05ED">
        <w:rPr>
          <w:rStyle w:val="FootnoteReference"/>
        </w:rPr>
        <w:footnoteReference w:id="32"/>
      </w:r>
      <w:r w:rsidR="0079438B" w:rsidRPr="005B05ED">
        <w:t xml:space="preserve"> Directlink also stated that the contingency amount is not intended to apply to a particular </w:t>
      </w:r>
      <w:r w:rsidR="00D25B09" w:rsidRPr="005B05ED">
        <w:t>event and</w:t>
      </w:r>
      <w:r w:rsidR="0079438B" w:rsidRPr="005B05ED">
        <w:t xml:space="preserve"> has only been included in larger projects.</w:t>
      </w:r>
      <w:r w:rsidR="005B05ED">
        <w:rPr>
          <w:rStyle w:val="FootnoteReference"/>
        </w:rPr>
        <w:footnoteReference w:id="33"/>
      </w:r>
      <w:r w:rsidR="0079438B" w:rsidRPr="005B05ED">
        <w:t xml:space="preserve"> </w:t>
      </w:r>
      <w:r w:rsidR="00EE27BF">
        <w:t>However, in our view, u</w:t>
      </w:r>
      <w:r w:rsidR="00EE52DB" w:rsidRPr="005B05ED">
        <w:t>nspecified contingencies included in project</w:t>
      </w:r>
      <w:r w:rsidR="00EE52DB">
        <w:t xml:space="preserve"> cost estimates to accommodate cost variances of the type proposed by Directlink, when added together in a total portfolio of projects</w:t>
      </w:r>
      <w:r w:rsidR="00EE27BF">
        <w:t>,</w:t>
      </w:r>
      <w:r w:rsidR="00EE52DB">
        <w:t xml:space="preserve"> will overestimate the actual cost variance at the portfolio level as some projects will have cost overruns while others will have cost underruns. </w:t>
      </w:r>
      <w:r w:rsidR="005D0E94">
        <w:t>As a result</w:t>
      </w:r>
      <w:r w:rsidR="00EE27BF">
        <w:t>,</w:t>
      </w:r>
      <w:r w:rsidR="005D0E94">
        <w:t xml:space="preserve"> </w:t>
      </w:r>
      <w:r w:rsidR="00EE52DB">
        <w:t xml:space="preserve">we </w:t>
      </w:r>
      <w:r w:rsidR="005D0E94">
        <w:t>consider</w:t>
      </w:r>
      <w:r w:rsidR="00EE52DB">
        <w:t xml:space="preserve"> that project contingencies for general cost overruns </w:t>
      </w:r>
      <w:r w:rsidR="00EE27BF">
        <w:t>would not reasonably reflect the efficient costs of a prudent service provider</w:t>
      </w:r>
      <w:r w:rsidR="00EE52DB">
        <w:t>. We have therefore not included Directlink's proposed contingency in our cost estimate for this project.</w:t>
      </w:r>
    </w:p>
    <w:p w:rsidR="00894F48" w:rsidRDefault="002205CE" w:rsidP="00DA092A">
      <w:r>
        <w:t>Directlink has proposed project management and supervision costs representing about 30 per cent of the projects total installation costs.</w:t>
      </w:r>
      <w:r>
        <w:rPr>
          <w:rStyle w:val="FootnoteReference"/>
        </w:rPr>
        <w:footnoteReference w:id="34"/>
      </w:r>
      <w:r>
        <w:t xml:space="preserve"> </w:t>
      </w:r>
      <w:r w:rsidR="0026762B">
        <w:t>We reviewed the</w:t>
      </w:r>
      <w:r>
        <w:t xml:space="preserve"> proposed</w:t>
      </w:r>
      <w:r w:rsidR="0026762B">
        <w:t xml:space="preserve"> project management and supervision costs for this project and consider that, notwithstanding the complex nature of this project on a brownfield site, </w:t>
      </w:r>
      <w:r>
        <w:t xml:space="preserve">it </w:t>
      </w:r>
      <w:r w:rsidR="00EE27BF">
        <w:t>would not reasonably reflect efficient costs if</w:t>
      </w:r>
      <w:r w:rsidR="0026762B">
        <w:t xml:space="preserve"> project management and superv</w:t>
      </w:r>
      <w:r>
        <w:t xml:space="preserve">ision costs </w:t>
      </w:r>
      <w:r w:rsidR="00EE27BF">
        <w:t xml:space="preserve">exceeded </w:t>
      </w:r>
      <w:r>
        <w:t>around 15 per cent</w:t>
      </w:r>
      <w:r w:rsidR="0026762B">
        <w:t xml:space="preserve"> of the project cost. </w:t>
      </w:r>
      <w:r>
        <w:t>We consider t</w:t>
      </w:r>
      <w:r w:rsidR="0026762B">
        <w:t xml:space="preserve">ypical ranges for these costs </w:t>
      </w:r>
      <w:r w:rsidR="00891BCF">
        <w:t>should be</w:t>
      </w:r>
      <w:r w:rsidR="0026762B">
        <w:t xml:space="preserve"> </w:t>
      </w:r>
      <w:r>
        <w:t>between</w:t>
      </w:r>
      <w:r w:rsidR="0026762B">
        <w:t xml:space="preserve"> about 7</w:t>
      </w:r>
      <w:r>
        <w:t xml:space="preserve"> </w:t>
      </w:r>
      <w:r w:rsidR="0026762B">
        <w:t>to 18</w:t>
      </w:r>
      <w:r>
        <w:t xml:space="preserve"> per cent</w:t>
      </w:r>
      <w:r w:rsidR="0026762B">
        <w:t>.</w:t>
      </w:r>
      <w:r w:rsidR="00F347F5">
        <w:rPr>
          <w:rStyle w:val="FootnoteReference"/>
        </w:rPr>
        <w:footnoteReference w:id="35"/>
      </w:r>
      <w:r w:rsidR="0026762B">
        <w:t xml:space="preserve"> </w:t>
      </w:r>
      <w:r w:rsidR="00271BE2">
        <w:t xml:space="preserve">We consider </w:t>
      </w:r>
      <w:r w:rsidR="00891BCF">
        <w:t>that w</w:t>
      </w:r>
      <w:r w:rsidR="0026762B">
        <w:t xml:space="preserve">hile </w:t>
      </w:r>
      <w:r w:rsidR="00891BCF">
        <w:t>project management and supervision</w:t>
      </w:r>
      <w:r w:rsidR="0026762B">
        <w:t xml:space="preserve"> costs on large projects tend to be nearer the lower end of this range, small to medium </w:t>
      </w:r>
      <w:r w:rsidR="0026762B">
        <w:lastRenderedPageBreak/>
        <w:t xml:space="preserve">sized projects, particularly where they are complex, tend towards the higher end of this range. </w:t>
      </w:r>
      <w:r w:rsidR="00891BCF">
        <w:t xml:space="preserve">We consider that </w:t>
      </w:r>
      <w:r w:rsidR="0026762B">
        <w:t xml:space="preserve">it is more likely that a reasonable estimate of the project management and supervision costs </w:t>
      </w:r>
      <w:r w:rsidR="00891BCF">
        <w:t xml:space="preserve">should </w:t>
      </w:r>
      <w:r w:rsidR="0026762B">
        <w:t>be 15</w:t>
      </w:r>
      <w:r w:rsidR="00891BCF">
        <w:t xml:space="preserve"> per cent</w:t>
      </w:r>
      <w:r w:rsidR="0026762B">
        <w:t xml:space="preserve"> of the total installation cost</w:t>
      </w:r>
      <w:r w:rsidR="00891BCF">
        <w:t xml:space="preserve"> for the fire suppression systems project.</w:t>
      </w:r>
      <w:r w:rsidR="0026762B">
        <w:t xml:space="preserve"> </w:t>
      </w:r>
    </w:p>
    <w:p w:rsidR="00891BCF" w:rsidRDefault="00891BCF" w:rsidP="00DA092A">
      <w:r>
        <w:t>We also noted what we consider to be a</w:t>
      </w:r>
      <w:r w:rsidR="00F347F5">
        <w:t>n</w:t>
      </w:r>
      <w:r>
        <w:t xml:space="preserve"> </w:t>
      </w:r>
      <w:r w:rsidR="00DC621E">
        <w:t xml:space="preserve">error in the labour hour assumptions for the </w:t>
      </w:r>
      <w:r w:rsidR="00D25B09">
        <w:t>Operations</w:t>
      </w:r>
      <w:r w:rsidR="00DC621E">
        <w:t xml:space="preserve"> Representative. We consider that an assumption of a 70 hour week for this classification of worker to be excessive and have </w:t>
      </w:r>
      <w:r w:rsidR="00D25B09">
        <w:t>reduced</w:t>
      </w:r>
      <w:r w:rsidR="00DC621E">
        <w:t xml:space="preserve"> the labour hour estimates for the Operations Representative to 38 hours </w:t>
      </w:r>
      <w:r w:rsidR="00EE27BF">
        <w:t xml:space="preserve">as </w:t>
      </w:r>
      <w:r w:rsidR="00DC621E">
        <w:t>used elsewhere in the labour hour estimates for th</w:t>
      </w:r>
      <w:r w:rsidR="003F3643">
        <w:t>is</w:t>
      </w:r>
      <w:r w:rsidR="00DC621E">
        <w:t xml:space="preserve"> project.</w:t>
      </w:r>
    </w:p>
    <w:p w:rsidR="00DC621E" w:rsidRPr="00256E1B" w:rsidRDefault="00DC621E" w:rsidP="0011281F">
      <w:pPr>
        <w:pStyle w:val="HeadingBoldBlue"/>
        <w:rPr>
          <w:rStyle w:val="AERtextitalic"/>
          <w:i w:val="0"/>
        </w:rPr>
      </w:pPr>
      <w:r w:rsidRPr="00256E1B">
        <w:rPr>
          <w:rStyle w:val="AERtextitalic"/>
          <w:i w:val="0"/>
        </w:rPr>
        <w:t>Phase reactor cooling system upgrade ("Gotland solution")</w:t>
      </w:r>
    </w:p>
    <w:p w:rsidR="00DC621E" w:rsidRDefault="00DC621E" w:rsidP="00DA092A">
      <w:r>
        <w:t>We have made a reduction of $0.</w:t>
      </w:r>
      <w:r w:rsidR="00FE5AE0">
        <w:t>40</w:t>
      </w:r>
      <w:r>
        <w:t xml:space="preserve"> million ($2014-15) to Directlink's proposed phase reactor cooling system upgrade on the basis of adjustments to proposed contingencies, labour hour estimates, design outsourcing costs and adjustments for economies of scale in sundry materials costs.</w:t>
      </w:r>
    </w:p>
    <w:p w:rsidR="00DC621E" w:rsidRDefault="00DC621E" w:rsidP="00DA092A">
      <w:r>
        <w:t xml:space="preserve">Directlink has applied a 15 per cent </w:t>
      </w:r>
      <w:r w:rsidR="00260266">
        <w:t>unspecified contingency to this project.</w:t>
      </w:r>
      <w:r w:rsidR="003F3643">
        <w:rPr>
          <w:rStyle w:val="FootnoteReference"/>
        </w:rPr>
        <w:footnoteReference w:id="36"/>
      </w:r>
      <w:r w:rsidR="00260266">
        <w:t xml:space="preserve"> For the </w:t>
      </w:r>
      <w:r w:rsidR="00EE27BF">
        <w:t xml:space="preserve">same </w:t>
      </w:r>
      <w:r w:rsidR="00260266">
        <w:t>reasons provided above in respect of the fire suppression systems project, we have not included Directlink's proposed contingency in our efficient cost estimate for the phase reactor cooling system upgrade.</w:t>
      </w:r>
    </w:p>
    <w:p w:rsidR="00260266" w:rsidRDefault="003F3643" w:rsidP="00DA092A">
      <w:r>
        <w:t>Similar to the proposed fire suppression system project, w</w:t>
      </w:r>
      <w:r w:rsidR="00260266">
        <w:t>e noted what we consider to be a</w:t>
      </w:r>
      <w:r w:rsidR="00F347F5">
        <w:t>n</w:t>
      </w:r>
      <w:r w:rsidR="00260266">
        <w:t xml:space="preserve"> error in the labour hour assumptions for the </w:t>
      </w:r>
      <w:r w:rsidR="00D25B09">
        <w:t>Operations</w:t>
      </w:r>
      <w:r w:rsidR="00260266">
        <w:t xml:space="preserve"> Representative. We consider that an assumption of a 70 hour week for this classification of worker to be excessive and have </w:t>
      </w:r>
      <w:r w:rsidR="00D25B09">
        <w:t>reduced</w:t>
      </w:r>
      <w:r w:rsidR="00260266">
        <w:t xml:space="preserve"> the labour hour estimates for the Operations Representative to 38 hours </w:t>
      </w:r>
      <w:r w:rsidR="00EE27BF">
        <w:t xml:space="preserve">as </w:t>
      </w:r>
      <w:r w:rsidR="00260266">
        <w:t>used elsewhere in the labour hour estimates for th</w:t>
      </w:r>
      <w:r>
        <w:t>is</w:t>
      </w:r>
      <w:r w:rsidR="00260266">
        <w:t xml:space="preserve"> project.</w:t>
      </w:r>
    </w:p>
    <w:p w:rsidR="00DC621E" w:rsidRDefault="003F3643" w:rsidP="00DA092A">
      <w:r>
        <w:t>Directlink has included in its estimate for the project an amount for the role of ‘</w:t>
      </w:r>
      <w:r w:rsidR="00D25B09">
        <w:t>owner's</w:t>
      </w:r>
      <w:r>
        <w:t xml:space="preserve"> engineer’ (described as ‘</w:t>
      </w:r>
      <w:r w:rsidRPr="00D57E2D">
        <w:t>Design Outsourcing PSC Advice</w:t>
      </w:r>
      <w:r>
        <w:t>’</w:t>
      </w:r>
      <w:r w:rsidRPr="00D57E2D">
        <w:t xml:space="preserve"> </w:t>
      </w:r>
      <w:r>
        <w:t>and ‘</w:t>
      </w:r>
      <w:r w:rsidRPr="00D57E2D">
        <w:t>Design Outsourcing</w:t>
      </w:r>
      <w:r>
        <w:t>’).</w:t>
      </w:r>
      <w:r>
        <w:rPr>
          <w:rStyle w:val="FootnoteReference"/>
        </w:rPr>
        <w:footnoteReference w:id="37"/>
      </w:r>
      <w:r>
        <w:t xml:space="preserve"> </w:t>
      </w:r>
      <w:r w:rsidR="00722CB9">
        <w:t>T</w:t>
      </w:r>
      <w:r w:rsidR="00114DF5">
        <w:t xml:space="preserve">he role of an owners engineer is to act on behalf of a business in respect to functions that the business lacks sufficient expertise. In this instance we expect that the owners engineer acting on behalf of Directlink would be engaged in reviewing the technical design of the project as well as ensuring that the delivery of the project conforms </w:t>
      </w:r>
      <w:r w:rsidR="003A316E">
        <w:t>to</w:t>
      </w:r>
      <w:r w:rsidR="00114DF5">
        <w:t xml:space="preserve"> its design. In this instance, w</w:t>
      </w:r>
      <w:r>
        <w:t xml:space="preserve">e consider that the scope of </w:t>
      </w:r>
      <w:r w:rsidR="009A7689">
        <w:t>th</w:t>
      </w:r>
      <w:r w:rsidR="00114DF5">
        <w:t>e</w:t>
      </w:r>
      <w:r w:rsidR="009A7689">
        <w:t xml:space="preserve"> </w:t>
      </w:r>
      <w:r>
        <w:t xml:space="preserve">work </w:t>
      </w:r>
      <w:r w:rsidR="00114DF5">
        <w:t>for this project</w:t>
      </w:r>
      <w:r w:rsidR="00114DF5" w:rsidRPr="00114DF5">
        <w:t xml:space="preserve"> </w:t>
      </w:r>
      <w:r>
        <w:t xml:space="preserve">covers a range of activities that </w:t>
      </w:r>
      <w:r w:rsidR="009A7689">
        <w:t xml:space="preserve">should not </w:t>
      </w:r>
      <w:r>
        <w:t xml:space="preserve">be duplicated as the design and implementation of the </w:t>
      </w:r>
      <w:r w:rsidRPr="00D57E2D">
        <w:t>revis</w:t>
      </w:r>
      <w:r>
        <w:t xml:space="preserve">ed </w:t>
      </w:r>
      <w:r w:rsidRPr="00D57E2D">
        <w:t xml:space="preserve">reactor cooling </w:t>
      </w:r>
      <w:r>
        <w:t xml:space="preserve">system is essentially identical for </w:t>
      </w:r>
      <w:r w:rsidR="009A7689">
        <w:t>Directlink's interconnector converter stations</w:t>
      </w:r>
      <w:r>
        <w:t xml:space="preserve">. </w:t>
      </w:r>
      <w:r w:rsidR="009A7689">
        <w:t xml:space="preserve">We therefore consider that </w:t>
      </w:r>
      <w:r>
        <w:t xml:space="preserve">this work </w:t>
      </w:r>
      <w:r w:rsidR="009A7689">
        <w:t xml:space="preserve">does not </w:t>
      </w:r>
      <w:r>
        <w:t xml:space="preserve">need </w:t>
      </w:r>
      <w:r w:rsidR="009A7689">
        <w:t xml:space="preserve">to </w:t>
      </w:r>
      <w:r>
        <w:t xml:space="preserve">be repeated for each </w:t>
      </w:r>
      <w:r w:rsidR="009A7689">
        <w:t>converter station</w:t>
      </w:r>
      <w:r w:rsidR="00151BA3">
        <w:t xml:space="preserve"> otherwise it will be in excess of the efficient costs that a prudent service provider would require to achieve the capex objectives</w:t>
      </w:r>
      <w:r>
        <w:t>.</w:t>
      </w:r>
    </w:p>
    <w:p w:rsidR="009A7689" w:rsidRDefault="00FB6948" w:rsidP="00DA092A">
      <w:r>
        <w:lastRenderedPageBreak/>
        <w:t>We have also made adjustments to some material cost estimates to reflect the economies of scale in the provision of these materials. C</w:t>
      </w:r>
      <w:r w:rsidR="00C46245">
        <w:t xml:space="preserve">ost estimates included in </w:t>
      </w:r>
      <w:r w:rsidR="0079680B">
        <w:t>the</w:t>
      </w:r>
      <w:r w:rsidR="00C46245">
        <w:t xml:space="preserve"> quotes </w:t>
      </w:r>
      <w:r w:rsidR="0079680B">
        <w:t xml:space="preserve">for the converter stations </w:t>
      </w:r>
      <w:r w:rsidR="00C46245">
        <w:t xml:space="preserve">are scaled in the </w:t>
      </w:r>
      <w:r w:rsidR="00C46245" w:rsidRPr="001B0CA0">
        <w:t>Bungalora Systems 2 and 3 and Mulumbimby Systems 2 and 3 estimate</w:t>
      </w:r>
      <w:r>
        <w:t xml:space="preserve">. In particular, we note that </w:t>
      </w:r>
      <w:r w:rsidR="0079680B">
        <w:t>‘customers and delivery’ and ‘sundry materials’ costs are scaled by a factor of four in this estimate.</w:t>
      </w:r>
      <w:r w:rsidR="0079680B">
        <w:rPr>
          <w:rStyle w:val="FootnoteReference"/>
        </w:rPr>
        <w:footnoteReference w:id="38"/>
      </w:r>
      <w:r w:rsidR="00C46245">
        <w:t xml:space="preserve"> </w:t>
      </w:r>
      <w:r w:rsidR="0079680B">
        <w:t>We are of the</w:t>
      </w:r>
      <w:r w:rsidR="00C46245">
        <w:t xml:space="preserve"> view that it is not likely that delivery </w:t>
      </w:r>
      <w:r w:rsidR="00AC258B">
        <w:t xml:space="preserve">of material </w:t>
      </w:r>
      <w:r w:rsidR="00C46245">
        <w:t xml:space="preserve">from </w:t>
      </w:r>
      <w:r w:rsidR="00AC258B">
        <w:t xml:space="preserve">the </w:t>
      </w:r>
      <w:r w:rsidR="00D25B09">
        <w:t>suppliers'</w:t>
      </w:r>
      <w:r w:rsidR="00AC258B">
        <w:t xml:space="preserve"> facilities in </w:t>
      </w:r>
      <w:r w:rsidR="00C46245">
        <w:t xml:space="preserve">Europe would be undertaken as </w:t>
      </w:r>
      <w:r w:rsidR="00AC258B">
        <w:t>five</w:t>
      </w:r>
      <w:r w:rsidR="00C46245">
        <w:t xml:space="preserve"> separate shipments and that there </w:t>
      </w:r>
      <w:r w:rsidR="00AC258B">
        <w:t>is likely to</w:t>
      </w:r>
      <w:r w:rsidR="00C46245">
        <w:t xml:space="preserve"> be some economies of scale in the sundry materials costs. </w:t>
      </w:r>
      <w:r w:rsidR="00AC258B">
        <w:t xml:space="preserve">We have similar views </w:t>
      </w:r>
      <w:r>
        <w:t>on</w:t>
      </w:r>
      <w:r w:rsidR="00AC258B">
        <w:t xml:space="preserve"> the</w:t>
      </w:r>
      <w:r w:rsidR="00C46245">
        <w:t xml:space="preserve"> ‘travel and accommodation costs’</w:t>
      </w:r>
      <w:r w:rsidR="00AC258B">
        <w:t xml:space="preserve"> included in this project's estimate</w:t>
      </w:r>
      <w:r w:rsidR="00C46245">
        <w:t>.</w:t>
      </w:r>
      <w:r w:rsidR="00AC258B">
        <w:t xml:space="preserve"> </w:t>
      </w:r>
    </w:p>
    <w:p w:rsidR="00AC258B" w:rsidRPr="00256E1B" w:rsidRDefault="0027701B" w:rsidP="0011281F">
      <w:pPr>
        <w:pStyle w:val="HeadingBoldBlue"/>
        <w:rPr>
          <w:rStyle w:val="AERtextitalic"/>
          <w:i w:val="0"/>
        </w:rPr>
      </w:pPr>
      <w:r w:rsidRPr="00256E1B">
        <w:rPr>
          <w:rStyle w:val="AERtextitalic"/>
          <w:i w:val="0"/>
        </w:rPr>
        <w:t>Converter station roof repair</w:t>
      </w:r>
    </w:p>
    <w:p w:rsidR="00AC258B" w:rsidRDefault="0027701B" w:rsidP="00DA092A">
      <w:r>
        <w:t>We have made a reduction of $0.18</w:t>
      </w:r>
      <w:r w:rsidR="00D74F67">
        <w:t>3</w:t>
      </w:r>
      <w:r>
        <w:t xml:space="preserve"> million ($2014-15) to Directlink's proposed converter station roof repair on the basis of a lower suitable quote for the proposed work.</w:t>
      </w:r>
    </w:p>
    <w:p w:rsidR="00D74F67" w:rsidRDefault="00D74F67" w:rsidP="00D74F67">
      <w:r>
        <w:t>In its revised proposal Directlink provided two quotes for repairs to the roofing of its converter stations</w:t>
      </w:r>
      <w:r w:rsidR="00151BA3">
        <w:t xml:space="preserve"> in support of its proposed expenditure</w:t>
      </w:r>
      <w:r>
        <w:t>.</w:t>
      </w:r>
      <w:r>
        <w:rPr>
          <w:rStyle w:val="FootnoteReference"/>
        </w:rPr>
        <w:footnoteReference w:id="39"/>
      </w:r>
      <w:r>
        <w:t xml:space="preserve"> Directlink's preferred quote proposes to replace the roof sheeting as well as several options that provide only</w:t>
      </w:r>
      <w:r w:rsidR="003A316E">
        <w:t xml:space="preserve"> </w:t>
      </w:r>
      <w:r>
        <w:t>unit rates</w:t>
      </w:r>
      <w:r w:rsidR="003A316E">
        <w:t xml:space="preserve"> represented as prices per square meter.</w:t>
      </w:r>
      <w:r>
        <w:t xml:space="preserve"> We are of the view that </w:t>
      </w:r>
      <w:r w:rsidR="00151BA3">
        <w:t xml:space="preserve">a prudent service provider would not choose to replace </w:t>
      </w:r>
      <w:r>
        <w:t xml:space="preserve">the roof sheeting </w:t>
      </w:r>
      <w:r w:rsidR="00151BA3">
        <w:t xml:space="preserve">as it </w:t>
      </w:r>
      <w:r>
        <w:t xml:space="preserve">is not required to address the </w:t>
      </w:r>
      <w:r w:rsidR="00C61B79">
        <w:t xml:space="preserve">relatively </w:t>
      </w:r>
      <w:r>
        <w:t xml:space="preserve">limited extent of the corrosion to small areas around the fixings. </w:t>
      </w:r>
      <w:r w:rsidR="00591461">
        <w:t xml:space="preserve">Directlink's preferred quote </w:t>
      </w:r>
      <w:r>
        <w:t xml:space="preserve">also provided an option to patch </w:t>
      </w:r>
      <w:r w:rsidR="00591461">
        <w:t>the roof with fibreglass.</w:t>
      </w:r>
      <w:r>
        <w:t xml:space="preserve"> </w:t>
      </w:r>
      <w:r w:rsidR="00AE54EC">
        <w:t>However, w</w:t>
      </w:r>
      <w:r w:rsidR="00591461">
        <w:t>e consider</w:t>
      </w:r>
      <w:r>
        <w:t xml:space="preserve"> that </w:t>
      </w:r>
      <w:r w:rsidR="00151BA3">
        <w:t xml:space="preserve">a prudent service provider would not </w:t>
      </w:r>
      <w:r>
        <w:t xml:space="preserve">patch sheet metal roofing in this manner </w:t>
      </w:r>
      <w:r w:rsidR="00151BA3">
        <w:t xml:space="preserve">as it </w:t>
      </w:r>
      <w:r>
        <w:t>typically has limited success and a short life expectancy. This seems to be reflected in the quote that notes that this repair is only guaranteed for 12 months. With regards to site access costs related to Directlink</w:t>
      </w:r>
      <w:r w:rsidR="00591461">
        <w:t>'s</w:t>
      </w:r>
      <w:r>
        <w:t xml:space="preserve"> imposed site working conditions (e.g. safety requirements, access conditions, etc.), </w:t>
      </w:r>
      <w:r w:rsidR="00591461">
        <w:t>we</w:t>
      </w:r>
      <w:r>
        <w:t xml:space="preserve"> note that these costs are not specifically </w:t>
      </w:r>
      <w:r w:rsidR="00591461">
        <w:t xml:space="preserve">included </w:t>
      </w:r>
      <w:r>
        <w:t xml:space="preserve">in </w:t>
      </w:r>
      <w:r w:rsidR="00151BA3">
        <w:t xml:space="preserve">this </w:t>
      </w:r>
      <w:r>
        <w:t xml:space="preserve">quotation and </w:t>
      </w:r>
      <w:r w:rsidR="00591461">
        <w:t>we therefore consider it</w:t>
      </w:r>
      <w:r>
        <w:t xml:space="preserve"> is likely that they are excluded. Consequently</w:t>
      </w:r>
      <w:r w:rsidR="00441F7A">
        <w:t>,</w:t>
      </w:r>
      <w:r>
        <w:t xml:space="preserve"> additional costs for site access </w:t>
      </w:r>
      <w:r w:rsidR="00591461">
        <w:t>are likely to</w:t>
      </w:r>
      <w:r>
        <w:t xml:space="preserve"> </w:t>
      </w:r>
      <w:r w:rsidR="00591461">
        <w:t>be required</w:t>
      </w:r>
      <w:r>
        <w:t>.</w:t>
      </w:r>
      <w:r w:rsidR="00151BA3">
        <w:t xml:space="preserve"> Overall, we consider that this quote does not provide evidence of efficient costs.</w:t>
      </w:r>
    </w:p>
    <w:p w:rsidR="00D74F67" w:rsidRDefault="00D74F67" w:rsidP="00D74F67">
      <w:r>
        <w:t xml:space="preserve">The </w:t>
      </w:r>
      <w:r w:rsidR="00AE54EC">
        <w:t xml:space="preserve">second </w:t>
      </w:r>
      <w:r w:rsidR="00591461">
        <w:t>quote Directlink received for the proposed roof repairs</w:t>
      </w:r>
      <w:r>
        <w:t xml:space="preserve"> was based on patching with colourbond sheeting adhered to the existing roofing material with a weatherproof adhesive sealant. </w:t>
      </w:r>
      <w:r w:rsidR="00151BA3">
        <w:t>In our view, we consider that a prudent service provider would consider</w:t>
      </w:r>
      <w:r>
        <w:t xml:space="preserve"> this type of repair is common practice and </w:t>
      </w:r>
      <w:r w:rsidR="009263D3">
        <w:t>see</w:t>
      </w:r>
      <w:r>
        <w:t xml:space="preserve"> no reason why th</w:t>
      </w:r>
      <w:r w:rsidR="009263D3">
        <w:t>is</w:t>
      </w:r>
      <w:r>
        <w:t xml:space="preserve"> proposal </w:t>
      </w:r>
      <w:r w:rsidR="00151BA3">
        <w:t xml:space="preserve">would be </w:t>
      </w:r>
      <w:r>
        <w:t xml:space="preserve">technically unacceptable. It is also </w:t>
      </w:r>
      <w:r w:rsidR="009263D3">
        <w:t>a</w:t>
      </w:r>
      <w:r>
        <w:t xml:space="preserve"> lowe</w:t>
      </w:r>
      <w:r w:rsidR="009263D3">
        <w:t>r</w:t>
      </w:r>
      <w:r>
        <w:t xml:space="preserve"> cost </w:t>
      </w:r>
      <w:r w:rsidR="009263D3">
        <w:t>than Directlink's preferred tenderer. We do not consider Directlink's response that</w:t>
      </w:r>
      <w:r>
        <w:t xml:space="preserve"> the appearance of the contractor and the uncertainty as to whether the quote would cover Directlink</w:t>
      </w:r>
      <w:r w:rsidR="009263D3">
        <w:t>'s</w:t>
      </w:r>
      <w:r>
        <w:t xml:space="preserve"> imposed site working conditions </w:t>
      </w:r>
      <w:r w:rsidR="002A769E">
        <w:t xml:space="preserve">are </w:t>
      </w:r>
      <w:r w:rsidR="009263D3">
        <w:t xml:space="preserve">sufficient reasons to reject the lower quote. We consider that Directlink's preferred quote for the work </w:t>
      </w:r>
      <w:r>
        <w:t xml:space="preserve">is also unlikely to have covered the costs of site working conditions. </w:t>
      </w:r>
      <w:r w:rsidR="0021401D">
        <w:t>On the basis that</w:t>
      </w:r>
      <w:r w:rsidR="009263D3">
        <w:t xml:space="preserve"> the lower quote</w:t>
      </w:r>
      <w:r>
        <w:t xml:space="preserve"> adequately </w:t>
      </w:r>
      <w:r>
        <w:lastRenderedPageBreak/>
        <w:t xml:space="preserve">addresses the roof condition problems (i.e. it is </w:t>
      </w:r>
      <w:r w:rsidR="00441F7A">
        <w:t xml:space="preserve">a </w:t>
      </w:r>
      <w:r>
        <w:t xml:space="preserve">technically sound solution) and both contractors would have similar site access costs </w:t>
      </w:r>
      <w:r w:rsidR="0021401D">
        <w:t xml:space="preserve">we consider that </w:t>
      </w:r>
      <w:r>
        <w:t xml:space="preserve">Directlink’s cost estimate </w:t>
      </w:r>
      <w:r w:rsidR="0021401D">
        <w:t xml:space="preserve">for the proposed roof repair </w:t>
      </w:r>
      <w:r>
        <w:t xml:space="preserve">is not the </w:t>
      </w:r>
      <w:r w:rsidR="0021401D">
        <w:t xml:space="preserve">most </w:t>
      </w:r>
      <w:r>
        <w:t xml:space="preserve">efficient cost and that the </w:t>
      </w:r>
      <w:r w:rsidR="0021401D">
        <w:t xml:space="preserve">alternative lower </w:t>
      </w:r>
      <w:r>
        <w:t xml:space="preserve">quote </w:t>
      </w:r>
      <w:r w:rsidR="0021401D">
        <w:t xml:space="preserve">should be </w:t>
      </w:r>
      <w:r>
        <w:t xml:space="preserve">used as the basis of the efficient cost estimate. </w:t>
      </w:r>
      <w:r w:rsidR="0021401D">
        <w:t xml:space="preserve">Our alternative </w:t>
      </w:r>
      <w:r w:rsidR="00151BA3">
        <w:t xml:space="preserve">estimate </w:t>
      </w:r>
      <w:r w:rsidR="0021401D">
        <w:t>i</w:t>
      </w:r>
      <w:r>
        <w:t>ncludes other cost components for mobilisation, demobilisation, etc., as well as APA’s margin.</w:t>
      </w:r>
    </w:p>
    <w:p w:rsidR="0027701B" w:rsidRDefault="00926EC5" w:rsidP="0011281F">
      <w:pPr>
        <w:pStyle w:val="Heading3"/>
        <w:keepNext/>
      </w:pPr>
      <w:bookmarkStart w:id="28" w:name="_Toc417742827"/>
      <w:r>
        <w:t>Real price escalators</w:t>
      </w:r>
      <w:bookmarkEnd w:id="28"/>
    </w:p>
    <w:p w:rsidR="00151BA3" w:rsidRDefault="00110289" w:rsidP="0011281F">
      <w:pPr>
        <w:keepNext/>
        <w:numPr>
          <w:ilvl w:val="0"/>
          <w:numId w:val="25"/>
        </w:numPr>
      </w:pPr>
      <w:r>
        <w:t xml:space="preserve">As </w:t>
      </w:r>
      <w:r w:rsidR="00581F66">
        <w:t xml:space="preserve">we discussed in </w:t>
      </w:r>
      <w:r w:rsidR="00256E1B">
        <w:t>our</w:t>
      </w:r>
      <w:r w:rsidR="00581F66">
        <w:t xml:space="preserve"> draft decision,</w:t>
      </w:r>
      <w:r>
        <w:t xml:space="preserve"> Directlink did not propose labour and materials escalators</w:t>
      </w:r>
      <w:r w:rsidR="00151BA3">
        <w:t xml:space="preserve"> in its initial proposal</w:t>
      </w:r>
      <w:r>
        <w:t>.</w:t>
      </w:r>
      <w:r w:rsidR="00581F66">
        <w:rPr>
          <w:rStyle w:val="FootnoteReference"/>
        </w:rPr>
        <w:footnoteReference w:id="40"/>
      </w:r>
      <w:r>
        <w:t xml:space="preserve"> Instead, Directlink advised that </w:t>
      </w:r>
      <w:r w:rsidR="00256E1B">
        <w:t xml:space="preserve">it </w:t>
      </w:r>
      <w:r>
        <w:t xml:space="preserve">would accept our decision on these matters. </w:t>
      </w:r>
    </w:p>
    <w:p w:rsidR="00151BA3" w:rsidRDefault="00151BA3" w:rsidP="00110289">
      <w:pPr>
        <w:numPr>
          <w:ilvl w:val="0"/>
          <w:numId w:val="25"/>
        </w:numPr>
      </w:pPr>
      <w:r>
        <w:t>In its revised proposal</w:t>
      </w:r>
      <w:r w:rsidR="00DE29C4">
        <w:t>, Directlink did not provide any comments on real materials or labour cost escalation and</w:t>
      </w:r>
      <w:r>
        <w:t xml:space="preserve"> </w:t>
      </w:r>
      <w:r w:rsidR="00DE29C4">
        <w:t xml:space="preserve">again </w:t>
      </w:r>
      <w:r>
        <w:t>did not propose or apply real labour cost escalation to its proposed capex.</w:t>
      </w:r>
      <w:r>
        <w:rPr>
          <w:rStyle w:val="FootnoteReference"/>
        </w:rPr>
        <w:footnoteReference w:id="41"/>
      </w:r>
    </w:p>
    <w:p w:rsidR="002A312E" w:rsidRDefault="00151BA3" w:rsidP="00110289">
      <w:pPr>
        <w:numPr>
          <w:ilvl w:val="0"/>
          <w:numId w:val="25"/>
        </w:numPr>
      </w:pPr>
      <w:r>
        <w:t>In this final decision, w</w:t>
      </w:r>
      <w:r w:rsidR="00110289">
        <w:t>e consider that real materials cost escalation should not be applied in determining a service provider's required capital expenditure.</w:t>
      </w:r>
      <w:r w:rsidR="002A312E">
        <w:t xml:space="preserve"> </w:t>
      </w:r>
    </w:p>
    <w:p w:rsidR="00581F66" w:rsidRDefault="002A312E" w:rsidP="00722CB9">
      <w:r>
        <w:t xml:space="preserve">In our draft decision we stated that we </w:t>
      </w:r>
      <w:r w:rsidR="00434B7A">
        <w:t>expected</w:t>
      </w:r>
      <w:r>
        <w:t xml:space="preserve"> </w:t>
      </w:r>
      <w:r w:rsidR="00434B7A">
        <w:t xml:space="preserve">Directlink to provide further information in its revised proposal to allow an adjustment to total forecast capex to be made </w:t>
      </w:r>
      <w:r>
        <w:t>for expected real labour cost escalation.</w:t>
      </w:r>
      <w:r w:rsidR="00053F5C">
        <w:rPr>
          <w:rStyle w:val="FootnoteReference"/>
        </w:rPr>
        <w:footnoteReference w:id="42"/>
      </w:r>
      <w:r>
        <w:t xml:space="preserve"> </w:t>
      </w:r>
      <w:r w:rsidR="00434B7A">
        <w:t>In this final decision, we have not made such an adjustment.</w:t>
      </w:r>
      <w:r w:rsidR="00151BA3">
        <w:t xml:space="preserve"> This</w:t>
      </w:r>
      <w:r>
        <w:t xml:space="preserve"> </w:t>
      </w:r>
      <w:r w:rsidR="00151BA3">
        <w:t>is</w:t>
      </w:r>
      <w:r>
        <w:t xml:space="preserve"> consistent with our review of Directlink's opex</w:t>
      </w:r>
      <w:r w:rsidR="00722CB9">
        <w:t xml:space="preserve"> where Directlink accepted </w:t>
      </w:r>
      <w:r w:rsidR="00722CB9" w:rsidRPr="00722CB9">
        <w:t>our draft decision to forecast Directlink's annual change in opex</w:t>
      </w:r>
      <w:r w:rsidR="00722CB9">
        <w:t xml:space="preserve"> by</w:t>
      </w:r>
      <w:r w:rsidR="00722CB9" w:rsidRPr="00722CB9">
        <w:t xml:space="preserve"> appl</w:t>
      </w:r>
      <w:r w:rsidR="00722CB9">
        <w:t>ying</w:t>
      </w:r>
      <w:r w:rsidR="00722CB9" w:rsidRPr="00722CB9">
        <w:t xml:space="preserve"> forecast CPI to account for changes to efficient opex for each year of the regulatory control period.</w:t>
      </w:r>
      <w:r w:rsidR="00722CB9" w:rsidRPr="00722CB9">
        <w:rPr>
          <w:rStyle w:val="AERsuperscript"/>
        </w:rPr>
        <w:footnoteReference w:id="43"/>
      </w:r>
      <w:r w:rsidR="00722CB9" w:rsidRPr="00722CB9">
        <w:t xml:space="preserve"> That is, we applied zero real material and labour escalation.</w:t>
      </w:r>
      <w:r>
        <w:t xml:space="preserve"> </w:t>
      </w:r>
    </w:p>
    <w:p w:rsidR="00B03011" w:rsidRDefault="00B03011" w:rsidP="00B03011">
      <w:pPr>
        <w:pStyle w:val="Heading3"/>
      </w:pPr>
      <w:bookmarkStart w:id="29" w:name="_Ref417740340"/>
      <w:bookmarkStart w:id="30" w:name="_Toc417742828"/>
      <w:r>
        <w:t>Consideration of the capex factors</w:t>
      </w:r>
      <w:bookmarkEnd w:id="29"/>
      <w:bookmarkEnd w:id="30"/>
    </w:p>
    <w:p w:rsidR="00B03011" w:rsidRPr="006F366E" w:rsidRDefault="00B03011" w:rsidP="00B03011">
      <w:r w:rsidRPr="006F366E">
        <w:t xml:space="preserve">In deciding whether or not we are satisfied </w:t>
      </w:r>
      <w:r>
        <w:t>Directlink's</w:t>
      </w:r>
      <w:r w:rsidRPr="006F366E">
        <w:t xml:space="preserve"> forecast reasonably reflects the capex criteria, we have had regard to the following capex factors when applying our assessment techniques to the total proposed capex forecast. </w:t>
      </w:r>
      <w:r>
        <w:t xml:space="preserve"> </w:t>
      </w:r>
      <w:r w:rsidR="0011281F">
        <w:fldChar w:fldCharType="begin"/>
      </w:r>
      <w:r w:rsidR="0011281F">
        <w:instrText xml:space="preserve"> REF _Ref417742676 \h </w:instrText>
      </w:r>
      <w:r w:rsidR="0011281F">
        <w:fldChar w:fldCharType="separate"/>
      </w:r>
      <w:r w:rsidR="0011281F">
        <w:t xml:space="preserve">Table </w:t>
      </w:r>
      <w:r w:rsidR="0011281F">
        <w:rPr>
          <w:noProof/>
        </w:rPr>
        <w:t>6</w:t>
      </w:r>
      <w:r w:rsidR="0011281F">
        <w:noBreakHyphen/>
      </w:r>
      <w:r w:rsidR="0011281F">
        <w:rPr>
          <w:noProof/>
        </w:rPr>
        <w:t>3</w:t>
      </w:r>
      <w:r w:rsidR="0011281F">
        <w:fldChar w:fldCharType="end"/>
      </w:r>
      <w:r w:rsidR="0011281F">
        <w:t xml:space="preserve"> </w:t>
      </w:r>
      <w:r w:rsidRPr="006F366E">
        <w:t>summarises how we have taken into account the capex factors.</w:t>
      </w:r>
    </w:p>
    <w:p w:rsidR="00B03011" w:rsidRDefault="0011281F" w:rsidP="0011281F">
      <w:pPr>
        <w:pStyle w:val="Caption"/>
      </w:pPr>
      <w:bookmarkStart w:id="31" w:name="_Ref417742676"/>
      <w:r>
        <w:t xml:space="preserve">Table </w:t>
      </w:r>
      <w:r w:rsidR="00611B75">
        <w:fldChar w:fldCharType="begin"/>
      </w:r>
      <w:r w:rsidR="00611B75">
        <w:instrText xml:space="preserve"> STYLEREF 1 \s </w:instrText>
      </w:r>
      <w:r w:rsidR="00611B75">
        <w:fldChar w:fldCharType="separate"/>
      </w:r>
      <w:r>
        <w:rPr>
          <w:noProof/>
        </w:rPr>
        <w:t>6</w:t>
      </w:r>
      <w:r w:rsidR="00611B75">
        <w:rPr>
          <w:noProof/>
        </w:rPr>
        <w:fldChar w:fldCharType="end"/>
      </w:r>
      <w:r>
        <w:noBreakHyphen/>
      </w:r>
      <w:r w:rsidR="00611B75">
        <w:fldChar w:fldCharType="begin"/>
      </w:r>
      <w:r w:rsidR="00611B75">
        <w:instrText xml:space="preserve"> SEQ Table \* ARABIC \s 1 </w:instrText>
      </w:r>
      <w:r w:rsidR="00611B75">
        <w:fldChar w:fldCharType="separate"/>
      </w:r>
      <w:r>
        <w:rPr>
          <w:noProof/>
        </w:rPr>
        <w:t>3</w:t>
      </w:r>
      <w:r w:rsidR="00611B75">
        <w:rPr>
          <w:noProof/>
        </w:rPr>
        <w:fldChar w:fldCharType="end"/>
      </w:r>
      <w:bookmarkEnd w:id="31"/>
      <w:r w:rsidR="00B03011">
        <w:tab/>
        <w:t>AER consideration of the capex factors</w:t>
      </w:r>
    </w:p>
    <w:tbl>
      <w:tblPr>
        <w:tblStyle w:val="AERtable-text0"/>
        <w:tblW w:w="0" w:type="auto"/>
        <w:tblLook w:val="04A0" w:firstRow="1" w:lastRow="0" w:firstColumn="1" w:lastColumn="0" w:noHBand="0" w:noVBand="1"/>
      </w:tblPr>
      <w:tblGrid>
        <w:gridCol w:w="3860"/>
        <w:gridCol w:w="4833"/>
      </w:tblGrid>
      <w:tr w:rsidR="00B03011" w:rsidRPr="006F366E" w:rsidTr="0011281F">
        <w:trPr>
          <w:cnfStyle w:val="100000000000" w:firstRow="1" w:lastRow="0" w:firstColumn="0" w:lastColumn="0" w:oddVBand="0" w:evenVBand="0" w:oddHBand="0" w:evenHBand="0" w:firstRowFirstColumn="0" w:firstRowLastColumn="0" w:lastRowFirstColumn="0" w:lastRowLastColumn="0"/>
          <w:tblHeader/>
        </w:trPr>
        <w:tc>
          <w:tcPr>
            <w:tcW w:w="3860" w:type="dxa"/>
            <w:hideMark/>
          </w:tcPr>
          <w:p w:rsidR="00B03011" w:rsidRPr="00B03011" w:rsidRDefault="00B03011" w:rsidP="00B03011">
            <w:r w:rsidRPr="006F366E">
              <w:t>Capex factor</w:t>
            </w:r>
          </w:p>
        </w:tc>
        <w:tc>
          <w:tcPr>
            <w:tcW w:w="4833" w:type="dxa"/>
            <w:hideMark/>
          </w:tcPr>
          <w:p w:rsidR="00B03011" w:rsidRPr="00B03011" w:rsidRDefault="00B03011" w:rsidP="00B03011">
            <w:r w:rsidRPr="006F366E">
              <w:t>AER consideration</w:t>
            </w:r>
          </w:p>
        </w:tc>
      </w:tr>
      <w:tr w:rsidR="00B03011" w:rsidRPr="006F366E" w:rsidTr="0011281F">
        <w:tc>
          <w:tcPr>
            <w:tcW w:w="3860" w:type="dxa"/>
            <w:hideMark/>
          </w:tcPr>
          <w:p w:rsidR="00B03011" w:rsidRPr="00B03011" w:rsidRDefault="00B03011" w:rsidP="00B03011">
            <w:r w:rsidRPr="006F366E">
              <w:t xml:space="preserve">The actual and expected capex of </w:t>
            </w:r>
            <w:r w:rsidRPr="00B03011">
              <w:t>Directlink during any preceding regulatory control periods</w:t>
            </w:r>
          </w:p>
        </w:tc>
        <w:tc>
          <w:tcPr>
            <w:tcW w:w="4833" w:type="dxa"/>
            <w:hideMark/>
          </w:tcPr>
          <w:p w:rsidR="00B03011" w:rsidRPr="00BF129B" w:rsidRDefault="00B03011" w:rsidP="00256E1B">
            <w:r w:rsidRPr="00BF129B">
              <w:t xml:space="preserve">We have had regard to Directlink's actual and expected capex during the 2006–2015 regulatory control period in assessing its proposed total forecast capex and in determining our substitute </w:t>
            </w:r>
            <w:r w:rsidRPr="00BF129B">
              <w:lastRenderedPageBreak/>
              <w:t xml:space="preserve">estimate for the 2015–2020 </w:t>
            </w:r>
            <w:r w:rsidR="00256E1B">
              <w:t xml:space="preserve">regulatory control </w:t>
            </w:r>
            <w:r w:rsidRPr="00BF129B">
              <w:t>period. We consider that much of Directlink's proposed capex program reflects the stochastic nature of its capex requirements rather than that of a mature "steady state" system with recurrent capital expenditure programs. We also consider that Directlink is facing a number of "end-of-life" projects which have been included in its historical capex.</w:t>
            </w:r>
            <w:r w:rsidR="006557D7">
              <w:rPr>
                <w:rStyle w:val="FootnoteReference"/>
              </w:rPr>
              <w:footnoteReference w:id="44"/>
            </w:r>
          </w:p>
        </w:tc>
      </w:tr>
      <w:tr w:rsidR="00B03011" w:rsidRPr="006F366E" w:rsidTr="0011281F">
        <w:trPr>
          <w:cnfStyle w:val="000000010000" w:firstRow="0" w:lastRow="0" w:firstColumn="0" w:lastColumn="0" w:oddVBand="0" w:evenVBand="0" w:oddHBand="0" w:evenHBand="1" w:firstRowFirstColumn="0" w:firstRowLastColumn="0" w:lastRowFirstColumn="0" w:lastRowLastColumn="0"/>
        </w:trPr>
        <w:tc>
          <w:tcPr>
            <w:tcW w:w="3860" w:type="dxa"/>
          </w:tcPr>
          <w:p w:rsidR="00B03011" w:rsidRPr="00B03011" w:rsidRDefault="00B03011" w:rsidP="00B03011">
            <w:r w:rsidRPr="0018361E">
              <w:lastRenderedPageBreak/>
              <w:t xml:space="preserve">The most recent annual benchmarking report and benchmarking capex that would be </w:t>
            </w:r>
            <w:r w:rsidRPr="00B03011">
              <w:t>incurred by an efficient TNSP over the relevant regulatory control period</w:t>
            </w:r>
          </w:p>
        </w:tc>
        <w:tc>
          <w:tcPr>
            <w:tcW w:w="4833" w:type="dxa"/>
          </w:tcPr>
          <w:p w:rsidR="00B03011" w:rsidRPr="00B03011" w:rsidRDefault="00B03011" w:rsidP="00B03011">
            <w:r>
              <w:t>W</w:t>
            </w:r>
            <w:r w:rsidRPr="00B03011">
              <w:t>e consider there is limited benefit in reviewing Directlink's capex performance with other NSPs or on a trend basis over the previous period, as there are no equivalent electricity network assets to provide meaningful comparisons given the nature and small scale of Directlink's operations and due to the minimal capital expenditure incurred by Directlink for the 2006-15 regulatory control period.</w:t>
            </w:r>
            <w:r w:rsidR="006557D7">
              <w:rPr>
                <w:rStyle w:val="FootnoteReference"/>
              </w:rPr>
              <w:footnoteReference w:id="45"/>
            </w:r>
          </w:p>
        </w:tc>
      </w:tr>
      <w:tr w:rsidR="00B03011" w:rsidRPr="006F366E" w:rsidTr="0011281F">
        <w:tc>
          <w:tcPr>
            <w:tcW w:w="3860" w:type="dxa"/>
            <w:hideMark/>
          </w:tcPr>
          <w:p w:rsidR="00B03011" w:rsidRPr="00B03011" w:rsidRDefault="00B03011" w:rsidP="00B03011">
            <w:r w:rsidRPr="006F366E">
              <w:t xml:space="preserve">The extent to which the capex forecast includes expenditure to address concerns of electricity consumers as identified by </w:t>
            </w:r>
            <w:r w:rsidRPr="00B03011">
              <w:t>Directlink in the course of its engagement with electricity consumers</w:t>
            </w:r>
          </w:p>
        </w:tc>
        <w:tc>
          <w:tcPr>
            <w:tcW w:w="4833" w:type="dxa"/>
            <w:hideMark/>
          </w:tcPr>
          <w:p w:rsidR="00B03011" w:rsidRPr="00B03011" w:rsidRDefault="00B03011" w:rsidP="00B03011">
            <w:r w:rsidRPr="006F366E">
              <w:t xml:space="preserve">We have had regard to the extent to which </w:t>
            </w:r>
            <w:r w:rsidRPr="00B03011">
              <w:t xml:space="preserve">Directlink's proposed total forecast capex includes expenditure to address consumer concerns that have been identified by Directlink. On the information available to us, Directlink has not identified any expenditure to address concerns by consumers. </w:t>
            </w:r>
          </w:p>
        </w:tc>
      </w:tr>
      <w:tr w:rsidR="00B03011" w:rsidRPr="006F366E" w:rsidTr="0011281F">
        <w:trPr>
          <w:cnfStyle w:val="000000010000" w:firstRow="0" w:lastRow="0" w:firstColumn="0" w:lastColumn="0" w:oddVBand="0" w:evenVBand="0" w:oddHBand="0" w:evenHBand="1" w:firstRowFirstColumn="0" w:firstRowLastColumn="0" w:lastRowFirstColumn="0" w:lastRowLastColumn="0"/>
        </w:trPr>
        <w:tc>
          <w:tcPr>
            <w:tcW w:w="3860" w:type="dxa"/>
            <w:hideMark/>
          </w:tcPr>
          <w:p w:rsidR="00B03011" w:rsidRPr="00B03011" w:rsidRDefault="00B03011" w:rsidP="00B03011">
            <w:r w:rsidRPr="006F366E">
              <w:t>The relative prices of operating and capital inputs</w:t>
            </w:r>
          </w:p>
        </w:tc>
        <w:tc>
          <w:tcPr>
            <w:tcW w:w="4833" w:type="dxa"/>
            <w:hideMark/>
          </w:tcPr>
          <w:p w:rsidR="00B03011" w:rsidRPr="00B03011" w:rsidRDefault="00B03011" w:rsidP="00B03011">
            <w:r>
              <w:t xml:space="preserve">Directlink did not propose material real cost escalators. We consider that real </w:t>
            </w:r>
            <w:r w:rsidRPr="00B03011">
              <w:t xml:space="preserve">material cost escalation should not be applied in determining Directlink's required capital expenditure. </w:t>
            </w:r>
          </w:p>
        </w:tc>
      </w:tr>
      <w:tr w:rsidR="00B03011" w:rsidRPr="006F366E" w:rsidTr="0011281F">
        <w:tc>
          <w:tcPr>
            <w:tcW w:w="3860" w:type="dxa"/>
            <w:hideMark/>
          </w:tcPr>
          <w:p w:rsidR="00B03011" w:rsidRPr="00B03011" w:rsidRDefault="00B03011" w:rsidP="00B03011">
            <w:r w:rsidRPr="006F366E">
              <w:t>The substitution possibilities between operating and capital expenditure</w:t>
            </w:r>
          </w:p>
        </w:tc>
        <w:tc>
          <w:tcPr>
            <w:tcW w:w="4833" w:type="dxa"/>
            <w:hideMark/>
          </w:tcPr>
          <w:p w:rsidR="00B03011" w:rsidRPr="00B03011" w:rsidRDefault="00B03011" w:rsidP="00256E1B">
            <w:r w:rsidRPr="006F366E">
              <w:t xml:space="preserve">We have had regard to the substitution possibilities between opex and capex. We have considered whether there are more efficient and prudent trade-offs in investing more or less in capital in place of ongoing operations. </w:t>
            </w:r>
            <w:r w:rsidRPr="00B03011">
              <w:t>We consider that Directlink's operating risk will decline to its pre-Mullumbimby converter station fire levels based on the increased allowances for capex (and opex) and as such, should be reflected in Directlink's insurance premiums.</w:t>
            </w:r>
            <w:r w:rsidR="00434B7A">
              <w:t xml:space="preserve"> This is explained in the </w:t>
            </w:r>
            <w:r w:rsidR="00256E1B">
              <w:t>A</w:t>
            </w:r>
            <w:r w:rsidR="00434B7A">
              <w:t>ttachment 7</w:t>
            </w:r>
            <w:r w:rsidR="00256E1B">
              <w:t xml:space="preserve"> (Opex)</w:t>
            </w:r>
            <w:r w:rsidR="00434B7A">
              <w:t xml:space="preserve">. </w:t>
            </w:r>
            <w:r w:rsidRPr="00B03011">
              <w:t xml:space="preserve"> </w:t>
            </w:r>
          </w:p>
        </w:tc>
      </w:tr>
      <w:tr w:rsidR="00B03011" w:rsidRPr="006F366E" w:rsidTr="0011281F">
        <w:trPr>
          <w:cnfStyle w:val="000000010000" w:firstRow="0" w:lastRow="0" w:firstColumn="0" w:lastColumn="0" w:oddVBand="0" w:evenVBand="0" w:oddHBand="0" w:evenHBand="1" w:firstRowFirstColumn="0" w:firstRowLastColumn="0" w:lastRowFirstColumn="0" w:lastRowLastColumn="0"/>
        </w:trPr>
        <w:tc>
          <w:tcPr>
            <w:tcW w:w="3860" w:type="dxa"/>
            <w:hideMark/>
          </w:tcPr>
          <w:p w:rsidR="00B03011" w:rsidRPr="00B03011" w:rsidRDefault="00B03011" w:rsidP="00B03011">
            <w:r w:rsidRPr="006F366E">
              <w:t xml:space="preserve">Whether the capex forecast is consistent with any incentive scheme or schemes that apply to </w:t>
            </w:r>
            <w:r w:rsidRPr="00B03011">
              <w:t>Directlink.</w:t>
            </w:r>
          </w:p>
        </w:tc>
        <w:tc>
          <w:tcPr>
            <w:tcW w:w="4833" w:type="dxa"/>
            <w:hideMark/>
          </w:tcPr>
          <w:p w:rsidR="00B03011" w:rsidRPr="00B03011" w:rsidRDefault="00B03011" w:rsidP="00256E1B">
            <w:r w:rsidRPr="006F366E">
              <w:t xml:space="preserve">We have had regard to whether </w:t>
            </w:r>
            <w:r w:rsidRPr="00B03011">
              <w:t>Directlink's proposed total forecast capex is consistent with the STPIS. See our discussion about the interrelationships between Directlink's total forecast capex</w:t>
            </w:r>
            <w:r w:rsidR="008C4BA2">
              <w:t>, including the impact of its proposed cable replacement program,</w:t>
            </w:r>
            <w:r w:rsidRPr="00B03011">
              <w:t xml:space="preserve"> and the application of the STPIS above and in </w:t>
            </w:r>
            <w:r w:rsidR="00256E1B">
              <w:t>A</w:t>
            </w:r>
            <w:r w:rsidRPr="00B03011">
              <w:t>ttachment 11.</w:t>
            </w:r>
          </w:p>
        </w:tc>
      </w:tr>
      <w:tr w:rsidR="00B03011" w:rsidRPr="006F366E" w:rsidTr="0011281F">
        <w:tc>
          <w:tcPr>
            <w:tcW w:w="3860" w:type="dxa"/>
            <w:hideMark/>
          </w:tcPr>
          <w:p w:rsidR="00B03011" w:rsidRPr="00B03011" w:rsidRDefault="00B03011" w:rsidP="00B03011">
            <w:r w:rsidRPr="006F366E">
              <w:t xml:space="preserve">The extent to which the capex forecast is referable to arrangements with a person other than the </w:t>
            </w:r>
            <w:r w:rsidRPr="00B03011">
              <w:t>TNSP that do not reflect arm's length terms</w:t>
            </w:r>
          </w:p>
        </w:tc>
        <w:tc>
          <w:tcPr>
            <w:tcW w:w="4833" w:type="dxa"/>
            <w:hideMark/>
          </w:tcPr>
          <w:p w:rsidR="00B03011" w:rsidRPr="00B03011" w:rsidRDefault="00B03011" w:rsidP="00B03011">
            <w:r w:rsidRPr="006F366E">
              <w:t xml:space="preserve">We have had regard to whether any part of </w:t>
            </w:r>
            <w:r w:rsidRPr="00B03011">
              <w:t>Directlink's proposed total forecast capex or our substitute estimate is referable to arrangements with a person other than Directlink that do not reflect arm's length terms. We did not identify any parts of Directlink's proposed total forecast capex or our substitute estimate that is referable in this way.</w:t>
            </w:r>
          </w:p>
        </w:tc>
      </w:tr>
      <w:tr w:rsidR="00B03011" w:rsidRPr="006F366E" w:rsidTr="0011281F">
        <w:trPr>
          <w:cnfStyle w:val="000000010000" w:firstRow="0" w:lastRow="0" w:firstColumn="0" w:lastColumn="0" w:oddVBand="0" w:evenVBand="0" w:oddHBand="0" w:evenHBand="1" w:firstRowFirstColumn="0" w:firstRowLastColumn="0" w:lastRowFirstColumn="0" w:lastRowLastColumn="0"/>
        </w:trPr>
        <w:tc>
          <w:tcPr>
            <w:tcW w:w="3860" w:type="dxa"/>
            <w:hideMark/>
          </w:tcPr>
          <w:p w:rsidR="00B03011" w:rsidRPr="00B03011" w:rsidRDefault="00B03011" w:rsidP="00B03011">
            <w:r w:rsidRPr="006F366E">
              <w:t>Whether the capex forecast includes an amount relating to a project that should more appropriately be included as a contingent project</w:t>
            </w:r>
          </w:p>
        </w:tc>
        <w:tc>
          <w:tcPr>
            <w:tcW w:w="4833" w:type="dxa"/>
            <w:hideMark/>
          </w:tcPr>
          <w:p w:rsidR="00B03011" w:rsidRPr="00B03011" w:rsidRDefault="00B03011" w:rsidP="00B03011">
            <w:r w:rsidRPr="006F366E">
              <w:t xml:space="preserve">We have had regard to whether any amount of </w:t>
            </w:r>
            <w:r w:rsidRPr="00B03011">
              <w:t>Directlink's proposed total forecast capex or our substitute estimate relates to a project that should more appropriately be included as a contingent project. We did not identify any such amounts.</w:t>
            </w:r>
          </w:p>
        </w:tc>
      </w:tr>
      <w:tr w:rsidR="00B03011" w:rsidRPr="006F366E" w:rsidTr="0011281F">
        <w:tc>
          <w:tcPr>
            <w:tcW w:w="3860" w:type="dxa"/>
            <w:hideMark/>
          </w:tcPr>
          <w:p w:rsidR="00B03011" w:rsidRPr="00B03011" w:rsidRDefault="00B03011" w:rsidP="00B03011">
            <w:r w:rsidRPr="006F366E">
              <w:t xml:space="preserve">The extent to which </w:t>
            </w:r>
            <w:r w:rsidRPr="00B03011">
              <w:t xml:space="preserve">Directlink has considered and </w:t>
            </w:r>
            <w:r w:rsidRPr="00B03011">
              <w:lastRenderedPageBreak/>
              <w:t>made provision for efficient and prudent non-network alternatives</w:t>
            </w:r>
          </w:p>
        </w:tc>
        <w:tc>
          <w:tcPr>
            <w:tcW w:w="4833" w:type="dxa"/>
            <w:hideMark/>
          </w:tcPr>
          <w:p w:rsidR="00B03011" w:rsidRPr="00B03011" w:rsidRDefault="00B03011" w:rsidP="00B03011">
            <w:r w:rsidRPr="006F366E">
              <w:lastRenderedPageBreak/>
              <w:t xml:space="preserve">We have had regard to the extent to which </w:t>
            </w:r>
            <w:r w:rsidRPr="00B03011">
              <w:t xml:space="preserve">Directlink made </w:t>
            </w:r>
            <w:r w:rsidRPr="00B03011">
              <w:lastRenderedPageBreak/>
              <w:t xml:space="preserve">provision for efficient and prudent non-network alternatives as part of our assessment of the capex associated with the non-network capex driver. </w:t>
            </w:r>
          </w:p>
        </w:tc>
      </w:tr>
      <w:tr w:rsidR="00B03011" w:rsidRPr="006F366E" w:rsidTr="0011281F">
        <w:trPr>
          <w:cnfStyle w:val="000000010000" w:firstRow="0" w:lastRow="0" w:firstColumn="0" w:lastColumn="0" w:oddVBand="0" w:evenVBand="0" w:oddHBand="0" w:evenHBand="1" w:firstRowFirstColumn="0" w:firstRowLastColumn="0" w:lastRowFirstColumn="0" w:lastRowLastColumn="0"/>
        </w:trPr>
        <w:tc>
          <w:tcPr>
            <w:tcW w:w="3860" w:type="dxa"/>
            <w:hideMark/>
          </w:tcPr>
          <w:p w:rsidR="00B03011" w:rsidRPr="00B03011" w:rsidRDefault="00B03011" w:rsidP="00B03011">
            <w:r w:rsidRPr="006F366E">
              <w:lastRenderedPageBreak/>
              <w:t>Any relevant final project assessment report (as defined in clause 5.10.2 of the NER) published under clause 5.17.4(o), (p) or (s)</w:t>
            </w:r>
          </w:p>
        </w:tc>
        <w:tc>
          <w:tcPr>
            <w:tcW w:w="4833" w:type="dxa"/>
            <w:hideMark/>
          </w:tcPr>
          <w:p w:rsidR="00B03011" w:rsidRPr="00B03011" w:rsidRDefault="00B03011" w:rsidP="00B03011">
            <w:r w:rsidRPr="006F366E">
              <w:t xml:space="preserve">There are no final project assessment reports relevant to </w:t>
            </w:r>
            <w:r w:rsidRPr="00B03011">
              <w:t>Directlink for us to have regard to.</w:t>
            </w:r>
          </w:p>
        </w:tc>
      </w:tr>
      <w:tr w:rsidR="00B03011" w:rsidRPr="006F366E" w:rsidTr="0011281F">
        <w:tc>
          <w:tcPr>
            <w:tcW w:w="3860" w:type="dxa"/>
            <w:hideMark/>
          </w:tcPr>
          <w:p w:rsidR="00B03011" w:rsidRPr="00B03011" w:rsidRDefault="00B03011" w:rsidP="00B03011">
            <w:r w:rsidRPr="006F366E">
              <w:t xml:space="preserve">Any other factor the AER considers relevant and which the AER has notified </w:t>
            </w:r>
            <w:r w:rsidRPr="00B03011">
              <w:t>Directlink in writing, prior to the submission of its revised regulatory proposal under is a capex factor</w:t>
            </w:r>
          </w:p>
        </w:tc>
        <w:tc>
          <w:tcPr>
            <w:tcW w:w="4833" w:type="dxa"/>
            <w:hideMark/>
          </w:tcPr>
          <w:p w:rsidR="00B03011" w:rsidRPr="00B03011" w:rsidRDefault="00B03011" w:rsidP="00B03011">
            <w:r w:rsidRPr="006F366E">
              <w:t>We did not identify any other capex factor that we consider relevant.</w:t>
            </w:r>
          </w:p>
        </w:tc>
      </w:tr>
    </w:tbl>
    <w:p w:rsidR="00926EC5" w:rsidRDefault="000866C6" w:rsidP="000866C6">
      <w:pPr>
        <w:pStyle w:val="Heading3"/>
      </w:pPr>
      <w:bookmarkStart w:id="32" w:name="_Toc417742829"/>
      <w:r>
        <w:t>Conclusion</w:t>
      </w:r>
      <w:bookmarkEnd w:id="32"/>
    </w:p>
    <w:p w:rsidR="00E55D75" w:rsidRDefault="00E55D75" w:rsidP="00E55D75">
      <w:pPr>
        <w:numPr>
          <w:ilvl w:val="0"/>
          <w:numId w:val="25"/>
        </w:numPr>
      </w:pPr>
      <w:r>
        <w:t xml:space="preserve">For the </w:t>
      </w:r>
      <w:r w:rsidR="00517D79">
        <w:t xml:space="preserve">above </w:t>
      </w:r>
      <w:r>
        <w:t xml:space="preserve">reasons, </w:t>
      </w:r>
      <w:r w:rsidRPr="000A3BB4">
        <w:t xml:space="preserve">we </w:t>
      </w:r>
      <w:r>
        <w:t xml:space="preserve">do not accept </w:t>
      </w:r>
      <w:r w:rsidRPr="000A3BB4">
        <w:t xml:space="preserve">the total forecast capex </w:t>
      </w:r>
      <w:r>
        <w:t>of $3</w:t>
      </w:r>
      <w:r w:rsidR="002C1E8F">
        <w:t>7.06</w:t>
      </w:r>
      <w:r>
        <w:t xml:space="preserve"> million </w:t>
      </w:r>
      <w:r w:rsidRPr="000A3BB4">
        <w:t xml:space="preserve">that </w:t>
      </w:r>
      <w:r>
        <w:t>Directlink</w:t>
      </w:r>
      <w:r w:rsidRPr="000A3BB4">
        <w:t xml:space="preserve"> proposed </w:t>
      </w:r>
      <w:r>
        <w:t xml:space="preserve">in its </w:t>
      </w:r>
      <w:r w:rsidR="00441F7A">
        <w:t xml:space="preserve">revised </w:t>
      </w:r>
      <w:r>
        <w:t xml:space="preserve">revenue proposal </w:t>
      </w:r>
      <w:r w:rsidRPr="000A3BB4">
        <w:t>for the</w:t>
      </w:r>
      <w:r>
        <w:t xml:space="preserve"> 2015–20</w:t>
      </w:r>
      <w:r w:rsidRPr="000A3BB4">
        <w:t xml:space="preserve"> </w:t>
      </w:r>
      <w:r>
        <w:t xml:space="preserve">regulatory control </w:t>
      </w:r>
      <w:r w:rsidRPr="000A3BB4">
        <w:t>period</w:t>
      </w:r>
      <w:r>
        <w:t>. This is because we are not satisfied that a</w:t>
      </w:r>
      <w:r w:rsidRPr="00D5785D">
        <w:t xml:space="preserve"> </w:t>
      </w:r>
      <w:r w:rsidRPr="000A3BB4">
        <w:t xml:space="preserve">total forecast capex </w:t>
      </w:r>
      <w:r>
        <w:t>of $3</w:t>
      </w:r>
      <w:r w:rsidR="002C1E8F">
        <w:t>7.06</w:t>
      </w:r>
      <w:r>
        <w:t xml:space="preserve"> million</w:t>
      </w:r>
      <w:r w:rsidRPr="000A3BB4">
        <w:t xml:space="preserve"> reasonably reflects the capex criteria</w:t>
      </w:r>
      <w:r>
        <w:t>. In reaching this conclusion, we have taken into account the revenue and pricing principles</w:t>
      </w:r>
      <w:r w:rsidR="00517D79">
        <w:t xml:space="preserve"> and had regard to the capex factors</w:t>
      </w:r>
      <w:r>
        <w:t>.</w:t>
      </w:r>
      <w:r>
        <w:rPr>
          <w:rStyle w:val="FootnoteReference"/>
        </w:rPr>
        <w:footnoteReference w:id="46"/>
      </w:r>
      <w:r>
        <w:t xml:space="preserve"> </w:t>
      </w:r>
    </w:p>
    <w:p w:rsidR="00E55D75" w:rsidRDefault="00E55D75" w:rsidP="00E55D75">
      <w:pPr>
        <w:numPr>
          <w:ilvl w:val="0"/>
          <w:numId w:val="25"/>
        </w:numPr>
      </w:pPr>
      <w:r>
        <w:t xml:space="preserve">Our alternative estimate of </w:t>
      </w:r>
      <w:r w:rsidR="00517D79">
        <w:t>Directlink's</w:t>
      </w:r>
      <w:r>
        <w:t xml:space="preserve"> required capex </w:t>
      </w:r>
      <w:r w:rsidR="00434B7A">
        <w:t>reflects</w:t>
      </w:r>
      <w:r>
        <w:t xml:space="preserve"> the </w:t>
      </w:r>
      <w:r w:rsidR="00675C45">
        <w:t xml:space="preserve">transfer of Directlink's proposed cable replacement program to operating expenditure and a reduction to a number of proposed projects to reflect more </w:t>
      </w:r>
      <w:r w:rsidR="00434B7A">
        <w:t xml:space="preserve">the </w:t>
      </w:r>
      <w:r w:rsidR="00675C45">
        <w:t>efficient costs</w:t>
      </w:r>
      <w:r w:rsidR="00434B7A">
        <w:t xml:space="preserve"> of a prudent service provider</w:t>
      </w:r>
      <w:r w:rsidR="00675C45">
        <w:t>.</w:t>
      </w:r>
      <w:r>
        <w:t xml:space="preserve"> </w:t>
      </w:r>
    </w:p>
    <w:p w:rsidR="00E55D75" w:rsidRDefault="00E55D75" w:rsidP="00E55D75">
      <w:r>
        <w:t xml:space="preserve">Our </w:t>
      </w:r>
      <w:r w:rsidRPr="00ED5D2A">
        <w:t>substitute estimate of the total forecast capex that Directlink requires over the 2015–20 regulatory</w:t>
      </w:r>
      <w:r w:rsidR="0011281F">
        <w:t xml:space="preserve"> control</w:t>
      </w:r>
      <w:r w:rsidRPr="00ED5D2A">
        <w:t xml:space="preserve"> period is based on our alternative estimate. We are satisfied that this amount of $</w:t>
      </w:r>
      <w:r w:rsidR="00675C45">
        <w:t>26.</w:t>
      </w:r>
      <w:r w:rsidR="00FE5AE0">
        <w:t>86</w:t>
      </w:r>
      <w:r w:rsidRPr="00ED5D2A">
        <w:t xml:space="preserve"> million ($</w:t>
      </w:r>
      <w:r>
        <w:t>2014-15</w:t>
      </w:r>
      <w:r w:rsidRPr="00ED5D2A">
        <w:t>) reasonably reflects the capex criteria. This should provide Directlink with a reasonable opportunity to recover at least its efficient costs.</w:t>
      </w:r>
      <w:r>
        <w:t xml:space="preserve"> </w:t>
      </w:r>
      <w:r w:rsidR="0011281F">
        <w:fldChar w:fldCharType="begin"/>
      </w:r>
      <w:r w:rsidR="0011281F">
        <w:instrText xml:space="preserve"> REF _Ref417742742 \h </w:instrText>
      </w:r>
      <w:r w:rsidR="0011281F">
        <w:fldChar w:fldCharType="separate"/>
      </w:r>
      <w:r w:rsidR="0011281F">
        <w:t xml:space="preserve">Table </w:t>
      </w:r>
      <w:r w:rsidR="0011281F">
        <w:rPr>
          <w:noProof/>
        </w:rPr>
        <w:t>6</w:t>
      </w:r>
      <w:r w:rsidR="0011281F">
        <w:noBreakHyphen/>
      </w:r>
      <w:r w:rsidR="0011281F">
        <w:rPr>
          <w:noProof/>
        </w:rPr>
        <w:t>4</w:t>
      </w:r>
      <w:r w:rsidR="0011281F">
        <w:fldChar w:fldCharType="end"/>
      </w:r>
      <w:r w:rsidR="0011281F">
        <w:t xml:space="preserve"> </w:t>
      </w:r>
      <w:r>
        <w:t>shows the adjustments we have made to Directlink's proposed capex.</w:t>
      </w:r>
    </w:p>
    <w:p w:rsidR="004A732E" w:rsidRDefault="0011281F" w:rsidP="0011281F">
      <w:pPr>
        <w:pStyle w:val="Caption"/>
      </w:pPr>
      <w:bookmarkStart w:id="33" w:name="_Ref417742742"/>
      <w:r>
        <w:t xml:space="preserve">Table </w:t>
      </w:r>
      <w:r w:rsidR="00611B75">
        <w:fldChar w:fldCharType="begin"/>
      </w:r>
      <w:r w:rsidR="00611B75">
        <w:instrText xml:space="preserve"> STYLEREF 1 \s </w:instrText>
      </w:r>
      <w:r w:rsidR="00611B75">
        <w:fldChar w:fldCharType="separate"/>
      </w:r>
      <w:r>
        <w:rPr>
          <w:noProof/>
        </w:rPr>
        <w:t>6</w:t>
      </w:r>
      <w:r w:rsidR="00611B75">
        <w:rPr>
          <w:noProof/>
        </w:rPr>
        <w:fldChar w:fldCharType="end"/>
      </w:r>
      <w:r>
        <w:noBreakHyphen/>
      </w:r>
      <w:r w:rsidR="00611B75">
        <w:fldChar w:fldCharType="begin"/>
      </w:r>
      <w:r w:rsidR="00611B75">
        <w:instrText xml:space="preserve"> SEQ Table \* ARABIC \s 1 </w:instrText>
      </w:r>
      <w:r w:rsidR="00611B75">
        <w:fldChar w:fldCharType="separate"/>
      </w:r>
      <w:r>
        <w:rPr>
          <w:noProof/>
        </w:rPr>
        <w:t>4</w:t>
      </w:r>
      <w:r w:rsidR="00611B75">
        <w:rPr>
          <w:noProof/>
        </w:rPr>
        <w:fldChar w:fldCharType="end"/>
      </w:r>
      <w:bookmarkEnd w:id="33"/>
      <w:r w:rsidR="004A732E" w:rsidRPr="00C16DCE">
        <w:tab/>
      </w:r>
      <w:r w:rsidR="009E5329">
        <w:t>Final</w:t>
      </w:r>
      <w:r w:rsidR="004A732E">
        <w:t xml:space="preserve"> decision: capex adjustment </w:t>
      </w:r>
      <w:r w:rsidR="004A732E" w:rsidRPr="000814D8">
        <w:t>($</w:t>
      </w:r>
      <w:r w:rsidR="004A732E">
        <w:t xml:space="preserve">m </w:t>
      </w:r>
      <w:r w:rsidR="004A732E" w:rsidRPr="000814D8">
        <w:t>real, 2014-15)</w:t>
      </w:r>
    </w:p>
    <w:tbl>
      <w:tblPr>
        <w:tblStyle w:val="AERtable-numbers"/>
        <w:tblW w:w="0" w:type="auto"/>
        <w:tblLook w:val="04A0" w:firstRow="1" w:lastRow="0" w:firstColumn="1" w:lastColumn="0" w:noHBand="0" w:noVBand="1"/>
      </w:tblPr>
      <w:tblGrid>
        <w:gridCol w:w="2376"/>
        <w:gridCol w:w="963"/>
        <w:gridCol w:w="2670"/>
        <w:gridCol w:w="1842"/>
      </w:tblGrid>
      <w:tr w:rsidR="008128DA" w:rsidRPr="00DB3227" w:rsidTr="001128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8128DA" w:rsidRPr="00DB3227" w:rsidRDefault="008128DA" w:rsidP="004A732E">
            <w:r>
              <w:t xml:space="preserve">Project </w:t>
            </w:r>
          </w:p>
        </w:tc>
        <w:tc>
          <w:tcPr>
            <w:tcW w:w="963" w:type="dxa"/>
          </w:tcPr>
          <w:p w:rsidR="008128DA" w:rsidRDefault="008128DA" w:rsidP="009E5329">
            <w:pPr>
              <w:cnfStyle w:val="100000000000" w:firstRow="1" w:lastRow="0" w:firstColumn="0" w:lastColumn="0" w:oddVBand="0" w:evenVBand="0" w:oddHBand="0" w:evenHBand="0" w:firstRowFirstColumn="0" w:firstRowLastColumn="0" w:lastRowFirstColumn="0" w:lastRowLastColumn="0"/>
            </w:pPr>
            <w:r>
              <w:t>Directlink</w:t>
            </w:r>
            <w:r w:rsidRPr="009E5329">
              <w:t xml:space="preserve"> proposed capex</w:t>
            </w:r>
          </w:p>
        </w:tc>
        <w:tc>
          <w:tcPr>
            <w:tcW w:w="2670" w:type="dxa"/>
          </w:tcPr>
          <w:p w:rsidR="008128DA" w:rsidRPr="004A732E" w:rsidRDefault="008128DA" w:rsidP="009E5329">
            <w:pPr>
              <w:cnfStyle w:val="100000000000" w:firstRow="1" w:lastRow="0" w:firstColumn="0" w:lastColumn="0" w:oddVBand="0" w:evenVBand="0" w:oddHBand="0" w:evenHBand="0" w:firstRowFirstColumn="0" w:firstRowLastColumn="0" w:lastRowFirstColumn="0" w:lastRowLastColumn="0"/>
            </w:pPr>
            <w:r>
              <w:t>AER adjustment</w:t>
            </w:r>
          </w:p>
        </w:tc>
        <w:tc>
          <w:tcPr>
            <w:tcW w:w="1842" w:type="dxa"/>
          </w:tcPr>
          <w:p w:rsidR="008128DA" w:rsidRPr="004A732E" w:rsidRDefault="008128DA" w:rsidP="004A732E">
            <w:pPr>
              <w:cnfStyle w:val="100000000000" w:firstRow="1" w:lastRow="0" w:firstColumn="0" w:lastColumn="0" w:oddVBand="0" w:evenVBand="0" w:oddHBand="0" w:evenHBand="0" w:firstRowFirstColumn="0" w:firstRowLastColumn="0" w:lastRowFirstColumn="0" w:lastRowLastColumn="0"/>
            </w:pPr>
            <w:r>
              <w:t>Final decision</w:t>
            </w:r>
          </w:p>
        </w:tc>
      </w:tr>
      <w:tr w:rsidR="008128DA" w:rsidRPr="00DB3227" w:rsidTr="008128DA">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9E5329">
            <w:r>
              <w:t>Cooling system upgrade ("Gotland solution")</w:t>
            </w:r>
          </w:p>
        </w:tc>
        <w:tc>
          <w:tcPr>
            <w:tcW w:w="963" w:type="dxa"/>
          </w:tcPr>
          <w:p w:rsidR="008128DA" w:rsidRPr="009E5329" w:rsidRDefault="008128DA" w:rsidP="009E5329">
            <w:pPr>
              <w:cnfStyle w:val="000000000000" w:firstRow="0" w:lastRow="0" w:firstColumn="0" w:lastColumn="0" w:oddVBand="0" w:evenVBand="0" w:oddHBand="0" w:evenHBand="0" w:firstRowFirstColumn="0" w:firstRowLastColumn="0" w:lastRowFirstColumn="0" w:lastRowLastColumn="0"/>
            </w:pPr>
            <w:r w:rsidRPr="009E5329">
              <w:t>2.82</w:t>
            </w:r>
          </w:p>
        </w:tc>
        <w:tc>
          <w:tcPr>
            <w:tcW w:w="2670" w:type="dxa"/>
            <w:vAlign w:val="bottom"/>
          </w:tcPr>
          <w:p w:rsidR="008128DA" w:rsidRPr="009E5329" w:rsidRDefault="008128DA" w:rsidP="00FE5AE0">
            <w:pPr>
              <w:cnfStyle w:val="000000000000" w:firstRow="0" w:lastRow="0" w:firstColumn="0" w:lastColumn="0" w:oddVBand="0" w:evenVBand="0" w:oddHBand="0" w:evenHBand="0" w:firstRowFirstColumn="0" w:firstRowLastColumn="0" w:lastRowFirstColumn="0" w:lastRowLastColumn="0"/>
            </w:pPr>
            <w:r>
              <w:t>0.</w:t>
            </w:r>
            <w:r w:rsidR="00FE5AE0">
              <w:t>40</w:t>
            </w:r>
          </w:p>
        </w:tc>
        <w:tc>
          <w:tcPr>
            <w:tcW w:w="1842" w:type="dxa"/>
            <w:vAlign w:val="bottom"/>
          </w:tcPr>
          <w:p w:rsidR="008128DA" w:rsidRPr="00F462AE" w:rsidRDefault="008128DA" w:rsidP="00FE5AE0">
            <w:pPr>
              <w:cnfStyle w:val="000000000000" w:firstRow="0" w:lastRow="0" w:firstColumn="0" w:lastColumn="0" w:oddVBand="0" w:evenVBand="0" w:oddHBand="0" w:evenHBand="0" w:firstRowFirstColumn="0" w:firstRowLastColumn="0" w:lastRowFirstColumn="0" w:lastRowLastColumn="0"/>
            </w:pPr>
            <w:r w:rsidRPr="00F462AE">
              <w:t>2.</w:t>
            </w:r>
            <w:r w:rsidR="00FE5AE0">
              <w:t>42</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4A732E">
            <w:r>
              <w:t>Fire suppression system</w:t>
            </w:r>
          </w:p>
        </w:tc>
        <w:tc>
          <w:tcPr>
            <w:tcW w:w="963" w:type="dxa"/>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5.50</w:t>
            </w:r>
          </w:p>
        </w:tc>
        <w:tc>
          <w:tcPr>
            <w:tcW w:w="2670"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1.25</w:t>
            </w:r>
          </w:p>
        </w:tc>
        <w:tc>
          <w:tcPr>
            <w:tcW w:w="1842" w:type="dxa"/>
            <w:vAlign w:val="bottom"/>
          </w:tcPr>
          <w:p w:rsidR="008128DA" w:rsidRPr="004A732E" w:rsidRDefault="008128DA" w:rsidP="00F462AE">
            <w:pPr>
              <w:cnfStyle w:val="000000010000" w:firstRow="0" w:lastRow="0" w:firstColumn="0" w:lastColumn="0" w:oddVBand="0" w:evenVBand="0" w:oddHBand="0" w:evenHBand="1" w:firstRowFirstColumn="0" w:firstRowLastColumn="0" w:lastRowFirstColumn="0" w:lastRowLastColumn="0"/>
            </w:pPr>
            <w:r>
              <w:t>4.25</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F462AE">
            <w:r>
              <w:t>Zero sequence reactor repair</w:t>
            </w:r>
          </w:p>
        </w:tc>
        <w:tc>
          <w:tcPr>
            <w:tcW w:w="963" w:type="dxa"/>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1.50</w:t>
            </w:r>
          </w:p>
        </w:tc>
        <w:tc>
          <w:tcPr>
            <w:tcW w:w="2670" w:type="dxa"/>
            <w:vAlign w:val="bottom"/>
          </w:tcPr>
          <w:p w:rsidR="008128DA" w:rsidRPr="004A732E" w:rsidRDefault="008128DA"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Pr="004A732E" w:rsidRDefault="008128DA" w:rsidP="004A732E">
            <w:pPr>
              <w:cnfStyle w:val="000000000000" w:firstRow="0" w:lastRow="0" w:firstColumn="0" w:lastColumn="0" w:oddVBand="0" w:evenVBand="0" w:oddHBand="0" w:evenHBand="0" w:firstRowFirstColumn="0" w:firstRowLastColumn="0" w:lastRowFirstColumn="0" w:lastRowLastColumn="0"/>
            </w:pPr>
            <w:r>
              <w:t>1.50</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F462AE">
            <w:r>
              <w:t>Converter station roof repair</w:t>
            </w:r>
          </w:p>
        </w:tc>
        <w:tc>
          <w:tcPr>
            <w:tcW w:w="963" w:type="dxa"/>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0.29</w:t>
            </w:r>
          </w:p>
        </w:tc>
        <w:tc>
          <w:tcPr>
            <w:tcW w:w="2670"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0.18</w:t>
            </w:r>
          </w:p>
        </w:tc>
        <w:tc>
          <w:tcPr>
            <w:tcW w:w="1842" w:type="dxa"/>
            <w:vAlign w:val="bottom"/>
          </w:tcPr>
          <w:p w:rsidR="008128DA" w:rsidRPr="004A732E" w:rsidRDefault="00517BFC" w:rsidP="00517BFC">
            <w:pPr>
              <w:cnfStyle w:val="000000010000" w:firstRow="0" w:lastRow="0" w:firstColumn="0" w:lastColumn="0" w:oddVBand="0" w:evenVBand="0" w:oddHBand="0" w:evenHBand="1" w:firstRowFirstColumn="0" w:firstRowLastColumn="0" w:lastRowFirstColumn="0" w:lastRowLastColumn="0"/>
            </w:pPr>
            <w:r>
              <w:t>0.10</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4A732E">
            <w:r>
              <w:t xml:space="preserve">Industrial computer control </w:t>
            </w:r>
            <w:r>
              <w:lastRenderedPageBreak/>
              <w:t>system upgrade</w:t>
            </w:r>
          </w:p>
        </w:tc>
        <w:tc>
          <w:tcPr>
            <w:tcW w:w="963" w:type="dxa"/>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lastRenderedPageBreak/>
              <w:t>13.07</w:t>
            </w:r>
          </w:p>
        </w:tc>
        <w:tc>
          <w:tcPr>
            <w:tcW w:w="2670" w:type="dxa"/>
            <w:vAlign w:val="bottom"/>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Pr="00833879" w:rsidRDefault="008128DA" w:rsidP="004A732E">
            <w:pPr>
              <w:cnfStyle w:val="000000000000" w:firstRow="0" w:lastRow="0" w:firstColumn="0" w:lastColumn="0" w:oddVBand="0" w:evenVBand="0" w:oddHBand="0" w:evenHBand="0" w:firstRowFirstColumn="0" w:firstRowLastColumn="0" w:lastRowFirstColumn="0" w:lastRowLastColumn="0"/>
            </w:pPr>
            <w:r>
              <w:t>13.07</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161E5F" w:rsidP="008128DA">
            <w:r>
              <w:lastRenderedPageBreak/>
              <w:t xml:space="preserve">Safety </w:t>
            </w:r>
            <w:r w:rsidR="008128DA">
              <w:t>hand rails</w:t>
            </w:r>
            <w:r>
              <w:t xml:space="preserve"> - Bungalora</w:t>
            </w:r>
          </w:p>
        </w:tc>
        <w:tc>
          <w:tcPr>
            <w:tcW w:w="963" w:type="dxa"/>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0.02</w:t>
            </w:r>
          </w:p>
        </w:tc>
        <w:tc>
          <w:tcPr>
            <w:tcW w:w="2670"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w:t>
            </w:r>
          </w:p>
        </w:tc>
        <w:tc>
          <w:tcPr>
            <w:tcW w:w="1842"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0.02</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4A732E">
            <w:r>
              <w:t>Sourcing program - IGBTs</w:t>
            </w:r>
          </w:p>
        </w:tc>
        <w:tc>
          <w:tcPr>
            <w:tcW w:w="963" w:type="dxa"/>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1.95</w:t>
            </w:r>
          </w:p>
        </w:tc>
        <w:tc>
          <w:tcPr>
            <w:tcW w:w="2670" w:type="dxa"/>
            <w:vAlign w:val="bottom"/>
          </w:tcPr>
          <w:p w:rsidR="008128DA" w:rsidRPr="004A732E" w:rsidRDefault="008128DA"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Pr="004A732E" w:rsidRDefault="008128DA" w:rsidP="004A732E">
            <w:pPr>
              <w:cnfStyle w:val="000000000000" w:firstRow="0" w:lastRow="0" w:firstColumn="0" w:lastColumn="0" w:oddVBand="0" w:evenVBand="0" w:oddHBand="0" w:evenHBand="0" w:firstRowFirstColumn="0" w:firstRowLastColumn="0" w:lastRowFirstColumn="0" w:lastRowLastColumn="0"/>
            </w:pPr>
            <w:r>
              <w:t>1.95</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4A732E" w:rsidRDefault="008128DA" w:rsidP="004A732E">
            <w:pPr>
              <w:rPr>
                <w:rStyle w:val="AERtextitalic"/>
              </w:rPr>
            </w:pPr>
            <w:r w:rsidRPr="00957A1A">
              <w:t>Optic fibre cables and connectors</w:t>
            </w:r>
          </w:p>
        </w:tc>
        <w:tc>
          <w:tcPr>
            <w:tcW w:w="963" w:type="dxa"/>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0.80</w:t>
            </w:r>
          </w:p>
        </w:tc>
        <w:tc>
          <w:tcPr>
            <w:tcW w:w="2670"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w:t>
            </w:r>
          </w:p>
        </w:tc>
        <w:tc>
          <w:tcPr>
            <w:tcW w:w="1842" w:type="dxa"/>
            <w:vAlign w:val="bottom"/>
          </w:tcPr>
          <w:p w:rsidR="008128DA" w:rsidRPr="004A732E" w:rsidRDefault="008128DA" w:rsidP="004A732E">
            <w:pPr>
              <w:cnfStyle w:val="000000010000" w:firstRow="0" w:lastRow="0" w:firstColumn="0" w:lastColumn="0" w:oddVBand="0" w:evenVBand="0" w:oddHBand="0" w:evenHBand="1" w:firstRowFirstColumn="0" w:firstRowLastColumn="0" w:lastRowFirstColumn="0" w:lastRowLastColumn="0"/>
            </w:pPr>
            <w:r>
              <w:t>0.80</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957A1A" w:rsidRDefault="008128DA" w:rsidP="004A732E">
            <w:r>
              <w:t>Cooling tower sound enclosure remediation</w:t>
            </w:r>
          </w:p>
        </w:tc>
        <w:tc>
          <w:tcPr>
            <w:tcW w:w="963" w:type="dxa"/>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0.51</w:t>
            </w:r>
          </w:p>
        </w:tc>
        <w:tc>
          <w:tcPr>
            <w:tcW w:w="2670" w:type="dxa"/>
            <w:vAlign w:val="bottom"/>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Default="008128DA" w:rsidP="004A732E">
            <w:pPr>
              <w:cnfStyle w:val="000000000000" w:firstRow="0" w:lastRow="0" w:firstColumn="0" w:lastColumn="0" w:oddVBand="0" w:evenVBand="0" w:oddHBand="0" w:evenHBand="0" w:firstRowFirstColumn="0" w:firstRowLastColumn="0" w:lastRowFirstColumn="0" w:lastRowLastColumn="0"/>
            </w:pPr>
            <w:r>
              <w:t>0.51</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957A1A" w:rsidRDefault="008128DA" w:rsidP="004A732E">
            <w:r>
              <w:t>Security fence upgrade</w:t>
            </w:r>
          </w:p>
        </w:tc>
        <w:tc>
          <w:tcPr>
            <w:tcW w:w="963" w:type="dxa"/>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0.40</w:t>
            </w:r>
          </w:p>
        </w:tc>
        <w:tc>
          <w:tcPr>
            <w:tcW w:w="2670" w:type="dxa"/>
            <w:vAlign w:val="bottom"/>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w:t>
            </w:r>
          </w:p>
        </w:tc>
        <w:tc>
          <w:tcPr>
            <w:tcW w:w="1842" w:type="dxa"/>
            <w:vAlign w:val="bottom"/>
          </w:tcPr>
          <w:p w:rsidR="008128DA" w:rsidRDefault="008128DA" w:rsidP="004A732E">
            <w:pPr>
              <w:cnfStyle w:val="000000010000" w:firstRow="0" w:lastRow="0" w:firstColumn="0" w:lastColumn="0" w:oddVBand="0" w:evenVBand="0" w:oddHBand="0" w:evenHBand="1" w:firstRowFirstColumn="0" w:firstRowLastColumn="0" w:lastRowFirstColumn="0" w:lastRowLastColumn="0"/>
            </w:pPr>
            <w:r>
              <w:t>0.40</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957A1A" w:rsidRDefault="008128DA" w:rsidP="004A732E">
            <w:r>
              <w:t>Building safety upgrade</w:t>
            </w:r>
          </w:p>
        </w:tc>
        <w:tc>
          <w:tcPr>
            <w:tcW w:w="963" w:type="dxa"/>
          </w:tcPr>
          <w:p w:rsidR="008128DA" w:rsidRDefault="00122BA8" w:rsidP="004A732E">
            <w:pPr>
              <w:cnfStyle w:val="000000000000" w:firstRow="0" w:lastRow="0" w:firstColumn="0" w:lastColumn="0" w:oddVBand="0" w:evenVBand="0" w:oddHBand="0" w:evenHBand="0" w:firstRowFirstColumn="0" w:firstRowLastColumn="0" w:lastRowFirstColumn="0" w:lastRowLastColumn="0"/>
            </w:pPr>
            <w:r>
              <w:t>0.20</w:t>
            </w:r>
          </w:p>
        </w:tc>
        <w:tc>
          <w:tcPr>
            <w:tcW w:w="2670" w:type="dxa"/>
            <w:vAlign w:val="bottom"/>
          </w:tcPr>
          <w:p w:rsidR="008128DA" w:rsidRDefault="00122BA8"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Default="00122BA8" w:rsidP="004A732E">
            <w:pPr>
              <w:cnfStyle w:val="000000000000" w:firstRow="0" w:lastRow="0" w:firstColumn="0" w:lastColumn="0" w:oddVBand="0" w:evenVBand="0" w:oddHBand="0" w:evenHBand="0" w:firstRowFirstColumn="0" w:firstRowLastColumn="0" w:lastRowFirstColumn="0" w:lastRowLastColumn="0"/>
            </w:pPr>
            <w:r>
              <w:t>0.20</w:t>
            </w:r>
          </w:p>
        </w:tc>
      </w:tr>
      <w:tr w:rsidR="008128DA"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957A1A" w:rsidRDefault="00122BA8" w:rsidP="004A732E">
            <w:r w:rsidRPr="00957A1A">
              <w:t>Converter buildings ventilation sound dampers corrosion repair</w:t>
            </w:r>
          </w:p>
        </w:tc>
        <w:tc>
          <w:tcPr>
            <w:tcW w:w="963" w:type="dxa"/>
          </w:tcPr>
          <w:p w:rsidR="008128DA" w:rsidRDefault="00161E5F" w:rsidP="004A732E">
            <w:pPr>
              <w:cnfStyle w:val="000000010000" w:firstRow="0" w:lastRow="0" w:firstColumn="0" w:lastColumn="0" w:oddVBand="0" w:evenVBand="0" w:oddHBand="0" w:evenHBand="1" w:firstRowFirstColumn="0" w:firstRowLastColumn="0" w:lastRowFirstColumn="0" w:lastRowLastColumn="0"/>
            </w:pPr>
            <w:r>
              <w:t>0.06</w:t>
            </w:r>
          </w:p>
        </w:tc>
        <w:tc>
          <w:tcPr>
            <w:tcW w:w="2670" w:type="dxa"/>
            <w:vAlign w:val="bottom"/>
          </w:tcPr>
          <w:p w:rsidR="008128DA" w:rsidRDefault="00161E5F" w:rsidP="004A732E">
            <w:pPr>
              <w:cnfStyle w:val="000000010000" w:firstRow="0" w:lastRow="0" w:firstColumn="0" w:lastColumn="0" w:oddVBand="0" w:evenVBand="0" w:oddHBand="0" w:evenHBand="1" w:firstRowFirstColumn="0" w:firstRowLastColumn="0" w:lastRowFirstColumn="0" w:lastRowLastColumn="0"/>
            </w:pPr>
            <w:r>
              <w:t>-</w:t>
            </w:r>
          </w:p>
        </w:tc>
        <w:tc>
          <w:tcPr>
            <w:tcW w:w="1842" w:type="dxa"/>
            <w:vAlign w:val="bottom"/>
          </w:tcPr>
          <w:p w:rsidR="008128DA" w:rsidRDefault="00161E5F" w:rsidP="004A732E">
            <w:pPr>
              <w:cnfStyle w:val="000000010000" w:firstRow="0" w:lastRow="0" w:firstColumn="0" w:lastColumn="0" w:oddVBand="0" w:evenVBand="0" w:oddHBand="0" w:evenHBand="1" w:firstRowFirstColumn="0" w:firstRowLastColumn="0" w:lastRowFirstColumn="0" w:lastRowLastColumn="0"/>
            </w:pPr>
            <w:r>
              <w:t>0.06</w:t>
            </w:r>
          </w:p>
        </w:tc>
      </w:tr>
      <w:tr w:rsidR="008128DA"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8128DA" w:rsidRPr="00957A1A" w:rsidRDefault="00161E5F" w:rsidP="004A732E">
            <w:r>
              <w:t>Other stay in business capex</w:t>
            </w:r>
          </w:p>
        </w:tc>
        <w:tc>
          <w:tcPr>
            <w:tcW w:w="963" w:type="dxa"/>
          </w:tcPr>
          <w:p w:rsidR="008128DA" w:rsidRDefault="00161E5F" w:rsidP="004A732E">
            <w:pPr>
              <w:cnfStyle w:val="000000000000" w:firstRow="0" w:lastRow="0" w:firstColumn="0" w:lastColumn="0" w:oddVBand="0" w:evenVBand="0" w:oddHBand="0" w:evenHBand="0" w:firstRowFirstColumn="0" w:firstRowLastColumn="0" w:lastRowFirstColumn="0" w:lastRowLastColumn="0"/>
            </w:pPr>
            <w:r>
              <w:t>1.58</w:t>
            </w:r>
          </w:p>
        </w:tc>
        <w:tc>
          <w:tcPr>
            <w:tcW w:w="2670" w:type="dxa"/>
            <w:vAlign w:val="bottom"/>
          </w:tcPr>
          <w:p w:rsidR="008128DA" w:rsidRDefault="00161E5F" w:rsidP="004A732E">
            <w:pPr>
              <w:cnfStyle w:val="000000000000" w:firstRow="0" w:lastRow="0" w:firstColumn="0" w:lastColumn="0" w:oddVBand="0" w:evenVBand="0" w:oddHBand="0" w:evenHBand="0" w:firstRowFirstColumn="0" w:firstRowLastColumn="0" w:lastRowFirstColumn="0" w:lastRowLastColumn="0"/>
            </w:pPr>
            <w:r>
              <w:t>-</w:t>
            </w:r>
          </w:p>
        </w:tc>
        <w:tc>
          <w:tcPr>
            <w:tcW w:w="1842" w:type="dxa"/>
            <w:vAlign w:val="bottom"/>
          </w:tcPr>
          <w:p w:rsidR="008128DA" w:rsidRDefault="00161E5F" w:rsidP="004A732E">
            <w:pPr>
              <w:cnfStyle w:val="000000000000" w:firstRow="0" w:lastRow="0" w:firstColumn="0" w:lastColumn="0" w:oddVBand="0" w:evenVBand="0" w:oddHBand="0" w:evenHBand="0" w:firstRowFirstColumn="0" w:firstRowLastColumn="0" w:lastRowFirstColumn="0" w:lastRowLastColumn="0"/>
            </w:pPr>
            <w:r>
              <w:t>1.58</w:t>
            </w:r>
          </w:p>
        </w:tc>
      </w:tr>
      <w:tr w:rsidR="00161E5F" w:rsidRPr="00DB3227" w:rsidTr="008128D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76" w:type="dxa"/>
          </w:tcPr>
          <w:p w:rsidR="00161E5F" w:rsidRPr="00957A1A" w:rsidRDefault="00161E5F" w:rsidP="004A732E">
            <w:r>
              <w:t>Cable replacement program</w:t>
            </w:r>
          </w:p>
        </w:tc>
        <w:tc>
          <w:tcPr>
            <w:tcW w:w="963" w:type="dxa"/>
          </w:tcPr>
          <w:p w:rsidR="00161E5F" w:rsidRDefault="00161E5F" w:rsidP="004A732E">
            <w:pPr>
              <w:cnfStyle w:val="000000010000" w:firstRow="0" w:lastRow="0" w:firstColumn="0" w:lastColumn="0" w:oddVBand="0" w:evenVBand="0" w:oddHBand="0" w:evenHBand="1" w:firstRowFirstColumn="0" w:firstRowLastColumn="0" w:lastRowFirstColumn="0" w:lastRowLastColumn="0"/>
            </w:pPr>
            <w:r>
              <w:t>8.37</w:t>
            </w:r>
          </w:p>
        </w:tc>
        <w:tc>
          <w:tcPr>
            <w:tcW w:w="2670" w:type="dxa"/>
            <w:vAlign w:val="bottom"/>
          </w:tcPr>
          <w:p w:rsidR="00161E5F" w:rsidRDefault="00161E5F" w:rsidP="004A732E">
            <w:pPr>
              <w:cnfStyle w:val="000000010000" w:firstRow="0" w:lastRow="0" w:firstColumn="0" w:lastColumn="0" w:oddVBand="0" w:evenVBand="0" w:oddHBand="0" w:evenHBand="1" w:firstRowFirstColumn="0" w:firstRowLastColumn="0" w:lastRowFirstColumn="0" w:lastRowLastColumn="0"/>
            </w:pPr>
            <w:r>
              <w:t>8.37</w:t>
            </w:r>
          </w:p>
        </w:tc>
        <w:tc>
          <w:tcPr>
            <w:tcW w:w="1842" w:type="dxa"/>
            <w:vAlign w:val="bottom"/>
          </w:tcPr>
          <w:p w:rsidR="00161E5F" w:rsidRDefault="00161E5F" w:rsidP="004A732E">
            <w:pPr>
              <w:cnfStyle w:val="000000010000" w:firstRow="0" w:lastRow="0" w:firstColumn="0" w:lastColumn="0" w:oddVBand="0" w:evenVBand="0" w:oddHBand="0" w:evenHBand="1" w:firstRowFirstColumn="0" w:firstRowLastColumn="0" w:lastRowFirstColumn="0" w:lastRowLastColumn="0"/>
            </w:pPr>
            <w:r>
              <w:t>-</w:t>
            </w:r>
          </w:p>
        </w:tc>
      </w:tr>
      <w:tr w:rsidR="00161E5F" w:rsidRPr="00DB3227" w:rsidTr="008128DA">
        <w:trPr>
          <w:trHeight w:val="80"/>
        </w:trPr>
        <w:tc>
          <w:tcPr>
            <w:cnfStyle w:val="001000000000" w:firstRow="0" w:lastRow="0" w:firstColumn="1" w:lastColumn="0" w:oddVBand="0" w:evenVBand="0" w:oddHBand="0" w:evenHBand="0" w:firstRowFirstColumn="0" w:firstRowLastColumn="0" w:lastRowFirstColumn="0" w:lastRowLastColumn="0"/>
            <w:tcW w:w="2376" w:type="dxa"/>
          </w:tcPr>
          <w:p w:rsidR="00161E5F" w:rsidRPr="00B27840" w:rsidRDefault="00161E5F" w:rsidP="004A732E">
            <w:pPr>
              <w:rPr>
                <w:rStyle w:val="Strong"/>
              </w:rPr>
            </w:pPr>
            <w:r w:rsidRPr="00B27840">
              <w:rPr>
                <w:rStyle w:val="Strong"/>
              </w:rPr>
              <w:t>TOTAL</w:t>
            </w:r>
          </w:p>
        </w:tc>
        <w:tc>
          <w:tcPr>
            <w:tcW w:w="963" w:type="dxa"/>
          </w:tcPr>
          <w:p w:rsidR="00161E5F" w:rsidRPr="00B27840" w:rsidRDefault="00161E5F" w:rsidP="004A732E">
            <w:pPr>
              <w:cnfStyle w:val="000000000000" w:firstRow="0" w:lastRow="0" w:firstColumn="0" w:lastColumn="0" w:oddVBand="0" w:evenVBand="0" w:oddHBand="0" w:evenHBand="0" w:firstRowFirstColumn="0" w:firstRowLastColumn="0" w:lastRowFirstColumn="0" w:lastRowLastColumn="0"/>
              <w:rPr>
                <w:rStyle w:val="Strong"/>
              </w:rPr>
            </w:pPr>
            <w:r w:rsidRPr="00B27840">
              <w:rPr>
                <w:rStyle w:val="Strong"/>
              </w:rPr>
              <w:t>37.06</w:t>
            </w:r>
          </w:p>
        </w:tc>
        <w:tc>
          <w:tcPr>
            <w:tcW w:w="2670" w:type="dxa"/>
            <w:vAlign w:val="bottom"/>
          </w:tcPr>
          <w:p w:rsidR="00161E5F" w:rsidRPr="00B27840" w:rsidRDefault="00B27840" w:rsidP="00D67B66">
            <w:pPr>
              <w:cnfStyle w:val="000000000000" w:firstRow="0" w:lastRow="0" w:firstColumn="0" w:lastColumn="0" w:oddVBand="0" w:evenVBand="0" w:oddHBand="0" w:evenHBand="0" w:firstRowFirstColumn="0" w:firstRowLastColumn="0" w:lastRowFirstColumn="0" w:lastRowLastColumn="0"/>
              <w:rPr>
                <w:rStyle w:val="Strong"/>
              </w:rPr>
            </w:pPr>
            <w:r w:rsidRPr="00B27840">
              <w:rPr>
                <w:rStyle w:val="Strong"/>
              </w:rPr>
              <w:t>10.</w:t>
            </w:r>
            <w:r w:rsidR="00D67B66">
              <w:rPr>
                <w:rStyle w:val="Strong"/>
              </w:rPr>
              <w:t>20</w:t>
            </w:r>
          </w:p>
        </w:tc>
        <w:tc>
          <w:tcPr>
            <w:tcW w:w="1842" w:type="dxa"/>
            <w:vAlign w:val="bottom"/>
          </w:tcPr>
          <w:p w:rsidR="00161E5F" w:rsidRPr="00B27840" w:rsidRDefault="00B27840" w:rsidP="00D67B66">
            <w:pPr>
              <w:cnfStyle w:val="000000000000" w:firstRow="0" w:lastRow="0" w:firstColumn="0" w:lastColumn="0" w:oddVBand="0" w:evenVBand="0" w:oddHBand="0" w:evenHBand="0" w:firstRowFirstColumn="0" w:firstRowLastColumn="0" w:lastRowFirstColumn="0" w:lastRowLastColumn="0"/>
              <w:rPr>
                <w:rStyle w:val="Strong"/>
              </w:rPr>
            </w:pPr>
            <w:r w:rsidRPr="00B27840">
              <w:rPr>
                <w:rStyle w:val="Strong"/>
              </w:rPr>
              <w:t>26.</w:t>
            </w:r>
            <w:r w:rsidR="00D67B66">
              <w:rPr>
                <w:rStyle w:val="Strong"/>
              </w:rPr>
              <w:t>86</w:t>
            </w:r>
          </w:p>
        </w:tc>
      </w:tr>
    </w:tbl>
    <w:p w:rsidR="00C163D6" w:rsidRDefault="00C163D6" w:rsidP="00C163D6">
      <w:pPr>
        <w:pStyle w:val="AERtablesource"/>
      </w:pPr>
      <w:r w:rsidRPr="00DB3227">
        <w:t>Source:</w:t>
      </w:r>
      <w:r w:rsidRPr="00DB3227">
        <w:tab/>
      </w:r>
      <w:r>
        <w:t>Directlink,</w:t>
      </w:r>
      <w:r w:rsidRPr="00DB3227">
        <w:t xml:space="preserve"> </w:t>
      </w:r>
      <w:r>
        <w:t>Revised r</w:t>
      </w:r>
      <w:r w:rsidRPr="00DB3227">
        <w:t>e</w:t>
      </w:r>
      <w:r>
        <w:t>venue p</w:t>
      </w:r>
      <w:r w:rsidRPr="00DB3227">
        <w:t>roposal</w:t>
      </w:r>
      <w:r>
        <w:t>; Directlink responses to AER Information Requests</w:t>
      </w:r>
      <w:r w:rsidRPr="00DB3227">
        <w:t>; AER analysis</w:t>
      </w:r>
      <w:r>
        <w:t>.</w:t>
      </w:r>
    </w:p>
    <w:p w:rsidR="00C163D6" w:rsidRPr="002D4F49" w:rsidRDefault="003A316E" w:rsidP="00C163D6">
      <w:pPr>
        <w:pStyle w:val="AERtablesource"/>
      </w:pPr>
      <w:r>
        <w:t>Note:</w:t>
      </w:r>
      <w:r>
        <w:tab/>
        <w:t>Numbers may not add to t</w:t>
      </w:r>
      <w:r w:rsidR="00C163D6">
        <w:t>otal due to rounding.</w:t>
      </w:r>
    </w:p>
    <w:sectPr w:rsidR="00C163D6" w:rsidRPr="002D4F49"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43" w:rsidRPr="00290C63" w:rsidRDefault="009A7A43" w:rsidP="00290C63">
      <w:r>
        <w:separator/>
      </w:r>
    </w:p>
    <w:p w:rsidR="009A7A43" w:rsidRDefault="009A7A43"/>
  </w:endnote>
  <w:endnote w:type="continuationSeparator" w:id="0">
    <w:p w:rsidR="009A7A43" w:rsidRPr="00290C63" w:rsidRDefault="009A7A43" w:rsidP="00290C63">
      <w:r>
        <w:continuationSeparator/>
      </w:r>
    </w:p>
    <w:p w:rsidR="009A7A43" w:rsidRDefault="009A7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43" w:rsidRPr="00290C63" w:rsidRDefault="009A7A4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A7A43" w:rsidRDefault="009A7A43"/>
  <w:p w:rsidR="009A7A43" w:rsidRDefault="009A7A43"/>
  <w:p w:rsidR="009A7A43" w:rsidRDefault="009A7A43"/>
  <w:p w:rsidR="009A7A43" w:rsidRDefault="009A7A43"/>
  <w:p w:rsidR="009A7A43" w:rsidRDefault="009A7A43"/>
  <w:p w:rsidR="009A7A43" w:rsidRDefault="009A7A43"/>
  <w:p w:rsidR="009A7A43" w:rsidRDefault="009A7A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9A7A43" w:rsidRDefault="009A7A43">
        <w:pPr>
          <w:pStyle w:val="Footer"/>
        </w:pPr>
        <w:r>
          <w:fldChar w:fldCharType="begin"/>
        </w:r>
        <w:r>
          <w:instrText xml:space="preserve"> PAGE   \* MERGEFORMAT </w:instrText>
        </w:r>
        <w:r>
          <w:fldChar w:fldCharType="separate"/>
        </w:r>
        <w:r w:rsidR="00611B75">
          <w:rPr>
            <w:noProof/>
          </w:rPr>
          <w:t>6-3</w:t>
        </w:r>
        <w:r>
          <w:rPr>
            <w:noProof/>
          </w:rPr>
          <w:fldChar w:fldCharType="end"/>
        </w:r>
        <w:r>
          <w:rPr>
            <w:noProof/>
          </w:rPr>
          <w:t xml:space="preserve">     Attachment </w:t>
        </w:r>
        <w:r>
          <w:t>6</w:t>
        </w:r>
        <w:r>
          <w:rPr>
            <w:noProof/>
          </w:rPr>
          <w:t xml:space="preserve"> </w:t>
        </w:r>
        <w:r>
          <w:rPr>
            <w:rFonts w:cs="Gautami"/>
            <w:noProof/>
          </w:rPr>
          <w:t>–</w:t>
        </w:r>
        <w:r>
          <w:t xml:space="preserve"> Capital expenditure</w:t>
        </w:r>
        <w:r>
          <w:rPr>
            <w:rFonts w:cs="Gautami"/>
            <w:noProof/>
          </w:rPr>
          <w:t xml:space="preserve"> | </w:t>
        </w:r>
        <w:r>
          <w:t xml:space="preserve">Final decision: Directlink transmission </w:t>
        </w:r>
        <w:r>
          <w:rPr>
            <w:rFonts w:cs="Gautami"/>
            <w:noProof/>
          </w:rPr>
          <w:t>determination 2015–20</w:t>
        </w:r>
      </w:p>
    </w:sdtContent>
  </w:sdt>
  <w:p w:rsidR="009A7A43" w:rsidRDefault="009A7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43" w:rsidRPr="00290C63" w:rsidRDefault="009A7A4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A7A43" w:rsidRDefault="009A7A43">
    <w:pPr>
      <w:pStyle w:val="Footer"/>
    </w:pPr>
  </w:p>
  <w:p w:rsidR="009A7A43" w:rsidRDefault="009A7A43"/>
  <w:p w:rsidR="009A7A43" w:rsidRDefault="009A7A43"/>
  <w:p w:rsidR="009A7A43" w:rsidRDefault="009A7A43"/>
  <w:p w:rsidR="009A7A43" w:rsidRDefault="009A7A43"/>
  <w:p w:rsidR="009A7A43" w:rsidRDefault="009A7A43"/>
  <w:p w:rsidR="009A7A43" w:rsidRDefault="009A7A43"/>
  <w:p w:rsidR="009A7A43" w:rsidRDefault="009A7A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43" w:rsidRPr="00290C63" w:rsidRDefault="009A7A43" w:rsidP="00290C63">
      <w:r>
        <w:separator/>
      </w:r>
    </w:p>
    <w:p w:rsidR="009A7A43" w:rsidRDefault="009A7A43"/>
  </w:footnote>
  <w:footnote w:type="continuationSeparator" w:id="0">
    <w:p w:rsidR="009A7A43" w:rsidRPr="00290C63" w:rsidRDefault="009A7A43" w:rsidP="00290C63">
      <w:r>
        <w:continuationSeparator/>
      </w:r>
    </w:p>
    <w:p w:rsidR="009A7A43" w:rsidRDefault="009A7A43"/>
  </w:footnote>
  <w:footnote w:id="1">
    <w:p w:rsidR="009A7A43" w:rsidRPr="000732B5" w:rsidRDefault="009A7A43" w:rsidP="00297427">
      <w:pPr>
        <w:pStyle w:val="FootnoteText"/>
        <w:rPr>
          <w:rStyle w:val="AERtexthighlight"/>
        </w:rPr>
      </w:pPr>
      <w:r>
        <w:rPr>
          <w:rStyle w:val="FootnoteReference"/>
        </w:rPr>
        <w:footnoteRef/>
      </w:r>
      <w:r>
        <w:t xml:space="preserve"> </w:t>
      </w:r>
      <w:r>
        <w:tab/>
        <w:t>NER, cl. 6A.6.7(a).</w:t>
      </w:r>
    </w:p>
  </w:footnote>
  <w:footnote w:id="2">
    <w:p w:rsidR="009A7A43" w:rsidRDefault="009A7A43" w:rsidP="00297427">
      <w:pPr>
        <w:pStyle w:val="FootnoteText"/>
      </w:pPr>
      <w:r>
        <w:rPr>
          <w:rStyle w:val="FootnoteReference"/>
        </w:rPr>
        <w:footnoteRef/>
      </w:r>
      <w:r>
        <w:t xml:space="preserve"> </w:t>
      </w:r>
      <w:r>
        <w:tab/>
        <w:t>NER, cl. 6A.5.4(a).</w:t>
      </w:r>
    </w:p>
  </w:footnote>
  <w:footnote w:id="3">
    <w:p w:rsidR="009A7A43" w:rsidRDefault="009A7A43" w:rsidP="00813FCC">
      <w:pPr>
        <w:pStyle w:val="FootnoteText"/>
      </w:pPr>
      <w:r>
        <w:rPr>
          <w:rStyle w:val="FootnoteReference"/>
        </w:rPr>
        <w:footnoteRef/>
      </w:r>
      <w:r>
        <w:t xml:space="preserve"> </w:t>
      </w:r>
      <w:r>
        <w:tab/>
        <w:t xml:space="preserve">Directlink, </w:t>
      </w:r>
      <w:r>
        <w:rPr>
          <w:rStyle w:val="AERtextitalic"/>
        </w:rPr>
        <w:t>R</w:t>
      </w:r>
      <w:r w:rsidRPr="00A90D8E">
        <w:rPr>
          <w:rStyle w:val="AERtextitalic"/>
        </w:rPr>
        <w:t>evenue proposal</w:t>
      </w:r>
      <w:r>
        <w:t>, p. 55.</w:t>
      </w:r>
    </w:p>
  </w:footnote>
  <w:footnote w:id="4">
    <w:p w:rsidR="009A7A43" w:rsidRDefault="009A7A43" w:rsidP="00813FCC">
      <w:pPr>
        <w:pStyle w:val="FootnoteText"/>
      </w:pPr>
      <w:r>
        <w:rPr>
          <w:rStyle w:val="FootnoteReference"/>
        </w:rPr>
        <w:footnoteRef/>
      </w:r>
      <w:r>
        <w:t xml:space="preserve"> </w:t>
      </w:r>
      <w:r>
        <w:tab/>
        <w:t xml:space="preserve">Directlink, </w:t>
      </w:r>
      <w:r w:rsidRPr="00A90D8E">
        <w:rPr>
          <w:rStyle w:val="AERtextitalic"/>
        </w:rPr>
        <w:t>Revenue proposal</w:t>
      </w:r>
      <w:r>
        <w:t xml:space="preserve">, </w:t>
      </w:r>
      <w:r w:rsidRPr="009370FB">
        <w:rPr>
          <w:rStyle w:val="AERtextitalic"/>
        </w:rPr>
        <w:t>Regulatory Information Notice, 2.2 Capex</w:t>
      </w:r>
      <w:r>
        <w:t>.</w:t>
      </w:r>
    </w:p>
  </w:footnote>
  <w:footnote w:id="5">
    <w:p w:rsidR="009A7A43" w:rsidRDefault="009A7A43" w:rsidP="00242D4C">
      <w:pPr>
        <w:pStyle w:val="FootnoteText"/>
      </w:pPr>
      <w:r>
        <w:rPr>
          <w:rStyle w:val="FootnoteReference"/>
        </w:rPr>
        <w:footnoteRef/>
      </w:r>
      <w:r>
        <w:t xml:space="preserve"> </w:t>
      </w:r>
      <w:r>
        <w:tab/>
        <w:t xml:space="preserve">Directlink, </w:t>
      </w:r>
      <w:r w:rsidRPr="0020548A">
        <w:rPr>
          <w:rStyle w:val="AERtextitalic"/>
        </w:rPr>
        <w:t>Revenue proposal</w:t>
      </w:r>
      <w:r>
        <w:t>, p. 55.</w:t>
      </w:r>
    </w:p>
    <w:p w:rsidR="009A7A43" w:rsidRDefault="009A7A43">
      <w:pPr>
        <w:pStyle w:val="FootnoteText"/>
      </w:pPr>
    </w:p>
  </w:footnote>
  <w:footnote w:id="6">
    <w:p w:rsidR="009A7A43" w:rsidRDefault="009A7A43">
      <w:pPr>
        <w:pStyle w:val="FootnoteText"/>
      </w:pPr>
      <w:r>
        <w:rPr>
          <w:rStyle w:val="FootnoteReference"/>
        </w:rPr>
        <w:footnoteRef/>
      </w:r>
      <w:r>
        <w:t xml:space="preserve"> </w:t>
      </w:r>
      <w:r>
        <w:tab/>
      </w:r>
      <w:r w:rsidRPr="00D142FC">
        <w:t xml:space="preserve">Directlink, </w:t>
      </w:r>
      <w:r w:rsidRPr="00D142FC">
        <w:rPr>
          <w:rStyle w:val="AERtextitalic"/>
        </w:rPr>
        <w:t>Revised revenue proposal</w:t>
      </w:r>
      <w:r w:rsidRPr="00D142FC">
        <w:t>, pp. 1</w:t>
      </w:r>
      <w:r>
        <w:t>6</w:t>
      </w:r>
      <w:r w:rsidRPr="00D142FC">
        <w:t>-</w:t>
      </w:r>
      <w:r>
        <w:t>17</w:t>
      </w:r>
      <w:r w:rsidRPr="00D142FC">
        <w:t>.</w:t>
      </w:r>
    </w:p>
  </w:footnote>
  <w:footnote w:id="7">
    <w:p w:rsidR="009A7A43" w:rsidRDefault="009A7A43">
      <w:pPr>
        <w:pStyle w:val="FootnoteText"/>
      </w:pPr>
      <w:r>
        <w:rPr>
          <w:rStyle w:val="FootnoteReference"/>
        </w:rPr>
        <w:footnoteRef/>
      </w:r>
      <w:r>
        <w:t xml:space="preserve"> </w:t>
      </w:r>
      <w:r>
        <w:tab/>
      </w:r>
      <w:r w:rsidRPr="00D142FC">
        <w:t xml:space="preserve">Directlink, </w:t>
      </w:r>
      <w:r w:rsidRPr="00D142FC">
        <w:rPr>
          <w:rStyle w:val="AERtextitalic"/>
        </w:rPr>
        <w:t>Revised revenue proposal</w:t>
      </w:r>
      <w:r w:rsidRPr="00D142FC">
        <w:t>, p. 1</w:t>
      </w:r>
      <w:r>
        <w:t>7</w:t>
      </w:r>
      <w:r w:rsidRPr="00D142FC">
        <w:t>.</w:t>
      </w:r>
    </w:p>
  </w:footnote>
  <w:footnote w:id="8">
    <w:p w:rsidR="009A7A43" w:rsidRDefault="009A7A43">
      <w:pPr>
        <w:pStyle w:val="FootnoteText"/>
      </w:pPr>
      <w:r>
        <w:rPr>
          <w:rStyle w:val="FootnoteReference"/>
        </w:rPr>
        <w:footnoteRef/>
      </w:r>
      <w:r>
        <w:t xml:space="preserve"> </w:t>
      </w:r>
      <w:r>
        <w:tab/>
      </w:r>
      <w:r w:rsidRPr="00D142FC">
        <w:t xml:space="preserve">Directlink, </w:t>
      </w:r>
      <w:r w:rsidRPr="00D142FC">
        <w:rPr>
          <w:rStyle w:val="AERtextitalic"/>
        </w:rPr>
        <w:t>Revised revenue proposal</w:t>
      </w:r>
      <w:r w:rsidRPr="00D142FC">
        <w:t>, pp. 1</w:t>
      </w:r>
      <w:r>
        <w:t>7</w:t>
      </w:r>
      <w:r w:rsidRPr="00D142FC">
        <w:t>-</w:t>
      </w:r>
      <w:r>
        <w:t>18</w:t>
      </w:r>
      <w:r w:rsidRPr="00D142FC">
        <w:t>.</w:t>
      </w:r>
    </w:p>
  </w:footnote>
  <w:footnote w:id="9">
    <w:p w:rsidR="009A7A43" w:rsidRDefault="009A7A43">
      <w:pPr>
        <w:pStyle w:val="FootnoteText"/>
      </w:pPr>
      <w:r>
        <w:rPr>
          <w:rStyle w:val="FootnoteReference"/>
        </w:rPr>
        <w:footnoteRef/>
      </w:r>
      <w:r>
        <w:t xml:space="preserve"> </w:t>
      </w:r>
      <w:r>
        <w:tab/>
      </w:r>
      <w:r w:rsidRPr="00D142FC">
        <w:t xml:space="preserve">Directlink, </w:t>
      </w:r>
      <w:r w:rsidRPr="00D142FC">
        <w:rPr>
          <w:rStyle w:val="AERtextitalic"/>
        </w:rPr>
        <w:t>Revised revenue proposal</w:t>
      </w:r>
      <w:r w:rsidRPr="00D142FC">
        <w:t>, pp. 18-26.</w:t>
      </w:r>
    </w:p>
  </w:footnote>
  <w:footnote w:id="10">
    <w:p w:rsidR="009A7A43" w:rsidRDefault="009A7A43">
      <w:pPr>
        <w:pStyle w:val="FootnoteText"/>
      </w:pPr>
      <w:r>
        <w:rPr>
          <w:rStyle w:val="FootnoteReference"/>
        </w:rPr>
        <w:footnoteRef/>
      </w:r>
      <w:r>
        <w:t xml:space="preserve"> </w:t>
      </w:r>
      <w:r>
        <w:tab/>
      </w:r>
      <w:r w:rsidRPr="00D142FC">
        <w:t xml:space="preserve">Directlink, </w:t>
      </w:r>
      <w:r w:rsidRPr="00D142FC">
        <w:rPr>
          <w:rStyle w:val="AERtextitalic"/>
        </w:rPr>
        <w:t>Revised revenue proposal</w:t>
      </w:r>
      <w:r w:rsidRPr="00D142FC">
        <w:t xml:space="preserve">, pp. </w:t>
      </w:r>
      <w:r>
        <w:t>26</w:t>
      </w:r>
      <w:r w:rsidRPr="00D142FC">
        <w:t>-2</w:t>
      </w:r>
      <w:r>
        <w:t>7</w:t>
      </w:r>
      <w:r w:rsidRPr="00D142FC">
        <w:t>.</w:t>
      </w:r>
    </w:p>
  </w:footnote>
  <w:footnote w:id="11">
    <w:p w:rsidR="009A7A43" w:rsidRDefault="009A7A43">
      <w:pPr>
        <w:pStyle w:val="FootnoteText"/>
      </w:pPr>
      <w:r>
        <w:rPr>
          <w:rStyle w:val="FootnoteReference"/>
        </w:rPr>
        <w:footnoteRef/>
      </w:r>
      <w:r>
        <w:t xml:space="preserve"> </w:t>
      </w:r>
      <w:r>
        <w:tab/>
      </w:r>
      <w:r w:rsidRPr="009046BE">
        <w:t xml:space="preserve">Directlink, </w:t>
      </w:r>
      <w:r w:rsidRPr="009046BE">
        <w:rPr>
          <w:rStyle w:val="AERtextitalic"/>
        </w:rPr>
        <w:t>Revised revenue proposal</w:t>
      </w:r>
      <w:r w:rsidRPr="009046BE">
        <w:t xml:space="preserve">, pp. </w:t>
      </w:r>
      <w:r>
        <w:t>27-28</w:t>
      </w:r>
      <w:r w:rsidRPr="009046BE">
        <w:t>.</w:t>
      </w:r>
    </w:p>
  </w:footnote>
  <w:footnote w:id="12">
    <w:p w:rsidR="009A7A43" w:rsidRDefault="009A7A43" w:rsidP="0050341D">
      <w:pPr>
        <w:pStyle w:val="FootnoteText"/>
      </w:pPr>
      <w:r>
        <w:rPr>
          <w:rStyle w:val="FootnoteReference"/>
        </w:rPr>
        <w:footnoteRef/>
      </w:r>
      <w:r>
        <w:t xml:space="preserve"> </w:t>
      </w:r>
      <w:r>
        <w:tab/>
        <w:t xml:space="preserve">NER, cl. </w:t>
      </w:r>
      <w:r w:rsidRPr="00AC4977">
        <w:t>6</w:t>
      </w:r>
      <w:r>
        <w:t>A.6.7(c).</w:t>
      </w:r>
    </w:p>
  </w:footnote>
  <w:footnote w:id="13">
    <w:p w:rsidR="009A7A43" w:rsidRDefault="009A7A43" w:rsidP="0050341D">
      <w:pPr>
        <w:pStyle w:val="FootnoteText"/>
      </w:pPr>
      <w:r>
        <w:rPr>
          <w:rStyle w:val="FootnoteReference"/>
        </w:rPr>
        <w:footnoteRef/>
      </w:r>
      <w:r>
        <w:t xml:space="preserve"> </w:t>
      </w:r>
      <w:r>
        <w:tab/>
        <w:t xml:space="preserve">NER, cll. </w:t>
      </w:r>
      <w:r w:rsidRPr="00AC4977">
        <w:t>6</w:t>
      </w:r>
      <w:r>
        <w:t>A.6.7(d) and 6A.14.1(2)(ii).</w:t>
      </w:r>
    </w:p>
  </w:footnote>
  <w:footnote w:id="14">
    <w:p w:rsidR="009A7A43" w:rsidRDefault="009A7A43" w:rsidP="0050341D">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113 (AEMC Economic Regulation Final Rule Determination).</w:t>
      </w:r>
    </w:p>
  </w:footnote>
  <w:footnote w:id="15">
    <w:p w:rsidR="009A7A43" w:rsidRDefault="009A7A43" w:rsidP="0050341D">
      <w:pPr>
        <w:pStyle w:val="FootnoteText"/>
      </w:pPr>
      <w:r>
        <w:rPr>
          <w:rStyle w:val="FootnoteReference"/>
        </w:rPr>
        <w:footnoteRef/>
      </w:r>
      <w:r>
        <w:t xml:space="preserve"> </w:t>
      </w:r>
      <w:r>
        <w:tab/>
        <w:t>NER, cl.</w:t>
      </w:r>
      <w:r w:rsidRPr="00DE72A1">
        <w:t xml:space="preserve"> </w:t>
      </w:r>
      <w:r>
        <w:t>6A.6.7(a).</w:t>
      </w:r>
    </w:p>
  </w:footnote>
  <w:footnote w:id="16">
    <w:p w:rsidR="009A7A43" w:rsidRDefault="009A7A43" w:rsidP="0050341D">
      <w:pPr>
        <w:pStyle w:val="FootnoteText"/>
      </w:pPr>
      <w:r>
        <w:rPr>
          <w:rStyle w:val="FootnoteReference"/>
        </w:rPr>
        <w:footnoteRef/>
      </w:r>
      <w:r>
        <w:t xml:space="preserve"> </w:t>
      </w:r>
      <w:r>
        <w:tab/>
        <w:t>AEMC Economic Regulation Final Rule Determination, p. vii.</w:t>
      </w:r>
    </w:p>
  </w:footnote>
  <w:footnote w:id="17">
    <w:p w:rsidR="009A7A43" w:rsidRDefault="009A7A43" w:rsidP="0050341D">
      <w:pPr>
        <w:pStyle w:val="FootnoteText"/>
      </w:pPr>
      <w:r>
        <w:rPr>
          <w:rStyle w:val="FootnoteReference"/>
        </w:rPr>
        <w:footnoteRef/>
      </w:r>
      <w:r>
        <w:t xml:space="preserve"> </w:t>
      </w:r>
      <w:r>
        <w:tab/>
        <w:t>NER, cl. 6A.6.7(e).</w:t>
      </w:r>
    </w:p>
  </w:footnote>
  <w:footnote w:id="18">
    <w:p w:rsidR="009A7A43" w:rsidRDefault="009A7A43" w:rsidP="0050341D">
      <w:pPr>
        <w:pStyle w:val="FootnoteText"/>
      </w:pPr>
      <w:r>
        <w:rPr>
          <w:rStyle w:val="FootnoteReference"/>
        </w:rPr>
        <w:footnoteRef/>
      </w:r>
      <w:r>
        <w:t xml:space="preserve"> </w:t>
      </w:r>
      <w:r>
        <w:tab/>
        <w:t>NER, cl. 6A.6.7(e)(14).</w:t>
      </w:r>
    </w:p>
  </w:footnote>
  <w:footnote w:id="19">
    <w:p w:rsidR="009A7A43" w:rsidRDefault="009A7A43" w:rsidP="0050341D">
      <w:pPr>
        <w:pStyle w:val="FootnoteText"/>
      </w:pPr>
      <w:r>
        <w:rPr>
          <w:rStyle w:val="FootnoteReference"/>
        </w:rPr>
        <w:footnoteRef/>
      </w:r>
      <w:r>
        <w:t xml:space="preserve"> </w:t>
      </w:r>
      <w:r>
        <w:tab/>
        <w:t>AEMC Economic Regulation Final Rule Determination, p. 115.</w:t>
      </w:r>
    </w:p>
  </w:footnote>
  <w:footnote w:id="20">
    <w:p w:rsidR="009A7A43" w:rsidRDefault="009A7A43" w:rsidP="0050341D">
      <w:pPr>
        <w:pStyle w:val="FootnoteText"/>
      </w:pPr>
      <w:r>
        <w:rPr>
          <w:rStyle w:val="FootnoteReference"/>
        </w:rPr>
        <w:footnoteRef/>
      </w:r>
      <w:r>
        <w:t xml:space="preserve"> </w:t>
      </w:r>
      <w:r>
        <w:tab/>
        <w:t>NEL, ss. 7A and 16(2).</w:t>
      </w:r>
    </w:p>
  </w:footnote>
  <w:footnote w:id="21">
    <w:p w:rsidR="009A7A43" w:rsidRDefault="009A7A43" w:rsidP="0050341D">
      <w:pPr>
        <w:pStyle w:val="FootnoteText"/>
      </w:pPr>
      <w:r>
        <w:rPr>
          <w:rStyle w:val="FootnoteReference"/>
        </w:rPr>
        <w:footnoteRef/>
      </w:r>
      <w:r>
        <w:t xml:space="preserve"> </w:t>
      </w:r>
      <w:r>
        <w:tab/>
        <w:t>AER Expenditure Forecast Electricity Transmission Guideline</w:t>
      </w:r>
      <w:r w:rsidRPr="00746EB3">
        <w:t xml:space="preserve">, p. </w:t>
      </w:r>
      <w:r>
        <w:t>9; see also AEMC Economic Regulation Final Rule Determination, pp. 111 and 112.</w:t>
      </w:r>
    </w:p>
  </w:footnote>
  <w:footnote w:id="22">
    <w:p w:rsidR="009A7A43" w:rsidRDefault="009A7A43" w:rsidP="00401E6D">
      <w:pPr>
        <w:pStyle w:val="FootnoteText"/>
      </w:pPr>
      <w:r>
        <w:rPr>
          <w:rStyle w:val="FootnoteReference"/>
        </w:rPr>
        <w:footnoteRef/>
      </w:r>
      <w:r>
        <w:t xml:space="preserve"> </w:t>
      </w:r>
      <w:r>
        <w:tab/>
        <w:t>AER Expenditure Forecast Electricity Transmission Guideline</w:t>
      </w:r>
      <w:r w:rsidRPr="001A5C0B">
        <w:t xml:space="preserve">, </w:t>
      </w:r>
      <w:r>
        <w:t>p.15</w:t>
      </w:r>
    </w:p>
  </w:footnote>
  <w:footnote w:id="23">
    <w:p w:rsidR="009A7A43" w:rsidRDefault="009A7A43" w:rsidP="0050341D">
      <w:pPr>
        <w:pStyle w:val="FootnoteText"/>
      </w:pPr>
      <w:r>
        <w:rPr>
          <w:rStyle w:val="FootnoteReference"/>
        </w:rPr>
        <w:footnoteRef/>
      </w:r>
      <w:r>
        <w:t xml:space="preserve"> </w:t>
      </w:r>
      <w:r>
        <w:tab/>
        <w:t>AER Expenditure Forecast Electricity Transmission Guideline</w:t>
      </w:r>
      <w:r w:rsidRPr="001A5C0B">
        <w:t>, p</w:t>
      </w:r>
      <w:r>
        <w:t>p</w:t>
      </w:r>
      <w:r w:rsidRPr="001A5C0B">
        <w:t xml:space="preserve">. </w:t>
      </w:r>
      <w:r>
        <w:t>8-9</w:t>
      </w:r>
      <w:r w:rsidRPr="001A5C0B">
        <w:t xml:space="preserve">. </w:t>
      </w:r>
    </w:p>
  </w:footnote>
  <w:footnote w:id="24">
    <w:p w:rsidR="009A7A43" w:rsidRDefault="009A7A43" w:rsidP="0050341D">
      <w:pPr>
        <w:pStyle w:val="FootnoteText"/>
      </w:pPr>
      <w:r>
        <w:rPr>
          <w:rStyle w:val="FootnoteReference"/>
        </w:rPr>
        <w:footnoteRef/>
      </w:r>
      <w:r>
        <w:t xml:space="preserve"> </w:t>
      </w:r>
      <w:r>
        <w:tab/>
        <w:t>AER Expenditure Forecast Electricity Transmission Guideline</w:t>
      </w:r>
      <w:r w:rsidRPr="00746EB3">
        <w:t xml:space="preserve">, p. </w:t>
      </w:r>
      <w:r>
        <w:t>9</w:t>
      </w:r>
      <w:r w:rsidRPr="00746EB3">
        <w:t>.</w:t>
      </w:r>
      <w:r>
        <w:t xml:space="preserve"> </w:t>
      </w:r>
      <w:r w:rsidRPr="00746EB3">
        <w:t xml:space="preserve"> </w:t>
      </w:r>
    </w:p>
  </w:footnote>
  <w:footnote w:id="25">
    <w:p w:rsidR="009A7A43" w:rsidRDefault="009A7A43" w:rsidP="0050341D">
      <w:pPr>
        <w:pStyle w:val="FootnoteText"/>
      </w:pPr>
      <w:r>
        <w:rPr>
          <w:rStyle w:val="FootnoteReference"/>
        </w:rPr>
        <w:footnoteRef/>
      </w:r>
      <w:r>
        <w:t xml:space="preserve"> </w:t>
      </w:r>
      <w:r>
        <w:tab/>
        <w:t>AEMC Economic Regulation Final Rule Determination, p. 112.</w:t>
      </w:r>
    </w:p>
  </w:footnote>
  <w:footnote w:id="26">
    <w:p w:rsidR="009A7A43" w:rsidRDefault="009A7A43">
      <w:pPr>
        <w:pStyle w:val="FootnoteText"/>
      </w:pPr>
      <w:r>
        <w:rPr>
          <w:rStyle w:val="FootnoteReference"/>
        </w:rPr>
        <w:footnoteRef/>
      </w:r>
      <w:r>
        <w:t xml:space="preserve"> </w:t>
      </w:r>
      <w:r>
        <w:tab/>
        <w:t xml:space="preserve">Directlink, </w:t>
      </w:r>
      <w:r w:rsidRPr="0020548A">
        <w:rPr>
          <w:rStyle w:val="AERtextitalic"/>
        </w:rPr>
        <w:t>Revised revenue proposal</w:t>
      </w:r>
      <w:r>
        <w:t>, pp. 18-26.</w:t>
      </w:r>
    </w:p>
  </w:footnote>
  <w:footnote w:id="27">
    <w:p w:rsidR="009A7A43" w:rsidRDefault="009A7A43">
      <w:pPr>
        <w:pStyle w:val="FootnoteText"/>
      </w:pPr>
      <w:r>
        <w:rPr>
          <w:rStyle w:val="FootnoteReference"/>
        </w:rPr>
        <w:footnoteRef/>
      </w:r>
      <w:r>
        <w:t xml:space="preserve"> </w:t>
      </w:r>
      <w:r>
        <w:tab/>
      </w:r>
      <w:r w:rsidRPr="007C51DD">
        <w:t>The Australian Accounting Standard for Property, Plant and Equipment (AASB 116) requires that the cost of an item of property, plant and equipment is recognised as an asset if, and only if, it is probably that future economic benefits associated with the item will flow to the entity.</w:t>
      </w:r>
    </w:p>
  </w:footnote>
  <w:footnote w:id="28">
    <w:p w:rsidR="009A7A43" w:rsidRDefault="009A7A43" w:rsidP="008141E3">
      <w:pPr>
        <w:pStyle w:val="FootnoteText"/>
      </w:pPr>
      <w:r>
        <w:rPr>
          <w:rStyle w:val="FootnoteReference"/>
        </w:rPr>
        <w:footnoteRef/>
      </w:r>
      <w:r>
        <w:t xml:space="preserve"> </w:t>
      </w:r>
      <w:r>
        <w:tab/>
        <w:t>NER, cl. 6A.6.7(8).</w:t>
      </w:r>
    </w:p>
  </w:footnote>
  <w:footnote w:id="29">
    <w:p w:rsidR="009A7A43" w:rsidRDefault="009A7A43" w:rsidP="00A8490B">
      <w:pPr>
        <w:pStyle w:val="FootnoteText"/>
      </w:pPr>
      <w:r>
        <w:rPr>
          <w:rStyle w:val="FootnoteReference"/>
        </w:rPr>
        <w:footnoteRef/>
      </w:r>
      <w:r>
        <w:t xml:space="preserve"> </w:t>
      </w:r>
      <w:r>
        <w:tab/>
        <w:t xml:space="preserve">AER, </w:t>
      </w:r>
      <w:r w:rsidRPr="00A8490B">
        <w:rPr>
          <w:rStyle w:val="AERtextitalic"/>
        </w:rPr>
        <w:t>Draft decision - Directlink transmission determination 2015-16 to 2019-20, Attachment 6: Capital expenditure</w:t>
      </w:r>
      <w:r>
        <w:t xml:space="preserve">, November 2014, pp. 6-20 to </w:t>
      </w:r>
      <w:r w:rsidR="004B2B3D">
        <w:t>6-</w:t>
      </w:r>
      <w:r>
        <w:t>21</w:t>
      </w:r>
    </w:p>
  </w:footnote>
  <w:footnote w:id="30">
    <w:p w:rsidR="009A7A43" w:rsidRDefault="009A7A43" w:rsidP="00B2613F">
      <w:pPr>
        <w:pStyle w:val="FootnoteText"/>
      </w:pPr>
      <w:r>
        <w:rPr>
          <w:rStyle w:val="FootnoteReference"/>
        </w:rPr>
        <w:footnoteRef/>
      </w:r>
      <w:r>
        <w:t xml:space="preserve"> </w:t>
      </w:r>
      <w:r>
        <w:tab/>
        <w:t>NEL, s. 7A(2).</w:t>
      </w:r>
    </w:p>
  </w:footnote>
  <w:footnote w:id="31">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32">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xml:space="preserve">, </w:t>
      </w:r>
      <w:r>
        <w:t>20</w:t>
      </w:r>
      <w:r w:rsidRPr="00594ED0">
        <w:t xml:space="preserve"> </w:t>
      </w:r>
      <w:r>
        <w:t>February</w:t>
      </w:r>
      <w:r w:rsidRPr="00594ED0">
        <w:t xml:space="preserve"> 2015.</w:t>
      </w:r>
    </w:p>
  </w:footnote>
  <w:footnote w:id="33">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xml:space="preserve">, </w:t>
      </w:r>
      <w:r>
        <w:t>20</w:t>
      </w:r>
      <w:r w:rsidRPr="00594ED0">
        <w:t xml:space="preserve"> </w:t>
      </w:r>
      <w:r>
        <w:t>February</w:t>
      </w:r>
      <w:r w:rsidRPr="00594ED0">
        <w:t xml:space="preserve"> 2015.</w:t>
      </w:r>
    </w:p>
  </w:footnote>
  <w:footnote w:id="34">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35">
    <w:p w:rsidR="009A7A43" w:rsidRPr="00F347F5" w:rsidRDefault="009A7A43">
      <w:pPr>
        <w:pStyle w:val="FootnoteText"/>
        <w:rPr>
          <w:rStyle w:val="AERtextitalic"/>
        </w:rPr>
      </w:pPr>
      <w:r>
        <w:rPr>
          <w:rStyle w:val="FootnoteReference"/>
        </w:rPr>
        <w:footnoteRef/>
      </w:r>
      <w:r>
        <w:t xml:space="preserve"> </w:t>
      </w:r>
      <w:r>
        <w:tab/>
        <w:t xml:space="preserve">See for example, </w:t>
      </w:r>
      <w:r>
        <w:rPr>
          <w:rStyle w:val="AERtextitalic"/>
        </w:rPr>
        <w:t xml:space="preserve">Rawlinsons Australian Construction Handbook 2011, </w:t>
      </w:r>
      <w:r>
        <w:t>Edition 29 2011, p. 827.</w:t>
      </w:r>
    </w:p>
  </w:footnote>
  <w:footnote w:id="36">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37">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38">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39">
    <w:p w:rsidR="009A7A43" w:rsidRDefault="009A7A43">
      <w:pPr>
        <w:pStyle w:val="FootnoteText"/>
      </w:pPr>
      <w:r>
        <w:rPr>
          <w:rStyle w:val="FootnoteReference"/>
        </w:rPr>
        <w:footnoteRef/>
      </w:r>
      <w:r>
        <w:t xml:space="preserve"> </w:t>
      </w:r>
      <w:r>
        <w:tab/>
      </w:r>
      <w:r w:rsidRPr="002205CE">
        <w:t xml:space="preserve">AER Directlink </w:t>
      </w:r>
      <w:r w:rsidRPr="002205CE">
        <w:rPr>
          <w:rStyle w:val="AERtextitalic"/>
        </w:rPr>
        <w:t>Capex R2 information request - revised proposal capex</w:t>
      </w:r>
      <w:r w:rsidRPr="00594ED0">
        <w:t>, 1</w:t>
      </w:r>
      <w:r>
        <w:t>3</w:t>
      </w:r>
      <w:r w:rsidRPr="00594ED0">
        <w:t xml:space="preserve"> </w:t>
      </w:r>
      <w:r>
        <w:t>February</w:t>
      </w:r>
      <w:r w:rsidRPr="00594ED0">
        <w:t xml:space="preserve"> 2015.</w:t>
      </w:r>
    </w:p>
  </w:footnote>
  <w:footnote w:id="40">
    <w:p w:rsidR="009A7A43" w:rsidRDefault="009A7A43">
      <w:pPr>
        <w:pStyle w:val="FootnoteText"/>
      </w:pPr>
      <w:r>
        <w:rPr>
          <w:rStyle w:val="FootnoteReference"/>
        </w:rPr>
        <w:footnoteRef/>
      </w:r>
      <w:r>
        <w:t xml:space="preserve"> </w:t>
      </w:r>
      <w:r>
        <w:tab/>
        <w:t xml:space="preserve">AER, </w:t>
      </w:r>
      <w:r w:rsidRPr="00581F66">
        <w:rPr>
          <w:rStyle w:val="AERtextitalic"/>
        </w:rPr>
        <w:t>Directlink Draft decision, Attachment 6: Capital expenditure</w:t>
      </w:r>
      <w:r>
        <w:t>, November 2014, p. 6-21.</w:t>
      </w:r>
    </w:p>
  </w:footnote>
  <w:footnote w:id="41">
    <w:p w:rsidR="009A7A43" w:rsidRDefault="009A7A43" w:rsidP="00151BA3">
      <w:pPr>
        <w:pStyle w:val="FootnoteText"/>
      </w:pPr>
      <w:r>
        <w:rPr>
          <w:rStyle w:val="FootnoteReference"/>
        </w:rPr>
        <w:footnoteRef/>
      </w:r>
      <w:r>
        <w:t xml:space="preserve"> </w:t>
      </w:r>
      <w:r>
        <w:tab/>
      </w:r>
      <w:r w:rsidRPr="00D6066E">
        <w:t xml:space="preserve">Directlink, </w:t>
      </w:r>
      <w:r w:rsidRPr="00D6066E">
        <w:rPr>
          <w:rStyle w:val="AERtextitalic"/>
        </w:rPr>
        <w:t>Revenue proposal, May 2014: Attachment 5.4 PSC, Phacelift update to bottom up cost study</w:t>
      </w:r>
      <w:r w:rsidRPr="00D6066E">
        <w:t>, January 2015, p. 2.</w:t>
      </w:r>
    </w:p>
  </w:footnote>
  <w:footnote w:id="42">
    <w:p w:rsidR="009A7A43" w:rsidRDefault="009A7A43">
      <w:pPr>
        <w:pStyle w:val="FootnoteText"/>
      </w:pPr>
      <w:r>
        <w:rPr>
          <w:rStyle w:val="FootnoteReference"/>
        </w:rPr>
        <w:footnoteRef/>
      </w:r>
      <w:r>
        <w:t xml:space="preserve"> </w:t>
      </w:r>
      <w:r>
        <w:tab/>
        <w:t xml:space="preserve">AER, </w:t>
      </w:r>
      <w:r w:rsidRPr="00581F66">
        <w:rPr>
          <w:rStyle w:val="AERtextitalic"/>
        </w:rPr>
        <w:t>Directlink Draft decision, Attachment 6: Capital expenditure</w:t>
      </w:r>
      <w:r>
        <w:t>, November 2014, p. 6-21.</w:t>
      </w:r>
    </w:p>
  </w:footnote>
  <w:footnote w:id="43">
    <w:p w:rsidR="009A7A43" w:rsidRDefault="009A7A43" w:rsidP="00722CB9">
      <w:pPr>
        <w:pStyle w:val="FootnoteText"/>
      </w:pPr>
      <w:r>
        <w:rPr>
          <w:rStyle w:val="FootnoteReference"/>
        </w:rPr>
        <w:footnoteRef/>
      </w:r>
      <w:r>
        <w:t xml:space="preserve"> </w:t>
      </w:r>
      <w:r>
        <w:tab/>
        <w:t xml:space="preserve">AER, </w:t>
      </w:r>
      <w:r w:rsidRPr="00BF3A57">
        <w:t>Draft decision</w:t>
      </w:r>
      <w:r>
        <w:t xml:space="preserve">, </w:t>
      </w:r>
      <w:r w:rsidRPr="00BF3A57">
        <w:t>Directlink transmission determination</w:t>
      </w:r>
      <w:r>
        <w:t xml:space="preserve"> </w:t>
      </w:r>
      <w:r w:rsidRPr="00BF3A57">
        <w:t>2015-16 to 2019-20</w:t>
      </w:r>
      <w:r>
        <w:t xml:space="preserve">, </w:t>
      </w:r>
      <w:r w:rsidRPr="00BF3A57">
        <w:t>Attachment 7: Operating expenditure</w:t>
      </w:r>
      <w:r>
        <w:t xml:space="preserve">, </w:t>
      </w:r>
      <w:r w:rsidRPr="00BF3A57">
        <w:t>November 2014</w:t>
      </w:r>
      <w:r>
        <w:t>, p.34.</w:t>
      </w:r>
    </w:p>
  </w:footnote>
  <w:footnote w:id="44">
    <w:p w:rsidR="009A7A43" w:rsidRDefault="009A7A43">
      <w:pPr>
        <w:pStyle w:val="FootnoteText"/>
      </w:pPr>
      <w:r>
        <w:rPr>
          <w:rStyle w:val="FootnoteReference"/>
        </w:rPr>
        <w:footnoteRef/>
      </w:r>
      <w:r>
        <w:t xml:space="preserve"> </w:t>
      </w:r>
      <w:r>
        <w:tab/>
      </w:r>
      <w:r w:rsidRPr="006557D7">
        <w:t xml:space="preserve">AER, </w:t>
      </w:r>
      <w:r w:rsidRPr="006557D7">
        <w:rPr>
          <w:rStyle w:val="AERtextitalic"/>
        </w:rPr>
        <w:t>Directlink Draft decision, Attachment 6: Capital expenditure</w:t>
      </w:r>
      <w:r w:rsidRPr="006557D7">
        <w:t>, November 2014, p</w:t>
      </w:r>
      <w:r>
        <w:t>p</w:t>
      </w:r>
      <w:r w:rsidRPr="006557D7">
        <w:t>. 6-</w:t>
      </w:r>
      <w:r>
        <w:t>15-16</w:t>
      </w:r>
      <w:r w:rsidRPr="006557D7">
        <w:t>.</w:t>
      </w:r>
    </w:p>
  </w:footnote>
  <w:footnote w:id="45">
    <w:p w:rsidR="009A7A43" w:rsidRDefault="009A7A43">
      <w:pPr>
        <w:pStyle w:val="FootnoteText"/>
      </w:pPr>
      <w:r>
        <w:rPr>
          <w:rStyle w:val="FootnoteReference"/>
        </w:rPr>
        <w:footnoteRef/>
      </w:r>
      <w:r>
        <w:t xml:space="preserve"> </w:t>
      </w:r>
      <w:r>
        <w:tab/>
      </w:r>
      <w:r w:rsidRPr="006557D7">
        <w:t xml:space="preserve">AER, </w:t>
      </w:r>
      <w:r w:rsidRPr="006557D7">
        <w:rPr>
          <w:rStyle w:val="AERtextitalic"/>
        </w:rPr>
        <w:t>Directlink Draft decision, Attachment 6: Capital expenditure</w:t>
      </w:r>
      <w:r w:rsidRPr="006557D7">
        <w:t>, November 2014, pp. 6-15-16.</w:t>
      </w:r>
    </w:p>
  </w:footnote>
  <w:footnote w:id="46">
    <w:p w:rsidR="009A7A43" w:rsidRDefault="009A7A43" w:rsidP="00E55D75">
      <w:pPr>
        <w:pStyle w:val="FootnoteText"/>
      </w:pPr>
      <w:r>
        <w:rPr>
          <w:rStyle w:val="FootnoteReference"/>
        </w:rPr>
        <w:footnoteRef/>
      </w:r>
      <w:r>
        <w:t xml:space="preserve"> </w:t>
      </w:r>
      <w:r>
        <w:tab/>
        <w:t>NEL, s. 7A.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1069"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671C314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28"/>
    <w:lvlOverride w:ilvl="0">
      <w:lvl w:ilvl="0">
        <w:start w:val="1"/>
        <w:numFmt w:val="none"/>
        <w:lvlText w:val="%1"/>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9"/>
  </w:num>
  <w:num w:numId="41">
    <w:abstractNumId w:val="35"/>
  </w:num>
  <w:num w:numId="42">
    <w:abstractNumId w:val="8"/>
    <w:lvlOverride w:ilvl="0">
      <w:startOverride w:val="1"/>
    </w:lvlOverride>
  </w:num>
  <w:num w:numId="43">
    <w:abstractNumId w:val="8"/>
    <w:lvlOverride w:ilvl="0">
      <w:startOverride w:val="1"/>
    </w:lvlOverride>
  </w:num>
  <w:num w:numId="44">
    <w:abstractNumId w:val="8"/>
  </w:num>
  <w:num w:numId="45">
    <w:abstractNumId w:val="8"/>
    <w:lvlOverride w:ilvl="0">
      <w:startOverride w:val="1"/>
    </w:lvlOverride>
  </w:num>
  <w:num w:numId="46">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NVBtMuOZMjhMSunm4aN422jMPC2FY71xeMLkuiIeqmw=" w:saltValue="KHLm+WiazLPN1l4x0siRPg==" w:algorithmName="SHA-256"/>
  <w:defaultTabStop w:val="3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6 - Capital expenditure - April 2015.DOCX"/>
  </w:docVars>
  <w:rsids>
    <w:rsidRoot w:val="00961A4A"/>
    <w:rsid w:val="00021202"/>
    <w:rsid w:val="0002517F"/>
    <w:rsid w:val="000303B7"/>
    <w:rsid w:val="00032F50"/>
    <w:rsid w:val="0003578C"/>
    <w:rsid w:val="00041F4E"/>
    <w:rsid w:val="0005048F"/>
    <w:rsid w:val="00050D5B"/>
    <w:rsid w:val="00053F5C"/>
    <w:rsid w:val="00063247"/>
    <w:rsid w:val="000642B8"/>
    <w:rsid w:val="00070F9F"/>
    <w:rsid w:val="0007137B"/>
    <w:rsid w:val="00074952"/>
    <w:rsid w:val="000832CE"/>
    <w:rsid w:val="00085663"/>
    <w:rsid w:val="00085EBF"/>
    <w:rsid w:val="000866C6"/>
    <w:rsid w:val="000A3020"/>
    <w:rsid w:val="000A6C7B"/>
    <w:rsid w:val="000C2084"/>
    <w:rsid w:val="000C3AB8"/>
    <w:rsid w:val="000D07D8"/>
    <w:rsid w:val="000D122C"/>
    <w:rsid w:val="000E1819"/>
    <w:rsid w:val="000E4821"/>
    <w:rsid w:val="000E6C72"/>
    <w:rsid w:val="00110289"/>
    <w:rsid w:val="0011281F"/>
    <w:rsid w:val="00114DF5"/>
    <w:rsid w:val="00116EB2"/>
    <w:rsid w:val="00122BA8"/>
    <w:rsid w:val="00124609"/>
    <w:rsid w:val="00125736"/>
    <w:rsid w:val="00126A4C"/>
    <w:rsid w:val="0014573B"/>
    <w:rsid w:val="00151BA3"/>
    <w:rsid w:val="001573E4"/>
    <w:rsid w:val="00160756"/>
    <w:rsid w:val="00161E5F"/>
    <w:rsid w:val="00165AA1"/>
    <w:rsid w:val="0017232E"/>
    <w:rsid w:val="00174102"/>
    <w:rsid w:val="00180157"/>
    <w:rsid w:val="00185CB9"/>
    <w:rsid w:val="00186F77"/>
    <w:rsid w:val="00190C27"/>
    <w:rsid w:val="001926A4"/>
    <w:rsid w:val="00192AD5"/>
    <w:rsid w:val="001B45A0"/>
    <w:rsid w:val="001B55F7"/>
    <w:rsid w:val="001D055E"/>
    <w:rsid w:val="001F492E"/>
    <w:rsid w:val="001F6DA3"/>
    <w:rsid w:val="002010BC"/>
    <w:rsid w:val="00202E03"/>
    <w:rsid w:val="0020492C"/>
    <w:rsid w:val="0020548A"/>
    <w:rsid w:val="0021401D"/>
    <w:rsid w:val="002205CE"/>
    <w:rsid w:val="00224DB9"/>
    <w:rsid w:val="00233775"/>
    <w:rsid w:val="00242D4C"/>
    <w:rsid w:val="00251745"/>
    <w:rsid w:val="00256E1B"/>
    <w:rsid w:val="00260266"/>
    <w:rsid w:val="00260FA1"/>
    <w:rsid w:val="00263AC0"/>
    <w:rsid w:val="00264264"/>
    <w:rsid w:val="0026762B"/>
    <w:rsid w:val="0026772D"/>
    <w:rsid w:val="00271BE2"/>
    <w:rsid w:val="00271C3E"/>
    <w:rsid w:val="0027701B"/>
    <w:rsid w:val="00286874"/>
    <w:rsid w:val="00290C63"/>
    <w:rsid w:val="00296B65"/>
    <w:rsid w:val="00297427"/>
    <w:rsid w:val="002A312E"/>
    <w:rsid w:val="002A769E"/>
    <w:rsid w:val="002A7DEF"/>
    <w:rsid w:val="002B4832"/>
    <w:rsid w:val="002C1E8F"/>
    <w:rsid w:val="002C1F15"/>
    <w:rsid w:val="002D4F49"/>
    <w:rsid w:val="002E7B22"/>
    <w:rsid w:val="002F7986"/>
    <w:rsid w:val="00300613"/>
    <w:rsid w:val="00301B40"/>
    <w:rsid w:val="003029EE"/>
    <w:rsid w:val="00305CC8"/>
    <w:rsid w:val="00307F6D"/>
    <w:rsid w:val="003177A2"/>
    <w:rsid w:val="003271B5"/>
    <w:rsid w:val="00327A1E"/>
    <w:rsid w:val="00331264"/>
    <w:rsid w:val="00334C8D"/>
    <w:rsid w:val="003430BD"/>
    <w:rsid w:val="00343A18"/>
    <w:rsid w:val="00350B8F"/>
    <w:rsid w:val="003518B3"/>
    <w:rsid w:val="003846F1"/>
    <w:rsid w:val="003A316E"/>
    <w:rsid w:val="003B484F"/>
    <w:rsid w:val="003D73CB"/>
    <w:rsid w:val="003F0F56"/>
    <w:rsid w:val="003F174D"/>
    <w:rsid w:val="003F3643"/>
    <w:rsid w:val="00401E6D"/>
    <w:rsid w:val="00431160"/>
    <w:rsid w:val="0043259E"/>
    <w:rsid w:val="00434B7A"/>
    <w:rsid w:val="00441F7A"/>
    <w:rsid w:val="00452DE7"/>
    <w:rsid w:val="0045777E"/>
    <w:rsid w:val="00480B4B"/>
    <w:rsid w:val="00485DC4"/>
    <w:rsid w:val="004A43D1"/>
    <w:rsid w:val="004A732E"/>
    <w:rsid w:val="004B2B3D"/>
    <w:rsid w:val="004B4412"/>
    <w:rsid w:val="004B6D7C"/>
    <w:rsid w:val="004C348C"/>
    <w:rsid w:val="004D55BA"/>
    <w:rsid w:val="004E22EC"/>
    <w:rsid w:val="004E5007"/>
    <w:rsid w:val="004F0671"/>
    <w:rsid w:val="00500F66"/>
    <w:rsid w:val="0050126F"/>
    <w:rsid w:val="0050341D"/>
    <w:rsid w:val="0051557D"/>
    <w:rsid w:val="00517BFC"/>
    <w:rsid w:val="00517D79"/>
    <w:rsid w:val="00524B29"/>
    <w:rsid w:val="00524F55"/>
    <w:rsid w:val="00530128"/>
    <w:rsid w:val="00532467"/>
    <w:rsid w:val="00533FB8"/>
    <w:rsid w:val="00564A4D"/>
    <w:rsid w:val="00567BA5"/>
    <w:rsid w:val="00571B35"/>
    <w:rsid w:val="00571D57"/>
    <w:rsid w:val="00577A09"/>
    <w:rsid w:val="00581F66"/>
    <w:rsid w:val="005829C2"/>
    <w:rsid w:val="00584D8F"/>
    <w:rsid w:val="00591461"/>
    <w:rsid w:val="00595873"/>
    <w:rsid w:val="005A22BA"/>
    <w:rsid w:val="005A3139"/>
    <w:rsid w:val="005A404D"/>
    <w:rsid w:val="005B05ED"/>
    <w:rsid w:val="005B1E3C"/>
    <w:rsid w:val="005B5F52"/>
    <w:rsid w:val="005C26CC"/>
    <w:rsid w:val="005D0E94"/>
    <w:rsid w:val="005D7BA2"/>
    <w:rsid w:val="005E36C2"/>
    <w:rsid w:val="005E4520"/>
    <w:rsid w:val="005F755E"/>
    <w:rsid w:val="00601827"/>
    <w:rsid w:val="00611B75"/>
    <w:rsid w:val="00613409"/>
    <w:rsid w:val="00615C6B"/>
    <w:rsid w:val="00621DCE"/>
    <w:rsid w:val="00632D6D"/>
    <w:rsid w:val="00642C3E"/>
    <w:rsid w:val="006557D7"/>
    <w:rsid w:val="006567A1"/>
    <w:rsid w:val="0066104A"/>
    <w:rsid w:val="00663DAD"/>
    <w:rsid w:val="0067138E"/>
    <w:rsid w:val="00675C45"/>
    <w:rsid w:val="00675E20"/>
    <w:rsid w:val="00676679"/>
    <w:rsid w:val="00683C89"/>
    <w:rsid w:val="006A71CC"/>
    <w:rsid w:val="006B0FFD"/>
    <w:rsid w:val="006B2395"/>
    <w:rsid w:val="006B4CF9"/>
    <w:rsid w:val="006B5E09"/>
    <w:rsid w:val="006B7AC8"/>
    <w:rsid w:val="006D550F"/>
    <w:rsid w:val="006E351F"/>
    <w:rsid w:val="006F64AC"/>
    <w:rsid w:val="00701CAB"/>
    <w:rsid w:val="00707563"/>
    <w:rsid w:val="00707A30"/>
    <w:rsid w:val="007103B2"/>
    <w:rsid w:val="007206FB"/>
    <w:rsid w:val="00722CB9"/>
    <w:rsid w:val="0072348C"/>
    <w:rsid w:val="00724A37"/>
    <w:rsid w:val="007303C3"/>
    <w:rsid w:val="007429BE"/>
    <w:rsid w:val="00743223"/>
    <w:rsid w:val="00746E01"/>
    <w:rsid w:val="00753643"/>
    <w:rsid w:val="00757BDF"/>
    <w:rsid w:val="00763E5D"/>
    <w:rsid w:val="00767740"/>
    <w:rsid w:val="00777AE0"/>
    <w:rsid w:val="00777EE6"/>
    <w:rsid w:val="00782EEA"/>
    <w:rsid w:val="0079438B"/>
    <w:rsid w:val="0079680B"/>
    <w:rsid w:val="007B2C72"/>
    <w:rsid w:val="007B3999"/>
    <w:rsid w:val="007B49E1"/>
    <w:rsid w:val="007C1C53"/>
    <w:rsid w:val="007C51DD"/>
    <w:rsid w:val="007C74BB"/>
    <w:rsid w:val="007E28AD"/>
    <w:rsid w:val="007E4904"/>
    <w:rsid w:val="007E4CB5"/>
    <w:rsid w:val="007F066B"/>
    <w:rsid w:val="008033C4"/>
    <w:rsid w:val="00806C88"/>
    <w:rsid w:val="0081034E"/>
    <w:rsid w:val="008128DA"/>
    <w:rsid w:val="00813FCC"/>
    <w:rsid w:val="008141E3"/>
    <w:rsid w:val="0081761E"/>
    <w:rsid w:val="00833879"/>
    <w:rsid w:val="008344F6"/>
    <w:rsid w:val="0083510F"/>
    <w:rsid w:val="008369DC"/>
    <w:rsid w:val="00851209"/>
    <w:rsid w:val="008837AC"/>
    <w:rsid w:val="00891BCF"/>
    <w:rsid w:val="00894F48"/>
    <w:rsid w:val="008A587D"/>
    <w:rsid w:val="008B35CD"/>
    <w:rsid w:val="008B5FCC"/>
    <w:rsid w:val="008C4BA2"/>
    <w:rsid w:val="008C5486"/>
    <w:rsid w:val="008D1661"/>
    <w:rsid w:val="008E7031"/>
    <w:rsid w:val="008E77DE"/>
    <w:rsid w:val="008F07A3"/>
    <w:rsid w:val="00900E1B"/>
    <w:rsid w:val="009046BE"/>
    <w:rsid w:val="009233EE"/>
    <w:rsid w:val="0092368B"/>
    <w:rsid w:val="009263D3"/>
    <w:rsid w:val="00926EC5"/>
    <w:rsid w:val="009460AA"/>
    <w:rsid w:val="00951978"/>
    <w:rsid w:val="00961A4A"/>
    <w:rsid w:val="009661DE"/>
    <w:rsid w:val="00983C25"/>
    <w:rsid w:val="009856B7"/>
    <w:rsid w:val="00985C86"/>
    <w:rsid w:val="00997F88"/>
    <w:rsid w:val="009A5FC3"/>
    <w:rsid w:val="009A7689"/>
    <w:rsid w:val="009A7A43"/>
    <w:rsid w:val="009B74B0"/>
    <w:rsid w:val="009D6B46"/>
    <w:rsid w:val="009E5329"/>
    <w:rsid w:val="009F4940"/>
    <w:rsid w:val="009F5BA1"/>
    <w:rsid w:val="00A02A88"/>
    <w:rsid w:val="00A0562E"/>
    <w:rsid w:val="00A063F6"/>
    <w:rsid w:val="00A0726D"/>
    <w:rsid w:val="00A13F97"/>
    <w:rsid w:val="00A32FBB"/>
    <w:rsid w:val="00A40625"/>
    <w:rsid w:val="00A428EE"/>
    <w:rsid w:val="00A4478A"/>
    <w:rsid w:val="00A44852"/>
    <w:rsid w:val="00A57D04"/>
    <w:rsid w:val="00A60A26"/>
    <w:rsid w:val="00A61598"/>
    <w:rsid w:val="00A71618"/>
    <w:rsid w:val="00A8490B"/>
    <w:rsid w:val="00A84A99"/>
    <w:rsid w:val="00A84F46"/>
    <w:rsid w:val="00A871F4"/>
    <w:rsid w:val="00AB0A35"/>
    <w:rsid w:val="00AC1B2C"/>
    <w:rsid w:val="00AC258B"/>
    <w:rsid w:val="00AC3264"/>
    <w:rsid w:val="00AD0982"/>
    <w:rsid w:val="00AE1BF1"/>
    <w:rsid w:val="00AE54EC"/>
    <w:rsid w:val="00AF0DD2"/>
    <w:rsid w:val="00AF1F9E"/>
    <w:rsid w:val="00B03011"/>
    <w:rsid w:val="00B13048"/>
    <w:rsid w:val="00B1716D"/>
    <w:rsid w:val="00B17A1D"/>
    <w:rsid w:val="00B207A0"/>
    <w:rsid w:val="00B2613F"/>
    <w:rsid w:val="00B27840"/>
    <w:rsid w:val="00B328AC"/>
    <w:rsid w:val="00B44317"/>
    <w:rsid w:val="00B514DD"/>
    <w:rsid w:val="00B52AF0"/>
    <w:rsid w:val="00B561BD"/>
    <w:rsid w:val="00B56E03"/>
    <w:rsid w:val="00B576C4"/>
    <w:rsid w:val="00B67A37"/>
    <w:rsid w:val="00B8080B"/>
    <w:rsid w:val="00B87BA5"/>
    <w:rsid w:val="00B87C39"/>
    <w:rsid w:val="00BA4665"/>
    <w:rsid w:val="00BB2FB2"/>
    <w:rsid w:val="00BB3304"/>
    <w:rsid w:val="00BC7F68"/>
    <w:rsid w:val="00BD3446"/>
    <w:rsid w:val="00BE1F1B"/>
    <w:rsid w:val="00BE47B5"/>
    <w:rsid w:val="00BF129B"/>
    <w:rsid w:val="00BF7FB3"/>
    <w:rsid w:val="00C163D6"/>
    <w:rsid w:val="00C24CAD"/>
    <w:rsid w:val="00C25FA6"/>
    <w:rsid w:val="00C34232"/>
    <w:rsid w:val="00C34F2B"/>
    <w:rsid w:val="00C357A5"/>
    <w:rsid w:val="00C46245"/>
    <w:rsid w:val="00C538A9"/>
    <w:rsid w:val="00C53B5A"/>
    <w:rsid w:val="00C54F5A"/>
    <w:rsid w:val="00C569B4"/>
    <w:rsid w:val="00C56FA1"/>
    <w:rsid w:val="00C61B79"/>
    <w:rsid w:val="00C62AC0"/>
    <w:rsid w:val="00C67A92"/>
    <w:rsid w:val="00C86679"/>
    <w:rsid w:val="00C965CC"/>
    <w:rsid w:val="00C97B11"/>
    <w:rsid w:val="00CA4261"/>
    <w:rsid w:val="00CA489E"/>
    <w:rsid w:val="00CB0279"/>
    <w:rsid w:val="00CB666B"/>
    <w:rsid w:val="00CC3EBD"/>
    <w:rsid w:val="00CC7F1D"/>
    <w:rsid w:val="00CE1FA9"/>
    <w:rsid w:val="00CE676C"/>
    <w:rsid w:val="00D006AE"/>
    <w:rsid w:val="00D01CF0"/>
    <w:rsid w:val="00D0442A"/>
    <w:rsid w:val="00D0577F"/>
    <w:rsid w:val="00D142FC"/>
    <w:rsid w:val="00D25B09"/>
    <w:rsid w:val="00D45F96"/>
    <w:rsid w:val="00D6066E"/>
    <w:rsid w:val="00D61388"/>
    <w:rsid w:val="00D61A54"/>
    <w:rsid w:val="00D62FB3"/>
    <w:rsid w:val="00D64DEA"/>
    <w:rsid w:val="00D67B66"/>
    <w:rsid w:val="00D7168E"/>
    <w:rsid w:val="00D71E57"/>
    <w:rsid w:val="00D74F67"/>
    <w:rsid w:val="00D75173"/>
    <w:rsid w:val="00D76C60"/>
    <w:rsid w:val="00D80893"/>
    <w:rsid w:val="00D820B2"/>
    <w:rsid w:val="00D8364D"/>
    <w:rsid w:val="00D84854"/>
    <w:rsid w:val="00D92329"/>
    <w:rsid w:val="00D92CF1"/>
    <w:rsid w:val="00D92D38"/>
    <w:rsid w:val="00D950F5"/>
    <w:rsid w:val="00DA092A"/>
    <w:rsid w:val="00DA4752"/>
    <w:rsid w:val="00DA61F3"/>
    <w:rsid w:val="00DB0F93"/>
    <w:rsid w:val="00DB1A67"/>
    <w:rsid w:val="00DB5074"/>
    <w:rsid w:val="00DC621E"/>
    <w:rsid w:val="00DC7981"/>
    <w:rsid w:val="00DD5364"/>
    <w:rsid w:val="00DD6080"/>
    <w:rsid w:val="00DE1079"/>
    <w:rsid w:val="00DE1093"/>
    <w:rsid w:val="00DE29C4"/>
    <w:rsid w:val="00DE4EFA"/>
    <w:rsid w:val="00DE5520"/>
    <w:rsid w:val="00DE563D"/>
    <w:rsid w:val="00DF0B30"/>
    <w:rsid w:val="00DF2967"/>
    <w:rsid w:val="00E04818"/>
    <w:rsid w:val="00E06442"/>
    <w:rsid w:val="00E23993"/>
    <w:rsid w:val="00E25B8C"/>
    <w:rsid w:val="00E547E8"/>
    <w:rsid w:val="00E55D75"/>
    <w:rsid w:val="00E65C85"/>
    <w:rsid w:val="00E66199"/>
    <w:rsid w:val="00E755EC"/>
    <w:rsid w:val="00E7624D"/>
    <w:rsid w:val="00EA2767"/>
    <w:rsid w:val="00EA3D42"/>
    <w:rsid w:val="00EA5F72"/>
    <w:rsid w:val="00EA6B1B"/>
    <w:rsid w:val="00EB6A01"/>
    <w:rsid w:val="00EC5AAE"/>
    <w:rsid w:val="00ED7323"/>
    <w:rsid w:val="00EE27BF"/>
    <w:rsid w:val="00EE28F3"/>
    <w:rsid w:val="00EE52DB"/>
    <w:rsid w:val="00EF5110"/>
    <w:rsid w:val="00EF7E4A"/>
    <w:rsid w:val="00F10411"/>
    <w:rsid w:val="00F15882"/>
    <w:rsid w:val="00F171E0"/>
    <w:rsid w:val="00F20BD3"/>
    <w:rsid w:val="00F31945"/>
    <w:rsid w:val="00F347F5"/>
    <w:rsid w:val="00F373A5"/>
    <w:rsid w:val="00F462AE"/>
    <w:rsid w:val="00F474F4"/>
    <w:rsid w:val="00F47559"/>
    <w:rsid w:val="00F52702"/>
    <w:rsid w:val="00F64C7B"/>
    <w:rsid w:val="00F676DD"/>
    <w:rsid w:val="00F75A26"/>
    <w:rsid w:val="00F76706"/>
    <w:rsid w:val="00F83FAD"/>
    <w:rsid w:val="00F952A0"/>
    <w:rsid w:val="00FA03FC"/>
    <w:rsid w:val="00FA22F2"/>
    <w:rsid w:val="00FA3C7F"/>
    <w:rsid w:val="00FB5AA4"/>
    <w:rsid w:val="00FB6948"/>
    <w:rsid w:val="00FB74E2"/>
    <w:rsid w:val="00FC10C4"/>
    <w:rsid w:val="00FD5614"/>
    <w:rsid w:val="00FE0BE1"/>
    <w:rsid w:val="00FE1DE9"/>
    <w:rsid w:val="00FE36AF"/>
    <w:rsid w:val="00FE39C2"/>
    <w:rsid w:val="00FE3C32"/>
    <w:rsid w:val="00FE5AE0"/>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4"/>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4"/>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8620829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E630C7B7</Template>
  <TotalTime>0</TotalTime>
  <Pages>23</Pages>
  <Words>6742</Words>
  <Characters>38432</Characters>
  <Application>Microsoft Office Word</Application>
  <DocSecurity>4</DocSecurity>
  <Lines>320</Lines>
  <Paragraphs>90</Paragraphs>
  <ScaleCrop>false</ScaleCrop>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2015-04-27T04:11:00Z</dcterms:created>
  <dcterms:modified xsi:type="dcterms:W3CDTF">2015-04-27T04:11:00Z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