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EA" w:rsidRDefault="00421DAD"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0C91B09D" wp14:editId="4C313AB2">
            <wp:simplePos x="0" y="0"/>
            <wp:positionH relativeFrom="column">
              <wp:posOffset>-1104900</wp:posOffset>
            </wp:positionH>
            <wp:positionV relativeFrom="paragraph">
              <wp:posOffset>-921385</wp:posOffset>
            </wp:positionV>
            <wp:extent cx="7589520" cy="11028680"/>
            <wp:effectExtent l="0" t="0" r="0" b="127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9520" cy="11028680"/>
                    </a:xfrm>
                    <a:prstGeom prst="rect">
                      <a:avLst/>
                    </a:prstGeom>
                    <a:noFill/>
                  </pic:spPr>
                </pic:pic>
              </a:graphicData>
            </a:graphic>
            <wp14:sizeRelH relativeFrom="page">
              <wp14:pctWidth>0</wp14:pctWidth>
            </wp14:sizeRelH>
            <wp14:sizeRelV relativeFrom="page">
              <wp14:pctHeight>0</wp14:pctHeight>
            </wp14:sizeRelV>
          </wp:anchor>
        </w:drawing>
      </w:r>
      <w:r w:rsidR="006420EA">
        <w:t>\</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252A8A"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46BD3">
            <w:t>7</w:t>
          </w:r>
          <w:r w:rsidR="00DA4752">
            <w:t xml:space="preserve"> </w:t>
          </w:r>
          <w:r w:rsidR="00415F31">
            <w:rPr>
              <w:rFonts w:cs="Arial"/>
            </w:rPr>
            <w:t>–</w:t>
          </w:r>
          <w:r w:rsidR="00DA4752">
            <w:t xml:space="preserve"> </w:t>
          </w:r>
          <w:r w:rsidR="00D46BD3">
            <w:t>Operating expenditure</w:t>
          </w:r>
        </w:p>
        <w:p w:rsidR="000A6C7B" w:rsidRPr="00327A1E" w:rsidRDefault="002E34E3"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7A0F6A"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725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0B1D9C" w:rsidRPr="000B1D9C" w:rsidRDefault="000B1D9C" w:rsidP="000B1D9C">
      <w:r w:rsidRPr="000B1D9C">
        <w:t>This attachment forms part of the AER's final decision on the access arrangement for Australian Gas Networks South Australian distribution network for 2016–21. It should be read with all other parts of the final decision.</w:t>
      </w:r>
    </w:p>
    <w:p w:rsidR="00415F31" w:rsidRDefault="00415F31" w:rsidP="000B1D9C">
      <w:r>
        <w:t xml:space="preserve">The </w:t>
      </w:r>
      <w:r w:rsidR="00A2303E">
        <w:t>final</w:t>
      </w:r>
      <w:r w:rsidR="005C0A7F">
        <w:t xml:space="preserve"> </w:t>
      </w:r>
      <w:r>
        <w:t>decision includes the following documents:</w:t>
      </w:r>
    </w:p>
    <w:p w:rsidR="00415F31" w:rsidRDefault="00415F31" w:rsidP="000B1D9C">
      <w:r>
        <w:t>Overview</w:t>
      </w:r>
    </w:p>
    <w:p w:rsidR="0070011E" w:rsidRDefault="0070011E" w:rsidP="000B1D9C">
      <w:r>
        <w:t xml:space="preserve">Attachment 1 - </w:t>
      </w:r>
      <w:r w:rsidR="00EE77FA">
        <w:t>Services covered by the access arrangement</w:t>
      </w:r>
    </w:p>
    <w:p w:rsidR="0070011E" w:rsidRDefault="0070011E" w:rsidP="000B1D9C">
      <w:r>
        <w:t xml:space="preserve">Attachment 2 - </w:t>
      </w:r>
      <w:r w:rsidR="00EE77FA">
        <w:t>Capital base</w:t>
      </w:r>
    </w:p>
    <w:p w:rsidR="0070011E" w:rsidRDefault="0070011E" w:rsidP="000B1D9C">
      <w:r>
        <w:t xml:space="preserve">Attachment 3 - </w:t>
      </w:r>
      <w:r w:rsidR="00EE77FA">
        <w:t>R</w:t>
      </w:r>
      <w:r>
        <w:t>ate of return</w:t>
      </w:r>
    </w:p>
    <w:p w:rsidR="0070011E" w:rsidRDefault="0070011E" w:rsidP="000B1D9C">
      <w:r>
        <w:t>Attachment 4 - Value of imputation credits</w:t>
      </w:r>
    </w:p>
    <w:p w:rsidR="0070011E" w:rsidRDefault="0070011E" w:rsidP="000B1D9C">
      <w:r>
        <w:t>Attachment 5 - Regulatory depreciation</w:t>
      </w:r>
    </w:p>
    <w:p w:rsidR="0070011E" w:rsidRDefault="0070011E" w:rsidP="000B1D9C">
      <w:r>
        <w:t xml:space="preserve">Attachment 6 - Capital expenditure </w:t>
      </w:r>
    </w:p>
    <w:p w:rsidR="0070011E" w:rsidRDefault="0070011E" w:rsidP="000B1D9C">
      <w:r>
        <w:t>Attachment 7 - Operating expenditure</w:t>
      </w:r>
    </w:p>
    <w:p w:rsidR="0070011E" w:rsidRDefault="0070011E" w:rsidP="000B1D9C">
      <w:r>
        <w:t>Attachment 8 - Corporate income tax</w:t>
      </w:r>
    </w:p>
    <w:p w:rsidR="0070011E" w:rsidRDefault="0070011E" w:rsidP="000B1D9C">
      <w:r>
        <w:t xml:space="preserve">Attachment 9 - Efficiency </w:t>
      </w:r>
      <w:r w:rsidR="00EE77FA">
        <w:t>carryover mechanism</w:t>
      </w:r>
    </w:p>
    <w:p w:rsidR="0070011E" w:rsidRDefault="0070011E" w:rsidP="000B1D9C">
      <w:r>
        <w:t xml:space="preserve">Attachment 10 - </w:t>
      </w:r>
      <w:r w:rsidR="00EE77FA">
        <w:t>Reference tariff setting</w:t>
      </w:r>
    </w:p>
    <w:p w:rsidR="0070011E" w:rsidRDefault="0070011E" w:rsidP="000B1D9C">
      <w:r>
        <w:t xml:space="preserve">Attachment 11 - </w:t>
      </w:r>
      <w:r w:rsidR="00EE77FA">
        <w:t>Reference tariff variation mechanism</w:t>
      </w:r>
    </w:p>
    <w:p w:rsidR="0070011E" w:rsidRDefault="0070011E" w:rsidP="000B1D9C">
      <w:r>
        <w:t xml:space="preserve">Attachment 12 - </w:t>
      </w:r>
      <w:r w:rsidR="00EE77FA">
        <w:t>Non-tariff components</w:t>
      </w:r>
    </w:p>
    <w:p w:rsidR="0070011E" w:rsidRDefault="0070011E" w:rsidP="000B1D9C">
      <w:r>
        <w:t xml:space="preserve">Attachment 13 - </w:t>
      </w:r>
      <w:r w:rsidR="00EE77FA">
        <w:t>Demand</w:t>
      </w:r>
    </w:p>
    <w:p w:rsidR="00252A8A" w:rsidRDefault="00252A8A" w:rsidP="000B1D9C">
      <w:r>
        <w:t>Attachment 14 - Other incentive schemes</w:t>
      </w:r>
    </w:p>
    <w:p w:rsidR="00DE563D" w:rsidRPr="00A72B34" w:rsidRDefault="00DE563D" w:rsidP="00DE772C">
      <w:pPr>
        <w:pStyle w:val="UnnumberedHeading"/>
        <w:numPr>
          <w:ilvl w:val="0"/>
          <w:numId w:val="23"/>
        </w:numPr>
      </w:pPr>
      <w:bookmarkStart w:id="5" w:name="_Toc403144133"/>
      <w:bookmarkStart w:id="6" w:name="_Toc451527259"/>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1701B8"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27258" w:history="1">
            <w:r w:rsidR="001701B8" w:rsidRPr="0009194D">
              <w:rPr>
                <w:rStyle w:val="Hyperlink"/>
              </w:rPr>
              <w:t>Note</w:t>
            </w:r>
            <w:r w:rsidR="001701B8">
              <w:rPr>
                <w:webHidden/>
              </w:rPr>
              <w:tab/>
            </w:r>
            <w:r w:rsidR="001701B8">
              <w:rPr>
                <w:webHidden/>
              </w:rPr>
              <w:fldChar w:fldCharType="begin"/>
            </w:r>
            <w:r w:rsidR="001701B8">
              <w:rPr>
                <w:webHidden/>
              </w:rPr>
              <w:instrText xml:space="preserve"> PAGEREF _Toc451527258 \h </w:instrText>
            </w:r>
            <w:r w:rsidR="001701B8">
              <w:rPr>
                <w:webHidden/>
              </w:rPr>
            </w:r>
            <w:r w:rsidR="001701B8">
              <w:rPr>
                <w:webHidden/>
              </w:rPr>
              <w:fldChar w:fldCharType="separate"/>
            </w:r>
            <w:r w:rsidR="001701B8">
              <w:rPr>
                <w:webHidden/>
              </w:rPr>
              <w:t>7-2</w:t>
            </w:r>
            <w:r w:rsidR="001701B8">
              <w:rPr>
                <w:webHidden/>
              </w:rPr>
              <w:fldChar w:fldCharType="end"/>
            </w:r>
          </w:hyperlink>
        </w:p>
        <w:p w:rsidR="001701B8" w:rsidRDefault="001701B8">
          <w:pPr>
            <w:pStyle w:val="TOC1"/>
            <w:rPr>
              <w:rFonts w:asciiTheme="minorHAnsi" w:eastAsiaTheme="minorEastAsia" w:hAnsiTheme="minorHAnsi"/>
              <w:b w:val="0"/>
              <w:color w:val="auto"/>
              <w:sz w:val="22"/>
              <w:lang w:val="en-AU" w:eastAsia="en-AU"/>
            </w:rPr>
          </w:pPr>
          <w:hyperlink w:anchor="_Toc451527259" w:history="1">
            <w:r w:rsidRPr="0009194D">
              <w:rPr>
                <w:rStyle w:val="Hyperlink"/>
              </w:rPr>
              <w:t>Contents</w:t>
            </w:r>
            <w:r>
              <w:rPr>
                <w:webHidden/>
              </w:rPr>
              <w:tab/>
            </w:r>
            <w:r>
              <w:rPr>
                <w:webHidden/>
              </w:rPr>
              <w:fldChar w:fldCharType="begin"/>
            </w:r>
            <w:r>
              <w:rPr>
                <w:webHidden/>
              </w:rPr>
              <w:instrText xml:space="preserve"> PAGEREF _Toc451527259 \h </w:instrText>
            </w:r>
            <w:r>
              <w:rPr>
                <w:webHidden/>
              </w:rPr>
            </w:r>
            <w:r>
              <w:rPr>
                <w:webHidden/>
              </w:rPr>
              <w:fldChar w:fldCharType="separate"/>
            </w:r>
            <w:r>
              <w:rPr>
                <w:webHidden/>
              </w:rPr>
              <w:t>7-3</w:t>
            </w:r>
            <w:r>
              <w:rPr>
                <w:webHidden/>
              </w:rPr>
              <w:fldChar w:fldCharType="end"/>
            </w:r>
          </w:hyperlink>
        </w:p>
        <w:p w:rsidR="001701B8" w:rsidRDefault="001701B8">
          <w:pPr>
            <w:pStyle w:val="TOC1"/>
            <w:rPr>
              <w:rFonts w:asciiTheme="minorHAnsi" w:eastAsiaTheme="minorEastAsia" w:hAnsiTheme="minorHAnsi"/>
              <w:b w:val="0"/>
              <w:color w:val="auto"/>
              <w:sz w:val="22"/>
              <w:lang w:val="en-AU" w:eastAsia="en-AU"/>
            </w:rPr>
          </w:pPr>
          <w:hyperlink w:anchor="_Toc451527260" w:history="1">
            <w:r w:rsidRPr="0009194D">
              <w:rPr>
                <w:rStyle w:val="Hyperlink"/>
              </w:rPr>
              <w:t>Shortened forms</w:t>
            </w:r>
            <w:r>
              <w:rPr>
                <w:webHidden/>
              </w:rPr>
              <w:tab/>
            </w:r>
            <w:r>
              <w:rPr>
                <w:webHidden/>
              </w:rPr>
              <w:fldChar w:fldCharType="begin"/>
            </w:r>
            <w:r>
              <w:rPr>
                <w:webHidden/>
              </w:rPr>
              <w:instrText xml:space="preserve"> PAGEREF _Toc451527260 \h </w:instrText>
            </w:r>
            <w:r>
              <w:rPr>
                <w:webHidden/>
              </w:rPr>
            </w:r>
            <w:r>
              <w:rPr>
                <w:webHidden/>
              </w:rPr>
              <w:fldChar w:fldCharType="separate"/>
            </w:r>
            <w:r>
              <w:rPr>
                <w:webHidden/>
              </w:rPr>
              <w:t>7-4</w:t>
            </w:r>
            <w:r>
              <w:rPr>
                <w:webHidden/>
              </w:rPr>
              <w:fldChar w:fldCharType="end"/>
            </w:r>
          </w:hyperlink>
        </w:p>
        <w:p w:rsidR="001701B8" w:rsidRDefault="001701B8">
          <w:pPr>
            <w:pStyle w:val="TOC1"/>
            <w:rPr>
              <w:rFonts w:asciiTheme="minorHAnsi" w:eastAsiaTheme="minorEastAsia" w:hAnsiTheme="minorHAnsi"/>
              <w:b w:val="0"/>
              <w:color w:val="auto"/>
              <w:sz w:val="22"/>
              <w:lang w:val="en-AU" w:eastAsia="en-AU"/>
            </w:rPr>
          </w:pPr>
          <w:hyperlink w:anchor="_Toc451527261" w:history="1">
            <w:r w:rsidRPr="0009194D">
              <w:rPr>
                <w:rStyle w:val="Hyperlink"/>
              </w:rPr>
              <w:t>7</w:t>
            </w:r>
            <w:r>
              <w:rPr>
                <w:rFonts w:asciiTheme="minorHAnsi" w:eastAsiaTheme="minorEastAsia" w:hAnsiTheme="minorHAnsi"/>
                <w:b w:val="0"/>
                <w:color w:val="auto"/>
                <w:sz w:val="22"/>
                <w:lang w:val="en-AU" w:eastAsia="en-AU"/>
              </w:rPr>
              <w:tab/>
            </w:r>
            <w:r w:rsidRPr="0009194D">
              <w:rPr>
                <w:rStyle w:val="Hyperlink"/>
              </w:rPr>
              <w:t>Operating expenditure</w:t>
            </w:r>
            <w:r>
              <w:rPr>
                <w:webHidden/>
              </w:rPr>
              <w:tab/>
            </w:r>
            <w:r>
              <w:rPr>
                <w:webHidden/>
              </w:rPr>
              <w:fldChar w:fldCharType="begin"/>
            </w:r>
            <w:r>
              <w:rPr>
                <w:webHidden/>
              </w:rPr>
              <w:instrText xml:space="preserve"> PAGEREF _Toc451527261 \h </w:instrText>
            </w:r>
            <w:r>
              <w:rPr>
                <w:webHidden/>
              </w:rPr>
            </w:r>
            <w:r>
              <w:rPr>
                <w:webHidden/>
              </w:rPr>
              <w:fldChar w:fldCharType="separate"/>
            </w:r>
            <w:r>
              <w:rPr>
                <w:webHidden/>
              </w:rPr>
              <w:t>7-6</w:t>
            </w:r>
            <w:r>
              <w:rPr>
                <w:webHidden/>
              </w:rPr>
              <w:fldChar w:fldCharType="end"/>
            </w:r>
          </w:hyperlink>
        </w:p>
        <w:p w:rsidR="001701B8" w:rsidRDefault="001701B8">
          <w:pPr>
            <w:pStyle w:val="TOC2"/>
            <w:rPr>
              <w:rFonts w:asciiTheme="minorHAnsi" w:eastAsiaTheme="minorEastAsia" w:hAnsiTheme="minorHAnsi"/>
              <w:b w:val="0"/>
              <w:color w:val="auto"/>
              <w:sz w:val="22"/>
              <w:lang w:eastAsia="en-AU"/>
            </w:rPr>
          </w:pPr>
          <w:hyperlink w:anchor="_Toc451527262" w:history="1">
            <w:r w:rsidRPr="0009194D">
              <w:rPr>
                <w:rStyle w:val="Hyperlink"/>
              </w:rPr>
              <w:t>7.1</w:t>
            </w:r>
            <w:r>
              <w:rPr>
                <w:rFonts w:asciiTheme="minorHAnsi" w:eastAsiaTheme="minorEastAsia" w:hAnsiTheme="minorHAnsi"/>
                <w:b w:val="0"/>
                <w:color w:val="auto"/>
                <w:sz w:val="22"/>
                <w:lang w:eastAsia="en-AU"/>
              </w:rPr>
              <w:tab/>
            </w:r>
            <w:r w:rsidRPr="0009194D">
              <w:rPr>
                <w:rStyle w:val="Hyperlink"/>
              </w:rPr>
              <w:t>Final decision</w:t>
            </w:r>
            <w:r>
              <w:rPr>
                <w:webHidden/>
              </w:rPr>
              <w:tab/>
            </w:r>
            <w:r>
              <w:rPr>
                <w:webHidden/>
              </w:rPr>
              <w:fldChar w:fldCharType="begin"/>
            </w:r>
            <w:r>
              <w:rPr>
                <w:webHidden/>
              </w:rPr>
              <w:instrText xml:space="preserve"> PAGEREF _Toc451527262 \h </w:instrText>
            </w:r>
            <w:r>
              <w:rPr>
                <w:webHidden/>
              </w:rPr>
            </w:r>
            <w:r>
              <w:rPr>
                <w:webHidden/>
              </w:rPr>
              <w:fldChar w:fldCharType="separate"/>
            </w:r>
            <w:r>
              <w:rPr>
                <w:webHidden/>
              </w:rPr>
              <w:t>7-6</w:t>
            </w:r>
            <w:r>
              <w:rPr>
                <w:webHidden/>
              </w:rPr>
              <w:fldChar w:fldCharType="end"/>
            </w:r>
          </w:hyperlink>
        </w:p>
        <w:p w:rsidR="001701B8" w:rsidRDefault="001701B8">
          <w:pPr>
            <w:pStyle w:val="TOC2"/>
            <w:rPr>
              <w:rFonts w:asciiTheme="minorHAnsi" w:eastAsiaTheme="minorEastAsia" w:hAnsiTheme="minorHAnsi"/>
              <w:b w:val="0"/>
              <w:color w:val="auto"/>
              <w:sz w:val="22"/>
              <w:lang w:eastAsia="en-AU"/>
            </w:rPr>
          </w:pPr>
          <w:hyperlink w:anchor="_Toc451527263" w:history="1">
            <w:r w:rsidRPr="0009194D">
              <w:rPr>
                <w:rStyle w:val="Hyperlink"/>
              </w:rPr>
              <w:t>7.2</w:t>
            </w:r>
            <w:r>
              <w:rPr>
                <w:rFonts w:asciiTheme="minorHAnsi" w:eastAsiaTheme="minorEastAsia" w:hAnsiTheme="minorHAnsi"/>
                <w:b w:val="0"/>
                <w:color w:val="auto"/>
                <w:sz w:val="22"/>
                <w:lang w:eastAsia="en-AU"/>
              </w:rPr>
              <w:tab/>
            </w:r>
            <w:r w:rsidRPr="0009194D">
              <w:rPr>
                <w:rStyle w:val="Hyperlink"/>
              </w:rPr>
              <w:t>AGN's revised proposal</w:t>
            </w:r>
            <w:r>
              <w:rPr>
                <w:webHidden/>
              </w:rPr>
              <w:tab/>
            </w:r>
            <w:r>
              <w:rPr>
                <w:webHidden/>
              </w:rPr>
              <w:fldChar w:fldCharType="begin"/>
            </w:r>
            <w:r>
              <w:rPr>
                <w:webHidden/>
              </w:rPr>
              <w:instrText xml:space="preserve"> PAGEREF _Toc451527263 \h </w:instrText>
            </w:r>
            <w:r>
              <w:rPr>
                <w:webHidden/>
              </w:rPr>
            </w:r>
            <w:r>
              <w:rPr>
                <w:webHidden/>
              </w:rPr>
              <w:fldChar w:fldCharType="separate"/>
            </w:r>
            <w:r>
              <w:rPr>
                <w:webHidden/>
              </w:rPr>
              <w:t>7-7</w:t>
            </w:r>
            <w:r>
              <w:rPr>
                <w:webHidden/>
              </w:rPr>
              <w:fldChar w:fldCharType="end"/>
            </w:r>
          </w:hyperlink>
        </w:p>
        <w:p w:rsidR="001701B8" w:rsidRDefault="001701B8">
          <w:pPr>
            <w:pStyle w:val="TOC2"/>
            <w:rPr>
              <w:rFonts w:asciiTheme="minorHAnsi" w:eastAsiaTheme="minorEastAsia" w:hAnsiTheme="minorHAnsi"/>
              <w:b w:val="0"/>
              <w:color w:val="auto"/>
              <w:sz w:val="22"/>
              <w:lang w:eastAsia="en-AU"/>
            </w:rPr>
          </w:pPr>
          <w:hyperlink w:anchor="_Toc451527264" w:history="1">
            <w:r w:rsidRPr="0009194D">
              <w:rPr>
                <w:rStyle w:val="Hyperlink"/>
              </w:rPr>
              <w:t>7.3</w:t>
            </w:r>
            <w:r>
              <w:rPr>
                <w:rFonts w:asciiTheme="minorHAnsi" w:eastAsiaTheme="minorEastAsia" w:hAnsiTheme="minorHAnsi"/>
                <w:b w:val="0"/>
                <w:color w:val="auto"/>
                <w:sz w:val="22"/>
                <w:lang w:eastAsia="en-AU"/>
              </w:rPr>
              <w:tab/>
            </w:r>
            <w:r w:rsidRPr="0009194D">
              <w:rPr>
                <w:rStyle w:val="Hyperlink"/>
              </w:rPr>
              <w:t>AER’s assessment approach</w:t>
            </w:r>
            <w:r>
              <w:rPr>
                <w:webHidden/>
              </w:rPr>
              <w:tab/>
            </w:r>
            <w:r>
              <w:rPr>
                <w:webHidden/>
              </w:rPr>
              <w:fldChar w:fldCharType="begin"/>
            </w:r>
            <w:r>
              <w:rPr>
                <w:webHidden/>
              </w:rPr>
              <w:instrText xml:space="preserve"> PAGEREF _Toc451527264 \h </w:instrText>
            </w:r>
            <w:r>
              <w:rPr>
                <w:webHidden/>
              </w:rPr>
            </w:r>
            <w:r>
              <w:rPr>
                <w:webHidden/>
              </w:rPr>
              <w:fldChar w:fldCharType="separate"/>
            </w:r>
            <w:r>
              <w:rPr>
                <w:webHidden/>
              </w:rPr>
              <w:t>7-8</w:t>
            </w:r>
            <w:r>
              <w:rPr>
                <w:webHidden/>
              </w:rPr>
              <w:fldChar w:fldCharType="end"/>
            </w:r>
          </w:hyperlink>
        </w:p>
        <w:p w:rsidR="001701B8" w:rsidRDefault="001701B8">
          <w:pPr>
            <w:pStyle w:val="TOC3"/>
            <w:rPr>
              <w:rFonts w:asciiTheme="minorHAnsi" w:eastAsiaTheme="minorEastAsia" w:hAnsiTheme="minorHAnsi"/>
              <w:lang w:eastAsia="en-AU"/>
            </w:rPr>
          </w:pPr>
          <w:hyperlink w:anchor="_Toc451527265" w:history="1">
            <w:r w:rsidRPr="0009194D">
              <w:rPr>
                <w:rStyle w:val="Hyperlink"/>
              </w:rPr>
              <w:t>7.3.1</w:t>
            </w:r>
            <w:r>
              <w:rPr>
                <w:rFonts w:asciiTheme="minorHAnsi" w:eastAsiaTheme="minorEastAsia" w:hAnsiTheme="minorHAnsi"/>
                <w:lang w:eastAsia="en-AU"/>
              </w:rPr>
              <w:tab/>
            </w:r>
            <w:r w:rsidRPr="0009194D">
              <w:rPr>
                <w:rStyle w:val="Hyperlink"/>
              </w:rPr>
              <w:t>Building an alternative estimate of total forecast opex</w:t>
            </w:r>
            <w:r>
              <w:rPr>
                <w:webHidden/>
              </w:rPr>
              <w:tab/>
            </w:r>
            <w:r>
              <w:rPr>
                <w:webHidden/>
              </w:rPr>
              <w:fldChar w:fldCharType="begin"/>
            </w:r>
            <w:r>
              <w:rPr>
                <w:webHidden/>
              </w:rPr>
              <w:instrText xml:space="preserve"> PAGEREF _Toc451527265 \h </w:instrText>
            </w:r>
            <w:r>
              <w:rPr>
                <w:webHidden/>
              </w:rPr>
            </w:r>
            <w:r>
              <w:rPr>
                <w:webHidden/>
              </w:rPr>
              <w:fldChar w:fldCharType="separate"/>
            </w:r>
            <w:r>
              <w:rPr>
                <w:webHidden/>
              </w:rPr>
              <w:t>7-9</w:t>
            </w:r>
            <w:r>
              <w:rPr>
                <w:webHidden/>
              </w:rPr>
              <w:fldChar w:fldCharType="end"/>
            </w:r>
          </w:hyperlink>
        </w:p>
        <w:p w:rsidR="001701B8" w:rsidRDefault="001701B8">
          <w:pPr>
            <w:pStyle w:val="TOC3"/>
            <w:rPr>
              <w:rFonts w:asciiTheme="minorHAnsi" w:eastAsiaTheme="minorEastAsia" w:hAnsiTheme="minorHAnsi"/>
              <w:lang w:eastAsia="en-AU"/>
            </w:rPr>
          </w:pPr>
          <w:hyperlink w:anchor="_Toc451527266" w:history="1">
            <w:r w:rsidRPr="0009194D">
              <w:rPr>
                <w:rStyle w:val="Hyperlink"/>
              </w:rPr>
              <w:t>7.3.2</w:t>
            </w:r>
            <w:r>
              <w:rPr>
                <w:rFonts w:asciiTheme="minorHAnsi" w:eastAsiaTheme="minorEastAsia" w:hAnsiTheme="minorHAnsi"/>
                <w:lang w:eastAsia="en-AU"/>
              </w:rPr>
              <w:tab/>
            </w:r>
            <w:r w:rsidRPr="0009194D">
              <w:rPr>
                <w:rStyle w:val="Hyperlink"/>
              </w:rPr>
              <w:t>Interrelationships</w:t>
            </w:r>
            <w:r>
              <w:rPr>
                <w:webHidden/>
              </w:rPr>
              <w:tab/>
            </w:r>
            <w:r>
              <w:rPr>
                <w:webHidden/>
              </w:rPr>
              <w:fldChar w:fldCharType="begin"/>
            </w:r>
            <w:r>
              <w:rPr>
                <w:webHidden/>
              </w:rPr>
              <w:instrText xml:space="preserve"> PAGEREF _Toc451527266 \h </w:instrText>
            </w:r>
            <w:r>
              <w:rPr>
                <w:webHidden/>
              </w:rPr>
            </w:r>
            <w:r>
              <w:rPr>
                <w:webHidden/>
              </w:rPr>
              <w:fldChar w:fldCharType="separate"/>
            </w:r>
            <w:r>
              <w:rPr>
                <w:webHidden/>
              </w:rPr>
              <w:t>7-10</w:t>
            </w:r>
            <w:r>
              <w:rPr>
                <w:webHidden/>
              </w:rPr>
              <w:fldChar w:fldCharType="end"/>
            </w:r>
          </w:hyperlink>
        </w:p>
        <w:p w:rsidR="001701B8" w:rsidRDefault="001701B8">
          <w:pPr>
            <w:pStyle w:val="TOC2"/>
            <w:rPr>
              <w:rFonts w:asciiTheme="minorHAnsi" w:eastAsiaTheme="minorEastAsia" w:hAnsiTheme="minorHAnsi"/>
              <w:b w:val="0"/>
              <w:color w:val="auto"/>
              <w:sz w:val="22"/>
              <w:lang w:eastAsia="en-AU"/>
            </w:rPr>
          </w:pPr>
          <w:hyperlink w:anchor="_Toc451527267" w:history="1">
            <w:r w:rsidRPr="0009194D">
              <w:rPr>
                <w:rStyle w:val="Hyperlink"/>
              </w:rPr>
              <w:t>7.4</w:t>
            </w:r>
            <w:r>
              <w:rPr>
                <w:rFonts w:asciiTheme="minorHAnsi" w:eastAsiaTheme="minorEastAsia" w:hAnsiTheme="minorHAnsi"/>
                <w:b w:val="0"/>
                <w:color w:val="auto"/>
                <w:sz w:val="22"/>
                <w:lang w:eastAsia="en-AU"/>
              </w:rPr>
              <w:tab/>
            </w:r>
            <w:r w:rsidRPr="0009194D">
              <w:rPr>
                <w:rStyle w:val="Hyperlink"/>
              </w:rPr>
              <w:t>Reasons for final decision</w:t>
            </w:r>
            <w:r>
              <w:rPr>
                <w:webHidden/>
              </w:rPr>
              <w:tab/>
            </w:r>
            <w:r>
              <w:rPr>
                <w:webHidden/>
              </w:rPr>
              <w:fldChar w:fldCharType="begin"/>
            </w:r>
            <w:r>
              <w:rPr>
                <w:webHidden/>
              </w:rPr>
              <w:instrText xml:space="preserve"> PAGEREF _Toc451527267 \h </w:instrText>
            </w:r>
            <w:r>
              <w:rPr>
                <w:webHidden/>
              </w:rPr>
            </w:r>
            <w:r>
              <w:rPr>
                <w:webHidden/>
              </w:rPr>
              <w:fldChar w:fldCharType="separate"/>
            </w:r>
            <w:r>
              <w:rPr>
                <w:webHidden/>
              </w:rPr>
              <w:t>7-10</w:t>
            </w:r>
            <w:r>
              <w:rPr>
                <w:webHidden/>
              </w:rPr>
              <w:fldChar w:fldCharType="end"/>
            </w:r>
          </w:hyperlink>
        </w:p>
        <w:p w:rsidR="001701B8" w:rsidRDefault="001701B8">
          <w:pPr>
            <w:pStyle w:val="TOC3"/>
            <w:rPr>
              <w:rFonts w:asciiTheme="minorHAnsi" w:eastAsiaTheme="minorEastAsia" w:hAnsiTheme="minorHAnsi"/>
              <w:lang w:eastAsia="en-AU"/>
            </w:rPr>
          </w:pPr>
          <w:hyperlink w:anchor="_Toc451527268" w:history="1">
            <w:r w:rsidRPr="0009194D">
              <w:rPr>
                <w:rStyle w:val="Hyperlink"/>
              </w:rPr>
              <w:t>7.4.1</w:t>
            </w:r>
            <w:r>
              <w:rPr>
                <w:rFonts w:asciiTheme="minorHAnsi" w:eastAsiaTheme="minorEastAsia" w:hAnsiTheme="minorHAnsi"/>
                <w:lang w:eastAsia="en-AU"/>
              </w:rPr>
              <w:tab/>
            </w:r>
            <w:r w:rsidRPr="0009194D">
              <w:rPr>
                <w:rStyle w:val="Hyperlink"/>
              </w:rPr>
              <w:t>Forecasting method</w:t>
            </w:r>
            <w:r>
              <w:rPr>
                <w:webHidden/>
              </w:rPr>
              <w:tab/>
            </w:r>
            <w:r>
              <w:rPr>
                <w:webHidden/>
              </w:rPr>
              <w:fldChar w:fldCharType="begin"/>
            </w:r>
            <w:r>
              <w:rPr>
                <w:webHidden/>
              </w:rPr>
              <w:instrText xml:space="preserve"> PAGEREF _Toc451527268 \h </w:instrText>
            </w:r>
            <w:r>
              <w:rPr>
                <w:webHidden/>
              </w:rPr>
            </w:r>
            <w:r>
              <w:rPr>
                <w:webHidden/>
              </w:rPr>
              <w:fldChar w:fldCharType="separate"/>
            </w:r>
            <w:r>
              <w:rPr>
                <w:webHidden/>
              </w:rPr>
              <w:t>7-11</w:t>
            </w:r>
            <w:r>
              <w:rPr>
                <w:webHidden/>
              </w:rPr>
              <w:fldChar w:fldCharType="end"/>
            </w:r>
          </w:hyperlink>
        </w:p>
        <w:p w:rsidR="001701B8" w:rsidRDefault="001701B8">
          <w:pPr>
            <w:pStyle w:val="TOC3"/>
            <w:rPr>
              <w:rFonts w:asciiTheme="minorHAnsi" w:eastAsiaTheme="minorEastAsia" w:hAnsiTheme="minorHAnsi"/>
              <w:lang w:eastAsia="en-AU"/>
            </w:rPr>
          </w:pPr>
          <w:hyperlink w:anchor="_Toc451527269" w:history="1">
            <w:r w:rsidRPr="0009194D">
              <w:rPr>
                <w:rStyle w:val="Hyperlink"/>
              </w:rPr>
              <w:t>7.4.2</w:t>
            </w:r>
            <w:r>
              <w:rPr>
                <w:rFonts w:asciiTheme="minorHAnsi" w:eastAsiaTheme="minorEastAsia" w:hAnsiTheme="minorHAnsi"/>
                <w:lang w:eastAsia="en-AU"/>
              </w:rPr>
              <w:tab/>
            </w:r>
            <w:r w:rsidRPr="0009194D">
              <w:rPr>
                <w:rStyle w:val="Hyperlink"/>
              </w:rPr>
              <w:t>Base year opex</w:t>
            </w:r>
            <w:r>
              <w:rPr>
                <w:webHidden/>
              </w:rPr>
              <w:tab/>
            </w:r>
            <w:r>
              <w:rPr>
                <w:webHidden/>
              </w:rPr>
              <w:fldChar w:fldCharType="begin"/>
            </w:r>
            <w:r>
              <w:rPr>
                <w:webHidden/>
              </w:rPr>
              <w:instrText xml:space="preserve"> PAGEREF _Toc451527269 \h </w:instrText>
            </w:r>
            <w:r>
              <w:rPr>
                <w:webHidden/>
              </w:rPr>
            </w:r>
            <w:r>
              <w:rPr>
                <w:webHidden/>
              </w:rPr>
              <w:fldChar w:fldCharType="separate"/>
            </w:r>
            <w:r>
              <w:rPr>
                <w:webHidden/>
              </w:rPr>
              <w:t>7-11</w:t>
            </w:r>
            <w:r>
              <w:rPr>
                <w:webHidden/>
              </w:rPr>
              <w:fldChar w:fldCharType="end"/>
            </w:r>
          </w:hyperlink>
        </w:p>
        <w:p w:rsidR="001701B8" w:rsidRDefault="001701B8">
          <w:pPr>
            <w:pStyle w:val="TOC3"/>
            <w:rPr>
              <w:rFonts w:asciiTheme="minorHAnsi" w:eastAsiaTheme="minorEastAsia" w:hAnsiTheme="minorHAnsi"/>
              <w:lang w:eastAsia="en-AU"/>
            </w:rPr>
          </w:pPr>
          <w:hyperlink w:anchor="_Toc451527270" w:history="1">
            <w:r w:rsidRPr="0009194D">
              <w:rPr>
                <w:rStyle w:val="Hyperlink"/>
              </w:rPr>
              <w:t>7.4.3</w:t>
            </w:r>
            <w:r>
              <w:rPr>
                <w:rFonts w:asciiTheme="minorHAnsi" w:eastAsiaTheme="minorEastAsia" w:hAnsiTheme="minorHAnsi"/>
                <w:lang w:eastAsia="en-AU"/>
              </w:rPr>
              <w:tab/>
            </w:r>
            <w:r w:rsidRPr="0009194D">
              <w:rPr>
                <w:rStyle w:val="Hyperlink"/>
              </w:rPr>
              <w:t>Rate of change</w:t>
            </w:r>
            <w:r>
              <w:rPr>
                <w:webHidden/>
              </w:rPr>
              <w:tab/>
            </w:r>
            <w:r>
              <w:rPr>
                <w:webHidden/>
              </w:rPr>
              <w:fldChar w:fldCharType="begin"/>
            </w:r>
            <w:r>
              <w:rPr>
                <w:webHidden/>
              </w:rPr>
              <w:instrText xml:space="preserve"> PAGEREF _Toc451527270 \h </w:instrText>
            </w:r>
            <w:r>
              <w:rPr>
                <w:webHidden/>
              </w:rPr>
            </w:r>
            <w:r>
              <w:rPr>
                <w:webHidden/>
              </w:rPr>
              <w:fldChar w:fldCharType="separate"/>
            </w:r>
            <w:r>
              <w:rPr>
                <w:webHidden/>
              </w:rPr>
              <w:t>7-13</w:t>
            </w:r>
            <w:r>
              <w:rPr>
                <w:webHidden/>
              </w:rPr>
              <w:fldChar w:fldCharType="end"/>
            </w:r>
          </w:hyperlink>
        </w:p>
        <w:p w:rsidR="001701B8" w:rsidRDefault="001701B8">
          <w:pPr>
            <w:pStyle w:val="TOC3"/>
            <w:rPr>
              <w:rFonts w:asciiTheme="minorHAnsi" w:eastAsiaTheme="minorEastAsia" w:hAnsiTheme="minorHAnsi"/>
              <w:lang w:eastAsia="en-AU"/>
            </w:rPr>
          </w:pPr>
          <w:hyperlink w:anchor="_Toc451527271" w:history="1">
            <w:r w:rsidRPr="0009194D">
              <w:rPr>
                <w:rStyle w:val="Hyperlink"/>
              </w:rPr>
              <w:t>7.4.4</w:t>
            </w:r>
            <w:r>
              <w:rPr>
                <w:rFonts w:asciiTheme="minorHAnsi" w:eastAsiaTheme="minorEastAsia" w:hAnsiTheme="minorHAnsi"/>
                <w:lang w:eastAsia="en-AU"/>
              </w:rPr>
              <w:tab/>
            </w:r>
            <w:r w:rsidRPr="0009194D">
              <w:rPr>
                <w:rStyle w:val="Hyperlink"/>
              </w:rPr>
              <w:t>Step changes</w:t>
            </w:r>
            <w:r>
              <w:rPr>
                <w:webHidden/>
              </w:rPr>
              <w:tab/>
            </w:r>
            <w:r>
              <w:rPr>
                <w:webHidden/>
              </w:rPr>
              <w:fldChar w:fldCharType="begin"/>
            </w:r>
            <w:r>
              <w:rPr>
                <w:webHidden/>
              </w:rPr>
              <w:instrText xml:space="preserve"> PAGEREF _Toc451527271 \h </w:instrText>
            </w:r>
            <w:r>
              <w:rPr>
                <w:webHidden/>
              </w:rPr>
            </w:r>
            <w:r>
              <w:rPr>
                <w:webHidden/>
              </w:rPr>
              <w:fldChar w:fldCharType="separate"/>
            </w:r>
            <w:r>
              <w:rPr>
                <w:webHidden/>
              </w:rPr>
              <w:t>7-19</w:t>
            </w:r>
            <w:r>
              <w:rPr>
                <w:webHidden/>
              </w:rPr>
              <w:fldChar w:fldCharType="end"/>
            </w:r>
          </w:hyperlink>
        </w:p>
        <w:p w:rsidR="001701B8" w:rsidRDefault="001701B8">
          <w:pPr>
            <w:pStyle w:val="TOC3"/>
            <w:rPr>
              <w:rFonts w:asciiTheme="minorHAnsi" w:eastAsiaTheme="minorEastAsia" w:hAnsiTheme="minorHAnsi"/>
              <w:lang w:eastAsia="en-AU"/>
            </w:rPr>
          </w:pPr>
          <w:hyperlink w:anchor="_Toc451527272" w:history="1">
            <w:r w:rsidRPr="0009194D">
              <w:rPr>
                <w:rStyle w:val="Hyperlink"/>
              </w:rPr>
              <w:t>7.4.5</w:t>
            </w:r>
            <w:r>
              <w:rPr>
                <w:rFonts w:asciiTheme="minorHAnsi" w:eastAsiaTheme="minorEastAsia" w:hAnsiTheme="minorHAnsi"/>
                <w:lang w:eastAsia="en-AU"/>
              </w:rPr>
              <w:tab/>
            </w:r>
            <w:r w:rsidRPr="0009194D">
              <w:rPr>
                <w:rStyle w:val="Hyperlink"/>
              </w:rPr>
              <w:t>Category specific forecasts</w:t>
            </w:r>
            <w:r>
              <w:rPr>
                <w:webHidden/>
              </w:rPr>
              <w:tab/>
            </w:r>
            <w:r>
              <w:rPr>
                <w:webHidden/>
              </w:rPr>
              <w:fldChar w:fldCharType="begin"/>
            </w:r>
            <w:r>
              <w:rPr>
                <w:webHidden/>
              </w:rPr>
              <w:instrText xml:space="preserve"> PAGEREF _Toc451527272 \h </w:instrText>
            </w:r>
            <w:r>
              <w:rPr>
                <w:webHidden/>
              </w:rPr>
            </w:r>
            <w:r>
              <w:rPr>
                <w:webHidden/>
              </w:rPr>
              <w:fldChar w:fldCharType="separate"/>
            </w:r>
            <w:r>
              <w:rPr>
                <w:webHidden/>
              </w:rPr>
              <w:t>7-24</w:t>
            </w:r>
            <w:r>
              <w:rPr>
                <w:webHidden/>
              </w:rPr>
              <w:fldChar w:fldCharType="end"/>
            </w:r>
          </w:hyperlink>
        </w:p>
        <w:p w:rsidR="00DE563D" w:rsidRDefault="00091B15" w:rsidP="00091B15">
          <w:pPr>
            <w:pStyle w:val="TOC1"/>
          </w:pPr>
          <w:r>
            <w:rPr>
              <w:color w:val="auto"/>
              <w:sz w:val="22"/>
            </w:rPr>
            <w:fldChar w:fldCharType="end"/>
          </w:r>
        </w:p>
      </w:sdtContent>
    </w:sdt>
    <w:p w:rsidR="00E7494F" w:rsidRDefault="00DE563D" w:rsidP="00DE772C">
      <w:pPr>
        <w:pStyle w:val="UnnumberedHeading"/>
        <w:numPr>
          <w:ilvl w:val="0"/>
          <w:numId w:val="23"/>
        </w:numPr>
      </w:pPr>
      <w:bookmarkStart w:id="8" w:name="_Toc404700925"/>
      <w:bookmarkStart w:id="9" w:name="_Toc451527260"/>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B92980" w:rsidTr="00B9298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Shortened form</w:t>
            </w:r>
          </w:p>
        </w:tc>
        <w:tc>
          <w:tcPr>
            <w:tcW w:w="5041" w:type="dxa"/>
            <w:tcBorders>
              <w:top w:val="nil"/>
              <w:left w:val="nil"/>
              <w:bottom w:val="nil"/>
              <w:right w:val="nil"/>
            </w:tcBorders>
            <w:hideMark/>
          </w:tcPr>
          <w:p w:rsidR="00B92980" w:rsidRPr="00B92980" w:rsidRDefault="00B92980" w:rsidP="00B92980">
            <w:pPr>
              <w:numPr>
                <w:ilvl w:val="0"/>
                <w:numId w:val="24"/>
              </w:numPr>
              <w:cnfStyle w:val="100000000000" w:firstRow="1" w:lastRow="0" w:firstColumn="0" w:lastColumn="0" w:oddVBand="0" w:evenVBand="0" w:oddHBand="0" w:evenHBand="0" w:firstRowFirstColumn="0" w:firstRowLastColumn="0" w:lastRowFirstColumn="0" w:lastRowLastColumn="0"/>
            </w:pPr>
            <w:r w:rsidRPr="00B92980">
              <w:t>Extended form</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AA</w:t>
            </w:r>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Access Arrangement</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AAI</w:t>
            </w:r>
          </w:p>
        </w:tc>
        <w:tc>
          <w:tcPr>
            <w:tcW w:w="5041" w:type="dxa"/>
            <w:tcBorders>
              <w:top w:val="nil"/>
              <w:left w:val="nil"/>
              <w:bottom w:val="nil"/>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Access Arrangement Information</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AER</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Australian Energy Regulator</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AGN</w:t>
            </w:r>
          </w:p>
        </w:tc>
        <w:tc>
          <w:tcPr>
            <w:tcW w:w="5041" w:type="dxa"/>
            <w:tcBorders>
              <w:top w:val="nil"/>
              <w:left w:val="nil"/>
              <w:bottom w:val="nil"/>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Australian Gas Networks</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ATO</w:t>
            </w:r>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Australian Tax Office</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capex</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capital expenditure</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CAPM</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capital asset pricing model</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CCP</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Consumer Challenge Panel</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CESS</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Capital Expenditure Sharing Scheme</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CPI</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consumer price index</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CSIS</w:t>
            </w:r>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Customer Service Incentive Scheme</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DRP</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debt risk premium</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EBSS</w:t>
            </w:r>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Efficiency Benefit Sharing Scheme</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ECM</w:t>
            </w:r>
          </w:p>
        </w:tc>
        <w:tc>
          <w:tcPr>
            <w:tcW w:w="5041" w:type="dxa"/>
            <w:tcBorders>
              <w:top w:val="nil"/>
              <w:left w:val="nil"/>
              <w:bottom w:val="nil"/>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Efficiency Carryover Mechanism</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ERP</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equity risk premium</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Expenditure Guideline</w:t>
            </w:r>
          </w:p>
        </w:tc>
        <w:tc>
          <w:tcPr>
            <w:tcW w:w="5041" w:type="dxa"/>
            <w:tcBorders>
              <w:top w:val="nil"/>
              <w:left w:val="nil"/>
              <w:bottom w:val="nil"/>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Expenditure Forecast Assessment Guideline</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gamma</w:t>
            </w:r>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value of imputation credits</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GSL</w:t>
            </w:r>
          </w:p>
        </w:tc>
        <w:tc>
          <w:tcPr>
            <w:tcW w:w="5041" w:type="dxa"/>
            <w:tcBorders>
              <w:top w:val="nil"/>
              <w:left w:val="nil"/>
              <w:bottom w:val="nil"/>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Guaranteed Service Level</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MRP</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market risk premium</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NECF</w:t>
            </w:r>
          </w:p>
        </w:tc>
        <w:tc>
          <w:tcPr>
            <w:tcW w:w="5041" w:type="dxa"/>
            <w:tcBorders>
              <w:top w:val="nil"/>
              <w:left w:val="nil"/>
              <w:bottom w:val="nil"/>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National Energy Customer Framework</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NERL</w:t>
            </w:r>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National Energy Retail Law</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NERR</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National Energy Retail Rules</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NGL</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National Gas Law</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NGO</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National Gas Objective</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NGR</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National Gas Rules</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NIS</w:t>
            </w:r>
          </w:p>
        </w:tc>
        <w:tc>
          <w:tcPr>
            <w:tcW w:w="5041" w:type="dxa"/>
            <w:tcBorders>
              <w:top w:val="nil"/>
              <w:left w:val="nil"/>
              <w:bottom w:val="nil"/>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Network Incentive Scheme</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NPV</w:t>
            </w:r>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net present value</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opex</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operating expenditure</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PFP</w:t>
            </w:r>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partial factor productivity</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PPI</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partial performance indicators</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PTRM</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post-tax revenue model</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RBA</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Reserve Bank of Australia</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RFM</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roll forward model</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RIN</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regulatory information notice</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proofErr w:type="spellStart"/>
            <w:r w:rsidRPr="00B92980">
              <w:t>RoLR</w:t>
            </w:r>
            <w:proofErr w:type="spellEnd"/>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retailer of last resort</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RPP</w:t>
            </w:r>
          </w:p>
        </w:tc>
        <w:tc>
          <w:tcPr>
            <w:tcW w:w="5041" w:type="dxa"/>
            <w:tcBorders>
              <w:top w:val="nil"/>
              <w:left w:val="nil"/>
              <w:bottom w:val="nil"/>
              <w:right w:val="nil"/>
            </w:tcBorders>
            <w:hideMark/>
          </w:tcPr>
          <w:p w:rsidR="00B92980" w:rsidRPr="00B92980" w:rsidRDefault="00B92980" w:rsidP="00B92980">
            <w:pPr>
              <w:numPr>
                <w:ilvl w:val="0"/>
                <w:numId w:val="24"/>
              </w:numPr>
              <w:cnfStyle w:val="000000010000" w:firstRow="0" w:lastRow="0" w:firstColumn="0" w:lastColumn="0" w:oddVBand="0" w:evenVBand="0" w:oddHBand="0" w:evenHBand="1" w:firstRowFirstColumn="0" w:firstRowLastColumn="0" w:lastRowFirstColumn="0" w:lastRowLastColumn="0"/>
            </w:pPr>
            <w:r w:rsidRPr="00B92980">
              <w:t>revenue and pricing principles</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SLCAPM</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Sharpe-</w:t>
            </w:r>
            <w:proofErr w:type="spellStart"/>
            <w:r w:rsidRPr="00B92980">
              <w:t>Lintner</w:t>
            </w:r>
            <w:proofErr w:type="spellEnd"/>
            <w:r w:rsidRPr="00B92980">
              <w:t xml:space="preserve"> capital asset pricing model</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STPIS</w:t>
            </w:r>
          </w:p>
        </w:tc>
        <w:tc>
          <w:tcPr>
            <w:tcW w:w="5041" w:type="dxa"/>
            <w:tcBorders>
              <w:top w:val="nil"/>
              <w:left w:val="nil"/>
              <w:bottom w:val="nil"/>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Service Target Performance Incentive Scheme</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TAB</w:t>
            </w:r>
          </w:p>
        </w:tc>
        <w:tc>
          <w:tcPr>
            <w:tcW w:w="5041" w:type="dxa"/>
            <w:tcBorders>
              <w:top w:val="nil"/>
              <w:left w:val="nil"/>
              <w:bottom w:val="nil"/>
              <w:right w:val="nil"/>
            </w:tcBorders>
            <w:hideMark/>
          </w:tcPr>
          <w:p w:rsidR="00B92980" w:rsidRPr="00B92980" w:rsidRDefault="00B92980" w:rsidP="00B92980">
            <w:pPr>
              <w:cnfStyle w:val="000000000000" w:firstRow="0" w:lastRow="0" w:firstColumn="0" w:lastColumn="0" w:oddVBand="0" w:evenVBand="0" w:oddHBand="0" w:evenHBand="0" w:firstRowFirstColumn="0" w:firstRowLastColumn="0" w:lastRowFirstColumn="0" w:lastRowLastColumn="0"/>
            </w:pPr>
            <w:r w:rsidRPr="00B92980">
              <w:t>tax asset base</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UAFG</w:t>
            </w:r>
          </w:p>
        </w:tc>
        <w:tc>
          <w:tcPr>
            <w:tcW w:w="5041" w:type="dxa"/>
            <w:tcBorders>
              <w:top w:val="nil"/>
              <w:left w:val="nil"/>
              <w:bottom w:val="nil"/>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unaccounted for gas</w:t>
            </w:r>
          </w:p>
        </w:tc>
      </w:tr>
      <w:tr w:rsidR="00B92980" w:rsidTr="00B92980">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B92980" w:rsidRPr="00B92980" w:rsidRDefault="00B92980" w:rsidP="00B92980">
            <w:pPr>
              <w:numPr>
                <w:ilvl w:val="0"/>
                <w:numId w:val="24"/>
              </w:numPr>
            </w:pPr>
            <w:r w:rsidRPr="00B92980">
              <w:t>WACC</w:t>
            </w:r>
          </w:p>
        </w:tc>
        <w:tc>
          <w:tcPr>
            <w:tcW w:w="5041" w:type="dxa"/>
            <w:tcBorders>
              <w:top w:val="nil"/>
              <w:left w:val="nil"/>
              <w:bottom w:val="nil"/>
              <w:right w:val="nil"/>
            </w:tcBorders>
            <w:hideMark/>
          </w:tcPr>
          <w:p w:rsidR="00B92980" w:rsidRPr="00B92980" w:rsidRDefault="00B92980" w:rsidP="00B92980">
            <w:pPr>
              <w:numPr>
                <w:ilvl w:val="0"/>
                <w:numId w:val="24"/>
              </w:numPr>
              <w:cnfStyle w:val="000000000000" w:firstRow="0" w:lastRow="0" w:firstColumn="0" w:lastColumn="0" w:oddVBand="0" w:evenVBand="0" w:oddHBand="0" w:evenHBand="0" w:firstRowFirstColumn="0" w:firstRowLastColumn="0" w:lastRowFirstColumn="0" w:lastRowLastColumn="0"/>
            </w:pPr>
            <w:r w:rsidRPr="00B92980">
              <w:t>weighted average cost of capital</w:t>
            </w:r>
          </w:p>
        </w:tc>
      </w:tr>
      <w:tr w:rsidR="00B92980" w:rsidTr="00B929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B92980" w:rsidRPr="00B92980" w:rsidRDefault="00B92980" w:rsidP="00B92980">
            <w:pPr>
              <w:numPr>
                <w:ilvl w:val="0"/>
                <w:numId w:val="24"/>
              </w:numPr>
            </w:pPr>
            <w:r w:rsidRPr="00B92980">
              <w:t>WPI</w:t>
            </w:r>
          </w:p>
        </w:tc>
        <w:tc>
          <w:tcPr>
            <w:tcW w:w="5041" w:type="dxa"/>
            <w:tcBorders>
              <w:top w:val="nil"/>
              <w:left w:val="nil"/>
              <w:bottom w:val="single" w:sz="4" w:space="0" w:color="365F91"/>
              <w:right w:val="nil"/>
            </w:tcBorders>
            <w:hideMark/>
          </w:tcPr>
          <w:p w:rsidR="00B92980" w:rsidRPr="00B92980" w:rsidRDefault="00B92980" w:rsidP="00B92980">
            <w:pPr>
              <w:cnfStyle w:val="000000010000" w:firstRow="0" w:lastRow="0" w:firstColumn="0" w:lastColumn="0" w:oddVBand="0" w:evenVBand="0" w:oddHBand="0" w:evenHBand="1" w:firstRowFirstColumn="0" w:firstRowLastColumn="0" w:lastRowFirstColumn="0" w:lastRowLastColumn="0"/>
            </w:pPr>
            <w:r w:rsidRPr="00B92980">
              <w:t>Wage Price Index</w:t>
            </w:r>
          </w:p>
        </w:tc>
      </w:tr>
    </w:tbl>
    <w:p w:rsidR="00B92980" w:rsidRPr="00B92980" w:rsidRDefault="00B92980" w:rsidP="00B92980"/>
    <w:p w:rsidR="00DE563D" w:rsidRDefault="00D46BD3" w:rsidP="00D46BD3">
      <w:pPr>
        <w:pStyle w:val="Heading1"/>
      </w:pPr>
      <w:bookmarkStart w:id="10" w:name="_Toc451527261"/>
      <w:r>
        <w:t>Operating expenditure</w:t>
      </w:r>
      <w:bookmarkEnd w:id="10"/>
    </w:p>
    <w:p w:rsidR="000E31D8" w:rsidRDefault="000E31D8" w:rsidP="000E31D8">
      <w:r w:rsidRPr="009F4C42">
        <w:t xml:space="preserve">Forecast opex is the forecast operating, maintenance and other non-capital costs incurred in the provision of </w:t>
      </w:r>
      <w:r>
        <w:t>gas distribution</w:t>
      </w:r>
      <w:r w:rsidRPr="009F4C42">
        <w:t xml:space="preserve"> services. I</w:t>
      </w:r>
      <w:r>
        <w:t>t</w:t>
      </w:r>
      <w:r w:rsidRPr="009F4C42">
        <w:t xml:space="preserve"> includes labour costs and other non-capital costs that </w:t>
      </w:r>
      <w:r>
        <w:t xml:space="preserve">a prudent service provider </w:t>
      </w:r>
      <w:r w:rsidRPr="009F4C42">
        <w:t xml:space="preserve">is likely to require during </w:t>
      </w:r>
      <w:r>
        <w:t>an access arrangement period</w:t>
      </w:r>
      <w:r w:rsidRPr="009F4C42">
        <w:t xml:space="preserve"> for the efficient operation of its network. </w:t>
      </w:r>
    </w:p>
    <w:p w:rsidR="000E31D8" w:rsidRDefault="000E31D8" w:rsidP="000E31D8">
      <w:r>
        <w:t xml:space="preserve">This attachment provides an overview of </w:t>
      </w:r>
      <w:r w:rsidR="00C02B9D">
        <w:t>AGN</w:t>
      </w:r>
      <w:r>
        <w:t xml:space="preserve">'s opex proposal and our assessment of total opex. </w:t>
      </w:r>
    </w:p>
    <w:p w:rsidR="00A2303E" w:rsidRDefault="00A2303E" w:rsidP="00A2303E">
      <w:pPr>
        <w:pStyle w:val="Heading2"/>
      </w:pPr>
      <w:bookmarkStart w:id="11" w:name="_Toc408404320"/>
      <w:bookmarkStart w:id="12" w:name="_Toc419366913"/>
      <w:bookmarkStart w:id="13" w:name="_Toc451527262"/>
      <w:r>
        <w:t>Final</w:t>
      </w:r>
      <w:r w:rsidRPr="0074565D">
        <w:t xml:space="preserve"> decision</w:t>
      </w:r>
      <w:bookmarkEnd w:id="11"/>
      <w:bookmarkEnd w:id="12"/>
      <w:bookmarkEnd w:id="13"/>
    </w:p>
    <w:p w:rsidR="003B6BBA" w:rsidRPr="003B6BBA" w:rsidRDefault="003B6BBA" w:rsidP="009669EE">
      <w:r w:rsidRPr="003B6BBA">
        <w:t>We are satisfied that the forecast of total opex A</w:t>
      </w:r>
      <w:r>
        <w:t xml:space="preserve">GN </w:t>
      </w:r>
      <w:r w:rsidRPr="003B6BBA">
        <w:t>proposed complies with the opex criteria and the criteria for forecasts and estimates.</w:t>
      </w:r>
      <w:r w:rsidR="00C93518">
        <w:rPr>
          <w:rStyle w:val="FootnoteReference"/>
        </w:rPr>
        <w:footnoteReference w:id="1"/>
      </w:r>
      <w:r w:rsidRPr="003B6BBA">
        <w:t xml:space="preserve"> We therefore accept the forecast of opex </w:t>
      </w:r>
      <w:r w:rsidR="00C93518">
        <w:t xml:space="preserve">AGN </w:t>
      </w:r>
      <w:r w:rsidRPr="003B6BBA">
        <w:t xml:space="preserve">included in its </w:t>
      </w:r>
      <w:r w:rsidR="009601F0">
        <w:t>revised</w:t>
      </w:r>
      <w:r w:rsidRPr="003B6BBA">
        <w:t xml:space="preserve"> proposal. Our final opex decision for the 2016–21 </w:t>
      </w:r>
      <w:r w:rsidR="00C93518">
        <w:t xml:space="preserve">access arrangement </w:t>
      </w:r>
      <w:proofErr w:type="gramStart"/>
      <w:r w:rsidRPr="003B6BBA">
        <w:t>period</w:t>
      </w:r>
      <w:proofErr w:type="gramEnd"/>
      <w:r w:rsidRPr="003B6BBA">
        <w:t xml:space="preserve"> is shown in </w:t>
      </w:r>
      <w:r w:rsidR="00F13EC2">
        <w:fldChar w:fldCharType="begin"/>
      </w:r>
      <w:r w:rsidR="00F13EC2">
        <w:instrText xml:space="preserve"> REF _Ref444850624 \h </w:instrText>
      </w:r>
      <w:r w:rsidR="009669EE">
        <w:instrText xml:space="preserve"> \* MERGEFORMAT </w:instrText>
      </w:r>
      <w:r w:rsidR="00F13EC2">
        <w:fldChar w:fldCharType="separate"/>
      </w:r>
      <w:r w:rsidR="004F6349">
        <w:t xml:space="preserve">Table </w:t>
      </w:r>
      <w:r w:rsidR="004F6349">
        <w:rPr>
          <w:noProof/>
        </w:rPr>
        <w:t>7.1</w:t>
      </w:r>
      <w:r w:rsidR="00F13EC2">
        <w:fldChar w:fldCharType="end"/>
      </w:r>
      <w:r w:rsidR="00A2275D">
        <w:t>.</w:t>
      </w:r>
    </w:p>
    <w:p w:rsidR="00C93518" w:rsidRDefault="00F13EC2" w:rsidP="00F13EC2">
      <w:pPr>
        <w:pStyle w:val="Caption"/>
      </w:pPr>
      <w:bookmarkStart w:id="14" w:name="_Ref444850624"/>
      <w:bookmarkStart w:id="15" w:name="_Ref444850594"/>
      <w:proofErr w:type="gramStart"/>
      <w:r>
        <w:t xml:space="preserve">Table </w:t>
      </w:r>
      <w:r w:rsidR="00961E5E">
        <w:fldChar w:fldCharType="begin"/>
      </w:r>
      <w:r w:rsidR="00961E5E">
        <w:instrText xml:space="preserve"> STYLEREF 1 \s </w:instrText>
      </w:r>
      <w:r w:rsidR="00961E5E">
        <w:fldChar w:fldCharType="separate"/>
      </w:r>
      <w:r w:rsidR="004F6349">
        <w:rPr>
          <w:noProof/>
        </w:rPr>
        <w:t>7</w:t>
      </w:r>
      <w:r w:rsidR="00961E5E">
        <w:rPr>
          <w:noProof/>
        </w:rPr>
        <w:fldChar w:fldCharType="end"/>
      </w:r>
      <w:r w:rsidR="004F6349">
        <w:t>.</w:t>
      </w:r>
      <w:proofErr w:type="gramEnd"/>
      <w:r w:rsidR="004F6349">
        <w:fldChar w:fldCharType="begin"/>
      </w:r>
      <w:r w:rsidR="004F6349">
        <w:instrText xml:space="preserve"> SEQ Table \* ARABIC \s 1 </w:instrText>
      </w:r>
      <w:r w:rsidR="004F6349">
        <w:fldChar w:fldCharType="separate"/>
      </w:r>
      <w:r w:rsidR="004F6349">
        <w:rPr>
          <w:noProof/>
        </w:rPr>
        <w:t>1</w:t>
      </w:r>
      <w:r w:rsidR="004F6349">
        <w:fldChar w:fldCharType="end"/>
      </w:r>
      <w:bookmarkEnd w:id="14"/>
      <w:r w:rsidR="00C93518">
        <w:tab/>
        <w:t>Final decision on total opex ($million, 2015</w:t>
      </w:r>
      <w:r w:rsidR="00B50ABF">
        <w:t>–</w:t>
      </w:r>
      <w:r w:rsidR="00C93518">
        <w:t>16)</w:t>
      </w:r>
      <w:bookmarkEnd w:id="15"/>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C93518" w:rsidTr="00C93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C93518" w:rsidRDefault="00C93518" w:rsidP="003B6BBA"/>
        </w:tc>
        <w:tc>
          <w:tcPr>
            <w:tcW w:w="1242" w:type="dxa"/>
          </w:tcPr>
          <w:p w:rsidR="00C93518" w:rsidRDefault="00C93518" w:rsidP="003B6BBA">
            <w:pPr>
              <w:cnfStyle w:val="100000000000" w:firstRow="1" w:lastRow="0" w:firstColumn="0" w:lastColumn="0" w:oddVBand="0" w:evenVBand="0" w:oddHBand="0" w:evenHBand="0" w:firstRowFirstColumn="0" w:firstRowLastColumn="0" w:lastRowFirstColumn="0" w:lastRowLastColumn="0"/>
            </w:pPr>
            <w:r>
              <w:t>2016-17</w:t>
            </w:r>
          </w:p>
        </w:tc>
        <w:tc>
          <w:tcPr>
            <w:tcW w:w="1242" w:type="dxa"/>
          </w:tcPr>
          <w:p w:rsidR="00C93518" w:rsidRDefault="00C93518" w:rsidP="003B6BBA">
            <w:pPr>
              <w:cnfStyle w:val="100000000000" w:firstRow="1" w:lastRow="0" w:firstColumn="0" w:lastColumn="0" w:oddVBand="0" w:evenVBand="0" w:oddHBand="0" w:evenHBand="0" w:firstRowFirstColumn="0" w:firstRowLastColumn="0" w:lastRowFirstColumn="0" w:lastRowLastColumn="0"/>
            </w:pPr>
            <w:r>
              <w:t>2017-18</w:t>
            </w:r>
          </w:p>
        </w:tc>
        <w:tc>
          <w:tcPr>
            <w:tcW w:w="1242" w:type="dxa"/>
          </w:tcPr>
          <w:p w:rsidR="00C93518" w:rsidRDefault="00C93518" w:rsidP="003B6BBA">
            <w:pPr>
              <w:cnfStyle w:val="100000000000" w:firstRow="1" w:lastRow="0" w:firstColumn="0" w:lastColumn="0" w:oddVBand="0" w:evenVBand="0" w:oddHBand="0" w:evenHBand="0" w:firstRowFirstColumn="0" w:firstRowLastColumn="0" w:lastRowFirstColumn="0" w:lastRowLastColumn="0"/>
            </w:pPr>
            <w:r>
              <w:t>2018-19</w:t>
            </w:r>
          </w:p>
        </w:tc>
        <w:tc>
          <w:tcPr>
            <w:tcW w:w="1242" w:type="dxa"/>
          </w:tcPr>
          <w:p w:rsidR="00C93518" w:rsidRDefault="00C93518" w:rsidP="003B6BBA">
            <w:pPr>
              <w:cnfStyle w:val="100000000000" w:firstRow="1" w:lastRow="0" w:firstColumn="0" w:lastColumn="0" w:oddVBand="0" w:evenVBand="0" w:oddHBand="0" w:evenHBand="0" w:firstRowFirstColumn="0" w:firstRowLastColumn="0" w:lastRowFirstColumn="0" w:lastRowLastColumn="0"/>
            </w:pPr>
            <w:r>
              <w:t>2019-20</w:t>
            </w:r>
          </w:p>
        </w:tc>
        <w:tc>
          <w:tcPr>
            <w:tcW w:w="1242" w:type="dxa"/>
          </w:tcPr>
          <w:p w:rsidR="00C93518" w:rsidRDefault="00C93518" w:rsidP="003B6BBA">
            <w:pPr>
              <w:cnfStyle w:val="100000000000" w:firstRow="1" w:lastRow="0" w:firstColumn="0" w:lastColumn="0" w:oddVBand="0" w:evenVBand="0" w:oddHBand="0" w:evenHBand="0" w:firstRowFirstColumn="0" w:firstRowLastColumn="0" w:lastRowFirstColumn="0" w:lastRowLastColumn="0"/>
            </w:pPr>
            <w:r>
              <w:t>2020-21</w:t>
            </w:r>
          </w:p>
        </w:tc>
        <w:tc>
          <w:tcPr>
            <w:tcW w:w="1242" w:type="dxa"/>
          </w:tcPr>
          <w:p w:rsidR="00C93518" w:rsidRDefault="00C93518" w:rsidP="003B6BBA">
            <w:pPr>
              <w:cnfStyle w:val="100000000000" w:firstRow="1" w:lastRow="0" w:firstColumn="0" w:lastColumn="0" w:oddVBand="0" w:evenVBand="0" w:oddHBand="0" w:evenHBand="0" w:firstRowFirstColumn="0" w:firstRowLastColumn="0" w:lastRowFirstColumn="0" w:lastRowLastColumn="0"/>
            </w:pPr>
            <w:r>
              <w:t>Total</w:t>
            </w:r>
          </w:p>
        </w:tc>
      </w:tr>
      <w:tr w:rsidR="00C93518" w:rsidTr="00C93518">
        <w:tc>
          <w:tcPr>
            <w:cnfStyle w:val="001000000000" w:firstRow="0" w:lastRow="0" w:firstColumn="1" w:lastColumn="0" w:oddVBand="0" w:evenVBand="0" w:oddHBand="0" w:evenHBand="0" w:firstRowFirstColumn="0" w:firstRowLastColumn="0" w:lastRowFirstColumn="0" w:lastRowLastColumn="0"/>
            <w:tcW w:w="1241" w:type="dxa"/>
          </w:tcPr>
          <w:p w:rsidR="00C93518" w:rsidRDefault="00C93518" w:rsidP="003B6BBA">
            <w:r>
              <w:t>AGN's initial proposal</w:t>
            </w:r>
          </w:p>
        </w:tc>
        <w:tc>
          <w:tcPr>
            <w:tcW w:w="1242" w:type="dxa"/>
          </w:tcPr>
          <w:p w:rsidR="00C93518" w:rsidRDefault="00C57BDB" w:rsidP="003B6BBA">
            <w:pPr>
              <w:cnfStyle w:val="000000000000" w:firstRow="0" w:lastRow="0" w:firstColumn="0" w:lastColumn="0" w:oddVBand="0" w:evenVBand="0" w:oddHBand="0" w:evenHBand="0" w:firstRowFirstColumn="0" w:firstRowLastColumn="0" w:lastRowFirstColumn="0" w:lastRowLastColumn="0"/>
            </w:pPr>
            <w:r>
              <w:t>68.3</w:t>
            </w:r>
            <w:r w:rsidR="00725B8B">
              <w:t>9</w:t>
            </w:r>
          </w:p>
        </w:tc>
        <w:tc>
          <w:tcPr>
            <w:tcW w:w="1242" w:type="dxa"/>
          </w:tcPr>
          <w:p w:rsidR="00C93518" w:rsidRDefault="00725B8B" w:rsidP="003B6BBA">
            <w:pPr>
              <w:cnfStyle w:val="000000000000" w:firstRow="0" w:lastRow="0" w:firstColumn="0" w:lastColumn="0" w:oddVBand="0" w:evenVBand="0" w:oddHBand="0" w:evenHBand="0" w:firstRowFirstColumn="0" w:firstRowLastColumn="0" w:lastRowFirstColumn="0" w:lastRowLastColumn="0"/>
            </w:pPr>
            <w:r>
              <w:t>70.58</w:t>
            </w:r>
          </w:p>
        </w:tc>
        <w:tc>
          <w:tcPr>
            <w:tcW w:w="1242" w:type="dxa"/>
          </w:tcPr>
          <w:p w:rsidR="00C93518" w:rsidRDefault="00725B8B" w:rsidP="003B6BBA">
            <w:pPr>
              <w:cnfStyle w:val="000000000000" w:firstRow="0" w:lastRow="0" w:firstColumn="0" w:lastColumn="0" w:oddVBand="0" w:evenVBand="0" w:oddHBand="0" w:evenHBand="0" w:firstRowFirstColumn="0" w:firstRowLastColumn="0" w:lastRowFirstColumn="0" w:lastRowLastColumn="0"/>
            </w:pPr>
            <w:r>
              <w:t>72.44</w:t>
            </w:r>
          </w:p>
        </w:tc>
        <w:tc>
          <w:tcPr>
            <w:tcW w:w="1242" w:type="dxa"/>
          </w:tcPr>
          <w:p w:rsidR="00C93518" w:rsidRDefault="00725B8B" w:rsidP="003B6BBA">
            <w:pPr>
              <w:cnfStyle w:val="000000000000" w:firstRow="0" w:lastRow="0" w:firstColumn="0" w:lastColumn="0" w:oddVBand="0" w:evenVBand="0" w:oddHBand="0" w:evenHBand="0" w:firstRowFirstColumn="0" w:firstRowLastColumn="0" w:lastRowFirstColumn="0" w:lastRowLastColumn="0"/>
            </w:pPr>
            <w:r>
              <w:t>72.64</w:t>
            </w:r>
          </w:p>
        </w:tc>
        <w:tc>
          <w:tcPr>
            <w:tcW w:w="1242" w:type="dxa"/>
          </w:tcPr>
          <w:p w:rsidR="00C93518" w:rsidRDefault="00725B8B" w:rsidP="003B6BBA">
            <w:pPr>
              <w:cnfStyle w:val="000000000000" w:firstRow="0" w:lastRow="0" w:firstColumn="0" w:lastColumn="0" w:oddVBand="0" w:evenVBand="0" w:oddHBand="0" w:evenHBand="0" w:firstRowFirstColumn="0" w:firstRowLastColumn="0" w:lastRowFirstColumn="0" w:lastRowLastColumn="0"/>
            </w:pPr>
            <w:r>
              <w:t>73.39</w:t>
            </w:r>
          </w:p>
        </w:tc>
        <w:tc>
          <w:tcPr>
            <w:tcW w:w="1242" w:type="dxa"/>
          </w:tcPr>
          <w:p w:rsidR="00C93518" w:rsidRDefault="00725B8B" w:rsidP="003B6BBA">
            <w:pPr>
              <w:cnfStyle w:val="000000000000" w:firstRow="0" w:lastRow="0" w:firstColumn="0" w:lastColumn="0" w:oddVBand="0" w:evenVBand="0" w:oddHBand="0" w:evenHBand="0" w:firstRowFirstColumn="0" w:firstRowLastColumn="0" w:lastRowFirstColumn="0" w:lastRowLastColumn="0"/>
            </w:pPr>
            <w:r>
              <w:t>357.43</w:t>
            </w:r>
          </w:p>
        </w:tc>
      </w:tr>
      <w:tr w:rsidR="00C93518" w:rsidTr="00C935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C93518" w:rsidRDefault="00C93518" w:rsidP="003B6BBA">
            <w:r>
              <w:t>AER draft decision</w:t>
            </w:r>
            <w:r>
              <w:rPr>
                <w:rStyle w:val="FootnoteReference"/>
              </w:rPr>
              <w:footnoteReference w:id="2"/>
            </w:r>
          </w:p>
        </w:tc>
        <w:tc>
          <w:tcPr>
            <w:tcW w:w="1242" w:type="dxa"/>
          </w:tcPr>
          <w:p w:rsidR="00C93518" w:rsidRDefault="00725B8B" w:rsidP="003B6BBA">
            <w:pPr>
              <w:cnfStyle w:val="000000010000" w:firstRow="0" w:lastRow="0" w:firstColumn="0" w:lastColumn="0" w:oddVBand="0" w:evenVBand="0" w:oddHBand="0" w:evenHBand="1" w:firstRowFirstColumn="0" w:firstRowLastColumn="0" w:lastRowFirstColumn="0" w:lastRowLastColumn="0"/>
            </w:pPr>
            <w:r>
              <w:t>68.60</w:t>
            </w:r>
          </w:p>
        </w:tc>
        <w:tc>
          <w:tcPr>
            <w:tcW w:w="1242" w:type="dxa"/>
          </w:tcPr>
          <w:p w:rsidR="00C93518" w:rsidRDefault="00725B8B" w:rsidP="003B6BBA">
            <w:pPr>
              <w:cnfStyle w:val="000000010000" w:firstRow="0" w:lastRow="0" w:firstColumn="0" w:lastColumn="0" w:oddVBand="0" w:evenVBand="0" w:oddHBand="0" w:evenHBand="1" w:firstRowFirstColumn="0" w:firstRowLastColumn="0" w:lastRowFirstColumn="0" w:lastRowLastColumn="0"/>
            </w:pPr>
            <w:r>
              <w:t>69.53</w:t>
            </w:r>
          </w:p>
        </w:tc>
        <w:tc>
          <w:tcPr>
            <w:tcW w:w="1242" w:type="dxa"/>
          </w:tcPr>
          <w:p w:rsidR="00C93518" w:rsidRDefault="00725B8B" w:rsidP="003B6BBA">
            <w:pPr>
              <w:cnfStyle w:val="000000010000" w:firstRow="0" w:lastRow="0" w:firstColumn="0" w:lastColumn="0" w:oddVBand="0" w:evenVBand="0" w:oddHBand="0" w:evenHBand="1" w:firstRowFirstColumn="0" w:firstRowLastColumn="0" w:lastRowFirstColumn="0" w:lastRowLastColumn="0"/>
            </w:pPr>
            <w:r>
              <w:t>69.95</w:t>
            </w:r>
          </w:p>
        </w:tc>
        <w:tc>
          <w:tcPr>
            <w:tcW w:w="1242" w:type="dxa"/>
          </w:tcPr>
          <w:p w:rsidR="00C93518" w:rsidRDefault="00725B8B" w:rsidP="003B6BBA">
            <w:pPr>
              <w:cnfStyle w:val="000000010000" w:firstRow="0" w:lastRow="0" w:firstColumn="0" w:lastColumn="0" w:oddVBand="0" w:evenVBand="0" w:oddHBand="0" w:evenHBand="1" w:firstRowFirstColumn="0" w:firstRowLastColumn="0" w:lastRowFirstColumn="0" w:lastRowLastColumn="0"/>
            </w:pPr>
            <w:r>
              <w:t>69.73</w:t>
            </w:r>
          </w:p>
        </w:tc>
        <w:tc>
          <w:tcPr>
            <w:tcW w:w="1242" w:type="dxa"/>
          </w:tcPr>
          <w:p w:rsidR="00C93518" w:rsidRDefault="00725B8B" w:rsidP="003B6BBA">
            <w:pPr>
              <w:cnfStyle w:val="000000010000" w:firstRow="0" w:lastRow="0" w:firstColumn="0" w:lastColumn="0" w:oddVBand="0" w:evenVBand="0" w:oddHBand="0" w:evenHBand="1" w:firstRowFirstColumn="0" w:firstRowLastColumn="0" w:lastRowFirstColumn="0" w:lastRowLastColumn="0"/>
            </w:pPr>
            <w:r>
              <w:t>69.60</w:t>
            </w:r>
          </w:p>
        </w:tc>
        <w:tc>
          <w:tcPr>
            <w:tcW w:w="1242" w:type="dxa"/>
          </w:tcPr>
          <w:p w:rsidR="00C93518" w:rsidRDefault="00725B8B" w:rsidP="003B6BBA">
            <w:pPr>
              <w:cnfStyle w:val="000000010000" w:firstRow="0" w:lastRow="0" w:firstColumn="0" w:lastColumn="0" w:oddVBand="0" w:evenVBand="0" w:oddHBand="0" w:evenHBand="1" w:firstRowFirstColumn="0" w:firstRowLastColumn="0" w:lastRowFirstColumn="0" w:lastRowLastColumn="0"/>
            </w:pPr>
            <w:r>
              <w:t>347.40</w:t>
            </w:r>
          </w:p>
        </w:tc>
      </w:tr>
      <w:tr w:rsidR="00C93518" w:rsidTr="00C93518">
        <w:tc>
          <w:tcPr>
            <w:cnfStyle w:val="001000000000" w:firstRow="0" w:lastRow="0" w:firstColumn="1" w:lastColumn="0" w:oddVBand="0" w:evenVBand="0" w:oddHBand="0" w:evenHBand="0" w:firstRowFirstColumn="0" w:firstRowLastColumn="0" w:lastRowFirstColumn="0" w:lastRowLastColumn="0"/>
            <w:tcW w:w="1241" w:type="dxa"/>
          </w:tcPr>
          <w:p w:rsidR="00C93518" w:rsidRDefault="00C93518" w:rsidP="003B6BBA">
            <w:r>
              <w:t>AGN's revised proposal</w:t>
            </w:r>
          </w:p>
        </w:tc>
        <w:tc>
          <w:tcPr>
            <w:tcW w:w="1242" w:type="dxa"/>
          </w:tcPr>
          <w:p w:rsidR="00C93518" w:rsidRDefault="00035607" w:rsidP="003B6BBA">
            <w:pPr>
              <w:cnfStyle w:val="000000000000" w:firstRow="0" w:lastRow="0" w:firstColumn="0" w:lastColumn="0" w:oddVBand="0" w:evenVBand="0" w:oddHBand="0" w:evenHBand="0" w:firstRowFirstColumn="0" w:firstRowLastColumn="0" w:lastRowFirstColumn="0" w:lastRowLastColumn="0"/>
            </w:pPr>
            <w:r>
              <w:t>70.72</w:t>
            </w:r>
          </w:p>
        </w:tc>
        <w:tc>
          <w:tcPr>
            <w:tcW w:w="1242" w:type="dxa"/>
          </w:tcPr>
          <w:p w:rsidR="00C93518" w:rsidRDefault="00035607" w:rsidP="003B6BBA">
            <w:pPr>
              <w:cnfStyle w:val="000000000000" w:firstRow="0" w:lastRow="0" w:firstColumn="0" w:lastColumn="0" w:oddVBand="0" w:evenVBand="0" w:oddHBand="0" w:evenHBand="0" w:firstRowFirstColumn="0" w:firstRowLastColumn="0" w:lastRowFirstColumn="0" w:lastRowLastColumn="0"/>
            </w:pPr>
            <w:r>
              <w:t>72.10</w:t>
            </w:r>
          </w:p>
        </w:tc>
        <w:tc>
          <w:tcPr>
            <w:tcW w:w="1242" w:type="dxa"/>
          </w:tcPr>
          <w:p w:rsidR="00C93518" w:rsidRDefault="00035607" w:rsidP="003B6BBA">
            <w:pPr>
              <w:cnfStyle w:val="000000000000" w:firstRow="0" w:lastRow="0" w:firstColumn="0" w:lastColumn="0" w:oddVBand="0" w:evenVBand="0" w:oddHBand="0" w:evenHBand="0" w:firstRowFirstColumn="0" w:firstRowLastColumn="0" w:lastRowFirstColumn="0" w:lastRowLastColumn="0"/>
            </w:pPr>
            <w:r>
              <w:t>73.51</w:t>
            </w:r>
          </w:p>
        </w:tc>
        <w:tc>
          <w:tcPr>
            <w:tcW w:w="1242" w:type="dxa"/>
          </w:tcPr>
          <w:p w:rsidR="00C93518" w:rsidRDefault="00035607" w:rsidP="003B6BBA">
            <w:pPr>
              <w:cnfStyle w:val="000000000000" w:firstRow="0" w:lastRow="0" w:firstColumn="0" w:lastColumn="0" w:oddVBand="0" w:evenVBand="0" w:oddHBand="0" w:evenHBand="0" w:firstRowFirstColumn="0" w:firstRowLastColumn="0" w:lastRowFirstColumn="0" w:lastRowLastColumn="0"/>
            </w:pPr>
            <w:r>
              <w:t>73.56</w:t>
            </w:r>
          </w:p>
        </w:tc>
        <w:tc>
          <w:tcPr>
            <w:tcW w:w="1242" w:type="dxa"/>
          </w:tcPr>
          <w:p w:rsidR="00C93518" w:rsidRDefault="00035607" w:rsidP="003B6BBA">
            <w:pPr>
              <w:cnfStyle w:val="000000000000" w:firstRow="0" w:lastRow="0" w:firstColumn="0" w:lastColumn="0" w:oddVBand="0" w:evenVBand="0" w:oddHBand="0" w:evenHBand="0" w:firstRowFirstColumn="0" w:firstRowLastColumn="0" w:lastRowFirstColumn="0" w:lastRowLastColumn="0"/>
            </w:pPr>
            <w:r>
              <w:t>73.73</w:t>
            </w:r>
          </w:p>
        </w:tc>
        <w:tc>
          <w:tcPr>
            <w:tcW w:w="1242" w:type="dxa"/>
          </w:tcPr>
          <w:p w:rsidR="00C93518" w:rsidRDefault="00035607" w:rsidP="003B6BBA">
            <w:pPr>
              <w:cnfStyle w:val="000000000000" w:firstRow="0" w:lastRow="0" w:firstColumn="0" w:lastColumn="0" w:oddVBand="0" w:evenVBand="0" w:oddHBand="0" w:evenHBand="0" w:firstRowFirstColumn="0" w:firstRowLastColumn="0" w:lastRowFirstColumn="0" w:lastRowLastColumn="0"/>
            </w:pPr>
            <w:r>
              <w:t>363.62</w:t>
            </w:r>
          </w:p>
        </w:tc>
      </w:tr>
      <w:tr w:rsidR="000A2CAA" w:rsidTr="00C935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0A2CAA" w:rsidRDefault="000A2CAA" w:rsidP="003B6BBA">
            <w:r>
              <w:t>AER final decision</w:t>
            </w:r>
          </w:p>
        </w:tc>
        <w:tc>
          <w:tcPr>
            <w:tcW w:w="1242" w:type="dxa"/>
          </w:tcPr>
          <w:p w:rsidR="000A2CAA" w:rsidRDefault="000A2CAA" w:rsidP="003B6BBA">
            <w:pPr>
              <w:cnfStyle w:val="000000010000" w:firstRow="0" w:lastRow="0" w:firstColumn="0" w:lastColumn="0" w:oddVBand="0" w:evenVBand="0" w:oddHBand="0" w:evenHBand="1" w:firstRowFirstColumn="0" w:firstRowLastColumn="0" w:lastRowFirstColumn="0" w:lastRowLastColumn="0"/>
            </w:pPr>
            <w:r>
              <w:t>70.72</w:t>
            </w:r>
          </w:p>
        </w:tc>
        <w:tc>
          <w:tcPr>
            <w:tcW w:w="1242" w:type="dxa"/>
          </w:tcPr>
          <w:p w:rsidR="000A2CAA" w:rsidRDefault="000A2CAA" w:rsidP="003B6BBA">
            <w:pPr>
              <w:cnfStyle w:val="000000010000" w:firstRow="0" w:lastRow="0" w:firstColumn="0" w:lastColumn="0" w:oddVBand="0" w:evenVBand="0" w:oddHBand="0" w:evenHBand="1" w:firstRowFirstColumn="0" w:firstRowLastColumn="0" w:lastRowFirstColumn="0" w:lastRowLastColumn="0"/>
            </w:pPr>
            <w:r>
              <w:t>72.10</w:t>
            </w:r>
          </w:p>
        </w:tc>
        <w:tc>
          <w:tcPr>
            <w:tcW w:w="1242" w:type="dxa"/>
          </w:tcPr>
          <w:p w:rsidR="000A2CAA" w:rsidRDefault="000A2CAA" w:rsidP="003B6BBA">
            <w:pPr>
              <w:cnfStyle w:val="000000010000" w:firstRow="0" w:lastRow="0" w:firstColumn="0" w:lastColumn="0" w:oddVBand="0" w:evenVBand="0" w:oddHBand="0" w:evenHBand="1" w:firstRowFirstColumn="0" w:firstRowLastColumn="0" w:lastRowFirstColumn="0" w:lastRowLastColumn="0"/>
            </w:pPr>
            <w:r>
              <w:t>73.51</w:t>
            </w:r>
          </w:p>
        </w:tc>
        <w:tc>
          <w:tcPr>
            <w:tcW w:w="1242" w:type="dxa"/>
          </w:tcPr>
          <w:p w:rsidR="000A2CAA" w:rsidRDefault="000A2CAA" w:rsidP="003B6BBA">
            <w:pPr>
              <w:cnfStyle w:val="000000010000" w:firstRow="0" w:lastRow="0" w:firstColumn="0" w:lastColumn="0" w:oddVBand="0" w:evenVBand="0" w:oddHBand="0" w:evenHBand="1" w:firstRowFirstColumn="0" w:firstRowLastColumn="0" w:lastRowFirstColumn="0" w:lastRowLastColumn="0"/>
            </w:pPr>
            <w:r>
              <w:t>73.56</w:t>
            </w:r>
          </w:p>
        </w:tc>
        <w:tc>
          <w:tcPr>
            <w:tcW w:w="1242" w:type="dxa"/>
          </w:tcPr>
          <w:p w:rsidR="000A2CAA" w:rsidRDefault="000A2CAA" w:rsidP="003B6BBA">
            <w:pPr>
              <w:cnfStyle w:val="000000010000" w:firstRow="0" w:lastRow="0" w:firstColumn="0" w:lastColumn="0" w:oddVBand="0" w:evenVBand="0" w:oddHBand="0" w:evenHBand="1" w:firstRowFirstColumn="0" w:firstRowLastColumn="0" w:lastRowFirstColumn="0" w:lastRowLastColumn="0"/>
            </w:pPr>
            <w:r>
              <w:t>73.73</w:t>
            </w:r>
          </w:p>
        </w:tc>
        <w:tc>
          <w:tcPr>
            <w:tcW w:w="1242" w:type="dxa"/>
          </w:tcPr>
          <w:p w:rsidR="000A2CAA" w:rsidRDefault="000A2CAA" w:rsidP="003B6BBA">
            <w:pPr>
              <w:cnfStyle w:val="000000010000" w:firstRow="0" w:lastRow="0" w:firstColumn="0" w:lastColumn="0" w:oddVBand="0" w:evenVBand="0" w:oddHBand="0" w:evenHBand="1" w:firstRowFirstColumn="0" w:firstRowLastColumn="0" w:lastRowFirstColumn="0" w:lastRowLastColumn="0"/>
            </w:pPr>
            <w:r>
              <w:t>363.62</w:t>
            </w:r>
          </w:p>
        </w:tc>
      </w:tr>
    </w:tbl>
    <w:p w:rsidR="00046E9D" w:rsidRDefault="00046E9D" w:rsidP="00046E9D">
      <w:pPr>
        <w:pStyle w:val="Source"/>
      </w:pPr>
      <w:r>
        <w:t xml:space="preserve">Source: </w:t>
      </w:r>
      <w:r w:rsidR="004F6349">
        <w:tab/>
      </w:r>
      <w:r>
        <w:t>AER analysis</w:t>
      </w:r>
      <w:r w:rsidR="004F6349">
        <w:t>.</w:t>
      </w:r>
    </w:p>
    <w:p w:rsidR="00C93518" w:rsidRDefault="00046E9D" w:rsidP="00046E9D">
      <w:pPr>
        <w:pStyle w:val="Source"/>
      </w:pPr>
      <w:r>
        <w:t xml:space="preserve">Note: </w:t>
      </w:r>
      <w:r w:rsidR="004F6349">
        <w:tab/>
      </w:r>
      <w:r>
        <w:t>Excludes debt raising costs</w:t>
      </w:r>
      <w:r w:rsidR="00552DD2">
        <w:t>.</w:t>
      </w:r>
      <w:r w:rsidR="00636005">
        <w:rPr>
          <w:rStyle w:val="FootnoteReference"/>
        </w:rPr>
        <w:footnoteReference w:id="3"/>
      </w:r>
      <w:r w:rsidR="00725B8B">
        <w:t xml:space="preserve"> </w:t>
      </w:r>
      <w:r w:rsidR="00552DD2">
        <w:t>N</w:t>
      </w:r>
      <w:r w:rsidR="00725B8B">
        <w:t xml:space="preserve">umbers may not add </w:t>
      </w:r>
      <w:r w:rsidR="00552DD2">
        <w:t xml:space="preserve">up </w:t>
      </w:r>
      <w:r w:rsidR="00725B8B">
        <w:t>due to rounding.</w:t>
      </w:r>
    </w:p>
    <w:p w:rsidR="003B6BBA" w:rsidRDefault="00836BBB" w:rsidP="003B6BBA">
      <w:r>
        <w:fldChar w:fldCharType="begin"/>
      </w:r>
      <w:r>
        <w:instrText xml:space="preserve"> REF _Ref445206866 \h </w:instrText>
      </w:r>
      <w:r>
        <w:fldChar w:fldCharType="separate"/>
      </w:r>
      <w:r w:rsidR="004F6349">
        <w:t xml:space="preserve">Figure </w:t>
      </w:r>
      <w:r w:rsidR="004F6349">
        <w:rPr>
          <w:noProof/>
        </w:rPr>
        <w:t>7</w:t>
      </w:r>
      <w:r w:rsidR="004F6349">
        <w:t>.</w:t>
      </w:r>
      <w:r w:rsidR="004F6349">
        <w:rPr>
          <w:noProof/>
        </w:rPr>
        <w:t>1</w:t>
      </w:r>
      <w:r>
        <w:fldChar w:fldCharType="end"/>
      </w:r>
      <w:r>
        <w:t xml:space="preserve"> </w:t>
      </w:r>
      <w:r w:rsidR="003B6BBA" w:rsidRPr="003B6BBA">
        <w:t>shows our final decision compared to A</w:t>
      </w:r>
      <w:r w:rsidR="00046E9D">
        <w:t>GN</w:t>
      </w:r>
      <w:r w:rsidR="003B6BBA" w:rsidRPr="003B6BBA">
        <w:t>'s proposal, its pas</w:t>
      </w:r>
      <w:r w:rsidR="00046E9D">
        <w:t>t</w:t>
      </w:r>
      <w:r w:rsidR="003B6BBA" w:rsidRPr="003B6BBA">
        <w:t xml:space="preserve"> allowances and past actual expenditure.</w:t>
      </w:r>
    </w:p>
    <w:p w:rsidR="009669EE" w:rsidRDefault="009669EE" w:rsidP="009669EE">
      <w:pPr>
        <w:pStyle w:val="Caption"/>
      </w:pPr>
      <w:bookmarkStart w:id="16" w:name="_Ref445206866"/>
      <w:bookmarkStart w:id="17" w:name="_Ref444851225"/>
      <w:proofErr w:type="gramStart"/>
      <w:r>
        <w:t xml:space="preserve">Figure </w:t>
      </w:r>
      <w:r w:rsidR="00961E5E">
        <w:fldChar w:fldCharType="begin"/>
      </w:r>
      <w:r w:rsidR="00961E5E">
        <w:instrText xml:space="preserve"> STYLEREF 1 \s </w:instrText>
      </w:r>
      <w:r w:rsidR="00961E5E">
        <w:fldChar w:fldCharType="separate"/>
      </w:r>
      <w:r w:rsidR="004F6349">
        <w:rPr>
          <w:noProof/>
        </w:rPr>
        <w:t>7</w:t>
      </w:r>
      <w:r w:rsidR="00961E5E">
        <w:rPr>
          <w:noProof/>
        </w:rPr>
        <w:fldChar w:fldCharType="end"/>
      </w:r>
      <w:r w:rsidR="004F6349">
        <w:t>.</w:t>
      </w:r>
      <w:proofErr w:type="gramEnd"/>
      <w:r w:rsidR="004F6349">
        <w:fldChar w:fldCharType="begin"/>
      </w:r>
      <w:r w:rsidR="004F6349">
        <w:instrText xml:space="preserve"> SEQ Figure \* ARABIC \s 1 </w:instrText>
      </w:r>
      <w:r w:rsidR="004F6349">
        <w:fldChar w:fldCharType="separate"/>
      </w:r>
      <w:r w:rsidR="004F6349">
        <w:rPr>
          <w:noProof/>
        </w:rPr>
        <w:t>1</w:t>
      </w:r>
      <w:r w:rsidR="004F6349">
        <w:fldChar w:fldCharType="end"/>
      </w:r>
      <w:bookmarkEnd w:id="16"/>
      <w:r w:rsidRPr="00836BBB">
        <w:t xml:space="preserve"> </w:t>
      </w:r>
      <w:r w:rsidRPr="003B6BBA">
        <w:t xml:space="preserve">Final decision compared to </w:t>
      </w:r>
      <w:r>
        <w:t>AGN</w:t>
      </w:r>
      <w:r w:rsidRPr="003B6BBA">
        <w:t>'s past and proposed opex ($million, 2015–16)</w:t>
      </w:r>
    </w:p>
    <w:bookmarkEnd w:id="17"/>
    <w:p w:rsidR="00F96411" w:rsidRDefault="00F96411" w:rsidP="003B6BBA">
      <w:pPr>
        <w:rPr>
          <w:rStyle w:val="AERtexthighlight"/>
        </w:rPr>
      </w:pPr>
      <w:r w:rsidRPr="00F96411">
        <w:rPr>
          <w:noProof/>
          <w:lang w:eastAsia="en-AU"/>
        </w:rPr>
        <w:drawing>
          <wp:inline distT="0" distB="0" distL="0" distR="0" wp14:anchorId="17A59955" wp14:editId="46F7FD1D">
            <wp:extent cx="5382895" cy="3335678"/>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3335678"/>
                    </a:xfrm>
                    <a:prstGeom prst="rect">
                      <a:avLst/>
                    </a:prstGeom>
                    <a:noFill/>
                    <a:ln>
                      <a:noFill/>
                    </a:ln>
                  </pic:spPr>
                </pic:pic>
              </a:graphicData>
            </a:graphic>
          </wp:inline>
        </w:drawing>
      </w:r>
    </w:p>
    <w:p w:rsidR="002A3285" w:rsidRPr="000A2CAA" w:rsidRDefault="002A3285" w:rsidP="000A2CAA">
      <w:pPr>
        <w:pStyle w:val="Source"/>
        <w:rPr>
          <w:rStyle w:val="AERtexthighlight"/>
          <w:shd w:val="clear" w:color="auto" w:fill="auto"/>
        </w:rPr>
      </w:pPr>
      <w:r w:rsidRPr="000A2CAA">
        <w:rPr>
          <w:rStyle w:val="AERtexthighlight"/>
          <w:shd w:val="clear" w:color="auto" w:fill="auto"/>
        </w:rPr>
        <w:t>Source:</w:t>
      </w:r>
      <w:r w:rsidRPr="000A2CAA">
        <w:rPr>
          <w:rStyle w:val="AERtexthighlight"/>
          <w:shd w:val="clear" w:color="auto" w:fill="auto"/>
        </w:rPr>
        <w:tab/>
        <w:t>AER analysis</w:t>
      </w:r>
    </w:p>
    <w:p w:rsidR="00A2303E" w:rsidRDefault="00252A8A" w:rsidP="00A2303E">
      <w:pPr>
        <w:pStyle w:val="Heading2"/>
      </w:pPr>
      <w:bookmarkStart w:id="18" w:name="_Toc419366914"/>
      <w:bookmarkStart w:id="19" w:name="_Toc451527263"/>
      <w:r>
        <w:t>AGN's</w:t>
      </w:r>
      <w:r w:rsidR="00A2303E">
        <w:t xml:space="preserve"> </w:t>
      </w:r>
      <w:r w:rsidR="007A0F6A">
        <w:t xml:space="preserve">revised </w:t>
      </w:r>
      <w:r w:rsidR="00A2303E">
        <w:t>proposal</w:t>
      </w:r>
      <w:bookmarkEnd w:id="18"/>
      <w:bookmarkEnd w:id="19"/>
    </w:p>
    <w:p w:rsidR="00293157" w:rsidRDefault="00293157" w:rsidP="00293157">
      <w:r>
        <w:t>AGN's revised opex forecast was $364 million ($2015–16) over the access arrangement period</w:t>
      </w:r>
      <w:r w:rsidR="00E77C74">
        <w:t xml:space="preserve">. This is </w:t>
      </w:r>
      <w:r>
        <w:t>an increase of 2 per cent</w:t>
      </w:r>
      <w:r w:rsidRPr="00AE59D7">
        <w:t xml:space="preserve"> </w:t>
      </w:r>
      <w:r>
        <w:t>on its</w:t>
      </w:r>
      <w:r w:rsidRPr="00AE59D7">
        <w:t xml:space="preserve"> initial access arrangement proposal</w:t>
      </w:r>
      <w:r w:rsidRPr="0059338E">
        <w:t>.</w:t>
      </w:r>
      <w:r>
        <w:rPr>
          <w:rStyle w:val="FootnoteReference"/>
        </w:rPr>
        <w:footnoteReference w:id="4"/>
      </w:r>
    </w:p>
    <w:p w:rsidR="00293157" w:rsidRDefault="00293157" w:rsidP="00293157">
      <w:r>
        <w:t xml:space="preserve">In its revised proposal AGN adopted the same </w:t>
      </w:r>
      <w:r w:rsidR="009023D4">
        <w:t xml:space="preserve">forecasting </w:t>
      </w:r>
      <w:r>
        <w:t>approach as in its initial proposal with some revisions</w:t>
      </w:r>
      <w:r w:rsidR="009023D4">
        <w:t xml:space="preserve"> to the inputs</w:t>
      </w:r>
      <w:r>
        <w:t>:</w:t>
      </w:r>
      <w:r>
        <w:rPr>
          <w:rStyle w:val="FootnoteReference"/>
        </w:rPr>
        <w:footnoteReference w:id="5"/>
      </w:r>
    </w:p>
    <w:p w:rsidR="00293157" w:rsidRDefault="00293157" w:rsidP="00293157">
      <w:pPr>
        <w:pStyle w:val="AERbulletlistfirststyle"/>
      </w:pPr>
      <w:r>
        <w:t>2014</w:t>
      </w:r>
      <w:r w:rsidR="00B50ABF">
        <w:t>–</w:t>
      </w:r>
      <w:r w:rsidRPr="002239E1">
        <w:t>15 opex</w:t>
      </w:r>
      <w:r>
        <w:t xml:space="preserve"> updated to reflect actual opex</w:t>
      </w:r>
    </w:p>
    <w:p w:rsidR="00293157" w:rsidRDefault="00552DD2" w:rsidP="00293157">
      <w:pPr>
        <w:pStyle w:val="AERbulletlistfirststyle"/>
      </w:pPr>
      <w:r>
        <w:t>U</w:t>
      </w:r>
      <w:r w:rsidR="009023D4">
        <w:t>naccounted for gas (U</w:t>
      </w:r>
      <w:r w:rsidR="00293157">
        <w:t>AFG</w:t>
      </w:r>
      <w:r w:rsidR="009023D4">
        <w:t xml:space="preserve">) - AGN updated UAFG quantities </w:t>
      </w:r>
      <w:r w:rsidR="00293157">
        <w:t xml:space="preserve">to reflect </w:t>
      </w:r>
      <w:r w:rsidR="00F044FD">
        <w:t xml:space="preserve">its </w:t>
      </w:r>
      <w:r w:rsidR="00293157">
        <w:t>revised mains replacement program</w:t>
      </w:r>
      <w:r w:rsidR="009023D4">
        <w:t>, and UAFG prices to reflect more recent price forecasts</w:t>
      </w:r>
      <w:r w:rsidR="006113CC">
        <w:t>.</w:t>
      </w:r>
    </w:p>
    <w:p w:rsidR="00293157" w:rsidRDefault="00293157" w:rsidP="00293157">
      <w:pPr>
        <w:pStyle w:val="AERbulletlistfirststyle"/>
      </w:pPr>
      <w:r>
        <w:t xml:space="preserve">Rate of change - AGN accepted our draft decision on input cost escalation and output growth but proposed a productivity adjustment of zero. </w:t>
      </w:r>
    </w:p>
    <w:p w:rsidR="00293157" w:rsidRDefault="00293157" w:rsidP="00293157">
      <w:pPr>
        <w:pStyle w:val="AERbulletlistfirststyle"/>
      </w:pPr>
      <w:r>
        <w:t xml:space="preserve">Step changes - AGN re-proposed one step change and conditionally re-proposed another step change. </w:t>
      </w:r>
    </w:p>
    <w:p w:rsidR="00293157" w:rsidRDefault="00293157" w:rsidP="00293157">
      <w:pPr>
        <w:pStyle w:val="AERbulletlistfirststyle"/>
      </w:pPr>
      <w:r>
        <w:t>Re-</w:t>
      </w:r>
      <w:r w:rsidR="00F044FD">
        <w:t xml:space="preserve">categorisation </w:t>
      </w:r>
      <w:r>
        <w:t xml:space="preserve">of projects - </w:t>
      </w:r>
      <w:r w:rsidR="009601F0">
        <w:t xml:space="preserve">consistent with our draft decision, </w:t>
      </w:r>
      <w:r>
        <w:t>AGN accepted the re-</w:t>
      </w:r>
      <w:r w:rsidR="00F044FD">
        <w:t xml:space="preserve">categorisation </w:t>
      </w:r>
      <w:r>
        <w:t xml:space="preserve">of three projects to opex </w:t>
      </w:r>
      <w:r w:rsidR="009601F0">
        <w:t xml:space="preserve">and their </w:t>
      </w:r>
      <w:r>
        <w:t xml:space="preserve">incorporation into </w:t>
      </w:r>
      <w:r w:rsidR="009601F0">
        <w:t xml:space="preserve">the </w:t>
      </w:r>
      <w:r>
        <w:t>base year</w:t>
      </w:r>
      <w:r w:rsidR="009601F0">
        <w:t xml:space="preserve"> opex</w:t>
      </w:r>
      <w:r>
        <w:t>.</w:t>
      </w:r>
      <w:r>
        <w:rPr>
          <w:rStyle w:val="FootnoteReference"/>
        </w:rPr>
        <w:footnoteReference w:id="6"/>
      </w:r>
      <w:r>
        <w:t xml:space="preserve"> </w:t>
      </w:r>
    </w:p>
    <w:p w:rsidR="00E073CA" w:rsidRPr="00E073CA" w:rsidRDefault="00E073CA" w:rsidP="00E073CA">
      <w:pPr>
        <w:rPr>
          <w:rStyle w:val="AERtexthighlight"/>
        </w:rPr>
      </w:pPr>
      <w:r w:rsidRPr="001760BF">
        <w:t>We assess</w:t>
      </w:r>
      <w:r w:rsidR="00552DD2">
        <w:t>ed</w:t>
      </w:r>
      <w:r w:rsidRPr="001760BF">
        <w:t xml:space="preserve"> A</w:t>
      </w:r>
      <w:r>
        <w:t>GN</w:t>
      </w:r>
      <w:r w:rsidRPr="001760BF">
        <w:t>'s revised opex forecast against our alternative estimate of opex in section</w:t>
      </w:r>
      <w:r w:rsidR="004F6CB4">
        <w:t xml:space="preserve"> 7.4</w:t>
      </w:r>
      <w:r w:rsidRPr="001760BF">
        <w:t>. The approach we use</w:t>
      </w:r>
      <w:r w:rsidR="00D65609">
        <w:t>d</w:t>
      </w:r>
      <w:r w:rsidRPr="001760BF">
        <w:t xml:space="preserve"> to assess A</w:t>
      </w:r>
      <w:r>
        <w:t>GN</w:t>
      </w:r>
      <w:r w:rsidRPr="001760BF">
        <w:t xml:space="preserve">'s </w:t>
      </w:r>
      <w:r w:rsidR="00AC4AAF">
        <w:t xml:space="preserve">opex </w:t>
      </w:r>
      <w:r w:rsidRPr="001760BF">
        <w:t>forecast is outlined in section</w:t>
      </w:r>
      <w:r w:rsidR="00F044FD">
        <w:t> </w:t>
      </w:r>
      <w:r w:rsidR="004F6CB4">
        <w:fldChar w:fldCharType="begin"/>
      </w:r>
      <w:r w:rsidR="004F6CB4">
        <w:instrText xml:space="preserve"> REF _Ref444775149 \r \h </w:instrText>
      </w:r>
      <w:r w:rsidR="004F6CB4">
        <w:fldChar w:fldCharType="separate"/>
      </w:r>
      <w:r w:rsidR="00D51F0F">
        <w:t>7.3</w:t>
      </w:r>
      <w:r w:rsidR="004F6CB4">
        <w:fldChar w:fldCharType="end"/>
      </w:r>
      <w:r w:rsidRPr="001760BF">
        <w:t>.</w:t>
      </w:r>
    </w:p>
    <w:p w:rsidR="00A2303E" w:rsidRDefault="00A2303E" w:rsidP="00A2303E">
      <w:pPr>
        <w:pStyle w:val="Heading2"/>
      </w:pPr>
      <w:bookmarkStart w:id="20" w:name="_Toc408404322"/>
      <w:bookmarkStart w:id="21" w:name="_Toc419366915"/>
      <w:bookmarkStart w:id="22" w:name="_Ref444775149"/>
      <w:bookmarkStart w:id="23" w:name="_Toc451527264"/>
      <w:r w:rsidRPr="0074565D">
        <w:t>AER’s assessment approach</w:t>
      </w:r>
      <w:bookmarkEnd w:id="20"/>
      <w:bookmarkEnd w:id="21"/>
      <w:bookmarkEnd w:id="22"/>
      <w:bookmarkEnd w:id="23"/>
    </w:p>
    <w:p w:rsidR="000E31D8" w:rsidRPr="00AB7253" w:rsidRDefault="000E31D8" w:rsidP="000E31D8">
      <w:bookmarkStart w:id="24" w:name="_Toc408404324"/>
      <w:bookmarkStart w:id="25" w:name="_Toc419366917"/>
      <w:r>
        <w:t>We</w:t>
      </w:r>
      <w:r w:rsidRPr="00AB7253">
        <w:t xml:space="preserve"> decid</w:t>
      </w:r>
      <w:r>
        <w:t>e</w:t>
      </w:r>
      <w:r w:rsidRPr="00AB7253">
        <w:t xml:space="preserve"> whether or not to accept a service provider's total forecast opex proposal. We approve the service provider's forecast opex if we are satisfied that it is consistent with </w:t>
      </w:r>
      <w:r>
        <w:t xml:space="preserve">the </w:t>
      </w:r>
      <w:r w:rsidRPr="00AB7253">
        <w:t xml:space="preserve">criteria governing operating expenditure </w:t>
      </w:r>
      <w:r>
        <w:t xml:space="preserve">(the </w:t>
      </w:r>
      <w:r w:rsidRPr="00AB7253">
        <w:t>opex</w:t>
      </w:r>
      <w:r>
        <w:t xml:space="preserve"> criteria)</w:t>
      </w:r>
      <w:r w:rsidR="007503B4">
        <w:t xml:space="preserve"> outlined in the NGR</w:t>
      </w:r>
      <w:r w:rsidRPr="00AB7253">
        <w:t>.</w:t>
      </w:r>
      <w:r w:rsidRPr="0018406B">
        <w:rPr>
          <w:rStyle w:val="AERsuperscript"/>
          <w:sz w:val="22"/>
        </w:rPr>
        <w:footnoteReference w:id="7"/>
      </w:r>
      <w:r w:rsidRPr="00AB7253">
        <w:t xml:space="preserve"> </w:t>
      </w:r>
    </w:p>
    <w:p w:rsidR="000E31D8" w:rsidRDefault="007503B4" w:rsidP="000E31D8">
      <w:pPr>
        <w:pStyle w:val="AERquoteindent1"/>
      </w:pPr>
      <w:proofErr w:type="gramStart"/>
      <w:r>
        <w:t xml:space="preserve">Rule </w:t>
      </w:r>
      <w:r w:rsidR="000E31D8" w:rsidRPr="00AB7253">
        <w:t>91.</w:t>
      </w:r>
      <w:proofErr w:type="gramEnd"/>
      <w:r w:rsidR="000E31D8" w:rsidRPr="00AB7253">
        <w:t xml:space="preserve"> Criteria governing operating expenditure</w:t>
      </w:r>
    </w:p>
    <w:p w:rsidR="000E31D8" w:rsidRPr="000E31D8" w:rsidRDefault="000E31D8" w:rsidP="006420EA">
      <w:pPr>
        <w:pStyle w:val="AERquoteindent2"/>
      </w:pPr>
      <w:r>
        <w:t>(1)</w:t>
      </w:r>
      <w:r>
        <w:tab/>
        <w:t>Operating</w:t>
      </w:r>
      <w:r w:rsidRPr="000E31D8">
        <w:t xml:space="preserve"> expenditure must be as such as would be incurred by a prudent service provider acting efficiently</w:t>
      </w:r>
      <w:r w:rsidR="00D4123B">
        <w:t>, in accordance with accepted good industry practice, to achieve</w:t>
      </w:r>
      <w:r w:rsidRPr="000E31D8">
        <w:t xml:space="preserve"> the lowest sustainable cost of delivering pipeline services</w:t>
      </w:r>
      <w:r w:rsidR="009601F0">
        <w:t>.</w:t>
      </w:r>
    </w:p>
    <w:p w:rsidR="000E31D8" w:rsidRPr="00AB7253" w:rsidRDefault="000E31D8" w:rsidP="000E31D8">
      <w:r w:rsidRPr="00AB7253">
        <w:t xml:space="preserve">In determining whether forecast opex is consistent with the opex </w:t>
      </w:r>
      <w:r>
        <w:t xml:space="preserve">criteria </w:t>
      </w:r>
      <w:r w:rsidRPr="00AB7253">
        <w:t>we have regard to</w:t>
      </w:r>
      <w:r>
        <w:t xml:space="preserve"> the criteria for</w:t>
      </w:r>
      <w:r w:rsidRPr="00AB7253">
        <w:t xml:space="preserve"> forecasts and estimates.</w:t>
      </w:r>
    </w:p>
    <w:p w:rsidR="000E31D8" w:rsidRPr="00AB7253" w:rsidRDefault="007503B4" w:rsidP="000E31D8">
      <w:pPr>
        <w:pStyle w:val="AERquoteindent1"/>
      </w:pPr>
      <w:proofErr w:type="gramStart"/>
      <w:r>
        <w:t xml:space="preserve">Rule </w:t>
      </w:r>
      <w:r w:rsidR="000E31D8" w:rsidRPr="00AB7253">
        <w:t>74.</w:t>
      </w:r>
      <w:proofErr w:type="gramEnd"/>
      <w:r w:rsidR="000E31D8" w:rsidRPr="00AB7253">
        <w:t xml:space="preserve"> Forecasts and estimates</w:t>
      </w:r>
    </w:p>
    <w:p w:rsidR="000E31D8" w:rsidRPr="000E31D8" w:rsidRDefault="000E31D8" w:rsidP="006420EA">
      <w:pPr>
        <w:pStyle w:val="AERquoteindent2"/>
      </w:pPr>
      <w:r>
        <w:t>(1)</w:t>
      </w:r>
      <w:r>
        <w:tab/>
      </w:r>
      <w:r w:rsidRPr="000E31D8">
        <w:t>Information in the nature of a forecast or estimate must be supported by a statement on the basis of the forecast or estimate</w:t>
      </w:r>
      <w:r w:rsidR="009601F0">
        <w:t>.</w:t>
      </w:r>
    </w:p>
    <w:p w:rsidR="000E31D8" w:rsidRDefault="000E31D8" w:rsidP="006420EA">
      <w:pPr>
        <w:pStyle w:val="AERquoteindent2"/>
      </w:pPr>
      <w:r>
        <w:t>(2)</w:t>
      </w:r>
      <w:r>
        <w:tab/>
        <w:t>A forecast or estimate</w:t>
      </w:r>
      <w:r w:rsidRPr="00AB7253">
        <w:t>:</w:t>
      </w:r>
    </w:p>
    <w:p w:rsidR="000E31D8" w:rsidRDefault="000E31D8" w:rsidP="006420EA">
      <w:pPr>
        <w:pStyle w:val="AERquoteindent3"/>
      </w:pPr>
      <w:r>
        <w:t>(a)</w:t>
      </w:r>
      <w:r>
        <w:tab/>
      </w:r>
      <w:proofErr w:type="gramStart"/>
      <w:r w:rsidRPr="00AB7253">
        <w:t>must</w:t>
      </w:r>
      <w:proofErr w:type="gramEnd"/>
      <w:r w:rsidRPr="00AB7253">
        <w:t xml:space="preserve"> be arrived at on a reasonable basis; and</w:t>
      </w:r>
    </w:p>
    <w:p w:rsidR="000E31D8" w:rsidRPr="000E31D8" w:rsidRDefault="000E31D8" w:rsidP="006420EA">
      <w:pPr>
        <w:pStyle w:val="AERquoteindent3"/>
      </w:pPr>
      <w:r>
        <w:t>(b)</w:t>
      </w:r>
      <w:r>
        <w:tab/>
      </w:r>
      <w:proofErr w:type="gramStart"/>
      <w:r w:rsidRPr="000E31D8">
        <w:t>must</w:t>
      </w:r>
      <w:proofErr w:type="gramEnd"/>
      <w:r w:rsidRPr="000E31D8">
        <w:t xml:space="preserve"> represent the best forecast or estimate possible in the circumstances. </w:t>
      </w:r>
    </w:p>
    <w:p w:rsidR="003C0BD9" w:rsidRDefault="003C0BD9" w:rsidP="003C0BD9">
      <w:r>
        <w:t xml:space="preserve">To assist us in forming a view on whether a service provider's proposed opex complies with the opex criteria we </w:t>
      </w:r>
      <w:r w:rsidRPr="00AB7253">
        <w:t xml:space="preserve">compare the service provider's total forecast opex with </w:t>
      </w:r>
      <w:r>
        <w:t>our alternative</w:t>
      </w:r>
      <w:r w:rsidRPr="00AB7253">
        <w:t xml:space="preserve"> estimate</w:t>
      </w:r>
      <w:r>
        <w:t xml:space="preserve"> of total opex.</w:t>
      </w:r>
      <w:r w:rsidRPr="00AB7253">
        <w:t xml:space="preserve"> </w:t>
      </w:r>
    </w:p>
    <w:p w:rsidR="003C0BD9" w:rsidRDefault="003C0BD9" w:rsidP="003C0BD9">
      <w:r w:rsidRPr="00AB7253">
        <w:t xml:space="preserve">Our estimate is unlikely to exactly match the service provider's forecast because the service provider may adopt </w:t>
      </w:r>
      <w:r>
        <w:t>a different</w:t>
      </w:r>
      <w:r w:rsidRPr="00AB7253">
        <w:t xml:space="preserve"> forecasting method</w:t>
      </w:r>
      <w:r>
        <w:t xml:space="preserve"> to us</w:t>
      </w:r>
      <w:r w:rsidRPr="00AB7253">
        <w:t>. However, if the service provider's inputs and assumptions are reasonable, its method should produce a forecast consistent with our estimate. Accordingly, part of our approach is to assess the service provider's forecasting method</w:t>
      </w:r>
      <w:r>
        <w:t xml:space="preserve"> as well as the inputs and assumptions it used to form its opex forecast</w:t>
      </w:r>
      <w:r w:rsidRPr="00AB7253">
        <w:t>.</w:t>
      </w:r>
    </w:p>
    <w:p w:rsidR="003C0BD9" w:rsidRDefault="003C0BD9" w:rsidP="003C0BD9">
      <w:r w:rsidRPr="00AB7253">
        <w:t>If a service provider's total forecast opex is sufficiently different to our estimate</w:t>
      </w:r>
      <w:r>
        <w:t xml:space="preserve">, we will examine the reasons for the difference. If </w:t>
      </w:r>
      <w:r w:rsidRPr="00AB7253">
        <w:t xml:space="preserve">there is no satisfactory explanation for this difference, we may form the view that the service provider's forecast </w:t>
      </w:r>
      <w:r>
        <w:t>does not comply</w:t>
      </w:r>
      <w:r w:rsidRPr="00AB7253">
        <w:t xml:space="preserve"> with the ope</w:t>
      </w:r>
      <w:r>
        <w:t>x criteria</w:t>
      </w:r>
      <w:r w:rsidRPr="00AB7253">
        <w:t xml:space="preserve">. </w:t>
      </w:r>
      <w:r>
        <w:t>If we are not satisfied that the proposed opex</w:t>
      </w:r>
      <w:r w:rsidRPr="00AB7253">
        <w:t xml:space="preserve"> co</w:t>
      </w:r>
      <w:r>
        <w:t>mplies</w:t>
      </w:r>
      <w:r w:rsidRPr="00AB7253">
        <w:t xml:space="preserve"> with the </w:t>
      </w:r>
      <w:r>
        <w:t>opex</w:t>
      </w:r>
      <w:r w:rsidRPr="00AB7253">
        <w:t xml:space="preserve"> criteria </w:t>
      </w:r>
      <w:r>
        <w:t>we use our alternative opex estimate as a</w:t>
      </w:r>
      <w:r w:rsidRPr="00AB7253">
        <w:t xml:space="preserve"> substitute.</w:t>
      </w:r>
      <w:r>
        <w:t xml:space="preserve"> </w:t>
      </w:r>
      <w:r w:rsidRPr="00AB7253">
        <w:t xml:space="preserve">Conversely, if </w:t>
      </w:r>
      <w:r>
        <w:t>the service provider's forecast is consistent with our</w:t>
      </w:r>
      <w:r w:rsidRPr="00AB7253">
        <w:t xml:space="preserve"> estimate</w:t>
      </w:r>
      <w:r>
        <w:t xml:space="preserve">, this may suggest </w:t>
      </w:r>
      <w:r w:rsidRPr="00AB7253">
        <w:t>that the service provider's forecast is consistent with the opex</w:t>
      </w:r>
      <w:r>
        <w:t xml:space="preserve"> criteria and we may accept the forecast</w:t>
      </w:r>
      <w:r w:rsidRPr="00AB7253">
        <w:t xml:space="preserve">. </w:t>
      </w:r>
    </w:p>
    <w:p w:rsidR="003C0BD9" w:rsidRPr="0064662A" w:rsidRDefault="003C0BD9" w:rsidP="003C0BD9">
      <w:r w:rsidRPr="00AB7253">
        <w:t xml:space="preserve">Whether or not we accept a service provider's forecast, we will provide the reasons for our </w:t>
      </w:r>
      <w:r w:rsidRPr="009F2670">
        <w:rPr>
          <w:rStyle w:val="AERbody"/>
        </w:rPr>
        <w:t>decision</w:t>
      </w:r>
      <w:r w:rsidRPr="00AB7253">
        <w:t>.</w:t>
      </w:r>
    </w:p>
    <w:p w:rsidR="000E31D8" w:rsidRDefault="000E31D8" w:rsidP="000E31D8">
      <w:pPr>
        <w:pStyle w:val="Heading3"/>
      </w:pPr>
      <w:bookmarkStart w:id="26" w:name="_Toc404169610"/>
      <w:bookmarkStart w:id="27" w:name="_Toc404612264"/>
      <w:bookmarkStart w:id="28" w:name="_Toc433726939"/>
      <w:bookmarkStart w:id="29" w:name="_Toc436042325"/>
      <w:bookmarkStart w:id="30" w:name="_Toc451527265"/>
      <w:r>
        <w:t>Building an alternative estimate of total forecast opex</w:t>
      </w:r>
      <w:bookmarkEnd w:id="26"/>
      <w:bookmarkEnd w:id="27"/>
      <w:bookmarkEnd w:id="28"/>
      <w:bookmarkEnd w:id="29"/>
      <w:bookmarkEnd w:id="30"/>
    </w:p>
    <w:p w:rsidR="000E31D8" w:rsidRPr="00AC472A" w:rsidRDefault="000E31D8" w:rsidP="000E31D8">
      <w:r w:rsidRPr="00AC472A">
        <w:t>Our approach to forming an alternative estimate of opex involves five key steps:</w:t>
      </w:r>
    </w:p>
    <w:p w:rsidR="000E31D8" w:rsidRDefault="000E31D8" w:rsidP="000E31D8">
      <w:pPr>
        <w:pStyle w:val="ListNumber"/>
        <w:numPr>
          <w:ilvl w:val="1"/>
          <w:numId w:val="24"/>
        </w:numPr>
      </w:pPr>
      <w:r>
        <w:t xml:space="preserve">We typically use the service provider's actual opex in a single year as the starting point for our assessment. While categories of opex can vary from year to year, total opex is relatively </w:t>
      </w:r>
      <w:r w:rsidRPr="006372D7">
        <w:rPr>
          <w:rStyle w:val="AERbody"/>
        </w:rPr>
        <w:t>recurrent.</w:t>
      </w:r>
      <w:r>
        <w:rPr>
          <w:rStyle w:val="FootnoteReference"/>
        </w:rPr>
        <w:footnoteReference w:id="8"/>
      </w:r>
      <w:r>
        <w:t xml:space="preserve"> </w:t>
      </w:r>
    </w:p>
    <w:p w:rsidR="000E31D8" w:rsidRDefault="000E31D8" w:rsidP="000E31D8">
      <w:pPr>
        <w:pStyle w:val="ListNumber"/>
        <w:numPr>
          <w:ilvl w:val="1"/>
          <w:numId w:val="24"/>
        </w:numPr>
      </w:pPr>
      <w:r>
        <w:t xml:space="preserve">We assess whether opex in that base year complies with the opex criteria. If necessary, we make an adjustment to the base year expenditure to ensure that it complies with the opex criteria. </w:t>
      </w:r>
    </w:p>
    <w:p w:rsidR="000E31D8" w:rsidRDefault="000E31D8" w:rsidP="000E31D8">
      <w:pPr>
        <w:pStyle w:val="ListNumber"/>
        <w:numPr>
          <w:ilvl w:val="1"/>
          <w:numId w:val="24"/>
        </w:numPr>
      </w:pPr>
      <w:r>
        <w:t xml:space="preserve">As opex tends to change over time due to price changes, output and productivity, we trend the adjusted base year expenditure forward over the access arrangement period to take account of these changes. We refer to this as the rate of change. </w:t>
      </w:r>
    </w:p>
    <w:p w:rsidR="000E31D8" w:rsidRDefault="000E31D8" w:rsidP="000E31D8">
      <w:pPr>
        <w:pStyle w:val="ListNumber"/>
        <w:numPr>
          <w:ilvl w:val="1"/>
          <w:numId w:val="24"/>
        </w:numPr>
      </w:pPr>
      <w:r>
        <w:t xml:space="preserve">We then adjust the </w:t>
      </w:r>
      <w:r w:rsidR="006420EA">
        <w:t>total opex</w:t>
      </w:r>
      <w:r>
        <w:t xml:space="preserve"> to account for any other forecast cost changes over the forthcoming access arrangement period that would meet the opex criteria. This may be due to new regulatory obligations and efficient capex/opex trade-offs. We call these step changes.</w:t>
      </w:r>
    </w:p>
    <w:p w:rsidR="000E31D8" w:rsidRDefault="000E31D8" w:rsidP="000E31D8">
      <w:pPr>
        <w:pStyle w:val="ListNumber"/>
        <w:numPr>
          <w:ilvl w:val="1"/>
          <w:numId w:val="24"/>
        </w:numPr>
      </w:pPr>
      <w:r>
        <w:t xml:space="preserve">Finally we add any </w:t>
      </w:r>
      <w:r w:rsidR="00293157">
        <w:t xml:space="preserve">other </w:t>
      </w:r>
      <w:r>
        <w:t>opex components which have not been forecast using this approach. For instance, we forecast debt raising costs based on the costs incurred by a benchmark efficient service provider. If we removed a category of opex from the selected base year, we will need to consider what additional opex is needed for this category of opex in forecasting total opex.</w:t>
      </w:r>
    </w:p>
    <w:p w:rsidR="000E31D8" w:rsidRPr="00AC472A" w:rsidRDefault="000E31D8" w:rsidP="000E31D8">
      <w:r>
        <w:t>We have used this general approach in our past decisions. It is a well-regarded top</w:t>
      </w:r>
      <w:r>
        <w:noBreakHyphen/>
      </w:r>
      <w:r w:rsidRPr="00AC472A">
        <w:t xml:space="preserve">down forecasting model for regulatory </w:t>
      </w:r>
      <w:proofErr w:type="gramStart"/>
      <w:r w:rsidRPr="00AC472A">
        <w:t>purposes that ha</w:t>
      </w:r>
      <w:r>
        <w:t>s</w:t>
      </w:r>
      <w:proofErr w:type="gramEnd"/>
      <w:r w:rsidRPr="00AC472A">
        <w:t xml:space="preserve"> been employed by a number of Australian regulators over the last </w:t>
      </w:r>
      <w:r>
        <w:t xml:space="preserve">fifteen </w:t>
      </w:r>
      <w:r w:rsidRPr="00AC472A">
        <w:t xml:space="preserve">years. </w:t>
      </w:r>
      <w:r>
        <w:t>W</w:t>
      </w:r>
      <w:r w:rsidRPr="00AC472A">
        <w:t xml:space="preserve">e have sometimes referred to it as the base-step-trend method in our past </w:t>
      </w:r>
      <w:r>
        <w:t>regulatory decisions.</w:t>
      </w:r>
      <w:r w:rsidRPr="002D3EE5">
        <w:rPr>
          <w:rStyle w:val="FootnoteReference"/>
        </w:rPr>
        <w:t xml:space="preserve"> </w:t>
      </w:r>
      <w:r>
        <w:rPr>
          <w:rStyle w:val="FootnoteReference"/>
        </w:rPr>
        <w:footnoteReference w:id="9"/>
      </w:r>
    </w:p>
    <w:p w:rsidR="000E31D8" w:rsidRPr="00AC472A" w:rsidRDefault="000E31D8" w:rsidP="000E31D8">
      <w:r>
        <w:t>W</w:t>
      </w:r>
      <w:r w:rsidRPr="00AC472A">
        <w:t xml:space="preserve">e set out more detail about each of the steps we follow in </w:t>
      </w:r>
      <w:r w:rsidR="00AC4AAF">
        <w:t>our draft decision.</w:t>
      </w:r>
      <w:r w:rsidR="00AC4AAF">
        <w:rPr>
          <w:rStyle w:val="FootnoteReference"/>
        </w:rPr>
        <w:footnoteReference w:id="10"/>
      </w:r>
    </w:p>
    <w:p w:rsidR="000E31D8" w:rsidRDefault="000E31D8" w:rsidP="000E31D8">
      <w:pPr>
        <w:pStyle w:val="Heading3"/>
      </w:pPr>
      <w:bookmarkStart w:id="31" w:name="_Toc433726940"/>
      <w:bookmarkStart w:id="32" w:name="_Toc436042326"/>
      <w:bookmarkStart w:id="33" w:name="_Toc451527266"/>
      <w:r>
        <w:t>Interrelationships</w:t>
      </w:r>
      <w:bookmarkEnd w:id="31"/>
      <w:bookmarkEnd w:id="32"/>
      <w:bookmarkEnd w:id="33"/>
    </w:p>
    <w:p w:rsidR="000E31D8" w:rsidRDefault="000E31D8" w:rsidP="000E31D8">
      <w:r>
        <w:t xml:space="preserve">We note there are interrelationships between our opex forecast and other elements of </w:t>
      </w:r>
      <w:r w:rsidR="003D2E20">
        <w:t>AGN</w:t>
      </w:r>
      <w:r>
        <w:t>’s proposal. In assessing A</w:t>
      </w:r>
      <w:r w:rsidR="003D2E20">
        <w:t>GN</w:t>
      </w:r>
      <w:r>
        <w:t>’s total forecast opex</w:t>
      </w:r>
      <w:r w:rsidR="00D965AA">
        <w:t>,</w:t>
      </w:r>
      <w:r>
        <w:t xml:space="preserve"> we took into account </w:t>
      </w:r>
      <w:r w:rsidR="00396BCE">
        <w:t>other</w:t>
      </w:r>
      <w:r>
        <w:t xml:space="preserve"> components, including:</w:t>
      </w:r>
    </w:p>
    <w:p w:rsidR="000E31D8" w:rsidRDefault="00E21224" w:rsidP="000E31D8">
      <w:pPr>
        <w:pStyle w:val="AERbulletlistfirststyle"/>
      </w:pPr>
      <w:r w:rsidRPr="0000425F">
        <w:t xml:space="preserve">the operation of the </w:t>
      </w:r>
      <w:r w:rsidRPr="000E31D8">
        <w:t xml:space="preserve">efficiency carryover mechanism in the </w:t>
      </w:r>
      <w:r>
        <w:t>2011</w:t>
      </w:r>
      <w:r w:rsidR="00B50ABF">
        <w:t>–</w:t>
      </w:r>
      <w:r>
        <w:t>16 period, which provided AGN a</w:t>
      </w:r>
      <w:r w:rsidRPr="000E31D8">
        <w:t xml:space="preserve">n incentive to reduce opex throughout </w:t>
      </w:r>
      <w:r w:rsidR="00F044FD">
        <w:t>that</w:t>
      </w:r>
      <w:r w:rsidR="00F044FD" w:rsidRPr="000E31D8">
        <w:t xml:space="preserve"> </w:t>
      </w:r>
      <w:r w:rsidRPr="000E31D8">
        <w:t>period (</w:t>
      </w:r>
      <w:r>
        <w:t xml:space="preserve">section </w:t>
      </w:r>
      <w:r w:rsidR="00001B48">
        <w:fldChar w:fldCharType="begin"/>
      </w:r>
      <w:r w:rsidR="00001B48">
        <w:instrText xml:space="preserve"> REF _Ref444851439 \r \h </w:instrText>
      </w:r>
      <w:r w:rsidR="00001B48">
        <w:fldChar w:fldCharType="separate"/>
      </w:r>
      <w:r w:rsidR="00D51F0F">
        <w:t>7.4.2</w:t>
      </w:r>
      <w:r w:rsidR="00001B48">
        <w:fldChar w:fldCharType="end"/>
      </w:r>
      <w:r w:rsidR="00001B48">
        <w:t xml:space="preserve"> </w:t>
      </w:r>
      <w:r>
        <w:t xml:space="preserve">and </w:t>
      </w:r>
      <w:r w:rsidRPr="000E31D8">
        <w:t>Attachment 9)</w:t>
      </w:r>
      <w:r w:rsidRPr="000E31D8" w:rsidDel="0048621A">
        <w:t xml:space="preserve"> </w:t>
      </w:r>
      <w:r w:rsidRPr="000E31D8">
        <w:t xml:space="preserve"> </w:t>
      </w:r>
    </w:p>
    <w:p w:rsidR="00E21224" w:rsidRDefault="00E21224" w:rsidP="000E31D8">
      <w:pPr>
        <w:pStyle w:val="AERbulletlistfirststyle"/>
      </w:pPr>
      <w:r>
        <w:t xml:space="preserve">the impact of forecast demand on output growth in the rate of change (section </w:t>
      </w:r>
      <w:r w:rsidR="00001B48">
        <w:fldChar w:fldCharType="begin"/>
      </w:r>
      <w:r w:rsidR="00001B48">
        <w:instrText xml:space="preserve"> REF _Ref444851456 \r \h </w:instrText>
      </w:r>
      <w:r w:rsidR="00001B48">
        <w:fldChar w:fldCharType="separate"/>
      </w:r>
      <w:r w:rsidR="00D51F0F">
        <w:t>7.4.3</w:t>
      </w:r>
      <w:r w:rsidR="00001B48">
        <w:fldChar w:fldCharType="end"/>
      </w:r>
      <w:r>
        <w:t xml:space="preserve"> and Attachment 13)</w:t>
      </w:r>
    </w:p>
    <w:p w:rsidR="000E31D8" w:rsidRDefault="000E31D8" w:rsidP="000E31D8">
      <w:pPr>
        <w:pStyle w:val="AERbulletlistfirststyle"/>
      </w:pPr>
      <w:r>
        <w:t xml:space="preserve">the interrelationship between capex and opex in considering proposed step changes </w:t>
      </w:r>
      <w:r w:rsidR="00E21224">
        <w:t>(section</w:t>
      </w:r>
      <w:r w:rsidR="00001B48">
        <w:t xml:space="preserve"> </w:t>
      </w:r>
      <w:r w:rsidR="00001B48">
        <w:fldChar w:fldCharType="begin"/>
      </w:r>
      <w:r w:rsidR="00001B48">
        <w:instrText xml:space="preserve"> REF _Ref444851484 \r \h </w:instrText>
      </w:r>
      <w:r w:rsidR="00001B48">
        <w:fldChar w:fldCharType="separate"/>
      </w:r>
      <w:r w:rsidR="00D51F0F">
        <w:t>7.4.4</w:t>
      </w:r>
      <w:r w:rsidR="00001B48">
        <w:fldChar w:fldCharType="end"/>
      </w:r>
      <w:r w:rsidR="00E21224">
        <w:t>)</w:t>
      </w:r>
    </w:p>
    <w:p w:rsidR="000E31D8" w:rsidRPr="000E31D8" w:rsidRDefault="000E31D8" w:rsidP="000E31D8">
      <w:pPr>
        <w:pStyle w:val="AERbulletlistfirststyle"/>
      </w:pPr>
      <w:r w:rsidRPr="0000425F">
        <w:t>the approach to the assessing rate of return, to ensure there is consistency between our determination of debt raising costs and the rate of return building block</w:t>
      </w:r>
      <w:r w:rsidRPr="000E31D8">
        <w:t xml:space="preserve"> (Attachment 3)</w:t>
      </w:r>
      <w:r w:rsidRPr="000E31D8" w:rsidDel="0048621A">
        <w:t xml:space="preserve"> </w:t>
      </w:r>
    </w:p>
    <w:p w:rsidR="000E31D8" w:rsidRDefault="000E31D8" w:rsidP="000E31D8">
      <w:pPr>
        <w:pStyle w:val="AERbulletlistfirststyle"/>
      </w:pPr>
      <w:proofErr w:type="gramStart"/>
      <w:r>
        <w:t>concerns</w:t>
      </w:r>
      <w:proofErr w:type="gramEnd"/>
      <w:r>
        <w:t xml:space="preserve"> of stakeholders identified in the course of A</w:t>
      </w:r>
      <w:r w:rsidR="00E21224">
        <w:t>GN</w:t>
      </w:r>
      <w:r>
        <w:t xml:space="preserve">'s consultation with consumers and in submissions to the AER. </w:t>
      </w:r>
    </w:p>
    <w:p w:rsidR="00A2303E" w:rsidRDefault="00A2303E" w:rsidP="00A2303E">
      <w:pPr>
        <w:pStyle w:val="Heading2"/>
      </w:pPr>
      <w:bookmarkStart w:id="34" w:name="_Toc451527267"/>
      <w:r w:rsidRPr="0074565D">
        <w:t xml:space="preserve">Reasons for </w:t>
      </w:r>
      <w:r>
        <w:t>final</w:t>
      </w:r>
      <w:r w:rsidRPr="0074565D">
        <w:t xml:space="preserve"> decision</w:t>
      </w:r>
      <w:bookmarkEnd w:id="24"/>
      <w:bookmarkEnd w:id="25"/>
      <w:bookmarkEnd w:id="34"/>
      <w:r w:rsidRPr="0074565D">
        <w:t xml:space="preserve"> </w:t>
      </w:r>
    </w:p>
    <w:p w:rsidR="00DE6CB2" w:rsidRDefault="005E5C9C" w:rsidP="00DE6CB2">
      <w:r w:rsidRPr="003B6BBA">
        <w:t xml:space="preserve">We are satisfied </w:t>
      </w:r>
      <w:r>
        <w:t xml:space="preserve">AGN's proposed </w:t>
      </w:r>
      <w:r w:rsidRPr="003B6BBA">
        <w:t>forecast of total opex complies with the opex criteria and the criteria for forecasts and estimates.</w:t>
      </w:r>
      <w:r>
        <w:rPr>
          <w:rStyle w:val="FootnoteReference"/>
        </w:rPr>
        <w:footnoteReference w:id="11"/>
      </w:r>
      <w:r w:rsidR="00306E0B">
        <w:t xml:space="preserve"> </w:t>
      </w:r>
      <w:r w:rsidR="00DE6CB2" w:rsidRPr="00DE6CB2">
        <w:t xml:space="preserve">We reached this conclusion after undertaking analysis using our opex forecasting approach. When we compare </w:t>
      </w:r>
      <w:r w:rsidR="00DE6CB2">
        <w:t>AGN</w:t>
      </w:r>
      <w:r w:rsidR="00DE6CB2" w:rsidRPr="00DE6CB2">
        <w:t>'</w:t>
      </w:r>
      <w:r w:rsidR="00DE6CB2">
        <w:t>s</w:t>
      </w:r>
      <w:r w:rsidR="00DE6CB2" w:rsidRPr="00DE6CB2">
        <w:t xml:space="preserve"> </w:t>
      </w:r>
      <w:r w:rsidR="00DE6CB2">
        <w:t xml:space="preserve">revised </w:t>
      </w:r>
      <w:r w:rsidR="00DE6CB2" w:rsidRPr="00DE6CB2">
        <w:t xml:space="preserve">total forecast opex with our estimate of the efficient opex a prudent operator would require to achieve the opex objectives, </w:t>
      </w:r>
      <w:r w:rsidR="00DE6CB2">
        <w:t>AGN's</w:t>
      </w:r>
      <w:r w:rsidR="00DE6CB2" w:rsidRPr="00DE6CB2">
        <w:t xml:space="preserve"> </w:t>
      </w:r>
      <w:r w:rsidR="00DE6CB2">
        <w:t xml:space="preserve">revised </w:t>
      </w:r>
      <w:r w:rsidR="00DE6CB2" w:rsidRPr="00DE6CB2">
        <w:t>proposal is not materially different.</w:t>
      </w:r>
      <w:r w:rsidR="00DE6CB2">
        <w:t xml:space="preserve"> </w:t>
      </w:r>
      <w:r w:rsidRPr="003B6BBA">
        <w:t xml:space="preserve">We therefore accept the forecast of opex </w:t>
      </w:r>
      <w:r>
        <w:t xml:space="preserve">AGN </w:t>
      </w:r>
      <w:r w:rsidRPr="003B6BBA">
        <w:t xml:space="preserve">included in its </w:t>
      </w:r>
      <w:r w:rsidR="00F2699D">
        <w:t xml:space="preserve">revised </w:t>
      </w:r>
      <w:r w:rsidRPr="003B6BBA">
        <w:t xml:space="preserve">proposal. </w:t>
      </w:r>
      <w:r w:rsidR="00DE6CB2" w:rsidRPr="00DE6CB2">
        <w:t xml:space="preserve">We summarise </w:t>
      </w:r>
      <w:r w:rsidR="00DE6CB2">
        <w:t xml:space="preserve">AGN's revised </w:t>
      </w:r>
      <w:r w:rsidR="00DE6CB2" w:rsidRPr="00DE6CB2">
        <w:t xml:space="preserve">forecast opex and our alternative estimate in </w:t>
      </w:r>
      <w:r w:rsidR="00B6782F">
        <w:fldChar w:fldCharType="begin"/>
      </w:r>
      <w:r w:rsidR="00B6782F">
        <w:instrText xml:space="preserve"> REF _Ref445719959 \h </w:instrText>
      </w:r>
      <w:r w:rsidR="00B6782F">
        <w:fldChar w:fldCharType="separate"/>
      </w:r>
      <w:r w:rsidR="000575AB">
        <w:t xml:space="preserve">Table </w:t>
      </w:r>
      <w:r w:rsidR="000575AB">
        <w:rPr>
          <w:noProof/>
        </w:rPr>
        <w:t>7</w:t>
      </w:r>
      <w:r w:rsidR="000575AB">
        <w:t>.</w:t>
      </w:r>
      <w:r w:rsidR="000575AB">
        <w:rPr>
          <w:noProof/>
        </w:rPr>
        <w:t>2</w:t>
      </w:r>
      <w:r w:rsidR="00B6782F">
        <w:fldChar w:fldCharType="end"/>
      </w:r>
      <w:r w:rsidR="00DE6CB2">
        <w:t>.</w:t>
      </w:r>
    </w:p>
    <w:p w:rsidR="00421DAD" w:rsidRDefault="00421DAD" w:rsidP="00DE6CB2"/>
    <w:p w:rsidR="00421DAD" w:rsidRDefault="00421DAD" w:rsidP="00DE6CB2"/>
    <w:p w:rsidR="00421DAD" w:rsidRDefault="00421DAD" w:rsidP="00DE6CB2"/>
    <w:p w:rsidR="00B6782F" w:rsidRDefault="00B6782F" w:rsidP="006033CA">
      <w:pPr>
        <w:pStyle w:val="Caption"/>
      </w:pPr>
      <w:bookmarkStart w:id="35" w:name="_Ref445719959"/>
      <w:proofErr w:type="gramStart"/>
      <w:r>
        <w:t xml:space="preserve">Table </w:t>
      </w:r>
      <w:r w:rsidR="00961E5E">
        <w:fldChar w:fldCharType="begin"/>
      </w:r>
      <w:r w:rsidR="00961E5E">
        <w:instrText xml:space="preserve"> STYLEREF 1 \s </w:instrText>
      </w:r>
      <w:r w:rsidR="00961E5E">
        <w:fldChar w:fldCharType="separate"/>
      </w:r>
      <w:r w:rsidR="004F6349">
        <w:rPr>
          <w:noProof/>
        </w:rPr>
        <w:t>7</w:t>
      </w:r>
      <w:r w:rsidR="00961E5E">
        <w:rPr>
          <w:noProof/>
        </w:rPr>
        <w:fldChar w:fldCharType="end"/>
      </w:r>
      <w:r w:rsidR="004F6349">
        <w:t>.</w:t>
      </w:r>
      <w:proofErr w:type="gramEnd"/>
      <w:r w:rsidR="004F6349">
        <w:fldChar w:fldCharType="begin"/>
      </w:r>
      <w:r w:rsidR="004F6349">
        <w:instrText xml:space="preserve"> SEQ Table \* ARABIC \s 1 </w:instrText>
      </w:r>
      <w:r w:rsidR="004F6349">
        <w:fldChar w:fldCharType="separate"/>
      </w:r>
      <w:r w:rsidR="004F6349">
        <w:rPr>
          <w:noProof/>
        </w:rPr>
        <w:t>2</w:t>
      </w:r>
      <w:r w:rsidR="004F6349">
        <w:fldChar w:fldCharType="end"/>
      </w:r>
      <w:bookmarkEnd w:id="35"/>
      <w:r>
        <w:t xml:space="preserve"> </w:t>
      </w:r>
      <w:r>
        <w:tab/>
        <w:t xml:space="preserve">AGN revised proposal </w:t>
      </w:r>
      <w:r w:rsidR="009023D4">
        <w:t>and</w:t>
      </w:r>
      <w:r w:rsidR="009023D4" w:rsidRPr="00B6782F">
        <w:t xml:space="preserve"> </w:t>
      </w:r>
      <w:r w:rsidRPr="00B6782F">
        <w:t xml:space="preserve">AER alternative </w:t>
      </w:r>
      <w:r w:rsidR="00317D16" w:rsidRPr="00B6782F">
        <w:t xml:space="preserve">forecast </w:t>
      </w:r>
      <w:r w:rsidRPr="00B6782F">
        <w:t>of total opex ($million, 201</w:t>
      </w:r>
      <w:r>
        <w:t>5</w:t>
      </w:r>
      <w:r w:rsidRPr="00B6782F">
        <w:t>–1</w:t>
      </w:r>
      <w:r>
        <w:t>6</w:t>
      </w:r>
      <w:r w:rsidRPr="00B6782F">
        <w:t>)</w:t>
      </w:r>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DE6CB2" w:rsidTr="00DE6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DE6CB2" w:rsidRDefault="00DE6CB2" w:rsidP="00DE6CB2"/>
        </w:tc>
        <w:tc>
          <w:tcPr>
            <w:tcW w:w="1242" w:type="dxa"/>
          </w:tcPr>
          <w:p w:rsidR="00DE6CB2" w:rsidRDefault="00DE6CB2" w:rsidP="00DE6CB2">
            <w:pPr>
              <w:cnfStyle w:val="100000000000" w:firstRow="1" w:lastRow="0" w:firstColumn="0" w:lastColumn="0" w:oddVBand="0" w:evenVBand="0" w:oddHBand="0" w:evenHBand="0" w:firstRowFirstColumn="0" w:firstRowLastColumn="0" w:lastRowFirstColumn="0" w:lastRowLastColumn="0"/>
            </w:pPr>
            <w:r>
              <w:t>2016-17</w:t>
            </w:r>
          </w:p>
        </w:tc>
        <w:tc>
          <w:tcPr>
            <w:tcW w:w="1242" w:type="dxa"/>
          </w:tcPr>
          <w:p w:rsidR="00DE6CB2" w:rsidRDefault="00DE6CB2" w:rsidP="00DE6CB2">
            <w:pPr>
              <w:cnfStyle w:val="100000000000" w:firstRow="1" w:lastRow="0" w:firstColumn="0" w:lastColumn="0" w:oddVBand="0" w:evenVBand="0" w:oddHBand="0" w:evenHBand="0" w:firstRowFirstColumn="0" w:firstRowLastColumn="0" w:lastRowFirstColumn="0" w:lastRowLastColumn="0"/>
            </w:pPr>
            <w:r>
              <w:t>2017-18</w:t>
            </w:r>
          </w:p>
        </w:tc>
        <w:tc>
          <w:tcPr>
            <w:tcW w:w="1242" w:type="dxa"/>
          </w:tcPr>
          <w:p w:rsidR="00DE6CB2" w:rsidRDefault="00DE6CB2" w:rsidP="00DE6CB2">
            <w:pPr>
              <w:cnfStyle w:val="100000000000" w:firstRow="1" w:lastRow="0" w:firstColumn="0" w:lastColumn="0" w:oddVBand="0" w:evenVBand="0" w:oddHBand="0" w:evenHBand="0" w:firstRowFirstColumn="0" w:firstRowLastColumn="0" w:lastRowFirstColumn="0" w:lastRowLastColumn="0"/>
            </w:pPr>
            <w:r>
              <w:t>2018-19</w:t>
            </w:r>
          </w:p>
        </w:tc>
        <w:tc>
          <w:tcPr>
            <w:tcW w:w="1242" w:type="dxa"/>
          </w:tcPr>
          <w:p w:rsidR="00DE6CB2" w:rsidRDefault="00DE6CB2" w:rsidP="00DE6CB2">
            <w:pPr>
              <w:cnfStyle w:val="100000000000" w:firstRow="1" w:lastRow="0" w:firstColumn="0" w:lastColumn="0" w:oddVBand="0" w:evenVBand="0" w:oddHBand="0" w:evenHBand="0" w:firstRowFirstColumn="0" w:firstRowLastColumn="0" w:lastRowFirstColumn="0" w:lastRowLastColumn="0"/>
            </w:pPr>
            <w:r>
              <w:t>2019-20</w:t>
            </w:r>
          </w:p>
        </w:tc>
        <w:tc>
          <w:tcPr>
            <w:tcW w:w="1242" w:type="dxa"/>
          </w:tcPr>
          <w:p w:rsidR="00DE6CB2" w:rsidRDefault="00DE6CB2" w:rsidP="00DE6CB2">
            <w:pPr>
              <w:cnfStyle w:val="100000000000" w:firstRow="1" w:lastRow="0" w:firstColumn="0" w:lastColumn="0" w:oddVBand="0" w:evenVBand="0" w:oddHBand="0" w:evenHBand="0" w:firstRowFirstColumn="0" w:firstRowLastColumn="0" w:lastRowFirstColumn="0" w:lastRowLastColumn="0"/>
            </w:pPr>
            <w:r>
              <w:t>2020-21</w:t>
            </w:r>
          </w:p>
        </w:tc>
        <w:tc>
          <w:tcPr>
            <w:tcW w:w="1242" w:type="dxa"/>
          </w:tcPr>
          <w:p w:rsidR="00DE6CB2" w:rsidRDefault="00DE6CB2" w:rsidP="00DE6CB2">
            <w:pPr>
              <w:cnfStyle w:val="100000000000" w:firstRow="1" w:lastRow="0" w:firstColumn="0" w:lastColumn="0" w:oddVBand="0" w:evenVBand="0" w:oddHBand="0" w:evenHBand="0" w:firstRowFirstColumn="0" w:firstRowLastColumn="0" w:lastRowFirstColumn="0" w:lastRowLastColumn="0"/>
            </w:pPr>
            <w:r>
              <w:t>Total</w:t>
            </w:r>
          </w:p>
        </w:tc>
      </w:tr>
      <w:tr w:rsidR="00B6782F" w:rsidTr="00DE6CB2">
        <w:tc>
          <w:tcPr>
            <w:cnfStyle w:val="001000000000" w:firstRow="0" w:lastRow="0" w:firstColumn="1" w:lastColumn="0" w:oddVBand="0" w:evenVBand="0" w:oddHBand="0" w:evenHBand="0" w:firstRowFirstColumn="0" w:firstRowLastColumn="0" w:lastRowFirstColumn="0" w:lastRowLastColumn="0"/>
            <w:tcW w:w="1241" w:type="dxa"/>
          </w:tcPr>
          <w:p w:rsidR="00B6782F" w:rsidRPr="00B6782F" w:rsidRDefault="00B6782F" w:rsidP="00B6782F">
            <w:r>
              <w:t xml:space="preserve">AGN revised </w:t>
            </w:r>
            <w:r w:rsidRPr="00B6782F">
              <w:t>total forecast opex</w:t>
            </w:r>
          </w:p>
        </w:tc>
        <w:tc>
          <w:tcPr>
            <w:tcW w:w="1242" w:type="dxa"/>
          </w:tcPr>
          <w:p w:rsidR="00B6782F" w:rsidRPr="00B6782F" w:rsidRDefault="00B6782F" w:rsidP="00B6782F">
            <w:pPr>
              <w:cnfStyle w:val="000000000000" w:firstRow="0" w:lastRow="0" w:firstColumn="0" w:lastColumn="0" w:oddVBand="0" w:evenVBand="0" w:oddHBand="0" w:evenHBand="0" w:firstRowFirstColumn="0" w:firstRowLastColumn="0" w:lastRowFirstColumn="0" w:lastRowLastColumn="0"/>
            </w:pPr>
            <w:r>
              <w:t>70.72</w:t>
            </w:r>
          </w:p>
        </w:tc>
        <w:tc>
          <w:tcPr>
            <w:tcW w:w="1242" w:type="dxa"/>
          </w:tcPr>
          <w:p w:rsidR="00B6782F" w:rsidRPr="00B6782F" w:rsidRDefault="00B6782F" w:rsidP="00B6782F">
            <w:pPr>
              <w:cnfStyle w:val="000000000000" w:firstRow="0" w:lastRow="0" w:firstColumn="0" w:lastColumn="0" w:oddVBand="0" w:evenVBand="0" w:oddHBand="0" w:evenHBand="0" w:firstRowFirstColumn="0" w:firstRowLastColumn="0" w:lastRowFirstColumn="0" w:lastRowLastColumn="0"/>
            </w:pPr>
            <w:r>
              <w:t>72.10</w:t>
            </w:r>
          </w:p>
        </w:tc>
        <w:tc>
          <w:tcPr>
            <w:tcW w:w="1242" w:type="dxa"/>
          </w:tcPr>
          <w:p w:rsidR="00B6782F" w:rsidRPr="00B6782F" w:rsidRDefault="00B6782F" w:rsidP="00B6782F">
            <w:pPr>
              <w:cnfStyle w:val="000000000000" w:firstRow="0" w:lastRow="0" w:firstColumn="0" w:lastColumn="0" w:oddVBand="0" w:evenVBand="0" w:oddHBand="0" w:evenHBand="0" w:firstRowFirstColumn="0" w:firstRowLastColumn="0" w:lastRowFirstColumn="0" w:lastRowLastColumn="0"/>
            </w:pPr>
            <w:r>
              <w:t>73.51</w:t>
            </w:r>
          </w:p>
        </w:tc>
        <w:tc>
          <w:tcPr>
            <w:tcW w:w="1242" w:type="dxa"/>
          </w:tcPr>
          <w:p w:rsidR="00B6782F" w:rsidRPr="00B6782F" w:rsidRDefault="00B6782F" w:rsidP="00B6782F">
            <w:pPr>
              <w:cnfStyle w:val="000000000000" w:firstRow="0" w:lastRow="0" w:firstColumn="0" w:lastColumn="0" w:oddVBand="0" w:evenVBand="0" w:oddHBand="0" w:evenHBand="0" w:firstRowFirstColumn="0" w:firstRowLastColumn="0" w:lastRowFirstColumn="0" w:lastRowLastColumn="0"/>
            </w:pPr>
            <w:r>
              <w:t>73.56</w:t>
            </w:r>
          </w:p>
        </w:tc>
        <w:tc>
          <w:tcPr>
            <w:tcW w:w="1242" w:type="dxa"/>
          </w:tcPr>
          <w:p w:rsidR="00B6782F" w:rsidRPr="00B6782F" w:rsidRDefault="00B6782F" w:rsidP="00B6782F">
            <w:pPr>
              <w:cnfStyle w:val="000000000000" w:firstRow="0" w:lastRow="0" w:firstColumn="0" w:lastColumn="0" w:oddVBand="0" w:evenVBand="0" w:oddHBand="0" w:evenHBand="0" w:firstRowFirstColumn="0" w:firstRowLastColumn="0" w:lastRowFirstColumn="0" w:lastRowLastColumn="0"/>
            </w:pPr>
            <w:r>
              <w:t>73.73</w:t>
            </w:r>
          </w:p>
        </w:tc>
        <w:tc>
          <w:tcPr>
            <w:tcW w:w="1242" w:type="dxa"/>
          </w:tcPr>
          <w:p w:rsidR="00B6782F" w:rsidRPr="00B6782F" w:rsidRDefault="00B6782F" w:rsidP="00B6782F">
            <w:pPr>
              <w:cnfStyle w:val="000000000000" w:firstRow="0" w:lastRow="0" w:firstColumn="0" w:lastColumn="0" w:oddVBand="0" w:evenVBand="0" w:oddHBand="0" w:evenHBand="0" w:firstRowFirstColumn="0" w:firstRowLastColumn="0" w:lastRowFirstColumn="0" w:lastRowLastColumn="0"/>
            </w:pPr>
            <w:r>
              <w:t>363.62</w:t>
            </w:r>
          </w:p>
        </w:tc>
      </w:tr>
      <w:tr w:rsidR="00DE6CB2" w:rsidTr="00DE6C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DE6CB2" w:rsidRDefault="00DE6CB2" w:rsidP="00DE6CB2">
            <w:r>
              <w:t xml:space="preserve">AER alternative </w:t>
            </w:r>
            <w:r w:rsidR="00B6782F">
              <w:t>estimate</w:t>
            </w:r>
          </w:p>
        </w:tc>
        <w:tc>
          <w:tcPr>
            <w:tcW w:w="1242" w:type="dxa"/>
          </w:tcPr>
          <w:p w:rsidR="00DE6CB2" w:rsidRDefault="00B6782F" w:rsidP="006113CC">
            <w:pPr>
              <w:cnfStyle w:val="000000010000" w:firstRow="0" w:lastRow="0" w:firstColumn="0" w:lastColumn="0" w:oddVBand="0" w:evenVBand="0" w:oddHBand="0" w:evenHBand="1" w:firstRowFirstColumn="0" w:firstRowLastColumn="0" w:lastRowFirstColumn="0" w:lastRowLastColumn="0"/>
            </w:pPr>
            <w:r>
              <w:t>7</w:t>
            </w:r>
            <w:r w:rsidR="006113CC">
              <w:t>3.25</w:t>
            </w:r>
          </w:p>
        </w:tc>
        <w:tc>
          <w:tcPr>
            <w:tcW w:w="1242" w:type="dxa"/>
          </w:tcPr>
          <w:p w:rsidR="00DE6CB2" w:rsidRDefault="00B6782F" w:rsidP="006113CC">
            <w:pPr>
              <w:cnfStyle w:val="000000010000" w:firstRow="0" w:lastRow="0" w:firstColumn="0" w:lastColumn="0" w:oddVBand="0" w:evenVBand="0" w:oddHBand="0" w:evenHBand="1" w:firstRowFirstColumn="0" w:firstRowLastColumn="0" w:lastRowFirstColumn="0" w:lastRowLastColumn="0"/>
            </w:pPr>
            <w:r>
              <w:t>7</w:t>
            </w:r>
            <w:r w:rsidR="006113CC">
              <w:t>2.56</w:t>
            </w:r>
          </w:p>
        </w:tc>
        <w:tc>
          <w:tcPr>
            <w:tcW w:w="1242" w:type="dxa"/>
          </w:tcPr>
          <w:p w:rsidR="00DE6CB2" w:rsidRDefault="00B6782F" w:rsidP="006113CC">
            <w:pPr>
              <w:cnfStyle w:val="000000010000" w:firstRow="0" w:lastRow="0" w:firstColumn="0" w:lastColumn="0" w:oddVBand="0" w:evenVBand="0" w:oddHBand="0" w:evenHBand="1" w:firstRowFirstColumn="0" w:firstRowLastColumn="0" w:lastRowFirstColumn="0" w:lastRowLastColumn="0"/>
            </w:pPr>
            <w:r>
              <w:t>7</w:t>
            </w:r>
            <w:r w:rsidR="006113CC">
              <w:t>2.36</w:t>
            </w:r>
          </w:p>
        </w:tc>
        <w:tc>
          <w:tcPr>
            <w:tcW w:w="1242" w:type="dxa"/>
          </w:tcPr>
          <w:p w:rsidR="00DE6CB2" w:rsidRDefault="00B6782F" w:rsidP="006113CC">
            <w:pPr>
              <w:cnfStyle w:val="000000010000" w:firstRow="0" w:lastRow="0" w:firstColumn="0" w:lastColumn="0" w:oddVBand="0" w:evenVBand="0" w:oddHBand="0" w:evenHBand="1" w:firstRowFirstColumn="0" w:firstRowLastColumn="0" w:lastRowFirstColumn="0" w:lastRowLastColumn="0"/>
            </w:pPr>
            <w:r>
              <w:t>7</w:t>
            </w:r>
            <w:r w:rsidR="006113CC">
              <w:t>2.24</w:t>
            </w:r>
          </w:p>
        </w:tc>
        <w:tc>
          <w:tcPr>
            <w:tcW w:w="1242" w:type="dxa"/>
          </w:tcPr>
          <w:p w:rsidR="00DE6CB2" w:rsidRDefault="00B6782F" w:rsidP="006113CC">
            <w:pPr>
              <w:cnfStyle w:val="000000010000" w:firstRow="0" w:lastRow="0" w:firstColumn="0" w:lastColumn="0" w:oddVBand="0" w:evenVBand="0" w:oddHBand="0" w:evenHBand="1" w:firstRowFirstColumn="0" w:firstRowLastColumn="0" w:lastRowFirstColumn="0" w:lastRowLastColumn="0"/>
            </w:pPr>
            <w:r>
              <w:t>7</w:t>
            </w:r>
            <w:r w:rsidR="006113CC">
              <w:t>2.13</w:t>
            </w:r>
          </w:p>
        </w:tc>
        <w:tc>
          <w:tcPr>
            <w:tcW w:w="1242" w:type="dxa"/>
          </w:tcPr>
          <w:p w:rsidR="00DE6CB2" w:rsidRDefault="00B6782F" w:rsidP="006113CC">
            <w:pPr>
              <w:cnfStyle w:val="000000010000" w:firstRow="0" w:lastRow="0" w:firstColumn="0" w:lastColumn="0" w:oddVBand="0" w:evenVBand="0" w:oddHBand="0" w:evenHBand="1" w:firstRowFirstColumn="0" w:firstRowLastColumn="0" w:lastRowFirstColumn="0" w:lastRowLastColumn="0"/>
            </w:pPr>
            <w:r>
              <w:t>3</w:t>
            </w:r>
            <w:r w:rsidR="006113CC">
              <w:t>62.55</w:t>
            </w:r>
          </w:p>
        </w:tc>
      </w:tr>
      <w:tr w:rsidR="00DE6CB2" w:rsidTr="00DE6CB2">
        <w:tc>
          <w:tcPr>
            <w:cnfStyle w:val="001000000000" w:firstRow="0" w:lastRow="0" w:firstColumn="1" w:lastColumn="0" w:oddVBand="0" w:evenVBand="0" w:oddHBand="0" w:evenHBand="0" w:firstRowFirstColumn="0" w:firstRowLastColumn="0" w:lastRowFirstColumn="0" w:lastRowLastColumn="0"/>
            <w:tcW w:w="1241" w:type="dxa"/>
          </w:tcPr>
          <w:p w:rsidR="00DE6CB2" w:rsidRDefault="006033CA" w:rsidP="00DE6CB2">
            <w:r>
              <w:t xml:space="preserve">% </w:t>
            </w:r>
            <w:r w:rsidR="00B6782F">
              <w:t>Difference</w:t>
            </w:r>
          </w:p>
        </w:tc>
        <w:tc>
          <w:tcPr>
            <w:tcW w:w="1242" w:type="dxa"/>
          </w:tcPr>
          <w:p w:rsidR="00DE6CB2" w:rsidRDefault="006113CC" w:rsidP="006113CC">
            <w:pPr>
              <w:cnfStyle w:val="000000000000" w:firstRow="0" w:lastRow="0" w:firstColumn="0" w:lastColumn="0" w:oddVBand="0" w:evenVBand="0" w:oddHBand="0" w:evenHBand="0" w:firstRowFirstColumn="0" w:firstRowLastColumn="0" w:lastRowFirstColumn="0" w:lastRowLastColumn="0"/>
            </w:pPr>
            <w:r>
              <w:t>3.46</w:t>
            </w:r>
          </w:p>
        </w:tc>
        <w:tc>
          <w:tcPr>
            <w:tcW w:w="1242" w:type="dxa"/>
          </w:tcPr>
          <w:p w:rsidR="00DE6CB2" w:rsidRDefault="006033CA" w:rsidP="006113CC">
            <w:pPr>
              <w:cnfStyle w:val="000000000000" w:firstRow="0" w:lastRow="0" w:firstColumn="0" w:lastColumn="0" w:oddVBand="0" w:evenVBand="0" w:oddHBand="0" w:evenHBand="0" w:firstRowFirstColumn="0" w:firstRowLastColumn="0" w:lastRowFirstColumn="0" w:lastRowLastColumn="0"/>
            </w:pPr>
            <w:r>
              <w:t>0.</w:t>
            </w:r>
            <w:r w:rsidR="006113CC">
              <w:t>6</w:t>
            </w:r>
            <w:r>
              <w:t>4</w:t>
            </w:r>
          </w:p>
        </w:tc>
        <w:tc>
          <w:tcPr>
            <w:tcW w:w="1242" w:type="dxa"/>
          </w:tcPr>
          <w:p w:rsidR="00DE6CB2" w:rsidRDefault="006033CA" w:rsidP="006113CC">
            <w:pPr>
              <w:cnfStyle w:val="000000000000" w:firstRow="0" w:lastRow="0" w:firstColumn="0" w:lastColumn="0" w:oddVBand="0" w:evenVBand="0" w:oddHBand="0" w:evenHBand="0" w:firstRowFirstColumn="0" w:firstRowLastColumn="0" w:lastRowFirstColumn="0" w:lastRowLastColumn="0"/>
            </w:pPr>
            <w:r>
              <w:t>-</w:t>
            </w:r>
            <w:r w:rsidR="006113CC">
              <w:t>1.58</w:t>
            </w:r>
          </w:p>
        </w:tc>
        <w:tc>
          <w:tcPr>
            <w:tcW w:w="1242" w:type="dxa"/>
          </w:tcPr>
          <w:p w:rsidR="00DE6CB2" w:rsidRDefault="006033CA" w:rsidP="006113CC">
            <w:pPr>
              <w:cnfStyle w:val="000000000000" w:firstRow="0" w:lastRow="0" w:firstColumn="0" w:lastColumn="0" w:oddVBand="0" w:evenVBand="0" w:oddHBand="0" w:evenHBand="0" w:firstRowFirstColumn="0" w:firstRowLastColumn="0" w:lastRowFirstColumn="0" w:lastRowLastColumn="0"/>
            </w:pPr>
            <w:r>
              <w:t>-</w:t>
            </w:r>
            <w:r w:rsidR="006113CC">
              <w:t>1</w:t>
            </w:r>
            <w:r>
              <w:t>.</w:t>
            </w:r>
            <w:r w:rsidR="006113CC">
              <w:t>83</w:t>
            </w:r>
          </w:p>
        </w:tc>
        <w:tc>
          <w:tcPr>
            <w:tcW w:w="1242" w:type="dxa"/>
          </w:tcPr>
          <w:p w:rsidR="00DE6CB2" w:rsidRDefault="006033CA" w:rsidP="006113CC">
            <w:pPr>
              <w:cnfStyle w:val="000000000000" w:firstRow="0" w:lastRow="0" w:firstColumn="0" w:lastColumn="0" w:oddVBand="0" w:evenVBand="0" w:oddHBand="0" w:evenHBand="0" w:firstRowFirstColumn="0" w:firstRowLastColumn="0" w:lastRowFirstColumn="0" w:lastRowLastColumn="0"/>
            </w:pPr>
            <w:r>
              <w:t>-2.</w:t>
            </w:r>
            <w:r w:rsidR="006113CC">
              <w:t>22</w:t>
            </w:r>
          </w:p>
        </w:tc>
        <w:tc>
          <w:tcPr>
            <w:tcW w:w="1242" w:type="dxa"/>
          </w:tcPr>
          <w:p w:rsidR="00DE6CB2" w:rsidRDefault="006033CA" w:rsidP="006113CC">
            <w:pPr>
              <w:cnfStyle w:val="000000000000" w:firstRow="0" w:lastRow="0" w:firstColumn="0" w:lastColumn="0" w:oddVBand="0" w:evenVBand="0" w:oddHBand="0" w:evenHBand="0" w:firstRowFirstColumn="0" w:firstRowLastColumn="0" w:lastRowFirstColumn="0" w:lastRowLastColumn="0"/>
            </w:pPr>
            <w:r>
              <w:t>-</w:t>
            </w:r>
            <w:r w:rsidR="006113CC">
              <w:t>0</w:t>
            </w:r>
            <w:r>
              <w:t>.</w:t>
            </w:r>
            <w:r w:rsidR="006113CC">
              <w:t>30</w:t>
            </w:r>
          </w:p>
        </w:tc>
      </w:tr>
    </w:tbl>
    <w:p w:rsidR="00DE6CB2" w:rsidRDefault="006033CA" w:rsidP="006033CA">
      <w:pPr>
        <w:pStyle w:val="Source"/>
      </w:pPr>
      <w:r>
        <w:t xml:space="preserve">Source: </w:t>
      </w:r>
      <w:r w:rsidR="000575AB">
        <w:tab/>
      </w:r>
      <w:r>
        <w:t>AER analysis</w:t>
      </w:r>
      <w:r w:rsidR="004C6FB6">
        <w:t>.</w:t>
      </w:r>
    </w:p>
    <w:p w:rsidR="00BF7E47" w:rsidRPr="00040FD2" w:rsidRDefault="00B6782F" w:rsidP="00DE6CB2">
      <w:r w:rsidRPr="00B6782F">
        <w:t xml:space="preserve">Our reasons for why we are satisfied that </w:t>
      </w:r>
      <w:r>
        <w:t xml:space="preserve">AGN's revised </w:t>
      </w:r>
      <w:r w:rsidRPr="00B6782F">
        <w:t>total forecast opex reasonably reflects the opex criteria are set out in more detail below</w:t>
      </w:r>
      <w:r w:rsidR="00043449">
        <w:t>.</w:t>
      </w:r>
      <w:r w:rsidRPr="00B6782F">
        <w:t xml:space="preserve"> </w:t>
      </w:r>
      <w:r w:rsidR="000E2E0B" w:rsidRPr="000E2E0B">
        <w:t xml:space="preserve">We discuss each element of AGN's </w:t>
      </w:r>
      <w:r w:rsidR="006033CA">
        <w:t xml:space="preserve">revised </w:t>
      </w:r>
      <w:r w:rsidR="000E2E0B" w:rsidRPr="000E2E0B">
        <w:t>forecast opex.</w:t>
      </w:r>
      <w:r w:rsidR="00BF7E47" w:rsidRPr="00BF7E47">
        <w:t xml:space="preserve"> </w:t>
      </w:r>
      <w:r w:rsidR="00BF7E47">
        <w:t>We outline the key elements of our alternative opex forecast and areas of difference between our estimate of opex and AGN's estimate below.</w:t>
      </w:r>
    </w:p>
    <w:p w:rsidR="00BF7E47" w:rsidRDefault="00BF7E47" w:rsidP="00BF7E47">
      <w:pPr>
        <w:pStyle w:val="Heading3"/>
      </w:pPr>
      <w:bookmarkStart w:id="36" w:name="_Toc436053831"/>
      <w:bookmarkStart w:id="37" w:name="_Toc451527268"/>
      <w:r>
        <w:t>Forecasting method</w:t>
      </w:r>
      <w:bookmarkEnd w:id="36"/>
      <w:bookmarkEnd w:id="37"/>
    </w:p>
    <w:p w:rsidR="00E1427A" w:rsidRDefault="00E1427A" w:rsidP="00E1427A">
      <w:r>
        <w:t xml:space="preserve">AGN's revised opex forecast retains the base-step-trend approach used in its initial proposal, and that is consistent with our method. We </w:t>
      </w:r>
      <w:r w:rsidR="00293157">
        <w:t>are</w:t>
      </w:r>
      <w:r>
        <w:t xml:space="preserve"> satisfied AGN's forecasting method is not the key driver of the difference between our and AGN's forecast opex. Rather, different inputs and assumptions used in the forecasting method explain the difference.</w:t>
      </w:r>
    </w:p>
    <w:p w:rsidR="004B2AC9" w:rsidRDefault="004B2AC9" w:rsidP="004B2AC9">
      <w:pPr>
        <w:pStyle w:val="Heading3"/>
      </w:pPr>
      <w:bookmarkStart w:id="38" w:name="_Toc441827420"/>
      <w:bookmarkStart w:id="39" w:name="_Ref444851439"/>
      <w:bookmarkStart w:id="40" w:name="_Toc451527269"/>
      <w:r>
        <w:t>Base year opex</w:t>
      </w:r>
      <w:bookmarkEnd w:id="38"/>
      <w:bookmarkEnd w:id="39"/>
      <w:bookmarkEnd w:id="40"/>
    </w:p>
    <w:p w:rsidR="00531937" w:rsidRDefault="00531937" w:rsidP="00531937">
      <w:pPr>
        <w:rPr>
          <w:rStyle w:val="AERbody"/>
        </w:rPr>
      </w:pPr>
      <w:r>
        <w:rPr>
          <w:rStyle w:val="AERbody"/>
        </w:rPr>
        <w:t>Determining efficient, recurrent expenditure in the base year is at the core of our single year revealed cost approach.</w:t>
      </w:r>
    </w:p>
    <w:p w:rsidR="00531937" w:rsidRPr="00EE553B" w:rsidRDefault="00531937" w:rsidP="00531937">
      <w:pPr>
        <w:rPr>
          <w:rStyle w:val="AERtexthighlight"/>
        </w:rPr>
      </w:pPr>
      <w:r>
        <w:rPr>
          <w:rStyle w:val="AERbody"/>
        </w:rPr>
        <w:t xml:space="preserve">We are satisfied that AGN's revised </w:t>
      </w:r>
      <w:r w:rsidRPr="00B32AF1">
        <w:t>2014</w:t>
      </w:r>
      <w:r w:rsidR="00D965AA">
        <w:t>–</w:t>
      </w:r>
      <w:r w:rsidRPr="00B32AF1">
        <w:t xml:space="preserve">15 </w:t>
      </w:r>
      <w:r>
        <w:rPr>
          <w:rStyle w:val="AERbody"/>
        </w:rPr>
        <w:t>base year opex of $</w:t>
      </w:r>
      <w:r w:rsidR="00BC6628">
        <w:rPr>
          <w:rStyle w:val="AERbody"/>
        </w:rPr>
        <w:t>58</w:t>
      </w:r>
      <w:r w:rsidR="00EE553B">
        <w:rPr>
          <w:rStyle w:val="AERbody"/>
        </w:rPr>
        <w:t xml:space="preserve"> </w:t>
      </w:r>
      <w:r>
        <w:rPr>
          <w:rStyle w:val="AERbody"/>
        </w:rPr>
        <w:t>million ($2015</w:t>
      </w:r>
      <w:r w:rsidR="004C6FB6">
        <w:rPr>
          <w:rStyle w:val="AERbody"/>
        </w:rPr>
        <w:noBreakHyphen/>
      </w:r>
      <w:r>
        <w:rPr>
          <w:rStyle w:val="AERbody"/>
        </w:rPr>
        <w:t>16) is a reasonable estimate for the purpose of forecasting opex for the 2016</w:t>
      </w:r>
      <w:r w:rsidR="00D965AA">
        <w:rPr>
          <w:rStyle w:val="AERbody"/>
        </w:rPr>
        <w:t>–</w:t>
      </w:r>
      <w:r>
        <w:rPr>
          <w:rStyle w:val="AERbody"/>
        </w:rPr>
        <w:t>21 period.</w:t>
      </w:r>
      <w:r w:rsidR="00C02C1B">
        <w:rPr>
          <w:rStyle w:val="FootnoteReference"/>
        </w:rPr>
        <w:footnoteReference w:id="12"/>
      </w:r>
      <w:r>
        <w:rPr>
          <w:rStyle w:val="AERbody"/>
        </w:rPr>
        <w:t xml:space="preserve"> </w:t>
      </w:r>
    </w:p>
    <w:p w:rsidR="00BF7E47" w:rsidRDefault="00BF7E47" w:rsidP="00BF7E47">
      <w:pPr>
        <w:pStyle w:val="HeadingBoldItalic"/>
      </w:pPr>
      <w:r w:rsidRPr="008313E3">
        <w:t xml:space="preserve">Is base opex efficient? </w:t>
      </w:r>
    </w:p>
    <w:p w:rsidR="00C02C1B" w:rsidRPr="007369A6" w:rsidRDefault="00C02C1B" w:rsidP="00C02C1B">
      <w:pPr>
        <w:pStyle w:val="ListParagraph"/>
        <w:numPr>
          <w:ilvl w:val="0"/>
          <w:numId w:val="24"/>
        </w:numPr>
      </w:pPr>
      <w:r w:rsidRPr="007369A6">
        <w:t>Relevant to our assessment of the base year</w:t>
      </w:r>
      <w:r w:rsidR="00293157">
        <w:t xml:space="preserve"> opex</w:t>
      </w:r>
      <w:r w:rsidRPr="007369A6">
        <w:t xml:space="preserve"> is that A</w:t>
      </w:r>
      <w:r>
        <w:t xml:space="preserve">GN </w:t>
      </w:r>
      <w:r w:rsidRPr="007369A6">
        <w:t xml:space="preserve">was subject to an opex efficiency incentive mechanism in the 2010–15 </w:t>
      </w:r>
      <w:proofErr w:type="gramStart"/>
      <w:r w:rsidRPr="007369A6">
        <w:t>period</w:t>
      </w:r>
      <w:proofErr w:type="gramEnd"/>
      <w:r w:rsidRPr="007369A6">
        <w:t>. Typically, where a service provider is subject to an incentive mechanism</w:t>
      </w:r>
      <w:r w:rsidR="00D965AA">
        <w:t>,</w:t>
      </w:r>
      <w:r w:rsidRPr="007369A6">
        <w:t xml:space="preserve"> we are satisfied that there is a continuous incentive for a service provider to make efficiency gains and it does not have an incentive to increase its opex in the proposed base year. </w:t>
      </w:r>
      <w:r w:rsidRPr="00BB59A8">
        <w:rPr>
          <w:rStyle w:val="AERbody"/>
        </w:rPr>
        <w:t xml:space="preserve">AGN achieved improvements in its opex over the 2010–15 </w:t>
      </w:r>
      <w:proofErr w:type="gramStart"/>
      <w:r w:rsidRPr="00BB59A8">
        <w:rPr>
          <w:rStyle w:val="AERbody"/>
        </w:rPr>
        <w:t>period</w:t>
      </w:r>
      <w:proofErr w:type="gramEnd"/>
      <w:r w:rsidRPr="00BB59A8">
        <w:rPr>
          <w:rStyle w:val="AERbody"/>
        </w:rPr>
        <w:t>, suggesting it was responding to the cost minimisation incentives in the framework and that its revealed costs are a reasonable basis for determining its forecast costs.</w:t>
      </w:r>
      <w:r w:rsidRPr="00BB59A8">
        <w:rPr>
          <w:rStyle w:val="FootnoteReference"/>
        </w:rPr>
        <w:footnoteReference w:id="13"/>
      </w:r>
      <w:r>
        <w:t xml:space="preserve"> </w:t>
      </w:r>
    </w:p>
    <w:p w:rsidR="002C64A0" w:rsidRPr="007369A6" w:rsidRDefault="002C64A0" w:rsidP="002C64A0">
      <w:pPr>
        <w:pStyle w:val="ListParagraph"/>
        <w:numPr>
          <w:ilvl w:val="0"/>
          <w:numId w:val="24"/>
        </w:numPr>
      </w:pPr>
      <w:r w:rsidRPr="007369A6">
        <w:t xml:space="preserve">We have not been presented with evidence to suggest that </w:t>
      </w:r>
      <w:r>
        <w:t>AGN</w:t>
      </w:r>
      <w:r w:rsidRPr="007369A6">
        <w:t>’s revealed costs in its proposed base year are materially inefficient.</w:t>
      </w:r>
    </w:p>
    <w:p w:rsidR="009C6C1B" w:rsidRDefault="009C6C1B" w:rsidP="009C6C1B">
      <w:pPr>
        <w:pStyle w:val="HeadingBoldItalic"/>
        <w:numPr>
          <w:ilvl w:val="0"/>
          <w:numId w:val="24"/>
        </w:numPr>
      </w:pPr>
      <w:r>
        <w:t>Which year should be used as the base year?</w:t>
      </w:r>
    </w:p>
    <w:p w:rsidR="00BA592F" w:rsidRDefault="00075AE9" w:rsidP="002C64A0">
      <w:pPr>
        <w:pStyle w:val="ListParagraph"/>
        <w:numPr>
          <w:ilvl w:val="0"/>
          <w:numId w:val="24"/>
        </w:numPr>
      </w:pPr>
      <w:r>
        <w:t xml:space="preserve">The Energy Consumer's Coalition of South Australia's </w:t>
      </w:r>
      <w:r w:rsidR="00020323">
        <w:t xml:space="preserve">(ECCSA) </w:t>
      </w:r>
      <w:r>
        <w:t>submission questions whether the AER should use another year for base opex in the current period.</w:t>
      </w:r>
      <w:r>
        <w:rPr>
          <w:rStyle w:val="FootnoteReference"/>
        </w:rPr>
        <w:footnoteReference w:id="14"/>
      </w:r>
      <w:r>
        <w:t xml:space="preserve"> We do not agree </w:t>
      </w:r>
      <w:r w:rsidR="00F044FD">
        <w:t xml:space="preserve">that another year should be used as </w:t>
      </w:r>
      <w:r>
        <w:t xml:space="preserve">the base year. </w:t>
      </w:r>
    </w:p>
    <w:p w:rsidR="002C64A0" w:rsidRPr="007369A6" w:rsidRDefault="00075AE9" w:rsidP="002C64A0">
      <w:pPr>
        <w:pStyle w:val="ListParagraph"/>
        <w:numPr>
          <w:ilvl w:val="0"/>
          <w:numId w:val="24"/>
        </w:numPr>
      </w:pPr>
      <w:r>
        <w:t xml:space="preserve">In making our </w:t>
      </w:r>
      <w:r w:rsidR="002C64A0" w:rsidRPr="007369A6">
        <w:t>assessment of A</w:t>
      </w:r>
      <w:r w:rsidR="002C64A0">
        <w:t xml:space="preserve">GN's </w:t>
      </w:r>
      <w:r w:rsidR="002C64A0" w:rsidRPr="007369A6">
        <w:t xml:space="preserve">efficient opex, we </w:t>
      </w:r>
      <w:r>
        <w:t xml:space="preserve">have relied </w:t>
      </w:r>
      <w:r w:rsidR="002C64A0" w:rsidRPr="007369A6">
        <w:t>primarily on analysis of A</w:t>
      </w:r>
      <w:r w:rsidR="002C64A0">
        <w:t>GN</w:t>
      </w:r>
      <w:r w:rsidR="002C64A0" w:rsidRPr="007369A6">
        <w:t>’s historical trends</w:t>
      </w:r>
      <w:r w:rsidR="006C3BA6">
        <w:t xml:space="preserve"> and</w:t>
      </w:r>
      <w:r w:rsidR="002C64A0" w:rsidRPr="007369A6">
        <w:t xml:space="preserve"> the </w:t>
      </w:r>
      <w:r w:rsidR="002C64A0" w:rsidRPr="00D0788B">
        <w:t xml:space="preserve">gas </w:t>
      </w:r>
      <w:r w:rsidR="002C64A0">
        <w:t>service provider</w:t>
      </w:r>
      <w:r w:rsidR="002C64A0" w:rsidRPr="00D0788B">
        <w:t xml:space="preserve"> productivity </w:t>
      </w:r>
      <w:r w:rsidR="002C64A0">
        <w:t>analysis</w:t>
      </w:r>
      <w:r w:rsidR="002C64A0" w:rsidRPr="00D0788B">
        <w:t xml:space="preserve"> which AGN submitted as </w:t>
      </w:r>
      <w:r w:rsidR="002C64A0">
        <w:t>part of its regulatory proposal</w:t>
      </w:r>
      <w:r w:rsidR="002C64A0" w:rsidRPr="007369A6">
        <w:t>.</w:t>
      </w:r>
      <w:r w:rsidR="002C64A0">
        <w:rPr>
          <w:rStyle w:val="FootnoteReference"/>
        </w:rPr>
        <w:footnoteReference w:id="15"/>
      </w:r>
      <w:r w:rsidR="0080259E">
        <w:t xml:space="preserve"> </w:t>
      </w:r>
    </w:p>
    <w:p w:rsidR="00F044FD" w:rsidRPr="00B91464" w:rsidRDefault="009404A6" w:rsidP="00F044FD">
      <w:pPr>
        <w:pStyle w:val="ListParagraph"/>
        <w:numPr>
          <w:ilvl w:val="0"/>
          <w:numId w:val="24"/>
        </w:numPr>
        <w:rPr>
          <w:rStyle w:val="AERbody"/>
        </w:rPr>
      </w:pPr>
      <w:r w:rsidRPr="00B91464">
        <w:rPr>
          <w:rStyle w:val="AERbody"/>
        </w:rPr>
        <w:t>A</w:t>
      </w:r>
      <w:r>
        <w:rPr>
          <w:rStyle w:val="AERbody"/>
        </w:rPr>
        <w:t>GN</w:t>
      </w:r>
      <w:r w:rsidRPr="00B91464">
        <w:rPr>
          <w:rStyle w:val="AERbody"/>
        </w:rPr>
        <w:t xml:space="preserve">'s revised proposal maintains </w:t>
      </w:r>
      <w:r>
        <w:t xml:space="preserve">2014–15 </w:t>
      </w:r>
      <w:r w:rsidRPr="00B91464">
        <w:rPr>
          <w:rStyle w:val="AERbody"/>
        </w:rPr>
        <w:t>as the base year</w:t>
      </w:r>
      <w:r w:rsidR="00667A29">
        <w:rPr>
          <w:rStyle w:val="AERbody"/>
        </w:rPr>
        <w:t>,</w:t>
      </w:r>
      <w:r w:rsidR="00C02C1B">
        <w:rPr>
          <w:rStyle w:val="AERbody"/>
        </w:rPr>
        <w:t xml:space="preserve"> </w:t>
      </w:r>
      <w:r>
        <w:rPr>
          <w:rStyle w:val="AERbody"/>
        </w:rPr>
        <w:t>which we accept.</w:t>
      </w:r>
      <w:r w:rsidRPr="00B91464">
        <w:rPr>
          <w:rStyle w:val="AERbody"/>
        </w:rPr>
        <w:t xml:space="preserve"> </w:t>
      </w:r>
      <w:r w:rsidR="00F044FD">
        <w:rPr>
          <w:rStyle w:val="AERbody"/>
        </w:rPr>
        <w:t>AGN provide</w:t>
      </w:r>
      <w:r w:rsidR="00F044FD" w:rsidRPr="00B91464">
        <w:rPr>
          <w:rStyle w:val="AERbody"/>
        </w:rPr>
        <w:t xml:space="preserve"> updated </w:t>
      </w:r>
      <w:r w:rsidR="00F044FD">
        <w:rPr>
          <w:rStyle w:val="AERbody"/>
        </w:rPr>
        <w:t>data</w:t>
      </w:r>
      <w:r w:rsidR="00F044FD" w:rsidRPr="00B91464">
        <w:rPr>
          <w:rStyle w:val="AERbody"/>
        </w:rPr>
        <w:t xml:space="preserve"> for total actual opex in </w:t>
      </w:r>
      <w:r w:rsidR="00F044FD">
        <w:t>2014–15</w:t>
      </w:r>
      <w:r w:rsidR="00F044FD" w:rsidRPr="00B91464">
        <w:rPr>
          <w:rStyle w:val="AERbody"/>
        </w:rPr>
        <w:t>.</w:t>
      </w:r>
      <w:r w:rsidR="00F044FD">
        <w:rPr>
          <w:rStyle w:val="AERbody"/>
        </w:rPr>
        <w:t xml:space="preserve"> </w:t>
      </w:r>
      <w:r w:rsidR="00F044FD">
        <w:t xml:space="preserve">This is $58 million ($2015–16) excluding debt raising costs. </w:t>
      </w:r>
    </w:p>
    <w:p w:rsidR="009404A6" w:rsidRDefault="009404A6" w:rsidP="009404A6">
      <w:pPr>
        <w:pStyle w:val="ListParagraph"/>
        <w:numPr>
          <w:ilvl w:val="0"/>
          <w:numId w:val="24"/>
        </w:numPr>
        <w:rPr>
          <w:rStyle w:val="AERbody"/>
        </w:rPr>
      </w:pPr>
      <w:r>
        <w:rPr>
          <w:rStyle w:val="AERbody"/>
        </w:rPr>
        <w:t xml:space="preserve">The reasons we considered that AGN's base year </w:t>
      </w:r>
      <w:r w:rsidR="00C82FA8">
        <w:rPr>
          <w:rStyle w:val="AERbody"/>
        </w:rPr>
        <w:t xml:space="preserve">is </w:t>
      </w:r>
      <w:r>
        <w:rPr>
          <w:rStyle w:val="AERbody"/>
        </w:rPr>
        <w:t>a reasonable base year for forecasting opex in our draft decision remain:</w:t>
      </w:r>
      <w:r w:rsidR="006C3BA6">
        <w:rPr>
          <w:rStyle w:val="FootnoteReference"/>
        </w:rPr>
        <w:footnoteReference w:id="16"/>
      </w:r>
    </w:p>
    <w:p w:rsidR="009404A6" w:rsidRPr="00BF7E47" w:rsidRDefault="009404A6" w:rsidP="009404A6">
      <w:pPr>
        <w:pStyle w:val="AERbulletlistfirststyle"/>
      </w:pPr>
      <w:r>
        <w:t xml:space="preserve">As opex </w:t>
      </w:r>
      <w:r w:rsidRPr="00BF7E47">
        <w:t>is generally recurrent, actual costs incurred in 2014–15 are likely</w:t>
      </w:r>
      <w:r w:rsidR="001950AE">
        <w:t xml:space="preserve"> to</w:t>
      </w:r>
      <w:r w:rsidRPr="00BF7E47">
        <w:t xml:space="preserve"> be a good indicator for the efficient costs to be incurred in the 2016–21 period.</w:t>
      </w:r>
    </w:p>
    <w:p w:rsidR="009404A6" w:rsidRPr="00BF7E47" w:rsidRDefault="009404A6" w:rsidP="009404A6">
      <w:pPr>
        <w:pStyle w:val="AERbulletlistfirststyle"/>
      </w:pPr>
      <w:r>
        <w:t xml:space="preserve">2014–15 is the second last year of the current access arrangement period. The second last year is usually the most recent </w:t>
      </w:r>
      <w:r w:rsidR="00C02C1B">
        <w:t xml:space="preserve">data </w:t>
      </w:r>
      <w:r>
        <w:t>available at the time of our final determination.</w:t>
      </w:r>
      <w:r w:rsidRPr="00BF7E47">
        <w:t xml:space="preserve"> To the extent expenditure drivers do not change over time, this year is likely to best reflect expenditure in the forecast period.</w:t>
      </w:r>
    </w:p>
    <w:p w:rsidR="009404A6" w:rsidRPr="00BF7E47" w:rsidRDefault="009404A6" w:rsidP="009404A6">
      <w:pPr>
        <w:pStyle w:val="AERbulletlistfirststyle"/>
      </w:pPr>
      <w:r w:rsidRPr="00984DC6">
        <w:t xml:space="preserve">AGN's opex is relatively stable across the </w:t>
      </w:r>
      <w:r w:rsidRPr="00BF7E47">
        <w:t xml:space="preserve">2011–16 </w:t>
      </w:r>
      <w:proofErr w:type="gramStart"/>
      <w:r w:rsidRPr="00BF7E47">
        <w:t>period</w:t>
      </w:r>
      <w:proofErr w:type="gramEnd"/>
      <w:r w:rsidRPr="00BF7E47">
        <w:t>. For instance</w:t>
      </w:r>
      <w:r w:rsidR="00393555">
        <w:t>,</w:t>
      </w:r>
      <w:r w:rsidRPr="00BF7E47">
        <w:t xml:space="preserve"> opex in 2013–14 is not significantly different from the equivalent opex in 2014–15.</w:t>
      </w:r>
    </w:p>
    <w:p w:rsidR="009404A6" w:rsidRPr="00BF7E47" w:rsidRDefault="009404A6" w:rsidP="009404A6">
      <w:pPr>
        <w:pStyle w:val="AERbulletlistfirststyle"/>
      </w:pPr>
      <w:r w:rsidRPr="00984DC6">
        <w:t>AGN</w:t>
      </w:r>
      <w:r w:rsidRPr="00BF7E47">
        <w:t xml:space="preserve">'s opex was subject to an efficiency </w:t>
      </w:r>
      <w:r w:rsidR="00C02C1B">
        <w:t>carryover</w:t>
      </w:r>
      <w:r w:rsidR="00C02C1B" w:rsidRPr="00BF7E47">
        <w:t xml:space="preserve"> </w:t>
      </w:r>
      <w:r w:rsidRPr="00BF7E47">
        <w:t xml:space="preserve">mechanism in the 2011–16 </w:t>
      </w:r>
      <w:proofErr w:type="gramStart"/>
      <w:r w:rsidRPr="00BF7E47">
        <w:t>period</w:t>
      </w:r>
      <w:proofErr w:type="gramEnd"/>
      <w:r w:rsidRPr="00BF7E47">
        <w:t>, which reduces any incentive for AGN to increase opex in its proposed base year.</w:t>
      </w:r>
    </w:p>
    <w:p w:rsidR="009404A6" w:rsidRPr="00BF7E47" w:rsidRDefault="009404A6" w:rsidP="009404A6">
      <w:pPr>
        <w:pStyle w:val="AERbulletlistfirststyle"/>
      </w:pPr>
      <w:r w:rsidRPr="002A48D5">
        <w:t>AGN adjust</w:t>
      </w:r>
      <w:r w:rsidRPr="00BF7E47">
        <w:t>ed its base year to remove non</w:t>
      </w:r>
      <w:r w:rsidR="00393555">
        <w:t>-</w:t>
      </w:r>
      <w:r w:rsidRPr="00BF7E47">
        <w:t xml:space="preserve">recurrent costs relating to a transmission pipeline failure in Port Pirie and Whyalla. </w:t>
      </w:r>
    </w:p>
    <w:p w:rsidR="009404A6" w:rsidRDefault="009404A6" w:rsidP="009404A6">
      <w:pPr>
        <w:pStyle w:val="AERbulletlistfirststyle"/>
      </w:pPr>
      <w:r w:rsidRPr="00984DC6">
        <w:t>We did not find any further evidence of non</w:t>
      </w:r>
      <w:r w:rsidR="00393555">
        <w:t>-</w:t>
      </w:r>
      <w:r w:rsidRPr="00BF7E47">
        <w:t>recurrent expenditure in AGN's proposed adjusted base year, once the non</w:t>
      </w:r>
      <w:r w:rsidR="00BF24E0">
        <w:t>-</w:t>
      </w:r>
      <w:r w:rsidRPr="00BF7E47">
        <w:t>recurrent expenditure that AGN identified had been removed.</w:t>
      </w:r>
    </w:p>
    <w:p w:rsidR="009404A6" w:rsidRDefault="009404A6" w:rsidP="009404A6">
      <w:pPr>
        <w:pStyle w:val="HeadingItalic"/>
        <w:numPr>
          <w:ilvl w:val="0"/>
          <w:numId w:val="24"/>
        </w:numPr>
      </w:pPr>
      <w:r>
        <w:t xml:space="preserve">Base year adjustments </w:t>
      </w:r>
    </w:p>
    <w:p w:rsidR="00742DCB" w:rsidRDefault="00215761" w:rsidP="009601F0">
      <w:pPr>
        <w:pStyle w:val="ListParagraph"/>
        <w:numPr>
          <w:ilvl w:val="0"/>
          <w:numId w:val="24"/>
        </w:numPr>
      </w:pPr>
      <w:r>
        <w:t>AGN's updated forecast for base year opex is $11.</w:t>
      </w:r>
      <w:r w:rsidR="002B77C4">
        <w:t>4</w:t>
      </w:r>
      <w:r>
        <w:t xml:space="preserve"> million more than the forecast base year opex of $47 million ($2015–16) set out in its initial proposal. This difference </w:t>
      </w:r>
      <w:r w:rsidR="00F044FD">
        <w:t>is largely</w:t>
      </w:r>
      <w:r>
        <w:t xml:space="preserve"> attributed to AGN accepting the base year adjustments we set out in our draft decision. </w:t>
      </w:r>
      <w:r w:rsidR="00293157">
        <w:t>Specifically</w:t>
      </w:r>
      <w:r w:rsidR="00F044FD">
        <w:t>,</w:t>
      </w:r>
      <w:r w:rsidR="00293157">
        <w:t xml:space="preserve"> </w:t>
      </w:r>
      <w:r w:rsidR="009404A6" w:rsidRPr="009404A6">
        <w:t>A</w:t>
      </w:r>
      <w:r w:rsidR="00445217">
        <w:t>GN</w:t>
      </w:r>
      <w:r w:rsidR="009404A6" w:rsidRPr="009404A6">
        <w:t xml:space="preserve"> </w:t>
      </w:r>
      <w:r w:rsidR="00C02C1B">
        <w:t xml:space="preserve">has </w:t>
      </w:r>
      <w:r w:rsidR="009404A6" w:rsidRPr="009404A6">
        <w:t>accepted our draft decision wit</w:t>
      </w:r>
      <w:r w:rsidR="00742DCB">
        <w:t>h respect to category</w:t>
      </w:r>
      <w:r w:rsidR="00BF24E0">
        <w:t>-</w:t>
      </w:r>
      <w:r w:rsidR="00742DCB">
        <w:t xml:space="preserve">specific forecasts for </w:t>
      </w:r>
      <w:r w:rsidR="00F044FD">
        <w:t>Network Management Fee (NMF)</w:t>
      </w:r>
      <w:r w:rsidR="00742DCB">
        <w:t>, ancillary reference services and insurance costs</w:t>
      </w:r>
      <w:r w:rsidR="009404A6" w:rsidRPr="009404A6">
        <w:t>.</w:t>
      </w:r>
      <w:r w:rsidR="00445217" w:rsidRPr="009404A6">
        <w:t xml:space="preserve"> We considered these costs are broadly recurrent and lead to a total forecast of opex that is recurrent such that they should be included in base year opex, rather than forecast separately. </w:t>
      </w:r>
    </w:p>
    <w:p w:rsidR="00913BC0" w:rsidRPr="00913BC0" w:rsidRDefault="00445217" w:rsidP="00913BC0">
      <w:r>
        <w:t xml:space="preserve">AGN </w:t>
      </w:r>
      <w:r w:rsidR="00A678BA">
        <w:t xml:space="preserve">also </w:t>
      </w:r>
      <w:r>
        <w:t xml:space="preserve">accepted our adjustment to </w:t>
      </w:r>
      <w:r w:rsidRPr="009404A6">
        <w:t xml:space="preserve">base year opex to include expenditure on </w:t>
      </w:r>
      <w:r w:rsidR="00742DCB">
        <w:t xml:space="preserve">two </w:t>
      </w:r>
      <w:r w:rsidRPr="009404A6">
        <w:t xml:space="preserve">projects </w:t>
      </w:r>
      <w:r w:rsidR="00F044FD">
        <w:t>re</w:t>
      </w:r>
      <w:r w:rsidR="00D35DCE">
        <w:t>-</w:t>
      </w:r>
      <w:r w:rsidR="00F044FD">
        <w:t>categorised</w:t>
      </w:r>
      <w:r w:rsidR="00F044FD" w:rsidRPr="009404A6">
        <w:t xml:space="preserve"> </w:t>
      </w:r>
      <w:r w:rsidRPr="009404A6">
        <w:t>from capex to opex.</w:t>
      </w:r>
      <w:r w:rsidR="00742DCB">
        <w:rPr>
          <w:rStyle w:val="FootnoteReference"/>
        </w:rPr>
        <w:footnoteReference w:id="17"/>
      </w:r>
      <w:r w:rsidRPr="009404A6">
        <w:t xml:space="preserve"> </w:t>
      </w:r>
      <w:r w:rsidR="00913BC0" w:rsidRPr="00913BC0">
        <w:t>Following our review of AGN's revised proposal</w:t>
      </w:r>
      <w:r w:rsidR="00A7581A">
        <w:t>,</w:t>
      </w:r>
      <w:r w:rsidR="00913BC0" w:rsidRPr="00913BC0">
        <w:t xml:space="preserve"> we sought clarification from AGN on its </w:t>
      </w:r>
      <w:r w:rsidR="00BF5405">
        <w:t>categorisation</w:t>
      </w:r>
      <w:r w:rsidR="00BF5405" w:rsidRPr="00913BC0">
        <w:t xml:space="preserve"> </w:t>
      </w:r>
      <w:r w:rsidR="00913BC0" w:rsidRPr="00913BC0">
        <w:t xml:space="preserve">of </w:t>
      </w:r>
      <w:r w:rsidR="00913BC0">
        <w:t xml:space="preserve">a third </w:t>
      </w:r>
      <w:r w:rsidR="00913BC0" w:rsidRPr="00913BC0">
        <w:t xml:space="preserve">project </w:t>
      </w:r>
      <w:r w:rsidR="00913BC0">
        <w:t>(Valve Corrosion Protection SA09)</w:t>
      </w:r>
      <w:r w:rsidR="00BF5405">
        <w:t xml:space="preserve"> as capex</w:t>
      </w:r>
      <w:r w:rsidR="00913BC0">
        <w:t>.</w:t>
      </w:r>
      <w:r w:rsidR="00913BC0">
        <w:rPr>
          <w:rStyle w:val="FootnoteReference"/>
        </w:rPr>
        <w:footnoteReference w:id="18"/>
      </w:r>
      <w:r w:rsidR="00913BC0">
        <w:t xml:space="preserve"> </w:t>
      </w:r>
      <w:r w:rsidR="00913BC0" w:rsidRPr="00913BC0">
        <w:t xml:space="preserve">AGN reviewed its </w:t>
      </w:r>
      <w:r w:rsidR="00BF5405">
        <w:t>categorisation</w:t>
      </w:r>
      <w:r w:rsidR="00BF5405" w:rsidRPr="00913BC0">
        <w:t xml:space="preserve"> </w:t>
      </w:r>
      <w:r w:rsidR="00913BC0" w:rsidRPr="00913BC0">
        <w:t xml:space="preserve">of this project and agreed to accept the AER's draft decision to </w:t>
      </w:r>
      <w:r w:rsidR="00BF5405">
        <w:t>categorise</w:t>
      </w:r>
      <w:r w:rsidR="00BF5405" w:rsidRPr="00913BC0">
        <w:t xml:space="preserve"> </w:t>
      </w:r>
      <w:r w:rsidR="00913BC0" w:rsidRPr="00913BC0">
        <w:t>this project as opex.</w:t>
      </w:r>
      <w:r w:rsidR="00913BC0" w:rsidRPr="00913BC0">
        <w:rPr>
          <w:rStyle w:val="FootnoteReference"/>
        </w:rPr>
        <w:footnoteReference w:id="19"/>
      </w:r>
      <w:r w:rsidR="00913BC0" w:rsidRPr="00913BC0">
        <w:t xml:space="preserve"> </w:t>
      </w:r>
      <w:r w:rsidR="003127BB">
        <w:t xml:space="preserve">As a result we </w:t>
      </w:r>
      <w:r w:rsidR="006420EA">
        <w:t xml:space="preserve">further </w:t>
      </w:r>
      <w:r w:rsidR="003127BB">
        <w:t xml:space="preserve">increased </w:t>
      </w:r>
      <w:r w:rsidR="006420EA">
        <w:t>our alternative estimate of</w:t>
      </w:r>
      <w:r w:rsidR="003127BB">
        <w:t xml:space="preserve"> base year opex by $0.2 million ($2015</w:t>
      </w:r>
      <w:r w:rsidR="00F414BE">
        <w:t>–</w:t>
      </w:r>
      <w:r w:rsidR="003127BB">
        <w:t>16).</w:t>
      </w:r>
    </w:p>
    <w:p w:rsidR="00742DCB" w:rsidRDefault="00742DCB" w:rsidP="00742DCB">
      <w:pPr>
        <w:pStyle w:val="Heading3"/>
      </w:pPr>
      <w:bookmarkStart w:id="41" w:name="_Toc441827421"/>
      <w:bookmarkStart w:id="42" w:name="_Ref444851302"/>
      <w:bookmarkStart w:id="43" w:name="_Ref444851456"/>
      <w:bookmarkStart w:id="44" w:name="_Toc451527270"/>
      <w:r>
        <w:t>Rate of change</w:t>
      </w:r>
      <w:bookmarkEnd w:id="41"/>
      <w:bookmarkEnd w:id="42"/>
      <w:bookmarkEnd w:id="43"/>
      <w:bookmarkEnd w:id="44"/>
    </w:p>
    <w:p w:rsidR="00742DCB" w:rsidRDefault="00742DCB" w:rsidP="00742DCB">
      <w:r>
        <w:t>Once we determine</w:t>
      </w:r>
      <w:r w:rsidRPr="00574A1D">
        <w:t xml:space="preserve"> the efficient base level of opex</w:t>
      </w:r>
      <w:r>
        <w:t xml:space="preserve">, </w:t>
      </w:r>
      <w:r w:rsidRPr="00574A1D">
        <w:t xml:space="preserve">we apply a forecast annual rate of change </w:t>
      </w:r>
      <w:r>
        <w:t>to account for efficient changes in opex over time. I</w:t>
      </w:r>
      <w:r w:rsidRPr="00FE5A48">
        <w:t xml:space="preserve">n the </w:t>
      </w:r>
      <w:r w:rsidRPr="007B7632">
        <w:rPr>
          <w:rStyle w:val="AERtextitalic"/>
        </w:rPr>
        <w:t xml:space="preserve">Expenditure </w:t>
      </w:r>
      <w:r>
        <w:rPr>
          <w:rStyle w:val="AERtextitalic"/>
        </w:rPr>
        <w:t>F</w:t>
      </w:r>
      <w:r w:rsidRPr="007B7632">
        <w:rPr>
          <w:rStyle w:val="AERtextitalic"/>
        </w:rPr>
        <w:t xml:space="preserve">orecast </w:t>
      </w:r>
      <w:r>
        <w:rPr>
          <w:rStyle w:val="AERtextitalic"/>
        </w:rPr>
        <w:t>A</w:t>
      </w:r>
      <w:r w:rsidRPr="007B7632">
        <w:rPr>
          <w:rStyle w:val="AERtextitalic"/>
        </w:rPr>
        <w:t xml:space="preserve">ssessment </w:t>
      </w:r>
      <w:r>
        <w:rPr>
          <w:rStyle w:val="AERtextitalic"/>
        </w:rPr>
        <w:t>G</w:t>
      </w:r>
      <w:r w:rsidRPr="007B7632">
        <w:rPr>
          <w:rStyle w:val="AERtextitalic"/>
        </w:rPr>
        <w:t>uideline</w:t>
      </w:r>
      <w:r>
        <w:t xml:space="preserve"> we developed a methodology for adjusting base year opex known as the rate of change.</w:t>
      </w:r>
      <w:r>
        <w:rPr>
          <w:rStyle w:val="FootnoteReference"/>
        </w:rPr>
        <w:footnoteReference w:id="20"/>
      </w:r>
      <w:r>
        <w:t xml:space="preserve"> The rate of change is the ‘trend’ component of the Base–Step–Trend forecasting method and is forecast as:</w:t>
      </w:r>
    </w:p>
    <w:p w:rsidR="00742DCB" w:rsidRPr="00FE5A48" w:rsidRDefault="00742DCB" w:rsidP="00742DCB">
      <m:oMathPara>
        <m:oMath>
          <m:r>
            <w:rPr>
              <w:rFonts w:ascii="Cambria Math" w:hAnsi="Cambria Math"/>
            </w:rPr>
            <m:t>∆Opex= ∆input price + ∆output- ∆productivity</m:t>
          </m:r>
          <m:r>
            <w:rPr>
              <w:rStyle w:val="FootnoteReference"/>
              <w:rFonts w:ascii="Cambria Math" w:hAnsi="Cambria Math"/>
              <w:i/>
            </w:rPr>
            <w:footnoteReference w:id="21"/>
          </m:r>
        </m:oMath>
      </m:oMathPara>
    </w:p>
    <w:p w:rsidR="00742DCB" w:rsidRDefault="00742DCB" w:rsidP="00742DCB">
      <w:proofErr w:type="gramStart"/>
      <w:r>
        <w:t>w</w:t>
      </w:r>
      <w:r w:rsidRPr="00FE5A48">
        <w:t>here</w:t>
      </w:r>
      <w:proofErr w:type="gramEnd"/>
      <w:r w:rsidRPr="00FE5A48">
        <w:t xml:space="preserve"> </w:t>
      </w:r>
      <m:oMath>
        <m:r>
          <w:rPr>
            <w:rFonts w:ascii="Cambria Math" w:hAnsi="Cambria Math"/>
          </w:rPr>
          <m:t>∆</m:t>
        </m:r>
      </m:oMath>
      <w:r w:rsidRPr="00FE5A48">
        <w:t xml:space="preserve"> denotes the pro</w:t>
      </w:r>
      <w:r>
        <w:t>portional change in a variable.</w:t>
      </w:r>
      <w:r w:rsidRPr="00984203">
        <w:t xml:space="preserve"> </w:t>
      </w:r>
    </w:p>
    <w:p w:rsidR="00742DCB" w:rsidRDefault="00742DCB" w:rsidP="00742DCB">
      <w:r>
        <w:t xml:space="preserve">The rate of change captures the year on year change in efficient expenditure. Specifically, it accounts for </w:t>
      </w:r>
      <w:r w:rsidRPr="00F10FF1">
        <w:t xml:space="preserve">forecast changes </w:t>
      </w:r>
      <w:r>
        <w:t>in</w:t>
      </w:r>
      <w:r w:rsidRPr="00F10FF1">
        <w:t xml:space="preserve"> </w:t>
      </w:r>
      <w:r>
        <w:t xml:space="preserve">outputs, prices </w:t>
      </w:r>
      <w:r w:rsidRPr="00F10FF1">
        <w:t>and productivity.</w:t>
      </w:r>
      <w:r>
        <w:t xml:space="preserve"> These three opex drivers should explain all changes in efficient opex. The output and productivity change variables capture the forecast change in the inputs required. The real price change variable captures the forecast change in the prices of those inputs. </w:t>
      </w:r>
    </w:p>
    <w:p w:rsidR="00742DCB" w:rsidRDefault="00E42ECE" w:rsidP="00742DCB">
      <w:pPr>
        <w:pStyle w:val="Heading4"/>
      </w:pPr>
      <w:r w:rsidRPr="00BA0BF1">
        <w:t>Overall</w:t>
      </w:r>
      <w:r>
        <w:t xml:space="preserve"> </w:t>
      </w:r>
      <w:r w:rsidR="00742DCB">
        <w:t>rate of change</w:t>
      </w:r>
    </w:p>
    <w:p w:rsidR="00742DCB" w:rsidRDefault="00485BAB" w:rsidP="00742DCB">
      <w:r w:rsidRPr="00537372">
        <w:t xml:space="preserve">The difference between </w:t>
      </w:r>
      <w:r>
        <w:t>AGN</w:t>
      </w:r>
      <w:r w:rsidRPr="00537372">
        <w:t xml:space="preserve">'s proposed overall rate of change and our forecast rate of change is due to </w:t>
      </w:r>
      <w:r w:rsidR="00F1076F">
        <w:t xml:space="preserve">our use of updated input and output growth data. </w:t>
      </w:r>
      <w:r w:rsidR="00001B48">
        <w:fldChar w:fldCharType="begin"/>
      </w:r>
      <w:r w:rsidR="00001B48">
        <w:instrText xml:space="preserve"> REF _Ref444851566 \h </w:instrText>
      </w:r>
      <w:r w:rsidR="00001B48">
        <w:fldChar w:fldCharType="separate"/>
      </w:r>
      <w:r w:rsidR="000575AB">
        <w:t xml:space="preserve">Table </w:t>
      </w:r>
      <w:r w:rsidR="000575AB">
        <w:rPr>
          <w:noProof/>
        </w:rPr>
        <w:t>7</w:t>
      </w:r>
      <w:r w:rsidR="000575AB">
        <w:t>.</w:t>
      </w:r>
      <w:r w:rsidR="000575AB">
        <w:rPr>
          <w:noProof/>
        </w:rPr>
        <w:t>3</w:t>
      </w:r>
      <w:r w:rsidR="00001B48">
        <w:fldChar w:fldCharType="end"/>
      </w:r>
      <w:r w:rsidR="003D0C8F">
        <w:t xml:space="preserve"> </w:t>
      </w:r>
      <w:r w:rsidR="00742DCB">
        <w:t>compares our final position on each rate of change component and the overall rate of change with</w:t>
      </w:r>
      <w:r w:rsidR="003E0FD0">
        <w:t>in</w:t>
      </w:r>
      <w:r w:rsidR="00742DCB">
        <w:t xml:space="preserve"> A</w:t>
      </w:r>
      <w:r w:rsidR="009508D8">
        <w:t>GN's</w:t>
      </w:r>
      <w:r w:rsidR="00742DCB">
        <w:t xml:space="preserve"> revised proposal.</w:t>
      </w:r>
    </w:p>
    <w:p w:rsidR="00742DCB" w:rsidRDefault="00001B48" w:rsidP="00001B48">
      <w:pPr>
        <w:pStyle w:val="Caption"/>
      </w:pPr>
      <w:bookmarkStart w:id="45" w:name="_Ref444851566"/>
      <w:proofErr w:type="gramStart"/>
      <w:r>
        <w:t xml:space="preserve">Table </w:t>
      </w:r>
      <w:r w:rsidR="00961E5E">
        <w:fldChar w:fldCharType="begin"/>
      </w:r>
      <w:r w:rsidR="00961E5E">
        <w:instrText xml:space="preserve"> STYLEREF 1 \s </w:instrText>
      </w:r>
      <w:r w:rsidR="00961E5E">
        <w:fldChar w:fldCharType="separate"/>
      </w:r>
      <w:r w:rsidR="004F6349">
        <w:rPr>
          <w:noProof/>
        </w:rPr>
        <w:t>7</w:t>
      </w:r>
      <w:r w:rsidR="00961E5E">
        <w:rPr>
          <w:noProof/>
        </w:rPr>
        <w:fldChar w:fldCharType="end"/>
      </w:r>
      <w:r w:rsidR="004F6349">
        <w:t>.</w:t>
      </w:r>
      <w:proofErr w:type="gramEnd"/>
      <w:r w:rsidR="004F6349">
        <w:fldChar w:fldCharType="begin"/>
      </w:r>
      <w:r w:rsidR="004F6349">
        <w:instrText xml:space="preserve"> SEQ Table \* ARABIC \s 1 </w:instrText>
      </w:r>
      <w:r w:rsidR="004F6349">
        <w:fldChar w:fldCharType="separate"/>
      </w:r>
      <w:r w:rsidR="004F6349">
        <w:rPr>
          <w:noProof/>
        </w:rPr>
        <w:t>3</w:t>
      </w:r>
      <w:r w:rsidR="004F6349">
        <w:fldChar w:fldCharType="end"/>
      </w:r>
      <w:bookmarkEnd w:id="45"/>
      <w:r w:rsidR="00742DCB">
        <w:tab/>
        <w:t>A</w:t>
      </w:r>
      <w:r w:rsidR="009508D8">
        <w:t>GN</w:t>
      </w:r>
      <w:r w:rsidR="00742DCB">
        <w:t xml:space="preserve"> </w:t>
      </w:r>
      <w:r w:rsidR="00E50081">
        <w:t xml:space="preserve">revised proposal and AER final decision </w:t>
      </w:r>
      <w:r w:rsidR="0046698A">
        <w:t xml:space="preserve">on </w:t>
      </w:r>
      <w:r w:rsidR="00742DCB">
        <w:t>overall rate of change (per cent)</w:t>
      </w:r>
    </w:p>
    <w:tbl>
      <w:tblPr>
        <w:tblStyle w:val="AERtable-numbers"/>
        <w:tblW w:w="8897" w:type="dxa"/>
        <w:tblLayout w:type="fixed"/>
        <w:tblLook w:val="04A0" w:firstRow="1" w:lastRow="0" w:firstColumn="1" w:lastColumn="0" w:noHBand="0" w:noVBand="1"/>
      </w:tblPr>
      <w:tblGrid>
        <w:gridCol w:w="2518"/>
        <w:gridCol w:w="1275"/>
        <w:gridCol w:w="1276"/>
        <w:gridCol w:w="1276"/>
        <w:gridCol w:w="1276"/>
        <w:gridCol w:w="1276"/>
      </w:tblGrid>
      <w:tr w:rsidR="0050516C" w:rsidTr="001E4D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dxa"/>
          </w:tcPr>
          <w:p w:rsidR="0050516C" w:rsidRDefault="0050516C" w:rsidP="00742DCB">
            <w:pPr>
              <w:numPr>
                <w:ilvl w:val="0"/>
                <w:numId w:val="24"/>
              </w:numPr>
            </w:pPr>
          </w:p>
        </w:tc>
        <w:tc>
          <w:tcPr>
            <w:tcW w:w="1275" w:type="dxa"/>
          </w:tcPr>
          <w:p w:rsidR="0050516C" w:rsidRDefault="0050516C" w:rsidP="00742DCB">
            <w:pPr>
              <w:numPr>
                <w:ilvl w:val="0"/>
                <w:numId w:val="24"/>
              </w:numPr>
              <w:cnfStyle w:val="100000000000" w:firstRow="1" w:lastRow="0" w:firstColumn="0" w:lastColumn="0" w:oddVBand="0" w:evenVBand="0" w:oddHBand="0" w:evenHBand="0" w:firstRowFirstColumn="0" w:firstRowLastColumn="0" w:lastRowFirstColumn="0" w:lastRowLastColumn="0"/>
            </w:pPr>
            <w:r>
              <w:t>2016–17</w:t>
            </w:r>
          </w:p>
        </w:tc>
        <w:tc>
          <w:tcPr>
            <w:tcW w:w="1276" w:type="dxa"/>
          </w:tcPr>
          <w:p w:rsidR="0050516C" w:rsidRPr="00742DCB" w:rsidRDefault="0050516C" w:rsidP="00742DCB">
            <w:pPr>
              <w:cnfStyle w:val="100000000000" w:firstRow="1" w:lastRow="0" w:firstColumn="0" w:lastColumn="0" w:oddVBand="0" w:evenVBand="0" w:oddHBand="0" w:evenHBand="0" w:firstRowFirstColumn="0" w:firstRowLastColumn="0" w:lastRowFirstColumn="0" w:lastRowLastColumn="0"/>
            </w:pPr>
            <w:r>
              <w:t>2017–</w:t>
            </w:r>
            <w:r w:rsidRPr="00742DCB">
              <w:t>18</w:t>
            </w:r>
          </w:p>
        </w:tc>
        <w:tc>
          <w:tcPr>
            <w:tcW w:w="1276" w:type="dxa"/>
          </w:tcPr>
          <w:p w:rsidR="0050516C" w:rsidRPr="00742DCB" w:rsidRDefault="0050516C" w:rsidP="00742DCB">
            <w:pPr>
              <w:cnfStyle w:val="100000000000" w:firstRow="1" w:lastRow="0" w:firstColumn="0" w:lastColumn="0" w:oddVBand="0" w:evenVBand="0" w:oddHBand="0" w:evenHBand="0" w:firstRowFirstColumn="0" w:firstRowLastColumn="0" w:lastRowFirstColumn="0" w:lastRowLastColumn="0"/>
            </w:pPr>
            <w:r>
              <w:t>2018–</w:t>
            </w:r>
            <w:r w:rsidRPr="00742DCB">
              <w:t>19</w:t>
            </w:r>
          </w:p>
        </w:tc>
        <w:tc>
          <w:tcPr>
            <w:tcW w:w="1276" w:type="dxa"/>
          </w:tcPr>
          <w:p w:rsidR="0050516C" w:rsidRPr="00742DCB" w:rsidRDefault="0050516C" w:rsidP="00742DCB">
            <w:pPr>
              <w:cnfStyle w:val="100000000000" w:firstRow="1" w:lastRow="0" w:firstColumn="0" w:lastColumn="0" w:oddVBand="0" w:evenVBand="0" w:oddHBand="0" w:evenHBand="0" w:firstRowFirstColumn="0" w:firstRowLastColumn="0" w:lastRowFirstColumn="0" w:lastRowLastColumn="0"/>
            </w:pPr>
            <w:r>
              <w:t>2019</w:t>
            </w:r>
            <w:r w:rsidRPr="00742DCB">
              <w:t>–20</w:t>
            </w:r>
          </w:p>
        </w:tc>
        <w:tc>
          <w:tcPr>
            <w:tcW w:w="1276" w:type="dxa"/>
          </w:tcPr>
          <w:p w:rsidR="0050516C" w:rsidRDefault="0050516C" w:rsidP="00742DCB">
            <w:pPr>
              <w:numPr>
                <w:ilvl w:val="0"/>
                <w:numId w:val="24"/>
              </w:numPr>
              <w:cnfStyle w:val="100000000000" w:firstRow="1" w:lastRow="0" w:firstColumn="0" w:lastColumn="0" w:oddVBand="0" w:evenVBand="0" w:oddHBand="0" w:evenHBand="0" w:firstRowFirstColumn="0" w:firstRowLastColumn="0" w:lastRowFirstColumn="0" w:lastRowLastColumn="0"/>
            </w:pPr>
            <w:r>
              <w:t>2020–21</w:t>
            </w:r>
          </w:p>
        </w:tc>
      </w:tr>
      <w:tr w:rsidR="0050516C" w:rsidTr="001E4DBF">
        <w:tc>
          <w:tcPr>
            <w:cnfStyle w:val="001000000000" w:firstRow="0" w:lastRow="0" w:firstColumn="1" w:lastColumn="0" w:oddVBand="0" w:evenVBand="0" w:oddHBand="0" w:evenHBand="0" w:firstRowFirstColumn="0" w:firstRowLastColumn="0" w:lastRowFirstColumn="0" w:lastRowLastColumn="0"/>
            <w:tcW w:w="2518" w:type="dxa"/>
          </w:tcPr>
          <w:p w:rsidR="0050516C" w:rsidRPr="00E50081" w:rsidRDefault="0050516C" w:rsidP="00E50081">
            <w:pPr>
              <w:numPr>
                <w:ilvl w:val="0"/>
                <w:numId w:val="24"/>
              </w:numPr>
              <w:rPr>
                <w:rStyle w:val="Strong"/>
              </w:rPr>
            </w:pPr>
            <w:r w:rsidRPr="00E50081">
              <w:rPr>
                <w:rStyle w:val="Strong"/>
              </w:rPr>
              <w:t>AGN revised proposal</w:t>
            </w:r>
          </w:p>
        </w:tc>
        <w:tc>
          <w:tcPr>
            <w:tcW w:w="1275" w:type="dxa"/>
          </w:tcPr>
          <w:p w:rsidR="0050516C" w:rsidRPr="00E50081" w:rsidRDefault="0050516C" w:rsidP="00E50081">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276" w:type="dxa"/>
          </w:tcPr>
          <w:p w:rsidR="0050516C" w:rsidRPr="00E50081" w:rsidRDefault="0050516C" w:rsidP="00E50081">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276" w:type="dxa"/>
          </w:tcPr>
          <w:p w:rsidR="0050516C" w:rsidRPr="00E50081" w:rsidRDefault="0050516C" w:rsidP="00E50081">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276" w:type="dxa"/>
          </w:tcPr>
          <w:p w:rsidR="0050516C" w:rsidRPr="00E50081" w:rsidRDefault="0050516C" w:rsidP="00E50081">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276" w:type="dxa"/>
          </w:tcPr>
          <w:p w:rsidR="0050516C" w:rsidRPr="00E50081" w:rsidRDefault="0050516C" w:rsidP="00E50081">
            <w:pPr>
              <w:cnfStyle w:val="000000000000" w:firstRow="0" w:lastRow="0" w:firstColumn="0" w:lastColumn="0" w:oddVBand="0" w:evenVBand="0" w:oddHBand="0" w:evenHBand="0" w:firstRowFirstColumn="0" w:firstRowLastColumn="0" w:lastRowFirstColumn="0" w:lastRowLastColumn="0"/>
            </w:pPr>
          </w:p>
        </w:tc>
      </w:tr>
      <w:tr w:rsidR="0050516C" w:rsidTr="001E4D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0516C" w:rsidRPr="00E50081" w:rsidRDefault="0050516C" w:rsidP="00E50081">
            <w:pPr>
              <w:numPr>
                <w:ilvl w:val="0"/>
                <w:numId w:val="24"/>
              </w:numPr>
            </w:pPr>
            <w:r w:rsidRPr="00E50081">
              <w:t>Input price change</w:t>
            </w:r>
          </w:p>
        </w:tc>
        <w:tc>
          <w:tcPr>
            <w:tcW w:w="1275" w:type="dxa"/>
          </w:tcPr>
          <w:p w:rsidR="0050516C" w:rsidRPr="00E50081" w:rsidRDefault="0050516C" w:rsidP="00E50081">
            <w:pPr>
              <w:numPr>
                <w:ilvl w:val="0"/>
                <w:numId w:val="24"/>
              </w:numPr>
              <w:cnfStyle w:val="000000010000" w:firstRow="0" w:lastRow="0" w:firstColumn="0" w:lastColumn="0" w:oddVBand="0" w:evenVBand="0" w:oddHBand="0" w:evenHBand="1" w:firstRowFirstColumn="0" w:firstRowLastColumn="0" w:lastRowFirstColumn="0" w:lastRowLastColumn="0"/>
            </w:pPr>
            <w:r>
              <w:t>0.47</w:t>
            </w:r>
          </w:p>
        </w:tc>
        <w:tc>
          <w:tcPr>
            <w:tcW w:w="1276" w:type="dxa"/>
          </w:tcPr>
          <w:p w:rsidR="0050516C" w:rsidRPr="00E50081" w:rsidRDefault="0050516C" w:rsidP="00E50081">
            <w:pPr>
              <w:numPr>
                <w:ilvl w:val="0"/>
                <w:numId w:val="24"/>
              </w:numPr>
              <w:cnfStyle w:val="000000010000" w:firstRow="0" w:lastRow="0" w:firstColumn="0" w:lastColumn="0" w:oddVBand="0" w:evenVBand="0" w:oddHBand="0" w:evenHBand="1" w:firstRowFirstColumn="0" w:firstRowLastColumn="0" w:lastRowFirstColumn="0" w:lastRowLastColumn="0"/>
            </w:pPr>
            <w:r>
              <w:t>0.63</w:t>
            </w:r>
          </w:p>
        </w:tc>
        <w:tc>
          <w:tcPr>
            <w:tcW w:w="1276" w:type="dxa"/>
          </w:tcPr>
          <w:p w:rsidR="0050516C" w:rsidRPr="00E50081" w:rsidRDefault="0050516C" w:rsidP="0050516C">
            <w:pPr>
              <w:cnfStyle w:val="000000010000" w:firstRow="0" w:lastRow="0" w:firstColumn="0" w:lastColumn="0" w:oddVBand="0" w:evenVBand="0" w:oddHBand="0" w:evenHBand="1" w:firstRowFirstColumn="0" w:firstRowLastColumn="0" w:lastRowFirstColumn="0" w:lastRowLastColumn="0"/>
            </w:pPr>
            <w:r>
              <w:t>0.77</w:t>
            </w:r>
          </w:p>
        </w:tc>
        <w:tc>
          <w:tcPr>
            <w:tcW w:w="1276" w:type="dxa"/>
          </w:tcPr>
          <w:p w:rsidR="0050516C" w:rsidRPr="00E50081" w:rsidRDefault="0050516C" w:rsidP="0050516C">
            <w:pPr>
              <w:cnfStyle w:val="000000010000" w:firstRow="0" w:lastRow="0" w:firstColumn="0" w:lastColumn="0" w:oddVBand="0" w:evenVBand="0" w:oddHBand="0" w:evenHBand="1" w:firstRowFirstColumn="0" w:firstRowLastColumn="0" w:lastRowFirstColumn="0" w:lastRowLastColumn="0"/>
            </w:pPr>
            <w:r>
              <w:t>0.86</w:t>
            </w:r>
          </w:p>
        </w:tc>
        <w:tc>
          <w:tcPr>
            <w:tcW w:w="1276" w:type="dxa"/>
          </w:tcPr>
          <w:p w:rsidR="0050516C" w:rsidRPr="00E50081" w:rsidRDefault="0050516C" w:rsidP="00E50081">
            <w:pPr>
              <w:cnfStyle w:val="000000010000" w:firstRow="0" w:lastRow="0" w:firstColumn="0" w:lastColumn="0" w:oddVBand="0" w:evenVBand="0" w:oddHBand="0" w:evenHBand="1" w:firstRowFirstColumn="0" w:firstRowLastColumn="0" w:lastRowFirstColumn="0" w:lastRowLastColumn="0"/>
            </w:pPr>
            <w:r>
              <w:t>0.92</w:t>
            </w:r>
          </w:p>
        </w:tc>
      </w:tr>
      <w:tr w:rsidR="0050516C" w:rsidTr="001E4DBF">
        <w:tc>
          <w:tcPr>
            <w:cnfStyle w:val="001000000000" w:firstRow="0" w:lastRow="0" w:firstColumn="1" w:lastColumn="0" w:oddVBand="0" w:evenVBand="0" w:oddHBand="0" w:evenHBand="0" w:firstRowFirstColumn="0" w:firstRowLastColumn="0" w:lastRowFirstColumn="0" w:lastRowLastColumn="0"/>
            <w:tcW w:w="2518" w:type="dxa"/>
          </w:tcPr>
          <w:p w:rsidR="0050516C" w:rsidRPr="00E50081" w:rsidRDefault="0050516C" w:rsidP="00E50081">
            <w:pPr>
              <w:numPr>
                <w:ilvl w:val="0"/>
                <w:numId w:val="24"/>
              </w:numPr>
            </w:pPr>
            <w:r w:rsidRPr="00E50081">
              <w:t xml:space="preserve">Output change </w:t>
            </w:r>
          </w:p>
        </w:tc>
        <w:tc>
          <w:tcPr>
            <w:tcW w:w="1275" w:type="dxa"/>
          </w:tcPr>
          <w:p w:rsidR="0050516C" w:rsidRPr="00E50081" w:rsidRDefault="0050516C" w:rsidP="00E50081">
            <w:pPr>
              <w:numPr>
                <w:ilvl w:val="0"/>
                <w:numId w:val="24"/>
              </w:numPr>
              <w:cnfStyle w:val="000000000000" w:firstRow="0" w:lastRow="0" w:firstColumn="0" w:lastColumn="0" w:oddVBand="0" w:evenVBand="0" w:oddHBand="0" w:evenHBand="0" w:firstRowFirstColumn="0" w:firstRowLastColumn="0" w:lastRowFirstColumn="0" w:lastRowLastColumn="0"/>
            </w:pPr>
            <w:r>
              <w:t>-0.01</w:t>
            </w:r>
          </w:p>
        </w:tc>
        <w:tc>
          <w:tcPr>
            <w:tcW w:w="1276" w:type="dxa"/>
          </w:tcPr>
          <w:p w:rsidR="0050516C" w:rsidRPr="00E50081" w:rsidRDefault="0050516C" w:rsidP="00E50081">
            <w:pPr>
              <w:numPr>
                <w:ilvl w:val="0"/>
                <w:numId w:val="24"/>
              </w:numPr>
              <w:cnfStyle w:val="000000000000" w:firstRow="0" w:lastRow="0" w:firstColumn="0" w:lastColumn="0" w:oddVBand="0" w:evenVBand="0" w:oddHBand="0" w:evenHBand="0" w:firstRowFirstColumn="0" w:firstRowLastColumn="0" w:lastRowFirstColumn="0" w:lastRowLastColumn="0"/>
            </w:pPr>
            <w:r>
              <w:t>0.00</w:t>
            </w:r>
          </w:p>
        </w:tc>
        <w:tc>
          <w:tcPr>
            <w:tcW w:w="1276" w:type="dxa"/>
          </w:tcPr>
          <w:p w:rsidR="0050516C" w:rsidRPr="00E50081" w:rsidRDefault="0050516C" w:rsidP="00E50081">
            <w:pPr>
              <w:numPr>
                <w:ilvl w:val="0"/>
                <w:numId w:val="24"/>
              </w:numPr>
              <w:cnfStyle w:val="000000000000" w:firstRow="0" w:lastRow="0" w:firstColumn="0" w:lastColumn="0" w:oddVBand="0" w:evenVBand="0" w:oddHBand="0" w:evenHBand="0" w:firstRowFirstColumn="0" w:firstRowLastColumn="0" w:lastRowFirstColumn="0" w:lastRowLastColumn="0"/>
            </w:pPr>
            <w:r>
              <w:t>0.00</w:t>
            </w:r>
          </w:p>
        </w:tc>
        <w:tc>
          <w:tcPr>
            <w:tcW w:w="1276" w:type="dxa"/>
          </w:tcPr>
          <w:p w:rsidR="0050516C" w:rsidRPr="00E50081" w:rsidRDefault="0050516C" w:rsidP="00E50081">
            <w:pPr>
              <w:cnfStyle w:val="000000000000" w:firstRow="0" w:lastRow="0" w:firstColumn="0" w:lastColumn="0" w:oddVBand="0" w:evenVBand="0" w:oddHBand="0" w:evenHBand="0" w:firstRowFirstColumn="0" w:firstRowLastColumn="0" w:lastRowFirstColumn="0" w:lastRowLastColumn="0"/>
            </w:pPr>
            <w:r>
              <w:t>0.00</w:t>
            </w:r>
          </w:p>
        </w:tc>
        <w:tc>
          <w:tcPr>
            <w:tcW w:w="1276" w:type="dxa"/>
          </w:tcPr>
          <w:p w:rsidR="0050516C" w:rsidRPr="00E50081" w:rsidRDefault="0050516C" w:rsidP="00E50081">
            <w:pPr>
              <w:cnfStyle w:val="000000000000" w:firstRow="0" w:lastRow="0" w:firstColumn="0" w:lastColumn="0" w:oddVBand="0" w:evenVBand="0" w:oddHBand="0" w:evenHBand="0" w:firstRowFirstColumn="0" w:firstRowLastColumn="0" w:lastRowFirstColumn="0" w:lastRowLastColumn="0"/>
            </w:pPr>
            <w:r>
              <w:t>0.00</w:t>
            </w:r>
          </w:p>
        </w:tc>
      </w:tr>
      <w:tr w:rsidR="0050516C" w:rsidTr="001E4D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0516C" w:rsidRPr="00E50081" w:rsidRDefault="0050516C" w:rsidP="00E50081">
            <w:pPr>
              <w:numPr>
                <w:ilvl w:val="0"/>
                <w:numId w:val="24"/>
              </w:numPr>
            </w:pPr>
            <w:r w:rsidRPr="00E50081">
              <w:t>Productivity change</w:t>
            </w:r>
          </w:p>
        </w:tc>
        <w:tc>
          <w:tcPr>
            <w:tcW w:w="1275" w:type="dxa"/>
            <w:vAlign w:val="top"/>
          </w:tcPr>
          <w:p w:rsidR="0050516C" w:rsidRPr="00E50081" w:rsidRDefault="0050516C" w:rsidP="00E50081">
            <w:pPr>
              <w:cnfStyle w:val="000000010000" w:firstRow="0" w:lastRow="0" w:firstColumn="0" w:lastColumn="0" w:oddVBand="0" w:evenVBand="0" w:oddHBand="0" w:evenHBand="1" w:firstRowFirstColumn="0" w:firstRowLastColumn="0" w:lastRowFirstColumn="0" w:lastRowLastColumn="0"/>
            </w:pPr>
            <w:r>
              <w:t>0.00</w:t>
            </w:r>
          </w:p>
        </w:tc>
        <w:tc>
          <w:tcPr>
            <w:tcW w:w="1276" w:type="dxa"/>
            <w:vAlign w:val="top"/>
          </w:tcPr>
          <w:p w:rsidR="0050516C" w:rsidRPr="00E50081" w:rsidRDefault="0050516C" w:rsidP="00E50081">
            <w:pPr>
              <w:cnfStyle w:val="000000010000" w:firstRow="0" w:lastRow="0" w:firstColumn="0" w:lastColumn="0" w:oddVBand="0" w:evenVBand="0" w:oddHBand="0" w:evenHBand="1" w:firstRowFirstColumn="0" w:firstRowLastColumn="0" w:lastRowFirstColumn="0" w:lastRowLastColumn="0"/>
            </w:pPr>
            <w:r>
              <w:t>0.00</w:t>
            </w:r>
          </w:p>
        </w:tc>
        <w:tc>
          <w:tcPr>
            <w:tcW w:w="1276" w:type="dxa"/>
            <w:vAlign w:val="top"/>
          </w:tcPr>
          <w:p w:rsidR="0050516C" w:rsidRPr="00E50081" w:rsidRDefault="0050516C" w:rsidP="00E50081">
            <w:pPr>
              <w:cnfStyle w:val="000000010000" w:firstRow="0" w:lastRow="0" w:firstColumn="0" w:lastColumn="0" w:oddVBand="0" w:evenVBand="0" w:oddHBand="0" w:evenHBand="1" w:firstRowFirstColumn="0" w:firstRowLastColumn="0" w:lastRowFirstColumn="0" w:lastRowLastColumn="0"/>
            </w:pPr>
            <w:r>
              <w:t>0.00</w:t>
            </w:r>
          </w:p>
        </w:tc>
        <w:tc>
          <w:tcPr>
            <w:tcW w:w="1276" w:type="dxa"/>
            <w:vAlign w:val="top"/>
          </w:tcPr>
          <w:p w:rsidR="0050516C" w:rsidRPr="00E50081" w:rsidRDefault="0050516C" w:rsidP="00E50081">
            <w:pPr>
              <w:cnfStyle w:val="000000010000" w:firstRow="0" w:lastRow="0" w:firstColumn="0" w:lastColumn="0" w:oddVBand="0" w:evenVBand="0" w:oddHBand="0" w:evenHBand="1" w:firstRowFirstColumn="0" w:firstRowLastColumn="0" w:lastRowFirstColumn="0" w:lastRowLastColumn="0"/>
            </w:pPr>
            <w:r>
              <w:t>0.00</w:t>
            </w:r>
          </w:p>
        </w:tc>
        <w:tc>
          <w:tcPr>
            <w:tcW w:w="1276" w:type="dxa"/>
            <w:vAlign w:val="top"/>
          </w:tcPr>
          <w:p w:rsidR="0050516C" w:rsidRPr="00E50081" w:rsidRDefault="0050516C" w:rsidP="00E50081">
            <w:pPr>
              <w:cnfStyle w:val="000000010000" w:firstRow="0" w:lastRow="0" w:firstColumn="0" w:lastColumn="0" w:oddVBand="0" w:evenVBand="0" w:oddHBand="0" w:evenHBand="1" w:firstRowFirstColumn="0" w:firstRowLastColumn="0" w:lastRowFirstColumn="0" w:lastRowLastColumn="0"/>
            </w:pPr>
            <w:r>
              <w:t>0.00</w:t>
            </w:r>
          </w:p>
        </w:tc>
      </w:tr>
      <w:tr w:rsidR="0050516C" w:rsidRPr="003E0FD0" w:rsidTr="001E4DBF">
        <w:tc>
          <w:tcPr>
            <w:cnfStyle w:val="001000000000" w:firstRow="0" w:lastRow="0" w:firstColumn="1" w:lastColumn="0" w:oddVBand="0" w:evenVBand="0" w:oddHBand="0" w:evenHBand="0" w:firstRowFirstColumn="0" w:firstRowLastColumn="0" w:lastRowFirstColumn="0" w:lastRowLastColumn="0"/>
            <w:tcW w:w="2518" w:type="dxa"/>
          </w:tcPr>
          <w:p w:rsidR="0050516C" w:rsidRPr="003E0FD0" w:rsidRDefault="0050516C" w:rsidP="00E50081">
            <w:pPr>
              <w:numPr>
                <w:ilvl w:val="0"/>
                <w:numId w:val="24"/>
              </w:numPr>
              <w:rPr>
                <w:rStyle w:val="AERtextbolditalics"/>
              </w:rPr>
            </w:pPr>
            <w:r w:rsidRPr="003E0FD0">
              <w:rPr>
                <w:rStyle w:val="AERtextbolditalics"/>
              </w:rPr>
              <w:t>Overall rate of change</w:t>
            </w:r>
          </w:p>
        </w:tc>
        <w:tc>
          <w:tcPr>
            <w:tcW w:w="1275" w:type="dxa"/>
          </w:tcPr>
          <w:p w:rsidR="0050516C" w:rsidRPr="003E0FD0" w:rsidRDefault="00F42FA1" w:rsidP="00E50081">
            <w:pPr>
              <w:numPr>
                <w:ilvl w:val="0"/>
                <w:numId w:val="24"/>
              </w:numPr>
              <w:cnfStyle w:val="000000000000" w:firstRow="0" w:lastRow="0" w:firstColumn="0" w:lastColumn="0" w:oddVBand="0" w:evenVBand="0" w:oddHBand="0" w:evenHBand="0" w:firstRowFirstColumn="0" w:firstRowLastColumn="0" w:lastRowFirstColumn="0" w:lastRowLastColumn="0"/>
              <w:rPr>
                <w:rStyle w:val="AERtextbolditalics"/>
              </w:rPr>
            </w:pPr>
            <w:r w:rsidRPr="003E0FD0">
              <w:rPr>
                <w:rStyle w:val="AERtextbolditalics"/>
              </w:rPr>
              <w:t>0.45</w:t>
            </w:r>
          </w:p>
        </w:tc>
        <w:tc>
          <w:tcPr>
            <w:tcW w:w="1276" w:type="dxa"/>
          </w:tcPr>
          <w:p w:rsidR="0050516C" w:rsidRPr="003E0FD0" w:rsidRDefault="00F42FA1" w:rsidP="00F42FA1">
            <w:pPr>
              <w:cnfStyle w:val="000000000000" w:firstRow="0" w:lastRow="0" w:firstColumn="0" w:lastColumn="0" w:oddVBand="0" w:evenVBand="0" w:oddHBand="0" w:evenHBand="0" w:firstRowFirstColumn="0" w:firstRowLastColumn="0" w:lastRowFirstColumn="0" w:lastRowLastColumn="0"/>
              <w:rPr>
                <w:rStyle w:val="AERtextbolditalics"/>
              </w:rPr>
            </w:pPr>
            <w:r w:rsidRPr="003E0FD0">
              <w:rPr>
                <w:rStyle w:val="AERtextbolditalics"/>
              </w:rPr>
              <w:t>0.62</w:t>
            </w:r>
          </w:p>
        </w:tc>
        <w:tc>
          <w:tcPr>
            <w:tcW w:w="1276" w:type="dxa"/>
          </w:tcPr>
          <w:p w:rsidR="0050516C" w:rsidRPr="003E0FD0" w:rsidRDefault="00F42FA1" w:rsidP="00F42FA1">
            <w:pPr>
              <w:cnfStyle w:val="000000000000" w:firstRow="0" w:lastRow="0" w:firstColumn="0" w:lastColumn="0" w:oddVBand="0" w:evenVBand="0" w:oddHBand="0" w:evenHBand="0" w:firstRowFirstColumn="0" w:firstRowLastColumn="0" w:lastRowFirstColumn="0" w:lastRowLastColumn="0"/>
              <w:rPr>
                <w:rStyle w:val="AERtextbolditalics"/>
              </w:rPr>
            </w:pPr>
            <w:r w:rsidRPr="003E0FD0">
              <w:rPr>
                <w:rStyle w:val="AERtextbolditalics"/>
              </w:rPr>
              <w:t>0.76</w:t>
            </w:r>
          </w:p>
        </w:tc>
        <w:tc>
          <w:tcPr>
            <w:tcW w:w="1276" w:type="dxa"/>
          </w:tcPr>
          <w:p w:rsidR="0050516C" w:rsidRPr="003E0FD0" w:rsidRDefault="00F42FA1" w:rsidP="00F42FA1">
            <w:pPr>
              <w:cnfStyle w:val="000000000000" w:firstRow="0" w:lastRow="0" w:firstColumn="0" w:lastColumn="0" w:oddVBand="0" w:evenVBand="0" w:oddHBand="0" w:evenHBand="0" w:firstRowFirstColumn="0" w:firstRowLastColumn="0" w:lastRowFirstColumn="0" w:lastRowLastColumn="0"/>
              <w:rPr>
                <w:rStyle w:val="AERtextbolditalics"/>
              </w:rPr>
            </w:pPr>
            <w:r w:rsidRPr="003E0FD0">
              <w:rPr>
                <w:rStyle w:val="AERtextbolditalics"/>
              </w:rPr>
              <w:t>0.85</w:t>
            </w:r>
          </w:p>
        </w:tc>
        <w:tc>
          <w:tcPr>
            <w:tcW w:w="1276" w:type="dxa"/>
          </w:tcPr>
          <w:p w:rsidR="0050516C" w:rsidRPr="003E0FD0" w:rsidRDefault="00F42FA1" w:rsidP="00E50081">
            <w:pPr>
              <w:cnfStyle w:val="000000000000" w:firstRow="0" w:lastRow="0" w:firstColumn="0" w:lastColumn="0" w:oddVBand="0" w:evenVBand="0" w:oddHBand="0" w:evenHBand="0" w:firstRowFirstColumn="0" w:firstRowLastColumn="0" w:lastRowFirstColumn="0" w:lastRowLastColumn="0"/>
              <w:rPr>
                <w:rStyle w:val="AERtextbolditalics"/>
              </w:rPr>
            </w:pPr>
            <w:r w:rsidRPr="003E0FD0">
              <w:rPr>
                <w:rStyle w:val="AERtextbolditalics"/>
              </w:rPr>
              <w:t>0.92</w:t>
            </w:r>
          </w:p>
        </w:tc>
      </w:tr>
      <w:tr w:rsidR="0050516C" w:rsidTr="001E4D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0516C" w:rsidRPr="005C3C96" w:rsidRDefault="0050516C" w:rsidP="00742DCB">
            <w:pPr>
              <w:numPr>
                <w:ilvl w:val="0"/>
                <w:numId w:val="24"/>
              </w:numPr>
              <w:rPr>
                <w:rStyle w:val="Strong"/>
              </w:rPr>
            </w:pPr>
            <w:r w:rsidRPr="005C3C96">
              <w:rPr>
                <w:rStyle w:val="Strong"/>
              </w:rPr>
              <w:t xml:space="preserve">AER </w:t>
            </w:r>
            <w:r>
              <w:rPr>
                <w:rStyle w:val="Strong"/>
              </w:rPr>
              <w:t xml:space="preserve">final </w:t>
            </w:r>
            <w:r w:rsidRPr="005C3C96">
              <w:rPr>
                <w:rStyle w:val="Strong"/>
              </w:rPr>
              <w:t>decision</w:t>
            </w:r>
          </w:p>
        </w:tc>
        <w:tc>
          <w:tcPr>
            <w:tcW w:w="1275" w:type="dxa"/>
          </w:tcPr>
          <w:p w:rsidR="0050516C" w:rsidRDefault="0050516C" w:rsidP="00742DC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1276" w:type="dxa"/>
          </w:tcPr>
          <w:p w:rsidR="0050516C" w:rsidRDefault="0050516C" w:rsidP="00742DC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1276" w:type="dxa"/>
          </w:tcPr>
          <w:p w:rsidR="0050516C" w:rsidRDefault="0050516C" w:rsidP="00742DC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1276" w:type="dxa"/>
          </w:tcPr>
          <w:p w:rsidR="0050516C" w:rsidRDefault="0050516C" w:rsidP="00742DCB">
            <w:pPr>
              <w:numPr>
                <w:ilvl w:val="0"/>
                <w:numId w:val="24"/>
              </w:numPr>
              <w:cnfStyle w:val="000000010000" w:firstRow="0" w:lastRow="0" w:firstColumn="0" w:lastColumn="0" w:oddVBand="0" w:evenVBand="0" w:oddHBand="0" w:evenHBand="1" w:firstRowFirstColumn="0" w:firstRowLastColumn="0" w:lastRowFirstColumn="0" w:lastRowLastColumn="0"/>
            </w:pPr>
          </w:p>
        </w:tc>
        <w:tc>
          <w:tcPr>
            <w:tcW w:w="1276" w:type="dxa"/>
          </w:tcPr>
          <w:p w:rsidR="0050516C" w:rsidRDefault="0050516C" w:rsidP="00742DCB">
            <w:pPr>
              <w:cnfStyle w:val="000000010000" w:firstRow="0" w:lastRow="0" w:firstColumn="0" w:lastColumn="0" w:oddVBand="0" w:evenVBand="0" w:oddHBand="0" w:evenHBand="1" w:firstRowFirstColumn="0" w:firstRowLastColumn="0" w:lastRowFirstColumn="0" w:lastRowLastColumn="0"/>
            </w:pPr>
          </w:p>
        </w:tc>
      </w:tr>
      <w:tr w:rsidR="0050516C" w:rsidTr="001E4DBF">
        <w:tc>
          <w:tcPr>
            <w:cnfStyle w:val="001000000000" w:firstRow="0" w:lastRow="0" w:firstColumn="1" w:lastColumn="0" w:oddVBand="0" w:evenVBand="0" w:oddHBand="0" w:evenHBand="0" w:firstRowFirstColumn="0" w:firstRowLastColumn="0" w:lastRowFirstColumn="0" w:lastRowLastColumn="0"/>
            <w:tcW w:w="2518" w:type="dxa"/>
          </w:tcPr>
          <w:p w:rsidR="0050516C" w:rsidRDefault="0050516C" w:rsidP="00742DCB">
            <w:pPr>
              <w:numPr>
                <w:ilvl w:val="0"/>
                <w:numId w:val="24"/>
              </w:numPr>
            </w:pPr>
            <w:r>
              <w:t>Input price change</w:t>
            </w:r>
          </w:p>
        </w:tc>
        <w:tc>
          <w:tcPr>
            <w:tcW w:w="1275" w:type="dxa"/>
            <w:vAlign w:val="top"/>
          </w:tcPr>
          <w:p w:rsidR="0050516C" w:rsidRPr="00742DCB" w:rsidRDefault="003E0FD0" w:rsidP="00742DCB">
            <w:pPr>
              <w:cnfStyle w:val="000000000000" w:firstRow="0" w:lastRow="0" w:firstColumn="0" w:lastColumn="0" w:oddVBand="0" w:evenVBand="0" w:oddHBand="0" w:evenHBand="0" w:firstRowFirstColumn="0" w:firstRowLastColumn="0" w:lastRowFirstColumn="0" w:lastRowLastColumn="0"/>
            </w:pPr>
            <w:r>
              <w:t>0.31</w:t>
            </w:r>
          </w:p>
        </w:tc>
        <w:tc>
          <w:tcPr>
            <w:tcW w:w="1276" w:type="dxa"/>
            <w:vAlign w:val="top"/>
          </w:tcPr>
          <w:p w:rsidR="0050516C" w:rsidRPr="00742DCB" w:rsidRDefault="003E0FD0" w:rsidP="00742DCB">
            <w:pPr>
              <w:cnfStyle w:val="000000000000" w:firstRow="0" w:lastRow="0" w:firstColumn="0" w:lastColumn="0" w:oddVBand="0" w:evenVBand="0" w:oddHBand="0" w:evenHBand="0" w:firstRowFirstColumn="0" w:firstRowLastColumn="0" w:lastRowFirstColumn="0" w:lastRowLastColumn="0"/>
            </w:pPr>
            <w:r>
              <w:t>0.45</w:t>
            </w:r>
          </w:p>
        </w:tc>
        <w:tc>
          <w:tcPr>
            <w:tcW w:w="1276" w:type="dxa"/>
            <w:vAlign w:val="top"/>
          </w:tcPr>
          <w:p w:rsidR="0050516C" w:rsidRPr="00742DCB" w:rsidRDefault="003E0FD0" w:rsidP="00742DCB">
            <w:pPr>
              <w:cnfStyle w:val="000000000000" w:firstRow="0" w:lastRow="0" w:firstColumn="0" w:lastColumn="0" w:oddVBand="0" w:evenVBand="0" w:oddHBand="0" w:evenHBand="0" w:firstRowFirstColumn="0" w:firstRowLastColumn="0" w:lastRowFirstColumn="0" w:lastRowLastColumn="0"/>
            </w:pPr>
            <w:r>
              <w:t>0.56</w:t>
            </w:r>
          </w:p>
        </w:tc>
        <w:tc>
          <w:tcPr>
            <w:tcW w:w="1276" w:type="dxa"/>
            <w:vAlign w:val="top"/>
          </w:tcPr>
          <w:p w:rsidR="0050516C" w:rsidRPr="00742DCB" w:rsidRDefault="003E0FD0" w:rsidP="00C47654">
            <w:pPr>
              <w:cnfStyle w:val="000000000000" w:firstRow="0" w:lastRow="0" w:firstColumn="0" w:lastColumn="0" w:oddVBand="0" w:evenVBand="0" w:oddHBand="0" w:evenHBand="0" w:firstRowFirstColumn="0" w:firstRowLastColumn="0" w:lastRowFirstColumn="0" w:lastRowLastColumn="0"/>
            </w:pPr>
            <w:r>
              <w:t>0.75</w:t>
            </w:r>
          </w:p>
        </w:tc>
        <w:tc>
          <w:tcPr>
            <w:tcW w:w="1276" w:type="dxa"/>
            <w:vAlign w:val="top"/>
          </w:tcPr>
          <w:p w:rsidR="0050516C" w:rsidRPr="00742DCB" w:rsidRDefault="003E0FD0" w:rsidP="00742DCB">
            <w:pPr>
              <w:cnfStyle w:val="000000000000" w:firstRow="0" w:lastRow="0" w:firstColumn="0" w:lastColumn="0" w:oddVBand="0" w:evenVBand="0" w:oddHBand="0" w:evenHBand="0" w:firstRowFirstColumn="0" w:firstRowLastColumn="0" w:lastRowFirstColumn="0" w:lastRowLastColumn="0"/>
            </w:pPr>
            <w:r>
              <w:t>0.91</w:t>
            </w:r>
          </w:p>
        </w:tc>
      </w:tr>
      <w:tr w:rsidR="0050516C" w:rsidTr="001E4D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0516C" w:rsidRDefault="0050516C" w:rsidP="00742DCB">
            <w:pPr>
              <w:numPr>
                <w:ilvl w:val="0"/>
                <w:numId w:val="24"/>
              </w:numPr>
            </w:pPr>
            <w:r>
              <w:t>Output change</w:t>
            </w:r>
          </w:p>
        </w:tc>
        <w:tc>
          <w:tcPr>
            <w:tcW w:w="1275" w:type="dxa"/>
            <w:vAlign w:val="top"/>
          </w:tcPr>
          <w:p w:rsidR="0050516C" w:rsidRPr="00742DCB" w:rsidRDefault="003E0FD0" w:rsidP="00E65FF8">
            <w:pPr>
              <w:cnfStyle w:val="000000010000" w:firstRow="0" w:lastRow="0" w:firstColumn="0" w:lastColumn="0" w:oddVBand="0" w:evenVBand="0" w:oddHBand="0" w:evenHBand="1" w:firstRowFirstColumn="0" w:firstRowLastColumn="0" w:lastRowFirstColumn="0" w:lastRowLastColumn="0"/>
            </w:pPr>
            <w:r>
              <w:t>0.27</w:t>
            </w:r>
          </w:p>
        </w:tc>
        <w:tc>
          <w:tcPr>
            <w:tcW w:w="1276" w:type="dxa"/>
            <w:vAlign w:val="top"/>
          </w:tcPr>
          <w:p w:rsidR="0050516C" w:rsidRPr="00742DCB" w:rsidRDefault="003E0FD0" w:rsidP="00E65FF8">
            <w:pPr>
              <w:cnfStyle w:val="000000010000" w:firstRow="0" w:lastRow="0" w:firstColumn="0" w:lastColumn="0" w:oddVBand="0" w:evenVBand="0" w:oddHBand="0" w:evenHBand="1" w:firstRowFirstColumn="0" w:firstRowLastColumn="0" w:lastRowFirstColumn="0" w:lastRowLastColumn="0"/>
            </w:pPr>
            <w:r>
              <w:t>-1.06</w:t>
            </w:r>
          </w:p>
        </w:tc>
        <w:tc>
          <w:tcPr>
            <w:tcW w:w="1276" w:type="dxa"/>
            <w:vAlign w:val="top"/>
          </w:tcPr>
          <w:p w:rsidR="0050516C" w:rsidRPr="00742DCB" w:rsidRDefault="003E0FD0" w:rsidP="00E65FF8">
            <w:pPr>
              <w:cnfStyle w:val="000000010000" w:firstRow="0" w:lastRow="0" w:firstColumn="0" w:lastColumn="0" w:oddVBand="0" w:evenVBand="0" w:oddHBand="0" w:evenHBand="1" w:firstRowFirstColumn="0" w:firstRowLastColumn="0" w:lastRowFirstColumn="0" w:lastRowLastColumn="0"/>
            </w:pPr>
            <w:r>
              <w:t>-0.33</w:t>
            </w:r>
          </w:p>
        </w:tc>
        <w:tc>
          <w:tcPr>
            <w:tcW w:w="1276" w:type="dxa"/>
            <w:vAlign w:val="top"/>
          </w:tcPr>
          <w:p w:rsidR="0050516C" w:rsidRPr="00742DCB" w:rsidRDefault="003E0FD0" w:rsidP="00E65FF8">
            <w:pPr>
              <w:cnfStyle w:val="000000010000" w:firstRow="0" w:lastRow="0" w:firstColumn="0" w:lastColumn="0" w:oddVBand="0" w:evenVBand="0" w:oddHBand="0" w:evenHBand="1" w:firstRowFirstColumn="0" w:firstRowLastColumn="0" w:lastRowFirstColumn="0" w:lastRowLastColumn="0"/>
            </w:pPr>
            <w:r>
              <w:t>-0.22</w:t>
            </w:r>
          </w:p>
        </w:tc>
        <w:tc>
          <w:tcPr>
            <w:tcW w:w="1276" w:type="dxa"/>
            <w:vAlign w:val="top"/>
          </w:tcPr>
          <w:p w:rsidR="0050516C" w:rsidRPr="00742DCB" w:rsidRDefault="003E0FD0" w:rsidP="00E65FF8">
            <w:pPr>
              <w:cnfStyle w:val="000000010000" w:firstRow="0" w:lastRow="0" w:firstColumn="0" w:lastColumn="0" w:oddVBand="0" w:evenVBand="0" w:oddHBand="0" w:evenHBand="1" w:firstRowFirstColumn="0" w:firstRowLastColumn="0" w:lastRowFirstColumn="0" w:lastRowLastColumn="0"/>
            </w:pPr>
            <w:r>
              <w:t>-0.13</w:t>
            </w:r>
          </w:p>
        </w:tc>
      </w:tr>
      <w:tr w:rsidR="0050516C" w:rsidTr="001E4DBF">
        <w:tc>
          <w:tcPr>
            <w:cnfStyle w:val="001000000000" w:firstRow="0" w:lastRow="0" w:firstColumn="1" w:lastColumn="0" w:oddVBand="0" w:evenVBand="0" w:oddHBand="0" w:evenHBand="0" w:firstRowFirstColumn="0" w:firstRowLastColumn="0" w:lastRowFirstColumn="0" w:lastRowLastColumn="0"/>
            <w:tcW w:w="2518" w:type="dxa"/>
          </w:tcPr>
          <w:p w:rsidR="0050516C" w:rsidRDefault="0050516C" w:rsidP="00742DCB">
            <w:pPr>
              <w:numPr>
                <w:ilvl w:val="0"/>
                <w:numId w:val="24"/>
              </w:numPr>
            </w:pPr>
            <w:r>
              <w:t>Productivity change</w:t>
            </w:r>
          </w:p>
        </w:tc>
        <w:tc>
          <w:tcPr>
            <w:tcW w:w="1275" w:type="dxa"/>
            <w:vAlign w:val="top"/>
          </w:tcPr>
          <w:p w:rsidR="0050516C" w:rsidRPr="00742DCB" w:rsidRDefault="006105E0" w:rsidP="00742DCB">
            <w:pPr>
              <w:cnfStyle w:val="000000000000" w:firstRow="0" w:lastRow="0" w:firstColumn="0" w:lastColumn="0" w:oddVBand="0" w:evenVBand="0" w:oddHBand="0" w:evenHBand="0" w:firstRowFirstColumn="0" w:firstRowLastColumn="0" w:lastRowFirstColumn="0" w:lastRowLastColumn="0"/>
            </w:pPr>
            <w:r>
              <w:t>0.00</w:t>
            </w:r>
          </w:p>
        </w:tc>
        <w:tc>
          <w:tcPr>
            <w:tcW w:w="1276" w:type="dxa"/>
            <w:vAlign w:val="top"/>
          </w:tcPr>
          <w:p w:rsidR="0050516C" w:rsidRPr="00742DCB" w:rsidRDefault="006105E0" w:rsidP="006105E0">
            <w:pPr>
              <w:cnfStyle w:val="000000000000" w:firstRow="0" w:lastRow="0" w:firstColumn="0" w:lastColumn="0" w:oddVBand="0" w:evenVBand="0" w:oddHBand="0" w:evenHBand="0" w:firstRowFirstColumn="0" w:firstRowLastColumn="0" w:lastRowFirstColumn="0" w:lastRowLastColumn="0"/>
            </w:pPr>
            <w:r>
              <w:t>0.00</w:t>
            </w:r>
          </w:p>
        </w:tc>
        <w:tc>
          <w:tcPr>
            <w:tcW w:w="1276" w:type="dxa"/>
            <w:vAlign w:val="top"/>
          </w:tcPr>
          <w:p w:rsidR="0050516C" w:rsidRPr="00742DCB" w:rsidRDefault="006105E0" w:rsidP="006105E0">
            <w:pPr>
              <w:cnfStyle w:val="000000000000" w:firstRow="0" w:lastRow="0" w:firstColumn="0" w:lastColumn="0" w:oddVBand="0" w:evenVBand="0" w:oddHBand="0" w:evenHBand="0" w:firstRowFirstColumn="0" w:firstRowLastColumn="0" w:lastRowFirstColumn="0" w:lastRowLastColumn="0"/>
            </w:pPr>
            <w:r>
              <w:t>0.00</w:t>
            </w:r>
          </w:p>
        </w:tc>
        <w:tc>
          <w:tcPr>
            <w:tcW w:w="1276" w:type="dxa"/>
            <w:vAlign w:val="top"/>
          </w:tcPr>
          <w:p w:rsidR="0050516C" w:rsidRPr="00742DCB" w:rsidRDefault="006105E0" w:rsidP="006105E0">
            <w:pPr>
              <w:cnfStyle w:val="000000000000" w:firstRow="0" w:lastRow="0" w:firstColumn="0" w:lastColumn="0" w:oddVBand="0" w:evenVBand="0" w:oddHBand="0" w:evenHBand="0" w:firstRowFirstColumn="0" w:firstRowLastColumn="0" w:lastRowFirstColumn="0" w:lastRowLastColumn="0"/>
            </w:pPr>
            <w:r>
              <w:t>0.00</w:t>
            </w:r>
          </w:p>
        </w:tc>
        <w:tc>
          <w:tcPr>
            <w:tcW w:w="1276" w:type="dxa"/>
            <w:vAlign w:val="top"/>
          </w:tcPr>
          <w:p w:rsidR="0050516C" w:rsidRPr="00742DCB" w:rsidRDefault="006105E0" w:rsidP="006105E0">
            <w:pPr>
              <w:cnfStyle w:val="000000000000" w:firstRow="0" w:lastRow="0" w:firstColumn="0" w:lastColumn="0" w:oddVBand="0" w:evenVBand="0" w:oddHBand="0" w:evenHBand="0" w:firstRowFirstColumn="0" w:firstRowLastColumn="0" w:lastRowFirstColumn="0" w:lastRowLastColumn="0"/>
            </w:pPr>
            <w:r>
              <w:t>0.00</w:t>
            </w:r>
          </w:p>
        </w:tc>
      </w:tr>
      <w:tr w:rsidR="0050516C" w:rsidTr="001E4D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0516C" w:rsidRPr="003E0FD0" w:rsidRDefault="0050516C" w:rsidP="00742DCB">
            <w:pPr>
              <w:numPr>
                <w:ilvl w:val="0"/>
                <w:numId w:val="24"/>
              </w:numPr>
              <w:rPr>
                <w:rStyle w:val="AERtextbolditalics"/>
              </w:rPr>
            </w:pPr>
            <w:r w:rsidRPr="003E0FD0">
              <w:rPr>
                <w:rStyle w:val="AERtextbolditalics"/>
              </w:rPr>
              <w:t>Overall rate of change</w:t>
            </w:r>
          </w:p>
        </w:tc>
        <w:tc>
          <w:tcPr>
            <w:tcW w:w="1275" w:type="dxa"/>
            <w:vAlign w:val="top"/>
          </w:tcPr>
          <w:p w:rsidR="0050516C" w:rsidRPr="003E0FD0" w:rsidRDefault="003D0C8F" w:rsidP="002900CD">
            <w:pPr>
              <w:cnfStyle w:val="000000010000" w:firstRow="0" w:lastRow="0" w:firstColumn="0" w:lastColumn="0" w:oddVBand="0" w:evenVBand="0" w:oddHBand="0" w:evenHBand="1" w:firstRowFirstColumn="0" w:firstRowLastColumn="0" w:lastRowFirstColumn="0" w:lastRowLastColumn="0"/>
              <w:rPr>
                <w:rStyle w:val="AERtextbolditalics"/>
              </w:rPr>
            </w:pPr>
            <w:r w:rsidRPr="003E0FD0">
              <w:rPr>
                <w:rStyle w:val="AERtextbolditalics"/>
              </w:rPr>
              <w:t>0.</w:t>
            </w:r>
            <w:r w:rsidR="002900CD" w:rsidRPr="003E0FD0">
              <w:rPr>
                <w:rStyle w:val="AERtextbolditalics"/>
              </w:rPr>
              <w:t>57</w:t>
            </w:r>
          </w:p>
        </w:tc>
        <w:tc>
          <w:tcPr>
            <w:tcW w:w="1276" w:type="dxa"/>
            <w:vAlign w:val="top"/>
          </w:tcPr>
          <w:p w:rsidR="0050516C" w:rsidRPr="003E0FD0" w:rsidRDefault="003D0C8F" w:rsidP="002900CD">
            <w:pPr>
              <w:cnfStyle w:val="000000010000" w:firstRow="0" w:lastRow="0" w:firstColumn="0" w:lastColumn="0" w:oddVBand="0" w:evenVBand="0" w:oddHBand="0" w:evenHBand="1" w:firstRowFirstColumn="0" w:firstRowLastColumn="0" w:lastRowFirstColumn="0" w:lastRowLastColumn="0"/>
              <w:rPr>
                <w:rStyle w:val="AERtextbolditalics"/>
              </w:rPr>
            </w:pPr>
            <w:r w:rsidRPr="003E0FD0">
              <w:rPr>
                <w:rStyle w:val="AERtextbolditalics"/>
              </w:rPr>
              <w:t>-0.</w:t>
            </w:r>
            <w:r w:rsidR="002900CD" w:rsidRPr="003E0FD0">
              <w:rPr>
                <w:rStyle w:val="AERtextbolditalics"/>
              </w:rPr>
              <w:t>61</w:t>
            </w:r>
          </w:p>
        </w:tc>
        <w:tc>
          <w:tcPr>
            <w:tcW w:w="1276" w:type="dxa"/>
            <w:vAlign w:val="top"/>
          </w:tcPr>
          <w:p w:rsidR="0050516C" w:rsidRPr="003E0FD0" w:rsidRDefault="003D0C8F" w:rsidP="002900CD">
            <w:pPr>
              <w:cnfStyle w:val="000000010000" w:firstRow="0" w:lastRow="0" w:firstColumn="0" w:lastColumn="0" w:oddVBand="0" w:evenVBand="0" w:oddHBand="0" w:evenHBand="1" w:firstRowFirstColumn="0" w:firstRowLastColumn="0" w:lastRowFirstColumn="0" w:lastRowLastColumn="0"/>
              <w:rPr>
                <w:rStyle w:val="AERtextbolditalics"/>
              </w:rPr>
            </w:pPr>
            <w:r w:rsidRPr="003E0FD0">
              <w:rPr>
                <w:rStyle w:val="AERtextbolditalics"/>
              </w:rPr>
              <w:t>0.</w:t>
            </w:r>
            <w:r w:rsidR="002900CD" w:rsidRPr="003E0FD0">
              <w:rPr>
                <w:rStyle w:val="AERtextbolditalics"/>
              </w:rPr>
              <w:t>23</w:t>
            </w:r>
          </w:p>
        </w:tc>
        <w:tc>
          <w:tcPr>
            <w:tcW w:w="1276" w:type="dxa"/>
            <w:vAlign w:val="top"/>
          </w:tcPr>
          <w:p w:rsidR="0050516C" w:rsidRPr="003E0FD0" w:rsidRDefault="003D0C8F" w:rsidP="002900CD">
            <w:pPr>
              <w:cnfStyle w:val="000000010000" w:firstRow="0" w:lastRow="0" w:firstColumn="0" w:lastColumn="0" w:oddVBand="0" w:evenVBand="0" w:oddHBand="0" w:evenHBand="1" w:firstRowFirstColumn="0" w:firstRowLastColumn="0" w:lastRowFirstColumn="0" w:lastRowLastColumn="0"/>
              <w:rPr>
                <w:rStyle w:val="AERtextbolditalics"/>
              </w:rPr>
            </w:pPr>
            <w:r w:rsidRPr="003E0FD0">
              <w:rPr>
                <w:rStyle w:val="AERtextbolditalics"/>
              </w:rPr>
              <w:t>0.</w:t>
            </w:r>
            <w:r w:rsidR="002900CD" w:rsidRPr="003E0FD0">
              <w:rPr>
                <w:rStyle w:val="AERtextbolditalics"/>
              </w:rPr>
              <w:t>53</w:t>
            </w:r>
          </w:p>
        </w:tc>
        <w:tc>
          <w:tcPr>
            <w:tcW w:w="1276" w:type="dxa"/>
            <w:vAlign w:val="top"/>
          </w:tcPr>
          <w:p w:rsidR="0050516C" w:rsidRPr="003E0FD0" w:rsidRDefault="003D0C8F" w:rsidP="002900CD">
            <w:pPr>
              <w:cnfStyle w:val="000000010000" w:firstRow="0" w:lastRow="0" w:firstColumn="0" w:lastColumn="0" w:oddVBand="0" w:evenVBand="0" w:oddHBand="0" w:evenHBand="1" w:firstRowFirstColumn="0" w:firstRowLastColumn="0" w:lastRowFirstColumn="0" w:lastRowLastColumn="0"/>
              <w:rPr>
                <w:rStyle w:val="AERtextbolditalics"/>
              </w:rPr>
            </w:pPr>
            <w:r w:rsidRPr="003E0FD0">
              <w:rPr>
                <w:rStyle w:val="AERtextbolditalics"/>
              </w:rPr>
              <w:t>0.</w:t>
            </w:r>
            <w:r w:rsidR="002900CD" w:rsidRPr="003E0FD0">
              <w:rPr>
                <w:rStyle w:val="AERtextbolditalics"/>
              </w:rPr>
              <w:t>78</w:t>
            </w:r>
          </w:p>
        </w:tc>
      </w:tr>
    </w:tbl>
    <w:p w:rsidR="00742DCB" w:rsidRPr="00480BD6" w:rsidRDefault="00742DCB" w:rsidP="00742DCB">
      <w:pPr>
        <w:pStyle w:val="AERtablesource"/>
      </w:pPr>
      <w:r w:rsidRPr="00D03D50">
        <w:t xml:space="preserve">Source: </w:t>
      </w:r>
      <w:r>
        <w:tab/>
      </w:r>
      <w:r w:rsidR="009508D8">
        <w:t xml:space="preserve">Australian Gas Networks, </w:t>
      </w:r>
      <w:r w:rsidR="009508D8" w:rsidRPr="00E50081">
        <w:rPr>
          <w:rStyle w:val="Emphasis"/>
        </w:rPr>
        <w:t>Revised Access Information for Australian Gas Networks’ South Australian Natural Gas Distribution Network 2016-21, Attachment 7.7A: Operating Expenditure Model</w:t>
      </w:r>
      <w:r w:rsidR="009508D8">
        <w:t>, January 2016</w:t>
      </w:r>
      <w:r>
        <w:t xml:space="preserve">; </w:t>
      </w:r>
      <w:r w:rsidRPr="001B422F">
        <w:t xml:space="preserve">AER analysis. Numbers may not add </w:t>
      </w:r>
      <w:r w:rsidR="0015085E">
        <w:t xml:space="preserve">up </w:t>
      </w:r>
      <w:r w:rsidRPr="001B422F">
        <w:t>due to rounding.</w:t>
      </w:r>
    </w:p>
    <w:p w:rsidR="00742DCB" w:rsidRDefault="00586B2C" w:rsidP="00742DCB">
      <w:r>
        <w:t>In our final rate of change:</w:t>
      </w:r>
    </w:p>
    <w:p w:rsidR="00742DCB" w:rsidRDefault="00742DCB" w:rsidP="00742DCB">
      <w:pPr>
        <w:pStyle w:val="AERbulletlistfirststyle"/>
      </w:pPr>
      <w:proofErr w:type="gramStart"/>
      <w:r>
        <w:t>input</w:t>
      </w:r>
      <w:proofErr w:type="gramEnd"/>
      <w:r>
        <w:t xml:space="preserve"> price change reflects the latest labour price growth forecasts. </w:t>
      </w:r>
      <w:r w:rsidR="009508D8">
        <w:t>AGN accepted t</w:t>
      </w:r>
      <w:r>
        <w:t>his approach in its revised proposal.</w:t>
      </w:r>
      <w:r w:rsidR="003E0FD0">
        <w:t xml:space="preserve"> The derivation of the percentage change in input price has also been corrected in the model.</w:t>
      </w:r>
    </w:p>
    <w:p w:rsidR="009508D8" w:rsidRDefault="00742DCB" w:rsidP="009508D8">
      <w:pPr>
        <w:pStyle w:val="AERbulletlistfirststyle"/>
      </w:pPr>
      <w:proofErr w:type="gramStart"/>
      <w:r>
        <w:t>output</w:t>
      </w:r>
      <w:proofErr w:type="gramEnd"/>
      <w:r>
        <w:t xml:space="preserve"> change has been updated, reflecting revised forecast demand and customer numbers. </w:t>
      </w:r>
      <w:r w:rsidR="009508D8">
        <w:t>AGN accepted this approach in its revised proposal.</w:t>
      </w:r>
      <w:r w:rsidR="00586B2C" w:rsidRPr="00586B2C">
        <w:t xml:space="preserve"> </w:t>
      </w:r>
    </w:p>
    <w:p w:rsidR="00742DCB" w:rsidRDefault="00710B38" w:rsidP="00742DCB">
      <w:pPr>
        <w:pStyle w:val="AERbulletlistfirststyle"/>
      </w:pPr>
      <w:proofErr w:type="gramStart"/>
      <w:r>
        <w:t>w</w:t>
      </w:r>
      <w:r w:rsidR="00742DCB">
        <w:t>e</w:t>
      </w:r>
      <w:proofErr w:type="gramEnd"/>
      <w:r w:rsidR="00742DCB">
        <w:t xml:space="preserve"> have applied a </w:t>
      </w:r>
      <w:r w:rsidR="00BF5405">
        <w:t xml:space="preserve">zero rate of </w:t>
      </w:r>
      <w:r w:rsidR="00742DCB">
        <w:t xml:space="preserve">productivity change, </w:t>
      </w:r>
      <w:r w:rsidR="009C6C1B">
        <w:t xml:space="preserve">based on our </w:t>
      </w:r>
      <w:r w:rsidR="009601F0">
        <w:t xml:space="preserve">own </w:t>
      </w:r>
      <w:r w:rsidR="009C6C1B">
        <w:t>analysis and</w:t>
      </w:r>
      <w:r w:rsidR="00365197">
        <w:t xml:space="preserve"> </w:t>
      </w:r>
      <w:r w:rsidR="00742DCB">
        <w:t xml:space="preserve">additional information </w:t>
      </w:r>
      <w:r w:rsidR="009C6C1B">
        <w:t xml:space="preserve">AGN </w:t>
      </w:r>
      <w:r w:rsidR="00365197">
        <w:t>provided in its revised proposal.</w:t>
      </w:r>
    </w:p>
    <w:p w:rsidR="00742DCB" w:rsidRDefault="00742DCB" w:rsidP="00742DCB">
      <w:r>
        <w:t>The following sections outline our assessment for each rate of change component.</w:t>
      </w:r>
    </w:p>
    <w:p w:rsidR="00421DAD" w:rsidRDefault="00421DAD" w:rsidP="00742DCB"/>
    <w:p w:rsidR="00421DAD" w:rsidRPr="00C22754" w:rsidRDefault="00421DAD" w:rsidP="00742DCB"/>
    <w:p w:rsidR="00742DCB" w:rsidRDefault="00742DCB" w:rsidP="00742DCB">
      <w:pPr>
        <w:pStyle w:val="Heading4"/>
      </w:pPr>
      <w:r>
        <w:t>Input price change</w:t>
      </w:r>
    </w:p>
    <w:p w:rsidR="00742DCB" w:rsidRDefault="00F42FA1" w:rsidP="00742DCB">
      <w:r>
        <w:t>Under the rate of change approach</w:t>
      </w:r>
      <w:r w:rsidR="00BF5405">
        <w:t>,</w:t>
      </w:r>
      <w:r>
        <w:t xml:space="preserve"> opex is escalated by the real change in input prices. </w:t>
      </w:r>
      <w:r w:rsidR="00742DCB">
        <w:t>The change in input prices accounts for key inputs that do not move in line with CPI and form a material proportion of a service provider's costs.</w:t>
      </w:r>
    </w:p>
    <w:p w:rsidR="00742DCB" w:rsidRDefault="00A678BA" w:rsidP="00742DCB">
      <w:r>
        <w:t xml:space="preserve">AGN accepted our draft decision to derive input price changes using real labour cost forecasts from </w:t>
      </w:r>
      <w:r w:rsidRPr="00D03547">
        <w:rPr>
          <w:rStyle w:val="AERbody"/>
        </w:rPr>
        <w:t>BIS Shrapnel</w:t>
      </w:r>
      <w:r w:rsidR="00B3139B">
        <w:rPr>
          <w:rStyle w:val="AERbody"/>
        </w:rPr>
        <w:t xml:space="preserve"> (BIS)</w:t>
      </w:r>
      <w:r w:rsidRPr="00D03547">
        <w:rPr>
          <w:rStyle w:val="AERbody"/>
        </w:rPr>
        <w:t xml:space="preserve"> and Deloitte Access Economics (DAE)</w:t>
      </w:r>
      <w:r>
        <w:rPr>
          <w:rStyle w:val="AERbody"/>
        </w:rPr>
        <w:t xml:space="preserve">, and setting </w:t>
      </w:r>
      <w:r w:rsidR="001D7D8D">
        <w:rPr>
          <w:rStyle w:val="AERbody"/>
        </w:rPr>
        <w:t xml:space="preserve">the </w:t>
      </w:r>
      <w:r>
        <w:rPr>
          <w:rStyle w:val="AERbody"/>
        </w:rPr>
        <w:t>price change</w:t>
      </w:r>
      <w:r w:rsidR="001D7D8D">
        <w:rPr>
          <w:rStyle w:val="AERbody"/>
        </w:rPr>
        <w:t xml:space="preserve"> for materials</w:t>
      </w:r>
      <w:r>
        <w:rPr>
          <w:rStyle w:val="AERbody"/>
        </w:rPr>
        <w:t xml:space="preserve"> to zero.</w:t>
      </w:r>
      <w:r>
        <w:rPr>
          <w:rStyle w:val="FootnoteReference"/>
        </w:rPr>
        <w:footnoteReference w:id="22"/>
      </w:r>
      <w:r w:rsidR="00144922">
        <w:rPr>
          <w:rStyle w:val="AERbody"/>
        </w:rPr>
        <w:t xml:space="preserve"> </w:t>
      </w:r>
    </w:p>
    <w:p w:rsidR="002F68F4" w:rsidRPr="002F68F4" w:rsidRDefault="002F68F4" w:rsidP="002F68F4">
      <w:r w:rsidRPr="002F68F4">
        <w:t xml:space="preserve">Business SA </w:t>
      </w:r>
      <w:r w:rsidR="00A678BA">
        <w:t>stated</w:t>
      </w:r>
      <w:r w:rsidR="00A678BA" w:rsidRPr="002F68F4">
        <w:t xml:space="preserve"> </w:t>
      </w:r>
      <w:r w:rsidRPr="002F68F4">
        <w:t xml:space="preserve">the AER had not sufficiently justified its allowance of above CPI labour cost increases </w:t>
      </w:r>
      <w:r w:rsidR="00BF5405">
        <w:t>for</w:t>
      </w:r>
      <w:r w:rsidR="00BF5405" w:rsidRPr="002F68F4">
        <w:t xml:space="preserve"> </w:t>
      </w:r>
      <w:r w:rsidRPr="002F68F4">
        <w:t xml:space="preserve">AGN </w:t>
      </w:r>
      <w:r w:rsidR="00A678BA">
        <w:t>in</w:t>
      </w:r>
      <w:r w:rsidR="00A678BA" w:rsidRPr="002F68F4">
        <w:t xml:space="preserve"> </w:t>
      </w:r>
      <w:r w:rsidRPr="002F68F4">
        <w:t>the 2016</w:t>
      </w:r>
      <w:r w:rsidR="00A678BA">
        <w:t>–</w:t>
      </w:r>
      <w:r w:rsidRPr="002F68F4">
        <w:t xml:space="preserve">21 </w:t>
      </w:r>
      <w:proofErr w:type="gramStart"/>
      <w:r w:rsidRPr="002F68F4">
        <w:t>period</w:t>
      </w:r>
      <w:proofErr w:type="gramEnd"/>
      <w:r w:rsidRPr="002F68F4">
        <w:t xml:space="preserve">, which it </w:t>
      </w:r>
      <w:r w:rsidR="00A678BA">
        <w:t>considered</w:t>
      </w:r>
      <w:r w:rsidR="00A678BA" w:rsidRPr="002F68F4">
        <w:t xml:space="preserve"> </w:t>
      </w:r>
      <w:r w:rsidRPr="002F68F4">
        <w:t>was out of step with the commercial real</w:t>
      </w:r>
      <w:r w:rsidR="00850F6E">
        <w:t>i</w:t>
      </w:r>
      <w:r w:rsidRPr="002F68F4">
        <w:t xml:space="preserve">ties of </w:t>
      </w:r>
      <w:r w:rsidR="00BF5405">
        <w:t xml:space="preserve">the </w:t>
      </w:r>
      <w:r w:rsidRPr="002F68F4">
        <w:t>South Australia</w:t>
      </w:r>
      <w:r w:rsidR="00BF5405">
        <w:t>n</w:t>
      </w:r>
      <w:r w:rsidR="002930A4">
        <w:t xml:space="preserve"> economy</w:t>
      </w:r>
      <w:r w:rsidRPr="002F68F4">
        <w:t>.</w:t>
      </w:r>
      <w:r w:rsidR="00850F6E">
        <w:rPr>
          <w:rStyle w:val="FootnoteReference"/>
        </w:rPr>
        <w:footnoteReference w:id="23"/>
      </w:r>
      <w:r w:rsidRPr="002F68F4">
        <w:t xml:space="preserve"> Business SA reiterated its concerns about the methodology used by external consultants, such as BIS Shrapnel, to justify above</w:t>
      </w:r>
      <w:r w:rsidR="002930A4">
        <w:t>-</w:t>
      </w:r>
      <w:r w:rsidRPr="002F68F4">
        <w:t>CPI labour cost increases for AGN.</w:t>
      </w:r>
      <w:r w:rsidR="002E2BF5" w:rsidRPr="002E2BF5">
        <w:rPr>
          <w:rStyle w:val="FootnoteReference"/>
        </w:rPr>
        <w:footnoteReference w:id="24"/>
      </w:r>
      <w:r w:rsidRPr="002F68F4">
        <w:t xml:space="preserve"> </w:t>
      </w:r>
    </w:p>
    <w:p w:rsidR="00BF5405" w:rsidRDefault="00A678BA" w:rsidP="002E2BF5">
      <w:r>
        <w:t xml:space="preserve">Our labour cost forecasts are an </w:t>
      </w:r>
      <w:r w:rsidR="008B7EE9">
        <w:t>average</w:t>
      </w:r>
      <w:r>
        <w:t xml:space="preserve"> of the forecasts derived by BIS and DAE. </w:t>
      </w:r>
      <w:r w:rsidR="00F9746A" w:rsidRPr="00F9746A">
        <w:t xml:space="preserve">We </w:t>
      </w:r>
      <w:r w:rsidR="00BF5405">
        <w:t>consider</w:t>
      </w:r>
      <w:r w:rsidR="00F9746A" w:rsidRPr="00F9746A">
        <w:t xml:space="preserve"> the averaging approach provides a reasonable forecast of labour cost escalation.</w:t>
      </w:r>
      <w:r w:rsidR="00F9746A">
        <w:t xml:space="preserve"> </w:t>
      </w:r>
      <w:r w:rsidR="002E2BF5" w:rsidRPr="002E2BF5">
        <w:t xml:space="preserve">Both the DAE and BIS Shrapnel forecasts are based on each consultant's view of general macroeconomics trends for the utilities industry and the overall Australian economy. Both also use the Australian Bureau of Statistics (ABS) Electricity, Gas, Water, Waste Service (EGWWS) sector to develop their </w:t>
      </w:r>
      <w:r w:rsidR="00586B2C">
        <w:t xml:space="preserve">wages </w:t>
      </w:r>
      <w:r w:rsidR="002E2BF5" w:rsidRPr="002E2BF5">
        <w:t>forecasts</w:t>
      </w:r>
      <w:r w:rsidR="00BF5405">
        <w:t xml:space="preserve"> which we consider to be the </w:t>
      </w:r>
      <w:r w:rsidR="002E2BF5" w:rsidRPr="002E2BF5">
        <w:t xml:space="preserve">most appropriate benchmark to arrive at the best forecast. </w:t>
      </w:r>
    </w:p>
    <w:p w:rsidR="00F9746A" w:rsidRDefault="002E2BF5" w:rsidP="002E2BF5">
      <w:r w:rsidRPr="002E2BF5">
        <w:t>Further, we consider an averaging approach that takes into account the consultants’ forecasting history, if available, to be a better method for forecast</w:t>
      </w:r>
      <w:r w:rsidR="00CA3BD5">
        <w:t>ing</w:t>
      </w:r>
      <w:r w:rsidRPr="002E2BF5">
        <w:t xml:space="preserve"> changes in labour prices. We have adopted the averaging approach in the past because DAE typically forecast lower than actual Wage Price Index (WPI) and BIS Shrapnel typically forecast higher than actual WPI for the Australian EGWWS sector.</w:t>
      </w:r>
      <w:r w:rsidRPr="002E2BF5">
        <w:rPr>
          <w:rStyle w:val="FootnoteReference"/>
        </w:rPr>
        <w:footnoteReference w:id="25"/>
      </w:r>
      <w:r>
        <w:t xml:space="preserve"> </w:t>
      </w:r>
    </w:p>
    <w:p w:rsidR="00742DCB" w:rsidRDefault="002E2BF5" w:rsidP="00742DCB">
      <w:r>
        <w:t>Therefore, we</w:t>
      </w:r>
      <w:r w:rsidRPr="002E2BF5">
        <w:t xml:space="preserve"> </w:t>
      </w:r>
      <w:r w:rsidR="00BF5405">
        <w:t>have not altered</w:t>
      </w:r>
      <w:r w:rsidRPr="002E2BF5">
        <w:t xml:space="preserve"> our method for forecasting input price change in our final decision.</w:t>
      </w:r>
      <w:r>
        <w:t xml:space="preserve"> We have </w:t>
      </w:r>
      <w:r w:rsidR="00742DCB">
        <w:t>used the latest labour price growth forecasts in our final decision.</w:t>
      </w:r>
      <w:r w:rsidR="006C5632">
        <w:rPr>
          <w:rStyle w:val="FootnoteReference"/>
        </w:rPr>
        <w:footnoteReference w:id="26"/>
      </w:r>
      <w:r w:rsidR="00742DCB">
        <w:t xml:space="preserve"> </w:t>
      </w:r>
      <w:r w:rsidR="00097575">
        <w:t xml:space="preserve">We also identified and corrected </w:t>
      </w:r>
      <w:r w:rsidR="009C6C1B">
        <w:t xml:space="preserve">an error </w:t>
      </w:r>
      <w:r w:rsidR="00097575">
        <w:t xml:space="preserve">in the opex model in the formula for calculating the input cost escalator. </w:t>
      </w:r>
      <w:r w:rsidR="00742DCB">
        <w:t>Th</w:t>
      </w:r>
      <w:r w:rsidR="00C90FA5">
        <w:t>ese changes</w:t>
      </w:r>
      <w:r w:rsidR="00742DCB">
        <w:t xml:space="preserve"> result in slight difference</w:t>
      </w:r>
      <w:r w:rsidR="006C5632">
        <w:t>s</w:t>
      </w:r>
      <w:r w:rsidR="00742DCB">
        <w:t xml:space="preserve"> in input price change from our draft decision and A</w:t>
      </w:r>
      <w:r w:rsidR="001C7502">
        <w:t>GN</w:t>
      </w:r>
      <w:r w:rsidR="00742DCB">
        <w:t xml:space="preserve">'s revised proposal. </w:t>
      </w:r>
      <w:r w:rsidR="00001B48">
        <w:fldChar w:fldCharType="begin"/>
      </w:r>
      <w:r w:rsidR="00001B48">
        <w:instrText xml:space="preserve"> REF _Ref444851604 \h </w:instrText>
      </w:r>
      <w:r w:rsidR="00001B48">
        <w:fldChar w:fldCharType="separate"/>
      </w:r>
      <w:r w:rsidR="004F6349">
        <w:t xml:space="preserve">Table </w:t>
      </w:r>
      <w:r w:rsidR="004F6349">
        <w:rPr>
          <w:noProof/>
        </w:rPr>
        <w:t>7</w:t>
      </w:r>
      <w:r w:rsidR="004F6349">
        <w:t>.</w:t>
      </w:r>
      <w:r w:rsidR="004F6349">
        <w:rPr>
          <w:noProof/>
        </w:rPr>
        <w:t>4</w:t>
      </w:r>
      <w:r w:rsidR="00001B48">
        <w:fldChar w:fldCharType="end"/>
      </w:r>
      <w:r w:rsidR="00001B48">
        <w:t xml:space="preserve"> </w:t>
      </w:r>
      <w:r w:rsidR="00742DCB">
        <w:t>contains our final decision on input price change.</w:t>
      </w:r>
    </w:p>
    <w:p w:rsidR="00421DAD" w:rsidRDefault="00421DAD" w:rsidP="00742DCB"/>
    <w:p w:rsidR="001E4DBF" w:rsidRDefault="00001B48" w:rsidP="00001B48">
      <w:pPr>
        <w:pStyle w:val="Caption"/>
      </w:pPr>
      <w:bookmarkStart w:id="46" w:name="_Ref444851604"/>
      <w:proofErr w:type="gramStart"/>
      <w:r>
        <w:t xml:space="preserve">Table </w:t>
      </w:r>
      <w:r w:rsidR="00961E5E">
        <w:fldChar w:fldCharType="begin"/>
      </w:r>
      <w:r w:rsidR="00961E5E">
        <w:instrText xml:space="preserve"> STYLEREF 1 \s </w:instrText>
      </w:r>
      <w:r w:rsidR="00961E5E">
        <w:fldChar w:fldCharType="separate"/>
      </w:r>
      <w:r w:rsidR="004F6349">
        <w:rPr>
          <w:noProof/>
        </w:rPr>
        <w:t>7</w:t>
      </w:r>
      <w:r w:rsidR="00961E5E">
        <w:rPr>
          <w:noProof/>
        </w:rPr>
        <w:fldChar w:fldCharType="end"/>
      </w:r>
      <w:r w:rsidR="004F6349">
        <w:t>.</w:t>
      </w:r>
      <w:proofErr w:type="gramEnd"/>
      <w:r w:rsidR="004F6349">
        <w:fldChar w:fldCharType="begin"/>
      </w:r>
      <w:r w:rsidR="004F6349">
        <w:instrText xml:space="preserve"> SEQ Table \* ARABIC \s 1 </w:instrText>
      </w:r>
      <w:r w:rsidR="004F6349">
        <w:fldChar w:fldCharType="separate"/>
      </w:r>
      <w:r w:rsidR="004F6349">
        <w:rPr>
          <w:noProof/>
        </w:rPr>
        <w:t>4</w:t>
      </w:r>
      <w:r w:rsidR="004F6349">
        <w:fldChar w:fldCharType="end"/>
      </w:r>
      <w:bookmarkEnd w:id="46"/>
      <w:r w:rsidR="001E4DBF">
        <w:tab/>
        <w:t xml:space="preserve">AER Final Decision - Forecast input price </w:t>
      </w:r>
      <w:r w:rsidR="001D6AF9">
        <w:t>change (per cent)</w:t>
      </w:r>
    </w:p>
    <w:tbl>
      <w:tblPr>
        <w:tblStyle w:val="AERtable-numbers"/>
        <w:tblW w:w="8897" w:type="dxa"/>
        <w:tblLayout w:type="fixed"/>
        <w:tblLook w:val="04A0" w:firstRow="1" w:lastRow="0" w:firstColumn="1" w:lastColumn="0" w:noHBand="0" w:noVBand="1"/>
      </w:tblPr>
      <w:tblGrid>
        <w:gridCol w:w="2518"/>
        <w:gridCol w:w="1275"/>
        <w:gridCol w:w="1276"/>
        <w:gridCol w:w="1276"/>
        <w:gridCol w:w="1276"/>
        <w:gridCol w:w="1276"/>
      </w:tblGrid>
      <w:tr w:rsidR="001E4DBF" w:rsidTr="00C92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8" w:type="dxa"/>
          </w:tcPr>
          <w:p w:rsidR="001E4DBF" w:rsidRDefault="001E4DBF" w:rsidP="001E4DBF">
            <w:pPr>
              <w:numPr>
                <w:ilvl w:val="0"/>
                <w:numId w:val="24"/>
              </w:numPr>
            </w:pPr>
          </w:p>
        </w:tc>
        <w:tc>
          <w:tcPr>
            <w:tcW w:w="1275" w:type="dxa"/>
          </w:tcPr>
          <w:p w:rsidR="001E4DBF" w:rsidRDefault="001E4DBF" w:rsidP="001E4DBF">
            <w:pPr>
              <w:numPr>
                <w:ilvl w:val="0"/>
                <w:numId w:val="24"/>
              </w:numPr>
              <w:cnfStyle w:val="100000000000" w:firstRow="1" w:lastRow="0" w:firstColumn="0" w:lastColumn="0" w:oddVBand="0" w:evenVBand="0" w:oddHBand="0" w:evenHBand="0" w:firstRowFirstColumn="0" w:firstRowLastColumn="0" w:lastRowFirstColumn="0" w:lastRowLastColumn="0"/>
            </w:pPr>
            <w:r>
              <w:t>2016–17</w:t>
            </w:r>
          </w:p>
        </w:tc>
        <w:tc>
          <w:tcPr>
            <w:tcW w:w="1276" w:type="dxa"/>
          </w:tcPr>
          <w:p w:rsidR="001E4DBF" w:rsidRPr="001E4DBF" w:rsidRDefault="001E4DBF" w:rsidP="001E4DBF">
            <w:pPr>
              <w:cnfStyle w:val="100000000000" w:firstRow="1" w:lastRow="0" w:firstColumn="0" w:lastColumn="0" w:oddVBand="0" w:evenVBand="0" w:oddHBand="0" w:evenHBand="0" w:firstRowFirstColumn="0" w:firstRowLastColumn="0" w:lastRowFirstColumn="0" w:lastRowLastColumn="0"/>
            </w:pPr>
            <w:r>
              <w:t>2017–</w:t>
            </w:r>
            <w:r w:rsidRPr="001E4DBF">
              <w:t>18</w:t>
            </w:r>
          </w:p>
        </w:tc>
        <w:tc>
          <w:tcPr>
            <w:tcW w:w="1276" w:type="dxa"/>
          </w:tcPr>
          <w:p w:rsidR="001E4DBF" w:rsidRPr="001E4DBF" w:rsidRDefault="001E4DBF" w:rsidP="001E4DBF">
            <w:pPr>
              <w:cnfStyle w:val="100000000000" w:firstRow="1" w:lastRow="0" w:firstColumn="0" w:lastColumn="0" w:oddVBand="0" w:evenVBand="0" w:oddHBand="0" w:evenHBand="0" w:firstRowFirstColumn="0" w:firstRowLastColumn="0" w:lastRowFirstColumn="0" w:lastRowLastColumn="0"/>
            </w:pPr>
            <w:r>
              <w:t>2018–</w:t>
            </w:r>
            <w:r w:rsidRPr="001E4DBF">
              <w:t>19</w:t>
            </w:r>
          </w:p>
        </w:tc>
        <w:tc>
          <w:tcPr>
            <w:tcW w:w="1276" w:type="dxa"/>
          </w:tcPr>
          <w:p w:rsidR="001E4DBF" w:rsidRPr="001E4DBF" w:rsidRDefault="001E4DBF" w:rsidP="001E4DBF">
            <w:pPr>
              <w:cnfStyle w:val="100000000000" w:firstRow="1" w:lastRow="0" w:firstColumn="0" w:lastColumn="0" w:oddVBand="0" w:evenVBand="0" w:oddHBand="0" w:evenHBand="0" w:firstRowFirstColumn="0" w:firstRowLastColumn="0" w:lastRowFirstColumn="0" w:lastRowLastColumn="0"/>
            </w:pPr>
            <w:r>
              <w:t>2019</w:t>
            </w:r>
            <w:r w:rsidRPr="001E4DBF">
              <w:t>–20</w:t>
            </w:r>
          </w:p>
        </w:tc>
        <w:tc>
          <w:tcPr>
            <w:tcW w:w="1276" w:type="dxa"/>
          </w:tcPr>
          <w:p w:rsidR="001E4DBF" w:rsidRDefault="001E4DBF" w:rsidP="001E4DBF">
            <w:pPr>
              <w:numPr>
                <w:ilvl w:val="0"/>
                <w:numId w:val="24"/>
              </w:numPr>
              <w:cnfStyle w:val="100000000000" w:firstRow="1" w:lastRow="0" w:firstColumn="0" w:lastColumn="0" w:oddVBand="0" w:evenVBand="0" w:oddHBand="0" w:evenHBand="0" w:firstRowFirstColumn="0" w:firstRowLastColumn="0" w:lastRowFirstColumn="0" w:lastRowLastColumn="0"/>
            </w:pPr>
            <w:r>
              <w:t>2020–21</w:t>
            </w:r>
          </w:p>
        </w:tc>
      </w:tr>
      <w:tr w:rsidR="001E4DBF" w:rsidTr="00C92B35">
        <w:tc>
          <w:tcPr>
            <w:cnfStyle w:val="001000000000" w:firstRow="0" w:lastRow="0" w:firstColumn="1" w:lastColumn="0" w:oddVBand="0" w:evenVBand="0" w:oddHBand="0" w:evenHBand="0" w:firstRowFirstColumn="0" w:firstRowLastColumn="0" w:lastRowFirstColumn="0" w:lastRowLastColumn="0"/>
            <w:tcW w:w="2518" w:type="dxa"/>
          </w:tcPr>
          <w:p w:rsidR="001E4DBF" w:rsidRPr="00E50081" w:rsidRDefault="001E4DBF" w:rsidP="001E4DBF">
            <w:pPr>
              <w:numPr>
                <w:ilvl w:val="0"/>
                <w:numId w:val="24"/>
              </w:numPr>
              <w:rPr>
                <w:rStyle w:val="Strong"/>
              </w:rPr>
            </w:pPr>
            <w:r>
              <w:rPr>
                <w:rStyle w:val="Strong"/>
              </w:rPr>
              <w:t>Input price</w:t>
            </w:r>
            <w:r w:rsidR="002F68F4">
              <w:rPr>
                <w:rStyle w:val="Strong"/>
              </w:rPr>
              <w:t xml:space="preserve"> change</w:t>
            </w:r>
          </w:p>
        </w:tc>
        <w:tc>
          <w:tcPr>
            <w:tcW w:w="1275" w:type="dxa"/>
          </w:tcPr>
          <w:p w:rsidR="001E4DBF" w:rsidRPr="00E50081" w:rsidRDefault="003E0FD0" w:rsidP="00097575">
            <w:pPr>
              <w:numPr>
                <w:ilvl w:val="0"/>
                <w:numId w:val="24"/>
              </w:numPr>
              <w:cnfStyle w:val="000000000000" w:firstRow="0" w:lastRow="0" w:firstColumn="0" w:lastColumn="0" w:oddVBand="0" w:evenVBand="0" w:oddHBand="0" w:evenHBand="0" w:firstRowFirstColumn="0" w:firstRowLastColumn="0" w:lastRowFirstColumn="0" w:lastRowLastColumn="0"/>
            </w:pPr>
            <w:r>
              <w:t>0.31</w:t>
            </w:r>
          </w:p>
        </w:tc>
        <w:tc>
          <w:tcPr>
            <w:tcW w:w="1276" w:type="dxa"/>
            <w:vAlign w:val="top"/>
          </w:tcPr>
          <w:p w:rsidR="001E4DBF" w:rsidRDefault="003E0FD0" w:rsidP="00097575">
            <w:pPr>
              <w:cnfStyle w:val="000000000000" w:firstRow="0" w:lastRow="0" w:firstColumn="0" w:lastColumn="0" w:oddVBand="0" w:evenVBand="0" w:oddHBand="0" w:evenHBand="0" w:firstRowFirstColumn="0" w:firstRowLastColumn="0" w:lastRowFirstColumn="0" w:lastRowLastColumn="0"/>
            </w:pPr>
            <w:r>
              <w:t>0.45</w:t>
            </w:r>
          </w:p>
        </w:tc>
        <w:tc>
          <w:tcPr>
            <w:tcW w:w="1276" w:type="dxa"/>
            <w:vAlign w:val="top"/>
          </w:tcPr>
          <w:p w:rsidR="001E4DBF" w:rsidRDefault="003E0FD0" w:rsidP="00097575">
            <w:pPr>
              <w:cnfStyle w:val="000000000000" w:firstRow="0" w:lastRow="0" w:firstColumn="0" w:lastColumn="0" w:oddVBand="0" w:evenVBand="0" w:oddHBand="0" w:evenHBand="0" w:firstRowFirstColumn="0" w:firstRowLastColumn="0" w:lastRowFirstColumn="0" w:lastRowLastColumn="0"/>
            </w:pPr>
            <w:r>
              <w:t>0.56</w:t>
            </w:r>
          </w:p>
        </w:tc>
        <w:tc>
          <w:tcPr>
            <w:tcW w:w="1276" w:type="dxa"/>
            <w:vAlign w:val="top"/>
          </w:tcPr>
          <w:p w:rsidR="001E4DBF" w:rsidRDefault="003E0FD0" w:rsidP="00097575">
            <w:pPr>
              <w:cnfStyle w:val="000000000000" w:firstRow="0" w:lastRow="0" w:firstColumn="0" w:lastColumn="0" w:oddVBand="0" w:evenVBand="0" w:oddHBand="0" w:evenHBand="0" w:firstRowFirstColumn="0" w:firstRowLastColumn="0" w:lastRowFirstColumn="0" w:lastRowLastColumn="0"/>
            </w:pPr>
            <w:r>
              <w:t>0.75</w:t>
            </w:r>
          </w:p>
        </w:tc>
        <w:tc>
          <w:tcPr>
            <w:tcW w:w="1276" w:type="dxa"/>
            <w:vAlign w:val="top"/>
          </w:tcPr>
          <w:p w:rsidR="001E4DBF" w:rsidRDefault="003E0FD0" w:rsidP="00097575">
            <w:pPr>
              <w:cnfStyle w:val="000000000000" w:firstRow="0" w:lastRow="0" w:firstColumn="0" w:lastColumn="0" w:oddVBand="0" w:evenVBand="0" w:oddHBand="0" w:evenHBand="0" w:firstRowFirstColumn="0" w:firstRowLastColumn="0" w:lastRowFirstColumn="0" w:lastRowLastColumn="0"/>
            </w:pPr>
            <w:r>
              <w:t>0.91</w:t>
            </w:r>
          </w:p>
        </w:tc>
      </w:tr>
    </w:tbl>
    <w:p w:rsidR="00A70417" w:rsidRPr="008B79AF" w:rsidRDefault="00A70417" w:rsidP="008B79AF">
      <w:pPr>
        <w:pStyle w:val="Source"/>
        <w:rPr>
          <w:rStyle w:val="AERbody"/>
          <w:sz w:val="16"/>
        </w:rPr>
      </w:pPr>
      <w:r w:rsidRPr="008B79AF">
        <w:rPr>
          <w:rStyle w:val="AERbody"/>
          <w:sz w:val="16"/>
        </w:rPr>
        <w:t xml:space="preserve">Source: </w:t>
      </w:r>
      <w:r w:rsidR="004F6349">
        <w:rPr>
          <w:rStyle w:val="AERbody"/>
        </w:rPr>
        <w:tab/>
      </w:r>
      <w:r w:rsidRPr="008B79AF">
        <w:rPr>
          <w:rStyle w:val="AERbody"/>
          <w:sz w:val="16"/>
        </w:rPr>
        <w:t>AER analysis</w:t>
      </w:r>
    </w:p>
    <w:p w:rsidR="00A678BA" w:rsidRPr="00395DFF" w:rsidRDefault="002E2BF5" w:rsidP="002E2BF5">
      <w:pPr>
        <w:rPr>
          <w:rStyle w:val="AERbody"/>
        </w:rPr>
      </w:pPr>
      <w:r w:rsidRPr="00395DFF">
        <w:rPr>
          <w:rStyle w:val="AERbody"/>
        </w:rPr>
        <w:t xml:space="preserve">Business SA also </w:t>
      </w:r>
      <w:r w:rsidR="009C6C1B">
        <w:rPr>
          <w:rStyle w:val="AERbody"/>
        </w:rPr>
        <w:t>stated</w:t>
      </w:r>
      <w:r w:rsidR="009C6C1B" w:rsidRPr="00395DFF">
        <w:rPr>
          <w:rStyle w:val="AERbody"/>
        </w:rPr>
        <w:t xml:space="preserve"> </w:t>
      </w:r>
      <w:r w:rsidRPr="00395DFF">
        <w:rPr>
          <w:rStyle w:val="AERbody"/>
        </w:rPr>
        <w:t xml:space="preserve">the AER’s </w:t>
      </w:r>
      <w:r w:rsidR="00395DFF">
        <w:rPr>
          <w:rStyle w:val="AERbody"/>
        </w:rPr>
        <w:t xml:space="preserve">draft </w:t>
      </w:r>
      <w:r w:rsidRPr="00395DFF">
        <w:rPr>
          <w:rStyle w:val="AERbody"/>
        </w:rPr>
        <w:t>decision allowing AGN real labour cost increases is at odds with AGN’s forecast approach for new estate connections where the AER did not consider that applying construction and labour escalation to the contractor labour component of unit rates for mains, services and meters would result in estimates arrived at on a reasonable basis.</w:t>
      </w:r>
      <w:r w:rsidR="00850F6E">
        <w:rPr>
          <w:rStyle w:val="FootnoteReference"/>
        </w:rPr>
        <w:footnoteReference w:id="27"/>
      </w:r>
      <w:r w:rsidRPr="00395DFF">
        <w:rPr>
          <w:rStyle w:val="AERbody"/>
        </w:rPr>
        <w:t xml:space="preserve"> </w:t>
      </w:r>
      <w:r w:rsidR="00314A7B">
        <w:rPr>
          <w:rStyle w:val="AERbody"/>
        </w:rPr>
        <w:t xml:space="preserve">Business SA </w:t>
      </w:r>
      <w:r w:rsidRPr="00395DFF">
        <w:rPr>
          <w:rStyle w:val="AERbody"/>
        </w:rPr>
        <w:t xml:space="preserve">noted the </w:t>
      </w:r>
      <w:r w:rsidR="00307C12">
        <w:rPr>
          <w:rStyle w:val="AERbody"/>
        </w:rPr>
        <w:t xml:space="preserve">AER's draft decision stated the </w:t>
      </w:r>
      <w:r w:rsidRPr="00395DFF">
        <w:rPr>
          <w:rStyle w:val="AERbody"/>
        </w:rPr>
        <w:t>underlying contracts do not provide for any real construction, labour or material escalation.</w:t>
      </w:r>
      <w:r w:rsidRPr="00395DFF">
        <w:rPr>
          <w:rStyle w:val="FootnoteReference"/>
        </w:rPr>
        <w:footnoteReference w:id="28"/>
      </w:r>
      <w:r w:rsidR="00A678BA" w:rsidRPr="00395DFF">
        <w:rPr>
          <w:rStyle w:val="FootnoteReference"/>
        </w:rPr>
        <w:t xml:space="preserve"> </w:t>
      </w:r>
    </w:p>
    <w:p w:rsidR="00395DFF" w:rsidRPr="00395DFF" w:rsidRDefault="00A678BA" w:rsidP="006A2A6F">
      <w:r w:rsidRPr="00D65855">
        <w:rPr>
          <w:rStyle w:val="AERbody"/>
        </w:rPr>
        <w:t xml:space="preserve">We do not consider our </w:t>
      </w:r>
      <w:r w:rsidR="00D65855">
        <w:rPr>
          <w:rStyle w:val="AERbody"/>
        </w:rPr>
        <w:t xml:space="preserve">draft </w:t>
      </w:r>
      <w:r w:rsidRPr="00D65855">
        <w:rPr>
          <w:rStyle w:val="AERbody"/>
        </w:rPr>
        <w:t xml:space="preserve">decision in respect of new estate connections at odds with the application of input price escalation to internal labour. This is because </w:t>
      </w:r>
      <w:r w:rsidR="00990FBC">
        <w:rPr>
          <w:rStyle w:val="AERbody"/>
        </w:rPr>
        <w:t>these c</w:t>
      </w:r>
      <w:r w:rsidRPr="00D65855">
        <w:rPr>
          <w:rStyle w:val="AERbody"/>
        </w:rPr>
        <w:t xml:space="preserve">ontracts </w:t>
      </w:r>
      <w:r w:rsidR="00990FBC">
        <w:rPr>
          <w:rStyle w:val="AERbody"/>
        </w:rPr>
        <w:t xml:space="preserve">are for the provision of connection </w:t>
      </w:r>
      <w:r w:rsidRPr="00D65855">
        <w:rPr>
          <w:rStyle w:val="AERbody"/>
        </w:rPr>
        <w:t xml:space="preserve">services </w:t>
      </w:r>
      <w:r w:rsidR="00990FBC">
        <w:rPr>
          <w:rStyle w:val="AERbody"/>
        </w:rPr>
        <w:t xml:space="preserve">rather than for the provision of a unit of labour. </w:t>
      </w:r>
      <w:r w:rsidR="006A2A6F" w:rsidRPr="006A2A6F">
        <w:t>AGN's input price growth for its in</w:t>
      </w:r>
      <w:r w:rsidR="00586B2C">
        <w:t>ternal</w:t>
      </w:r>
      <w:r w:rsidR="006A2A6F" w:rsidRPr="006A2A6F">
        <w:t xml:space="preserve"> labour is based on the WPI for EGWWS </w:t>
      </w:r>
      <w:r w:rsidR="00586B2C">
        <w:t>sector</w:t>
      </w:r>
      <w:r w:rsidR="006A2A6F" w:rsidRPr="006A2A6F">
        <w:t xml:space="preserve">. It represents the price AGN pays for a unit of labour and is not productivity adjusted. We consider AGN's contractor price growth reflects the price it pays after productivity growth and is effectively productivity adjusted. </w:t>
      </w:r>
      <w:r w:rsidR="006A2A6F">
        <w:t>T</w:t>
      </w:r>
      <w:r w:rsidRPr="00D65855">
        <w:rPr>
          <w:rStyle w:val="AERbody"/>
        </w:rPr>
        <w:t>herefore</w:t>
      </w:r>
      <w:r w:rsidR="00363919">
        <w:rPr>
          <w:rStyle w:val="AERbody"/>
        </w:rPr>
        <w:t>,</w:t>
      </w:r>
      <w:r w:rsidRPr="00D65855">
        <w:rPr>
          <w:rStyle w:val="AERbody"/>
        </w:rPr>
        <w:t xml:space="preserve"> labour cost escalation is not appropriate for deriving forecasts </w:t>
      </w:r>
      <w:r w:rsidR="006A2A6F">
        <w:rPr>
          <w:rStyle w:val="AERbody"/>
        </w:rPr>
        <w:t xml:space="preserve">for </w:t>
      </w:r>
      <w:r w:rsidR="00314A7B">
        <w:rPr>
          <w:rStyle w:val="AERbody"/>
        </w:rPr>
        <w:t>contracted services</w:t>
      </w:r>
      <w:r w:rsidR="006A2A6F">
        <w:rPr>
          <w:rStyle w:val="AERbody"/>
        </w:rPr>
        <w:t xml:space="preserve">. </w:t>
      </w:r>
    </w:p>
    <w:p w:rsidR="00742DCB" w:rsidRDefault="00742DCB" w:rsidP="00742DCB">
      <w:pPr>
        <w:pStyle w:val="Heading4"/>
      </w:pPr>
      <w:r>
        <w:t>Output change</w:t>
      </w:r>
    </w:p>
    <w:p w:rsidR="00742DCB" w:rsidRPr="00FE5A48" w:rsidRDefault="00742DCB" w:rsidP="00742DCB">
      <w:r>
        <w:t>Output change</w:t>
      </w:r>
      <w:r w:rsidRPr="00FE5A48">
        <w:t xml:space="preserve"> captures the change in expenditure due to changes in the level of outputs delivered. The variables included in </w:t>
      </w:r>
      <w:r>
        <w:t xml:space="preserve">the </w:t>
      </w:r>
      <w:r w:rsidRPr="00FE5A48">
        <w:t>output change measure should reflect the main drivers o</w:t>
      </w:r>
      <w:r>
        <w:t>f output for gas distribution businesses</w:t>
      </w:r>
      <w:r w:rsidRPr="00FE5A48">
        <w:t xml:space="preserve"> and</w:t>
      </w:r>
      <w:r>
        <w:t xml:space="preserve"> should be</w:t>
      </w:r>
      <w:r w:rsidRPr="00FE5A48">
        <w:t xml:space="preserve"> modelled consistently between the </w:t>
      </w:r>
      <w:r>
        <w:t>historical and forecast period</w:t>
      </w:r>
      <w:r w:rsidR="00586B2C">
        <w:t>s</w:t>
      </w:r>
      <w:r>
        <w:t>.</w:t>
      </w:r>
    </w:p>
    <w:p w:rsidR="00742DCB" w:rsidRDefault="00742DCB" w:rsidP="00742DCB">
      <w:r w:rsidRPr="00FE5A48">
        <w:t>Under our rate of change approach, a proportional change in output results in the same proportional change in expenditure. Any subsequent adjustment for economies of scale is considered as a part of productivity.</w:t>
      </w:r>
    </w:p>
    <w:p w:rsidR="00F90788" w:rsidRPr="000A2CAA" w:rsidRDefault="00030CAC" w:rsidP="000A2CAA">
      <w:pPr>
        <w:rPr>
          <w:rStyle w:val="AERbody"/>
        </w:rPr>
      </w:pPr>
      <w:r>
        <w:t xml:space="preserve">AGN accepted our draft decision </w:t>
      </w:r>
      <w:r w:rsidR="00D73C91">
        <w:t xml:space="preserve">on output growth </w:t>
      </w:r>
      <w:r>
        <w:t xml:space="preserve">in its revised </w:t>
      </w:r>
      <w:r w:rsidR="00F90788">
        <w:t>proposal.</w:t>
      </w:r>
      <w:r w:rsidR="00D73C91">
        <w:rPr>
          <w:rStyle w:val="FootnoteReference"/>
        </w:rPr>
        <w:footnoteReference w:id="29"/>
      </w:r>
      <w:r w:rsidR="00F90788">
        <w:t xml:space="preserve"> </w:t>
      </w:r>
      <w:r w:rsidR="001E29D2" w:rsidRPr="000A2CAA">
        <w:rPr>
          <w:rStyle w:val="AERbody"/>
        </w:rPr>
        <w:t xml:space="preserve">We </w:t>
      </w:r>
      <w:r w:rsidR="00373AB4" w:rsidRPr="000A2CAA">
        <w:rPr>
          <w:rStyle w:val="AERbody"/>
        </w:rPr>
        <w:t xml:space="preserve">have updated </w:t>
      </w:r>
      <w:r w:rsidR="001E29D2" w:rsidRPr="000A2CAA">
        <w:rPr>
          <w:rStyle w:val="AERbody"/>
        </w:rPr>
        <w:t xml:space="preserve">our </w:t>
      </w:r>
      <w:r w:rsidR="00373AB4" w:rsidRPr="000A2CAA">
        <w:rPr>
          <w:rStyle w:val="AERbody"/>
        </w:rPr>
        <w:t>customer</w:t>
      </w:r>
      <w:r w:rsidR="001E29D2" w:rsidRPr="000A2CAA">
        <w:rPr>
          <w:rStyle w:val="AERbody"/>
        </w:rPr>
        <w:t xml:space="preserve"> number</w:t>
      </w:r>
      <w:r w:rsidR="00373AB4" w:rsidRPr="000A2CAA">
        <w:rPr>
          <w:rStyle w:val="AERbody"/>
        </w:rPr>
        <w:t xml:space="preserve"> and throughput </w:t>
      </w:r>
      <w:r w:rsidR="00FD4D9E" w:rsidRPr="000A2CAA">
        <w:rPr>
          <w:rStyle w:val="AERbody"/>
        </w:rPr>
        <w:t>forecasts</w:t>
      </w:r>
      <w:r w:rsidR="00373AB4" w:rsidRPr="000A2CAA">
        <w:rPr>
          <w:rStyle w:val="AERbody"/>
        </w:rPr>
        <w:t xml:space="preserve"> in our final decision</w:t>
      </w:r>
      <w:r w:rsidR="00FD4D9E" w:rsidRPr="000A2CAA">
        <w:rPr>
          <w:rStyle w:val="AERbody"/>
        </w:rPr>
        <w:t>.</w:t>
      </w:r>
      <w:r w:rsidR="001D6AF9">
        <w:rPr>
          <w:rStyle w:val="FootnoteReference"/>
        </w:rPr>
        <w:footnoteReference w:id="30"/>
      </w:r>
      <w:r w:rsidR="00FD4D9E" w:rsidRPr="000A2CAA">
        <w:rPr>
          <w:rStyle w:val="AERbody"/>
        </w:rPr>
        <w:t xml:space="preserve"> </w:t>
      </w:r>
    </w:p>
    <w:p w:rsidR="00742DCB" w:rsidRDefault="00001B48" w:rsidP="00742DCB">
      <w:r>
        <w:fldChar w:fldCharType="begin"/>
      </w:r>
      <w:r>
        <w:instrText xml:space="preserve"> REF _Ref444851645 \h </w:instrText>
      </w:r>
      <w:r>
        <w:fldChar w:fldCharType="separate"/>
      </w:r>
      <w:r w:rsidR="004F6349">
        <w:t xml:space="preserve">Table </w:t>
      </w:r>
      <w:r w:rsidR="004F6349">
        <w:rPr>
          <w:noProof/>
        </w:rPr>
        <w:t>7</w:t>
      </w:r>
      <w:r w:rsidR="004F6349">
        <w:t>.</w:t>
      </w:r>
      <w:r w:rsidR="004F6349">
        <w:rPr>
          <w:noProof/>
        </w:rPr>
        <w:t>5</w:t>
      </w:r>
      <w:r>
        <w:fldChar w:fldCharType="end"/>
      </w:r>
      <w:r>
        <w:t xml:space="preserve"> </w:t>
      </w:r>
      <w:r w:rsidR="00F90788">
        <w:t xml:space="preserve">sets out </w:t>
      </w:r>
      <w:r w:rsidR="001D6AF9">
        <w:t xml:space="preserve">the </w:t>
      </w:r>
      <w:r w:rsidR="00CA1D27">
        <w:t xml:space="preserve">total </w:t>
      </w:r>
      <w:r w:rsidR="001D6AF9">
        <w:t xml:space="preserve">output growth </w:t>
      </w:r>
      <w:r w:rsidR="00F90788">
        <w:t xml:space="preserve">factor applied in our alternative total opex forecast. </w:t>
      </w:r>
    </w:p>
    <w:p w:rsidR="00742DCB" w:rsidRDefault="00001B48" w:rsidP="00001B48">
      <w:pPr>
        <w:pStyle w:val="Caption"/>
      </w:pPr>
      <w:bookmarkStart w:id="47" w:name="_Ref444851645"/>
      <w:bookmarkStart w:id="48" w:name="_Ref441071595"/>
      <w:proofErr w:type="gramStart"/>
      <w:r>
        <w:t xml:space="preserve">Table </w:t>
      </w:r>
      <w:r w:rsidR="00961E5E">
        <w:fldChar w:fldCharType="begin"/>
      </w:r>
      <w:r w:rsidR="00961E5E">
        <w:instrText xml:space="preserve"> STYLEREF 1 \s </w:instrText>
      </w:r>
      <w:r w:rsidR="00961E5E">
        <w:fldChar w:fldCharType="separate"/>
      </w:r>
      <w:r w:rsidR="004F6349">
        <w:rPr>
          <w:noProof/>
        </w:rPr>
        <w:t>7</w:t>
      </w:r>
      <w:r w:rsidR="00961E5E">
        <w:rPr>
          <w:noProof/>
        </w:rPr>
        <w:fldChar w:fldCharType="end"/>
      </w:r>
      <w:r w:rsidR="004F6349">
        <w:t>.</w:t>
      </w:r>
      <w:proofErr w:type="gramEnd"/>
      <w:r w:rsidR="004F6349">
        <w:fldChar w:fldCharType="begin"/>
      </w:r>
      <w:r w:rsidR="004F6349">
        <w:instrText xml:space="preserve"> SEQ Table \* ARABIC \s 1 </w:instrText>
      </w:r>
      <w:r w:rsidR="004F6349">
        <w:fldChar w:fldCharType="separate"/>
      </w:r>
      <w:r w:rsidR="004F6349">
        <w:rPr>
          <w:noProof/>
        </w:rPr>
        <w:t>5</w:t>
      </w:r>
      <w:r w:rsidR="004F6349">
        <w:fldChar w:fldCharType="end"/>
      </w:r>
      <w:bookmarkEnd w:id="47"/>
      <w:r w:rsidR="00742DCB">
        <w:tab/>
      </w:r>
      <w:r w:rsidR="00F90788">
        <w:t>AE</w:t>
      </w:r>
      <w:r w:rsidR="00742DCB">
        <w:t xml:space="preserve">R final decision </w:t>
      </w:r>
      <w:bookmarkEnd w:id="48"/>
      <w:r w:rsidR="00F90788">
        <w:t>- Output growth</w:t>
      </w:r>
      <w:r w:rsidR="001D6AF9">
        <w:t xml:space="preserve"> (per cent)</w:t>
      </w:r>
    </w:p>
    <w:tbl>
      <w:tblPr>
        <w:tblStyle w:val="AERtable-numbers"/>
        <w:tblW w:w="8046" w:type="dxa"/>
        <w:tblLayout w:type="fixed"/>
        <w:tblLook w:val="04A0" w:firstRow="1" w:lastRow="0" w:firstColumn="1" w:lastColumn="0" w:noHBand="0" w:noVBand="1"/>
      </w:tblPr>
      <w:tblGrid>
        <w:gridCol w:w="2802"/>
        <w:gridCol w:w="1048"/>
        <w:gridCol w:w="1049"/>
        <w:gridCol w:w="1049"/>
        <w:gridCol w:w="1049"/>
        <w:gridCol w:w="1049"/>
      </w:tblGrid>
      <w:tr w:rsidR="00CA3BD5" w:rsidTr="00CA3B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rsidR="00CA3BD5" w:rsidRDefault="00CA3BD5" w:rsidP="00742DCB">
            <w:pPr>
              <w:numPr>
                <w:ilvl w:val="0"/>
                <w:numId w:val="24"/>
              </w:numPr>
            </w:pPr>
          </w:p>
        </w:tc>
        <w:tc>
          <w:tcPr>
            <w:tcW w:w="1048" w:type="dxa"/>
          </w:tcPr>
          <w:p w:rsidR="00CA3BD5" w:rsidRDefault="00CA3BD5" w:rsidP="00742DCB">
            <w:pPr>
              <w:numPr>
                <w:ilvl w:val="0"/>
                <w:numId w:val="24"/>
              </w:numPr>
              <w:cnfStyle w:val="100000000000" w:firstRow="1" w:lastRow="0" w:firstColumn="0" w:lastColumn="0" w:oddVBand="0" w:evenVBand="0" w:oddHBand="0" w:evenHBand="0" w:firstRowFirstColumn="0" w:firstRowLastColumn="0" w:lastRowFirstColumn="0" w:lastRowLastColumn="0"/>
            </w:pPr>
            <w:r>
              <w:t>2016–17</w:t>
            </w:r>
          </w:p>
        </w:tc>
        <w:tc>
          <w:tcPr>
            <w:tcW w:w="1049" w:type="dxa"/>
          </w:tcPr>
          <w:p w:rsidR="00CA3BD5" w:rsidRPr="00742DCB" w:rsidRDefault="00CA3BD5" w:rsidP="00742DCB">
            <w:pPr>
              <w:cnfStyle w:val="100000000000" w:firstRow="1" w:lastRow="0" w:firstColumn="0" w:lastColumn="0" w:oddVBand="0" w:evenVBand="0" w:oddHBand="0" w:evenHBand="0" w:firstRowFirstColumn="0" w:firstRowLastColumn="0" w:lastRowFirstColumn="0" w:lastRowLastColumn="0"/>
            </w:pPr>
            <w:r>
              <w:t>2017–</w:t>
            </w:r>
            <w:r w:rsidRPr="00742DCB">
              <w:t>18</w:t>
            </w:r>
          </w:p>
        </w:tc>
        <w:tc>
          <w:tcPr>
            <w:tcW w:w="1049" w:type="dxa"/>
          </w:tcPr>
          <w:p w:rsidR="00CA3BD5" w:rsidRPr="00742DCB" w:rsidRDefault="00CA3BD5" w:rsidP="00742DCB">
            <w:pPr>
              <w:cnfStyle w:val="100000000000" w:firstRow="1" w:lastRow="0" w:firstColumn="0" w:lastColumn="0" w:oddVBand="0" w:evenVBand="0" w:oddHBand="0" w:evenHBand="0" w:firstRowFirstColumn="0" w:firstRowLastColumn="0" w:lastRowFirstColumn="0" w:lastRowLastColumn="0"/>
            </w:pPr>
            <w:r>
              <w:t>2018–</w:t>
            </w:r>
            <w:r w:rsidRPr="00742DCB">
              <w:t>19</w:t>
            </w:r>
          </w:p>
        </w:tc>
        <w:tc>
          <w:tcPr>
            <w:tcW w:w="1049" w:type="dxa"/>
          </w:tcPr>
          <w:p w:rsidR="00CA3BD5" w:rsidRPr="00742DCB" w:rsidRDefault="00CA3BD5" w:rsidP="00742DCB">
            <w:pPr>
              <w:cnfStyle w:val="100000000000" w:firstRow="1" w:lastRow="0" w:firstColumn="0" w:lastColumn="0" w:oddVBand="0" w:evenVBand="0" w:oddHBand="0" w:evenHBand="0" w:firstRowFirstColumn="0" w:firstRowLastColumn="0" w:lastRowFirstColumn="0" w:lastRowLastColumn="0"/>
            </w:pPr>
            <w:r>
              <w:t>2019–</w:t>
            </w:r>
            <w:r w:rsidRPr="00742DCB">
              <w:t>20</w:t>
            </w:r>
          </w:p>
        </w:tc>
        <w:tc>
          <w:tcPr>
            <w:tcW w:w="1049" w:type="dxa"/>
          </w:tcPr>
          <w:p w:rsidR="00CA3BD5" w:rsidRDefault="00CA3BD5" w:rsidP="00742DCB">
            <w:pPr>
              <w:numPr>
                <w:ilvl w:val="0"/>
                <w:numId w:val="24"/>
              </w:numPr>
              <w:cnfStyle w:val="100000000000" w:firstRow="1" w:lastRow="0" w:firstColumn="0" w:lastColumn="0" w:oddVBand="0" w:evenVBand="0" w:oddHBand="0" w:evenHBand="0" w:firstRowFirstColumn="0" w:firstRowLastColumn="0" w:lastRowFirstColumn="0" w:lastRowLastColumn="0"/>
            </w:pPr>
            <w:r>
              <w:t>2020–21</w:t>
            </w:r>
          </w:p>
        </w:tc>
      </w:tr>
      <w:tr w:rsidR="00F938E0" w:rsidTr="00CA3BD5">
        <w:tc>
          <w:tcPr>
            <w:cnfStyle w:val="001000000000" w:firstRow="0" w:lastRow="0" w:firstColumn="1" w:lastColumn="0" w:oddVBand="0" w:evenVBand="0" w:oddHBand="0" w:evenHBand="0" w:firstRowFirstColumn="0" w:firstRowLastColumn="0" w:lastRowFirstColumn="0" w:lastRowLastColumn="0"/>
            <w:tcW w:w="2802" w:type="dxa"/>
          </w:tcPr>
          <w:p w:rsidR="00F938E0" w:rsidRPr="00F938E0" w:rsidRDefault="00F938E0" w:rsidP="00F938E0">
            <w:pPr>
              <w:numPr>
                <w:ilvl w:val="0"/>
                <w:numId w:val="24"/>
              </w:numPr>
            </w:pPr>
            <w:r w:rsidRPr="00F938E0">
              <w:t xml:space="preserve">Output growth factor </w:t>
            </w:r>
          </w:p>
        </w:tc>
        <w:tc>
          <w:tcPr>
            <w:tcW w:w="1048" w:type="dxa"/>
            <w:vAlign w:val="top"/>
          </w:tcPr>
          <w:p w:rsidR="00F938E0" w:rsidRPr="00F938E0" w:rsidRDefault="00586B2C" w:rsidP="00F938E0">
            <w:pPr>
              <w:cnfStyle w:val="000000000000" w:firstRow="0" w:lastRow="0" w:firstColumn="0" w:lastColumn="0" w:oddVBand="0" w:evenVBand="0" w:oddHBand="0" w:evenHBand="0" w:firstRowFirstColumn="0" w:firstRowLastColumn="0" w:lastRowFirstColumn="0" w:lastRowLastColumn="0"/>
            </w:pPr>
            <w:r>
              <w:t>0.27</w:t>
            </w:r>
          </w:p>
        </w:tc>
        <w:tc>
          <w:tcPr>
            <w:tcW w:w="1049" w:type="dxa"/>
            <w:vAlign w:val="top"/>
          </w:tcPr>
          <w:p w:rsidR="00F938E0" w:rsidRPr="00F938E0" w:rsidRDefault="00586B2C" w:rsidP="00F938E0">
            <w:pPr>
              <w:cnfStyle w:val="000000000000" w:firstRow="0" w:lastRow="0" w:firstColumn="0" w:lastColumn="0" w:oddVBand="0" w:evenVBand="0" w:oddHBand="0" w:evenHBand="0" w:firstRowFirstColumn="0" w:firstRowLastColumn="0" w:lastRowFirstColumn="0" w:lastRowLastColumn="0"/>
            </w:pPr>
            <w:r>
              <w:t>-1.06</w:t>
            </w:r>
          </w:p>
        </w:tc>
        <w:tc>
          <w:tcPr>
            <w:tcW w:w="1049" w:type="dxa"/>
            <w:vAlign w:val="top"/>
          </w:tcPr>
          <w:p w:rsidR="00F938E0" w:rsidRPr="00F938E0" w:rsidRDefault="00586B2C" w:rsidP="00F938E0">
            <w:pPr>
              <w:cnfStyle w:val="000000000000" w:firstRow="0" w:lastRow="0" w:firstColumn="0" w:lastColumn="0" w:oddVBand="0" w:evenVBand="0" w:oddHBand="0" w:evenHBand="0" w:firstRowFirstColumn="0" w:firstRowLastColumn="0" w:lastRowFirstColumn="0" w:lastRowLastColumn="0"/>
            </w:pPr>
            <w:r>
              <w:t>-0.33</w:t>
            </w:r>
          </w:p>
        </w:tc>
        <w:tc>
          <w:tcPr>
            <w:tcW w:w="1049" w:type="dxa"/>
            <w:vAlign w:val="top"/>
          </w:tcPr>
          <w:p w:rsidR="00F938E0" w:rsidRPr="00F938E0" w:rsidRDefault="00586B2C" w:rsidP="00F938E0">
            <w:pPr>
              <w:cnfStyle w:val="000000000000" w:firstRow="0" w:lastRow="0" w:firstColumn="0" w:lastColumn="0" w:oddVBand="0" w:evenVBand="0" w:oddHBand="0" w:evenHBand="0" w:firstRowFirstColumn="0" w:firstRowLastColumn="0" w:lastRowFirstColumn="0" w:lastRowLastColumn="0"/>
            </w:pPr>
            <w:r>
              <w:t>-0.22</w:t>
            </w:r>
          </w:p>
        </w:tc>
        <w:tc>
          <w:tcPr>
            <w:tcW w:w="1049" w:type="dxa"/>
            <w:vAlign w:val="top"/>
          </w:tcPr>
          <w:p w:rsidR="00F938E0" w:rsidRPr="00F938E0" w:rsidRDefault="00586B2C" w:rsidP="00F938E0">
            <w:pPr>
              <w:cnfStyle w:val="000000000000" w:firstRow="0" w:lastRow="0" w:firstColumn="0" w:lastColumn="0" w:oddVBand="0" w:evenVBand="0" w:oddHBand="0" w:evenHBand="0" w:firstRowFirstColumn="0" w:firstRowLastColumn="0" w:lastRowFirstColumn="0" w:lastRowLastColumn="0"/>
            </w:pPr>
            <w:r>
              <w:t>-0.13</w:t>
            </w:r>
          </w:p>
        </w:tc>
      </w:tr>
    </w:tbl>
    <w:p w:rsidR="00742DCB" w:rsidRDefault="00742DCB" w:rsidP="00742DCB">
      <w:pPr>
        <w:pStyle w:val="AERtablesource"/>
      </w:pPr>
      <w:r>
        <w:t xml:space="preserve">Source: </w:t>
      </w:r>
      <w:r>
        <w:tab/>
      </w:r>
      <w:r w:rsidRPr="001B422F">
        <w:t xml:space="preserve"> </w:t>
      </w:r>
      <w:r w:rsidR="00AD2D8D">
        <w:t>AER analysis</w:t>
      </w:r>
      <w:r w:rsidR="004F6349">
        <w:t>.</w:t>
      </w:r>
    </w:p>
    <w:p w:rsidR="00742DCB" w:rsidRDefault="00742DCB" w:rsidP="00742DCB">
      <w:pPr>
        <w:pStyle w:val="Heading4"/>
      </w:pPr>
      <w:r>
        <w:t>Productivity change</w:t>
      </w:r>
    </w:p>
    <w:p w:rsidR="00742DCB" w:rsidRDefault="00742DCB" w:rsidP="00742DCB">
      <w:r>
        <w:t>Productivity is a measure of how well a business utilises its inputs to produce outputs. An increase in productivity could be due to an increase in outputs for a given level of inputs or a decrease in inputs for a given level of outputs. A positive productivity change will decrease the rate at which total opex needs to increase to deliver the same level of services. The productivity measure accounts for labour productivity, economies of scale, and the effect of industry wide technical change. An example of productivity change is increased efficiency due to better use of technology such as IT.</w:t>
      </w:r>
    </w:p>
    <w:p w:rsidR="00AD2D8D" w:rsidRPr="00AD2D8D" w:rsidRDefault="00AD2D8D" w:rsidP="00AD2D8D">
      <w:r w:rsidRPr="00AD2D8D">
        <w:t>In our draft decision we applied a 0.50</w:t>
      </w:r>
      <w:r w:rsidR="00D31EB8">
        <w:t xml:space="preserve"> </w:t>
      </w:r>
      <w:r w:rsidR="00835AE3">
        <w:t>per cent</w:t>
      </w:r>
      <w:r w:rsidRPr="00AD2D8D">
        <w:t xml:space="preserve"> productivity adjustment </w:t>
      </w:r>
      <w:r w:rsidR="009C6C1B">
        <w:t xml:space="preserve">in </w:t>
      </w:r>
      <w:r w:rsidRPr="00AD2D8D">
        <w:t>each year of the access arrangement period.</w:t>
      </w:r>
      <w:r>
        <w:rPr>
          <w:rStyle w:val="FootnoteReference"/>
        </w:rPr>
        <w:footnoteReference w:id="31"/>
      </w:r>
      <w:r w:rsidRPr="00AD2D8D">
        <w:t xml:space="preserve"> In the absence of </w:t>
      </w:r>
      <w:r w:rsidR="007A132C">
        <w:t>a</w:t>
      </w:r>
      <w:r w:rsidRPr="00AD2D8D">
        <w:t xml:space="preserve"> specific forecast </w:t>
      </w:r>
      <w:r w:rsidR="007A132C">
        <w:t xml:space="preserve">by AGN </w:t>
      </w:r>
      <w:r w:rsidRPr="00AD2D8D">
        <w:t>we based our alternative productivity adjustment factor on the forecasts developed by ACIL Allen Consulting for ActewAGL. This was the most up to date productivity forecast for a gas distribution business that was available to us at the time.</w:t>
      </w:r>
      <w:r>
        <w:rPr>
          <w:rStyle w:val="FootnoteReference"/>
        </w:rPr>
        <w:footnoteReference w:id="32"/>
      </w:r>
      <w:r w:rsidRPr="00AD2D8D">
        <w:t xml:space="preserve"> </w:t>
      </w:r>
    </w:p>
    <w:p w:rsidR="00AD2D8D" w:rsidRDefault="00AD2D8D" w:rsidP="00AD2D8D">
      <w:r w:rsidRPr="00AD2D8D">
        <w:t>AGN did not accept the AER's draft decision on the application of a productivity adjustment factor. AGN</w:t>
      </w:r>
      <w:r>
        <w:t xml:space="preserve">'s view is that the AER should not apply a productivity factor </w:t>
      </w:r>
      <w:r w:rsidR="002034EB">
        <w:t>for the following reasons:</w:t>
      </w:r>
      <w:r w:rsidR="00CC56F4">
        <w:rPr>
          <w:rStyle w:val="FootnoteReference"/>
        </w:rPr>
        <w:footnoteReference w:id="33"/>
      </w:r>
    </w:p>
    <w:p w:rsidR="002034EB" w:rsidRPr="002034EB" w:rsidRDefault="007820C3" w:rsidP="00CC56F4">
      <w:pPr>
        <w:pStyle w:val="AERbulletlistfirststyle"/>
      </w:pPr>
      <w:r>
        <w:t>The l</w:t>
      </w:r>
      <w:r w:rsidR="00AB3C9C">
        <w:t xml:space="preserve">abour cost inflator does not compensate </w:t>
      </w:r>
      <w:r>
        <w:t xml:space="preserve">AGN </w:t>
      </w:r>
      <w:r w:rsidR="00AB3C9C">
        <w:t>for forecast productivity improvements as it does not capture all drivers of p</w:t>
      </w:r>
      <w:r w:rsidR="002034EB" w:rsidRPr="002034EB">
        <w:t>roductivity growth</w:t>
      </w:r>
      <w:r w:rsidR="004D35F2">
        <w:t>.</w:t>
      </w:r>
      <w:r w:rsidR="002034EB" w:rsidRPr="002034EB">
        <w:t xml:space="preserve"> </w:t>
      </w:r>
    </w:p>
    <w:p w:rsidR="00AB3C9C" w:rsidRDefault="007820C3" w:rsidP="00CC56F4">
      <w:pPr>
        <w:pStyle w:val="AERbulletlistfirststyle"/>
      </w:pPr>
      <w:r>
        <w:t xml:space="preserve">A </w:t>
      </w:r>
      <w:r w:rsidR="00AB3C9C" w:rsidRPr="00AB3C9C">
        <w:t xml:space="preserve">forecast of productivity growth cannot be </w:t>
      </w:r>
      <w:r>
        <w:t>arrived at on a reasonable basis</w:t>
      </w:r>
      <w:r w:rsidR="004D35F2">
        <w:t xml:space="preserve"> as required by </w:t>
      </w:r>
      <w:r w:rsidR="004C6FB6">
        <w:t xml:space="preserve">Rule </w:t>
      </w:r>
      <w:r w:rsidR="004D35F2">
        <w:t>74 of the NGR</w:t>
      </w:r>
      <w:r>
        <w:t xml:space="preserve">. </w:t>
      </w:r>
      <w:r w:rsidR="004D35F2">
        <w:t xml:space="preserve">The AER's </w:t>
      </w:r>
      <w:r w:rsidR="00AB3C9C">
        <w:t>use</w:t>
      </w:r>
      <w:r>
        <w:t xml:space="preserve"> in the draft decision </w:t>
      </w:r>
      <w:r w:rsidR="004D35F2">
        <w:t xml:space="preserve">of </w:t>
      </w:r>
      <w:r w:rsidR="00AB3C9C">
        <w:t>cost function analysis to determine and</w:t>
      </w:r>
      <w:r w:rsidR="00AB3C9C" w:rsidRPr="00AB3C9C">
        <w:t xml:space="preserve"> apply a forecast of productivity grown </w:t>
      </w:r>
      <w:r w:rsidR="004D35F2">
        <w:t>w</w:t>
      </w:r>
      <w:r w:rsidR="00AB3C9C" w:rsidRPr="00AB3C9C">
        <w:t xml:space="preserve">as </w:t>
      </w:r>
      <w:r w:rsidR="004D35F2">
        <w:t>not appropriate and did not result in a reasonable forecast. This is because this type of analysis has various limitations relating to data comparability, model specifications and environmental variables.</w:t>
      </w:r>
      <w:r w:rsidR="00FC75A9" w:rsidRPr="00FC75A9">
        <w:rPr>
          <w:rStyle w:val="FootnoteReference"/>
        </w:rPr>
        <w:t xml:space="preserve"> </w:t>
      </w:r>
      <w:r w:rsidR="00FC75A9">
        <w:rPr>
          <w:rStyle w:val="FootnoteReference"/>
        </w:rPr>
        <w:footnoteReference w:id="34"/>
      </w:r>
      <w:r w:rsidR="004D35F2">
        <w:t xml:space="preserve"> </w:t>
      </w:r>
    </w:p>
    <w:p w:rsidR="003D090C" w:rsidRPr="003D090C" w:rsidRDefault="003D090C" w:rsidP="00CC56F4">
      <w:pPr>
        <w:pStyle w:val="AERbulletlistfirststyle"/>
      </w:pPr>
      <w:r w:rsidRPr="003D090C">
        <w:t xml:space="preserve">Forecast productivity growth does not comply with </w:t>
      </w:r>
      <w:r>
        <w:t xml:space="preserve">the </w:t>
      </w:r>
      <w:r w:rsidRPr="003D090C">
        <w:t>AER’s forecast assessment principles</w:t>
      </w:r>
      <w:r>
        <w:t xml:space="preserve"> and AGN, therefore, </w:t>
      </w:r>
      <w:r w:rsidRPr="003D090C">
        <w:t xml:space="preserve">cannot accept the AER’s application of a productivity adjustment. </w:t>
      </w:r>
    </w:p>
    <w:p w:rsidR="003D090C" w:rsidRPr="003D090C" w:rsidRDefault="003D090C" w:rsidP="00CC56F4">
      <w:pPr>
        <w:pStyle w:val="AERbulletlistfirststyle"/>
      </w:pPr>
      <w:r w:rsidRPr="003D090C">
        <w:t xml:space="preserve">AGN has already absorbed significant opex costs in its revised proposal </w:t>
      </w:r>
      <w:r w:rsidR="00F1460F">
        <w:t>by accepting the AER's decision on most step changes. T</w:t>
      </w:r>
      <w:r w:rsidR="00365197">
        <w:t>he cost</w:t>
      </w:r>
      <w:r w:rsidRPr="003D090C">
        <w:t xml:space="preserve"> of the</w:t>
      </w:r>
      <w:r w:rsidR="00365197">
        <w:t>se</w:t>
      </w:r>
      <w:r w:rsidRPr="003D090C">
        <w:t xml:space="preserve"> step changes effectively act</w:t>
      </w:r>
      <w:r w:rsidR="00F1460F">
        <w:t>s</w:t>
      </w:r>
      <w:r w:rsidRPr="003D090C">
        <w:t xml:space="preserve"> as an implicit productivity adjustment of 0.7</w:t>
      </w:r>
      <w:r w:rsidR="00586B2C">
        <w:t> </w:t>
      </w:r>
      <w:r w:rsidR="00835AE3">
        <w:t>per cent</w:t>
      </w:r>
      <w:r w:rsidRPr="003D090C">
        <w:t xml:space="preserve"> per annum</w:t>
      </w:r>
      <w:r w:rsidR="00F1460F">
        <w:t>. T</w:t>
      </w:r>
      <w:r w:rsidRPr="003D090C">
        <w:t>herefore</w:t>
      </w:r>
      <w:r w:rsidR="00F1460F">
        <w:t>,</w:t>
      </w:r>
      <w:r w:rsidRPr="003D090C">
        <w:t xml:space="preserve"> </w:t>
      </w:r>
      <w:r w:rsidR="00365197">
        <w:t xml:space="preserve">AGN considers </w:t>
      </w:r>
      <w:r w:rsidRPr="003D090C">
        <w:t>it is not necessary for the AER to apply an additional productivity adjustment.</w:t>
      </w:r>
    </w:p>
    <w:p w:rsidR="00201E7C" w:rsidRPr="00201E7C" w:rsidRDefault="00365197" w:rsidP="00CC56F4">
      <w:pPr>
        <w:pStyle w:val="AERbulletlistfirststyle"/>
      </w:pPr>
      <w:r>
        <w:t xml:space="preserve">The </w:t>
      </w:r>
      <w:r w:rsidR="00201E7C" w:rsidRPr="00201E7C">
        <w:t xml:space="preserve">AER has applied a productivity adjustment that is not specific </w:t>
      </w:r>
      <w:r w:rsidR="00CC56F4">
        <w:t xml:space="preserve">to AGN and is, therefore, not arrived at on a reasonable basis as required by </w:t>
      </w:r>
      <w:r w:rsidR="004C6FB6">
        <w:t>Rule</w:t>
      </w:r>
      <w:r w:rsidR="00CC56F4">
        <w:t xml:space="preserve"> 74 of the NGR. </w:t>
      </w:r>
      <w:r w:rsidR="00201E7C">
        <w:t xml:space="preserve">AGN considers </w:t>
      </w:r>
      <w:r w:rsidR="00CC56F4">
        <w:t xml:space="preserve">that the </w:t>
      </w:r>
      <w:r w:rsidR="00201E7C">
        <w:t xml:space="preserve">forecast productivity </w:t>
      </w:r>
      <w:r w:rsidR="00CC56F4">
        <w:t>gains of an alternative gas distribution business have</w:t>
      </w:r>
      <w:r w:rsidR="00201E7C">
        <w:t xml:space="preserve"> little relevance to </w:t>
      </w:r>
      <w:r w:rsidR="00CC56F4">
        <w:t xml:space="preserve">the </w:t>
      </w:r>
      <w:r w:rsidR="00201E7C">
        <w:t>forecast productivity</w:t>
      </w:r>
      <w:r w:rsidR="00CC56F4">
        <w:t xml:space="preserve"> performance of AGN</w:t>
      </w:r>
      <w:r w:rsidR="007B626A">
        <w:t>,</w:t>
      </w:r>
      <w:r w:rsidR="00D73568">
        <w:t xml:space="preserve"> </w:t>
      </w:r>
      <w:r w:rsidR="00CC56F4">
        <w:t>particularly given no AGN forecast data is used in developing the adjustment factor</w:t>
      </w:r>
      <w:r w:rsidR="00201E7C">
        <w:t>.</w:t>
      </w:r>
    </w:p>
    <w:p w:rsidR="00BF7B35" w:rsidRDefault="00365197" w:rsidP="00797910">
      <w:r>
        <w:t xml:space="preserve">AGN </w:t>
      </w:r>
      <w:r w:rsidR="009C6C1B">
        <w:t xml:space="preserve">submitted </w:t>
      </w:r>
      <w:r w:rsidR="00797910">
        <w:t xml:space="preserve">any </w:t>
      </w:r>
      <w:r w:rsidR="00782FF5">
        <w:t xml:space="preserve">productivity adjustment factor </w:t>
      </w:r>
      <w:r w:rsidR="00797910">
        <w:t xml:space="preserve">applied by the AER should be </w:t>
      </w:r>
      <w:r w:rsidR="00782FF5">
        <w:t xml:space="preserve">based </w:t>
      </w:r>
      <w:r w:rsidR="00797910">
        <w:t>up</w:t>
      </w:r>
      <w:r w:rsidR="00782FF5">
        <w:t>on AGN</w:t>
      </w:r>
      <w:r w:rsidR="00797910">
        <w:t xml:space="preserve"> data</w:t>
      </w:r>
      <w:r w:rsidR="00782FF5">
        <w:t xml:space="preserve">. </w:t>
      </w:r>
      <w:r w:rsidR="00201E7C">
        <w:t xml:space="preserve">AGN engaged ACIL Allen to </w:t>
      </w:r>
      <w:r w:rsidR="00201E7C" w:rsidRPr="00201E7C">
        <w:t>develop a forecast productivity adjustment using AGN specific data – in each scenario a negative productivity factor was determined.</w:t>
      </w:r>
      <w:r w:rsidR="00782FF5">
        <w:rPr>
          <w:rStyle w:val="FootnoteReference"/>
        </w:rPr>
        <w:footnoteReference w:id="35"/>
      </w:r>
      <w:r w:rsidR="00201E7C" w:rsidRPr="00201E7C">
        <w:t xml:space="preserve"> </w:t>
      </w:r>
    </w:p>
    <w:p w:rsidR="00201E7C" w:rsidRPr="00201E7C" w:rsidRDefault="00797910" w:rsidP="00797910">
      <w:r>
        <w:t xml:space="preserve">However, AGN </w:t>
      </w:r>
      <w:r w:rsidR="00586B2C">
        <w:t xml:space="preserve">stated it </w:t>
      </w:r>
      <w:r>
        <w:t>did not apply</w:t>
      </w:r>
      <w:r w:rsidR="00201E7C" w:rsidRPr="00201E7C">
        <w:t xml:space="preserve"> </w:t>
      </w:r>
      <w:r>
        <w:t>a</w:t>
      </w:r>
      <w:r w:rsidR="00201E7C" w:rsidRPr="00201E7C">
        <w:t xml:space="preserve"> negative productivity adjustment </w:t>
      </w:r>
      <w:r w:rsidR="00365197">
        <w:t xml:space="preserve">in its revised proposal </w:t>
      </w:r>
      <w:r w:rsidR="00201E7C" w:rsidRPr="00201E7C">
        <w:t xml:space="preserve">as </w:t>
      </w:r>
      <w:r w:rsidR="00365197">
        <w:t xml:space="preserve">this </w:t>
      </w:r>
      <w:r w:rsidR="00201E7C" w:rsidRPr="00201E7C">
        <w:t xml:space="preserve">would result in an increase to AGN’s forecast opex. </w:t>
      </w:r>
      <w:r w:rsidR="00803474">
        <w:t>AGN state</w:t>
      </w:r>
      <w:r w:rsidR="007A132C">
        <w:t>d</w:t>
      </w:r>
      <w:r w:rsidR="00803474">
        <w:t xml:space="preserve"> this </w:t>
      </w:r>
      <w:r w:rsidR="00803474" w:rsidRPr="00201E7C">
        <w:t>reflect</w:t>
      </w:r>
      <w:r w:rsidR="007A132C">
        <w:t>ed</w:t>
      </w:r>
      <w:r w:rsidR="00803474" w:rsidRPr="00201E7C">
        <w:t xml:space="preserve"> </w:t>
      </w:r>
      <w:r w:rsidR="00803474">
        <w:t xml:space="preserve">their </w:t>
      </w:r>
      <w:r w:rsidR="00803474" w:rsidRPr="00201E7C">
        <w:t xml:space="preserve">view that the productivity adjustment cannot be arrived on a reasonable basis and </w:t>
      </w:r>
      <w:r w:rsidR="00803474">
        <w:t xml:space="preserve">cannot </w:t>
      </w:r>
      <w:r w:rsidR="00803474" w:rsidRPr="00201E7C">
        <w:t>meet</w:t>
      </w:r>
      <w:r w:rsidR="00803474">
        <w:t xml:space="preserve"> the requirements in </w:t>
      </w:r>
      <w:r w:rsidR="004C6FB6">
        <w:t>Rule</w:t>
      </w:r>
      <w:r w:rsidR="00803474">
        <w:t xml:space="preserve"> 74 of the NGR. </w:t>
      </w:r>
      <w:r w:rsidR="00FE2D9B">
        <w:t xml:space="preserve">AGN proposed a zero productivity adjustment noting that </w:t>
      </w:r>
      <w:r w:rsidR="00803474">
        <w:t xml:space="preserve">implicit in </w:t>
      </w:r>
      <w:r w:rsidR="00586B2C">
        <w:t>its</w:t>
      </w:r>
      <w:r w:rsidR="00803474">
        <w:t xml:space="preserve"> decision not to apply a negative productivity adjustments is </w:t>
      </w:r>
      <w:r w:rsidR="00BF7B35">
        <w:t xml:space="preserve">the expectation it will </w:t>
      </w:r>
      <w:r w:rsidR="00201E7C" w:rsidRPr="00201E7C">
        <w:t xml:space="preserve">generate productivity improvements </w:t>
      </w:r>
      <w:r w:rsidR="00BF7B35">
        <w:t>equivalent to $22 million</w:t>
      </w:r>
      <w:r w:rsidR="00B54682">
        <w:t xml:space="preserve"> </w:t>
      </w:r>
      <w:r w:rsidR="00201E7C" w:rsidRPr="00201E7C">
        <w:t xml:space="preserve">(derived from the benefits of </w:t>
      </w:r>
      <w:r w:rsidR="00BF7B35">
        <w:t>its proposed</w:t>
      </w:r>
      <w:r w:rsidR="00201E7C" w:rsidRPr="00201E7C">
        <w:t xml:space="preserve"> capex program).</w:t>
      </w:r>
      <w:r w:rsidR="00BF7B35">
        <w:rPr>
          <w:rStyle w:val="FootnoteReference"/>
        </w:rPr>
        <w:footnoteReference w:id="36"/>
      </w:r>
      <w:r w:rsidR="00201E7C" w:rsidRPr="00201E7C">
        <w:t xml:space="preserve"> </w:t>
      </w:r>
    </w:p>
    <w:p w:rsidR="0097600C" w:rsidRPr="00163C9D" w:rsidRDefault="0046743B" w:rsidP="0097600C">
      <w:pPr>
        <w:rPr>
          <w:rStyle w:val="AERbody"/>
        </w:rPr>
      </w:pPr>
      <w:r>
        <w:rPr>
          <w:rStyle w:val="AERbody"/>
        </w:rPr>
        <w:t xml:space="preserve">We received </w:t>
      </w:r>
      <w:r w:rsidR="00586B2C">
        <w:rPr>
          <w:rStyle w:val="AERbody"/>
        </w:rPr>
        <w:t>two</w:t>
      </w:r>
      <w:r>
        <w:rPr>
          <w:rStyle w:val="AERbody"/>
        </w:rPr>
        <w:t xml:space="preserve"> submissions on our draft decision which discussed the productivity adjustment factor. </w:t>
      </w:r>
      <w:r w:rsidR="00FC75A9" w:rsidRPr="00163C9D">
        <w:rPr>
          <w:rStyle w:val="AERbody"/>
        </w:rPr>
        <w:t>SACOSS supported our draft decision and considered it reasonable for the AER to examine and make judgments about the scope and value of possible productivity improvements based on the experience of other similar entities.</w:t>
      </w:r>
      <w:r w:rsidR="00FC75A9" w:rsidRPr="00163C9D">
        <w:rPr>
          <w:rStyle w:val="FootnoteReference"/>
        </w:rPr>
        <w:footnoteReference w:id="37"/>
      </w:r>
      <w:r w:rsidR="00FC75A9" w:rsidRPr="00163C9D">
        <w:rPr>
          <w:rStyle w:val="AERbody"/>
        </w:rPr>
        <w:t xml:space="preserve"> </w:t>
      </w:r>
      <w:r w:rsidR="0097600C" w:rsidRPr="00163C9D">
        <w:rPr>
          <w:rStyle w:val="AERbody"/>
        </w:rPr>
        <w:t xml:space="preserve">Uniting Care Australia </w:t>
      </w:r>
      <w:r w:rsidR="00F91574" w:rsidRPr="00163C9D">
        <w:rPr>
          <w:rStyle w:val="AERbody"/>
        </w:rPr>
        <w:t>also supported the application of a productivity adjustment factor noting it was the basis of incentive based regulation</w:t>
      </w:r>
      <w:r w:rsidR="0097600C" w:rsidRPr="00163C9D">
        <w:rPr>
          <w:rStyle w:val="AERbody"/>
        </w:rPr>
        <w:t>.</w:t>
      </w:r>
      <w:r w:rsidR="0097600C" w:rsidRPr="00163C9D">
        <w:rPr>
          <w:rStyle w:val="FootnoteReference"/>
        </w:rPr>
        <w:footnoteReference w:id="38"/>
      </w:r>
    </w:p>
    <w:p w:rsidR="00FC75A9" w:rsidRPr="00163C9D" w:rsidRDefault="00FC75A9" w:rsidP="00FC75A9">
      <w:pPr>
        <w:rPr>
          <w:rStyle w:val="AERbody"/>
        </w:rPr>
      </w:pPr>
      <w:r w:rsidRPr="00163C9D">
        <w:rPr>
          <w:rStyle w:val="AERbody"/>
        </w:rPr>
        <w:t xml:space="preserve">However, </w:t>
      </w:r>
      <w:proofErr w:type="spellStart"/>
      <w:r w:rsidRPr="00163C9D">
        <w:rPr>
          <w:rStyle w:val="AERbody"/>
        </w:rPr>
        <w:t>HoustonKemp</w:t>
      </w:r>
      <w:proofErr w:type="spellEnd"/>
      <w:r w:rsidRPr="00163C9D">
        <w:rPr>
          <w:rStyle w:val="AERbody"/>
        </w:rPr>
        <w:t xml:space="preserve"> (on behalf of AGN) did not </w:t>
      </w:r>
      <w:r w:rsidR="00586B2C">
        <w:rPr>
          <w:rStyle w:val="AERbody"/>
        </w:rPr>
        <w:t>agree with</w:t>
      </w:r>
      <w:r w:rsidRPr="00163C9D">
        <w:rPr>
          <w:rStyle w:val="AERbody"/>
        </w:rPr>
        <w:t xml:space="preserve"> our draft decision on the productivity adjustment factor and considered it would give rise to an allowance for operating expenditure that is less than that which would be incurred by a prudent service provider acting efficiently.</w:t>
      </w:r>
      <w:r w:rsidR="00110F31">
        <w:rPr>
          <w:rStyle w:val="FootnoteReference"/>
        </w:rPr>
        <w:footnoteReference w:id="39"/>
      </w:r>
      <w:r w:rsidRPr="00163C9D">
        <w:rPr>
          <w:rStyle w:val="AERbody"/>
        </w:rPr>
        <w:t xml:space="preserve"> </w:t>
      </w:r>
      <w:proofErr w:type="spellStart"/>
      <w:r w:rsidRPr="00163C9D">
        <w:rPr>
          <w:rStyle w:val="AERbody"/>
        </w:rPr>
        <w:t>HoustonKemp</w:t>
      </w:r>
      <w:proofErr w:type="spellEnd"/>
      <w:r w:rsidRPr="00163C9D">
        <w:rPr>
          <w:rStyle w:val="AERbody"/>
        </w:rPr>
        <w:t xml:space="preserve"> </w:t>
      </w:r>
      <w:r w:rsidR="00134D68">
        <w:rPr>
          <w:rStyle w:val="AERbody"/>
        </w:rPr>
        <w:t xml:space="preserve">stated that in its </w:t>
      </w:r>
      <w:r w:rsidR="006113CC">
        <w:rPr>
          <w:rStyle w:val="AERbody"/>
        </w:rPr>
        <w:t>view</w:t>
      </w:r>
      <w:r w:rsidR="00134D68" w:rsidRPr="00163C9D">
        <w:rPr>
          <w:rStyle w:val="AERbody"/>
        </w:rPr>
        <w:t xml:space="preserve"> </w:t>
      </w:r>
      <w:r w:rsidRPr="00163C9D">
        <w:rPr>
          <w:rStyle w:val="AERbody"/>
        </w:rPr>
        <w:t>the total opex forecast in draft decision did not meet the NGO requirements.</w:t>
      </w:r>
      <w:r w:rsidRPr="00163C9D">
        <w:rPr>
          <w:rStyle w:val="FootnoteReference"/>
        </w:rPr>
        <w:footnoteReference w:id="40"/>
      </w:r>
    </w:p>
    <w:p w:rsidR="001E29ED" w:rsidRPr="00163C9D" w:rsidRDefault="001E29ED" w:rsidP="001E29ED">
      <w:pPr>
        <w:rPr>
          <w:rStyle w:val="AERbody"/>
        </w:rPr>
      </w:pPr>
      <w:r>
        <w:rPr>
          <w:rStyle w:val="AERbody"/>
        </w:rPr>
        <w:t xml:space="preserve">We have reviewed the additional information AGN provided in its revised proposal and the </w:t>
      </w:r>
      <w:r w:rsidR="00165F1B">
        <w:rPr>
          <w:rStyle w:val="AERbody"/>
        </w:rPr>
        <w:t xml:space="preserve">relevant </w:t>
      </w:r>
      <w:r>
        <w:rPr>
          <w:rStyle w:val="AERbody"/>
        </w:rPr>
        <w:t xml:space="preserve">submissions we received. </w:t>
      </w:r>
      <w:r w:rsidR="00165F1B">
        <w:rPr>
          <w:rStyle w:val="AERbody"/>
        </w:rPr>
        <w:t>Based on</w:t>
      </w:r>
      <w:r w:rsidR="009C6C1B">
        <w:rPr>
          <w:rStyle w:val="AERbody"/>
        </w:rPr>
        <w:t xml:space="preserve"> a review of the material and</w:t>
      </w:r>
      <w:r w:rsidR="00165F1B">
        <w:rPr>
          <w:rStyle w:val="AERbody"/>
        </w:rPr>
        <w:t xml:space="preserve"> our </w:t>
      </w:r>
      <w:r w:rsidR="00471B5F">
        <w:rPr>
          <w:rStyle w:val="AERbody"/>
        </w:rPr>
        <w:t xml:space="preserve">own </w:t>
      </w:r>
      <w:r w:rsidR="00165F1B">
        <w:rPr>
          <w:rStyle w:val="AERbody"/>
        </w:rPr>
        <w:t>analysis</w:t>
      </w:r>
      <w:r w:rsidR="00D73568">
        <w:rPr>
          <w:rStyle w:val="AERbody"/>
        </w:rPr>
        <w:t>,</w:t>
      </w:r>
      <w:r w:rsidR="00165F1B">
        <w:rPr>
          <w:rStyle w:val="AERbody"/>
        </w:rPr>
        <w:t xml:space="preserve"> we were unable to identify a </w:t>
      </w:r>
      <w:r w:rsidR="00815C9D">
        <w:rPr>
          <w:rStyle w:val="AERbody"/>
        </w:rPr>
        <w:t>better</w:t>
      </w:r>
      <w:r w:rsidR="00165F1B">
        <w:rPr>
          <w:rStyle w:val="AERbody"/>
        </w:rPr>
        <w:t xml:space="preserve"> productivity factor estimate than that proposed by AGN. Therefore, w</w:t>
      </w:r>
      <w:r w:rsidRPr="00163C9D">
        <w:rPr>
          <w:rStyle w:val="AERbody"/>
        </w:rPr>
        <w:t>e have concluded that</w:t>
      </w:r>
      <w:r>
        <w:rPr>
          <w:rStyle w:val="AERbody"/>
        </w:rPr>
        <w:t xml:space="preserve"> </w:t>
      </w:r>
      <w:r w:rsidR="00165F1B" w:rsidRPr="00163C9D">
        <w:rPr>
          <w:rStyle w:val="AERbody"/>
        </w:rPr>
        <w:t xml:space="preserve">it is reasonable to accept AGN's </w:t>
      </w:r>
      <w:r w:rsidR="00815C9D">
        <w:rPr>
          <w:rStyle w:val="AERbody"/>
        </w:rPr>
        <w:t>proposal to apply</w:t>
      </w:r>
      <w:r>
        <w:rPr>
          <w:rStyle w:val="AERbody"/>
        </w:rPr>
        <w:t xml:space="preserve"> a zero productivity factor</w:t>
      </w:r>
      <w:r w:rsidR="00BB50FF">
        <w:rPr>
          <w:rStyle w:val="AERbody"/>
        </w:rPr>
        <w:t xml:space="preserve"> for the forecast period</w:t>
      </w:r>
      <w:r w:rsidR="00165F1B">
        <w:rPr>
          <w:rStyle w:val="AERbody"/>
        </w:rPr>
        <w:t xml:space="preserve">. We consider this is </w:t>
      </w:r>
      <w:r>
        <w:rPr>
          <w:rStyle w:val="AERbody"/>
        </w:rPr>
        <w:t xml:space="preserve">the </w:t>
      </w:r>
      <w:r w:rsidR="00165F1B">
        <w:rPr>
          <w:rStyle w:val="AERbody"/>
        </w:rPr>
        <w:t>best estimate available in the circumstances</w:t>
      </w:r>
      <w:r w:rsidRPr="00163C9D">
        <w:rPr>
          <w:rStyle w:val="AERbody"/>
        </w:rPr>
        <w:t xml:space="preserve">. </w:t>
      </w:r>
    </w:p>
    <w:p w:rsidR="00742DCB" w:rsidRPr="00163C9D" w:rsidRDefault="00001B48" w:rsidP="00742DCB">
      <w:pPr>
        <w:rPr>
          <w:rStyle w:val="AERbody"/>
        </w:rPr>
      </w:pPr>
      <w:r w:rsidRPr="00163C9D">
        <w:rPr>
          <w:rStyle w:val="AERbody"/>
        </w:rPr>
        <w:fldChar w:fldCharType="begin"/>
      </w:r>
      <w:r w:rsidRPr="00163C9D">
        <w:rPr>
          <w:rStyle w:val="AERbody"/>
        </w:rPr>
        <w:instrText xml:space="preserve"> REF _Ref444851857 \h </w:instrText>
      </w:r>
      <w:r w:rsidR="0029478D" w:rsidRPr="00163C9D">
        <w:rPr>
          <w:rStyle w:val="AERbody"/>
        </w:rPr>
        <w:instrText xml:space="preserve"> \* MERGEFORMAT </w:instrText>
      </w:r>
      <w:r w:rsidRPr="00163C9D">
        <w:rPr>
          <w:rStyle w:val="AERbody"/>
        </w:rPr>
      </w:r>
      <w:r w:rsidRPr="00163C9D">
        <w:rPr>
          <w:rStyle w:val="AERbody"/>
        </w:rPr>
        <w:fldChar w:fldCharType="separate"/>
      </w:r>
      <w:r w:rsidR="00AC31EF" w:rsidRPr="00471B5F">
        <w:rPr>
          <w:rStyle w:val="AERbody"/>
        </w:rPr>
        <w:t>Table 7.6</w:t>
      </w:r>
      <w:r w:rsidRPr="00163C9D">
        <w:rPr>
          <w:rStyle w:val="AERbody"/>
        </w:rPr>
        <w:fldChar w:fldCharType="end"/>
      </w:r>
      <w:r w:rsidRPr="00163C9D">
        <w:rPr>
          <w:rStyle w:val="AERbody"/>
        </w:rPr>
        <w:t xml:space="preserve"> </w:t>
      </w:r>
      <w:r w:rsidR="00742DCB" w:rsidRPr="00163C9D">
        <w:rPr>
          <w:rStyle w:val="AERbody"/>
        </w:rPr>
        <w:t xml:space="preserve">contains our </w:t>
      </w:r>
      <w:r w:rsidR="00C02B9D" w:rsidRPr="00163C9D">
        <w:rPr>
          <w:rStyle w:val="AERbody"/>
        </w:rPr>
        <w:t xml:space="preserve">final </w:t>
      </w:r>
      <w:r w:rsidR="00742DCB" w:rsidRPr="00163C9D">
        <w:rPr>
          <w:rStyle w:val="AERbody"/>
        </w:rPr>
        <w:t xml:space="preserve">decision on the productivity </w:t>
      </w:r>
      <w:r w:rsidR="00365197" w:rsidRPr="00163C9D">
        <w:rPr>
          <w:rStyle w:val="AERbody"/>
        </w:rPr>
        <w:t xml:space="preserve">adjustment </w:t>
      </w:r>
      <w:r w:rsidR="00742DCB" w:rsidRPr="00163C9D">
        <w:rPr>
          <w:rStyle w:val="AERbody"/>
        </w:rPr>
        <w:t>to be applied in the rate of change factor.</w:t>
      </w:r>
    </w:p>
    <w:p w:rsidR="00742DCB" w:rsidRDefault="00001B48" w:rsidP="00001B48">
      <w:pPr>
        <w:pStyle w:val="Caption"/>
      </w:pPr>
      <w:bookmarkStart w:id="49" w:name="_Ref444851857"/>
      <w:bookmarkStart w:id="50" w:name="_Ref441758982"/>
      <w:proofErr w:type="gramStart"/>
      <w:r>
        <w:t xml:space="preserve">Table </w:t>
      </w:r>
      <w:r w:rsidR="00961E5E">
        <w:fldChar w:fldCharType="begin"/>
      </w:r>
      <w:r w:rsidR="00961E5E">
        <w:instrText xml:space="preserve"> STYLEREF 1 \s </w:instrText>
      </w:r>
      <w:r w:rsidR="00961E5E">
        <w:fldChar w:fldCharType="separate"/>
      </w:r>
      <w:r w:rsidR="004F6349">
        <w:rPr>
          <w:noProof/>
        </w:rPr>
        <w:t>7</w:t>
      </w:r>
      <w:r w:rsidR="00961E5E">
        <w:rPr>
          <w:noProof/>
        </w:rPr>
        <w:fldChar w:fldCharType="end"/>
      </w:r>
      <w:r w:rsidR="004F6349">
        <w:t>.</w:t>
      </w:r>
      <w:proofErr w:type="gramEnd"/>
      <w:r w:rsidR="004F6349">
        <w:fldChar w:fldCharType="begin"/>
      </w:r>
      <w:r w:rsidR="004F6349">
        <w:instrText xml:space="preserve"> SEQ Table \* ARABIC \s 1 </w:instrText>
      </w:r>
      <w:r w:rsidR="004F6349">
        <w:fldChar w:fldCharType="separate"/>
      </w:r>
      <w:r w:rsidR="004F6349">
        <w:rPr>
          <w:noProof/>
        </w:rPr>
        <w:t>6</w:t>
      </w:r>
      <w:r w:rsidR="004F6349">
        <w:fldChar w:fldCharType="end"/>
      </w:r>
      <w:bookmarkEnd w:id="49"/>
      <w:r w:rsidR="00742DCB">
        <w:tab/>
        <w:t>AER</w:t>
      </w:r>
      <w:r w:rsidR="00C02B9D">
        <w:t xml:space="preserve"> final decision - P</w:t>
      </w:r>
      <w:r w:rsidR="00742DCB">
        <w:t>roductivity change forecast (per cent)</w:t>
      </w:r>
      <w:bookmarkEnd w:id="50"/>
    </w:p>
    <w:tbl>
      <w:tblPr>
        <w:tblStyle w:val="AERtable-numbers"/>
        <w:tblW w:w="8046" w:type="dxa"/>
        <w:tblLayout w:type="fixed"/>
        <w:tblLook w:val="04A0" w:firstRow="1" w:lastRow="0" w:firstColumn="1" w:lastColumn="0" w:noHBand="0" w:noVBand="1"/>
      </w:tblPr>
      <w:tblGrid>
        <w:gridCol w:w="2802"/>
        <w:gridCol w:w="1048"/>
        <w:gridCol w:w="1049"/>
        <w:gridCol w:w="1049"/>
        <w:gridCol w:w="1049"/>
        <w:gridCol w:w="1049"/>
      </w:tblGrid>
      <w:tr w:rsidR="006C50E2" w:rsidTr="00ED47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rsidR="006C50E2" w:rsidRPr="006C50E2" w:rsidRDefault="006C50E2" w:rsidP="006C50E2">
            <w:pPr>
              <w:numPr>
                <w:ilvl w:val="0"/>
                <w:numId w:val="24"/>
              </w:numPr>
            </w:pPr>
          </w:p>
        </w:tc>
        <w:tc>
          <w:tcPr>
            <w:tcW w:w="1048" w:type="dxa"/>
          </w:tcPr>
          <w:p w:rsidR="006C50E2" w:rsidRPr="006C50E2" w:rsidRDefault="006C50E2" w:rsidP="006C50E2">
            <w:pPr>
              <w:numPr>
                <w:ilvl w:val="0"/>
                <w:numId w:val="24"/>
              </w:numPr>
              <w:cnfStyle w:val="100000000000" w:firstRow="1" w:lastRow="0" w:firstColumn="0" w:lastColumn="0" w:oddVBand="0" w:evenVBand="0" w:oddHBand="0" w:evenHBand="0" w:firstRowFirstColumn="0" w:firstRowLastColumn="0" w:lastRowFirstColumn="0" w:lastRowLastColumn="0"/>
            </w:pPr>
            <w:r w:rsidRPr="006C50E2">
              <w:t>2016–17</w:t>
            </w:r>
          </w:p>
        </w:tc>
        <w:tc>
          <w:tcPr>
            <w:tcW w:w="1049" w:type="dxa"/>
          </w:tcPr>
          <w:p w:rsidR="006C50E2" w:rsidRPr="006C50E2" w:rsidRDefault="006C50E2" w:rsidP="006C50E2">
            <w:pPr>
              <w:cnfStyle w:val="100000000000" w:firstRow="1" w:lastRow="0" w:firstColumn="0" w:lastColumn="0" w:oddVBand="0" w:evenVBand="0" w:oddHBand="0" w:evenHBand="0" w:firstRowFirstColumn="0" w:firstRowLastColumn="0" w:lastRowFirstColumn="0" w:lastRowLastColumn="0"/>
            </w:pPr>
            <w:r w:rsidRPr="006C50E2">
              <w:t>2017–18</w:t>
            </w:r>
          </w:p>
        </w:tc>
        <w:tc>
          <w:tcPr>
            <w:tcW w:w="1049" w:type="dxa"/>
          </w:tcPr>
          <w:p w:rsidR="006C50E2" w:rsidRPr="006C50E2" w:rsidRDefault="006C50E2" w:rsidP="006C50E2">
            <w:pPr>
              <w:cnfStyle w:val="100000000000" w:firstRow="1" w:lastRow="0" w:firstColumn="0" w:lastColumn="0" w:oddVBand="0" w:evenVBand="0" w:oddHBand="0" w:evenHBand="0" w:firstRowFirstColumn="0" w:firstRowLastColumn="0" w:lastRowFirstColumn="0" w:lastRowLastColumn="0"/>
            </w:pPr>
            <w:r w:rsidRPr="006C50E2">
              <w:t>2018–19</w:t>
            </w:r>
          </w:p>
        </w:tc>
        <w:tc>
          <w:tcPr>
            <w:tcW w:w="1049" w:type="dxa"/>
          </w:tcPr>
          <w:p w:rsidR="006C50E2" w:rsidRPr="006C50E2" w:rsidRDefault="006C50E2" w:rsidP="006C50E2">
            <w:pPr>
              <w:cnfStyle w:val="100000000000" w:firstRow="1" w:lastRow="0" w:firstColumn="0" w:lastColumn="0" w:oddVBand="0" w:evenVBand="0" w:oddHBand="0" w:evenHBand="0" w:firstRowFirstColumn="0" w:firstRowLastColumn="0" w:lastRowFirstColumn="0" w:lastRowLastColumn="0"/>
            </w:pPr>
            <w:r w:rsidRPr="006C50E2">
              <w:t>2019–20</w:t>
            </w:r>
          </w:p>
        </w:tc>
        <w:tc>
          <w:tcPr>
            <w:tcW w:w="1049" w:type="dxa"/>
          </w:tcPr>
          <w:p w:rsidR="006C50E2" w:rsidRPr="006C50E2" w:rsidRDefault="006C50E2" w:rsidP="006C50E2">
            <w:pPr>
              <w:numPr>
                <w:ilvl w:val="0"/>
                <w:numId w:val="24"/>
              </w:numPr>
              <w:cnfStyle w:val="100000000000" w:firstRow="1" w:lastRow="0" w:firstColumn="0" w:lastColumn="0" w:oddVBand="0" w:evenVBand="0" w:oddHBand="0" w:evenHBand="0" w:firstRowFirstColumn="0" w:firstRowLastColumn="0" w:lastRowFirstColumn="0" w:lastRowLastColumn="0"/>
            </w:pPr>
            <w:r w:rsidRPr="006C50E2">
              <w:t>2020–21</w:t>
            </w:r>
          </w:p>
        </w:tc>
      </w:tr>
      <w:tr w:rsidR="006C50E2" w:rsidTr="00ED4733">
        <w:tc>
          <w:tcPr>
            <w:cnfStyle w:val="001000000000" w:firstRow="0" w:lastRow="0" w:firstColumn="1" w:lastColumn="0" w:oddVBand="0" w:evenVBand="0" w:oddHBand="0" w:evenHBand="0" w:firstRowFirstColumn="0" w:firstRowLastColumn="0" w:lastRowFirstColumn="0" w:lastRowLastColumn="0"/>
            <w:tcW w:w="2802" w:type="dxa"/>
          </w:tcPr>
          <w:p w:rsidR="006C50E2" w:rsidRPr="006C50E2" w:rsidRDefault="006C50E2" w:rsidP="006C50E2">
            <w:pPr>
              <w:numPr>
                <w:ilvl w:val="0"/>
                <w:numId w:val="24"/>
              </w:numPr>
            </w:pPr>
            <w:r w:rsidRPr="006C50E2">
              <w:t>AER's productivity change</w:t>
            </w:r>
          </w:p>
        </w:tc>
        <w:tc>
          <w:tcPr>
            <w:tcW w:w="1048" w:type="dxa"/>
            <w:vAlign w:val="top"/>
          </w:tcPr>
          <w:p w:rsidR="006C50E2" w:rsidRPr="006C50E2" w:rsidRDefault="006C50E2" w:rsidP="006C50E2">
            <w:pPr>
              <w:cnfStyle w:val="000000000000" w:firstRow="0" w:lastRow="0" w:firstColumn="0" w:lastColumn="0" w:oddVBand="0" w:evenVBand="0" w:oddHBand="0" w:evenHBand="0" w:firstRowFirstColumn="0" w:firstRowLastColumn="0" w:lastRowFirstColumn="0" w:lastRowLastColumn="0"/>
            </w:pPr>
            <w:r w:rsidRPr="006C50E2">
              <w:t>0.00</w:t>
            </w:r>
          </w:p>
        </w:tc>
        <w:tc>
          <w:tcPr>
            <w:tcW w:w="1049" w:type="dxa"/>
            <w:vAlign w:val="top"/>
          </w:tcPr>
          <w:p w:rsidR="006C50E2" w:rsidRPr="006C50E2" w:rsidRDefault="006C50E2">
            <w:pPr>
              <w:cnfStyle w:val="000000000000" w:firstRow="0" w:lastRow="0" w:firstColumn="0" w:lastColumn="0" w:oddVBand="0" w:evenVBand="0" w:oddHBand="0" w:evenHBand="0" w:firstRowFirstColumn="0" w:firstRowLastColumn="0" w:lastRowFirstColumn="0" w:lastRowLastColumn="0"/>
            </w:pPr>
            <w:r w:rsidRPr="006C50E2">
              <w:t>0.00</w:t>
            </w:r>
          </w:p>
        </w:tc>
        <w:tc>
          <w:tcPr>
            <w:tcW w:w="1049" w:type="dxa"/>
            <w:vAlign w:val="top"/>
          </w:tcPr>
          <w:p w:rsidR="006C50E2" w:rsidRPr="006C50E2" w:rsidRDefault="006C50E2">
            <w:pPr>
              <w:cnfStyle w:val="000000000000" w:firstRow="0" w:lastRow="0" w:firstColumn="0" w:lastColumn="0" w:oddVBand="0" w:evenVBand="0" w:oddHBand="0" w:evenHBand="0" w:firstRowFirstColumn="0" w:firstRowLastColumn="0" w:lastRowFirstColumn="0" w:lastRowLastColumn="0"/>
            </w:pPr>
            <w:r w:rsidRPr="006C50E2">
              <w:t>0.00</w:t>
            </w:r>
          </w:p>
        </w:tc>
        <w:tc>
          <w:tcPr>
            <w:tcW w:w="1049" w:type="dxa"/>
            <w:vAlign w:val="top"/>
          </w:tcPr>
          <w:p w:rsidR="006C50E2" w:rsidRPr="006C50E2" w:rsidRDefault="006C50E2">
            <w:pPr>
              <w:cnfStyle w:val="000000000000" w:firstRow="0" w:lastRow="0" w:firstColumn="0" w:lastColumn="0" w:oddVBand="0" w:evenVBand="0" w:oddHBand="0" w:evenHBand="0" w:firstRowFirstColumn="0" w:firstRowLastColumn="0" w:lastRowFirstColumn="0" w:lastRowLastColumn="0"/>
            </w:pPr>
            <w:r w:rsidRPr="006C50E2">
              <w:t>0.00</w:t>
            </w:r>
          </w:p>
        </w:tc>
        <w:tc>
          <w:tcPr>
            <w:tcW w:w="1049" w:type="dxa"/>
            <w:vAlign w:val="top"/>
          </w:tcPr>
          <w:p w:rsidR="006C50E2" w:rsidRPr="006C50E2" w:rsidRDefault="006C50E2">
            <w:pPr>
              <w:cnfStyle w:val="000000000000" w:firstRow="0" w:lastRow="0" w:firstColumn="0" w:lastColumn="0" w:oddVBand="0" w:evenVBand="0" w:oddHBand="0" w:evenHBand="0" w:firstRowFirstColumn="0" w:firstRowLastColumn="0" w:lastRowFirstColumn="0" w:lastRowLastColumn="0"/>
            </w:pPr>
            <w:r w:rsidRPr="006C50E2">
              <w:t>0.00</w:t>
            </w:r>
          </w:p>
        </w:tc>
      </w:tr>
    </w:tbl>
    <w:p w:rsidR="00742DCB" w:rsidRDefault="00742DCB" w:rsidP="00742DCB">
      <w:pPr>
        <w:pStyle w:val="AERtablesource"/>
      </w:pPr>
      <w:r>
        <w:t xml:space="preserve">Source: </w:t>
      </w:r>
      <w:r>
        <w:tab/>
        <w:t>AER analysis.</w:t>
      </w:r>
    </w:p>
    <w:p w:rsidR="00361C23" w:rsidRDefault="00361C23" w:rsidP="00361C23">
      <w:pPr>
        <w:pStyle w:val="Heading3"/>
      </w:pPr>
      <w:bookmarkStart w:id="51" w:name="_Toc441827422"/>
      <w:bookmarkStart w:id="52" w:name="_Ref442788800"/>
      <w:bookmarkStart w:id="53" w:name="_Ref444851484"/>
      <w:bookmarkStart w:id="54" w:name="_Toc451527271"/>
      <w:r>
        <w:t>Step changes</w:t>
      </w:r>
      <w:bookmarkEnd w:id="51"/>
      <w:bookmarkEnd w:id="52"/>
      <w:bookmarkEnd w:id="53"/>
      <w:bookmarkEnd w:id="54"/>
    </w:p>
    <w:p w:rsidR="00361C23" w:rsidRDefault="00361C23" w:rsidP="00361C23">
      <w:pPr>
        <w:numPr>
          <w:ilvl w:val="0"/>
          <w:numId w:val="24"/>
        </w:numPr>
      </w:pPr>
      <w:r>
        <w:t xml:space="preserve">In some instances, a service provider may face changes to opex not accounted for in our estimate of base opex or the rate of change. We assess each step change on its merits. </w:t>
      </w:r>
      <w:r w:rsidRPr="005D632B">
        <w:t xml:space="preserve">The test we apply is </w:t>
      </w:r>
      <w:r>
        <w:t xml:space="preserve">whether the step change is </w:t>
      </w:r>
      <w:r w:rsidRPr="005D632B">
        <w:t>needed for the total opex forecast to comply with the opex criteria. It is not enough to demonstrate an efficient cost will be incurred for an activity that</w:t>
      </w:r>
      <w:r>
        <w:t xml:space="preserve"> was not previously undertaken or opex for a particular cost category is expected to rise. As a result, s</w:t>
      </w:r>
      <w:r w:rsidRPr="005D632B">
        <w:t>tep changes generally relate to a new obligation or some change in the service provider's operating</w:t>
      </w:r>
      <w:r>
        <w:t xml:space="preserve"> environment beyond its control, </w:t>
      </w:r>
      <w:r w:rsidRPr="005D632B">
        <w:t>such as new legislation</w:t>
      </w:r>
      <w:r>
        <w:t xml:space="preserve"> or regulations</w:t>
      </w:r>
      <w:r w:rsidRPr="005D632B">
        <w:t xml:space="preserve">. </w:t>
      </w:r>
    </w:p>
    <w:p w:rsidR="00DB173D" w:rsidRPr="00DB173D" w:rsidRDefault="00DB173D" w:rsidP="00DB173D">
      <w:pPr>
        <w:rPr>
          <w:rStyle w:val="AERbody"/>
        </w:rPr>
      </w:pPr>
      <w:r w:rsidRPr="00DB173D">
        <w:rPr>
          <w:rStyle w:val="AERbody"/>
        </w:rPr>
        <w:t>In our draft decision we rejected all the step changes proposed by AGN. However, we did accept, as step changes, the reclassification of three capex projects as opex.</w:t>
      </w:r>
      <w:r w:rsidRPr="00DB173D">
        <w:rPr>
          <w:rStyle w:val="FootnoteReference"/>
        </w:rPr>
        <w:footnoteReference w:id="41"/>
      </w:r>
      <w:r w:rsidRPr="00DB173D">
        <w:rPr>
          <w:rStyle w:val="FootnoteReference"/>
        </w:rPr>
        <w:t xml:space="preserve"> </w:t>
      </w:r>
      <w:r w:rsidRPr="00DB173D">
        <w:rPr>
          <w:rStyle w:val="AERbody"/>
        </w:rPr>
        <w:t xml:space="preserve"> </w:t>
      </w:r>
    </w:p>
    <w:p w:rsidR="00857E79" w:rsidRDefault="00DB173D" w:rsidP="00857E79">
      <w:r w:rsidRPr="00DB173D">
        <w:rPr>
          <w:rStyle w:val="AERbody"/>
        </w:rPr>
        <w:t xml:space="preserve">AGN largely accepted our draft decision on step changes on the basis its proposed capex program </w:t>
      </w:r>
      <w:r w:rsidR="006A3CBD">
        <w:rPr>
          <w:rStyle w:val="AERbody"/>
        </w:rPr>
        <w:t>would</w:t>
      </w:r>
      <w:r w:rsidR="006A3CBD" w:rsidRPr="00DB173D">
        <w:rPr>
          <w:rStyle w:val="AERbody"/>
        </w:rPr>
        <w:t xml:space="preserve"> </w:t>
      </w:r>
      <w:r w:rsidRPr="00DB173D">
        <w:rPr>
          <w:rStyle w:val="AERbody"/>
        </w:rPr>
        <w:t xml:space="preserve">deliver benefits over the next access arrangement period and provide </w:t>
      </w:r>
      <w:r w:rsidR="006A3CBD">
        <w:rPr>
          <w:rStyle w:val="AERbody"/>
        </w:rPr>
        <w:t>it</w:t>
      </w:r>
      <w:r w:rsidR="006A3CBD" w:rsidRPr="00DB173D">
        <w:rPr>
          <w:rStyle w:val="AERbody"/>
        </w:rPr>
        <w:t xml:space="preserve"> </w:t>
      </w:r>
      <w:r w:rsidRPr="00DB173D">
        <w:rPr>
          <w:rStyle w:val="AERbody"/>
        </w:rPr>
        <w:t xml:space="preserve">with the capacity to absorb </w:t>
      </w:r>
      <w:r w:rsidR="00CA1D27">
        <w:rPr>
          <w:rStyle w:val="AERbody"/>
        </w:rPr>
        <w:t xml:space="preserve">the </w:t>
      </w:r>
      <w:r w:rsidRPr="00DB173D">
        <w:rPr>
          <w:rStyle w:val="AERbody"/>
        </w:rPr>
        <w:t>costs of the proposed step changes.</w:t>
      </w:r>
      <w:r w:rsidRPr="00DB173D">
        <w:rPr>
          <w:rStyle w:val="FootnoteReference"/>
        </w:rPr>
        <w:footnoteReference w:id="42"/>
      </w:r>
      <w:r w:rsidRPr="00DB173D">
        <w:rPr>
          <w:rStyle w:val="FootnoteReference"/>
        </w:rPr>
        <w:t xml:space="preserve"> </w:t>
      </w:r>
      <w:r w:rsidR="00134D68">
        <w:t xml:space="preserve">However, </w:t>
      </w:r>
      <w:r w:rsidR="00857E79">
        <w:t>AGN re-</w:t>
      </w:r>
      <w:r w:rsidR="001E29D2">
        <w:t xml:space="preserve">proposed the </w:t>
      </w:r>
      <w:r w:rsidR="006A3CBD">
        <w:t>i</w:t>
      </w:r>
      <w:r w:rsidR="001E29D2">
        <w:t xml:space="preserve">nlet data capture </w:t>
      </w:r>
      <w:r w:rsidR="00857E79">
        <w:t xml:space="preserve">step change </w:t>
      </w:r>
      <w:r w:rsidR="006A3CBD">
        <w:t xml:space="preserve">with an estimated cost of </w:t>
      </w:r>
      <w:r w:rsidR="00857E79">
        <w:t>$1.7</w:t>
      </w:r>
      <w:r w:rsidR="00857E79" w:rsidRPr="00441723">
        <w:t> million ($2015–16)</w:t>
      </w:r>
      <w:r w:rsidR="00857E79">
        <w:t xml:space="preserve">. In </w:t>
      </w:r>
      <w:r w:rsidR="00626D6B">
        <w:t>addition</w:t>
      </w:r>
      <w:r w:rsidR="00857E79">
        <w:t>, AGN re</w:t>
      </w:r>
      <w:r w:rsidR="006A3CBD">
        <w:noBreakHyphen/>
      </w:r>
      <w:r w:rsidR="0010148A">
        <w:t xml:space="preserve">proposed its </w:t>
      </w:r>
      <w:r w:rsidR="00020323">
        <w:t xml:space="preserve">Ongoing </w:t>
      </w:r>
      <w:r w:rsidR="0010148A">
        <w:t>HDPE risk management step change, conditional on</w:t>
      </w:r>
      <w:r w:rsidR="00857E79">
        <w:t xml:space="preserve"> </w:t>
      </w:r>
      <w:r w:rsidR="00626D6B">
        <w:t xml:space="preserve">the AER's final decision </w:t>
      </w:r>
      <w:r w:rsidR="0010148A">
        <w:t>on</w:t>
      </w:r>
      <w:r w:rsidR="00857E79">
        <w:t xml:space="preserve"> its capex project</w:t>
      </w:r>
      <w:r w:rsidR="0010148A">
        <w:t xml:space="preserve"> (SA60)</w:t>
      </w:r>
      <w:r w:rsidR="00857E79">
        <w:t>.</w:t>
      </w:r>
      <w:r w:rsidR="00D31EB8">
        <w:rPr>
          <w:rStyle w:val="FootnoteReference"/>
        </w:rPr>
        <w:footnoteReference w:id="43"/>
      </w:r>
      <w:r w:rsidR="00857E79">
        <w:t xml:space="preserve"> </w:t>
      </w:r>
      <w:r w:rsidR="00AF0575">
        <w:t xml:space="preserve">AGN also </w:t>
      </w:r>
      <w:r w:rsidR="0010148A">
        <w:t xml:space="preserve">accepted </w:t>
      </w:r>
      <w:r w:rsidR="00857E79">
        <w:t xml:space="preserve">the </w:t>
      </w:r>
      <w:r w:rsidR="006A3CBD">
        <w:t xml:space="preserve">AER's draft decision to </w:t>
      </w:r>
      <w:r w:rsidR="00857E79">
        <w:t>re</w:t>
      </w:r>
      <w:r w:rsidR="0029478D">
        <w:t>-</w:t>
      </w:r>
      <w:r w:rsidR="006A3CBD">
        <w:t>categorise</w:t>
      </w:r>
      <w:r w:rsidR="0029478D">
        <w:t xml:space="preserve"> </w:t>
      </w:r>
      <w:r w:rsidR="00AF0575">
        <w:t>two</w:t>
      </w:r>
      <w:r w:rsidR="00857E79">
        <w:t xml:space="preserve"> </w:t>
      </w:r>
      <w:r w:rsidR="00AF0575">
        <w:t xml:space="preserve">out of three </w:t>
      </w:r>
      <w:r w:rsidR="00857E79">
        <w:t xml:space="preserve">projects to opex. </w:t>
      </w:r>
    </w:p>
    <w:p w:rsidR="00361C23" w:rsidRPr="00AE307F" w:rsidRDefault="00DB173D" w:rsidP="00361C23">
      <w:r>
        <w:t>We assessed AGN'</w:t>
      </w:r>
      <w:r w:rsidR="00361C23" w:rsidRPr="00441723">
        <w:t xml:space="preserve">s </w:t>
      </w:r>
      <w:r>
        <w:t xml:space="preserve">revised proposal </w:t>
      </w:r>
      <w:r w:rsidR="00361C23" w:rsidRPr="00441723">
        <w:t xml:space="preserve">to determine whether </w:t>
      </w:r>
      <w:r>
        <w:t xml:space="preserve">its proposed step changes </w:t>
      </w:r>
      <w:r w:rsidR="00361C23" w:rsidRPr="00441723">
        <w:t xml:space="preserve">should be included in our total opex forecast. </w:t>
      </w:r>
      <w:r w:rsidR="00001B48">
        <w:fldChar w:fldCharType="begin"/>
      </w:r>
      <w:r w:rsidR="00001B48">
        <w:instrText xml:space="preserve"> REF _Ref444851919 \h </w:instrText>
      </w:r>
      <w:r w:rsidR="00001B48">
        <w:fldChar w:fldCharType="separate"/>
      </w:r>
      <w:r w:rsidR="000575AB">
        <w:t xml:space="preserve">Table </w:t>
      </w:r>
      <w:r w:rsidR="000575AB">
        <w:rPr>
          <w:noProof/>
        </w:rPr>
        <w:t>7</w:t>
      </w:r>
      <w:r w:rsidR="000575AB">
        <w:t>.</w:t>
      </w:r>
      <w:r w:rsidR="000575AB">
        <w:rPr>
          <w:noProof/>
        </w:rPr>
        <w:t>7</w:t>
      </w:r>
      <w:r w:rsidR="00001B48">
        <w:fldChar w:fldCharType="end"/>
      </w:r>
      <w:r w:rsidR="00001B48">
        <w:t xml:space="preserve"> </w:t>
      </w:r>
      <w:r w:rsidR="00361C23" w:rsidRPr="00441723">
        <w:t>shows A</w:t>
      </w:r>
      <w:r w:rsidR="00361C23">
        <w:t>GN</w:t>
      </w:r>
      <w:r w:rsidR="00361C23" w:rsidRPr="00441723">
        <w:t xml:space="preserve">’s proposed step change and our </w:t>
      </w:r>
      <w:r w:rsidR="006A3CBD">
        <w:t>final decision on them</w:t>
      </w:r>
      <w:r w:rsidR="00361C23" w:rsidRPr="00441723">
        <w:t>. Our reasons are provided below.</w:t>
      </w:r>
    </w:p>
    <w:p w:rsidR="00361C23" w:rsidRPr="001B422F" w:rsidRDefault="00001B48" w:rsidP="00001B48">
      <w:pPr>
        <w:pStyle w:val="Caption"/>
      </w:pPr>
      <w:bookmarkStart w:id="55" w:name="_Ref444851919"/>
      <w:proofErr w:type="gramStart"/>
      <w:r>
        <w:t xml:space="preserve">Table </w:t>
      </w:r>
      <w:r w:rsidR="00961E5E">
        <w:fldChar w:fldCharType="begin"/>
      </w:r>
      <w:r w:rsidR="00961E5E">
        <w:instrText xml:space="preserve"> STYLEREF 1 \s </w:instrText>
      </w:r>
      <w:r w:rsidR="00961E5E">
        <w:fldChar w:fldCharType="separate"/>
      </w:r>
      <w:r w:rsidR="004F6349">
        <w:rPr>
          <w:noProof/>
        </w:rPr>
        <w:t>7</w:t>
      </w:r>
      <w:r w:rsidR="00961E5E">
        <w:rPr>
          <w:noProof/>
        </w:rPr>
        <w:fldChar w:fldCharType="end"/>
      </w:r>
      <w:r w:rsidR="004F6349">
        <w:t>.</w:t>
      </w:r>
      <w:proofErr w:type="gramEnd"/>
      <w:r w:rsidR="004F6349">
        <w:fldChar w:fldCharType="begin"/>
      </w:r>
      <w:r w:rsidR="004F6349">
        <w:instrText xml:space="preserve"> SEQ Table \* ARABIC \s 1 </w:instrText>
      </w:r>
      <w:r w:rsidR="004F6349">
        <w:fldChar w:fldCharType="separate"/>
      </w:r>
      <w:r w:rsidR="004F6349">
        <w:rPr>
          <w:noProof/>
        </w:rPr>
        <w:t>7</w:t>
      </w:r>
      <w:r w:rsidR="004F6349">
        <w:fldChar w:fldCharType="end"/>
      </w:r>
      <w:bookmarkEnd w:id="55"/>
      <w:r w:rsidR="00361C23">
        <w:tab/>
        <w:t>AER final decision</w:t>
      </w:r>
      <w:r w:rsidR="006A3CBD">
        <w:t xml:space="preserve"> on step </w:t>
      </w:r>
      <w:r w:rsidR="00361C23">
        <w:t xml:space="preserve">changes </w:t>
      </w:r>
      <w:r w:rsidR="00361C23" w:rsidRPr="001B422F">
        <w:t>($million, 2015–16)</w:t>
      </w:r>
    </w:p>
    <w:tbl>
      <w:tblPr>
        <w:tblStyle w:val="AERtable-text0"/>
        <w:tblW w:w="8613" w:type="dxa"/>
        <w:tblLook w:val="04A0" w:firstRow="1" w:lastRow="0" w:firstColumn="1" w:lastColumn="0" w:noHBand="0" w:noVBand="1"/>
      </w:tblPr>
      <w:tblGrid>
        <w:gridCol w:w="6062"/>
        <w:gridCol w:w="1275"/>
        <w:gridCol w:w="1276"/>
      </w:tblGrid>
      <w:tr w:rsidR="00361C23" w:rsidTr="002D3F30">
        <w:trPr>
          <w:cnfStyle w:val="100000000000" w:firstRow="1" w:lastRow="0" w:firstColumn="0" w:lastColumn="0" w:oddVBand="0" w:evenVBand="0" w:oddHBand="0" w:evenHBand="0" w:firstRowFirstColumn="0" w:firstRowLastColumn="0" w:lastRowFirstColumn="0" w:lastRowLastColumn="0"/>
          <w:tblHeader/>
        </w:trPr>
        <w:tc>
          <w:tcPr>
            <w:tcW w:w="6062" w:type="dxa"/>
          </w:tcPr>
          <w:p w:rsidR="00361C23" w:rsidRPr="00361C23" w:rsidRDefault="00361C23" w:rsidP="00361C23">
            <w:r>
              <w:t>S</w:t>
            </w:r>
            <w:r w:rsidRPr="00361C23">
              <w:t xml:space="preserve">tep change </w:t>
            </w:r>
          </w:p>
        </w:tc>
        <w:tc>
          <w:tcPr>
            <w:tcW w:w="1275" w:type="dxa"/>
          </w:tcPr>
          <w:p w:rsidR="00361C23" w:rsidRPr="001B422F" w:rsidRDefault="00361C23" w:rsidP="00361C23">
            <w:r w:rsidRPr="001B422F">
              <w:t>Amount</w:t>
            </w:r>
          </w:p>
        </w:tc>
        <w:tc>
          <w:tcPr>
            <w:tcW w:w="1276" w:type="dxa"/>
          </w:tcPr>
          <w:p w:rsidR="00361C23" w:rsidRPr="00361C23" w:rsidRDefault="00361C23" w:rsidP="00361C23">
            <w:r>
              <w:t>Final decision</w:t>
            </w:r>
            <w:r w:rsidRPr="00361C23">
              <w:t xml:space="preserve"> </w:t>
            </w:r>
          </w:p>
        </w:tc>
      </w:tr>
      <w:tr w:rsidR="00361C23" w:rsidTr="002D3F30">
        <w:tc>
          <w:tcPr>
            <w:tcW w:w="6062" w:type="dxa"/>
          </w:tcPr>
          <w:p w:rsidR="00361C23" w:rsidRPr="00361C23" w:rsidRDefault="00361C23" w:rsidP="00361C23">
            <w:r>
              <w:t>Inlet data capture (SA44)</w:t>
            </w:r>
          </w:p>
        </w:tc>
        <w:tc>
          <w:tcPr>
            <w:tcW w:w="1275" w:type="dxa"/>
          </w:tcPr>
          <w:p w:rsidR="00361C23" w:rsidRPr="00361C23" w:rsidRDefault="00361C23" w:rsidP="00361C23">
            <w:r>
              <w:t>1.7</w:t>
            </w:r>
          </w:p>
        </w:tc>
        <w:tc>
          <w:tcPr>
            <w:tcW w:w="1276" w:type="dxa"/>
          </w:tcPr>
          <w:p w:rsidR="00361C23" w:rsidRPr="001B422F" w:rsidRDefault="00020323" w:rsidP="00361C23">
            <w:r>
              <w:t>0.0</w:t>
            </w:r>
          </w:p>
        </w:tc>
      </w:tr>
      <w:tr w:rsidR="00361C23" w:rsidTr="002D3F30">
        <w:trPr>
          <w:cnfStyle w:val="000000010000" w:firstRow="0" w:lastRow="0" w:firstColumn="0" w:lastColumn="0" w:oddVBand="0" w:evenVBand="0" w:oddHBand="0" w:evenHBand="1" w:firstRowFirstColumn="0" w:firstRowLastColumn="0" w:lastRowFirstColumn="0" w:lastRowLastColumn="0"/>
        </w:trPr>
        <w:tc>
          <w:tcPr>
            <w:tcW w:w="6062" w:type="dxa"/>
          </w:tcPr>
          <w:p w:rsidR="00361C23" w:rsidRPr="00361C23" w:rsidRDefault="00361C23" w:rsidP="006A3CBD">
            <w:r>
              <w:t>Ongoing</w:t>
            </w:r>
            <w:r w:rsidR="006A3CBD">
              <w:t xml:space="preserve"> HPDE</w:t>
            </w:r>
            <w:r>
              <w:t xml:space="preserve"> risk management (SA54) (</w:t>
            </w:r>
            <w:r w:rsidR="00AF0575">
              <w:t>re-proposed in the event the AER does not accept capex project (</w:t>
            </w:r>
            <w:r>
              <w:t>Business Intelligence</w:t>
            </w:r>
            <w:r w:rsidR="00AF0575">
              <w:t>-</w:t>
            </w:r>
            <w:r>
              <w:t>SA60)</w:t>
            </w:r>
            <w:r w:rsidR="00D31EB8">
              <w:t>)</w:t>
            </w:r>
          </w:p>
        </w:tc>
        <w:tc>
          <w:tcPr>
            <w:tcW w:w="1275" w:type="dxa"/>
          </w:tcPr>
          <w:p w:rsidR="00361C23" w:rsidRPr="001B422F" w:rsidRDefault="00361C23" w:rsidP="00361C23">
            <w:r>
              <w:t>3.2</w:t>
            </w:r>
          </w:p>
        </w:tc>
        <w:tc>
          <w:tcPr>
            <w:tcW w:w="1276" w:type="dxa"/>
          </w:tcPr>
          <w:p w:rsidR="00361C23" w:rsidRPr="001B422F" w:rsidRDefault="00361C23" w:rsidP="00361C23">
            <w:r>
              <w:t>0.0</w:t>
            </w:r>
          </w:p>
        </w:tc>
      </w:tr>
      <w:tr w:rsidR="00361C23" w:rsidTr="002D3F30">
        <w:tc>
          <w:tcPr>
            <w:tcW w:w="6062" w:type="dxa"/>
          </w:tcPr>
          <w:p w:rsidR="00361C23" w:rsidRPr="004E7BB2" w:rsidRDefault="00361C23" w:rsidP="00361C23">
            <w:r w:rsidRPr="004E7BB2">
              <w:t>Total step changes</w:t>
            </w:r>
          </w:p>
        </w:tc>
        <w:tc>
          <w:tcPr>
            <w:tcW w:w="1275" w:type="dxa"/>
          </w:tcPr>
          <w:p w:rsidR="00361C23" w:rsidRPr="00361C23" w:rsidRDefault="001B10F2" w:rsidP="00361C23">
            <w:r>
              <w:t>4.9</w:t>
            </w:r>
          </w:p>
        </w:tc>
        <w:tc>
          <w:tcPr>
            <w:tcW w:w="1276" w:type="dxa"/>
          </w:tcPr>
          <w:p w:rsidR="00361C23" w:rsidRPr="00361C23" w:rsidRDefault="00020323" w:rsidP="00361C23">
            <w:r>
              <w:t>0.0</w:t>
            </w:r>
          </w:p>
        </w:tc>
      </w:tr>
    </w:tbl>
    <w:p w:rsidR="00361C23" w:rsidRDefault="00361C23" w:rsidP="00B005FD">
      <w:pPr>
        <w:pStyle w:val="AERtablesource"/>
      </w:pPr>
      <w:r w:rsidRPr="001B422F">
        <w:t xml:space="preserve">Source: </w:t>
      </w:r>
      <w:r w:rsidRPr="001B422F">
        <w:tab/>
      </w:r>
      <w:r w:rsidR="002034EB">
        <w:t xml:space="preserve">Australian Gas Networks, </w:t>
      </w:r>
      <w:r w:rsidR="002034EB" w:rsidRPr="002034EB">
        <w:rPr>
          <w:rStyle w:val="Emphasis"/>
        </w:rPr>
        <w:t>Revised Access Information for Australian Gas Networks’ South Australian Natural Gas Distribution Network, Attachment 7.8: Response Draft Decision Operating Expenditure</w:t>
      </w:r>
      <w:r w:rsidR="002034EB">
        <w:t>, January 2016</w:t>
      </w:r>
      <w:r>
        <w:t xml:space="preserve">; </w:t>
      </w:r>
      <w:r w:rsidRPr="001B422F">
        <w:t xml:space="preserve">AER analysis. Numbers may not add </w:t>
      </w:r>
      <w:r w:rsidR="0015085E">
        <w:t xml:space="preserve">up </w:t>
      </w:r>
      <w:r w:rsidRPr="001B422F">
        <w:t>due to rounding.</w:t>
      </w:r>
    </w:p>
    <w:p w:rsidR="00361C23" w:rsidRDefault="00361C23" w:rsidP="002D3F30">
      <w:pPr>
        <w:pStyle w:val="Heading4"/>
      </w:pPr>
      <w:r>
        <w:t>Inlet data capture</w:t>
      </w:r>
    </w:p>
    <w:p w:rsidR="00DB173D" w:rsidRPr="00DB173D" w:rsidRDefault="00DB173D" w:rsidP="00DB173D">
      <w:r w:rsidRPr="00DB173D">
        <w:t>In our draft decision</w:t>
      </w:r>
      <w:r w:rsidR="00F06FA9">
        <w:t>,</w:t>
      </w:r>
      <w:r w:rsidRPr="00DB173D">
        <w:t xml:space="preserve"> we did not include th</w:t>
      </w:r>
      <w:r w:rsidR="00D8707E">
        <w:t xml:space="preserve">e inlet data capture </w:t>
      </w:r>
      <w:r w:rsidRPr="00DB173D">
        <w:t>step change in our opex forecast on the basis it was a discretionary activity aimed at developing more efficient business practices</w:t>
      </w:r>
      <w:r w:rsidR="00365197">
        <w:t xml:space="preserve"> and</w:t>
      </w:r>
      <w:r w:rsidR="00F06FA9">
        <w:t>,</w:t>
      </w:r>
      <w:r w:rsidR="00365197">
        <w:t xml:space="preserve"> in such circumstances</w:t>
      </w:r>
      <w:r w:rsidR="00F06FA9">
        <w:t>,</w:t>
      </w:r>
      <w:r w:rsidR="00365197">
        <w:t xml:space="preserve"> </w:t>
      </w:r>
      <w:r w:rsidRPr="00DB173D">
        <w:t>we expect service providers to bear the costs of efficiency improvements and make efficient trade-offs.</w:t>
      </w:r>
      <w:r w:rsidRPr="00DB173D">
        <w:rPr>
          <w:rStyle w:val="FootnoteReference"/>
        </w:rPr>
        <w:footnoteReference w:id="44"/>
      </w:r>
      <w:r w:rsidRPr="00DB173D">
        <w:t xml:space="preserve">  </w:t>
      </w:r>
    </w:p>
    <w:p w:rsidR="00DB173D" w:rsidRPr="00DB173D" w:rsidRDefault="00FB7FD5" w:rsidP="009C58E3">
      <w:r>
        <w:t xml:space="preserve">AGN </w:t>
      </w:r>
      <w:r w:rsidR="006A3CBD">
        <w:t>re</w:t>
      </w:r>
      <w:r w:rsidR="00471B5F">
        <w:t>-</w:t>
      </w:r>
      <w:r w:rsidR="006A3CBD">
        <w:t xml:space="preserve">proposed </w:t>
      </w:r>
      <w:r>
        <w:t xml:space="preserve">the inlet data capture </w:t>
      </w:r>
      <w:r w:rsidR="00643A88">
        <w:t>step change</w:t>
      </w:r>
      <w:r w:rsidR="000210CB">
        <w:t>,</w:t>
      </w:r>
      <w:r w:rsidR="00643A88">
        <w:t xml:space="preserve"> stating that the </w:t>
      </w:r>
      <w:r>
        <w:t xml:space="preserve">project </w:t>
      </w:r>
      <w:r w:rsidR="006A3CBD">
        <w:t>was</w:t>
      </w:r>
      <w:r w:rsidR="006A3CBD" w:rsidRPr="00DB173D">
        <w:t xml:space="preserve"> </w:t>
      </w:r>
      <w:r w:rsidR="00DB173D" w:rsidRPr="00DB173D">
        <w:t>not discretionary but driven by public safety and risk reduction.</w:t>
      </w:r>
      <w:r w:rsidR="00A032FB">
        <w:rPr>
          <w:rStyle w:val="FootnoteReference"/>
        </w:rPr>
        <w:footnoteReference w:id="45"/>
      </w:r>
      <w:r w:rsidR="00DB173D" w:rsidRPr="00DB173D">
        <w:t xml:space="preserve"> </w:t>
      </w:r>
      <w:r w:rsidR="009C58E3">
        <w:t xml:space="preserve">The project </w:t>
      </w:r>
      <w:r w:rsidR="00E36453">
        <w:t>is</w:t>
      </w:r>
      <w:r w:rsidR="009C58E3" w:rsidRPr="009C58E3">
        <w:t xml:space="preserve"> designed to capture geographical information relating to the inlet services of the remaining 9,800</w:t>
      </w:r>
      <w:r w:rsidR="002329A6">
        <w:t xml:space="preserve"> industrial and commercial (</w:t>
      </w:r>
      <w:r w:rsidR="009C58E3" w:rsidRPr="009C58E3">
        <w:t>I&amp;C</w:t>
      </w:r>
      <w:r w:rsidR="002329A6">
        <w:t>)</w:t>
      </w:r>
      <w:r w:rsidR="0029478D">
        <w:t xml:space="preserve"> </w:t>
      </w:r>
      <w:r w:rsidR="009C58E3" w:rsidRPr="009C58E3">
        <w:t>sites and the 3,300 highest risk multi-dwelling development sites for which there is currently no inlet service information available.</w:t>
      </w:r>
      <w:r w:rsidR="00E36453">
        <w:rPr>
          <w:rStyle w:val="FootnoteReference"/>
        </w:rPr>
        <w:footnoteReference w:id="46"/>
      </w:r>
      <w:r w:rsidR="009C58E3" w:rsidRPr="009C58E3">
        <w:t xml:space="preserve"> </w:t>
      </w:r>
      <w:r w:rsidR="00E36453">
        <w:t>AGN propose</w:t>
      </w:r>
      <w:r w:rsidR="00B02FFC">
        <w:t>d</w:t>
      </w:r>
      <w:r w:rsidR="00E36453">
        <w:t xml:space="preserve"> to implement the project </w:t>
      </w:r>
      <w:r w:rsidR="009C58E3" w:rsidRPr="009C58E3">
        <w:t xml:space="preserve">in the last </w:t>
      </w:r>
      <w:r w:rsidR="00A42391">
        <w:t xml:space="preserve">three </w:t>
      </w:r>
      <w:r w:rsidR="009C58E3" w:rsidRPr="009C58E3">
        <w:t xml:space="preserve">years of the </w:t>
      </w:r>
      <w:r w:rsidR="00E36453">
        <w:t xml:space="preserve">next access arrangement period </w:t>
      </w:r>
      <w:r w:rsidR="009C58E3" w:rsidRPr="009C58E3">
        <w:t>to align with the roll-out of the new GIS system.</w:t>
      </w:r>
      <w:r w:rsidR="006A3CBD">
        <w:t xml:space="preserve"> </w:t>
      </w:r>
      <w:r w:rsidR="006A3CBD" w:rsidRPr="00DB173D">
        <w:t>AGN</w:t>
      </w:r>
      <w:r w:rsidR="006A3CBD">
        <w:t xml:space="preserve"> also </w:t>
      </w:r>
      <w:r w:rsidR="006A3CBD" w:rsidRPr="00DB173D">
        <w:t>note</w:t>
      </w:r>
      <w:r w:rsidR="006A3CBD">
        <w:t xml:space="preserve">d the project </w:t>
      </w:r>
      <w:r w:rsidR="006A3CBD" w:rsidRPr="00DB173D">
        <w:t xml:space="preserve">is an expansion of an initiative approved by the AER for the current </w:t>
      </w:r>
      <w:r w:rsidR="006A3CBD">
        <w:t xml:space="preserve">access arrangement </w:t>
      </w:r>
      <w:r w:rsidR="006A3CBD" w:rsidRPr="00DB173D">
        <w:t>period.</w:t>
      </w:r>
      <w:r w:rsidR="006A3CBD" w:rsidRPr="00DB173D">
        <w:rPr>
          <w:rStyle w:val="FootnoteReference"/>
        </w:rPr>
        <w:footnoteReference w:id="47"/>
      </w:r>
    </w:p>
    <w:p w:rsidR="005E0CAB" w:rsidRDefault="00564BF3" w:rsidP="005E0CAB">
      <w:pPr>
        <w:rPr>
          <w:rStyle w:val="AERbody"/>
        </w:rPr>
      </w:pPr>
      <w:r w:rsidRPr="00564BF3">
        <w:rPr>
          <w:rStyle w:val="AERbody"/>
        </w:rPr>
        <w:t xml:space="preserve">We maintain our draft decision </w:t>
      </w:r>
      <w:r w:rsidR="00F551E4">
        <w:rPr>
          <w:rStyle w:val="AERbody"/>
        </w:rPr>
        <w:t xml:space="preserve">position </w:t>
      </w:r>
      <w:r w:rsidRPr="00564BF3">
        <w:rPr>
          <w:rStyle w:val="AERbody"/>
        </w:rPr>
        <w:t xml:space="preserve">and do not accept the inlet data capture project as a step change. </w:t>
      </w:r>
      <w:r>
        <w:rPr>
          <w:rStyle w:val="AERbody"/>
        </w:rPr>
        <w:t>In reaching this view</w:t>
      </w:r>
      <w:r w:rsidR="000210CB">
        <w:rPr>
          <w:rStyle w:val="AERbody"/>
        </w:rPr>
        <w:t>,</w:t>
      </w:r>
      <w:r>
        <w:rPr>
          <w:rStyle w:val="AERbody"/>
        </w:rPr>
        <w:t xml:space="preserve"> we have considered the additional information provided by AGN and the submissions we received </w:t>
      </w:r>
      <w:r w:rsidR="000B3363">
        <w:rPr>
          <w:rStyle w:val="AERbody"/>
        </w:rPr>
        <w:t xml:space="preserve">on </w:t>
      </w:r>
      <w:r>
        <w:rPr>
          <w:rStyle w:val="AERbody"/>
        </w:rPr>
        <w:t>our draft decision</w:t>
      </w:r>
      <w:r w:rsidR="00275E3B">
        <w:rPr>
          <w:rStyle w:val="AERbody"/>
        </w:rPr>
        <w:t xml:space="preserve"> and AGN's revised proposal</w:t>
      </w:r>
      <w:r w:rsidR="008C76DB">
        <w:rPr>
          <w:rStyle w:val="AERbody"/>
        </w:rPr>
        <w:t>.</w:t>
      </w:r>
      <w:r w:rsidR="00B91A14" w:rsidRPr="00B91A14">
        <w:rPr>
          <w:rStyle w:val="AERbody"/>
        </w:rPr>
        <w:tab/>
      </w:r>
    </w:p>
    <w:p w:rsidR="00B91A14" w:rsidRDefault="00E93FF5" w:rsidP="00B91A14">
      <w:pPr>
        <w:rPr>
          <w:rStyle w:val="AERbody"/>
        </w:rPr>
      </w:pPr>
      <w:r>
        <w:t>Uniting Care Australia supported our draft decision on AGN's proposed step changes on the basis they were part of the opex of a prudent business.</w:t>
      </w:r>
      <w:r>
        <w:rPr>
          <w:rStyle w:val="FootnoteReference"/>
        </w:rPr>
        <w:footnoteReference w:id="48"/>
      </w:r>
      <w:r>
        <w:t xml:space="preserve"> </w:t>
      </w:r>
      <w:r w:rsidR="005E0CAB">
        <w:t xml:space="preserve">Both SACOSS and ECCSA in their submissions supported our draft decision on the data inlet capture step change. </w:t>
      </w:r>
      <w:r w:rsidR="00B91A14">
        <w:rPr>
          <w:rStyle w:val="AERbody"/>
        </w:rPr>
        <w:t>ECCSA</w:t>
      </w:r>
      <w:r w:rsidR="005E0CAB">
        <w:rPr>
          <w:rStyle w:val="AERbody"/>
        </w:rPr>
        <w:t xml:space="preserve"> acknowledged</w:t>
      </w:r>
      <w:r w:rsidR="00B91A14" w:rsidRPr="00B91A14">
        <w:rPr>
          <w:rStyle w:val="AERbody"/>
        </w:rPr>
        <w:t xml:space="preserve"> that the location of service inlets is important but question</w:t>
      </w:r>
      <w:r w:rsidR="005E0CAB">
        <w:rPr>
          <w:rStyle w:val="AERbody"/>
        </w:rPr>
        <w:t>ed</w:t>
      </w:r>
      <w:r w:rsidR="00B91A14" w:rsidRPr="00B91A14">
        <w:rPr>
          <w:rStyle w:val="AERbody"/>
        </w:rPr>
        <w:t xml:space="preserve"> why after more than 15 years of regulation, AGN still d</w:t>
      </w:r>
      <w:r w:rsidR="005E0CAB">
        <w:rPr>
          <w:rStyle w:val="AERbody"/>
        </w:rPr>
        <w:t xml:space="preserve">id </w:t>
      </w:r>
      <w:r w:rsidR="00B91A14" w:rsidRPr="00B91A14">
        <w:rPr>
          <w:rStyle w:val="AERbody"/>
        </w:rPr>
        <w:t>not know where it connects to its customers.</w:t>
      </w:r>
      <w:r w:rsidR="00A032FB">
        <w:rPr>
          <w:rStyle w:val="FootnoteReference"/>
        </w:rPr>
        <w:footnoteReference w:id="49"/>
      </w:r>
      <w:r w:rsidR="00B91A14" w:rsidRPr="00B91A14">
        <w:rPr>
          <w:rStyle w:val="AERbody"/>
        </w:rPr>
        <w:t xml:space="preserve"> ECCSA </w:t>
      </w:r>
      <w:r w:rsidR="005E0CAB">
        <w:rPr>
          <w:rStyle w:val="AERbody"/>
        </w:rPr>
        <w:t xml:space="preserve">stated </w:t>
      </w:r>
      <w:r w:rsidR="00B91A14" w:rsidRPr="00B91A14">
        <w:rPr>
          <w:rStyle w:val="AERbody"/>
        </w:rPr>
        <w:t>there ha</w:t>
      </w:r>
      <w:r w:rsidR="005E0CAB">
        <w:rPr>
          <w:rStyle w:val="AERbody"/>
        </w:rPr>
        <w:t>d</w:t>
      </w:r>
      <w:r w:rsidR="00B91A14" w:rsidRPr="00B91A14">
        <w:rPr>
          <w:rStyle w:val="AERbody"/>
        </w:rPr>
        <w:t xml:space="preserve"> been no change in laws and regulation in relation to the exact location of customer interfaces with AGN assets</w:t>
      </w:r>
      <w:r w:rsidR="0047488D">
        <w:rPr>
          <w:rStyle w:val="AERbody"/>
        </w:rPr>
        <w:t>.</w:t>
      </w:r>
      <w:r w:rsidR="00B91A14" w:rsidRPr="00B91A14">
        <w:rPr>
          <w:rStyle w:val="AERbody"/>
        </w:rPr>
        <w:t xml:space="preserve"> </w:t>
      </w:r>
      <w:r w:rsidR="0047488D">
        <w:rPr>
          <w:rStyle w:val="AERbody"/>
        </w:rPr>
        <w:t>T</w:t>
      </w:r>
      <w:r w:rsidR="00B91A14" w:rsidRPr="00B91A14">
        <w:rPr>
          <w:rStyle w:val="AERbody"/>
        </w:rPr>
        <w:t>herefore</w:t>
      </w:r>
      <w:r w:rsidR="0047488D">
        <w:rPr>
          <w:rStyle w:val="AERbody"/>
        </w:rPr>
        <w:t>,</w:t>
      </w:r>
      <w:r w:rsidR="00B91A14" w:rsidRPr="00B91A14">
        <w:rPr>
          <w:rStyle w:val="AERbody"/>
        </w:rPr>
        <w:t xml:space="preserve"> ECCSA c</w:t>
      </w:r>
      <w:r w:rsidR="005E0CAB">
        <w:rPr>
          <w:rStyle w:val="AERbody"/>
        </w:rPr>
        <w:t xml:space="preserve">ould not </w:t>
      </w:r>
      <w:r w:rsidR="00B91A14" w:rsidRPr="00B91A14">
        <w:rPr>
          <w:rStyle w:val="AERbody"/>
        </w:rPr>
        <w:t>see why this issue ha</w:t>
      </w:r>
      <w:r w:rsidR="005E0CAB">
        <w:rPr>
          <w:rStyle w:val="AERbody"/>
        </w:rPr>
        <w:t>d</w:t>
      </w:r>
      <w:r w:rsidR="00B91A14" w:rsidRPr="00B91A14">
        <w:rPr>
          <w:rStyle w:val="AERbody"/>
        </w:rPr>
        <w:t xml:space="preserve"> been raised as a step change when it is and has always been good industry practice to know where a provider interfaces with its customer.</w:t>
      </w:r>
      <w:r w:rsidR="005E0CAB">
        <w:rPr>
          <w:rStyle w:val="FootnoteReference"/>
        </w:rPr>
        <w:footnoteReference w:id="50"/>
      </w:r>
      <w:r w:rsidR="000278C1">
        <w:rPr>
          <w:rStyle w:val="AERbody"/>
        </w:rPr>
        <w:t xml:space="preserve"> </w:t>
      </w:r>
      <w:r w:rsidR="005E0CAB">
        <w:rPr>
          <w:rStyle w:val="AERbody"/>
        </w:rPr>
        <w:t>SACOSS considered</w:t>
      </w:r>
      <w:r w:rsidR="005E0CAB" w:rsidRPr="00B91A14">
        <w:rPr>
          <w:rStyle w:val="AERbody"/>
        </w:rPr>
        <w:t xml:space="preserve"> that the cost of </w:t>
      </w:r>
      <w:r w:rsidR="005E0CAB">
        <w:rPr>
          <w:rStyle w:val="AERbody"/>
        </w:rPr>
        <w:t>the inlet data capture project wa</w:t>
      </w:r>
      <w:r w:rsidR="005E0CAB" w:rsidRPr="00B91A14">
        <w:rPr>
          <w:rStyle w:val="AERbody"/>
        </w:rPr>
        <w:t>s sufficiently small relative to the total opex allowance over the 2016</w:t>
      </w:r>
      <w:r w:rsidR="00996451">
        <w:rPr>
          <w:rStyle w:val="AERbody"/>
        </w:rPr>
        <w:t>–</w:t>
      </w:r>
      <w:r w:rsidR="005E0CAB" w:rsidRPr="00B91A14">
        <w:rPr>
          <w:rStyle w:val="AERbody"/>
        </w:rPr>
        <w:t xml:space="preserve">21 access arrangement </w:t>
      </w:r>
      <w:proofErr w:type="gramStart"/>
      <w:r w:rsidR="005E0CAB" w:rsidRPr="00B91A14">
        <w:rPr>
          <w:rStyle w:val="AERbody"/>
        </w:rPr>
        <w:t>period</w:t>
      </w:r>
      <w:proofErr w:type="gramEnd"/>
      <w:r w:rsidR="005E0CAB" w:rsidRPr="00B91A14">
        <w:rPr>
          <w:rStyle w:val="AERbody"/>
        </w:rPr>
        <w:t xml:space="preserve"> of $358.8m that it might be best considered part of the general opex allowance.</w:t>
      </w:r>
      <w:r w:rsidR="000278C1">
        <w:rPr>
          <w:rStyle w:val="FootnoteReference"/>
        </w:rPr>
        <w:footnoteReference w:id="51"/>
      </w:r>
    </w:p>
    <w:p w:rsidR="00564BF3" w:rsidRDefault="000278C1" w:rsidP="000278C1">
      <w:pPr>
        <w:rPr>
          <w:rStyle w:val="AERbody"/>
        </w:rPr>
      </w:pPr>
      <w:r>
        <w:rPr>
          <w:rStyle w:val="AERbody"/>
        </w:rPr>
        <w:t>The Consumer Challenge Panel also agreed with this aspect of the AER's draft decision</w:t>
      </w:r>
      <w:r w:rsidR="00996451">
        <w:rPr>
          <w:rStyle w:val="AERbody"/>
        </w:rPr>
        <w:t>,</w:t>
      </w:r>
      <w:r>
        <w:rPr>
          <w:rStyle w:val="AERbody"/>
        </w:rPr>
        <w:t xml:space="preserve"> stating they expected </w:t>
      </w:r>
      <w:r w:rsidRPr="000278C1">
        <w:t>that a prudent and efficient network business operator capturing information about the</w:t>
      </w:r>
      <w:r>
        <w:t xml:space="preserve"> </w:t>
      </w:r>
      <w:r w:rsidRPr="000278C1">
        <w:t xml:space="preserve">location and condition of its assets </w:t>
      </w:r>
      <w:r>
        <w:t xml:space="preserve">was </w:t>
      </w:r>
      <w:r w:rsidRPr="000278C1">
        <w:t xml:space="preserve">an ongoing ‘business as usual’ activity, and should </w:t>
      </w:r>
      <w:r>
        <w:t xml:space="preserve">not </w:t>
      </w:r>
      <w:r w:rsidRPr="000278C1">
        <w:t>be considered as a step change.</w:t>
      </w:r>
      <w:r>
        <w:rPr>
          <w:rStyle w:val="FootnoteReference"/>
        </w:rPr>
        <w:footnoteReference w:id="52"/>
      </w:r>
      <w:r w:rsidRPr="000278C1">
        <w:t xml:space="preserve"> </w:t>
      </w:r>
    </w:p>
    <w:p w:rsidR="008C76DB" w:rsidRDefault="00E36453" w:rsidP="00564BF3">
      <w:r>
        <w:t xml:space="preserve">We </w:t>
      </w:r>
      <w:r w:rsidR="00A42391">
        <w:t xml:space="preserve">acknowledge </w:t>
      </w:r>
      <w:r w:rsidR="00564BF3">
        <w:t>AGN's proposed data inlet capture project</w:t>
      </w:r>
      <w:r w:rsidR="00E34AA4">
        <w:t xml:space="preserve"> will</w:t>
      </w:r>
      <w:r w:rsidR="00564BF3">
        <w:t xml:space="preserve"> improve the safety of services by facilitating access in the event of an emergency. This, in turn, </w:t>
      </w:r>
      <w:r w:rsidR="00E34AA4">
        <w:t xml:space="preserve">will </w:t>
      </w:r>
      <w:r w:rsidR="00564BF3">
        <w:t>reduce the risk of damage to AGN's network and third parties</w:t>
      </w:r>
      <w:r w:rsidR="000B3363">
        <w:t xml:space="preserve">. We also recognise that this project is </w:t>
      </w:r>
      <w:r w:rsidR="00275E3B">
        <w:t xml:space="preserve">prudent and </w:t>
      </w:r>
      <w:r w:rsidR="000B3363">
        <w:t>consistent with good industry practice.</w:t>
      </w:r>
      <w:r w:rsidR="00DB7DC7">
        <w:rPr>
          <w:rStyle w:val="FootnoteReference"/>
        </w:rPr>
        <w:footnoteReference w:id="53"/>
      </w:r>
      <w:r w:rsidR="000B3363">
        <w:t xml:space="preserve"> However, </w:t>
      </w:r>
      <w:r w:rsidR="00D126CA">
        <w:t xml:space="preserve">as </w:t>
      </w:r>
      <w:r w:rsidR="00E34AA4" w:rsidRPr="00564BF3">
        <w:rPr>
          <w:rStyle w:val="AERbody"/>
        </w:rPr>
        <w:t>there are no new regulatory obligations</w:t>
      </w:r>
      <w:r w:rsidR="00E34AA4">
        <w:rPr>
          <w:rStyle w:val="AERbody"/>
        </w:rPr>
        <w:t xml:space="preserve"> or</w:t>
      </w:r>
      <w:r w:rsidR="00E34AA4" w:rsidRPr="00564BF3">
        <w:rPr>
          <w:rStyle w:val="AERbody"/>
        </w:rPr>
        <w:t xml:space="preserve"> other exogenous circumstances</w:t>
      </w:r>
      <w:r w:rsidR="00E34AA4">
        <w:rPr>
          <w:rStyle w:val="AERbody"/>
        </w:rPr>
        <w:t xml:space="preserve"> underpinning AGN's proposal to capture inlet data, </w:t>
      </w:r>
      <w:r w:rsidR="000B3363">
        <w:t xml:space="preserve">we </w:t>
      </w:r>
      <w:r w:rsidR="00E34AA4">
        <w:t xml:space="preserve">maintain our draft decision </w:t>
      </w:r>
      <w:r w:rsidR="002A4B56">
        <w:t xml:space="preserve">position that this project </w:t>
      </w:r>
      <w:r w:rsidR="00275E3B">
        <w:t xml:space="preserve">is </w:t>
      </w:r>
      <w:r w:rsidR="00E34AA4">
        <w:t xml:space="preserve">discretionary. </w:t>
      </w:r>
    </w:p>
    <w:p w:rsidR="00275E3B" w:rsidRDefault="00B62111" w:rsidP="00275E3B">
      <w:pPr>
        <w:rPr>
          <w:rStyle w:val="AERbody"/>
        </w:rPr>
      </w:pPr>
      <w:r>
        <w:rPr>
          <w:rStyle w:val="AERbody"/>
        </w:rPr>
        <w:t>Generally, an efficient base level of opex (rolled forward each year with an appropriate rate of change) is sufficient for a prudent and efficient service provider to meet all existing regulatory and service obligations. I</w:t>
      </w:r>
      <w:r w:rsidR="00275E3B">
        <w:rPr>
          <w:rStyle w:val="AERbody"/>
        </w:rPr>
        <w:t>n our view</w:t>
      </w:r>
      <w:r w:rsidR="00D17792">
        <w:rPr>
          <w:rStyle w:val="AERbody"/>
        </w:rPr>
        <w:t>,</w:t>
      </w:r>
      <w:r w:rsidR="00275E3B">
        <w:rPr>
          <w:rStyle w:val="AERbody"/>
        </w:rPr>
        <w:t xml:space="preserve"> </w:t>
      </w:r>
      <w:r>
        <w:rPr>
          <w:rStyle w:val="AERbody"/>
        </w:rPr>
        <w:t xml:space="preserve">AGN's </w:t>
      </w:r>
      <w:r w:rsidR="008C76DB" w:rsidRPr="008C76DB">
        <w:rPr>
          <w:rStyle w:val="AERbody"/>
        </w:rPr>
        <w:t xml:space="preserve">base opex already includes the cost of maintaining the quality, safety, reliability and security of supply of </w:t>
      </w:r>
      <w:r w:rsidR="00643A88">
        <w:rPr>
          <w:rStyle w:val="AERbody"/>
        </w:rPr>
        <w:t>AGN's gas system</w:t>
      </w:r>
      <w:r w:rsidR="008C76DB" w:rsidRPr="008C76DB">
        <w:rPr>
          <w:rStyle w:val="AERbody"/>
        </w:rPr>
        <w:t xml:space="preserve">. </w:t>
      </w:r>
      <w:r>
        <w:rPr>
          <w:rStyle w:val="AERbody"/>
        </w:rPr>
        <w:t>Therefore, w</w:t>
      </w:r>
      <w:r w:rsidR="00F551E4">
        <w:rPr>
          <w:rStyle w:val="AERbody"/>
        </w:rPr>
        <w:t>hile we do not accept this step change</w:t>
      </w:r>
      <w:r w:rsidR="00D17792">
        <w:rPr>
          <w:rStyle w:val="AERbody"/>
        </w:rPr>
        <w:t>,</w:t>
      </w:r>
      <w:r w:rsidR="00F551E4">
        <w:rPr>
          <w:rStyle w:val="AERbody"/>
        </w:rPr>
        <w:t xml:space="preserve"> w</w:t>
      </w:r>
      <w:r w:rsidR="008C76DB" w:rsidRPr="008C76DB">
        <w:rPr>
          <w:rStyle w:val="AERbody"/>
        </w:rPr>
        <w:t xml:space="preserve">e </w:t>
      </w:r>
      <w:r w:rsidR="00275E3B" w:rsidRPr="00564BF3">
        <w:rPr>
          <w:rStyle w:val="AERbody"/>
        </w:rPr>
        <w:t xml:space="preserve">consider </w:t>
      </w:r>
      <w:r w:rsidR="00D126CA">
        <w:rPr>
          <w:rStyle w:val="AERbody"/>
        </w:rPr>
        <w:t xml:space="preserve">it is open to AGN to </w:t>
      </w:r>
      <w:r w:rsidR="00F551E4">
        <w:rPr>
          <w:rStyle w:val="AERbody"/>
        </w:rPr>
        <w:t>re</w:t>
      </w:r>
      <w:r w:rsidR="00F551E4" w:rsidRPr="00564BF3">
        <w:rPr>
          <w:rStyle w:val="AERbody"/>
        </w:rPr>
        <w:t>-prioritis</w:t>
      </w:r>
      <w:r w:rsidR="00F551E4">
        <w:rPr>
          <w:rStyle w:val="AERbody"/>
        </w:rPr>
        <w:t>e</w:t>
      </w:r>
      <w:r w:rsidR="00F551E4" w:rsidRPr="00564BF3">
        <w:rPr>
          <w:rStyle w:val="AERbody"/>
        </w:rPr>
        <w:t xml:space="preserve"> its opex budget</w:t>
      </w:r>
      <w:r w:rsidR="00F551E4">
        <w:rPr>
          <w:rStyle w:val="AERbody"/>
        </w:rPr>
        <w:t xml:space="preserve"> to accommodate expenditure on this project</w:t>
      </w:r>
      <w:r w:rsidR="00F551E4" w:rsidRPr="00564BF3">
        <w:rPr>
          <w:rStyle w:val="AERbody"/>
        </w:rPr>
        <w:t>.</w:t>
      </w:r>
      <w:r w:rsidR="00F551E4">
        <w:rPr>
          <w:rStyle w:val="FootnoteReference"/>
        </w:rPr>
        <w:footnoteReference w:id="54"/>
      </w:r>
      <w:r w:rsidR="00F551E4" w:rsidRPr="00564BF3">
        <w:rPr>
          <w:rStyle w:val="AERbody"/>
        </w:rPr>
        <w:t xml:space="preserve"> </w:t>
      </w:r>
    </w:p>
    <w:p w:rsidR="00361C23" w:rsidRDefault="00361C23" w:rsidP="002D3F30">
      <w:pPr>
        <w:pStyle w:val="Heading4"/>
      </w:pPr>
      <w:r>
        <w:t xml:space="preserve">Ongoing </w:t>
      </w:r>
      <w:r w:rsidR="00643A88">
        <w:t xml:space="preserve">HDPE </w:t>
      </w:r>
      <w:r>
        <w:t xml:space="preserve">risk management </w:t>
      </w:r>
    </w:p>
    <w:p w:rsidR="005847AB" w:rsidRDefault="00B01E4E" w:rsidP="00DB173D">
      <w:r>
        <w:t>In our draft decision</w:t>
      </w:r>
      <w:r w:rsidR="00D17792">
        <w:t>,</w:t>
      </w:r>
      <w:r>
        <w:t xml:space="preserve"> we did not accept the ongoing </w:t>
      </w:r>
      <w:r w:rsidR="00643A88">
        <w:t xml:space="preserve">HDPE </w:t>
      </w:r>
      <w:r>
        <w:t xml:space="preserve">risk management project </w:t>
      </w:r>
      <w:r w:rsidR="00A366A7">
        <w:t xml:space="preserve">(SA54) </w:t>
      </w:r>
      <w:r>
        <w:t>as a step change</w:t>
      </w:r>
      <w:r w:rsidR="00A366A7">
        <w:t xml:space="preserve"> on the basis that AGN had not provided sufficient information appropriately quantifying the risks upon which the step change was predicated</w:t>
      </w:r>
      <w:r>
        <w:t>.</w:t>
      </w:r>
      <w:r w:rsidR="00A366A7">
        <w:rPr>
          <w:rStyle w:val="FootnoteReference"/>
        </w:rPr>
        <w:footnoteReference w:id="55"/>
      </w:r>
    </w:p>
    <w:p w:rsidR="00DB173D" w:rsidRPr="00DB173D" w:rsidRDefault="00CA1011" w:rsidP="00DB173D">
      <w:r>
        <w:t xml:space="preserve">In its revised proposal </w:t>
      </w:r>
      <w:r w:rsidR="00EA779B">
        <w:t xml:space="preserve">AGN </w:t>
      </w:r>
      <w:r w:rsidR="00891AFE">
        <w:t xml:space="preserve">indicated </w:t>
      </w:r>
      <w:r w:rsidR="00EA779B">
        <w:t xml:space="preserve">the proposed </w:t>
      </w:r>
      <w:r w:rsidR="00DB173D" w:rsidRPr="00DB173D">
        <w:t xml:space="preserve">Business Intelligence Initiative (SA60) project will provide </w:t>
      </w:r>
      <w:r w:rsidR="005847AB">
        <w:t xml:space="preserve">it </w:t>
      </w:r>
      <w:r w:rsidR="00DB173D" w:rsidRPr="00DB173D">
        <w:t xml:space="preserve">with a similar </w:t>
      </w:r>
      <w:r w:rsidR="00EA779B">
        <w:t xml:space="preserve">capability as </w:t>
      </w:r>
      <w:r w:rsidR="0055458D" w:rsidRPr="0055458D">
        <w:t xml:space="preserve">sought </w:t>
      </w:r>
      <w:r w:rsidR="009308CB">
        <w:t xml:space="preserve">by </w:t>
      </w:r>
      <w:r w:rsidR="00DE2782">
        <w:t>SA54</w:t>
      </w:r>
      <w:r w:rsidR="0055458D" w:rsidRPr="0055458D">
        <w:t>.</w:t>
      </w:r>
      <w:r>
        <w:t xml:space="preserve"> </w:t>
      </w:r>
      <w:r w:rsidR="00660C7F">
        <w:t xml:space="preserve">This capex project involves integrating a business intelligence toolset into </w:t>
      </w:r>
      <w:r w:rsidR="0003186E">
        <w:t xml:space="preserve">AGN's </w:t>
      </w:r>
      <w:r w:rsidR="002B1923">
        <w:t>e</w:t>
      </w:r>
      <w:r w:rsidR="00660C7F">
        <w:t>nterprise business applications leading to improved data quality, streamlined reporting and greater access to information to enable more information and efficient decisions. It is estimated to cost $8.7 million ($2015</w:t>
      </w:r>
      <w:r w:rsidR="00CB7551">
        <w:t>–</w:t>
      </w:r>
      <w:r w:rsidR="00660C7F">
        <w:t>16).</w:t>
      </w:r>
      <w:r w:rsidR="0003186E">
        <w:rPr>
          <w:rStyle w:val="FootnoteReference"/>
        </w:rPr>
        <w:footnoteReference w:id="56"/>
      </w:r>
      <w:r w:rsidR="00660C7F">
        <w:t xml:space="preserve"> </w:t>
      </w:r>
      <w:r>
        <w:t>AGN</w:t>
      </w:r>
      <w:r w:rsidR="0003186E">
        <w:t>, in its revised proposal, stated</w:t>
      </w:r>
      <w:r>
        <w:t xml:space="preserve"> that if SA60 was accepted by the AER th</w:t>
      </w:r>
      <w:r w:rsidR="0003186E">
        <w:t>e ongoing HDPE risk management project (SA54)</w:t>
      </w:r>
      <w:r>
        <w:t xml:space="preserve"> step change would not be required.</w:t>
      </w:r>
      <w:r w:rsidR="00CF21EA">
        <w:rPr>
          <w:rStyle w:val="FootnoteReference"/>
        </w:rPr>
        <w:footnoteReference w:id="57"/>
      </w:r>
      <w:r w:rsidR="00DB173D" w:rsidRPr="00DB173D">
        <w:t xml:space="preserve">  </w:t>
      </w:r>
    </w:p>
    <w:p w:rsidR="00DB173D" w:rsidRDefault="00EA779B" w:rsidP="00DB173D">
      <w:r>
        <w:t xml:space="preserve">We have not included the </w:t>
      </w:r>
      <w:r w:rsidRPr="00EA779B">
        <w:t xml:space="preserve">ongoing </w:t>
      </w:r>
      <w:r w:rsidR="00DE2782">
        <w:t xml:space="preserve">HDPE </w:t>
      </w:r>
      <w:r w:rsidRPr="00EA779B">
        <w:t xml:space="preserve">risk management project </w:t>
      </w:r>
      <w:r>
        <w:t xml:space="preserve">in our total opex forecast. </w:t>
      </w:r>
      <w:r w:rsidR="0055458D">
        <w:t>As discussed in attachment 6</w:t>
      </w:r>
      <w:r w:rsidR="00B9376E">
        <w:t>,</w:t>
      </w:r>
      <w:r w:rsidR="0055458D">
        <w:t xml:space="preserve"> w</w:t>
      </w:r>
      <w:r w:rsidR="00A36106">
        <w:t xml:space="preserve">e </w:t>
      </w:r>
      <w:r w:rsidR="00CA1011">
        <w:t>have accepted</w:t>
      </w:r>
      <w:r w:rsidR="00A36106">
        <w:t xml:space="preserve"> the Business Intelligence Project (SA60)</w:t>
      </w:r>
      <w:r w:rsidR="00756186">
        <w:rPr>
          <w:rStyle w:val="FootnoteReference"/>
        </w:rPr>
        <w:footnoteReference w:id="58"/>
      </w:r>
      <w:r>
        <w:t xml:space="preserve"> and, therefore, we have not re-assessed AGN's </w:t>
      </w:r>
      <w:r w:rsidRPr="00EA779B">
        <w:t xml:space="preserve">ongoing </w:t>
      </w:r>
      <w:r w:rsidR="00DE2782">
        <w:t xml:space="preserve">HDPE </w:t>
      </w:r>
      <w:r w:rsidRPr="00EA779B">
        <w:t>risk management project</w:t>
      </w:r>
      <w:r w:rsidR="00DB173D" w:rsidRPr="00DB173D">
        <w:t xml:space="preserve">. </w:t>
      </w:r>
    </w:p>
    <w:p w:rsidR="00361C23" w:rsidRPr="00410DB2" w:rsidRDefault="002D3F30" w:rsidP="00FF6564">
      <w:pPr>
        <w:pStyle w:val="Heading4"/>
        <w:rPr>
          <w:rStyle w:val="AERbody"/>
          <w:color w:val="51626F"/>
          <w:sz w:val="24"/>
        </w:rPr>
      </w:pPr>
      <w:r w:rsidRPr="00410DB2">
        <w:rPr>
          <w:rStyle w:val="AERbody"/>
          <w:color w:val="51626F"/>
          <w:sz w:val="24"/>
        </w:rPr>
        <w:t xml:space="preserve">Capex projects </w:t>
      </w:r>
      <w:r w:rsidR="00DE2782" w:rsidRPr="00410DB2">
        <w:rPr>
          <w:rStyle w:val="AERbody"/>
          <w:color w:val="51626F"/>
          <w:sz w:val="24"/>
        </w:rPr>
        <w:t>re</w:t>
      </w:r>
      <w:r w:rsidR="00410DB2" w:rsidRPr="00FF6564">
        <w:rPr>
          <w:rStyle w:val="AERbody"/>
          <w:color w:val="51626F"/>
          <w:sz w:val="24"/>
        </w:rPr>
        <w:t>-</w:t>
      </w:r>
      <w:r w:rsidR="00DE2782" w:rsidRPr="00410DB2">
        <w:rPr>
          <w:rStyle w:val="AERbody"/>
          <w:color w:val="51626F"/>
          <w:sz w:val="24"/>
        </w:rPr>
        <w:t xml:space="preserve">categorised </w:t>
      </w:r>
      <w:r w:rsidRPr="00410DB2">
        <w:rPr>
          <w:rStyle w:val="AERbody"/>
          <w:color w:val="51626F"/>
          <w:sz w:val="24"/>
        </w:rPr>
        <w:t>as opex</w:t>
      </w:r>
    </w:p>
    <w:p w:rsidR="00CC1F8C" w:rsidRDefault="00DB173D" w:rsidP="00DB173D">
      <w:r w:rsidRPr="00DB173D">
        <w:t xml:space="preserve">In our draft decision we re-categorised three capex </w:t>
      </w:r>
      <w:r w:rsidR="00DE2782">
        <w:t>projects as</w:t>
      </w:r>
      <w:r w:rsidRPr="00DB173D">
        <w:t xml:space="preserve"> opex. </w:t>
      </w:r>
      <w:r w:rsidR="00821541">
        <w:t>We adjusted our base year opex for two of these projects</w:t>
      </w:r>
      <w:r w:rsidR="002C016F">
        <w:t>.</w:t>
      </w:r>
      <w:r w:rsidR="002C016F">
        <w:rPr>
          <w:rStyle w:val="FootnoteReference"/>
        </w:rPr>
        <w:footnoteReference w:id="59"/>
      </w:r>
      <w:r w:rsidR="002C016F">
        <w:t xml:space="preserve"> </w:t>
      </w:r>
      <w:r w:rsidR="00B9738A">
        <w:t xml:space="preserve">In relation to the </w:t>
      </w:r>
      <w:r w:rsidR="002C016F">
        <w:t xml:space="preserve">third project </w:t>
      </w:r>
      <w:r w:rsidR="00B9738A">
        <w:t>(V</w:t>
      </w:r>
      <w:r w:rsidR="002C016F">
        <w:t xml:space="preserve">alve </w:t>
      </w:r>
      <w:r w:rsidR="00B9738A">
        <w:t>Corrosion P</w:t>
      </w:r>
      <w:r w:rsidR="002C016F">
        <w:t>rotection (SA09)</w:t>
      </w:r>
      <w:r w:rsidR="00B9738A">
        <w:t xml:space="preserve">) we indicated in our draft decision that </w:t>
      </w:r>
      <w:r w:rsidR="002C016F">
        <w:t xml:space="preserve">we </w:t>
      </w:r>
      <w:r w:rsidR="0010299C">
        <w:t xml:space="preserve">were not satisfied that </w:t>
      </w:r>
      <w:r w:rsidR="002C016F">
        <w:t xml:space="preserve">AGN, acting as a prudent and efficient service provider, </w:t>
      </w:r>
      <w:r w:rsidR="0010299C">
        <w:t xml:space="preserve">would </w:t>
      </w:r>
      <w:r w:rsidR="00B9738A">
        <w:t>need to</w:t>
      </w:r>
      <w:r w:rsidR="0010299C">
        <w:t xml:space="preserve"> seek additional funding from consumers for this project abo</w:t>
      </w:r>
      <w:r w:rsidR="00B9738A">
        <w:t>ve</w:t>
      </w:r>
      <w:r w:rsidR="0010299C">
        <w:t xml:space="preserve"> an efficient base amount of opex.</w:t>
      </w:r>
      <w:r w:rsidR="0010299C">
        <w:rPr>
          <w:rStyle w:val="FootnoteReference"/>
        </w:rPr>
        <w:footnoteReference w:id="60"/>
      </w:r>
      <w:r w:rsidR="0010299C">
        <w:t xml:space="preserve"> </w:t>
      </w:r>
    </w:p>
    <w:p w:rsidR="00F12DA0" w:rsidRDefault="00CC1F8C" w:rsidP="00DB173D">
      <w:r>
        <w:t xml:space="preserve">AGN's revised proposal </w:t>
      </w:r>
      <w:r w:rsidR="00891AFE">
        <w:t xml:space="preserve">accepted </w:t>
      </w:r>
      <w:r>
        <w:t>the re-</w:t>
      </w:r>
      <w:r w:rsidR="00DE2782">
        <w:t xml:space="preserve">categorisation </w:t>
      </w:r>
      <w:r>
        <w:t xml:space="preserve">of the first two projects to opex and their incorporation into the base year </w:t>
      </w:r>
      <w:r w:rsidR="0097356D">
        <w:t xml:space="preserve">as set out in </w:t>
      </w:r>
      <w:r>
        <w:t>our draft decision.</w:t>
      </w:r>
      <w:r>
        <w:rPr>
          <w:rStyle w:val="FootnoteReference"/>
        </w:rPr>
        <w:footnoteReference w:id="61"/>
      </w:r>
      <w:r>
        <w:t xml:space="preserve"> </w:t>
      </w:r>
      <w:r w:rsidR="00471B5F">
        <w:t xml:space="preserve">However, </w:t>
      </w:r>
      <w:r w:rsidR="00DB173D" w:rsidRPr="00DB173D">
        <w:t>AGN</w:t>
      </w:r>
      <w:r w:rsidR="00E65451">
        <w:t xml:space="preserve"> </w:t>
      </w:r>
      <w:r>
        <w:t xml:space="preserve">did </w:t>
      </w:r>
      <w:r w:rsidR="00DB173D" w:rsidRPr="00DB173D">
        <w:t>not accept the re-cate</w:t>
      </w:r>
      <w:r w:rsidR="00B9738A">
        <w:t>gorisation of the Valve Corrosion</w:t>
      </w:r>
      <w:r w:rsidR="00DB173D" w:rsidRPr="00DB173D">
        <w:t xml:space="preserve"> Protection (SA09) project. AGN</w:t>
      </w:r>
      <w:r w:rsidR="00134D68">
        <w:t xml:space="preserve"> </w:t>
      </w:r>
      <w:r w:rsidR="00DB173D" w:rsidRPr="00DB173D">
        <w:t>submit</w:t>
      </w:r>
      <w:r w:rsidR="00821541">
        <w:t>ted</w:t>
      </w:r>
      <w:r w:rsidR="00DB173D" w:rsidRPr="00DB173D">
        <w:t xml:space="preserve"> this project should be categorised as capex because the project involves work that is major and </w:t>
      </w:r>
      <w:r w:rsidR="00D10BEE" w:rsidRPr="00DB173D">
        <w:t>involves</w:t>
      </w:r>
      <w:r w:rsidR="00DB173D" w:rsidRPr="00DB173D">
        <w:t xml:space="preserve"> infrequent repair rather than routine maintenance.</w:t>
      </w:r>
      <w:r w:rsidR="00DB173D" w:rsidRPr="00DB173D">
        <w:rPr>
          <w:rStyle w:val="FootnoteReference"/>
        </w:rPr>
        <w:t xml:space="preserve"> </w:t>
      </w:r>
      <w:r w:rsidR="00DB173D" w:rsidRPr="00DB173D">
        <w:rPr>
          <w:rStyle w:val="FootnoteReference"/>
        </w:rPr>
        <w:footnoteReference w:id="62"/>
      </w:r>
      <w:r w:rsidR="00E65451">
        <w:t xml:space="preserve"> </w:t>
      </w:r>
    </w:p>
    <w:p w:rsidR="00CC1F8C" w:rsidRDefault="00E65451" w:rsidP="00F12DA0">
      <w:r>
        <w:t>Following our review of AGN's revised proposal</w:t>
      </w:r>
      <w:r w:rsidR="00CF088C">
        <w:t>,</w:t>
      </w:r>
      <w:r>
        <w:t xml:space="preserve"> w</w:t>
      </w:r>
      <w:r w:rsidR="00526D8A">
        <w:t xml:space="preserve">e sought </w:t>
      </w:r>
      <w:r w:rsidR="00DE2782">
        <w:t xml:space="preserve">further </w:t>
      </w:r>
      <w:r w:rsidR="00526D8A">
        <w:t xml:space="preserve">clarification from AGN on its </w:t>
      </w:r>
      <w:r w:rsidR="00DE2782">
        <w:t xml:space="preserve">categorisation </w:t>
      </w:r>
      <w:r w:rsidR="00526D8A">
        <w:t>of this project in light of its treatment as opex in the current access arrangement period.</w:t>
      </w:r>
      <w:r w:rsidR="00526D8A">
        <w:rPr>
          <w:rStyle w:val="FootnoteReference"/>
        </w:rPr>
        <w:footnoteReference w:id="63"/>
      </w:r>
      <w:r w:rsidR="00526D8A">
        <w:t xml:space="preserve"> In response to our information request, AGN reviewed </w:t>
      </w:r>
      <w:r w:rsidR="00F12DA0">
        <w:t xml:space="preserve">its </w:t>
      </w:r>
      <w:r w:rsidR="00DE2782">
        <w:t xml:space="preserve">categorisation </w:t>
      </w:r>
      <w:r w:rsidR="00F12DA0">
        <w:t xml:space="preserve">of this project and </w:t>
      </w:r>
      <w:r w:rsidR="00526D8A">
        <w:t xml:space="preserve">agreed to accept the AER's draft decision to </w:t>
      </w:r>
      <w:r w:rsidR="00DE2782">
        <w:t xml:space="preserve">categorise </w:t>
      </w:r>
      <w:r w:rsidR="00526D8A">
        <w:t>this project as opex.</w:t>
      </w:r>
      <w:r w:rsidR="008B510C">
        <w:rPr>
          <w:rStyle w:val="FootnoteReference"/>
        </w:rPr>
        <w:footnoteReference w:id="64"/>
      </w:r>
      <w:r w:rsidR="00526D8A">
        <w:t xml:space="preserve"> </w:t>
      </w:r>
      <w:r w:rsidR="00821541">
        <w:t xml:space="preserve">AGN </w:t>
      </w:r>
      <w:r w:rsidR="00E119AD">
        <w:t>confirmed the amount of $397,308 should be removed from conforming capex and a</w:t>
      </w:r>
      <w:r w:rsidR="00B01E4E">
        <w:t xml:space="preserve">djusted </w:t>
      </w:r>
      <w:r w:rsidRPr="00E65451">
        <w:t>the opex totals for 2013</w:t>
      </w:r>
      <w:r w:rsidR="00CF088C">
        <w:t>–</w:t>
      </w:r>
      <w:r w:rsidRPr="00E65451">
        <w:t>14, 2014</w:t>
      </w:r>
      <w:r w:rsidR="00CF088C">
        <w:t>–</w:t>
      </w:r>
      <w:r w:rsidRPr="00E65451">
        <w:t>15 and 2015</w:t>
      </w:r>
      <w:r w:rsidR="00CF088C">
        <w:t>–</w:t>
      </w:r>
      <w:r w:rsidRPr="00E65451">
        <w:t>16 to reflect the reallocation of this project to opex.</w:t>
      </w:r>
      <w:r w:rsidR="008B510C">
        <w:rPr>
          <w:rStyle w:val="FootnoteReference"/>
        </w:rPr>
        <w:footnoteReference w:id="65"/>
      </w:r>
      <w:r w:rsidR="00821541">
        <w:t xml:space="preserve"> </w:t>
      </w:r>
    </w:p>
    <w:p w:rsidR="00A70417" w:rsidRDefault="00CC1F8C" w:rsidP="00F12DA0">
      <w:r>
        <w:t>We accept AGN</w:t>
      </w:r>
      <w:r w:rsidR="00E119AD">
        <w:t xml:space="preserve">'s adjustment to </w:t>
      </w:r>
      <w:r w:rsidR="00391DF3">
        <w:t xml:space="preserve">its current </w:t>
      </w:r>
      <w:proofErr w:type="gramStart"/>
      <w:r w:rsidR="00391DF3">
        <w:t xml:space="preserve">period </w:t>
      </w:r>
      <w:r w:rsidR="00E119AD">
        <w:t xml:space="preserve"> opex</w:t>
      </w:r>
      <w:proofErr w:type="gramEnd"/>
      <w:r w:rsidR="00E119AD">
        <w:t xml:space="preserve"> and have updated our </w:t>
      </w:r>
      <w:r>
        <w:t xml:space="preserve">opex model </w:t>
      </w:r>
      <w:r w:rsidR="00E119AD">
        <w:t xml:space="preserve">to reflect AGN's </w:t>
      </w:r>
      <w:r>
        <w:t>correction in our final decision.</w:t>
      </w:r>
      <w:r>
        <w:rPr>
          <w:rStyle w:val="FootnoteReference"/>
        </w:rPr>
        <w:footnoteReference w:id="66"/>
      </w:r>
      <w:r>
        <w:t xml:space="preserve"> </w:t>
      </w:r>
    </w:p>
    <w:p w:rsidR="002D3F30" w:rsidRDefault="002D3F30" w:rsidP="002D3F30">
      <w:pPr>
        <w:pStyle w:val="Heading3"/>
      </w:pPr>
      <w:bookmarkStart w:id="56" w:name="_Ref441823931"/>
      <w:bookmarkStart w:id="57" w:name="_Ref441823939"/>
      <w:bookmarkStart w:id="58" w:name="_Ref441826711"/>
      <w:bookmarkStart w:id="59" w:name="_Toc441827423"/>
      <w:bookmarkStart w:id="60" w:name="_Toc451527272"/>
      <w:r>
        <w:t>Category specific forecast</w:t>
      </w:r>
      <w:bookmarkEnd w:id="56"/>
      <w:bookmarkEnd w:id="57"/>
      <w:bookmarkEnd w:id="58"/>
      <w:bookmarkEnd w:id="59"/>
      <w:r>
        <w:t>s</w:t>
      </w:r>
      <w:bookmarkEnd w:id="60"/>
    </w:p>
    <w:p w:rsidR="00B32835" w:rsidRPr="00B32835" w:rsidRDefault="00B32835" w:rsidP="001F7201">
      <w:pPr>
        <w:pStyle w:val="HeadingBoldItalic"/>
      </w:pPr>
      <w:r>
        <w:t>Unaccounted for gas</w:t>
      </w:r>
    </w:p>
    <w:p w:rsidR="00954566" w:rsidRPr="00954566" w:rsidRDefault="001E0ABE" w:rsidP="00954566">
      <w:r>
        <w:t xml:space="preserve">In our draft decision we included </w:t>
      </w:r>
      <w:r w:rsidR="00CE3079">
        <w:t xml:space="preserve">in </w:t>
      </w:r>
      <w:r w:rsidR="00C04FE2" w:rsidRPr="00C04FE2">
        <w:t xml:space="preserve">our total opex forecast </w:t>
      </w:r>
      <w:r w:rsidR="00022E7A">
        <w:t xml:space="preserve">a </w:t>
      </w:r>
      <w:r w:rsidR="002D3F30">
        <w:t>category</w:t>
      </w:r>
      <w:r w:rsidR="00705F46">
        <w:t>-</w:t>
      </w:r>
      <w:r w:rsidR="002D3F30">
        <w:t xml:space="preserve">specific forecast for </w:t>
      </w:r>
      <w:r w:rsidR="00AE5A20">
        <w:t>Unaccounted for gas (</w:t>
      </w:r>
      <w:r w:rsidR="002D3F30">
        <w:t>UAFG</w:t>
      </w:r>
      <w:r w:rsidR="00AE5A20">
        <w:t>)</w:t>
      </w:r>
      <w:r w:rsidR="007D607D">
        <w:t xml:space="preserve"> expenditure</w:t>
      </w:r>
      <w:r w:rsidR="002D3F30">
        <w:t>.</w:t>
      </w:r>
      <w:r w:rsidR="00022E7A">
        <w:rPr>
          <w:rStyle w:val="FootnoteReference"/>
        </w:rPr>
        <w:footnoteReference w:id="67"/>
      </w:r>
      <w:r w:rsidR="002D3F30">
        <w:t xml:space="preserve"> </w:t>
      </w:r>
      <w:r>
        <w:t xml:space="preserve">We also applied a </w:t>
      </w:r>
      <w:r w:rsidR="002D3F30">
        <w:t xml:space="preserve">'true-up' </w:t>
      </w:r>
      <w:r w:rsidR="004B76D3">
        <w:t>adjustment in the tariff variation mechanism</w:t>
      </w:r>
      <w:r>
        <w:t xml:space="preserve"> to address the</w:t>
      </w:r>
      <w:r w:rsidRPr="001E0ABE">
        <w:t xml:space="preserve"> </w:t>
      </w:r>
      <w:r w:rsidR="00E51486">
        <w:t>c</w:t>
      </w:r>
      <w:r>
        <w:t xml:space="preserve">onsiderable uncertainty around forecast gas prices in the 2016–21 </w:t>
      </w:r>
      <w:proofErr w:type="gramStart"/>
      <w:r>
        <w:t>period</w:t>
      </w:r>
      <w:proofErr w:type="gramEnd"/>
      <w:r>
        <w:t>.</w:t>
      </w:r>
      <w:r>
        <w:rPr>
          <w:rStyle w:val="FootnoteReference"/>
        </w:rPr>
        <w:footnoteReference w:id="68"/>
      </w:r>
      <w:r w:rsidR="00830685">
        <w:t xml:space="preserve"> </w:t>
      </w:r>
      <w:r w:rsidR="008B2D25" w:rsidRPr="00891D09">
        <w:rPr>
          <w:rStyle w:val="FootnoteReference"/>
        </w:rPr>
        <w:footnoteReference w:id="69"/>
      </w:r>
    </w:p>
    <w:p w:rsidR="0071132E" w:rsidRDefault="00E51486" w:rsidP="002D3F30">
      <w:r>
        <w:t>AGN</w:t>
      </w:r>
      <w:r w:rsidR="00FC6177">
        <w:t>, in its revised proposal,</w:t>
      </w:r>
      <w:r w:rsidR="00F628EB">
        <w:t xml:space="preserve"> </w:t>
      </w:r>
      <w:r>
        <w:t>accept</w:t>
      </w:r>
      <w:r w:rsidR="00FC6177">
        <w:t>ed</w:t>
      </w:r>
      <w:r>
        <w:t xml:space="preserve"> </w:t>
      </w:r>
      <w:r w:rsidR="00830685">
        <w:t xml:space="preserve">our </w:t>
      </w:r>
      <w:r w:rsidR="00954586">
        <w:t xml:space="preserve">position and </w:t>
      </w:r>
      <w:r w:rsidR="00FC6177">
        <w:t>provide</w:t>
      </w:r>
      <w:r w:rsidR="00954586">
        <w:t>d</w:t>
      </w:r>
      <w:r w:rsidR="00FC6177">
        <w:t xml:space="preserve"> updated UAFG forecast volumes to account for changes in its revised mains replacement program</w:t>
      </w:r>
      <w:r w:rsidR="004B76D3">
        <w:t>.</w:t>
      </w:r>
      <w:r w:rsidR="00F628EB">
        <w:rPr>
          <w:rStyle w:val="FootnoteReference"/>
        </w:rPr>
        <w:footnoteReference w:id="70"/>
      </w:r>
      <w:r w:rsidR="007D6339">
        <w:t xml:space="preserve"> Based</w:t>
      </w:r>
      <w:r w:rsidR="002A6452">
        <w:t xml:space="preserve"> upon these updated volumes</w:t>
      </w:r>
      <w:r w:rsidR="00705F46">
        <w:t>,</w:t>
      </w:r>
      <w:r w:rsidR="002A6452">
        <w:t xml:space="preserve"> AGN's revised forecast of UAFG costs total</w:t>
      </w:r>
      <w:r w:rsidR="007C7FE5">
        <w:t>led</w:t>
      </w:r>
      <w:r w:rsidR="002A6452">
        <w:t xml:space="preserve"> </w:t>
      </w:r>
      <w:r w:rsidR="002A6452" w:rsidRPr="00FC6177">
        <w:t>$</w:t>
      </w:r>
      <w:r w:rsidR="002A6452">
        <w:t>59.85 million ($2015</w:t>
      </w:r>
      <w:r w:rsidR="00705F46">
        <w:t>–</w:t>
      </w:r>
      <w:r w:rsidR="002A6452">
        <w:t>16)</w:t>
      </w:r>
      <w:r w:rsidR="00AC1143">
        <w:t xml:space="preserve">, around </w:t>
      </w:r>
      <w:r w:rsidR="00DE2782">
        <w:t>17 per</w:t>
      </w:r>
      <w:r w:rsidR="00835AE3">
        <w:t xml:space="preserve"> cent</w:t>
      </w:r>
      <w:r w:rsidR="00AC1143">
        <w:t xml:space="preserve"> of total opex</w:t>
      </w:r>
      <w:r w:rsidR="002A6452">
        <w:t xml:space="preserve">.  </w:t>
      </w:r>
    </w:p>
    <w:p w:rsidR="00FC6177" w:rsidRPr="00FC6177" w:rsidRDefault="00FC6177" w:rsidP="00FC6177">
      <w:r w:rsidRPr="00FC6177">
        <w:t>We assessed AGN's revised proposal to determine whether its category</w:t>
      </w:r>
      <w:r w:rsidR="00D60DAD">
        <w:t>-</w:t>
      </w:r>
      <w:r w:rsidRPr="00FC6177">
        <w:t>specific forecast for UAFG should be included in our total opex forecast. Our forecast</w:t>
      </w:r>
      <w:r w:rsidR="000A437E">
        <w:t xml:space="preserve"> of UAFG costs is higher than that proposed by AGN</w:t>
      </w:r>
      <w:r w:rsidR="00B0263F">
        <w:t xml:space="preserve"> in its revised proposal. </w:t>
      </w:r>
      <w:r w:rsidR="00F77473">
        <w:t xml:space="preserve">Our forecast is </w:t>
      </w:r>
      <w:r w:rsidR="00121568">
        <w:t xml:space="preserve">based on </w:t>
      </w:r>
      <w:r w:rsidR="000A437E">
        <w:t xml:space="preserve">revised (lower) UAFG quantities </w:t>
      </w:r>
      <w:r w:rsidR="00B0263F">
        <w:t xml:space="preserve">and </w:t>
      </w:r>
      <w:r w:rsidR="000A437E">
        <w:t xml:space="preserve">higher UAFG prices </w:t>
      </w:r>
      <w:r w:rsidR="00D47C58">
        <w:t>which AGN provided to us in response to an information request.</w:t>
      </w:r>
      <w:r w:rsidR="00D47C58">
        <w:rPr>
          <w:rStyle w:val="FootnoteReference"/>
        </w:rPr>
        <w:footnoteReference w:id="71"/>
      </w:r>
      <w:r w:rsidR="00D47C58">
        <w:t xml:space="preserve"> These revised forecasts were </w:t>
      </w:r>
      <w:r w:rsidR="000A437E">
        <w:t>based on the most up to date data available</w:t>
      </w:r>
      <w:r w:rsidRPr="00FC6177">
        <w:t>.</w:t>
      </w:r>
      <w:r w:rsidR="002B73F8" w:rsidRPr="002B73F8">
        <w:t xml:space="preserve"> </w:t>
      </w:r>
    </w:p>
    <w:p w:rsidR="00FC6177" w:rsidRDefault="0035031D" w:rsidP="00FC6177">
      <w:r>
        <w:fldChar w:fldCharType="begin"/>
      </w:r>
      <w:r>
        <w:instrText xml:space="preserve"> REF _Ref444852048 \h </w:instrText>
      </w:r>
      <w:r>
        <w:fldChar w:fldCharType="separate"/>
      </w:r>
      <w:r w:rsidR="000575AB">
        <w:t xml:space="preserve">Table </w:t>
      </w:r>
      <w:r w:rsidR="000575AB">
        <w:rPr>
          <w:noProof/>
        </w:rPr>
        <w:t>7</w:t>
      </w:r>
      <w:r w:rsidR="000575AB">
        <w:t>.</w:t>
      </w:r>
      <w:r w:rsidR="000575AB">
        <w:rPr>
          <w:noProof/>
        </w:rPr>
        <w:t>8</w:t>
      </w:r>
      <w:r>
        <w:fldChar w:fldCharType="end"/>
      </w:r>
      <w:r>
        <w:t xml:space="preserve"> </w:t>
      </w:r>
      <w:r w:rsidR="00FC6177" w:rsidRPr="00FC6177">
        <w:t xml:space="preserve">contains AGN's revised forecasts for UAFG together with our final decision. </w:t>
      </w:r>
      <w:r w:rsidR="002B73F8" w:rsidRPr="00FC6177">
        <w:t xml:space="preserve">Our reasons </w:t>
      </w:r>
      <w:r w:rsidR="002B73F8">
        <w:t xml:space="preserve">for our decision on UAFG </w:t>
      </w:r>
      <w:r w:rsidR="002B73F8" w:rsidRPr="00FC6177">
        <w:t>are provided below.</w:t>
      </w:r>
    </w:p>
    <w:p w:rsidR="00FC6177" w:rsidRPr="00FC6177" w:rsidRDefault="0035031D" w:rsidP="0035031D">
      <w:pPr>
        <w:pStyle w:val="Caption"/>
      </w:pPr>
      <w:bookmarkStart w:id="61" w:name="_Ref444852048"/>
      <w:proofErr w:type="gramStart"/>
      <w:r>
        <w:t xml:space="preserve">Table </w:t>
      </w:r>
      <w:r w:rsidR="00961E5E">
        <w:fldChar w:fldCharType="begin"/>
      </w:r>
      <w:r w:rsidR="00961E5E">
        <w:instrText xml:space="preserve"> STYLEREF 1 \s </w:instrText>
      </w:r>
      <w:r w:rsidR="00961E5E">
        <w:fldChar w:fldCharType="separate"/>
      </w:r>
      <w:r w:rsidR="004F6349">
        <w:rPr>
          <w:noProof/>
        </w:rPr>
        <w:t>7</w:t>
      </w:r>
      <w:r w:rsidR="00961E5E">
        <w:rPr>
          <w:noProof/>
        </w:rPr>
        <w:fldChar w:fldCharType="end"/>
      </w:r>
      <w:r w:rsidR="004F6349">
        <w:t>.</w:t>
      </w:r>
      <w:proofErr w:type="gramEnd"/>
      <w:r w:rsidR="004F6349">
        <w:fldChar w:fldCharType="begin"/>
      </w:r>
      <w:r w:rsidR="004F6349">
        <w:instrText xml:space="preserve"> SEQ Table \* ARABIC \s 1 </w:instrText>
      </w:r>
      <w:r w:rsidR="004F6349">
        <w:fldChar w:fldCharType="separate"/>
      </w:r>
      <w:r w:rsidR="004F6349">
        <w:rPr>
          <w:noProof/>
        </w:rPr>
        <w:t>8</w:t>
      </w:r>
      <w:r w:rsidR="004F6349">
        <w:fldChar w:fldCharType="end"/>
      </w:r>
      <w:bookmarkEnd w:id="61"/>
      <w:r w:rsidR="00FC6177" w:rsidRPr="00FC6177">
        <w:tab/>
        <w:t>AGN revised proposal and AER final decision - Category specific forecasts UAFG ($2015–16)</w:t>
      </w:r>
    </w:p>
    <w:tbl>
      <w:tblPr>
        <w:tblStyle w:val="AERtable-text0"/>
        <w:tblpPr w:leftFromText="180" w:rightFromText="180" w:vertAnchor="text" w:horzAnchor="margin" w:tblpY="120"/>
        <w:tblW w:w="8897" w:type="dxa"/>
        <w:tblLook w:val="04A0" w:firstRow="1" w:lastRow="0" w:firstColumn="1" w:lastColumn="0" w:noHBand="0" w:noVBand="1"/>
      </w:tblPr>
      <w:tblGrid>
        <w:gridCol w:w="1271"/>
        <w:gridCol w:w="1271"/>
        <w:gridCol w:w="1271"/>
        <w:gridCol w:w="1271"/>
        <w:gridCol w:w="1271"/>
        <w:gridCol w:w="1271"/>
        <w:gridCol w:w="1271"/>
      </w:tblGrid>
      <w:tr w:rsidR="0090772E" w:rsidRPr="0074317B" w:rsidTr="00B61205">
        <w:trPr>
          <w:cnfStyle w:val="100000000000" w:firstRow="1" w:lastRow="0" w:firstColumn="0" w:lastColumn="0" w:oddVBand="0" w:evenVBand="0" w:oddHBand="0" w:evenHBand="0" w:firstRowFirstColumn="0" w:firstRowLastColumn="0" w:lastRowFirstColumn="0" w:lastRowLastColumn="0"/>
        </w:trPr>
        <w:tc>
          <w:tcPr>
            <w:tcW w:w="1271" w:type="dxa"/>
          </w:tcPr>
          <w:p w:rsidR="00FC6177" w:rsidRPr="00FC6177" w:rsidRDefault="00FC6177" w:rsidP="00FC6177">
            <w:r w:rsidRPr="00FC6177">
              <w:t xml:space="preserve">Forecast </w:t>
            </w:r>
          </w:p>
        </w:tc>
        <w:tc>
          <w:tcPr>
            <w:tcW w:w="1271" w:type="dxa"/>
          </w:tcPr>
          <w:p w:rsidR="00FC6177" w:rsidRPr="00FC6177" w:rsidRDefault="00FC6177" w:rsidP="00FC6177">
            <w:pPr>
              <w:numPr>
                <w:ilvl w:val="0"/>
                <w:numId w:val="24"/>
              </w:numPr>
            </w:pPr>
            <w:r w:rsidRPr="00FC6177">
              <w:t>2016–17</w:t>
            </w:r>
          </w:p>
        </w:tc>
        <w:tc>
          <w:tcPr>
            <w:tcW w:w="1271" w:type="dxa"/>
          </w:tcPr>
          <w:p w:rsidR="00FC6177" w:rsidRPr="00FC6177" w:rsidRDefault="00FC6177" w:rsidP="00FC6177">
            <w:r w:rsidRPr="00FC6177">
              <w:t>2017–18</w:t>
            </w:r>
          </w:p>
        </w:tc>
        <w:tc>
          <w:tcPr>
            <w:tcW w:w="1271" w:type="dxa"/>
          </w:tcPr>
          <w:p w:rsidR="00FC6177" w:rsidRPr="00FC6177" w:rsidRDefault="00FC6177" w:rsidP="00FC6177">
            <w:r w:rsidRPr="00FC6177">
              <w:t>2018–19</w:t>
            </w:r>
          </w:p>
        </w:tc>
        <w:tc>
          <w:tcPr>
            <w:tcW w:w="1271" w:type="dxa"/>
          </w:tcPr>
          <w:p w:rsidR="00FC6177" w:rsidRPr="00FC6177" w:rsidRDefault="00FC6177" w:rsidP="00FC6177">
            <w:r w:rsidRPr="00FC6177">
              <w:t>2019–20</w:t>
            </w:r>
          </w:p>
        </w:tc>
        <w:tc>
          <w:tcPr>
            <w:tcW w:w="1271" w:type="dxa"/>
          </w:tcPr>
          <w:p w:rsidR="00FC6177" w:rsidRPr="00FC6177" w:rsidRDefault="00FC6177" w:rsidP="00FC6177">
            <w:pPr>
              <w:numPr>
                <w:ilvl w:val="0"/>
                <w:numId w:val="24"/>
              </w:numPr>
            </w:pPr>
            <w:r w:rsidRPr="00FC6177">
              <w:t>2020–21</w:t>
            </w:r>
          </w:p>
        </w:tc>
        <w:tc>
          <w:tcPr>
            <w:tcW w:w="1271" w:type="dxa"/>
          </w:tcPr>
          <w:p w:rsidR="00FC6177" w:rsidRPr="00FC6177" w:rsidRDefault="00FC6177" w:rsidP="00FC6177">
            <w:pPr>
              <w:numPr>
                <w:ilvl w:val="0"/>
                <w:numId w:val="24"/>
              </w:numPr>
            </w:pPr>
            <w:r w:rsidRPr="00FC6177">
              <w:t>Total (2016–21)</w:t>
            </w:r>
          </w:p>
        </w:tc>
      </w:tr>
      <w:tr w:rsidR="0090772E" w:rsidRPr="0074317B" w:rsidTr="000A437E">
        <w:tc>
          <w:tcPr>
            <w:tcW w:w="8897" w:type="dxa"/>
            <w:gridSpan w:val="7"/>
            <w:vAlign w:val="top"/>
          </w:tcPr>
          <w:p w:rsidR="000A437E" w:rsidRPr="00FC6177" w:rsidRDefault="000A437E" w:rsidP="00FC6177">
            <w:r w:rsidRPr="00FC6177">
              <w:rPr>
                <w:rStyle w:val="Strong"/>
              </w:rPr>
              <w:t xml:space="preserve">AGN revised proposal </w:t>
            </w:r>
          </w:p>
        </w:tc>
      </w:tr>
      <w:tr w:rsidR="0090772E" w:rsidRPr="0074317B" w:rsidTr="00B61205">
        <w:trPr>
          <w:cnfStyle w:val="000000010000" w:firstRow="0" w:lastRow="0" w:firstColumn="0" w:lastColumn="0" w:oddVBand="0" w:evenVBand="0" w:oddHBand="0" w:evenHBand="1" w:firstRowFirstColumn="0" w:firstRowLastColumn="0" w:lastRowFirstColumn="0" w:lastRowLastColumn="0"/>
        </w:trPr>
        <w:tc>
          <w:tcPr>
            <w:tcW w:w="1271" w:type="dxa"/>
            <w:vAlign w:val="top"/>
          </w:tcPr>
          <w:p w:rsidR="00FC6177" w:rsidRPr="00FC6177" w:rsidRDefault="00FC6177" w:rsidP="00FC6177">
            <w:r w:rsidRPr="00FC6177">
              <w:t>UAFG Price $/GJ</w:t>
            </w:r>
          </w:p>
        </w:tc>
        <w:tc>
          <w:tcPr>
            <w:tcW w:w="1271" w:type="dxa"/>
            <w:vAlign w:val="top"/>
          </w:tcPr>
          <w:p w:rsidR="00FC6177" w:rsidRPr="00FC6177" w:rsidRDefault="00FC6177" w:rsidP="00FC6177">
            <w:r w:rsidRPr="00FC6177">
              <w:t>8.81</w:t>
            </w:r>
          </w:p>
        </w:tc>
        <w:tc>
          <w:tcPr>
            <w:tcW w:w="1271" w:type="dxa"/>
            <w:vAlign w:val="top"/>
          </w:tcPr>
          <w:p w:rsidR="00FC6177" w:rsidRPr="00FC6177" w:rsidRDefault="00FC6177" w:rsidP="00FC6177">
            <w:r w:rsidRPr="00FC6177">
              <w:t>9.95</w:t>
            </w:r>
          </w:p>
        </w:tc>
        <w:tc>
          <w:tcPr>
            <w:tcW w:w="1271" w:type="dxa"/>
            <w:vAlign w:val="top"/>
          </w:tcPr>
          <w:p w:rsidR="00FC6177" w:rsidRPr="00FC6177" w:rsidRDefault="00FC6177" w:rsidP="00FC6177">
            <w:r w:rsidRPr="00FC6177">
              <w:t>10.58</w:t>
            </w:r>
          </w:p>
        </w:tc>
        <w:tc>
          <w:tcPr>
            <w:tcW w:w="1271" w:type="dxa"/>
            <w:vAlign w:val="top"/>
          </w:tcPr>
          <w:p w:rsidR="00FC6177" w:rsidRPr="00FC6177" w:rsidRDefault="00FC6177" w:rsidP="00FC6177">
            <w:r w:rsidRPr="00FC6177">
              <w:t>10.58</w:t>
            </w:r>
          </w:p>
        </w:tc>
        <w:tc>
          <w:tcPr>
            <w:tcW w:w="1271" w:type="dxa"/>
            <w:vAlign w:val="top"/>
          </w:tcPr>
          <w:p w:rsidR="00FC6177" w:rsidRPr="00FC6177" w:rsidRDefault="00FC6177" w:rsidP="00FC6177">
            <w:r w:rsidRPr="00FC6177">
              <w:t>10.58</w:t>
            </w:r>
          </w:p>
        </w:tc>
        <w:tc>
          <w:tcPr>
            <w:tcW w:w="1271" w:type="dxa"/>
            <w:vAlign w:val="top"/>
          </w:tcPr>
          <w:p w:rsidR="00FC6177" w:rsidRPr="00FC6177" w:rsidRDefault="00FC6177" w:rsidP="00FC6177"/>
        </w:tc>
      </w:tr>
      <w:tr w:rsidR="0090772E" w:rsidRPr="0074317B" w:rsidTr="00B61205">
        <w:tc>
          <w:tcPr>
            <w:tcW w:w="1271" w:type="dxa"/>
            <w:vAlign w:val="top"/>
          </w:tcPr>
          <w:p w:rsidR="00FC6177" w:rsidRPr="00FC6177" w:rsidRDefault="00FC6177" w:rsidP="00FC6177">
            <w:r w:rsidRPr="00FC6177">
              <w:t>UAFG Volume</w:t>
            </w:r>
          </w:p>
          <w:p w:rsidR="00FC6177" w:rsidRPr="00FC6177" w:rsidRDefault="00FC6177" w:rsidP="00FC6177">
            <w:r w:rsidRPr="00FC6177">
              <w:t>TJ</w:t>
            </w:r>
          </w:p>
        </w:tc>
        <w:tc>
          <w:tcPr>
            <w:tcW w:w="1271" w:type="dxa"/>
            <w:vAlign w:val="top"/>
          </w:tcPr>
          <w:p w:rsidR="00FC6177" w:rsidRPr="00FC6177" w:rsidRDefault="00FC6177" w:rsidP="00FC6177">
            <w:r w:rsidRPr="00FC6177">
              <w:t>1269</w:t>
            </w:r>
          </w:p>
        </w:tc>
        <w:tc>
          <w:tcPr>
            <w:tcW w:w="1271" w:type="dxa"/>
            <w:vAlign w:val="top"/>
          </w:tcPr>
          <w:p w:rsidR="00FC6177" w:rsidRPr="00FC6177" w:rsidRDefault="00FC6177" w:rsidP="00FC6177">
            <w:r w:rsidRPr="00FC6177">
              <w:t>1225</w:t>
            </w:r>
          </w:p>
        </w:tc>
        <w:tc>
          <w:tcPr>
            <w:tcW w:w="1271" w:type="dxa"/>
            <w:vAlign w:val="top"/>
          </w:tcPr>
          <w:p w:rsidR="00FC6177" w:rsidRPr="00FC6177" w:rsidRDefault="00FC6177" w:rsidP="00FC6177">
            <w:r w:rsidRPr="00FC6177">
              <w:t>1187</w:t>
            </w:r>
          </w:p>
        </w:tc>
        <w:tc>
          <w:tcPr>
            <w:tcW w:w="1271" w:type="dxa"/>
            <w:vAlign w:val="top"/>
          </w:tcPr>
          <w:p w:rsidR="00FC6177" w:rsidRPr="00FC6177" w:rsidRDefault="00FC6177" w:rsidP="00FC6177">
            <w:r w:rsidRPr="00FC6177">
              <w:t>1149</w:t>
            </w:r>
          </w:p>
        </w:tc>
        <w:tc>
          <w:tcPr>
            <w:tcW w:w="1271" w:type="dxa"/>
            <w:vAlign w:val="top"/>
          </w:tcPr>
          <w:p w:rsidR="00FC6177" w:rsidRPr="00FC6177" w:rsidRDefault="00FC6177" w:rsidP="00FC6177">
            <w:r w:rsidRPr="00FC6177">
              <w:t>1113</w:t>
            </w:r>
          </w:p>
        </w:tc>
        <w:tc>
          <w:tcPr>
            <w:tcW w:w="1271" w:type="dxa"/>
            <w:vAlign w:val="top"/>
          </w:tcPr>
          <w:p w:rsidR="00FC6177" w:rsidRPr="00FC6177" w:rsidRDefault="00FC6177" w:rsidP="00FC6177">
            <w:r w:rsidRPr="00FC6177">
              <w:t>5943</w:t>
            </w:r>
          </w:p>
        </w:tc>
      </w:tr>
      <w:tr w:rsidR="0090772E" w:rsidRPr="0074317B" w:rsidTr="00B61205">
        <w:trPr>
          <w:cnfStyle w:val="000000010000" w:firstRow="0" w:lastRow="0" w:firstColumn="0" w:lastColumn="0" w:oddVBand="0" w:evenVBand="0" w:oddHBand="0" w:evenHBand="1" w:firstRowFirstColumn="0" w:firstRowLastColumn="0" w:lastRowFirstColumn="0" w:lastRowLastColumn="0"/>
        </w:trPr>
        <w:tc>
          <w:tcPr>
            <w:tcW w:w="1271" w:type="dxa"/>
            <w:vAlign w:val="top"/>
          </w:tcPr>
          <w:p w:rsidR="00FC6177" w:rsidRPr="00FC6177" w:rsidRDefault="00FC6177" w:rsidP="00FC6177">
            <w:r w:rsidRPr="00FC6177">
              <w:t xml:space="preserve">Total </w:t>
            </w:r>
          </w:p>
          <w:p w:rsidR="00FC6177" w:rsidRPr="00FC6177" w:rsidRDefault="00FC6177" w:rsidP="00004366">
            <w:r w:rsidRPr="00FC6177">
              <w:t>$</w:t>
            </w:r>
            <w:r w:rsidR="00004366">
              <w:t>(</w:t>
            </w:r>
            <w:r w:rsidRPr="00FC6177">
              <w:t>million</w:t>
            </w:r>
            <w:r w:rsidR="00004366">
              <w:t>)</w:t>
            </w:r>
          </w:p>
        </w:tc>
        <w:tc>
          <w:tcPr>
            <w:tcW w:w="1271" w:type="dxa"/>
            <w:vAlign w:val="top"/>
          </w:tcPr>
          <w:p w:rsidR="00FC6177" w:rsidRPr="00FC6177" w:rsidRDefault="00FC6177" w:rsidP="00FC6177">
            <w:r w:rsidRPr="00FC6177">
              <w:t>11.17</w:t>
            </w:r>
          </w:p>
        </w:tc>
        <w:tc>
          <w:tcPr>
            <w:tcW w:w="1271" w:type="dxa"/>
            <w:vAlign w:val="top"/>
          </w:tcPr>
          <w:p w:rsidR="00FC6177" w:rsidRPr="00FC6177" w:rsidRDefault="00FC6177" w:rsidP="00FC6177">
            <w:r w:rsidRPr="00FC6177">
              <w:t>12.19</w:t>
            </w:r>
          </w:p>
        </w:tc>
        <w:tc>
          <w:tcPr>
            <w:tcW w:w="1271" w:type="dxa"/>
            <w:vAlign w:val="top"/>
          </w:tcPr>
          <w:p w:rsidR="00FC6177" w:rsidRPr="00FC6177" w:rsidRDefault="00FC6177" w:rsidP="00FC6177">
            <w:r w:rsidRPr="00FC6177">
              <w:t>12.56</w:t>
            </w:r>
          </w:p>
        </w:tc>
        <w:tc>
          <w:tcPr>
            <w:tcW w:w="1271" w:type="dxa"/>
            <w:vAlign w:val="top"/>
          </w:tcPr>
          <w:p w:rsidR="00FC6177" w:rsidRPr="00FC6177" w:rsidRDefault="00FC6177" w:rsidP="00FC6177">
            <w:r w:rsidRPr="00FC6177">
              <w:t>12.16</w:t>
            </w:r>
          </w:p>
        </w:tc>
        <w:tc>
          <w:tcPr>
            <w:tcW w:w="1271" w:type="dxa"/>
            <w:vAlign w:val="top"/>
          </w:tcPr>
          <w:p w:rsidR="00FC6177" w:rsidRPr="00FC6177" w:rsidRDefault="00FC6177" w:rsidP="00FC6177">
            <w:r w:rsidRPr="00FC6177">
              <w:t>11.77</w:t>
            </w:r>
          </w:p>
        </w:tc>
        <w:tc>
          <w:tcPr>
            <w:tcW w:w="1271" w:type="dxa"/>
            <w:vAlign w:val="top"/>
          </w:tcPr>
          <w:p w:rsidR="00FC6177" w:rsidRPr="00FC6177" w:rsidRDefault="002A6452" w:rsidP="002A6452">
            <w:r>
              <w:t>59.85</w:t>
            </w:r>
          </w:p>
        </w:tc>
      </w:tr>
      <w:tr w:rsidR="0090772E" w:rsidRPr="0074317B" w:rsidTr="000A437E">
        <w:tc>
          <w:tcPr>
            <w:tcW w:w="8897" w:type="dxa"/>
            <w:gridSpan w:val="7"/>
            <w:vAlign w:val="top"/>
          </w:tcPr>
          <w:p w:rsidR="000A437E" w:rsidRPr="00FC6177" w:rsidRDefault="000A437E" w:rsidP="00FC6177">
            <w:r w:rsidRPr="00FC6177">
              <w:rPr>
                <w:rStyle w:val="Strong"/>
              </w:rPr>
              <w:t>AER final decision</w:t>
            </w:r>
          </w:p>
        </w:tc>
      </w:tr>
      <w:tr w:rsidR="0090772E" w:rsidRPr="0074317B" w:rsidTr="00B61205">
        <w:trPr>
          <w:cnfStyle w:val="000000010000" w:firstRow="0" w:lastRow="0" w:firstColumn="0" w:lastColumn="0" w:oddVBand="0" w:evenVBand="0" w:oddHBand="0" w:evenHBand="1" w:firstRowFirstColumn="0" w:firstRowLastColumn="0" w:lastRowFirstColumn="0" w:lastRowLastColumn="0"/>
        </w:trPr>
        <w:tc>
          <w:tcPr>
            <w:tcW w:w="1271" w:type="dxa"/>
            <w:vAlign w:val="top"/>
          </w:tcPr>
          <w:p w:rsidR="00FC6177" w:rsidRPr="00FC6177" w:rsidRDefault="00FC6177" w:rsidP="00FC6177">
            <w:r w:rsidRPr="00FC6177">
              <w:t>UAFG price</w:t>
            </w:r>
          </w:p>
          <w:p w:rsidR="00FC6177" w:rsidRPr="00FC6177" w:rsidRDefault="00FC6177" w:rsidP="00FC6177">
            <w:r w:rsidRPr="00FC6177">
              <w:t>$/GJ</w:t>
            </w:r>
          </w:p>
        </w:tc>
        <w:tc>
          <w:tcPr>
            <w:tcW w:w="1271" w:type="dxa"/>
            <w:vAlign w:val="top"/>
          </w:tcPr>
          <w:p w:rsidR="00FC6177" w:rsidRPr="00FC6177" w:rsidRDefault="00625DB3" w:rsidP="00E57479">
            <w:r>
              <w:t>11.</w:t>
            </w:r>
            <w:r w:rsidR="00E57479">
              <w:t>25</w:t>
            </w:r>
          </w:p>
        </w:tc>
        <w:tc>
          <w:tcPr>
            <w:tcW w:w="1271" w:type="dxa"/>
            <w:vAlign w:val="top"/>
          </w:tcPr>
          <w:p w:rsidR="00FC6177" w:rsidRPr="00FC6177" w:rsidRDefault="00625DB3" w:rsidP="00E57479">
            <w:r>
              <w:t>11.</w:t>
            </w:r>
            <w:r w:rsidR="00E57479">
              <w:t>25</w:t>
            </w:r>
          </w:p>
        </w:tc>
        <w:tc>
          <w:tcPr>
            <w:tcW w:w="1271" w:type="dxa"/>
            <w:vAlign w:val="top"/>
          </w:tcPr>
          <w:p w:rsidR="00FC6177" w:rsidRPr="00FC6177" w:rsidRDefault="00202667" w:rsidP="00E57479">
            <w:r>
              <w:t>11.</w:t>
            </w:r>
            <w:r w:rsidR="00E57479">
              <w:t>25</w:t>
            </w:r>
          </w:p>
        </w:tc>
        <w:tc>
          <w:tcPr>
            <w:tcW w:w="1271" w:type="dxa"/>
            <w:vAlign w:val="top"/>
          </w:tcPr>
          <w:p w:rsidR="00FC6177" w:rsidRPr="00FC6177" w:rsidRDefault="00202667" w:rsidP="00E57479">
            <w:r>
              <w:t>11.</w:t>
            </w:r>
            <w:r w:rsidR="00E57479">
              <w:t>25</w:t>
            </w:r>
          </w:p>
        </w:tc>
        <w:tc>
          <w:tcPr>
            <w:tcW w:w="1271" w:type="dxa"/>
            <w:vAlign w:val="top"/>
          </w:tcPr>
          <w:p w:rsidR="00FC6177" w:rsidRPr="00FC6177" w:rsidRDefault="00202667" w:rsidP="00E57479">
            <w:r>
              <w:t>1</w:t>
            </w:r>
            <w:r w:rsidR="00625DB3">
              <w:t>1</w:t>
            </w:r>
            <w:r>
              <w:t>.</w:t>
            </w:r>
            <w:r w:rsidR="00E57479">
              <w:t>25</w:t>
            </w:r>
          </w:p>
        </w:tc>
        <w:tc>
          <w:tcPr>
            <w:tcW w:w="1271" w:type="dxa"/>
            <w:vAlign w:val="top"/>
          </w:tcPr>
          <w:p w:rsidR="00FC6177" w:rsidRPr="00FC6177" w:rsidRDefault="00FC6177" w:rsidP="00FC6177"/>
        </w:tc>
      </w:tr>
      <w:tr w:rsidR="0090772E" w:rsidRPr="0074317B" w:rsidTr="00187906">
        <w:tc>
          <w:tcPr>
            <w:tcW w:w="1271" w:type="dxa"/>
            <w:vAlign w:val="top"/>
          </w:tcPr>
          <w:p w:rsidR="0090772E" w:rsidRPr="0090772E" w:rsidRDefault="0090772E" w:rsidP="0090772E">
            <w:r w:rsidRPr="00187906">
              <w:t>UAFG volume</w:t>
            </w:r>
          </w:p>
          <w:p w:rsidR="0090772E" w:rsidRPr="00187906" w:rsidRDefault="0090772E" w:rsidP="0090772E">
            <w:r w:rsidRPr="00187906">
              <w:t>TJ</w:t>
            </w:r>
          </w:p>
        </w:tc>
        <w:tc>
          <w:tcPr>
            <w:tcW w:w="1271" w:type="dxa"/>
          </w:tcPr>
          <w:p w:rsidR="0090772E" w:rsidRPr="00187906" w:rsidRDefault="0090772E" w:rsidP="00187906">
            <w:r>
              <w:t>1177</w:t>
            </w:r>
          </w:p>
        </w:tc>
        <w:tc>
          <w:tcPr>
            <w:tcW w:w="1271" w:type="dxa"/>
          </w:tcPr>
          <w:p w:rsidR="0090772E" w:rsidRPr="00187906" w:rsidRDefault="0090772E" w:rsidP="00187906">
            <w:r>
              <w:t>1148</w:t>
            </w:r>
          </w:p>
        </w:tc>
        <w:tc>
          <w:tcPr>
            <w:tcW w:w="1271" w:type="dxa"/>
          </w:tcPr>
          <w:p w:rsidR="0090772E" w:rsidRPr="00187906" w:rsidRDefault="0090772E" w:rsidP="00187906">
            <w:r>
              <w:t>1118</w:t>
            </w:r>
          </w:p>
        </w:tc>
        <w:tc>
          <w:tcPr>
            <w:tcW w:w="1271" w:type="dxa"/>
          </w:tcPr>
          <w:p w:rsidR="0090772E" w:rsidRPr="00187906" w:rsidRDefault="0090772E" w:rsidP="00187906">
            <w:r>
              <w:t>1080</w:t>
            </w:r>
          </w:p>
        </w:tc>
        <w:tc>
          <w:tcPr>
            <w:tcW w:w="1271" w:type="dxa"/>
          </w:tcPr>
          <w:p w:rsidR="0090772E" w:rsidRPr="00187906" w:rsidRDefault="0090772E" w:rsidP="00187906">
            <w:r>
              <w:t>1029</w:t>
            </w:r>
          </w:p>
        </w:tc>
        <w:tc>
          <w:tcPr>
            <w:tcW w:w="1271" w:type="dxa"/>
            <w:vAlign w:val="top"/>
          </w:tcPr>
          <w:p w:rsidR="0090772E" w:rsidRDefault="0090772E" w:rsidP="00DC3130">
            <w:r>
              <w:t>5552</w:t>
            </w:r>
          </w:p>
        </w:tc>
      </w:tr>
      <w:tr w:rsidR="0090772E" w:rsidRPr="0074317B" w:rsidTr="00187906">
        <w:trPr>
          <w:cnfStyle w:val="000000010000" w:firstRow="0" w:lastRow="0" w:firstColumn="0" w:lastColumn="0" w:oddVBand="0" w:evenVBand="0" w:oddHBand="0" w:evenHBand="1" w:firstRowFirstColumn="0" w:firstRowLastColumn="0" w:lastRowFirstColumn="0" w:lastRowLastColumn="0"/>
        </w:trPr>
        <w:tc>
          <w:tcPr>
            <w:tcW w:w="1271" w:type="dxa"/>
            <w:vAlign w:val="top"/>
          </w:tcPr>
          <w:p w:rsidR="0090772E" w:rsidRDefault="0090772E" w:rsidP="00187906">
            <w:r>
              <w:t>Total</w:t>
            </w:r>
          </w:p>
          <w:p w:rsidR="00187906" w:rsidRPr="00187906" w:rsidRDefault="0090772E" w:rsidP="00187906">
            <w:r>
              <w:t>$ (million)</w:t>
            </w:r>
          </w:p>
        </w:tc>
        <w:tc>
          <w:tcPr>
            <w:tcW w:w="1271" w:type="dxa"/>
          </w:tcPr>
          <w:p w:rsidR="00187906" w:rsidRPr="00187906" w:rsidRDefault="0090772E" w:rsidP="00187906">
            <w:pPr>
              <w:rPr>
                <w:rStyle w:val="AERtexthighlight"/>
              </w:rPr>
            </w:pPr>
            <w:r>
              <w:t>13.24</w:t>
            </w:r>
          </w:p>
        </w:tc>
        <w:tc>
          <w:tcPr>
            <w:tcW w:w="1271" w:type="dxa"/>
          </w:tcPr>
          <w:p w:rsidR="00187906" w:rsidRPr="00187906" w:rsidRDefault="0090772E" w:rsidP="00187906">
            <w:pPr>
              <w:rPr>
                <w:rStyle w:val="AERtexthighlight"/>
              </w:rPr>
            </w:pPr>
            <w:r>
              <w:t>12.91</w:t>
            </w:r>
          </w:p>
        </w:tc>
        <w:tc>
          <w:tcPr>
            <w:tcW w:w="1271" w:type="dxa"/>
          </w:tcPr>
          <w:p w:rsidR="00187906" w:rsidRPr="00187906" w:rsidRDefault="0090772E" w:rsidP="00187906">
            <w:pPr>
              <w:rPr>
                <w:rStyle w:val="AERtexthighlight"/>
              </w:rPr>
            </w:pPr>
            <w:r>
              <w:t>12.57</w:t>
            </w:r>
          </w:p>
        </w:tc>
        <w:tc>
          <w:tcPr>
            <w:tcW w:w="1271" w:type="dxa"/>
          </w:tcPr>
          <w:p w:rsidR="00187906" w:rsidRPr="00187906" w:rsidRDefault="0090772E" w:rsidP="0090772E">
            <w:pPr>
              <w:rPr>
                <w:rStyle w:val="AERtexthighlight"/>
              </w:rPr>
            </w:pPr>
            <w:r>
              <w:t>12.15</w:t>
            </w:r>
          </w:p>
        </w:tc>
        <w:tc>
          <w:tcPr>
            <w:tcW w:w="1271" w:type="dxa"/>
          </w:tcPr>
          <w:p w:rsidR="00187906" w:rsidRPr="00187906" w:rsidRDefault="0090772E" w:rsidP="0090772E">
            <w:pPr>
              <w:rPr>
                <w:rStyle w:val="AERtexthighlight"/>
              </w:rPr>
            </w:pPr>
            <w:r>
              <w:t>11.57</w:t>
            </w:r>
          </w:p>
        </w:tc>
        <w:tc>
          <w:tcPr>
            <w:tcW w:w="1271" w:type="dxa"/>
            <w:vAlign w:val="top"/>
          </w:tcPr>
          <w:p w:rsidR="00187906" w:rsidRPr="00187906" w:rsidRDefault="0090772E" w:rsidP="00187906">
            <w:pPr>
              <w:rPr>
                <w:rStyle w:val="AERtexthighlight"/>
              </w:rPr>
            </w:pPr>
            <w:r>
              <w:t>62.45</w:t>
            </w:r>
          </w:p>
        </w:tc>
      </w:tr>
    </w:tbl>
    <w:p w:rsidR="00FC6177" w:rsidRDefault="00FC6177" w:rsidP="002B73F8">
      <w:pPr>
        <w:pStyle w:val="AERtablesource"/>
      </w:pPr>
      <w:r w:rsidRPr="00FC6177">
        <w:t xml:space="preserve">Source: </w:t>
      </w:r>
      <w:r w:rsidRPr="00FC6177">
        <w:tab/>
        <w:t xml:space="preserve">Australian Gas Networks, </w:t>
      </w:r>
      <w:r w:rsidRPr="00FC6177">
        <w:rPr>
          <w:rStyle w:val="Emphasis"/>
        </w:rPr>
        <w:t>Re</w:t>
      </w:r>
      <w:r w:rsidR="00625DB3">
        <w:rPr>
          <w:rStyle w:val="Emphasis"/>
        </w:rPr>
        <w:t xml:space="preserve">sponse to AER Information Request 047 </w:t>
      </w:r>
      <w:r w:rsidR="001D7E27" w:rsidRPr="001D7E27">
        <w:rPr>
          <w:rStyle w:val="Emphasis"/>
          <w:i w:val="0"/>
        </w:rPr>
        <w:t>[email to AER]</w:t>
      </w:r>
      <w:r w:rsidR="001D7E27">
        <w:rPr>
          <w:rStyle w:val="Emphasis"/>
          <w:i w:val="0"/>
        </w:rPr>
        <w:t>,</w:t>
      </w:r>
      <w:r w:rsidR="001D7E27" w:rsidRPr="001D7E27">
        <w:rPr>
          <w:rStyle w:val="Emphasis"/>
          <w:i w:val="0"/>
        </w:rPr>
        <w:t xml:space="preserve"> </w:t>
      </w:r>
      <w:r w:rsidR="00625DB3" w:rsidRPr="0090772E">
        <w:rPr>
          <w:rStyle w:val="Emphasis"/>
          <w:i w:val="0"/>
          <w:iCs w:val="0"/>
        </w:rPr>
        <w:t>18 March 2016</w:t>
      </w:r>
      <w:r w:rsidR="001D7E27">
        <w:rPr>
          <w:rStyle w:val="Emphasis"/>
          <w:i w:val="0"/>
          <w:iCs w:val="0"/>
        </w:rPr>
        <w:t>;</w:t>
      </w:r>
      <w:r w:rsidR="001D7E27">
        <w:t xml:space="preserve"> </w:t>
      </w:r>
      <w:r w:rsidR="0090772E">
        <w:t>AER analysis.</w:t>
      </w:r>
      <w:r w:rsidRPr="00FC6177">
        <w:t xml:space="preserve"> Numbers may not add </w:t>
      </w:r>
      <w:r w:rsidR="0015085E">
        <w:t xml:space="preserve">up </w:t>
      </w:r>
      <w:r w:rsidRPr="00FC6177">
        <w:t>due to rounding.</w:t>
      </w:r>
    </w:p>
    <w:p w:rsidR="00FC6177" w:rsidRDefault="00FC6177" w:rsidP="00954586">
      <w:pPr>
        <w:pStyle w:val="Heading4"/>
      </w:pPr>
      <w:r>
        <w:t xml:space="preserve">UAFG true-up </w:t>
      </w:r>
      <w:r w:rsidR="00954586">
        <w:t xml:space="preserve">adjustment </w:t>
      </w:r>
    </w:p>
    <w:p w:rsidR="00B61205" w:rsidRDefault="00954586" w:rsidP="007916CE">
      <w:r>
        <w:t xml:space="preserve">Our final decision includes a specific UAFG true-up adjustment in the tariff variation mechanism as set out in Attachment 11 of our draft decision. </w:t>
      </w:r>
      <w:r w:rsidR="00FC6177">
        <w:t xml:space="preserve">AGN accepts our </w:t>
      </w:r>
      <w:r>
        <w:t xml:space="preserve">proposed </w:t>
      </w:r>
      <w:r w:rsidRPr="00954586">
        <w:t xml:space="preserve">application of </w:t>
      </w:r>
      <w:r w:rsidR="00B61205">
        <w:t>the t</w:t>
      </w:r>
      <w:r w:rsidRPr="00954586">
        <w:t xml:space="preserve">rue-up </w:t>
      </w:r>
      <w:r>
        <w:t>adjustment</w:t>
      </w:r>
      <w:r w:rsidR="00CE5C53">
        <w:t>.</w:t>
      </w:r>
      <w:r w:rsidR="00466081">
        <w:rPr>
          <w:rStyle w:val="FootnoteReference"/>
        </w:rPr>
        <w:footnoteReference w:id="72"/>
      </w:r>
      <w:r w:rsidR="00CE5C53">
        <w:t xml:space="preserve"> </w:t>
      </w:r>
    </w:p>
    <w:p w:rsidR="004C382F" w:rsidRPr="004C382F" w:rsidRDefault="008B08E6" w:rsidP="00B61205">
      <w:pPr>
        <w:rPr>
          <w:rStyle w:val="AERtexthighlight"/>
        </w:rPr>
      </w:pPr>
      <w:r>
        <w:t>SACOSS and Origin</w:t>
      </w:r>
      <w:r w:rsidR="00F628EB">
        <w:t xml:space="preserve"> </w:t>
      </w:r>
      <w:r w:rsidR="00B32835">
        <w:t xml:space="preserve">supported </w:t>
      </w:r>
      <w:r w:rsidR="00CE5C53">
        <w:t xml:space="preserve">our </w:t>
      </w:r>
      <w:r w:rsidR="00B61205" w:rsidRPr="00B61205">
        <w:t>true-up adjustment</w:t>
      </w:r>
      <w:r w:rsidR="00830685">
        <w:t>.</w:t>
      </w:r>
      <w:r w:rsidR="00830685">
        <w:rPr>
          <w:rStyle w:val="FootnoteReference"/>
        </w:rPr>
        <w:footnoteReference w:id="73"/>
      </w:r>
      <w:r w:rsidR="00830685">
        <w:t xml:space="preserve"> </w:t>
      </w:r>
      <w:r w:rsidR="00B61205">
        <w:t>However, E</w:t>
      </w:r>
      <w:r w:rsidR="001E0ABE" w:rsidRPr="0071132E">
        <w:t>CCSA</w:t>
      </w:r>
      <w:r w:rsidR="00B32835">
        <w:t xml:space="preserve"> </w:t>
      </w:r>
      <w:r w:rsidR="00CE5C53">
        <w:t>expressed</w:t>
      </w:r>
      <w:r w:rsidR="001E0ABE">
        <w:t xml:space="preserve"> concern about </w:t>
      </w:r>
      <w:r w:rsidR="007D4841">
        <w:t xml:space="preserve">our </w:t>
      </w:r>
      <w:r w:rsidR="001E0ABE">
        <w:t>approach to the true-up process</w:t>
      </w:r>
      <w:r w:rsidR="007916CE">
        <w:t>, i</w:t>
      </w:r>
      <w:r w:rsidR="001E0ABE">
        <w:t>n particular, that the cost of gas will be on a</w:t>
      </w:r>
      <w:r w:rsidR="0029485F">
        <w:t>n</w:t>
      </w:r>
      <w:r w:rsidR="001E0ABE">
        <w:t xml:space="preserve"> as</w:t>
      </w:r>
      <w:r w:rsidR="0029485F">
        <w:t>-</w:t>
      </w:r>
      <w:r w:rsidR="001E0ABE">
        <w:t>incurred basis</w:t>
      </w:r>
      <w:r w:rsidR="007916CE">
        <w:t>.</w:t>
      </w:r>
      <w:r w:rsidR="00DC3130">
        <w:rPr>
          <w:rStyle w:val="FootnoteReference"/>
        </w:rPr>
        <w:footnoteReference w:id="74"/>
      </w:r>
      <w:r w:rsidR="007916CE">
        <w:t xml:space="preserve"> ECCSA</w:t>
      </w:r>
      <w:r w:rsidR="00CE5C53">
        <w:t xml:space="preserve">'s </w:t>
      </w:r>
      <w:r w:rsidR="007916CE">
        <w:t xml:space="preserve">view </w:t>
      </w:r>
      <w:r w:rsidR="00CE5C53">
        <w:t xml:space="preserve">is that </w:t>
      </w:r>
      <w:r w:rsidR="007916CE">
        <w:t>the</w:t>
      </w:r>
      <w:r w:rsidR="007916CE" w:rsidRPr="007916CE">
        <w:t xml:space="preserve"> </w:t>
      </w:r>
      <w:r w:rsidR="00CE3079">
        <w:t xml:space="preserve">true-up </w:t>
      </w:r>
      <w:r w:rsidR="00CE5C53">
        <w:t xml:space="preserve">adjustment </w:t>
      </w:r>
      <w:r w:rsidR="007916CE" w:rsidRPr="007916CE">
        <w:t>imposes no pressure on AGN to secure the lowest possible price for gas</w:t>
      </w:r>
      <w:r w:rsidR="00D101CF">
        <w:t>,</w:t>
      </w:r>
      <w:r w:rsidR="007A2A4A">
        <w:t xml:space="preserve"> and </w:t>
      </w:r>
      <w:r w:rsidR="00400C1E">
        <w:t>gas providers will act on this knowledge to raise prices</w:t>
      </w:r>
      <w:r w:rsidR="007916CE" w:rsidRPr="007916CE">
        <w:t>.</w:t>
      </w:r>
      <w:r w:rsidR="00DC3130">
        <w:rPr>
          <w:rStyle w:val="FootnoteReference"/>
        </w:rPr>
        <w:footnoteReference w:id="75"/>
      </w:r>
      <w:r w:rsidR="00B61205">
        <w:t xml:space="preserve"> ECCSA </w:t>
      </w:r>
      <w:r w:rsidR="00B02FFC">
        <w:t xml:space="preserve">recommended </w:t>
      </w:r>
      <w:r w:rsidR="00B61205">
        <w:t>using independent benchmark prices set as a comparison rate and incentivising AGN to secure gas at a lower price by sharing any savings below the benchmark.</w:t>
      </w:r>
      <w:r w:rsidR="00B61205" w:rsidRPr="00B61205">
        <w:rPr>
          <w:rStyle w:val="FootnoteReference"/>
        </w:rPr>
        <w:footnoteReference w:id="76"/>
      </w:r>
    </w:p>
    <w:p w:rsidR="00400C1E" w:rsidRDefault="00400C1E" w:rsidP="00400C1E">
      <w:r w:rsidRPr="00400C1E">
        <w:t xml:space="preserve">We understand ECCSA’s concern about the true-up </w:t>
      </w:r>
      <w:r>
        <w:t xml:space="preserve">adjustment </w:t>
      </w:r>
      <w:r w:rsidRPr="00400C1E">
        <w:t xml:space="preserve">for UAFG prices reducing the incentive for AGN to seek the lowest price for UAFG. However, there are countervailing incentives that will </w:t>
      </w:r>
      <w:proofErr w:type="gramStart"/>
      <w:r w:rsidRPr="00400C1E">
        <w:t>mitigate</w:t>
      </w:r>
      <w:proofErr w:type="gramEnd"/>
      <w:r w:rsidRPr="00400C1E">
        <w:t xml:space="preserve"> against</w:t>
      </w:r>
      <w:r w:rsidR="00CA1011">
        <w:t xml:space="preserve"> </w:t>
      </w:r>
      <w:r w:rsidRPr="00400C1E">
        <w:t>ECCSA’s concern. Specifically</w:t>
      </w:r>
      <w:r w:rsidR="00D101CF">
        <w:t>,</w:t>
      </w:r>
      <w:r w:rsidRPr="00400C1E">
        <w:t xml:space="preserve"> AGN has an incentive to minimise the price it pays for UAFG as that price will ultimately feed into its tariffs, and overall demand for gas will fall if prices increase. Under a weighted average price cap</w:t>
      </w:r>
      <w:r w:rsidR="00D101CF">
        <w:t>,</w:t>
      </w:r>
      <w:r w:rsidRPr="00400C1E">
        <w:t xml:space="preserve"> an increase in demand will benefit AGN, and therefore it is not in AGN’s best interest to accept higher prices for gas where there is no benefit to itself and </w:t>
      </w:r>
      <w:r w:rsidR="00EC0956">
        <w:t xml:space="preserve">there are </w:t>
      </w:r>
      <w:r w:rsidRPr="00400C1E">
        <w:t>potential longer term negative impact</w:t>
      </w:r>
      <w:r w:rsidR="00CA1011">
        <w:t>s</w:t>
      </w:r>
      <w:r w:rsidRPr="00400C1E">
        <w:t xml:space="preserve"> on demand. Further, the gas market </w:t>
      </w:r>
      <w:r w:rsidR="00187906">
        <w:t>in Adelaide</w:t>
      </w:r>
      <w:r w:rsidRPr="00400C1E">
        <w:t xml:space="preserve"> </w:t>
      </w:r>
      <w:r w:rsidR="003F4919">
        <w:t>has a number of potential suppliers</w:t>
      </w:r>
      <w:r w:rsidRPr="00400C1E">
        <w:t>.</w:t>
      </w:r>
      <w:r w:rsidR="00891D09">
        <w:rPr>
          <w:rStyle w:val="FootnoteReference"/>
        </w:rPr>
        <w:footnoteReference w:id="77"/>
      </w:r>
      <w:r w:rsidRPr="00400C1E">
        <w:t xml:space="preserve"> This </w:t>
      </w:r>
      <w:r w:rsidR="003F4919">
        <w:t>should</w:t>
      </w:r>
      <w:r w:rsidRPr="00400C1E">
        <w:t xml:space="preserve"> limit the effectiveness of any </w:t>
      </w:r>
      <w:r w:rsidR="000A437E">
        <w:t xml:space="preserve">particular </w:t>
      </w:r>
      <w:r w:rsidRPr="00400C1E">
        <w:t>supplier raising prices on the assumption that AGN will be indifferent to price. Therefore</w:t>
      </w:r>
      <w:r w:rsidR="00187906">
        <w:t>,</w:t>
      </w:r>
      <w:r w:rsidRPr="00400C1E">
        <w:t xml:space="preserve"> we do not consider that it is necessary to apply benchmark pricing to provide AGN with an incentive to seek the lowest prices for its UAFG supply contracts.</w:t>
      </w:r>
      <w:r w:rsidR="000A437E">
        <w:t xml:space="preserve"> </w:t>
      </w:r>
    </w:p>
    <w:p w:rsidR="00835AE3" w:rsidRDefault="00835AE3" w:rsidP="002D3F30">
      <w:r>
        <w:t>The true</w:t>
      </w:r>
      <w:r w:rsidR="00461979">
        <w:t>-</w:t>
      </w:r>
      <w:r>
        <w:t>up adjustment mechanism has been revised to correct the mathematical representation of the mechanism. This is discussed in Attachment 11 of this final decision.</w:t>
      </w:r>
      <w:r>
        <w:rPr>
          <w:rStyle w:val="FootnoteReference"/>
        </w:rPr>
        <w:footnoteReference w:id="78"/>
      </w:r>
      <w:r w:rsidR="000B6735" w:rsidRPr="000B6735">
        <w:t xml:space="preserve"> </w:t>
      </w:r>
      <w:r w:rsidR="009161D9">
        <w:t xml:space="preserve">In response to a request from the AER, </w:t>
      </w:r>
      <w:r w:rsidR="000B6735">
        <w:t>AGN provided a revised UAFG price forecast, which we have applied in our derivation of forecast UAFG costs. This revised forecast will be the reference price for the true</w:t>
      </w:r>
      <w:r w:rsidR="00AE5A20">
        <w:t>-</w:t>
      </w:r>
      <w:r w:rsidR="000B6735">
        <w:t>up mechanism.</w:t>
      </w:r>
      <w:r w:rsidR="000B6735">
        <w:rPr>
          <w:rStyle w:val="FootnoteReference"/>
        </w:rPr>
        <w:footnoteReference w:id="79"/>
      </w:r>
    </w:p>
    <w:p w:rsidR="00CE3079" w:rsidRDefault="00CE3079" w:rsidP="00CE3079">
      <w:pPr>
        <w:pStyle w:val="Heading4"/>
      </w:pPr>
      <w:r>
        <w:t>UAFG forecast volumes</w:t>
      </w:r>
    </w:p>
    <w:p w:rsidR="00CE5C53" w:rsidRPr="00CE5C53" w:rsidRDefault="00CE3079" w:rsidP="00CE5C53">
      <w:pPr>
        <w:rPr>
          <w:rStyle w:val="AERtexthighlight"/>
        </w:rPr>
      </w:pPr>
      <w:r>
        <w:t>AGN, as part of i</w:t>
      </w:r>
      <w:r w:rsidR="007D607D">
        <w:t>ts revised proposal</w:t>
      </w:r>
      <w:r>
        <w:t>,</w:t>
      </w:r>
      <w:r w:rsidR="007D607D">
        <w:t xml:space="preserve"> updated </w:t>
      </w:r>
      <w:r>
        <w:t>U</w:t>
      </w:r>
      <w:r w:rsidR="007D607D">
        <w:t xml:space="preserve">AFG forecast </w:t>
      </w:r>
      <w:r w:rsidR="00270B73">
        <w:t xml:space="preserve">volumes to </w:t>
      </w:r>
      <w:r w:rsidR="00CE5C53" w:rsidRPr="00CE5C53">
        <w:t>account for changes in its revised mains replacement program</w:t>
      </w:r>
      <w:r w:rsidR="00270B73">
        <w:t>.</w:t>
      </w:r>
      <w:r w:rsidR="00270B73">
        <w:rPr>
          <w:rStyle w:val="FootnoteReference"/>
        </w:rPr>
        <w:footnoteReference w:id="80"/>
      </w:r>
      <w:r w:rsidR="00270B73">
        <w:t xml:space="preserve"> </w:t>
      </w:r>
      <w:r w:rsidR="00835AE3">
        <w:rPr>
          <w:rStyle w:val="AERtexthighlight"/>
        </w:rPr>
        <w:t xml:space="preserve"> </w:t>
      </w:r>
    </w:p>
    <w:p w:rsidR="006109E3" w:rsidRPr="0012652E" w:rsidRDefault="00461979" w:rsidP="0012652E">
      <w:pPr>
        <w:rPr>
          <w:rStyle w:val="AERbody"/>
        </w:rPr>
      </w:pPr>
      <w:r>
        <w:t xml:space="preserve">A number of </w:t>
      </w:r>
      <w:r w:rsidR="00B953DA">
        <w:t>submissions raised concerns about the forecast UAFG volumes in AGN's revised proposal.</w:t>
      </w:r>
      <w:r w:rsidR="001F7201">
        <w:t xml:space="preserve"> The South Australian Government </w:t>
      </w:r>
      <w:r>
        <w:t>noted</w:t>
      </w:r>
      <w:r w:rsidR="001F7201">
        <w:t xml:space="preserve"> the importance of establishing accurate base levels of UAFG for forecasting purposes in its submission to the AER.</w:t>
      </w:r>
      <w:r w:rsidR="001F7201">
        <w:rPr>
          <w:rStyle w:val="FootnoteReference"/>
        </w:rPr>
        <w:footnoteReference w:id="81"/>
      </w:r>
      <w:r w:rsidR="001F7201">
        <w:t xml:space="preserve"> </w:t>
      </w:r>
      <w:r w:rsidR="00B953DA">
        <w:t xml:space="preserve"> </w:t>
      </w:r>
    </w:p>
    <w:p w:rsidR="0071132E" w:rsidRPr="0071132E" w:rsidRDefault="00B45C5A" w:rsidP="0071132E">
      <w:r>
        <w:t xml:space="preserve">ECCSA </w:t>
      </w:r>
      <w:r w:rsidR="00835AE3" w:rsidRPr="0071132E">
        <w:t>note</w:t>
      </w:r>
      <w:r w:rsidR="00835AE3">
        <w:t>d</w:t>
      </w:r>
      <w:r w:rsidR="00835AE3" w:rsidRPr="0071132E">
        <w:t xml:space="preserve"> </w:t>
      </w:r>
      <w:r w:rsidR="0071132E" w:rsidRPr="0071132E">
        <w:t xml:space="preserve">AGN </w:t>
      </w:r>
      <w:r w:rsidR="00461979">
        <w:t>increased</w:t>
      </w:r>
      <w:r w:rsidR="0071132E" w:rsidRPr="0071132E">
        <w:t xml:space="preserve"> its forecast UAFG from the levels included in the initial</w:t>
      </w:r>
      <w:r w:rsidR="00461979">
        <w:t xml:space="preserve"> regulatory</w:t>
      </w:r>
      <w:r w:rsidR="0071132E" w:rsidRPr="0071132E">
        <w:t xml:space="preserve"> proposal.</w:t>
      </w:r>
      <w:r w:rsidR="002264FD">
        <w:rPr>
          <w:rStyle w:val="FootnoteReference"/>
        </w:rPr>
        <w:footnoteReference w:id="82"/>
      </w:r>
      <w:r w:rsidR="0071132E" w:rsidRPr="0071132E">
        <w:t xml:space="preserve"> </w:t>
      </w:r>
      <w:r w:rsidR="00461979">
        <w:t xml:space="preserve">Based on </w:t>
      </w:r>
      <w:r>
        <w:t>information provided in AGN's initial proposal</w:t>
      </w:r>
      <w:r w:rsidR="00402F22">
        <w:t>,</w:t>
      </w:r>
      <w:r>
        <w:t xml:space="preserve"> </w:t>
      </w:r>
      <w:r w:rsidR="00461979">
        <w:t xml:space="preserve">ECCSA suggested that </w:t>
      </w:r>
      <w:r w:rsidR="00835AE3">
        <w:t xml:space="preserve">approximately </w:t>
      </w:r>
      <w:r w:rsidR="0071132E" w:rsidRPr="0071132E">
        <w:t>20</w:t>
      </w:r>
      <w:r w:rsidR="008B011C">
        <w:t xml:space="preserve"> </w:t>
      </w:r>
      <w:r w:rsidR="00835AE3">
        <w:t>per cent per cent</w:t>
      </w:r>
      <w:r w:rsidR="00835AE3" w:rsidRPr="0071132E">
        <w:t xml:space="preserve"> </w:t>
      </w:r>
      <w:r w:rsidR="0071132E" w:rsidRPr="0071132E">
        <w:t>of UAFG is from damaged mains with the other 80</w:t>
      </w:r>
      <w:r w:rsidR="00835AE3">
        <w:t xml:space="preserve"> per</w:t>
      </w:r>
      <w:r w:rsidR="004817C1">
        <w:t xml:space="preserve"> </w:t>
      </w:r>
      <w:r w:rsidR="00835AE3">
        <w:t>cent</w:t>
      </w:r>
      <w:r w:rsidR="0071132E" w:rsidRPr="0071132E">
        <w:t xml:space="preserve"> coming from many other causes.</w:t>
      </w:r>
      <w:r w:rsidR="00095A6A">
        <w:rPr>
          <w:rStyle w:val="FootnoteReference"/>
        </w:rPr>
        <w:footnoteReference w:id="83"/>
      </w:r>
      <w:r w:rsidR="00E50081">
        <w:t xml:space="preserve"> </w:t>
      </w:r>
      <w:r w:rsidR="0071132E" w:rsidRPr="0071132E">
        <w:t>ECCSA</w:t>
      </w:r>
      <w:r>
        <w:t xml:space="preserve">'s view is that there are a number of </w:t>
      </w:r>
      <w:r w:rsidR="00835AE3">
        <w:t>factors</w:t>
      </w:r>
      <w:r w:rsidR="00835AE3" w:rsidRPr="0071132E">
        <w:t xml:space="preserve"> </w:t>
      </w:r>
      <w:r w:rsidR="00835AE3">
        <w:t xml:space="preserve">contributing to UAFG volumes </w:t>
      </w:r>
      <w:r w:rsidR="00461979">
        <w:t xml:space="preserve">that are </w:t>
      </w:r>
      <w:r w:rsidR="0071132E" w:rsidRPr="0071132E">
        <w:t>within the control of AGN</w:t>
      </w:r>
      <w:r w:rsidR="00835AE3">
        <w:t>,</w:t>
      </w:r>
      <w:r w:rsidR="0071132E" w:rsidRPr="0071132E">
        <w:t xml:space="preserve"> and </w:t>
      </w:r>
      <w:r>
        <w:t xml:space="preserve">it questions </w:t>
      </w:r>
      <w:r w:rsidR="0071132E" w:rsidRPr="0071132E">
        <w:t>why consumers should reimburse AGN for UAFG that is within its control.</w:t>
      </w:r>
      <w:r w:rsidR="00E50081" w:rsidRPr="00E50081">
        <w:rPr>
          <w:rStyle w:val="FootnoteReference"/>
        </w:rPr>
        <w:footnoteReference w:id="84"/>
      </w:r>
      <w:r w:rsidR="0071132E" w:rsidRPr="0071132E">
        <w:t xml:space="preserve"> </w:t>
      </w:r>
    </w:p>
    <w:p w:rsidR="008975C8" w:rsidRDefault="008975C8" w:rsidP="00E51486">
      <w:r w:rsidRPr="008975C8">
        <w:t xml:space="preserve">Reflecting ECCSA's concern, the AER queried why UAFG attributable to other causes (that is, not leakage from the distribution network) has not been reduced in the UAFG forecast. AGN advised that after leakage, the major sources of other UAFG are measurement error due to tolerances on meters and temperature differences. </w:t>
      </w:r>
      <w:r w:rsidR="00AF18F1">
        <w:t>Its</w:t>
      </w:r>
      <w:r w:rsidR="00AF18F1" w:rsidRPr="008975C8">
        <w:t xml:space="preserve"> </w:t>
      </w:r>
      <w:r w:rsidRPr="008975C8">
        <w:t>mitigation measures do not impact these sources of UAFG, and hence the forecast of other UAFG is not influenced by its mitigation activities.</w:t>
      </w:r>
      <w:r w:rsidR="002264FD">
        <w:rPr>
          <w:rStyle w:val="FootnoteReference"/>
        </w:rPr>
        <w:footnoteReference w:id="85"/>
      </w:r>
      <w:r w:rsidRPr="008975C8">
        <w:t xml:space="preserve"> </w:t>
      </w:r>
    </w:p>
    <w:p w:rsidR="00E51486" w:rsidRDefault="00B953DA" w:rsidP="00E51486">
      <w:r>
        <w:t>SACOSS</w:t>
      </w:r>
      <w:r w:rsidR="006109E3">
        <w:t xml:space="preserve"> </w:t>
      </w:r>
      <w:r w:rsidR="00835AE3">
        <w:t xml:space="preserve">noted </w:t>
      </w:r>
      <w:r w:rsidR="00E51486" w:rsidRPr="00E51486">
        <w:t xml:space="preserve">that the estimated UAFG volumes adopted in the </w:t>
      </w:r>
      <w:r>
        <w:t xml:space="preserve">AER's </w:t>
      </w:r>
      <w:r w:rsidR="00AE5A20" w:rsidRPr="00E51486">
        <w:t xml:space="preserve">draft decision </w:t>
      </w:r>
      <w:r w:rsidR="00E51486" w:rsidRPr="00E51486">
        <w:t>are likely to be overstated given the impact of the mains replacement program on the volume of UAFG.</w:t>
      </w:r>
      <w:r w:rsidR="002264FD">
        <w:rPr>
          <w:rStyle w:val="FootnoteReference"/>
        </w:rPr>
        <w:footnoteReference w:id="86"/>
      </w:r>
      <w:r w:rsidRPr="00B953DA">
        <w:t xml:space="preserve"> SACOSS </w:t>
      </w:r>
      <w:r w:rsidR="00835AE3" w:rsidRPr="00B953DA">
        <w:t>accept</w:t>
      </w:r>
      <w:r w:rsidR="00835AE3">
        <w:t>ed</w:t>
      </w:r>
      <w:r w:rsidR="00835AE3" w:rsidRPr="00B953DA">
        <w:t xml:space="preserve"> </w:t>
      </w:r>
      <w:r w:rsidRPr="00B953DA">
        <w:t>that if the AER ultimately approves a lower amount for mains replacement than AGN proposed in its revised proposal, then AGN’s UAFG estimates could be expected to be higher.</w:t>
      </w:r>
      <w:r>
        <w:rPr>
          <w:rStyle w:val="FootnoteReference"/>
        </w:rPr>
        <w:footnoteReference w:id="87"/>
      </w:r>
    </w:p>
    <w:p w:rsidR="000A437E" w:rsidRDefault="000A437E" w:rsidP="00E51486">
      <w:r>
        <w:t>In response to a request from the AER</w:t>
      </w:r>
      <w:r w:rsidR="000B6735">
        <w:t>,</w:t>
      </w:r>
      <w:r>
        <w:t xml:space="preserve"> AGN provided a revised </w:t>
      </w:r>
      <w:r w:rsidR="008975C8" w:rsidRPr="008975C8">
        <w:t xml:space="preserve">UAFG volume </w:t>
      </w:r>
      <w:r>
        <w:t xml:space="preserve">forecast, taking into account more </w:t>
      </w:r>
      <w:r w:rsidR="00A60FFF">
        <w:t>recent</w:t>
      </w:r>
      <w:r>
        <w:t xml:space="preserve"> UAFG </w:t>
      </w:r>
      <w:r w:rsidR="008975C8">
        <w:t xml:space="preserve">data </w:t>
      </w:r>
      <w:r>
        <w:t>for 2014</w:t>
      </w:r>
      <w:r w:rsidR="000575AB" w:rsidRPr="000575AB">
        <w:t>–</w:t>
      </w:r>
      <w:r>
        <w:t xml:space="preserve">15, and </w:t>
      </w:r>
      <w:r w:rsidR="000B6735">
        <w:t xml:space="preserve">a further revision to the </w:t>
      </w:r>
      <w:r>
        <w:t>mains replacement program accepted by the AER in this access arrangement decision.</w:t>
      </w:r>
      <w:r w:rsidR="00A90828">
        <w:t xml:space="preserve"> The revised total UAFG volumes are 391</w:t>
      </w:r>
      <w:r w:rsidR="00D700CD">
        <w:t xml:space="preserve"> </w:t>
      </w:r>
      <w:r w:rsidR="00A90828">
        <w:t xml:space="preserve">TJ less than AGN's revised proposal, and </w:t>
      </w:r>
      <w:r w:rsidR="002D0BEF">
        <w:t xml:space="preserve">decrease </w:t>
      </w:r>
      <w:r w:rsidR="00A90828">
        <w:t>from 1258</w:t>
      </w:r>
      <w:r w:rsidR="00D700CD">
        <w:t xml:space="preserve"> </w:t>
      </w:r>
      <w:r w:rsidR="00A90828">
        <w:t>TJ in 2014</w:t>
      </w:r>
      <w:r w:rsidR="00FB739C">
        <w:t>–</w:t>
      </w:r>
      <w:r w:rsidR="00A90828">
        <w:t>15 to 1029</w:t>
      </w:r>
      <w:r w:rsidR="00D700CD">
        <w:t xml:space="preserve"> </w:t>
      </w:r>
      <w:r w:rsidR="00A90828">
        <w:t>TJ in 2020</w:t>
      </w:r>
      <w:r w:rsidR="00305676">
        <w:t>–</w:t>
      </w:r>
      <w:r w:rsidR="00A90828">
        <w:t>21.</w:t>
      </w:r>
      <w:r w:rsidR="009161D9">
        <w:rPr>
          <w:rStyle w:val="FootnoteReference"/>
        </w:rPr>
        <w:footnoteReference w:id="88"/>
      </w:r>
      <w:r w:rsidR="008975C8">
        <w:t xml:space="preserve"> We have accepted the updated forecast, on the basis that it relies on </w:t>
      </w:r>
      <w:r w:rsidR="00F536A0">
        <w:t>the most recent</w:t>
      </w:r>
      <w:r w:rsidR="008975C8">
        <w:t xml:space="preserve"> actual data and reflects the revised mains replacement program</w:t>
      </w:r>
      <w:r w:rsidR="00F536A0">
        <w:t xml:space="preserve"> contained in this final decision</w:t>
      </w:r>
      <w:r w:rsidR="008975C8">
        <w:t>.</w:t>
      </w:r>
    </w:p>
    <w:p w:rsidR="000E31D8" w:rsidRPr="000E31D8" w:rsidRDefault="000E31D8" w:rsidP="000E31D8"/>
    <w:sectPr w:rsidR="000E31D8" w:rsidRPr="000E31D8"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AD" w:rsidRPr="00290C63" w:rsidRDefault="00421DAD" w:rsidP="00290C63">
      <w:r>
        <w:separator/>
      </w:r>
    </w:p>
    <w:p w:rsidR="00421DAD" w:rsidRDefault="00421DAD"/>
  </w:endnote>
  <w:endnote w:type="continuationSeparator" w:id="0">
    <w:p w:rsidR="00421DAD" w:rsidRPr="00290C63" w:rsidRDefault="00421DAD" w:rsidP="00290C63">
      <w:r>
        <w:continuationSeparator/>
      </w:r>
    </w:p>
    <w:p w:rsidR="00421DAD" w:rsidRDefault="00421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AD" w:rsidRDefault="00421DA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421DAD" w:rsidRDefault="00421DAD">
    <w:pPr>
      <w:pStyle w:val="Footer"/>
    </w:pPr>
  </w:p>
  <w:p w:rsidR="00421DAD" w:rsidRDefault="00421DAD">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421DAD" w:rsidRPr="00CA52A2" w:rsidRDefault="00421DAD" w:rsidP="00CA52A2">
        <w:pPr>
          <w:pStyle w:val="Footer"/>
        </w:pPr>
        <w:r w:rsidRPr="00CA52A2">
          <w:fldChar w:fldCharType="begin"/>
        </w:r>
        <w:r>
          <w:instrText xml:space="preserve"> PAGE   \* MERGEFORMAT </w:instrText>
        </w:r>
        <w:r w:rsidRPr="00CA52A2">
          <w:fldChar w:fldCharType="separate"/>
        </w:r>
        <w:r w:rsidR="00961E5E">
          <w:rPr>
            <w:noProof/>
          </w:rPr>
          <w:t>7-25</w:t>
        </w:r>
        <w:r w:rsidRPr="00CA52A2">
          <w:fldChar w:fldCharType="end"/>
        </w:r>
        <w:r w:rsidRPr="00CA52A2">
          <w:t xml:space="preserve">          Attachment </w:t>
        </w:r>
        <w:r>
          <w:t xml:space="preserve">7 </w:t>
        </w:r>
        <w:r w:rsidRPr="00CA52A2">
          <w:t xml:space="preserve">– </w:t>
        </w:r>
        <w:r>
          <w:t xml:space="preserve">Operating expenditure </w:t>
        </w:r>
        <w:r w:rsidRPr="00CA52A2">
          <w:t xml:space="preserve">| </w:t>
        </w:r>
        <w:r>
          <w:t>Final decision: Australian Gas Networks Access Arrangement 2016</w:t>
        </w:r>
        <w:r w:rsidRPr="00CA52A2">
          <w:t>–</w:t>
        </w:r>
        <w:r>
          <w:t>21</w:t>
        </w:r>
      </w:p>
    </w:sdtContent>
  </w:sdt>
  <w:p w:rsidR="00421DAD" w:rsidRDefault="00421DAD">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AD" w:rsidRPr="00290C63" w:rsidRDefault="00421DAD" w:rsidP="00290C63">
      <w:r>
        <w:separator/>
      </w:r>
    </w:p>
    <w:p w:rsidR="00421DAD" w:rsidRDefault="00421DAD"/>
  </w:footnote>
  <w:footnote w:type="continuationSeparator" w:id="0">
    <w:p w:rsidR="00421DAD" w:rsidRPr="00290C63" w:rsidRDefault="00421DAD" w:rsidP="00290C63">
      <w:r>
        <w:continuationSeparator/>
      </w:r>
    </w:p>
    <w:p w:rsidR="00421DAD" w:rsidRDefault="00421DAD"/>
  </w:footnote>
  <w:footnote w:id="1">
    <w:p w:rsidR="00421DAD" w:rsidRDefault="00421DAD">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proofErr w:type="gramStart"/>
      <w:r>
        <w:t>74, 91.</w:t>
      </w:r>
      <w:proofErr w:type="gramEnd"/>
    </w:p>
  </w:footnote>
  <w:footnote w:id="2">
    <w:p w:rsidR="00421DAD" w:rsidRDefault="00421DAD">
      <w:pPr>
        <w:pStyle w:val="FootnoteText"/>
      </w:pPr>
      <w:r>
        <w:rPr>
          <w:rStyle w:val="FootnoteReference"/>
        </w:rPr>
        <w:footnoteRef/>
      </w:r>
      <w:r>
        <w:t xml:space="preserve"> </w:t>
      </w:r>
      <w:r>
        <w:tab/>
        <w:t xml:space="preserve">After the release of our draft decision we corrected </w:t>
      </w:r>
      <w:r w:rsidRPr="009B5201">
        <w:t xml:space="preserve">a modelling error </w:t>
      </w:r>
      <w:r>
        <w:t xml:space="preserve">which led to an increase in approved opex from $342.35 million to </w:t>
      </w:r>
      <w:r w:rsidRPr="009B5201">
        <w:t>$347.4</w:t>
      </w:r>
      <w:r>
        <w:t xml:space="preserve">0 </w:t>
      </w:r>
      <w:r w:rsidRPr="009B5201">
        <w:t>m</w:t>
      </w:r>
      <w:r>
        <w:t>illion</w:t>
      </w:r>
      <w:r w:rsidRPr="009B5201">
        <w:t xml:space="preserve">. AGN was advised of this error before </w:t>
      </w:r>
      <w:r>
        <w:t xml:space="preserve">the </w:t>
      </w:r>
      <w:r w:rsidRPr="009B5201">
        <w:t>submission of its revised proposal.</w:t>
      </w:r>
    </w:p>
  </w:footnote>
  <w:footnote w:id="3">
    <w:p w:rsidR="00421DAD" w:rsidRDefault="00421DAD">
      <w:pPr>
        <w:pStyle w:val="FootnoteText"/>
      </w:pPr>
      <w:r>
        <w:rPr>
          <w:rStyle w:val="FootnoteReference"/>
        </w:rPr>
        <w:footnoteRef/>
      </w:r>
      <w:r>
        <w:t xml:space="preserve"> </w:t>
      </w:r>
      <w:r>
        <w:tab/>
        <w:t xml:space="preserve">Debt raising costs are discussed in this final decision in Attachment 3 (Rate of Return). </w:t>
      </w:r>
    </w:p>
  </w:footnote>
  <w:footnote w:id="4">
    <w:p w:rsidR="00421DAD" w:rsidRDefault="00421DAD" w:rsidP="00293157">
      <w:pPr>
        <w:pStyle w:val="FootnoteText"/>
      </w:pPr>
      <w:r>
        <w:rPr>
          <w:rStyle w:val="FootnoteReference"/>
        </w:rPr>
        <w:footnoteRef/>
      </w:r>
      <w:r>
        <w:t xml:space="preserve"> </w:t>
      </w:r>
      <w:r>
        <w:tab/>
      </w:r>
      <w:r w:rsidRPr="00B3497F">
        <w:t xml:space="preserve">Australian Gas Networks, </w:t>
      </w:r>
      <w:r w:rsidRPr="00B3497F">
        <w:rPr>
          <w:rStyle w:val="Emphasis"/>
        </w:rPr>
        <w:t>Revised Access Information for Australian Gas Networks’ South Australian Natural Gas Distribution Network, Attachment 7.8: Response Draft Decision Operating Expenditure</w:t>
      </w:r>
      <w:r w:rsidRPr="00B3497F">
        <w:t xml:space="preserve">, January 2016, p. </w:t>
      </w:r>
      <w:r>
        <w:t>19</w:t>
      </w:r>
      <w:r w:rsidRPr="00B3497F">
        <w:t>.</w:t>
      </w:r>
    </w:p>
  </w:footnote>
  <w:footnote w:id="5">
    <w:p w:rsidR="00421DAD" w:rsidRDefault="00421DAD" w:rsidP="00293157">
      <w:pPr>
        <w:pStyle w:val="FootnoteText"/>
      </w:pPr>
      <w:r>
        <w:rPr>
          <w:rStyle w:val="FootnoteReference"/>
        </w:rPr>
        <w:footnoteRef/>
      </w:r>
      <w:r>
        <w:t xml:space="preserve"> </w:t>
      </w:r>
      <w:r>
        <w:tab/>
      </w:r>
      <w:r w:rsidRPr="00B3497F">
        <w:t xml:space="preserve">Australian Gas Networks, </w:t>
      </w:r>
      <w:r w:rsidRPr="00B3497F">
        <w:rPr>
          <w:rStyle w:val="Emphasis"/>
        </w:rPr>
        <w:t>Revised Access Information for Australian Gas Networks’ South Australian Natural Gas Distribution Network, Attachment 7.8: Response Draft Decision Operating Expenditure</w:t>
      </w:r>
      <w:r w:rsidRPr="00B3497F">
        <w:t xml:space="preserve">, January 2016, p. </w:t>
      </w:r>
      <w:r>
        <w:t>3</w:t>
      </w:r>
      <w:r w:rsidRPr="00B3497F">
        <w:t>.</w:t>
      </w:r>
    </w:p>
  </w:footnote>
  <w:footnote w:id="6">
    <w:p w:rsidR="00421DAD" w:rsidRDefault="00421DAD" w:rsidP="00293157">
      <w:pPr>
        <w:pStyle w:val="FootnoteText"/>
      </w:pPr>
      <w:r>
        <w:rPr>
          <w:rStyle w:val="FootnoteReference"/>
        </w:rPr>
        <w:footnoteRef/>
      </w:r>
      <w:r>
        <w:t xml:space="preserve"> </w:t>
      </w:r>
      <w:r>
        <w:tab/>
        <w:t>AGN originally only accepted the reclassification of two projects, but later revised its position on the third project. See section 7.4.4.3 for more detail.</w:t>
      </w:r>
    </w:p>
  </w:footnote>
  <w:footnote w:id="7">
    <w:p w:rsidR="00421DAD" w:rsidRDefault="00421DAD" w:rsidP="000E31D8">
      <w:pPr>
        <w:pStyle w:val="FootnoteText"/>
      </w:pPr>
      <w:r>
        <w:rPr>
          <w:rStyle w:val="FootnoteReference"/>
        </w:rPr>
        <w:footnoteRef/>
      </w:r>
      <w:r>
        <w:t xml:space="preserve"> </w:t>
      </w:r>
      <w:r>
        <w:tab/>
        <w:t>Also see NGR, r. 40(2).</w:t>
      </w:r>
    </w:p>
  </w:footnote>
  <w:footnote w:id="8">
    <w:p w:rsidR="00421DAD" w:rsidRDefault="00421DAD" w:rsidP="000E31D8">
      <w:pPr>
        <w:pStyle w:val="FootnoteText"/>
      </w:pPr>
      <w:r>
        <w:rPr>
          <w:rStyle w:val="FootnoteReference"/>
        </w:rPr>
        <w:footnoteRef/>
      </w:r>
      <w:r>
        <w:t xml:space="preserve"> </w:t>
      </w:r>
      <w:r>
        <w:tab/>
        <w:t xml:space="preserve">AER, </w:t>
      </w:r>
      <w:r w:rsidRPr="00E355EF">
        <w:rPr>
          <w:rStyle w:val="Emphasis"/>
        </w:rPr>
        <w:t>Expenditure Forecast Assessment Guideline for Electricity Distribution</w:t>
      </w:r>
      <w:r>
        <w:t xml:space="preserve">, November 2013 and AER, </w:t>
      </w:r>
      <w:r w:rsidRPr="00E355EF">
        <w:rPr>
          <w:rStyle w:val="Emphasis"/>
        </w:rPr>
        <w:t>Explanatory Statement</w:t>
      </w:r>
      <w:r>
        <w:rPr>
          <w:rStyle w:val="Emphasis"/>
        </w:rPr>
        <w:t xml:space="preserve"> Expenditure Forecast Guideline,</w:t>
      </w:r>
      <w:r>
        <w:t xml:space="preserve"> November 2013.</w:t>
      </w:r>
    </w:p>
  </w:footnote>
  <w:footnote w:id="9">
    <w:p w:rsidR="00421DAD" w:rsidRDefault="00421DAD" w:rsidP="000E31D8">
      <w:pPr>
        <w:pStyle w:val="FootnoteText"/>
      </w:pPr>
      <w:r>
        <w:rPr>
          <w:rStyle w:val="FootnoteReference"/>
        </w:rPr>
        <w:footnoteRef/>
      </w:r>
      <w:r>
        <w:t xml:space="preserve"> </w:t>
      </w:r>
      <w:r>
        <w:tab/>
        <w:t xml:space="preserve">AER, </w:t>
      </w:r>
      <w:r w:rsidRPr="00E355EF">
        <w:rPr>
          <w:rStyle w:val="Emphasis"/>
        </w:rPr>
        <w:t>Expenditure Forecast Assessment Guideline for Electricity Distribution</w:t>
      </w:r>
      <w:r>
        <w:t xml:space="preserve">, November 2013 and AER, </w:t>
      </w:r>
      <w:r w:rsidRPr="00E355EF">
        <w:rPr>
          <w:rStyle w:val="Emphasis"/>
        </w:rPr>
        <w:t>Explanatory Statement</w:t>
      </w:r>
      <w:r>
        <w:rPr>
          <w:rStyle w:val="Emphasis"/>
        </w:rPr>
        <w:t xml:space="preserve"> Expenditure Forecast Guideline,</w:t>
      </w:r>
      <w:r>
        <w:t xml:space="preserve"> November 2013.</w:t>
      </w:r>
    </w:p>
  </w:footnote>
  <w:footnote w:id="10">
    <w:p w:rsidR="00421DAD" w:rsidRDefault="00421DAD">
      <w:pPr>
        <w:pStyle w:val="FootnoteText"/>
      </w:pPr>
      <w:r>
        <w:rPr>
          <w:rStyle w:val="FootnoteReference"/>
        </w:rPr>
        <w:footnoteRef/>
      </w:r>
      <w:r>
        <w:t xml:space="preserve"> </w:t>
      </w:r>
      <w:r>
        <w:tab/>
      </w:r>
      <w:r w:rsidRPr="0080259E">
        <w:t xml:space="preserve">AER, </w:t>
      </w:r>
      <w:r w:rsidRPr="0080259E">
        <w:rPr>
          <w:rStyle w:val="Emphasis"/>
        </w:rPr>
        <w:t>Draft Decision: Australian Gas Networks (SA) Access Arrangement 2016-21</w:t>
      </w:r>
      <w:r w:rsidRPr="0080259E">
        <w:t xml:space="preserve">, </w:t>
      </w:r>
      <w:r w:rsidRPr="0080259E">
        <w:rPr>
          <w:rStyle w:val="Emphasis"/>
        </w:rPr>
        <w:t>Attachment 7</w:t>
      </w:r>
      <w:r w:rsidRPr="0080259E">
        <w:t xml:space="preserve">, November 2015, pp. </w:t>
      </w:r>
      <w:r>
        <w:t>7-1</w:t>
      </w:r>
      <w:r w:rsidRPr="0080259E">
        <w:t>0</w:t>
      </w:r>
      <w:r>
        <w:t xml:space="preserve"> to 7</w:t>
      </w:r>
      <w:r w:rsidRPr="0080259E">
        <w:t>-</w:t>
      </w:r>
      <w:r>
        <w:t>1</w:t>
      </w:r>
      <w:r w:rsidRPr="0080259E">
        <w:t>3.</w:t>
      </w:r>
    </w:p>
  </w:footnote>
  <w:footnote w:id="11">
    <w:p w:rsidR="00421DAD" w:rsidRDefault="00421DAD" w:rsidP="005E5C9C">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proofErr w:type="gramStart"/>
      <w:r>
        <w:t>74, 91.</w:t>
      </w:r>
      <w:proofErr w:type="gramEnd"/>
    </w:p>
  </w:footnote>
  <w:footnote w:id="12">
    <w:p w:rsidR="00421DAD" w:rsidRDefault="00421DAD">
      <w:pPr>
        <w:pStyle w:val="FootnoteText"/>
      </w:pPr>
      <w:r>
        <w:rPr>
          <w:rStyle w:val="FootnoteReference"/>
        </w:rPr>
        <w:footnoteRef/>
      </w:r>
      <w:r>
        <w:t xml:space="preserve"> </w:t>
      </w:r>
      <w:r>
        <w:tab/>
      </w:r>
      <w:r w:rsidRPr="00B3497F">
        <w:t xml:space="preserve">Australian Gas Networks, </w:t>
      </w:r>
      <w:r w:rsidRPr="00B3497F">
        <w:rPr>
          <w:rStyle w:val="Emphasis"/>
        </w:rPr>
        <w:t>Australian Gas Networks S</w:t>
      </w:r>
      <w:r>
        <w:rPr>
          <w:rStyle w:val="Emphasis"/>
        </w:rPr>
        <w:t>A Access Arrangement Information</w:t>
      </w:r>
      <w:r w:rsidRPr="00B3497F">
        <w:t>, J</w:t>
      </w:r>
      <w:r>
        <w:t>uly 2015</w:t>
      </w:r>
      <w:r w:rsidRPr="00B3497F">
        <w:t xml:space="preserve">, p. </w:t>
      </w:r>
      <w:r>
        <w:t>192</w:t>
      </w:r>
      <w:r w:rsidRPr="00B3497F">
        <w:t>.</w:t>
      </w:r>
    </w:p>
  </w:footnote>
  <w:footnote w:id="13">
    <w:p w:rsidR="00421DAD" w:rsidRDefault="00421DAD" w:rsidP="00C02C1B">
      <w:pPr>
        <w:pStyle w:val="FootnoteText"/>
      </w:pPr>
      <w:r>
        <w:rPr>
          <w:rStyle w:val="FootnoteReference"/>
        </w:rPr>
        <w:footnoteRef/>
      </w:r>
      <w:r>
        <w:t xml:space="preserve"> </w:t>
      </w:r>
      <w:r>
        <w:tab/>
        <w:t xml:space="preserve">Attachment 9 contains information on the efficiency carryover mechanism applied to AGN in the 2010–15 </w:t>
      </w:r>
      <w:proofErr w:type="gramStart"/>
      <w:r>
        <w:t>period</w:t>
      </w:r>
      <w:proofErr w:type="gramEnd"/>
      <w:r>
        <w:t>.</w:t>
      </w:r>
    </w:p>
  </w:footnote>
  <w:footnote w:id="14">
    <w:p w:rsidR="00421DAD" w:rsidRDefault="00421DAD">
      <w:pPr>
        <w:pStyle w:val="FootnoteText"/>
      </w:pPr>
      <w:r>
        <w:rPr>
          <w:rStyle w:val="FootnoteReference"/>
        </w:rPr>
        <w:footnoteRef/>
      </w:r>
      <w:r>
        <w:t xml:space="preserve"> </w:t>
      </w:r>
      <w:r>
        <w:tab/>
      </w:r>
      <w:r w:rsidRPr="0080259E">
        <w:t xml:space="preserve">Energy Consumer’s Coalition of South Australia, </w:t>
      </w:r>
      <w:r w:rsidRPr="0080259E">
        <w:rPr>
          <w:rStyle w:val="Emphasis"/>
        </w:rPr>
        <w:t>Response to the AER Draft Decision on AGN’s AA 2016 Revenue Reset</w:t>
      </w:r>
      <w:r w:rsidRPr="0080259E">
        <w:t>, February 2016, p. 2</w:t>
      </w:r>
      <w:r>
        <w:t>4</w:t>
      </w:r>
      <w:r w:rsidRPr="0080259E">
        <w:t>.</w:t>
      </w:r>
    </w:p>
  </w:footnote>
  <w:footnote w:id="15">
    <w:p w:rsidR="00421DAD" w:rsidRDefault="00421DAD" w:rsidP="002C64A0">
      <w:pPr>
        <w:pStyle w:val="FootnoteText"/>
      </w:pPr>
      <w:r>
        <w:rPr>
          <w:rStyle w:val="FootnoteReference"/>
        </w:rPr>
        <w:footnoteRef/>
      </w:r>
      <w:r>
        <w:t xml:space="preserve"> </w:t>
      </w:r>
      <w:r>
        <w:tab/>
      </w:r>
      <w:r w:rsidRPr="002A48D5">
        <w:t>Economic Insights</w:t>
      </w:r>
      <w:r w:rsidRPr="00402F0C">
        <w:rPr>
          <w:rStyle w:val="Emphasis"/>
        </w:rPr>
        <w:t>, Benchmarking Australian Gas Networks’ South Australian Business Operating and Capital Costs using Partial Indicators</w:t>
      </w:r>
      <w:r w:rsidRPr="002A48D5">
        <w:t xml:space="preserve">, report prepared for Australian Gas Networks Limited, 21 May 2015, p. iv. </w:t>
      </w:r>
      <w:proofErr w:type="gramStart"/>
      <w:r w:rsidRPr="002A48D5">
        <w:t>(Attachment 4.2 to AGN’s Access Arrangement Information July 2015).</w:t>
      </w:r>
      <w:proofErr w:type="gramEnd"/>
      <w:r>
        <w:t xml:space="preserve"> AER, </w:t>
      </w:r>
      <w:r w:rsidRPr="00742DCB">
        <w:rPr>
          <w:rStyle w:val="Emphasis"/>
        </w:rPr>
        <w:t>Draft Decision: Australian Gas Networks (SA) Access Arrangement 2016-21</w:t>
      </w:r>
      <w:r>
        <w:t xml:space="preserve">, </w:t>
      </w:r>
      <w:r w:rsidRPr="00742DCB">
        <w:rPr>
          <w:rStyle w:val="Emphasis"/>
        </w:rPr>
        <w:t>Attachment 7</w:t>
      </w:r>
      <w:r>
        <w:t>, November 2015, p. 7-15.</w:t>
      </w:r>
    </w:p>
  </w:footnote>
  <w:footnote w:id="16">
    <w:p w:rsidR="00421DAD" w:rsidRDefault="00421DAD">
      <w:pPr>
        <w:pStyle w:val="FootnoteText"/>
      </w:pPr>
      <w:r>
        <w:rPr>
          <w:rStyle w:val="FootnoteReference"/>
        </w:rPr>
        <w:footnoteRef/>
      </w:r>
      <w:r>
        <w:t xml:space="preserve"> </w:t>
      </w:r>
      <w:r>
        <w:tab/>
        <w:t xml:space="preserve">See AER, </w:t>
      </w:r>
      <w:r w:rsidRPr="00742DCB">
        <w:rPr>
          <w:rStyle w:val="Emphasis"/>
        </w:rPr>
        <w:t>Draft Decision: Australian Gas Networks (SA) Access Arrangement 2016-21</w:t>
      </w:r>
      <w:r>
        <w:t xml:space="preserve">, </w:t>
      </w:r>
      <w:r w:rsidRPr="00742DCB">
        <w:rPr>
          <w:rStyle w:val="Emphasis"/>
        </w:rPr>
        <w:t>Attachment 7</w:t>
      </w:r>
      <w:r>
        <w:t>, November 2015, p. 7-16.</w:t>
      </w:r>
    </w:p>
  </w:footnote>
  <w:footnote w:id="17">
    <w:p w:rsidR="00421DAD" w:rsidRDefault="00421DAD">
      <w:pPr>
        <w:pStyle w:val="FootnoteText"/>
      </w:pPr>
      <w:r>
        <w:rPr>
          <w:rStyle w:val="FootnoteReference"/>
        </w:rPr>
        <w:footnoteRef/>
      </w:r>
      <w:r>
        <w:t xml:space="preserve"> </w:t>
      </w:r>
      <w:r>
        <w:tab/>
        <w:t xml:space="preserve">See AER, </w:t>
      </w:r>
      <w:r w:rsidRPr="00742DCB">
        <w:rPr>
          <w:rStyle w:val="Emphasis"/>
        </w:rPr>
        <w:t>Draft Decision: Australian Gas Networks (SA) Access Arrangement 2016-21</w:t>
      </w:r>
      <w:r>
        <w:t xml:space="preserve">, </w:t>
      </w:r>
      <w:r w:rsidRPr="00742DCB">
        <w:rPr>
          <w:rStyle w:val="Emphasis"/>
        </w:rPr>
        <w:t>Attachment 7</w:t>
      </w:r>
      <w:r>
        <w:t>, November 2015, pp. 7-30 to 7-31.</w:t>
      </w:r>
    </w:p>
  </w:footnote>
  <w:footnote w:id="18">
    <w:p w:rsidR="00421DAD" w:rsidRDefault="00421DAD">
      <w:pPr>
        <w:pStyle w:val="FootnoteText"/>
      </w:pPr>
      <w:r>
        <w:rPr>
          <w:rStyle w:val="FootnoteReference"/>
        </w:rPr>
        <w:footnoteRef/>
      </w:r>
      <w:r>
        <w:t xml:space="preserve"> </w:t>
      </w:r>
      <w:r>
        <w:tab/>
        <w:t>This issue is discussed in more detail in section 7.4.4.3 of this attachment.</w:t>
      </w:r>
    </w:p>
  </w:footnote>
  <w:footnote w:id="19">
    <w:p w:rsidR="00421DAD" w:rsidRDefault="00421DAD" w:rsidP="00913BC0">
      <w:pPr>
        <w:pStyle w:val="FootnoteText"/>
      </w:pPr>
      <w:r>
        <w:rPr>
          <w:rStyle w:val="FootnoteReference"/>
        </w:rPr>
        <w:footnoteRef/>
      </w:r>
      <w:r>
        <w:t xml:space="preserve"> </w:t>
      </w:r>
      <w:r>
        <w:tab/>
        <w:t xml:space="preserve">Australian Gas Networks, </w:t>
      </w:r>
      <w:r w:rsidRPr="008B510C">
        <w:rPr>
          <w:rStyle w:val="Emphasis"/>
        </w:rPr>
        <w:t>Response to Information Request 034</w:t>
      </w:r>
      <w:r>
        <w:t>, 4 February 2016.</w:t>
      </w:r>
    </w:p>
  </w:footnote>
  <w:footnote w:id="20">
    <w:p w:rsidR="00421DAD" w:rsidRDefault="00421DAD" w:rsidP="00742DCB">
      <w:pPr>
        <w:pStyle w:val="FootnoteText"/>
      </w:pPr>
      <w:r>
        <w:rPr>
          <w:rStyle w:val="FootnoteReference"/>
        </w:rPr>
        <w:footnoteRef/>
      </w:r>
      <w:r>
        <w:t xml:space="preserve"> </w:t>
      </w:r>
      <w:r>
        <w:tab/>
        <w:t xml:space="preserve">AER, </w:t>
      </w:r>
      <w:r w:rsidRPr="007B7632">
        <w:rPr>
          <w:rStyle w:val="AERtextitalic"/>
        </w:rPr>
        <w:t>Expenditure forecast assessment guidelines - Explanatory statement</w:t>
      </w:r>
      <w:r>
        <w:t>, November 2013,</w:t>
      </w:r>
      <w:r w:rsidRPr="007B7632">
        <w:t xml:space="preserve"> </w:t>
      </w:r>
      <w:r>
        <w:t>p. 61.</w:t>
      </w:r>
    </w:p>
  </w:footnote>
  <w:footnote w:id="21">
    <w:p w:rsidR="00421DAD" w:rsidRDefault="00421DAD" w:rsidP="003D0C8F">
      <w:pPr>
        <w:pStyle w:val="FootnoteText"/>
      </w:pPr>
      <w:r>
        <w:rPr>
          <w:rStyle w:val="FootnoteReference"/>
        </w:rPr>
        <w:footnoteRef/>
      </w:r>
      <w:r>
        <w:t xml:space="preserve"> </w:t>
      </w:r>
      <w:r>
        <w:tab/>
      </w:r>
      <w:r w:rsidRPr="003D0C8F">
        <w:t>The formula used by the AER to derive total rate of change takes into account the cumulative nature of the rate of change factors, rather than the simplified formula shown here. That is:</w:t>
      </w:r>
      <w:r>
        <w:t xml:space="preserve"> </w:t>
      </w:r>
    </w:p>
    <w:p w:rsidR="00421DAD" w:rsidRDefault="00421DAD" w:rsidP="003D0C8F">
      <w:pPr>
        <w:pStyle w:val="FootnoteText"/>
      </w:pPr>
      <w:r>
        <w:tab/>
      </w:r>
      <w:r w:rsidRPr="003D0C8F">
        <w:rPr>
          <w:rStyle w:val="Emphasis"/>
        </w:rPr>
        <w:t>Rate of change = (1 + price growth) × (1 + output growth) × (1 – productivity growth) – 1</w:t>
      </w:r>
      <w:r>
        <w:t>.</w:t>
      </w:r>
    </w:p>
  </w:footnote>
  <w:footnote w:id="22">
    <w:p w:rsidR="00421DAD" w:rsidRPr="001C7502" w:rsidRDefault="00421DAD" w:rsidP="00A678BA">
      <w:pPr>
        <w:pStyle w:val="FootnoteText"/>
        <w:rPr>
          <w:rStyle w:val="AERtexthighlight"/>
        </w:rPr>
      </w:pPr>
      <w:r>
        <w:rPr>
          <w:rStyle w:val="FootnoteReference"/>
        </w:rPr>
        <w:footnoteRef/>
      </w:r>
      <w:r>
        <w:t xml:space="preserve"> </w:t>
      </w:r>
      <w:r>
        <w:tab/>
        <w:t xml:space="preserve">Australian Gas Networks, </w:t>
      </w:r>
      <w:r w:rsidRPr="00816654">
        <w:rPr>
          <w:rStyle w:val="Emphasis"/>
        </w:rPr>
        <w:t>Revised Access Information for Australian Gas Networks’ South Australian Natural Gas Distribution Network, Attachment 7.8: Response Draft Decision Operating Expenditure</w:t>
      </w:r>
      <w:r>
        <w:t>, January 2016, pp. 8</w:t>
      </w:r>
      <w:r w:rsidRPr="004F6349">
        <w:t>–</w:t>
      </w:r>
      <w:r>
        <w:t>9.</w:t>
      </w:r>
    </w:p>
  </w:footnote>
  <w:footnote w:id="23">
    <w:p w:rsidR="00421DAD" w:rsidRDefault="00421DAD">
      <w:pPr>
        <w:pStyle w:val="FootnoteText"/>
      </w:pPr>
      <w:r>
        <w:rPr>
          <w:rStyle w:val="FootnoteReference"/>
        </w:rPr>
        <w:footnoteRef/>
      </w:r>
      <w:r>
        <w:t xml:space="preserve"> </w:t>
      </w:r>
      <w:r>
        <w:tab/>
      </w:r>
      <w:r w:rsidRPr="00AE4EF1">
        <w:t>Business SA</w:t>
      </w:r>
      <w:r>
        <w:t xml:space="preserve">, </w:t>
      </w:r>
      <w:r w:rsidRPr="00AE4EF1">
        <w:rPr>
          <w:rStyle w:val="Emphasis"/>
        </w:rPr>
        <w:t>Submission on AER draft decision and AGN revised proposal</w:t>
      </w:r>
      <w:r>
        <w:t xml:space="preserve">, </w:t>
      </w:r>
      <w:r w:rsidRPr="00AE4EF1">
        <w:t>29 January 2016</w:t>
      </w:r>
      <w:r>
        <w:t>, p. 1.</w:t>
      </w:r>
    </w:p>
  </w:footnote>
  <w:footnote w:id="24">
    <w:p w:rsidR="00421DAD" w:rsidRDefault="00421DAD" w:rsidP="002E2BF5">
      <w:pPr>
        <w:pStyle w:val="FootnoteText"/>
      </w:pPr>
      <w:r>
        <w:rPr>
          <w:rStyle w:val="FootnoteReference"/>
        </w:rPr>
        <w:footnoteRef/>
      </w:r>
      <w:r>
        <w:t xml:space="preserve"> </w:t>
      </w:r>
      <w:r>
        <w:tab/>
      </w:r>
      <w:r w:rsidRPr="00AE4EF1">
        <w:t>Business SA</w:t>
      </w:r>
      <w:r>
        <w:t xml:space="preserve">, </w:t>
      </w:r>
      <w:r w:rsidRPr="00AE4EF1">
        <w:rPr>
          <w:rStyle w:val="Emphasis"/>
        </w:rPr>
        <w:t>Submission on AER draft decision and AGN revised proposal</w:t>
      </w:r>
      <w:r>
        <w:t xml:space="preserve">, </w:t>
      </w:r>
      <w:r w:rsidRPr="00AE4EF1">
        <w:t>29 January 2016</w:t>
      </w:r>
      <w:r>
        <w:t>, p. 3.</w:t>
      </w:r>
    </w:p>
  </w:footnote>
  <w:footnote w:id="25">
    <w:p w:rsidR="00421DAD" w:rsidRDefault="00421DAD" w:rsidP="002E2BF5">
      <w:pPr>
        <w:pStyle w:val="FootnoteText"/>
      </w:pPr>
      <w:r>
        <w:rPr>
          <w:rStyle w:val="FootnoteReference"/>
        </w:rPr>
        <w:footnoteRef/>
      </w:r>
      <w:r>
        <w:t xml:space="preserve"> </w:t>
      </w:r>
      <w:r>
        <w:tab/>
        <w:t xml:space="preserve">AER, </w:t>
      </w:r>
      <w:r w:rsidRPr="00C37599">
        <w:rPr>
          <w:i/>
        </w:rPr>
        <w:t xml:space="preserve">Access arrangement final decision </w:t>
      </w:r>
      <w:r>
        <w:rPr>
          <w:i/>
        </w:rPr>
        <w:t>SPI Networks (Gas) Pty Ltd 2013</w:t>
      </w:r>
      <w:r>
        <w:t>–</w:t>
      </w:r>
      <w:r w:rsidRPr="00C37599">
        <w:rPr>
          <w:i/>
        </w:rPr>
        <w:t>17</w:t>
      </w:r>
      <w:r>
        <w:t xml:space="preserve"> – Part 3: appendices, March 2013, p. 7.</w:t>
      </w:r>
    </w:p>
  </w:footnote>
  <w:footnote w:id="26">
    <w:p w:rsidR="00421DAD" w:rsidRDefault="00421DAD">
      <w:pPr>
        <w:pStyle w:val="FootnoteText"/>
      </w:pPr>
      <w:r>
        <w:rPr>
          <w:rStyle w:val="FootnoteReference"/>
        </w:rPr>
        <w:footnoteRef/>
      </w:r>
      <w:r>
        <w:t xml:space="preserve"> </w:t>
      </w:r>
      <w:r>
        <w:tab/>
        <w:t xml:space="preserve">This included using February 2016 DAE forecasts for South Australian labour price growth. We also obtained from AGN updated BIS Shrapnel data - see Australian Gas Networks, </w:t>
      </w:r>
      <w:r w:rsidRPr="008B510C">
        <w:rPr>
          <w:rStyle w:val="Emphasis"/>
        </w:rPr>
        <w:t>Response to Information Request 0</w:t>
      </w:r>
      <w:r>
        <w:rPr>
          <w:rStyle w:val="Emphasis"/>
        </w:rPr>
        <w:t>43</w:t>
      </w:r>
      <w:r>
        <w:t xml:space="preserve">, 26 February 2016. </w:t>
      </w:r>
    </w:p>
  </w:footnote>
  <w:footnote w:id="27">
    <w:p w:rsidR="00421DAD" w:rsidRDefault="00421DAD">
      <w:pPr>
        <w:pStyle w:val="FootnoteText"/>
      </w:pPr>
      <w:r>
        <w:rPr>
          <w:rStyle w:val="FootnoteReference"/>
        </w:rPr>
        <w:footnoteRef/>
      </w:r>
      <w:r>
        <w:t xml:space="preserve"> </w:t>
      </w:r>
      <w:r>
        <w:tab/>
      </w:r>
      <w:r w:rsidRPr="00AE4EF1">
        <w:t>Business SA</w:t>
      </w:r>
      <w:r>
        <w:t xml:space="preserve">, </w:t>
      </w:r>
      <w:r w:rsidRPr="00AE4EF1">
        <w:rPr>
          <w:rStyle w:val="Emphasis"/>
        </w:rPr>
        <w:t>Submission on AER draft decision and AGN revised proposal</w:t>
      </w:r>
      <w:r>
        <w:t xml:space="preserve">, </w:t>
      </w:r>
      <w:r w:rsidRPr="00AE4EF1">
        <w:t>29 January 2016</w:t>
      </w:r>
      <w:r>
        <w:t>, p. 3.</w:t>
      </w:r>
    </w:p>
  </w:footnote>
  <w:footnote w:id="28">
    <w:p w:rsidR="00421DAD" w:rsidRDefault="00421DAD" w:rsidP="002E2BF5">
      <w:pPr>
        <w:pStyle w:val="FootnoteText"/>
      </w:pPr>
      <w:r>
        <w:rPr>
          <w:rStyle w:val="FootnoteReference"/>
        </w:rPr>
        <w:footnoteRef/>
      </w:r>
      <w:r>
        <w:tab/>
      </w:r>
      <w:r w:rsidRPr="00AE4EF1">
        <w:t>Business SA</w:t>
      </w:r>
      <w:r>
        <w:t xml:space="preserve">, </w:t>
      </w:r>
      <w:r w:rsidRPr="00AE4EF1">
        <w:rPr>
          <w:rStyle w:val="Emphasis"/>
        </w:rPr>
        <w:t>Submission on AER draft decision and AGN revised proposal</w:t>
      </w:r>
      <w:r>
        <w:t xml:space="preserve">, </w:t>
      </w:r>
      <w:r w:rsidRPr="00AE4EF1">
        <w:t>29 January 2016</w:t>
      </w:r>
      <w:r>
        <w:t xml:space="preserve">, p. 3; See also </w:t>
      </w:r>
      <w:r w:rsidRPr="00D65855">
        <w:t xml:space="preserve">AER, </w:t>
      </w:r>
      <w:r w:rsidRPr="00D65855">
        <w:rPr>
          <w:rStyle w:val="Emphasis"/>
        </w:rPr>
        <w:t>Draft Decision: Australian Gas Networks (SA) Access Arrangement 2016-21</w:t>
      </w:r>
      <w:r w:rsidRPr="00D65855">
        <w:t xml:space="preserve">, </w:t>
      </w:r>
      <w:r w:rsidRPr="00D65855">
        <w:rPr>
          <w:rStyle w:val="Emphasis"/>
        </w:rPr>
        <w:t xml:space="preserve">Attachment </w:t>
      </w:r>
      <w:r>
        <w:rPr>
          <w:rStyle w:val="Emphasis"/>
        </w:rPr>
        <w:t>9</w:t>
      </w:r>
      <w:r w:rsidRPr="00D65855">
        <w:t>, November 2015, p</w:t>
      </w:r>
      <w:r>
        <w:t>p</w:t>
      </w:r>
      <w:r w:rsidRPr="00D65855">
        <w:t xml:space="preserve">. </w:t>
      </w:r>
      <w:r>
        <w:t>23</w:t>
      </w:r>
      <w:r w:rsidRPr="004F6349">
        <w:t>–</w:t>
      </w:r>
      <w:r>
        <w:t>24.</w:t>
      </w:r>
    </w:p>
  </w:footnote>
  <w:footnote w:id="29">
    <w:p w:rsidR="00421DAD" w:rsidRDefault="00421DAD">
      <w:pPr>
        <w:pStyle w:val="FootnoteText"/>
      </w:pPr>
      <w:r>
        <w:rPr>
          <w:rStyle w:val="FootnoteReference"/>
        </w:rPr>
        <w:footnoteRef/>
      </w:r>
      <w:r>
        <w:t xml:space="preserve"> </w:t>
      </w:r>
      <w:r>
        <w:tab/>
        <w:t xml:space="preserve">Australian Gas Networks, </w:t>
      </w:r>
      <w:r w:rsidRPr="00816654">
        <w:rPr>
          <w:rStyle w:val="Emphasis"/>
        </w:rPr>
        <w:t>Revised Access Information for Australian Gas Networks’ South Australian Natural Gas Distribution Network, Attachment 7.8: Response Draft Decision Operating Expenditure</w:t>
      </w:r>
      <w:r>
        <w:t>, January 2016, p. 9.</w:t>
      </w:r>
    </w:p>
  </w:footnote>
  <w:footnote w:id="30">
    <w:p w:rsidR="00421DAD" w:rsidRDefault="00421DAD" w:rsidP="00586B2C">
      <w:pPr>
        <w:pStyle w:val="FootnoteText"/>
      </w:pPr>
      <w:r>
        <w:rPr>
          <w:rStyle w:val="FootnoteReference"/>
        </w:rPr>
        <w:footnoteRef/>
      </w:r>
      <w:r>
        <w:t xml:space="preserve"> </w:t>
      </w:r>
      <w:r>
        <w:tab/>
      </w:r>
      <w:r w:rsidRPr="00586B2C">
        <w:rPr>
          <w:rStyle w:val="AERtexthighlight"/>
          <w:shd w:val="clear" w:color="auto" w:fill="auto"/>
        </w:rPr>
        <w:t>See Attachment 13 - Demand, of this decision.</w:t>
      </w:r>
      <w:r w:rsidRPr="00060732">
        <w:rPr>
          <w:rStyle w:val="AERbody"/>
        </w:rPr>
        <w:t xml:space="preserve"> </w:t>
      </w:r>
      <w:r w:rsidRPr="00060732">
        <w:t xml:space="preserve">We note that the </w:t>
      </w:r>
      <w:r>
        <w:t>throughput numbers which</w:t>
      </w:r>
      <w:r w:rsidRPr="00060732">
        <w:t xml:space="preserve"> we used in the draft decision opex model </w:t>
      </w:r>
      <w:r>
        <w:t>only included</w:t>
      </w:r>
      <w:r w:rsidRPr="00060732">
        <w:t xml:space="preserve"> demand for Tariff V (residential and commercial) customers. However, the updated forecast </w:t>
      </w:r>
      <w:r>
        <w:t>used in our final decision also i</w:t>
      </w:r>
      <w:r w:rsidRPr="00060732">
        <w:t>ncludes demand for Tariff D (industrial customers)</w:t>
      </w:r>
      <w:r>
        <w:t>.</w:t>
      </w:r>
    </w:p>
  </w:footnote>
  <w:footnote w:id="31">
    <w:p w:rsidR="00421DAD" w:rsidRDefault="00421DAD">
      <w:pPr>
        <w:pStyle w:val="FootnoteText"/>
      </w:pPr>
      <w:r>
        <w:rPr>
          <w:rStyle w:val="FootnoteReference"/>
        </w:rPr>
        <w:footnoteRef/>
      </w:r>
      <w:r>
        <w:t xml:space="preserve"> </w:t>
      </w:r>
      <w:r>
        <w:tab/>
        <w:t xml:space="preserve">AGN in its initial access arrangement proposal did not apply a productivity factor to its opex forecast. In our draft decision we considered AGN could reasonably expect productivity growth in the 2016-21 </w:t>
      </w:r>
      <w:proofErr w:type="gramStart"/>
      <w:r>
        <w:t>period</w:t>
      </w:r>
      <w:proofErr w:type="gramEnd"/>
      <w:r>
        <w:t xml:space="preserve"> so we developed an alternative productivity adjustment factor.</w:t>
      </w:r>
    </w:p>
  </w:footnote>
  <w:footnote w:id="32">
    <w:p w:rsidR="00421DAD" w:rsidRDefault="00421DAD">
      <w:pPr>
        <w:pStyle w:val="FootnoteText"/>
      </w:pPr>
      <w:r>
        <w:rPr>
          <w:rStyle w:val="FootnoteReference"/>
        </w:rPr>
        <w:footnoteRef/>
      </w:r>
      <w:r>
        <w:t xml:space="preserve"> </w:t>
      </w:r>
      <w:r>
        <w:tab/>
        <w:t xml:space="preserve">AER, </w:t>
      </w:r>
      <w:r w:rsidRPr="00525594">
        <w:rPr>
          <w:rStyle w:val="Emphasis"/>
        </w:rPr>
        <w:t>Draft Decision: Australian Gas Networks (SA) Access Arrangement 2016-21, Attachment 7</w:t>
      </w:r>
      <w:r>
        <w:t>, November 2015, pp. 7-37 to 7-38.</w:t>
      </w:r>
    </w:p>
  </w:footnote>
  <w:footnote w:id="33">
    <w:p w:rsidR="00421DAD" w:rsidRDefault="00421DAD">
      <w:pPr>
        <w:pStyle w:val="FootnoteText"/>
      </w:pPr>
      <w:r>
        <w:rPr>
          <w:rStyle w:val="FootnoteReference"/>
        </w:rPr>
        <w:footnoteRef/>
      </w:r>
      <w:r>
        <w:t xml:space="preserve"> </w:t>
      </w:r>
      <w:r>
        <w:tab/>
        <w:t xml:space="preserve">Australian Gas Networks, </w:t>
      </w:r>
      <w:r w:rsidRPr="00816654">
        <w:rPr>
          <w:rStyle w:val="Emphasis"/>
        </w:rPr>
        <w:t>Revised Access Information for Australian Gas Networks’ South Australian Natural Gas Distribution Network, Attachment 7.8: Response Draft Decision Operating Expenditure</w:t>
      </w:r>
      <w:r>
        <w:t>, January 2016, pp. 9</w:t>
      </w:r>
      <w:r w:rsidRPr="004F6349">
        <w:t>–</w:t>
      </w:r>
      <w:r>
        <w:t>16.</w:t>
      </w:r>
    </w:p>
  </w:footnote>
  <w:footnote w:id="34">
    <w:p w:rsidR="00421DAD" w:rsidRDefault="00421DAD" w:rsidP="00FC75A9">
      <w:pPr>
        <w:pStyle w:val="FootnoteText"/>
      </w:pPr>
      <w:r>
        <w:rPr>
          <w:rStyle w:val="FootnoteReference"/>
        </w:rPr>
        <w:footnoteRef/>
      </w:r>
      <w:r>
        <w:t xml:space="preserve"> </w:t>
      </w:r>
      <w:r>
        <w:tab/>
        <w:t xml:space="preserve">AGN engaged </w:t>
      </w:r>
      <w:proofErr w:type="spellStart"/>
      <w:r>
        <w:t>Huegin</w:t>
      </w:r>
      <w:proofErr w:type="spellEnd"/>
      <w:r>
        <w:t xml:space="preserve"> to review the AER's approach to the application of the productivity adjustment. </w:t>
      </w:r>
      <w:proofErr w:type="spellStart"/>
      <w:r>
        <w:t>Huegin's</w:t>
      </w:r>
      <w:proofErr w:type="spellEnd"/>
      <w:r>
        <w:t xml:space="preserve"> view was that the AER's methodology had a number of limitations. See </w:t>
      </w:r>
      <w:proofErr w:type="spellStart"/>
      <w:r>
        <w:t>Huegin</w:t>
      </w:r>
      <w:proofErr w:type="spellEnd"/>
      <w:r>
        <w:t xml:space="preserve">, </w:t>
      </w:r>
      <w:r w:rsidRPr="005E737A">
        <w:rPr>
          <w:rStyle w:val="Emphasis"/>
        </w:rPr>
        <w:t>The use of economic benchmarking in the gas distribution industry; Review on the application of an opex productivity factor for Australian Gas Networks</w:t>
      </w:r>
      <w:r>
        <w:t xml:space="preserve">, December 2015. </w:t>
      </w:r>
      <w:r w:rsidRPr="00A85E0E">
        <w:t>(Attachment 7.1</w:t>
      </w:r>
      <w:r>
        <w:t>3</w:t>
      </w:r>
      <w:r w:rsidRPr="00A85E0E">
        <w:t xml:space="preserve"> to Australian Gas Networks, </w:t>
      </w:r>
      <w:r w:rsidRPr="00A85E0E">
        <w:rPr>
          <w:rStyle w:val="Emphasis"/>
        </w:rPr>
        <w:t xml:space="preserve">Revised Access Information for Australian Gas Networks’ South Australian Natural Gas Distribution Network, </w:t>
      </w:r>
      <w:r w:rsidRPr="00A85E0E">
        <w:t>January 2016</w:t>
      </w:r>
      <w:r>
        <w:t xml:space="preserve">) </w:t>
      </w:r>
    </w:p>
  </w:footnote>
  <w:footnote w:id="35">
    <w:p w:rsidR="00421DAD" w:rsidRDefault="00421DAD">
      <w:pPr>
        <w:pStyle w:val="FootnoteText"/>
      </w:pPr>
      <w:r>
        <w:rPr>
          <w:rStyle w:val="FootnoteReference"/>
        </w:rPr>
        <w:footnoteRef/>
      </w:r>
      <w:r>
        <w:t xml:space="preserve"> </w:t>
      </w:r>
      <w:r>
        <w:tab/>
        <w:t xml:space="preserve">See </w:t>
      </w:r>
      <w:r w:rsidRPr="00A85E0E">
        <w:t>ACIL Allen Consulting</w:t>
      </w:r>
      <w:r>
        <w:t xml:space="preserve">, </w:t>
      </w:r>
      <w:r w:rsidRPr="00A85E0E">
        <w:rPr>
          <w:rStyle w:val="Emphasis"/>
        </w:rPr>
        <w:t>Opex Partial Productivity Forecasts: Australian Gas Networks Limited</w:t>
      </w:r>
      <w:r>
        <w:t xml:space="preserve">, January 2016, </w:t>
      </w:r>
      <w:r w:rsidRPr="00A85E0E">
        <w:t xml:space="preserve">(Attachment 7.14 to Australian Gas Networks, </w:t>
      </w:r>
      <w:r w:rsidRPr="00A85E0E">
        <w:rPr>
          <w:rStyle w:val="Emphasis"/>
        </w:rPr>
        <w:t xml:space="preserve">Revised Access Information for Australian Gas Networks’ South Australian Natural Gas Distribution Network, </w:t>
      </w:r>
      <w:r w:rsidRPr="00A85E0E">
        <w:t>January 2016</w:t>
      </w:r>
      <w:r>
        <w:t>).</w:t>
      </w:r>
    </w:p>
  </w:footnote>
  <w:footnote w:id="36">
    <w:p w:rsidR="00421DAD" w:rsidRDefault="00421DAD">
      <w:pPr>
        <w:pStyle w:val="FootnoteText"/>
      </w:pPr>
      <w:r>
        <w:rPr>
          <w:rStyle w:val="FootnoteReference"/>
        </w:rPr>
        <w:footnoteRef/>
      </w:r>
      <w:r>
        <w:t xml:space="preserve"> </w:t>
      </w:r>
      <w:r>
        <w:tab/>
      </w:r>
      <w:r w:rsidRPr="00BF7B35">
        <w:t xml:space="preserve">Australian Gas Networks, </w:t>
      </w:r>
      <w:r w:rsidRPr="00BF7B35">
        <w:rPr>
          <w:rStyle w:val="Emphasis"/>
        </w:rPr>
        <w:t>Revised Access Information for Australian Gas Networks’ South Australian Natural Gas Distribution Network, Attachment 7.8: Response Draft Decision Operating Expenditure</w:t>
      </w:r>
      <w:r w:rsidRPr="00BF7B35">
        <w:t>, January 2016, pp. 16</w:t>
      </w:r>
      <w:r w:rsidRPr="00AC31EF">
        <w:t>–</w:t>
      </w:r>
      <w:r>
        <w:t>17</w:t>
      </w:r>
      <w:r w:rsidRPr="00BF7B35">
        <w:t>.</w:t>
      </w:r>
    </w:p>
  </w:footnote>
  <w:footnote w:id="37">
    <w:p w:rsidR="00421DAD" w:rsidRDefault="00421DAD" w:rsidP="00FC75A9">
      <w:pPr>
        <w:pStyle w:val="FootnoteText"/>
      </w:pPr>
      <w:r>
        <w:rPr>
          <w:rStyle w:val="FootnoteReference"/>
        </w:rPr>
        <w:footnoteRef/>
      </w:r>
      <w:r>
        <w:t xml:space="preserve"> </w:t>
      </w:r>
      <w:r>
        <w:tab/>
      </w:r>
      <w:r w:rsidRPr="00B54682">
        <w:t xml:space="preserve">SACOSS, </w:t>
      </w:r>
      <w:r w:rsidRPr="00B54682">
        <w:rPr>
          <w:rStyle w:val="Emphasis"/>
        </w:rPr>
        <w:t>Submission to the AER in Response to AGN's Revised Regulatory Proposal for the 2016 - 2021 Access Arrangement,</w:t>
      </w:r>
      <w:r w:rsidRPr="00B54682">
        <w:t xml:space="preserve"> February 2016, p. 8.</w:t>
      </w:r>
    </w:p>
  </w:footnote>
  <w:footnote w:id="38">
    <w:p w:rsidR="00421DAD" w:rsidRDefault="00421DAD">
      <w:pPr>
        <w:pStyle w:val="FootnoteText"/>
      </w:pPr>
      <w:r>
        <w:rPr>
          <w:rStyle w:val="FootnoteReference"/>
        </w:rPr>
        <w:footnoteRef/>
      </w:r>
      <w:r>
        <w:t xml:space="preserve"> </w:t>
      </w:r>
      <w:r>
        <w:tab/>
      </w:r>
      <w:r w:rsidRPr="0097600C">
        <w:t xml:space="preserve">Uniting Care Australia, </w:t>
      </w:r>
      <w:r w:rsidRPr="0097600C">
        <w:rPr>
          <w:rStyle w:val="Emphasis"/>
        </w:rPr>
        <w:t xml:space="preserve">Submission to Australian Energy Regulator Re: AGN SA Access </w:t>
      </w:r>
      <w:proofErr w:type="gramStart"/>
      <w:r w:rsidRPr="0097600C">
        <w:rPr>
          <w:rStyle w:val="Emphasis"/>
        </w:rPr>
        <w:t>Arrangement  2016</w:t>
      </w:r>
      <w:proofErr w:type="gramEnd"/>
      <w:r w:rsidRPr="0097600C">
        <w:rPr>
          <w:rStyle w:val="Emphasis"/>
        </w:rPr>
        <w:t>-21, Draft Decision</w:t>
      </w:r>
      <w:r w:rsidRPr="0097600C">
        <w:t>, March 2016, p.</w:t>
      </w:r>
      <w:r>
        <w:t xml:space="preserve"> </w:t>
      </w:r>
      <w:r w:rsidRPr="0097600C">
        <w:t>7.</w:t>
      </w:r>
    </w:p>
  </w:footnote>
  <w:footnote w:id="39">
    <w:p w:rsidR="00421DAD" w:rsidRDefault="00421DAD">
      <w:pPr>
        <w:pStyle w:val="FootnoteText"/>
      </w:pPr>
      <w:r>
        <w:rPr>
          <w:rStyle w:val="FootnoteReference"/>
        </w:rPr>
        <w:footnoteRef/>
      </w:r>
      <w:r>
        <w:t xml:space="preserve"> </w:t>
      </w:r>
      <w:r>
        <w:tab/>
      </w:r>
      <w:proofErr w:type="spellStart"/>
      <w:r w:rsidRPr="00AF63FE">
        <w:t>HoustonKemp</w:t>
      </w:r>
      <w:proofErr w:type="spellEnd"/>
      <w:r w:rsidRPr="00853E52">
        <w:rPr>
          <w:rStyle w:val="Emphasis"/>
        </w:rPr>
        <w:t>, Australian Gas Networks: AER gas price review,</w:t>
      </w:r>
      <w:r>
        <w:t xml:space="preserve"> </w:t>
      </w:r>
      <w:r w:rsidRPr="00AF63FE">
        <w:t>4 February 2016</w:t>
      </w:r>
      <w:r>
        <w:t>, p. 35</w:t>
      </w:r>
      <w:r w:rsidRPr="00AF63FE">
        <w:t xml:space="preserve"> (Attachment to </w:t>
      </w:r>
      <w:r w:rsidRPr="00853E52">
        <w:t>A</w:t>
      </w:r>
      <w:r>
        <w:t xml:space="preserve">ustralian Gas Networks, </w:t>
      </w:r>
      <w:r w:rsidRPr="00853E52">
        <w:rPr>
          <w:rStyle w:val="Emphasis"/>
        </w:rPr>
        <w:t>Submission on Australian Gas Networks (SA) - Access Arrangement 2016-21</w:t>
      </w:r>
      <w:r>
        <w:t xml:space="preserve">, </w:t>
      </w:r>
      <w:proofErr w:type="gramStart"/>
      <w:r w:rsidRPr="00853E52">
        <w:t>February</w:t>
      </w:r>
      <w:proofErr w:type="gramEnd"/>
      <w:r w:rsidRPr="00853E52">
        <w:t xml:space="preserve"> 2016</w:t>
      </w:r>
      <w:r w:rsidRPr="00AF63FE">
        <w:t>)</w:t>
      </w:r>
      <w:r>
        <w:t>.</w:t>
      </w:r>
    </w:p>
  </w:footnote>
  <w:footnote w:id="40">
    <w:p w:rsidR="00421DAD" w:rsidRDefault="00421DAD" w:rsidP="00FC75A9">
      <w:pPr>
        <w:pStyle w:val="FootnoteText"/>
      </w:pPr>
      <w:r>
        <w:rPr>
          <w:rStyle w:val="FootnoteReference"/>
        </w:rPr>
        <w:footnoteRef/>
      </w:r>
      <w:r>
        <w:t xml:space="preserve"> </w:t>
      </w:r>
      <w:r>
        <w:tab/>
      </w:r>
      <w:proofErr w:type="spellStart"/>
      <w:r w:rsidRPr="00AF63FE">
        <w:t>HoustonKemp</w:t>
      </w:r>
      <w:proofErr w:type="spellEnd"/>
      <w:r w:rsidRPr="00853E52">
        <w:rPr>
          <w:rStyle w:val="Emphasis"/>
        </w:rPr>
        <w:t>, Australian Gas Networks: AER gas price review,</w:t>
      </w:r>
      <w:r>
        <w:t xml:space="preserve"> </w:t>
      </w:r>
      <w:r w:rsidRPr="00AF63FE">
        <w:t>4 February 2016</w:t>
      </w:r>
      <w:r>
        <w:t>, p. 35</w:t>
      </w:r>
      <w:r w:rsidRPr="00AF63FE">
        <w:t xml:space="preserve"> (Attachment to </w:t>
      </w:r>
      <w:r w:rsidRPr="00853E52">
        <w:t>A</w:t>
      </w:r>
      <w:r>
        <w:t xml:space="preserve">ustralian Gas Networks, </w:t>
      </w:r>
      <w:r w:rsidRPr="00853E52">
        <w:rPr>
          <w:rStyle w:val="Emphasis"/>
        </w:rPr>
        <w:t>Submission on Australian Gas Networks (SA) - Access Arrangement 2016-21</w:t>
      </w:r>
      <w:r>
        <w:t xml:space="preserve">, </w:t>
      </w:r>
      <w:proofErr w:type="gramStart"/>
      <w:r w:rsidRPr="00853E52">
        <w:t>February</w:t>
      </w:r>
      <w:proofErr w:type="gramEnd"/>
      <w:r w:rsidRPr="00853E52">
        <w:t xml:space="preserve"> 2016</w:t>
      </w:r>
      <w:r w:rsidRPr="00AF63FE">
        <w:t>)</w:t>
      </w:r>
      <w:r>
        <w:t>.</w:t>
      </w:r>
    </w:p>
  </w:footnote>
  <w:footnote w:id="41">
    <w:p w:rsidR="00421DAD" w:rsidRDefault="00421DAD" w:rsidP="00DB173D">
      <w:pPr>
        <w:pStyle w:val="FootnoteText"/>
      </w:pPr>
      <w:r>
        <w:rPr>
          <w:rStyle w:val="FootnoteReference"/>
        </w:rPr>
        <w:footnoteRef/>
      </w:r>
      <w:r>
        <w:t xml:space="preserve"> </w:t>
      </w:r>
      <w:r>
        <w:tab/>
        <w:t xml:space="preserve">AER, </w:t>
      </w:r>
      <w:r w:rsidRPr="00CB6DCB">
        <w:rPr>
          <w:i/>
        </w:rPr>
        <w:t>Draft Decision: Australian Gas Networks (SA) Access Arrangement 2016-21</w:t>
      </w:r>
      <w:r>
        <w:t xml:space="preserve">, </w:t>
      </w:r>
      <w:r w:rsidRPr="00CB6DCB">
        <w:rPr>
          <w:i/>
        </w:rPr>
        <w:t>Attachment 7</w:t>
      </w:r>
      <w:r>
        <w:t>, November 2015, pp. 7-17 to 7-31.</w:t>
      </w:r>
    </w:p>
  </w:footnote>
  <w:footnote w:id="42">
    <w:p w:rsidR="00421DAD" w:rsidRDefault="00421DAD" w:rsidP="00DB173D">
      <w:pPr>
        <w:pStyle w:val="FootnoteText"/>
      </w:pPr>
      <w:r>
        <w:rPr>
          <w:rStyle w:val="FootnoteReference"/>
        </w:rPr>
        <w:footnoteRef/>
      </w:r>
      <w:r>
        <w:t xml:space="preserve"> </w:t>
      </w:r>
      <w:r>
        <w:tab/>
        <w:t xml:space="preserve">Australian Gas Networks, </w:t>
      </w:r>
      <w:r w:rsidRPr="007B22CD">
        <w:rPr>
          <w:i/>
        </w:rPr>
        <w:t>Revised Access Information for Australian Gas Networks’ South Australian Natural Gas Distribution Network</w:t>
      </w:r>
      <w:r>
        <w:t xml:space="preserve">, </w:t>
      </w:r>
      <w:r w:rsidRPr="007B22CD">
        <w:rPr>
          <w:i/>
        </w:rPr>
        <w:t>Attachment 7.8: Response Draft Decision Operating Expenditure</w:t>
      </w:r>
      <w:r>
        <w:t>, January 2016, p. 5.</w:t>
      </w:r>
    </w:p>
  </w:footnote>
  <w:footnote w:id="43">
    <w:p w:rsidR="00421DAD" w:rsidRDefault="00421DAD" w:rsidP="00CA3BD5">
      <w:pPr>
        <w:pStyle w:val="FootnoteText"/>
      </w:pPr>
      <w:r>
        <w:rPr>
          <w:rStyle w:val="FootnoteReference"/>
        </w:rPr>
        <w:footnoteRef/>
      </w:r>
      <w:r>
        <w:t xml:space="preserve"> </w:t>
      </w:r>
      <w:r>
        <w:tab/>
      </w:r>
      <w:r w:rsidRPr="00CA3BD5">
        <w:t xml:space="preserve">AGN advised that </w:t>
      </w:r>
      <w:r>
        <w:t>it would not seek to include this opex step change if the AER accepted the proposal of various capex projects such as the Business Intelligence Initiative (SA60).</w:t>
      </w:r>
      <w:r w:rsidRPr="002329A6">
        <w:t xml:space="preserve">  See Australian Gas Networks, </w:t>
      </w:r>
      <w:r w:rsidRPr="00CA3BD5">
        <w:rPr>
          <w:rStyle w:val="Emphasis"/>
        </w:rPr>
        <w:t>Revised Access Information for Australian Gas Networks’ South Australian Natural Gas Distribution Network, Attachment 7.8: Response Draft Decision Operating Expenditure</w:t>
      </w:r>
      <w:r w:rsidRPr="00CA3BD5">
        <w:t>, January 2016, p.</w:t>
      </w:r>
      <w:r>
        <w:t xml:space="preserve"> </w:t>
      </w:r>
      <w:r w:rsidRPr="00CA3BD5">
        <w:t>7.</w:t>
      </w:r>
    </w:p>
  </w:footnote>
  <w:footnote w:id="44">
    <w:p w:rsidR="00421DAD" w:rsidRDefault="00421DAD" w:rsidP="00DB173D">
      <w:pPr>
        <w:pStyle w:val="FootnoteText"/>
      </w:pPr>
      <w:r>
        <w:rPr>
          <w:rStyle w:val="FootnoteReference"/>
        </w:rPr>
        <w:footnoteRef/>
      </w:r>
      <w:r>
        <w:t xml:space="preserve"> </w:t>
      </w:r>
      <w:r>
        <w:tab/>
        <w:t xml:space="preserve">AER, </w:t>
      </w:r>
      <w:r w:rsidRPr="00CB6DCB">
        <w:rPr>
          <w:i/>
        </w:rPr>
        <w:t>Draft Decision: Australian Gas Networks (SA) Access Arrangement 2016-21</w:t>
      </w:r>
      <w:r>
        <w:t xml:space="preserve">, </w:t>
      </w:r>
      <w:r w:rsidRPr="00CB6DCB">
        <w:rPr>
          <w:i/>
        </w:rPr>
        <w:t>Attachment 7</w:t>
      </w:r>
      <w:r>
        <w:t>, November 2015, pp. 7- 22 to 7-23.</w:t>
      </w:r>
    </w:p>
  </w:footnote>
  <w:footnote w:id="45">
    <w:p w:rsidR="00421DAD" w:rsidRDefault="00421DAD">
      <w:pPr>
        <w:pStyle w:val="FootnoteText"/>
      </w:pPr>
      <w:r>
        <w:rPr>
          <w:rStyle w:val="FootnoteReference"/>
        </w:rPr>
        <w:footnoteRef/>
      </w:r>
      <w:r>
        <w:t xml:space="preserve"> </w:t>
      </w:r>
      <w:r>
        <w:tab/>
        <w:t xml:space="preserve">Australian Gas Networks, </w:t>
      </w:r>
      <w:r w:rsidRPr="00A032FB">
        <w:rPr>
          <w:rStyle w:val="Emphasis"/>
        </w:rPr>
        <w:t>Revised Access Information for Australian Gas Networks’ South Australian Natural Gas Distribution Network, Attachment 7.8: Response Draft Decision Operating Expenditure</w:t>
      </w:r>
      <w:r>
        <w:t>, January 2016, p. 6.</w:t>
      </w:r>
    </w:p>
  </w:footnote>
  <w:footnote w:id="46">
    <w:p w:rsidR="00421DAD" w:rsidRDefault="00421DAD">
      <w:pPr>
        <w:pStyle w:val="FootnoteText"/>
      </w:pPr>
      <w:r>
        <w:rPr>
          <w:rStyle w:val="FootnoteReference"/>
        </w:rPr>
        <w:footnoteRef/>
      </w:r>
      <w:r>
        <w:t xml:space="preserve"> </w:t>
      </w:r>
      <w:r>
        <w:tab/>
        <w:t xml:space="preserve">Inlet services carry gas from the pipe in the street to the customer’s property. The project in the current access arrangement period captured inlet service details for </w:t>
      </w:r>
      <w:r w:rsidRPr="009C58E3">
        <w:t>approximately 5,000 I&amp;C sites and 3,250 unit development sites</w:t>
      </w:r>
      <w:r>
        <w:t xml:space="preserve"> - see Wilson Cook &amp; Co, </w:t>
      </w:r>
      <w:r w:rsidRPr="00275E3B">
        <w:rPr>
          <w:rStyle w:val="Emphasis"/>
        </w:rPr>
        <w:t>Review of Expenditure of Queensland and South Australian Gas Distributors: Envestra Limited (South Australia)</w:t>
      </w:r>
      <w:r>
        <w:rPr>
          <w:rStyle w:val="Emphasis"/>
        </w:rPr>
        <w:t xml:space="preserve"> (Public)</w:t>
      </w:r>
      <w:r>
        <w:t>, December 2010, p. 58.</w:t>
      </w:r>
    </w:p>
  </w:footnote>
  <w:footnote w:id="47">
    <w:p w:rsidR="00421DAD" w:rsidRDefault="00421DAD" w:rsidP="006A3CBD">
      <w:pPr>
        <w:pStyle w:val="FootnoteText"/>
      </w:pPr>
      <w:r>
        <w:rPr>
          <w:rStyle w:val="FootnoteReference"/>
        </w:rPr>
        <w:footnoteRef/>
      </w:r>
      <w:r>
        <w:t xml:space="preserve"> </w:t>
      </w:r>
      <w:r>
        <w:tab/>
        <w:t xml:space="preserve">Australian Gas Networks, </w:t>
      </w:r>
      <w:r w:rsidRPr="007B22CD">
        <w:rPr>
          <w:i/>
        </w:rPr>
        <w:t>Revised Access Information for Australian Gas Networks’ South Australian Natural Gas Distribution Network</w:t>
      </w:r>
      <w:r>
        <w:t xml:space="preserve">, </w:t>
      </w:r>
      <w:r w:rsidRPr="007B22CD">
        <w:rPr>
          <w:i/>
        </w:rPr>
        <w:t>Attachment 7.8: Response Draft Decision Operating Expenditure</w:t>
      </w:r>
      <w:r>
        <w:t>, January 2016, p. 6.</w:t>
      </w:r>
    </w:p>
  </w:footnote>
  <w:footnote w:id="48">
    <w:p w:rsidR="00421DAD" w:rsidRDefault="00421DAD" w:rsidP="00E93FF5">
      <w:pPr>
        <w:pStyle w:val="FootnoteText"/>
      </w:pPr>
      <w:r>
        <w:rPr>
          <w:rStyle w:val="FootnoteReference"/>
        </w:rPr>
        <w:footnoteRef/>
      </w:r>
      <w:r>
        <w:t xml:space="preserve"> </w:t>
      </w:r>
      <w:r>
        <w:tab/>
      </w:r>
      <w:proofErr w:type="gramStart"/>
      <w:r>
        <w:t xml:space="preserve">Uniting Care Australia, </w:t>
      </w:r>
      <w:r w:rsidRPr="00E93FF5">
        <w:rPr>
          <w:rStyle w:val="Emphasis"/>
        </w:rPr>
        <w:t>Submission to Australian Energy Regulator Re: AGN SA Access Arrangement 2016-21, Draft Decision</w:t>
      </w:r>
      <w:r>
        <w:t>, March 2016, p. 7.</w:t>
      </w:r>
      <w:proofErr w:type="gramEnd"/>
    </w:p>
  </w:footnote>
  <w:footnote w:id="49">
    <w:p w:rsidR="00421DAD" w:rsidRDefault="00421DAD">
      <w:pPr>
        <w:pStyle w:val="FootnoteText"/>
      </w:pPr>
      <w:r>
        <w:rPr>
          <w:rStyle w:val="FootnoteReference"/>
        </w:rPr>
        <w:footnoteRef/>
      </w:r>
      <w:r>
        <w:t xml:space="preserve"> </w:t>
      </w:r>
      <w:r>
        <w:tab/>
        <w:t xml:space="preserve">Energy Consumer’s Coalition of South Australia, </w:t>
      </w:r>
      <w:r w:rsidRPr="00275E3B">
        <w:rPr>
          <w:rStyle w:val="Emphasis"/>
        </w:rPr>
        <w:t>Response to the AER Draft Decision on AGN’s AA 2016 Revenue Reset</w:t>
      </w:r>
      <w:r>
        <w:t>, February 2016, p. 29.</w:t>
      </w:r>
    </w:p>
  </w:footnote>
  <w:footnote w:id="50">
    <w:p w:rsidR="00421DAD" w:rsidRDefault="00421DAD">
      <w:pPr>
        <w:pStyle w:val="FootnoteText"/>
      </w:pPr>
      <w:r>
        <w:rPr>
          <w:rStyle w:val="FootnoteReference"/>
        </w:rPr>
        <w:footnoteRef/>
      </w:r>
      <w:r>
        <w:t xml:space="preserve"> </w:t>
      </w:r>
      <w:r>
        <w:tab/>
        <w:t xml:space="preserve">Energy Consumer’s Coalition of South Australia, </w:t>
      </w:r>
      <w:r w:rsidRPr="00275E3B">
        <w:rPr>
          <w:rStyle w:val="Emphasis"/>
        </w:rPr>
        <w:t>Response to the AER Draft Decision on AGN’s AA 2016 Revenue Reset</w:t>
      </w:r>
      <w:r>
        <w:t>, February 2016, p. 29.</w:t>
      </w:r>
    </w:p>
  </w:footnote>
  <w:footnote w:id="51">
    <w:p w:rsidR="00421DAD" w:rsidRDefault="00421DAD">
      <w:pPr>
        <w:pStyle w:val="FootnoteText"/>
      </w:pPr>
      <w:r>
        <w:rPr>
          <w:rStyle w:val="FootnoteReference"/>
        </w:rPr>
        <w:footnoteRef/>
      </w:r>
      <w:r>
        <w:t xml:space="preserve"> </w:t>
      </w:r>
      <w:r>
        <w:tab/>
      </w:r>
      <w:r w:rsidRPr="007D1305">
        <w:t>SACOSS</w:t>
      </w:r>
      <w:r>
        <w:t xml:space="preserve">, </w:t>
      </w:r>
      <w:r w:rsidRPr="007D1305">
        <w:rPr>
          <w:rStyle w:val="Emphasis"/>
        </w:rPr>
        <w:t>Submission to the AER in Response to AGN's Revised Regulatory Proposal for the 2016 -</w:t>
      </w:r>
      <w:r>
        <w:rPr>
          <w:rStyle w:val="Emphasis"/>
        </w:rPr>
        <w:t xml:space="preserve"> 2021 Access Arrangement,</w:t>
      </w:r>
      <w:r w:rsidRPr="007D1305">
        <w:t xml:space="preserve"> February 2016</w:t>
      </w:r>
      <w:r>
        <w:t>, p. 8.</w:t>
      </w:r>
    </w:p>
  </w:footnote>
  <w:footnote w:id="52">
    <w:p w:rsidR="00421DAD" w:rsidRDefault="00421DAD">
      <w:pPr>
        <w:pStyle w:val="FootnoteText"/>
      </w:pPr>
      <w:r>
        <w:rPr>
          <w:rStyle w:val="FootnoteReference"/>
        </w:rPr>
        <w:footnoteRef/>
      </w:r>
      <w:r>
        <w:t xml:space="preserve"> </w:t>
      </w:r>
      <w:r>
        <w:tab/>
      </w:r>
      <w:r w:rsidRPr="00EC1FD2">
        <w:t>Consumer Challenge Panel - Supplementary advice to AER from Consu</w:t>
      </w:r>
      <w:r>
        <w:t>mer Challenge Panel sub-panel 8</w:t>
      </w:r>
      <w:r w:rsidRPr="00EC1FD2">
        <w:t xml:space="preserve"> AGN</w:t>
      </w:r>
      <w:r>
        <w:t xml:space="preserve">, </w:t>
      </w:r>
      <w:r w:rsidRPr="00EC1FD2">
        <w:t>31 Mar 2016</w:t>
      </w:r>
      <w:r>
        <w:t>, pp. 2</w:t>
      </w:r>
      <w:r w:rsidRPr="000575AB">
        <w:t>–</w:t>
      </w:r>
      <w:r>
        <w:t>3.</w:t>
      </w:r>
    </w:p>
  </w:footnote>
  <w:footnote w:id="53">
    <w:p w:rsidR="00421DAD" w:rsidRDefault="00421DAD" w:rsidP="00161958">
      <w:pPr>
        <w:pStyle w:val="FootnoteText"/>
      </w:pPr>
      <w:r>
        <w:rPr>
          <w:rStyle w:val="FootnoteReference"/>
        </w:rPr>
        <w:footnoteRef/>
      </w:r>
      <w:r>
        <w:t xml:space="preserve"> </w:t>
      </w:r>
      <w:r>
        <w:tab/>
        <w:t xml:space="preserve">We expressed a similar view when considering the inlet data capture initiative proposed by AGN's predecessor (Envestra) for the current access arrangement </w:t>
      </w:r>
      <w:r w:rsidRPr="00DB173D">
        <w:t>period</w:t>
      </w:r>
      <w:r>
        <w:t xml:space="preserve"> see AER, </w:t>
      </w:r>
      <w:r w:rsidRPr="00161958">
        <w:rPr>
          <w:rStyle w:val="Emphasis"/>
        </w:rPr>
        <w:t>Draft Decision: Envestra Ltd - Access arrangement proposal for the SA gas network 1 July 2011 – 30 June 2016</w:t>
      </w:r>
      <w:r>
        <w:t xml:space="preserve">, February 2011, p. 161; Wilson Cook &amp; Co, </w:t>
      </w:r>
      <w:r w:rsidRPr="00275E3B">
        <w:rPr>
          <w:rStyle w:val="Emphasis"/>
        </w:rPr>
        <w:t>Review of Expenditure of Queensland and South Australian Gas Distributors: Envestra Limited (South Australia)</w:t>
      </w:r>
      <w:r>
        <w:rPr>
          <w:rStyle w:val="Emphasis"/>
        </w:rPr>
        <w:t xml:space="preserve"> (Public)</w:t>
      </w:r>
      <w:r>
        <w:t>, December 2010, p. 58.</w:t>
      </w:r>
    </w:p>
  </w:footnote>
  <w:footnote w:id="54">
    <w:p w:rsidR="00421DAD" w:rsidRDefault="00421DAD">
      <w:pPr>
        <w:pStyle w:val="FootnoteText"/>
      </w:pPr>
      <w:r>
        <w:rPr>
          <w:rStyle w:val="FootnoteReference"/>
        </w:rPr>
        <w:footnoteRef/>
      </w:r>
      <w:r>
        <w:t xml:space="preserve"> </w:t>
      </w:r>
      <w:r>
        <w:tab/>
        <w:t xml:space="preserve">We have not conducted a detailed analysis of the costs associated with this step change. </w:t>
      </w:r>
    </w:p>
  </w:footnote>
  <w:footnote w:id="55">
    <w:p w:rsidR="00421DAD" w:rsidRDefault="00421DAD">
      <w:pPr>
        <w:pStyle w:val="FootnoteText"/>
      </w:pPr>
      <w:r>
        <w:rPr>
          <w:rStyle w:val="FootnoteReference"/>
        </w:rPr>
        <w:footnoteRef/>
      </w:r>
      <w:r>
        <w:t xml:space="preserve"> </w:t>
      </w:r>
      <w:r>
        <w:tab/>
      </w:r>
      <w:r w:rsidRPr="00DB173D">
        <w:t>Th</w:t>
      </w:r>
      <w:r>
        <w:t xml:space="preserve">e </w:t>
      </w:r>
      <w:r w:rsidRPr="00DB173D">
        <w:t>project relates to the provision of additional engineering, pipe sampling and testing resources to mitigate the risks associated with older parts of the HDPE network.</w:t>
      </w:r>
      <w:r>
        <w:t xml:space="preserve"> See AER, </w:t>
      </w:r>
      <w:r w:rsidRPr="0010299C">
        <w:rPr>
          <w:rStyle w:val="Emphasis"/>
        </w:rPr>
        <w:t>Draft Decision: Australian Gas Networks (SA) Access Arrangement 2016-21, Attachment 7,</w:t>
      </w:r>
      <w:r>
        <w:t xml:space="preserve"> November 2015, pp. 27</w:t>
      </w:r>
      <w:r w:rsidRPr="000575AB">
        <w:t>–</w:t>
      </w:r>
      <w:r>
        <w:t>28.</w:t>
      </w:r>
    </w:p>
  </w:footnote>
  <w:footnote w:id="56">
    <w:p w:rsidR="00421DAD" w:rsidRDefault="00421DAD">
      <w:pPr>
        <w:pStyle w:val="FootnoteText"/>
      </w:pPr>
      <w:r>
        <w:rPr>
          <w:rStyle w:val="FootnoteReference"/>
        </w:rPr>
        <w:footnoteRef/>
      </w:r>
      <w:r>
        <w:t xml:space="preserve"> </w:t>
      </w:r>
      <w:r>
        <w:tab/>
      </w:r>
      <w:r w:rsidRPr="00E66704">
        <w:t xml:space="preserve">Australian Gas Networks, </w:t>
      </w:r>
      <w:r w:rsidRPr="0003186E">
        <w:rPr>
          <w:rStyle w:val="Emphasis"/>
        </w:rPr>
        <w:t>Revised Access Information for Australian Gas Networks’ South Australian Natural Gas Distribution Network, Attachment 7.</w:t>
      </w:r>
      <w:r>
        <w:rPr>
          <w:rStyle w:val="Emphasis"/>
        </w:rPr>
        <w:t>1A</w:t>
      </w:r>
      <w:r w:rsidRPr="0003186E">
        <w:rPr>
          <w:rStyle w:val="Emphasis"/>
        </w:rPr>
        <w:t xml:space="preserve">: Response Draft Decision </w:t>
      </w:r>
      <w:r>
        <w:rPr>
          <w:rStyle w:val="Emphasis"/>
        </w:rPr>
        <w:t>Business Cases for Operational Expenditure and Capital</w:t>
      </w:r>
      <w:r w:rsidRPr="0003186E">
        <w:rPr>
          <w:rStyle w:val="Emphasis"/>
        </w:rPr>
        <w:t xml:space="preserve"> Expenditure</w:t>
      </w:r>
      <w:r w:rsidRPr="00E66704">
        <w:t>, January 2016</w:t>
      </w:r>
      <w:r>
        <w:t>.</w:t>
      </w:r>
    </w:p>
  </w:footnote>
  <w:footnote w:id="57">
    <w:p w:rsidR="00421DAD" w:rsidRDefault="00421DAD">
      <w:pPr>
        <w:pStyle w:val="FootnoteText"/>
      </w:pPr>
      <w:r>
        <w:rPr>
          <w:rStyle w:val="FootnoteReference"/>
        </w:rPr>
        <w:footnoteRef/>
      </w:r>
      <w:r>
        <w:t xml:space="preserve"> </w:t>
      </w:r>
      <w:r>
        <w:tab/>
      </w:r>
      <w:r w:rsidRPr="00E66704">
        <w:t xml:space="preserve">Australian Gas Networks, </w:t>
      </w:r>
      <w:r w:rsidRPr="0003186E">
        <w:rPr>
          <w:rStyle w:val="Emphasis"/>
        </w:rPr>
        <w:t>Revised Access Information for Australian Gas Networks’ South Australian Natural Gas Distribution Network, Attachment 7.8: Response Draft Decision Operating Expenditure</w:t>
      </w:r>
      <w:r w:rsidRPr="00E66704">
        <w:t>, January 2016, p.</w:t>
      </w:r>
      <w:r>
        <w:t xml:space="preserve"> </w:t>
      </w:r>
      <w:r w:rsidRPr="00E66704">
        <w:t>7.</w:t>
      </w:r>
    </w:p>
  </w:footnote>
  <w:footnote w:id="58">
    <w:p w:rsidR="00421DAD" w:rsidRDefault="00421DAD" w:rsidP="00CF70FA">
      <w:pPr>
        <w:pStyle w:val="FootnoteText"/>
      </w:pPr>
      <w:r>
        <w:rPr>
          <w:rStyle w:val="FootnoteReference"/>
        </w:rPr>
        <w:footnoteRef/>
      </w:r>
      <w:r>
        <w:t xml:space="preserve"> </w:t>
      </w:r>
      <w:r>
        <w:tab/>
      </w:r>
      <w:r w:rsidRPr="00CF70FA">
        <w:rPr>
          <w:rStyle w:val="AERtexthighlight"/>
          <w:shd w:val="clear" w:color="auto" w:fill="auto"/>
        </w:rPr>
        <w:t xml:space="preserve">AER, </w:t>
      </w:r>
      <w:r w:rsidRPr="00A032FB">
        <w:rPr>
          <w:rStyle w:val="Emphasis"/>
        </w:rPr>
        <w:t>Final Decision: Australian Gas Networks (SA) Access Arrangement 2016-21, Attachment 6</w:t>
      </w:r>
      <w:r>
        <w:rPr>
          <w:rStyle w:val="Emphasis"/>
        </w:rPr>
        <w:t xml:space="preserve"> – Capital Expenditure</w:t>
      </w:r>
      <w:r w:rsidRPr="00CF70FA">
        <w:rPr>
          <w:rStyle w:val="AERtexthighlight"/>
          <w:shd w:val="clear" w:color="auto" w:fill="auto"/>
        </w:rPr>
        <w:t>, May 2016, section 6.4.2.4.</w:t>
      </w:r>
    </w:p>
  </w:footnote>
  <w:footnote w:id="59">
    <w:p w:rsidR="00421DAD" w:rsidRDefault="00421DAD">
      <w:pPr>
        <w:pStyle w:val="FootnoteText"/>
      </w:pPr>
      <w:r>
        <w:rPr>
          <w:rStyle w:val="FootnoteReference"/>
        </w:rPr>
        <w:footnoteRef/>
      </w:r>
      <w:r>
        <w:t xml:space="preserve"> </w:t>
      </w:r>
      <w:r>
        <w:tab/>
        <w:t xml:space="preserve">These two projects are: the transmission pressure pipeline corrosion under heat shrink sleeves project (SA21a) and the non-compliant meters inside buildings project (SA32). See AER, </w:t>
      </w:r>
      <w:r w:rsidRPr="0010299C">
        <w:rPr>
          <w:rStyle w:val="Emphasis"/>
        </w:rPr>
        <w:t>Draft Decision: Australian Gas Networks (SA) Access Arrangement 2016-21, Attachment 7,</w:t>
      </w:r>
      <w:r>
        <w:t xml:space="preserve"> November 2015, pp. 30</w:t>
      </w:r>
      <w:r w:rsidRPr="000575AB">
        <w:t>–</w:t>
      </w:r>
      <w:r>
        <w:t>31.</w:t>
      </w:r>
    </w:p>
  </w:footnote>
  <w:footnote w:id="60">
    <w:p w:rsidR="00421DAD" w:rsidRDefault="00421DAD">
      <w:pPr>
        <w:pStyle w:val="FootnoteText"/>
      </w:pPr>
      <w:r>
        <w:rPr>
          <w:rStyle w:val="FootnoteReference"/>
        </w:rPr>
        <w:footnoteRef/>
      </w:r>
      <w:r>
        <w:t xml:space="preserve"> </w:t>
      </w:r>
      <w:r>
        <w:tab/>
        <w:t xml:space="preserve">See AER, </w:t>
      </w:r>
      <w:r w:rsidRPr="0010299C">
        <w:rPr>
          <w:rStyle w:val="Emphasis"/>
        </w:rPr>
        <w:t>Draft Decision: Australian Gas Networks (SA) Access Arrangement 2016-21, Attachment 7,</w:t>
      </w:r>
      <w:r>
        <w:t xml:space="preserve"> November 2015, pp. 7- 29 to 7-30.</w:t>
      </w:r>
    </w:p>
  </w:footnote>
  <w:footnote w:id="61">
    <w:p w:rsidR="00421DAD" w:rsidRDefault="00421DAD" w:rsidP="00CC1F8C">
      <w:pPr>
        <w:pStyle w:val="FootnoteText"/>
      </w:pPr>
      <w:r>
        <w:rPr>
          <w:rStyle w:val="FootnoteReference"/>
        </w:rPr>
        <w:footnoteRef/>
      </w:r>
      <w:r>
        <w:t xml:space="preserve"> </w:t>
      </w:r>
      <w:r>
        <w:tab/>
      </w:r>
      <w:r w:rsidRPr="008B510C">
        <w:t xml:space="preserve">Australian Gas Networks, </w:t>
      </w:r>
      <w:r w:rsidRPr="00A04870">
        <w:rPr>
          <w:rStyle w:val="Emphasis"/>
        </w:rPr>
        <w:t>Revised Access Information for Australian Gas Networks’ South Australian Natural Gas Distribution Network, Attachment 7.8: Response Draft Decision Operating Expenditure</w:t>
      </w:r>
      <w:r w:rsidRPr="008B510C">
        <w:t>, January 2016, p.</w:t>
      </w:r>
      <w:r>
        <w:t xml:space="preserve"> </w:t>
      </w:r>
      <w:r w:rsidRPr="008B510C">
        <w:t>7.</w:t>
      </w:r>
    </w:p>
  </w:footnote>
  <w:footnote w:id="62">
    <w:p w:rsidR="00421DAD" w:rsidRDefault="00421DAD" w:rsidP="00DB173D">
      <w:pPr>
        <w:pStyle w:val="FootnoteText"/>
      </w:pPr>
      <w:r>
        <w:rPr>
          <w:rStyle w:val="FootnoteReference"/>
        </w:rPr>
        <w:footnoteRef/>
      </w:r>
      <w:r>
        <w:t xml:space="preserve"> </w:t>
      </w:r>
      <w:r>
        <w:tab/>
        <w:t xml:space="preserve">Australian Gas Networks, </w:t>
      </w:r>
      <w:r w:rsidRPr="007B22CD">
        <w:rPr>
          <w:i/>
        </w:rPr>
        <w:t>Revised Access Information for Australian Gas Networks’ South Australian Natural Gas Distribution Network</w:t>
      </w:r>
      <w:r>
        <w:t xml:space="preserve">, </w:t>
      </w:r>
      <w:r w:rsidRPr="007B22CD">
        <w:rPr>
          <w:i/>
        </w:rPr>
        <w:t>Attachment 7.8: Response Draft Decision Operating Expenditure</w:t>
      </w:r>
      <w:r>
        <w:t xml:space="preserve">, January 2016, p. 7; and Australian Gas Networks, </w:t>
      </w:r>
      <w:r w:rsidRPr="007B22CD">
        <w:rPr>
          <w:i/>
        </w:rPr>
        <w:t>Revised Access Information for Australian Gas Networks’ South Australian Natural Gas Distribution Network</w:t>
      </w:r>
      <w:r>
        <w:t xml:space="preserve">, </w:t>
      </w:r>
      <w:r w:rsidRPr="007B22CD">
        <w:rPr>
          <w:i/>
        </w:rPr>
        <w:t>Attachment 7.</w:t>
      </w:r>
      <w:r>
        <w:rPr>
          <w:i/>
        </w:rPr>
        <w:t>10</w:t>
      </w:r>
      <w:r w:rsidRPr="007B22CD">
        <w:rPr>
          <w:i/>
        </w:rPr>
        <w:t xml:space="preserve">: Response </w:t>
      </w:r>
      <w:r>
        <w:rPr>
          <w:i/>
        </w:rPr>
        <w:t xml:space="preserve">to </w:t>
      </w:r>
      <w:r w:rsidRPr="007B22CD">
        <w:rPr>
          <w:i/>
        </w:rPr>
        <w:t>Draft Decision</w:t>
      </w:r>
      <w:r>
        <w:rPr>
          <w:i/>
        </w:rPr>
        <w:t>: Advice regarding opex versus capex classification – A report by Deloitte</w:t>
      </w:r>
      <w:r>
        <w:t>, January 2016.</w:t>
      </w:r>
    </w:p>
  </w:footnote>
  <w:footnote w:id="63">
    <w:p w:rsidR="00421DAD" w:rsidRDefault="00421DAD">
      <w:pPr>
        <w:pStyle w:val="FootnoteText"/>
      </w:pPr>
      <w:r>
        <w:rPr>
          <w:rStyle w:val="FootnoteReference"/>
        </w:rPr>
        <w:footnoteRef/>
      </w:r>
      <w:r>
        <w:t xml:space="preserve"> </w:t>
      </w:r>
      <w:r>
        <w:tab/>
        <w:t xml:space="preserve">At the time of </w:t>
      </w:r>
      <w:r w:rsidRPr="00F12DA0">
        <w:t>the previous gas access arrangement review</w:t>
      </w:r>
      <w:r>
        <w:t xml:space="preserve">, </w:t>
      </w:r>
      <w:r w:rsidRPr="00F12DA0">
        <w:t>AGN (then Envestra) accepted the classification of this work as opex.</w:t>
      </w:r>
    </w:p>
  </w:footnote>
  <w:footnote w:id="64">
    <w:p w:rsidR="00421DAD" w:rsidRDefault="00421DAD">
      <w:pPr>
        <w:pStyle w:val="FootnoteText"/>
      </w:pPr>
      <w:r>
        <w:rPr>
          <w:rStyle w:val="FootnoteReference"/>
        </w:rPr>
        <w:footnoteRef/>
      </w:r>
      <w:r>
        <w:t xml:space="preserve"> </w:t>
      </w:r>
      <w:r>
        <w:tab/>
        <w:t xml:space="preserve">Australian Gas Networks, </w:t>
      </w:r>
      <w:r w:rsidRPr="008B510C">
        <w:rPr>
          <w:rStyle w:val="Emphasis"/>
        </w:rPr>
        <w:t>Response to Information Request 034</w:t>
      </w:r>
      <w:r>
        <w:t>, 4 February 2016.</w:t>
      </w:r>
    </w:p>
  </w:footnote>
  <w:footnote w:id="65">
    <w:p w:rsidR="00421DAD" w:rsidRDefault="00421DAD">
      <w:pPr>
        <w:pStyle w:val="FootnoteText"/>
      </w:pPr>
      <w:r>
        <w:rPr>
          <w:rStyle w:val="FootnoteReference"/>
        </w:rPr>
        <w:footnoteRef/>
      </w:r>
      <w:r>
        <w:t xml:space="preserve"> </w:t>
      </w:r>
      <w:r>
        <w:tab/>
      </w:r>
      <w:r w:rsidRPr="008B510C">
        <w:t xml:space="preserve">Australian Gas Networks, </w:t>
      </w:r>
      <w:r w:rsidRPr="008B510C">
        <w:rPr>
          <w:rStyle w:val="Emphasis"/>
        </w:rPr>
        <w:t>Response to Information Request 034A</w:t>
      </w:r>
      <w:r w:rsidRPr="008B510C">
        <w:t xml:space="preserve">, </w:t>
      </w:r>
      <w:r>
        <w:t>17</w:t>
      </w:r>
      <w:r w:rsidRPr="008B510C">
        <w:t xml:space="preserve"> February 2016.</w:t>
      </w:r>
    </w:p>
  </w:footnote>
  <w:footnote w:id="66">
    <w:p w:rsidR="00421DAD" w:rsidRDefault="00421DAD">
      <w:pPr>
        <w:pStyle w:val="FootnoteText"/>
      </w:pPr>
      <w:r>
        <w:rPr>
          <w:rStyle w:val="FootnoteReference"/>
        </w:rPr>
        <w:footnoteRef/>
      </w:r>
      <w:r>
        <w:t xml:space="preserve"> </w:t>
      </w:r>
      <w:r>
        <w:tab/>
        <w:t xml:space="preserve">For the 2014-15 (base) </w:t>
      </w:r>
      <w:proofErr w:type="gramStart"/>
      <w:r>
        <w:t>year</w:t>
      </w:r>
      <w:proofErr w:type="gramEnd"/>
      <w:r>
        <w:t xml:space="preserve"> this led to an increase of $0.206 million ($2015-16). We note this omission also led AGN to correct its ECM carryover amount calculations. See </w:t>
      </w:r>
      <w:r w:rsidRPr="008B510C">
        <w:t xml:space="preserve">Australian Gas Networks, </w:t>
      </w:r>
      <w:r w:rsidRPr="008B510C">
        <w:rPr>
          <w:rStyle w:val="Emphasis"/>
        </w:rPr>
        <w:t>Response to Information Request 034A</w:t>
      </w:r>
      <w:r w:rsidRPr="008B510C">
        <w:t xml:space="preserve">, </w:t>
      </w:r>
      <w:r>
        <w:t>17</w:t>
      </w:r>
      <w:r w:rsidRPr="008B510C">
        <w:t xml:space="preserve"> February 2016.</w:t>
      </w:r>
    </w:p>
  </w:footnote>
  <w:footnote w:id="67">
    <w:p w:rsidR="00421DAD" w:rsidRDefault="00421DAD">
      <w:pPr>
        <w:pStyle w:val="FootnoteText"/>
      </w:pPr>
      <w:r>
        <w:rPr>
          <w:rStyle w:val="FootnoteReference"/>
        </w:rPr>
        <w:footnoteRef/>
      </w:r>
      <w:r>
        <w:t xml:space="preserve"> </w:t>
      </w:r>
      <w:r>
        <w:tab/>
        <w:t xml:space="preserve">Our draft decision did not accept the specific category forecasts AGN proposed for the Network Management Fee, insurance and ancillary reference services. Instead, we incorporated all these categories into the base year. </w:t>
      </w:r>
    </w:p>
  </w:footnote>
  <w:footnote w:id="68">
    <w:p w:rsidR="00421DAD" w:rsidRDefault="00421DAD" w:rsidP="001E0ABE">
      <w:pPr>
        <w:pStyle w:val="FootnoteText"/>
      </w:pPr>
      <w:r>
        <w:rPr>
          <w:rStyle w:val="FootnoteReference"/>
        </w:rPr>
        <w:footnoteRef/>
      </w:r>
      <w:r>
        <w:t xml:space="preserve"> </w:t>
      </w:r>
      <w:r>
        <w:tab/>
        <w:t xml:space="preserve">AER, </w:t>
      </w:r>
      <w:r w:rsidRPr="0010299C">
        <w:rPr>
          <w:rStyle w:val="Emphasis"/>
        </w:rPr>
        <w:t>Draft Decision: Australian Gas Networks (SA) Access Arrangement 2016-21, Attachment 7,</w:t>
      </w:r>
      <w:r>
        <w:t xml:space="preserve"> November 2015, pp. 7-40 to 7-42.</w:t>
      </w:r>
    </w:p>
  </w:footnote>
  <w:footnote w:id="69">
    <w:p w:rsidR="00421DAD" w:rsidRDefault="00421DAD" w:rsidP="008B2D25">
      <w:pPr>
        <w:pStyle w:val="FootnoteText"/>
      </w:pPr>
      <w:r>
        <w:rPr>
          <w:rStyle w:val="FootnoteReference"/>
        </w:rPr>
        <w:footnoteRef/>
      </w:r>
      <w:r>
        <w:t xml:space="preserve"> </w:t>
      </w:r>
      <w:r>
        <w:tab/>
      </w:r>
      <w:r w:rsidRPr="00891D09">
        <w:t>We understand that</w:t>
      </w:r>
      <w:r>
        <w:t xml:space="preserve"> the </w:t>
      </w:r>
      <w:r w:rsidRPr="00891D09">
        <w:t xml:space="preserve">Australian Energy Market Operator's (AEMO) review of UAFG arrangements </w:t>
      </w:r>
      <w:r>
        <w:t xml:space="preserve">is continuing and is unlikely to be completed before AGN's forthcoming access arrangement period commences. Consistent with our draft decision we note that if the review </w:t>
      </w:r>
      <w:r w:rsidRPr="00891D09">
        <w:t>results in the removal of the obligation on AGN to supply UAFG</w:t>
      </w:r>
      <w:r>
        <w:t>,</w:t>
      </w:r>
      <w:r w:rsidRPr="00891D09">
        <w:t xml:space="preserve"> the opex impact c</w:t>
      </w:r>
      <w:r>
        <w:t xml:space="preserve">an </w:t>
      </w:r>
      <w:r w:rsidRPr="00891D09">
        <w:t xml:space="preserve">be </w:t>
      </w:r>
      <w:r>
        <w:t>addressed</w:t>
      </w:r>
      <w:r w:rsidRPr="00891D09">
        <w:t xml:space="preserve"> through the pass through provisions in AGN's access arrangement for the 2016</w:t>
      </w:r>
      <w:r>
        <w:t>–</w:t>
      </w:r>
      <w:r w:rsidRPr="00891D09">
        <w:t xml:space="preserve">21 </w:t>
      </w:r>
      <w:proofErr w:type="gramStart"/>
      <w:r w:rsidRPr="00891D09">
        <w:t>period</w:t>
      </w:r>
      <w:proofErr w:type="gramEnd"/>
      <w:r>
        <w:t xml:space="preserve">. See AER, </w:t>
      </w:r>
      <w:r w:rsidRPr="0010299C">
        <w:rPr>
          <w:rStyle w:val="Emphasis"/>
        </w:rPr>
        <w:t>Draft Decision: Australian Gas Networks (SA) Access Arrangement 2016-21, Attachment 7,</w:t>
      </w:r>
      <w:r>
        <w:t xml:space="preserve"> November 2015, pp. 7-40 to 7-41. </w:t>
      </w:r>
    </w:p>
  </w:footnote>
  <w:footnote w:id="70">
    <w:p w:rsidR="00421DAD" w:rsidRDefault="00421DAD">
      <w:pPr>
        <w:pStyle w:val="FootnoteText"/>
      </w:pPr>
      <w:r>
        <w:rPr>
          <w:rStyle w:val="FootnoteReference"/>
        </w:rPr>
        <w:footnoteRef/>
      </w:r>
      <w:r>
        <w:t xml:space="preserve"> </w:t>
      </w:r>
      <w:r>
        <w:tab/>
      </w:r>
      <w:r w:rsidRPr="00F628EB">
        <w:t xml:space="preserve">Australian Gas Networks, Revised Access Information </w:t>
      </w:r>
      <w:r w:rsidRPr="00F628EB">
        <w:rPr>
          <w:rStyle w:val="Emphasis"/>
        </w:rPr>
        <w:t>for Australian Gas Networks’ South Australian Natural Gas Distribution Network, Attachment 7.8: Response Draft Decision Operating Expenditure</w:t>
      </w:r>
      <w:r w:rsidRPr="00F628EB">
        <w:t>, January 2016, p</w:t>
      </w:r>
      <w:r>
        <w:t>p</w:t>
      </w:r>
      <w:r w:rsidRPr="00F628EB">
        <w:t>.</w:t>
      </w:r>
      <w:r>
        <w:t xml:space="preserve"> 3</w:t>
      </w:r>
      <w:r w:rsidRPr="000575AB">
        <w:t>–</w:t>
      </w:r>
      <w:r>
        <w:t>4.</w:t>
      </w:r>
    </w:p>
  </w:footnote>
  <w:footnote w:id="71">
    <w:p w:rsidR="00421DAD" w:rsidRPr="00D47C58" w:rsidRDefault="00421DAD" w:rsidP="00D47C58">
      <w:pPr>
        <w:pStyle w:val="FootnoteText"/>
        <w:rPr>
          <w:rStyle w:val="Emphasis"/>
          <w:i w:val="0"/>
          <w:iCs w:val="0"/>
        </w:rPr>
      </w:pPr>
      <w:r>
        <w:rPr>
          <w:rStyle w:val="FootnoteReference"/>
        </w:rPr>
        <w:footnoteRef/>
      </w:r>
      <w:r>
        <w:t xml:space="preserve"> </w:t>
      </w:r>
      <w:r>
        <w:tab/>
      </w:r>
      <w:proofErr w:type="gramStart"/>
      <w:r w:rsidRPr="00FC6177">
        <w:t xml:space="preserve">Australian Gas Networks, </w:t>
      </w:r>
      <w:r w:rsidRPr="00FC6177">
        <w:rPr>
          <w:rStyle w:val="Emphasis"/>
        </w:rPr>
        <w:t>Re</w:t>
      </w:r>
      <w:r>
        <w:rPr>
          <w:rStyle w:val="Emphasis"/>
        </w:rPr>
        <w:t xml:space="preserve">sponse to AER Information Request 047 </w:t>
      </w:r>
      <w:r>
        <w:rPr>
          <w:rStyle w:val="Emphasis"/>
          <w:i w:val="0"/>
          <w:iCs w:val="0"/>
        </w:rPr>
        <w:t>[email to AER],</w:t>
      </w:r>
      <w:r w:rsidRPr="00D47C58">
        <w:rPr>
          <w:rStyle w:val="Emphasis"/>
          <w:i w:val="0"/>
          <w:iCs w:val="0"/>
        </w:rPr>
        <w:t xml:space="preserve"> 18 March 2016.</w:t>
      </w:r>
      <w:proofErr w:type="gramEnd"/>
    </w:p>
  </w:footnote>
  <w:footnote w:id="72">
    <w:p w:rsidR="00421DAD" w:rsidRDefault="00421DAD">
      <w:pPr>
        <w:pStyle w:val="FootnoteText"/>
      </w:pPr>
      <w:r>
        <w:rPr>
          <w:rStyle w:val="FootnoteReference"/>
        </w:rPr>
        <w:footnoteRef/>
      </w:r>
      <w:r>
        <w:t xml:space="preserve"> </w:t>
      </w:r>
      <w:r>
        <w:tab/>
        <w:t>AGN, in its revised proposal, suggested two amendments to the UAFG true-up adjustment formula. We discuss AGN's proposed amendments in Attachment 11 of this final decision.</w:t>
      </w:r>
    </w:p>
  </w:footnote>
  <w:footnote w:id="73">
    <w:p w:rsidR="00421DAD" w:rsidRDefault="00421DAD">
      <w:pPr>
        <w:pStyle w:val="FootnoteText"/>
      </w:pPr>
      <w:r>
        <w:rPr>
          <w:rStyle w:val="FootnoteReference"/>
        </w:rPr>
        <w:footnoteRef/>
      </w:r>
      <w:r>
        <w:t xml:space="preserve"> </w:t>
      </w:r>
      <w:r>
        <w:tab/>
      </w:r>
      <w:r w:rsidRPr="00830685">
        <w:t xml:space="preserve">SACOSS, </w:t>
      </w:r>
      <w:r w:rsidRPr="00830685">
        <w:rPr>
          <w:rStyle w:val="Emphasis"/>
        </w:rPr>
        <w:t>Submission to the AER in Response to AGN's Revised Regulatory Proposal for the 2016 - 2021 Access Arrangement,</w:t>
      </w:r>
      <w:r w:rsidRPr="00830685">
        <w:t xml:space="preserve"> February 2016, p. </w:t>
      </w:r>
      <w:r>
        <w:t xml:space="preserve">9; </w:t>
      </w:r>
      <w:r w:rsidRPr="00830685">
        <w:t>Origin Energy</w:t>
      </w:r>
      <w:r>
        <w:t>,</w:t>
      </w:r>
      <w:r w:rsidRPr="00830685">
        <w:t xml:space="preserve"> </w:t>
      </w:r>
      <w:r w:rsidRPr="00A459E9">
        <w:rPr>
          <w:rStyle w:val="Emphasis"/>
        </w:rPr>
        <w:t>Submission on AGN Revised Access Arrangement</w:t>
      </w:r>
      <w:r>
        <w:t>,</w:t>
      </w:r>
      <w:r w:rsidRPr="00830685">
        <w:t xml:space="preserve"> 4 February 2016</w:t>
      </w:r>
      <w:r>
        <w:t>, p. 3.</w:t>
      </w:r>
    </w:p>
  </w:footnote>
  <w:footnote w:id="74">
    <w:p w:rsidR="00421DAD" w:rsidRDefault="00421DAD">
      <w:pPr>
        <w:pStyle w:val="FootnoteText"/>
      </w:pPr>
      <w:r>
        <w:rPr>
          <w:rStyle w:val="FootnoteReference"/>
        </w:rPr>
        <w:footnoteRef/>
      </w:r>
      <w:r>
        <w:t xml:space="preserve"> </w:t>
      </w:r>
      <w:r>
        <w:tab/>
      </w:r>
      <w:r w:rsidRPr="001B10F2">
        <w:t>Energy Consumer’s Coalition of SA</w:t>
      </w:r>
      <w:r>
        <w:t xml:space="preserve">, </w:t>
      </w:r>
      <w:r w:rsidRPr="007D1305">
        <w:rPr>
          <w:rStyle w:val="Emphasis"/>
        </w:rPr>
        <w:t>Response to the AER Draft Decision on AGN’s AA2016 Revenue Reset</w:t>
      </w:r>
      <w:r>
        <w:rPr>
          <w:rStyle w:val="Emphasis"/>
        </w:rPr>
        <w:t>,</w:t>
      </w:r>
      <w:r w:rsidRPr="001B10F2">
        <w:t xml:space="preserve"> February 2016</w:t>
      </w:r>
      <w:r>
        <w:t>, pp. 27</w:t>
      </w:r>
      <w:r w:rsidRPr="000575AB">
        <w:t>–</w:t>
      </w:r>
      <w:r>
        <w:t>28.</w:t>
      </w:r>
    </w:p>
  </w:footnote>
  <w:footnote w:id="75">
    <w:p w:rsidR="00421DAD" w:rsidRDefault="00421DAD">
      <w:pPr>
        <w:pStyle w:val="FootnoteText"/>
      </w:pPr>
      <w:r>
        <w:rPr>
          <w:rStyle w:val="FootnoteReference"/>
        </w:rPr>
        <w:footnoteRef/>
      </w:r>
      <w:r>
        <w:t xml:space="preserve"> </w:t>
      </w:r>
      <w:r>
        <w:tab/>
      </w:r>
      <w:r w:rsidRPr="001B10F2">
        <w:t>Energy Consumer’s Coalition of SA</w:t>
      </w:r>
      <w:r>
        <w:t xml:space="preserve">, </w:t>
      </w:r>
      <w:r w:rsidRPr="007D1305">
        <w:rPr>
          <w:rStyle w:val="Emphasis"/>
        </w:rPr>
        <w:t>Response to the AER Draft Decision on AGN’s AA2016 Revenue Reset</w:t>
      </w:r>
      <w:r>
        <w:rPr>
          <w:rStyle w:val="Emphasis"/>
        </w:rPr>
        <w:t>,</w:t>
      </w:r>
      <w:r w:rsidRPr="001B10F2">
        <w:t xml:space="preserve"> February 2016</w:t>
      </w:r>
      <w:r>
        <w:t>, p. 28.</w:t>
      </w:r>
    </w:p>
  </w:footnote>
  <w:footnote w:id="76">
    <w:p w:rsidR="00421DAD" w:rsidRDefault="00421DAD" w:rsidP="00B61205">
      <w:pPr>
        <w:pStyle w:val="FootnoteText"/>
      </w:pPr>
      <w:r>
        <w:rPr>
          <w:rStyle w:val="FootnoteReference"/>
        </w:rPr>
        <w:footnoteRef/>
      </w:r>
      <w:r>
        <w:t xml:space="preserve"> </w:t>
      </w:r>
      <w:r>
        <w:tab/>
        <w:t xml:space="preserve">See </w:t>
      </w:r>
      <w:r w:rsidRPr="001B10F2">
        <w:t>Energy Consumer’s Coalition of SA</w:t>
      </w:r>
      <w:r>
        <w:t xml:space="preserve">, </w:t>
      </w:r>
      <w:r w:rsidRPr="007D1305">
        <w:rPr>
          <w:rStyle w:val="Emphasis"/>
        </w:rPr>
        <w:t>Response to the AER Draft Decision on AGN’s AA2016 Revenue Reset</w:t>
      </w:r>
      <w:r>
        <w:rPr>
          <w:rStyle w:val="Emphasis"/>
        </w:rPr>
        <w:t>,</w:t>
      </w:r>
      <w:r w:rsidRPr="001B10F2">
        <w:t xml:space="preserve"> February 2016</w:t>
      </w:r>
      <w:r>
        <w:t>, p. 28.</w:t>
      </w:r>
    </w:p>
  </w:footnote>
  <w:footnote w:id="77">
    <w:p w:rsidR="00421DAD" w:rsidRDefault="00421DAD" w:rsidP="00891D09">
      <w:pPr>
        <w:pStyle w:val="FootnoteText"/>
      </w:pPr>
      <w:r>
        <w:rPr>
          <w:rStyle w:val="FootnoteReference"/>
        </w:rPr>
        <w:footnoteRef/>
      </w:r>
      <w:r>
        <w:t xml:space="preserve"> </w:t>
      </w:r>
      <w:r>
        <w:tab/>
      </w:r>
      <w:r w:rsidRPr="00891D09">
        <w:t xml:space="preserve">See AEMO's current list of </w:t>
      </w:r>
      <w:r>
        <w:t>p</w:t>
      </w:r>
      <w:hyperlink r:id="rId1" w:history="1">
        <w:r w:rsidRPr="00891D09">
          <w:rPr>
            <w:rStyle w:val="Hyperlink"/>
            <w:color w:val="auto"/>
            <w:sz w:val="16"/>
            <w:u w:val="none"/>
          </w:rPr>
          <w:t>articipants registered in the VIC, SA, QLD and NSW/ACT gas markets</w:t>
        </w:r>
      </w:hyperlink>
      <w:r>
        <w:t xml:space="preserve"> available on AEMO's website at: </w:t>
      </w:r>
      <w:hyperlink r:id="rId2" w:history="1">
        <w:r w:rsidRPr="00C95457">
          <w:rPr>
            <w:rStyle w:val="Hyperlink"/>
            <w:sz w:val="16"/>
          </w:rPr>
          <w:t>http://www.aemo.com.au/About-the-Industry/Registration/Current-Registration-and-Exemption-lists</w:t>
        </w:r>
      </w:hyperlink>
      <w:r>
        <w:t xml:space="preserve">. </w:t>
      </w:r>
    </w:p>
  </w:footnote>
  <w:footnote w:id="78">
    <w:p w:rsidR="00421DAD" w:rsidRPr="00A70417" w:rsidRDefault="00421DAD" w:rsidP="00A70417">
      <w:pPr>
        <w:pStyle w:val="FootnoteText"/>
        <w:rPr>
          <w:rStyle w:val="AERtexthighlight"/>
          <w:shd w:val="clear" w:color="auto" w:fill="auto"/>
        </w:rPr>
      </w:pPr>
      <w:r w:rsidRPr="00DC67DA">
        <w:rPr>
          <w:rStyle w:val="FootnoteReference"/>
        </w:rPr>
        <w:footnoteRef/>
      </w:r>
      <w:r w:rsidRPr="00A70417">
        <w:rPr>
          <w:rStyle w:val="AERtexthighlight"/>
          <w:shd w:val="clear" w:color="auto" w:fill="auto"/>
        </w:rPr>
        <w:t xml:space="preserve"> </w:t>
      </w:r>
      <w:r w:rsidRPr="00A70417">
        <w:rPr>
          <w:rStyle w:val="AERtexthighlight"/>
          <w:shd w:val="clear" w:color="auto" w:fill="auto"/>
        </w:rPr>
        <w:tab/>
        <w:t>AER</w:t>
      </w:r>
      <w:r w:rsidRPr="00A70417">
        <w:rPr>
          <w:rStyle w:val="Emphasis"/>
        </w:rPr>
        <w:t>, Final Decision: Australian Gas Networks (SA) Access Arrangement 2016-21, Attachment 11 – Reference tariff variation mechanism</w:t>
      </w:r>
      <w:r w:rsidRPr="00A70417">
        <w:rPr>
          <w:rStyle w:val="AERtexthighlight"/>
          <w:shd w:val="clear" w:color="auto" w:fill="auto"/>
        </w:rPr>
        <w:t>, May 2016, section 11.4.</w:t>
      </w:r>
    </w:p>
  </w:footnote>
  <w:footnote w:id="79">
    <w:p w:rsidR="00421DAD" w:rsidRDefault="00421DAD" w:rsidP="000B6735">
      <w:pPr>
        <w:pStyle w:val="FootnoteText"/>
      </w:pPr>
      <w:r>
        <w:rPr>
          <w:rStyle w:val="FootnoteReference"/>
        </w:rPr>
        <w:footnoteRef/>
      </w:r>
      <w:r>
        <w:t xml:space="preserve"> </w:t>
      </w:r>
      <w:r>
        <w:tab/>
      </w:r>
      <w:proofErr w:type="gramStart"/>
      <w:r w:rsidRPr="00FC6177">
        <w:t xml:space="preserve">Australian Gas Networks, </w:t>
      </w:r>
      <w:r w:rsidRPr="00FC6177">
        <w:rPr>
          <w:rStyle w:val="Emphasis"/>
        </w:rPr>
        <w:t>Re</w:t>
      </w:r>
      <w:r>
        <w:rPr>
          <w:rStyle w:val="Emphasis"/>
        </w:rPr>
        <w:t>sponse to AER Information Request 047</w:t>
      </w:r>
      <w:r w:rsidRPr="00C355E1">
        <w:rPr>
          <w:rStyle w:val="Emphasis"/>
          <w:i w:val="0"/>
          <w:iCs w:val="0"/>
        </w:rPr>
        <w:t xml:space="preserve"> </w:t>
      </w:r>
      <w:r>
        <w:rPr>
          <w:rStyle w:val="Emphasis"/>
          <w:i w:val="0"/>
          <w:iCs w:val="0"/>
        </w:rPr>
        <w:t>[email to AER],</w:t>
      </w:r>
      <w:r w:rsidRPr="00C355E1">
        <w:rPr>
          <w:rStyle w:val="Emphasis"/>
          <w:i w:val="0"/>
          <w:iCs w:val="0"/>
        </w:rPr>
        <w:t xml:space="preserve"> 18</w:t>
      </w:r>
      <w:r w:rsidRPr="00C355E1">
        <w:rPr>
          <w:rStyle w:val="Emphasis"/>
        </w:rPr>
        <w:t xml:space="preserve"> </w:t>
      </w:r>
      <w:r w:rsidRPr="00C355E1">
        <w:rPr>
          <w:rStyle w:val="Emphasis"/>
          <w:i w:val="0"/>
          <w:iCs w:val="0"/>
        </w:rPr>
        <w:t>March 2016.</w:t>
      </w:r>
      <w:proofErr w:type="gramEnd"/>
    </w:p>
  </w:footnote>
  <w:footnote w:id="80">
    <w:p w:rsidR="00421DAD" w:rsidRDefault="00421DAD">
      <w:pPr>
        <w:pStyle w:val="FootnoteText"/>
      </w:pPr>
      <w:r>
        <w:rPr>
          <w:rStyle w:val="FootnoteReference"/>
        </w:rPr>
        <w:footnoteRef/>
      </w:r>
      <w:r>
        <w:t xml:space="preserve"> </w:t>
      </w:r>
      <w:r>
        <w:tab/>
      </w:r>
      <w:r w:rsidRPr="00270B73">
        <w:t xml:space="preserve">Australian Gas Networks, </w:t>
      </w:r>
      <w:r w:rsidRPr="009161D9">
        <w:rPr>
          <w:rStyle w:val="Emphasis"/>
        </w:rPr>
        <w:t>Revised Access Information for Australian Gas Networks’ South Australian Natural Gas Distribution Network, Attachment 7.8: Response Draft Decision Operating Expenditure</w:t>
      </w:r>
      <w:r w:rsidRPr="00270B73">
        <w:t>, January 2016, p.</w:t>
      </w:r>
      <w:r>
        <w:t xml:space="preserve"> 4</w:t>
      </w:r>
      <w:r w:rsidRPr="00270B73">
        <w:t>.</w:t>
      </w:r>
    </w:p>
  </w:footnote>
  <w:footnote w:id="81">
    <w:p w:rsidR="00421DAD" w:rsidRDefault="00421DAD">
      <w:pPr>
        <w:pStyle w:val="FootnoteText"/>
      </w:pPr>
      <w:r>
        <w:rPr>
          <w:rStyle w:val="FootnoteReference"/>
        </w:rPr>
        <w:footnoteRef/>
      </w:r>
      <w:r>
        <w:t xml:space="preserve"> </w:t>
      </w:r>
      <w:r>
        <w:tab/>
      </w:r>
      <w:r w:rsidRPr="00835AE3">
        <w:t xml:space="preserve">Government of South Australia, </w:t>
      </w:r>
      <w:r w:rsidRPr="001F7201">
        <w:rPr>
          <w:rStyle w:val="Emphasis"/>
        </w:rPr>
        <w:t xml:space="preserve">AGN Access </w:t>
      </w:r>
      <w:proofErr w:type="gramStart"/>
      <w:r w:rsidRPr="001F7201">
        <w:rPr>
          <w:rStyle w:val="Emphasis"/>
        </w:rPr>
        <w:t>Arrangement :</w:t>
      </w:r>
      <w:proofErr w:type="gramEnd"/>
      <w:r w:rsidRPr="001F7201">
        <w:rPr>
          <w:rStyle w:val="Emphasis"/>
        </w:rPr>
        <w:t xml:space="preserve"> Submission to Draft Decision and Revised Proposal</w:t>
      </w:r>
      <w:r w:rsidRPr="00835AE3">
        <w:t>, 24 February 2016, p. 3.</w:t>
      </w:r>
    </w:p>
  </w:footnote>
  <w:footnote w:id="82">
    <w:p w:rsidR="00421DAD" w:rsidRDefault="00421DAD">
      <w:pPr>
        <w:pStyle w:val="FootnoteText"/>
      </w:pPr>
      <w:r>
        <w:rPr>
          <w:rStyle w:val="FootnoteReference"/>
        </w:rPr>
        <w:footnoteRef/>
      </w:r>
      <w:r>
        <w:t xml:space="preserve"> </w:t>
      </w:r>
      <w:r>
        <w:tab/>
      </w:r>
      <w:r w:rsidRPr="00E50081">
        <w:t xml:space="preserve">Energy Consumer’s Coalition of SA, </w:t>
      </w:r>
      <w:r w:rsidRPr="00E50081">
        <w:rPr>
          <w:rStyle w:val="Emphasis"/>
        </w:rPr>
        <w:t>Response to the AER Draft Decision on AGN’s AA2016 Revenue Reset,</w:t>
      </w:r>
      <w:r w:rsidRPr="00E50081">
        <w:t xml:space="preserve"> February 2016, p. 28.</w:t>
      </w:r>
    </w:p>
  </w:footnote>
  <w:footnote w:id="83">
    <w:p w:rsidR="00421DAD" w:rsidRDefault="00421DAD">
      <w:pPr>
        <w:pStyle w:val="FootnoteText"/>
      </w:pPr>
      <w:r>
        <w:rPr>
          <w:rStyle w:val="FootnoteReference"/>
        </w:rPr>
        <w:footnoteRef/>
      </w:r>
      <w:r>
        <w:t xml:space="preserve"> </w:t>
      </w:r>
      <w:r>
        <w:tab/>
      </w:r>
      <w:r w:rsidRPr="00E50081">
        <w:t xml:space="preserve">Energy Consumer’s Coalition of SA, </w:t>
      </w:r>
      <w:r w:rsidRPr="00E50081">
        <w:rPr>
          <w:rStyle w:val="Emphasis"/>
        </w:rPr>
        <w:t>Response to the AER Draft Decision on AGN’s AA2016 Revenue Reset,</w:t>
      </w:r>
      <w:r w:rsidRPr="00E50081">
        <w:t xml:space="preserve"> February 2016, p. 28.</w:t>
      </w:r>
    </w:p>
  </w:footnote>
  <w:footnote w:id="84">
    <w:p w:rsidR="00421DAD" w:rsidRDefault="00421DAD" w:rsidP="00E50081">
      <w:pPr>
        <w:pStyle w:val="FootnoteText"/>
      </w:pPr>
      <w:r>
        <w:rPr>
          <w:rStyle w:val="FootnoteReference"/>
        </w:rPr>
        <w:footnoteRef/>
      </w:r>
      <w:r>
        <w:t xml:space="preserve"> </w:t>
      </w:r>
      <w:r>
        <w:tab/>
      </w:r>
      <w:r w:rsidRPr="00E50081">
        <w:t xml:space="preserve">Energy Consumer’s Coalition of SA, </w:t>
      </w:r>
      <w:r w:rsidRPr="00E50081">
        <w:rPr>
          <w:rStyle w:val="Emphasis"/>
        </w:rPr>
        <w:t>Response to the AER Draft Decision on AGN’s AA2016 Revenue Reset,</w:t>
      </w:r>
      <w:r w:rsidRPr="00E50081">
        <w:t xml:space="preserve"> February 2016, p. 28.</w:t>
      </w:r>
    </w:p>
  </w:footnote>
  <w:footnote w:id="85">
    <w:p w:rsidR="00421DAD" w:rsidRPr="005B108B" w:rsidRDefault="00421DAD">
      <w:pPr>
        <w:pStyle w:val="FootnoteText"/>
        <w:rPr>
          <w:i/>
        </w:rPr>
      </w:pPr>
      <w:r>
        <w:rPr>
          <w:rStyle w:val="FootnoteReference"/>
        </w:rPr>
        <w:footnoteRef/>
      </w:r>
      <w:r>
        <w:t xml:space="preserve"> </w:t>
      </w:r>
      <w:r>
        <w:tab/>
      </w:r>
      <w:proofErr w:type="gramStart"/>
      <w:r w:rsidRPr="00FC6177">
        <w:t xml:space="preserve">Australian Gas Networks, </w:t>
      </w:r>
      <w:r w:rsidRPr="00FC6177">
        <w:rPr>
          <w:rStyle w:val="Emphasis"/>
        </w:rPr>
        <w:t>Re</w:t>
      </w:r>
      <w:r>
        <w:rPr>
          <w:rStyle w:val="Emphasis"/>
        </w:rPr>
        <w:t xml:space="preserve">sponse to AER Information Request 047 </w:t>
      </w:r>
      <w:r w:rsidRPr="00852807">
        <w:rPr>
          <w:rStyle w:val="Emphasis"/>
          <w:i w:val="0"/>
        </w:rPr>
        <w:t>[email to AER], 18 March 2016.</w:t>
      </w:r>
      <w:proofErr w:type="gramEnd"/>
    </w:p>
  </w:footnote>
  <w:footnote w:id="86">
    <w:p w:rsidR="00421DAD" w:rsidRDefault="00421DAD">
      <w:pPr>
        <w:pStyle w:val="FootnoteText"/>
      </w:pPr>
      <w:r>
        <w:rPr>
          <w:rStyle w:val="FootnoteReference"/>
        </w:rPr>
        <w:footnoteRef/>
      </w:r>
      <w:r>
        <w:t xml:space="preserve"> </w:t>
      </w:r>
      <w:r>
        <w:tab/>
      </w:r>
      <w:r w:rsidRPr="00095A6A">
        <w:t xml:space="preserve">SACOSS, </w:t>
      </w:r>
      <w:r w:rsidRPr="00095A6A">
        <w:rPr>
          <w:rStyle w:val="Emphasis"/>
        </w:rPr>
        <w:t>Submission to the AER in Response to AGN's Revised Regulatory Proposal for the 2016 - 2021 Access Arrangement,</w:t>
      </w:r>
      <w:r w:rsidRPr="00095A6A">
        <w:t xml:space="preserve"> February 2016, p. 9</w:t>
      </w:r>
      <w:r>
        <w:t>.</w:t>
      </w:r>
    </w:p>
  </w:footnote>
  <w:footnote w:id="87">
    <w:p w:rsidR="00421DAD" w:rsidRDefault="00421DAD">
      <w:pPr>
        <w:pStyle w:val="FootnoteText"/>
      </w:pPr>
      <w:r>
        <w:rPr>
          <w:rStyle w:val="FootnoteReference"/>
        </w:rPr>
        <w:footnoteRef/>
      </w:r>
      <w:r>
        <w:t xml:space="preserve"> </w:t>
      </w:r>
      <w:r>
        <w:tab/>
      </w:r>
      <w:r w:rsidRPr="00095A6A">
        <w:t xml:space="preserve">SACOSS, </w:t>
      </w:r>
      <w:r w:rsidRPr="00095A6A">
        <w:rPr>
          <w:rStyle w:val="Emphasis"/>
        </w:rPr>
        <w:t>Submission to the AER in Response to AGN's Revised Regulatory Proposal for the 2016 - 2021 Access Arrangement,</w:t>
      </w:r>
      <w:r w:rsidRPr="00095A6A">
        <w:t xml:space="preserve"> February 2016, p. 9</w:t>
      </w:r>
      <w:r>
        <w:t>.</w:t>
      </w:r>
    </w:p>
  </w:footnote>
  <w:footnote w:id="88">
    <w:p w:rsidR="00421DAD" w:rsidRDefault="00421DAD" w:rsidP="009161D9">
      <w:pPr>
        <w:pStyle w:val="FootnoteText"/>
      </w:pPr>
      <w:r>
        <w:rPr>
          <w:rStyle w:val="FootnoteReference"/>
        </w:rPr>
        <w:footnoteRef/>
      </w:r>
      <w:r>
        <w:t xml:space="preserve"> </w:t>
      </w:r>
      <w:r>
        <w:tab/>
      </w:r>
      <w:proofErr w:type="gramStart"/>
      <w:r w:rsidRPr="00FC6177">
        <w:t xml:space="preserve">Australian Gas Networks, </w:t>
      </w:r>
      <w:r w:rsidRPr="00FC6177">
        <w:rPr>
          <w:rStyle w:val="Emphasis"/>
        </w:rPr>
        <w:t>Re</w:t>
      </w:r>
      <w:r>
        <w:rPr>
          <w:rStyle w:val="Emphasis"/>
        </w:rPr>
        <w:t xml:space="preserve">sponse to AER Information Request 047 </w:t>
      </w:r>
      <w:r>
        <w:rPr>
          <w:rStyle w:val="Emphasis"/>
          <w:i w:val="0"/>
          <w:iCs w:val="0"/>
        </w:rPr>
        <w:t>[email to AER],</w:t>
      </w:r>
      <w:r w:rsidRPr="009161D9">
        <w:rPr>
          <w:rStyle w:val="Emphasis"/>
          <w:i w:val="0"/>
          <w:iCs w:val="0"/>
        </w:rPr>
        <w:t xml:space="preserve"> 18 March 2016</w:t>
      </w:r>
      <w:r w:rsidRPr="009161D9">
        <w:rPr>
          <w:rStyle w:val="Emphasis"/>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AD" w:rsidRDefault="00961E5E">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421DAD">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DAD" w:rsidRDefault="00961E5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8C4A9E"/>
    <w:multiLevelType w:val="hybridMultilevel"/>
    <w:tmpl w:val="87E84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8DD54C4"/>
    <w:multiLevelType w:val="hybridMultilevel"/>
    <w:tmpl w:val="65F28C1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3976178"/>
    <w:multiLevelType w:val="hybridMultilevel"/>
    <w:tmpl w:val="AA202C20"/>
    <w:lvl w:ilvl="0" w:tplc="4DC29FF2">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5B63AC3"/>
    <w:multiLevelType w:val="hybridMultilevel"/>
    <w:tmpl w:val="39747F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C36A2C"/>
    <w:multiLevelType w:val="hybridMultilevel"/>
    <w:tmpl w:val="C64860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48F38CF"/>
    <w:multiLevelType w:val="hybridMultilevel"/>
    <w:tmpl w:val="4FC6D2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8F84440C"/>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02945C8"/>
    <w:multiLevelType w:val="hybridMultilevel"/>
    <w:tmpl w:val="7098D7BE"/>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D8C4946"/>
    <w:multiLevelType w:val="hybridMultilevel"/>
    <w:tmpl w:val="771252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3"/>
  </w:num>
  <w:num w:numId="16">
    <w:abstractNumId w:val="23"/>
  </w:num>
  <w:num w:numId="17">
    <w:abstractNumId w:val="9"/>
  </w:num>
  <w:num w:numId="18">
    <w:abstractNumId w:val="15"/>
  </w:num>
  <w:num w:numId="19">
    <w:abstractNumId w:val="24"/>
  </w:num>
  <w:num w:numId="20">
    <w:abstractNumId w:val="33"/>
  </w:num>
  <w:num w:numId="21">
    <w:abstractNumId w:val="29"/>
  </w:num>
  <w:num w:numId="22">
    <w:abstractNumId w:val="26"/>
  </w:num>
  <w:num w:numId="23">
    <w:abstractNumId w:val="17"/>
  </w:num>
  <w:num w:numId="24">
    <w:abstractNumId w:val="27"/>
  </w:num>
  <w:num w:numId="25">
    <w:abstractNumId w:val="30"/>
  </w:num>
  <w:num w:numId="26">
    <w:abstractNumId w:val="19"/>
  </w:num>
  <w:num w:numId="27">
    <w:abstractNumId w:val="1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0"/>
  </w:num>
  <w:num w:numId="31">
    <w:abstractNumId w:val="34"/>
  </w:num>
  <w:num w:numId="32">
    <w:abstractNumId w:val="16"/>
  </w:num>
  <w:num w:numId="33">
    <w:abstractNumId w:val="21"/>
  </w:num>
  <w:num w:numId="34">
    <w:abstractNumId w:val="31"/>
  </w:num>
  <w:num w:numId="35">
    <w:abstractNumId w:val="18"/>
  </w:num>
  <w:num w:numId="36">
    <w:abstractNumId w:val="28"/>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gAzw48biW2zGygqGM3vXBTpQSqZifg+TCYmVNV6/rE=" w:saltValue="Yug5VV2W+FpmP71oqzKeJ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360\AER15 4326  AER - Final decision Amadeus Gas Pipeline Access Arrangement - Attachment 7 - Operating expenditure - April 2016.DOCX"/>
  </w:docVars>
  <w:rsids>
    <w:rsidRoot w:val="00961A4A"/>
    <w:rsid w:val="00001B48"/>
    <w:rsid w:val="00004366"/>
    <w:rsid w:val="00004633"/>
    <w:rsid w:val="00007E46"/>
    <w:rsid w:val="00010286"/>
    <w:rsid w:val="000129F8"/>
    <w:rsid w:val="00020323"/>
    <w:rsid w:val="000210CB"/>
    <w:rsid w:val="00021202"/>
    <w:rsid w:val="00021C2B"/>
    <w:rsid w:val="00022E7A"/>
    <w:rsid w:val="0002517F"/>
    <w:rsid w:val="00026495"/>
    <w:rsid w:val="000276C7"/>
    <w:rsid w:val="000278C1"/>
    <w:rsid w:val="00030CAC"/>
    <w:rsid w:val="0003186E"/>
    <w:rsid w:val="00035607"/>
    <w:rsid w:val="0003578C"/>
    <w:rsid w:val="000401AF"/>
    <w:rsid w:val="00041DDA"/>
    <w:rsid w:val="00043449"/>
    <w:rsid w:val="00046E9D"/>
    <w:rsid w:val="000575AB"/>
    <w:rsid w:val="00060732"/>
    <w:rsid w:val="00063247"/>
    <w:rsid w:val="00063A92"/>
    <w:rsid w:val="00070F9F"/>
    <w:rsid w:val="0007137B"/>
    <w:rsid w:val="00075AE9"/>
    <w:rsid w:val="00085663"/>
    <w:rsid w:val="00085EA3"/>
    <w:rsid w:val="00085EBF"/>
    <w:rsid w:val="00085F93"/>
    <w:rsid w:val="00091B15"/>
    <w:rsid w:val="00095A6A"/>
    <w:rsid w:val="00097575"/>
    <w:rsid w:val="000A1E7C"/>
    <w:rsid w:val="000A2CAA"/>
    <w:rsid w:val="000A3020"/>
    <w:rsid w:val="000A437E"/>
    <w:rsid w:val="000A6C7B"/>
    <w:rsid w:val="000B0360"/>
    <w:rsid w:val="000B1D9C"/>
    <w:rsid w:val="000B3363"/>
    <w:rsid w:val="000B6735"/>
    <w:rsid w:val="000C2B40"/>
    <w:rsid w:val="000C33C7"/>
    <w:rsid w:val="000C57DE"/>
    <w:rsid w:val="000D01F4"/>
    <w:rsid w:val="000D06C1"/>
    <w:rsid w:val="000D122C"/>
    <w:rsid w:val="000D3016"/>
    <w:rsid w:val="000D64F2"/>
    <w:rsid w:val="000D7F32"/>
    <w:rsid w:val="000E1819"/>
    <w:rsid w:val="000E2E0B"/>
    <w:rsid w:val="000E31D8"/>
    <w:rsid w:val="000E4821"/>
    <w:rsid w:val="000E6C72"/>
    <w:rsid w:val="000F0B2B"/>
    <w:rsid w:val="000F3E72"/>
    <w:rsid w:val="000F48B1"/>
    <w:rsid w:val="000F7052"/>
    <w:rsid w:val="000F723D"/>
    <w:rsid w:val="0010148A"/>
    <w:rsid w:val="0010299C"/>
    <w:rsid w:val="00103A67"/>
    <w:rsid w:val="00110F31"/>
    <w:rsid w:val="00116EB2"/>
    <w:rsid w:val="00121568"/>
    <w:rsid w:val="0012346B"/>
    <w:rsid w:val="00124609"/>
    <w:rsid w:val="0012652E"/>
    <w:rsid w:val="00126A4C"/>
    <w:rsid w:val="00134D68"/>
    <w:rsid w:val="00135601"/>
    <w:rsid w:val="00142AB6"/>
    <w:rsid w:val="00144922"/>
    <w:rsid w:val="0014573B"/>
    <w:rsid w:val="00147E70"/>
    <w:rsid w:val="0015085E"/>
    <w:rsid w:val="00156DCC"/>
    <w:rsid w:val="001573E4"/>
    <w:rsid w:val="00160756"/>
    <w:rsid w:val="00161958"/>
    <w:rsid w:val="00163C9D"/>
    <w:rsid w:val="00165F1B"/>
    <w:rsid w:val="001701B8"/>
    <w:rsid w:val="0017232E"/>
    <w:rsid w:val="00174102"/>
    <w:rsid w:val="0017480F"/>
    <w:rsid w:val="001754EE"/>
    <w:rsid w:val="00180157"/>
    <w:rsid w:val="00182467"/>
    <w:rsid w:val="0018406B"/>
    <w:rsid w:val="00185CB9"/>
    <w:rsid w:val="00186F77"/>
    <w:rsid w:val="00187906"/>
    <w:rsid w:val="001926A4"/>
    <w:rsid w:val="00192AD5"/>
    <w:rsid w:val="001950AE"/>
    <w:rsid w:val="00197D66"/>
    <w:rsid w:val="001A0509"/>
    <w:rsid w:val="001A6A76"/>
    <w:rsid w:val="001B0C8B"/>
    <w:rsid w:val="001B10F2"/>
    <w:rsid w:val="001B3F62"/>
    <w:rsid w:val="001B45A0"/>
    <w:rsid w:val="001B45C0"/>
    <w:rsid w:val="001B6F2E"/>
    <w:rsid w:val="001B7D00"/>
    <w:rsid w:val="001C17E7"/>
    <w:rsid w:val="001C40EE"/>
    <w:rsid w:val="001C7502"/>
    <w:rsid w:val="001D055E"/>
    <w:rsid w:val="001D6AF9"/>
    <w:rsid w:val="001D7D8D"/>
    <w:rsid w:val="001D7E27"/>
    <w:rsid w:val="001E009C"/>
    <w:rsid w:val="001E0ABE"/>
    <w:rsid w:val="001E29D2"/>
    <w:rsid w:val="001E29ED"/>
    <w:rsid w:val="001E4DBF"/>
    <w:rsid w:val="001E5FE2"/>
    <w:rsid w:val="001F05A4"/>
    <w:rsid w:val="001F492E"/>
    <w:rsid w:val="001F6DA3"/>
    <w:rsid w:val="001F7201"/>
    <w:rsid w:val="002010BC"/>
    <w:rsid w:val="002016E7"/>
    <w:rsid w:val="00201E7C"/>
    <w:rsid w:val="00201F98"/>
    <w:rsid w:val="00202667"/>
    <w:rsid w:val="00202E03"/>
    <w:rsid w:val="002034EB"/>
    <w:rsid w:val="0020478D"/>
    <w:rsid w:val="0020492C"/>
    <w:rsid w:val="00205A33"/>
    <w:rsid w:val="00215761"/>
    <w:rsid w:val="002211F9"/>
    <w:rsid w:val="0022444D"/>
    <w:rsid w:val="00224DB9"/>
    <w:rsid w:val="002264FD"/>
    <w:rsid w:val="00227DCE"/>
    <w:rsid w:val="0023276C"/>
    <w:rsid w:val="002329A6"/>
    <w:rsid w:val="00233775"/>
    <w:rsid w:val="00235CDA"/>
    <w:rsid w:val="00251745"/>
    <w:rsid w:val="00252A8A"/>
    <w:rsid w:val="00263AC0"/>
    <w:rsid w:val="00264264"/>
    <w:rsid w:val="0026772D"/>
    <w:rsid w:val="00270B73"/>
    <w:rsid w:val="00275E3B"/>
    <w:rsid w:val="00277554"/>
    <w:rsid w:val="00286874"/>
    <w:rsid w:val="002900CD"/>
    <w:rsid w:val="00290C63"/>
    <w:rsid w:val="002930A4"/>
    <w:rsid w:val="00293157"/>
    <w:rsid w:val="002944E1"/>
    <w:rsid w:val="0029478D"/>
    <w:rsid w:val="0029485F"/>
    <w:rsid w:val="00294F86"/>
    <w:rsid w:val="00296B65"/>
    <w:rsid w:val="0029724D"/>
    <w:rsid w:val="002A3285"/>
    <w:rsid w:val="002A4B56"/>
    <w:rsid w:val="002A6452"/>
    <w:rsid w:val="002A6688"/>
    <w:rsid w:val="002A7DEF"/>
    <w:rsid w:val="002B05F8"/>
    <w:rsid w:val="002B1003"/>
    <w:rsid w:val="002B1923"/>
    <w:rsid w:val="002B573C"/>
    <w:rsid w:val="002B73F8"/>
    <w:rsid w:val="002B77C4"/>
    <w:rsid w:val="002C016F"/>
    <w:rsid w:val="002C233C"/>
    <w:rsid w:val="002C64A0"/>
    <w:rsid w:val="002D0BEF"/>
    <w:rsid w:val="002D3656"/>
    <w:rsid w:val="002D3670"/>
    <w:rsid w:val="002D3F30"/>
    <w:rsid w:val="002D5816"/>
    <w:rsid w:val="002D72E8"/>
    <w:rsid w:val="002E2BF5"/>
    <w:rsid w:val="002E34E3"/>
    <w:rsid w:val="002E7B22"/>
    <w:rsid w:val="002E7C5B"/>
    <w:rsid w:val="002F68F4"/>
    <w:rsid w:val="002F7986"/>
    <w:rsid w:val="00301B40"/>
    <w:rsid w:val="00301F1F"/>
    <w:rsid w:val="003029A5"/>
    <w:rsid w:val="003029EE"/>
    <w:rsid w:val="0030370B"/>
    <w:rsid w:val="00304262"/>
    <w:rsid w:val="00305676"/>
    <w:rsid w:val="00305CC8"/>
    <w:rsid w:val="003062C3"/>
    <w:rsid w:val="00306E0B"/>
    <w:rsid w:val="00307C12"/>
    <w:rsid w:val="00307F6D"/>
    <w:rsid w:val="003127BB"/>
    <w:rsid w:val="003130C9"/>
    <w:rsid w:val="00314A7B"/>
    <w:rsid w:val="003177A2"/>
    <w:rsid w:val="00317D16"/>
    <w:rsid w:val="00320869"/>
    <w:rsid w:val="003219B7"/>
    <w:rsid w:val="0032356B"/>
    <w:rsid w:val="00326B1D"/>
    <w:rsid w:val="003271B5"/>
    <w:rsid w:val="00327A1E"/>
    <w:rsid w:val="00331264"/>
    <w:rsid w:val="003338A2"/>
    <w:rsid w:val="00334C8D"/>
    <w:rsid w:val="0033548E"/>
    <w:rsid w:val="00343A18"/>
    <w:rsid w:val="00344473"/>
    <w:rsid w:val="00344D08"/>
    <w:rsid w:val="003457F9"/>
    <w:rsid w:val="00347114"/>
    <w:rsid w:val="0035031D"/>
    <w:rsid w:val="003518B3"/>
    <w:rsid w:val="003578CD"/>
    <w:rsid w:val="00361C23"/>
    <w:rsid w:val="00363919"/>
    <w:rsid w:val="00365197"/>
    <w:rsid w:val="003666F2"/>
    <w:rsid w:val="0036736F"/>
    <w:rsid w:val="003717D8"/>
    <w:rsid w:val="00372049"/>
    <w:rsid w:val="00373AB4"/>
    <w:rsid w:val="003770DC"/>
    <w:rsid w:val="003846F1"/>
    <w:rsid w:val="003903D4"/>
    <w:rsid w:val="00391BF0"/>
    <w:rsid w:val="00391DF3"/>
    <w:rsid w:val="003931A7"/>
    <w:rsid w:val="00393555"/>
    <w:rsid w:val="00393646"/>
    <w:rsid w:val="00395DFF"/>
    <w:rsid w:val="00396BCE"/>
    <w:rsid w:val="003B3F4C"/>
    <w:rsid w:val="003B484F"/>
    <w:rsid w:val="003B6BBA"/>
    <w:rsid w:val="003B7FBA"/>
    <w:rsid w:val="003C0BD9"/>
    <w:rsid w:val="003D090C"/>
    <w:rsid w:val="003D0C8F"/>
    <w:rsid w:val="003D2E20"/>
    <w:rsid w:val="003E0FD0"/>
    <w:rsid w:val="003F174D"/>
    <w:rsid w:val="003F4919"/>
    <w:rsid w:val="003F572D"/>
    <w:rsid w:val="003F7442"/>
    <w:rsid w:val="00400C1E"/>
    <w:rsid w:val="00402F22"/>
    <w:rsid w:val="00410DB2"/>
    <w:rsid w:val="00415F31"/>
    <w:rsid w:val="00417DDE"/>
    <w:rsid w:val="00421DAD"/>
    <w:rsid w:val="0042205D"/>
    <w:rsid w:val="00423205"/>
    <w:rsid w:val="00423A77"/>
    <w:rsid w:val="00424647"/>
    <w:rsid w:val="00424B36"/>
    <w:rsid w:val="004275F4"/>
    <w:rsid w:val="00430B2A"/>
    <w:rsid w:val="00436ECD"/>
    <w:rsid w:val="00445217"/>
    <w:rsid w:val="00452473"/>
    <w:rsid w:val="0045777E"/>
    <w:rsid w:val="00457D83"/>
    <w:rsid w:val="0046075C"/>
    <w:rsid w:val="00461979"/>
    <w:rsid w:val="00461B0F"/>
    <w:rsid w:val="00461C29"/>
    <w:rsid w:val="00463AEA"/>
    <w:rsid w:val="00466081"/>
    <w:rsid w:val="0046698A"/>
    <w:rsid w:val="0046743B"/>
    <w:rsid w:val="00471B5F"/>
    <w:rsid w:val="0047488D"/>
    <w:rsid w:val="00474EC7"/>
    <w:rsid w:val="004753F2"/>
    <w:rsid w:val="00480B4B"/>
    <w:rsid w:val="004817C1"/>
    <w:rsid w:val="00485BAB"/>
    <w:rsid w:val="00485DC4"/>
    <w:rsid w:val="004A0A5E"/>
    <w:rsid w:val="004A43D1"/>
    <w:rsid w:val="004B2AC9"/>
    <w:rsid w:val="004B355D"/>
    <w:rsid w:val="004B4412"/>
    <w:rsid w:val="004B76D3"/>
    <w:rsid w:val="004C0C43"/>
    <w:rsid w:val="004C348C"/>
    <w:rsid w:val="004C382F"/>
    <w:rsid w:val="004C6A30"/>
    <w:rsid w:val="004C6FB6"/>
    <w:rsid w:val="004D0AE6"/>
    <w:rsid w:val="004D1A96"/>
    <w:rsid w:val="004D35F2"/>
    <w:rsid w:val="004D55BA"/>
    <w:rsid w:val="004E22EC"/>
    <w:rsid w:val="004E2A4C"/>
    <w:rsid w:val="004E5B8A"/>
    <w:rsid w:val="004F6349"/>
    <w:rsid w:val="004F6A0E"/>
    <w:rsid w:val="004F6CB4"/>
    <w:rsid w:val="0050516C"/>
    <w:rsid w:val="00507F50"/>
    <w:rsid w:val="00510B1A"/>
    <w:rsid w:val="00522B9E"/>
    <w:rsid w:val="00522D35"/>
    <w:rsid w:val="00526D8A"/>
    <w:rsid w:val="00530128"/>
    <w:rsid w:val="00531937"/>
    <w:rsid w:val="00531DA5"/>
    <w:rsid w:val="00532467"/>
    <w:rsid w:val="005355D2"/>
    <w:rsid w:val="00537FD6"/>
    <w:rsid w:val="00541607"/>
    <w:rsid w:val="00552DD2"/>
    <w:rsid w:val="00552F59"/>
    <w:rsid w:val="0055458D"/>
    <w:rsid w:val="00564A4D"/>
    <w:rsid w:val="00564BF3"/>
    <w:rsid w:val="0056558C"/>
    <w:rsid w:val="0056588A"/>
    <w:rsid w:val="00567BA5"/>
    <w:rsid w:val="0057044E"/>
    <w:rsid w:val="00571B35"/>
    <w:rsid w:val="00571D57"/>
    <w:rsid w:val="00577A09"/>
    <w:rsid w:val="00581579"/>
    <w:rsid w:val="005829C2"/>
    <w:rsid w:val="005847AB"/>
    <w:rsid w:val="00584D8F"/>
    <w:rsid w:val="00585A4E"/>
    <w:rsid w:val="00586819"/>
    <w:rsid w:val="00586B2C"/>
    <w:rsid w:val="00587268"/>
    <w:rsid w:val="0059338E"/>
    <w:rsid w:val="005941B4"/>
    <w:rsid w:val="0059704C"/>
    <w:rsid w:val="005A404D"/>
    <w:rsid w:val="005B108B"/>
    <w:rsid w:val="005B1E3C"/>
    <w:rsid w:val="005B3FB7"/>
    <w:rsid w:val="005B4D33"/>
    <w:rsid w:val="005B704A"/>
    <w:rsid w:val="005C0A7F"/>
    <w:rsid w:val="005C26CC"/>
    <w:rsid w:val="005C3EAC"/>
    <w:rsid w:val="005C4C9C"/>
    <w:rsid w:val="005C6218"/>
    <w:rsid w:val="005D03B1"/>
    <w:rsid w:val="005D7BA2"/>
    <w:rsid w:val="005E0CAB"/>
    <w:rsid w:val="005E36C2"/>
    <w:rsid w:val="005E5C9C"/>
    <w:rsid w:val="005F0183"/>
    <w:rsid w:val="005F727F"/>
    <w:rsid w:val="006007DE"/>
    <w:rsid w:val="00601638"/>
    <w:rsid w:val="006033CA"/>
    <w:rsid w:val="006105E0"/>
    <w:rsid w:val="006109E3"/>
    <w:rsid w:val="00610EF9"/>
    <w:rsid w:val="006113CC"/>
    <w:rsid w:val="00612F4F"/>
    <w:rsid w:val="00615C6B"/>
    <w:rsid w:val="00620DC3"/>
    <w:rsid w:val="00621DCE"/>
    <w:rsid w:val="00625DB3"/>
    <w:rsid w:val="00626D6B"/>
    <w:rsid w:val="00632D6D"/>
    <w:rsid w:val="00636005"/>
    <w:rsid w:val="00637B88"/>
    <w:rsid w:val="00640812"/>
    <w:rsid w:val="006420EA"/>
    <w:rsid w:val="00642C3E"/>
    <w:rsid w:val="00643A88"/>
    <w:rsid w:val="00651C3A"/>
    <w:rsid w:val="00651CB2"/>
    <w:rsid w:val="0065251B"/>
    <w:rsid w:val="00654E07"/>
    <w:rsid w:val="006560CA"/>
    <w:rsid w:val="00660C7F"/>
    <w:rsid w:val="0066104A"/>
    <w:rsid w:val="00663DAD"/>
    <w:rsid w:val="00665649"/>
    <w:rsid w:val="00666E20"/>
    <w:rsid w:val="006672AA"/>
    <w:rsid w:val="00667A29"/>
    <w:rsid w:val="00675E20"/>
    <w:rsid w:val="00676679"/>
    <w:rsid w:val="006812E7"/>
    <w:rsid w:val="00683C89"/>
    <w:rsid w:val="00684C16"/>
    <w:rsid w:val="00691D9A"/>
    <w:rsid w:val="00692F6E"/>
    <w:rsid w:val="006A2A6F"/>
    <w:rsid w:val="006A3CBD"/>
    <w:rsid w:val="006A7CB9"/>
    <w:rsid w:val="006A7D76"/>
    <w:rsid w:val="006B2395"/>
    <w:rsid w:val="006B45A4"/>
    <w:rsid w:val="006B4CF9"/>
    <w:rsid w:val="006B785B"/>
    <w:rsid w:val="006B7AC8"/>
    <w:rsid w:val="006C1736"/>
    <w:rsid w:val="006C3BA6"/>
    <w:rsid w:val="006C4798"/>
    <w:rsid w:val="006C50E2"/>
    <w:rsid w:val="006C5632"/>
    <w:rsid w:val="006C774D"/>
    <w:rsid w:val="006D22F2"/>
    <w:rsid w:val="006D550F"/>
    <w:rsid w:val="006E3F76"/>
    <w:rsid w:val="006F1F83"/>
    <w:rsid w:val="006F3AD1"/>
    <w:rsid w:val="006F3FC8"/>
    <w:rsid w:val="006F5482"/>
    <w:rsid w:val="006F6183"/>
    <w:rsid w:val="0070011E"/>
    <w:rsid w:val="00701CAB"/>
    <w:rsid w:val="00705F46"/>
    <w:rsid w:val="00707563"/>
    <w:rsid w:val="00707F9B"/>
    <w:rsid w:val="00710B38"/>
    <w:rsid w:val="0071132E"/>
    <w:rsid w:val="007148F0"/>
    <w:rsid w:val="0072348C"/>
    <w:rsid w:val="00724A37"/>
    <w:rsid w:val="00725B8B"/>
    <w:rsid w:val="007303C3"/>
    <w:rsid w:val="00741C46"/>
    <w:rsid w:val="00741E23"/>
    <w:rsid w:val="007429BE"/>
    <w:rsid w:val="00742DCB"/>
    <w:rsid w:val="00743223"/>
    <w:rsid w:val="00746E01"/>
    <w:rsid w:val="00747EEA"/>
    <w:rsid w:val="007503B4"/>
    <w:rsid w:val="00752C8D"/>
    <w:rsid w:val="00756186"/>
    <w:rsid w:val="00757364"/>
    <w:rsid w:val="00757BDF"/>
    <w:rsid w:val="007609D0"/>
    <w:rsid w:val="00761823"/>
    <w:rsid w:val="00763618"/>
    <w:rsid w:val="00763E5D"/>
    <w:rsid w:val="00764BC6"/>
    <w:rsid w:val="00767740"/>
    <w:rsid w:val="0077000A"/>
    <w:rsid w:val="00772C31"/>
    <w:rsid w:val="00777EE6"/>
    <w:rsid w:val="007820C3"/>
    <w:rsid w:val="00782EEA"/>
    <w:rsid w:val="00782FF5"/>
    <w:rsid w:val="007844B7"/>
    <w:rsid w:val="007916CE"/>
    <w:rsid w:val="007974B3"/>
    <w:rsid w:val="00797910"/>
    <w:rsid w:val="00797E6E"/>
    <w:rsid w:val="007A0F6A"/>
    <w:rsid w:val="007A132C"/>
    <w:rsid w:val="007A2A4A"/>
    <w:rsid w:val="007A7002"/>
    <w:rsid w:val="007A7136"/>
    <w:rsid w:val="007A7F63"/>
    <w:rsid w:val="007B011C"/>
    <w:rsid w:val="007B186E"/>
    <w:rsid w:val="007B2C72"/>
    <w:rsid w:val="007B626A"/>
    <w:rsid w:val="007B6C52"/>
    <w:rsid w:val="007C1C53"/>
    <w:rsid w:val="007C74BB"/>
    <w:rsid w:val="007C7FE5"/>
    <w:rsid w:val="007D1305"/>
    <w:rsid w:val="007D4338"/>
    <w:rsid w:val="007D456E"/>
    <w:rsid w:val="007D4841"/>
    <w:rsid w:val="007D607D"/>
    <w:rsid w:val="007D6339"/>
    <w:rsid w:val="007D6B53"/>
    <w:rsid w:val="007E42F4"/>
    <w:rsid w:val="007E4904"/>
    <w:rsid w:val="007E4CB5"/>
    <w:rsid w:val="007F066B"/>
    <w:rsid w:val="007F213A"/>
    <w:rsid w:val="007F50B7"/>
    <w:rsid w:val="007F75C4"/>
    <w:rsid w:val="0080259E"/>
    <w:rsid w:val="008033C4"/>
    <w:rsid w:val="00803474"/>
    <w:rsid w:val="008057DE"/>
    <w:rsid w:val="00806C88"/>
    <w:rsid w:val="00810070"/>
    <w:rsid w:val="0081034E"/>
    <w:rsid w:val="00812B03"/>
    <w:rsid w:val="00815C9D"/>
    <w:rsid w:val="00815CAC"/>
    <w:rsid w:val="00816654"/>
    <w:rsid w:val="008168E7"/>
    <w:rsid w:val="00816B76"/>
    <w:rsid w:val="00821004"/>
    <w:rsid w:val="00821541"/>
    <w:rsid w:val="008221F2"/>
    <w:rsid w:val="00825985"/>
    <w:rsid w:val="00827701"/>
    <w:rsid w:val="008301A7"/>
    <w:rsid w:val="008301B2"/>
    <w:rsid w:val="00830685"/>
    <w:rsid w:val="008344F6"/>
    <w:rsid w:val="0083510F"/>
    <w:rsid w:val="00835AE3"/>
    <w:rsid w:val="00836BBB"/>
    <w:rsid w:val="008408C5"/>
    <w:rsid w:val="008414FC"/>
    <w:rsid w:val="008443D1"/>
    <w:rsid w:val="00847887"/>
    <w:rsid w:val="00847D7E"/>
    <w:rsid w:val="00850F6E"/>
    <w:rsid w:val="00851209"/>
    <w:rsid w:val="00852807"/>
    <w:rsid w:val="008534BA"/>
    <w:rsid w:val="00853E52"/>
    <w:rsid w:val="0085722A"/>
    <w:rsid w:val="00857E79"/>
    <w:rsid w:val="00862B19"/>
    <w:rsid w:val="00864B35"/>
    <w:rsid w:val="00866D99"/>
    <w:rsid w:val="00867CF6"/>
    <w:rsid w:val="008749E0"/>
    <w:rsid w:val="00874CD0"/>
    <w:rsid w:val="00882481"/>
    <w:rsid w:val="008837AC"/>
    <w:rsid w:val="00891AFE"/>
    <w:rsid w:val="00891D09"/>
    <w:rsid w:val="008975C8"/>
    <w:rsid w:val="008A3B27"/>
    <w:rsid w:val="008A587D"/>
    <w:rsid w:val="008B011C"/>
    <w:rsid w:val="008B08E6"/>
    <w:rsid w:val="008B22C7"/>
    <w:rsid w:val="008B2D25"/>
    <w:rsid w:val="008B35CD"/>
    <w:rsid w:val="008B510C"/>
    <w:rsid w:val="008B5FCC"/>
    <w:rsid w:val="008B7544"/>
    <w:rsid w:val="008B79AF"/>
    <w:rsid w:val="008B7EE9"/>
    <w:rsid w:val="008C3374"/>
    <w:rsid w:val="008C39F0"/>
    <w:rsid w:val="008C5486"/>
    <w:rsid w:val="008C63DF"/>
    <w:rsid w:val="008C708B"/>
    <w:rsid w:val="008C76DB"/>
    <w:rsid w:val="008C7E7F"/>
    <w:rsid w:val="008D1661"/>
    <w:rsid w:val="008D6800"/>
    <w:rsid w:val="008D6EB5"/>
    <w:rsid w:val="008E7031"/>
    <w:rsid w:val="008E77DE"/>
    <w:rsid w:val="008F07A3"/>
    <w:rsid w:val="008F16B3"/>
    <w:rsid w:val="008F1733"/>
    <w:rsid w:val="008F34DD"/>
    <w:rsid w:val="008F7E3F"/>
    <w:rsid w:val="009001B6"/>
    <w:rsid w:val="00900E1B"/>
    <w:rsid w:val="00901C3C"/>
    <w:rsid w:val="009023D4"/>
    <w:rsid w:val="009038ED"/>
    <w:rsid w:val="00906BBC"/>
    <w:rsid w:val="0090772E"/>
    <w:rsid w:val="00913BC0"/>
    <w:rsid w:val="009161D9"/>
    <w:rsid w:val="009233EE"/>
    <w:rsid w:val="00923CFC"/>
    <w:rsid w:val="00923FA9"/>
    <w:rsid w:val="009272AD"/>
    <w:rsid w:val="009277DC"/>
    <w:rsid w:val="009302C9"/>
    <w:rsid w:val="009308CB"/>
    <w:rsid w:val="009404A6"/>
    <w:rsid w:val="009460AA"/>
    <w:rsid w:val="0094641C"/>
    <w:rsid w:val="009508D8"/>
    <w:rsid w:val="00951978"/>
    <w:rsid w:val="00954566"/>
    <w:rsid w:val="00954586"/>
    <w:rsid w:val="00957DF6"/>
    <w:rsid w:val="009601F0"/>
    <w:rsid w:val="00961115"/>
    <w:rsid w:val="00961A4A"/>
    <w:rsid w:val="00961E5E"/>
    <w:rsid w:val="00962306"/>
    <w:rsid w:val="009661DE"/>
    <w:rsid w:val="009669EE"/>
    <w:rsid w:val="00971D50"/>
    <w:rsid w:val="0097210D"/>
    <w:rsid w:val="0097356D"/>
    <w:rsid w:val="0097600C"/>
    <w:rsid w:val="00983C25"/>
    <w:rsid w:val="009856B7"/>
    <w:rsid w:val="00985C86"/>
    <w:rsid w:val="00990FBC"/>
    <w:rsid w:val="0099204D"/>
    <w:rsid w:val="00996451"/>
    <w:rsid w:val="00996BAF"/>
    <w:rsid w:val="009972D8"/>
    <w:rsid w:val="009A4FAA"/>
    <w:rsid w:val="009A5113"/>
    <w:rsid w:val="009A539D"/>
    <w:rsid w:val="009A5FC3"/>
    <w:rsid w:val="009B5201"/>
    <w:rsid w:val="009B5DC8"/>
    <w:rsid w:val="009B6F84"/>
    <w:rsid w:val="009B7343"/>
    <w:rsid w:val="009B74B0"/>
    <w:rsid w:val="009B7EB6"/>
    <w:rsid w:val="009C58E3"/>
    <w:rsid w:val="009C691D"/>
    <w:rsid w:val="009C6C1B"/>
    <w:rsid w:val="009D2B38"/>
    <w:rsid w:val="009D3906"/>
    <w:rsid w:val="009D6B46"/>
    <w:rsid w:val="009E3ADD"/>
    <w:rsid w:val="009F4940"/>
    <w:rsid w:val="009F5BA1"/>
    <w:rsid w:val="00A02A88"/>
    <w:rsid w:val="00A032FB"/>
    <w:rsid w:val="00A04870"/>
    <w:rsid w:val="00A0562E"/>
    <w:rsid w:val="00A06085"/>
    <w:rsid w:val="00A0726D"/>
    <w:rsid w:val="00A16596"/>
    <w:rsid w:val="00A2275D"/>
    <w:rsid w:val="00A2303E"/>
    <w:rsid w:val="00A24881"/>
    <w:rsid w:val="00A32FBB"/>
    <w:rsid w:val="00A36106"/>
    <w:rsid w:val="00A366A7"/>
    <w:rsid w:val="00A42391"/>
    <w:rsid w:val="00A428EE"/>
    <w:rsid w:val="00A4478A"/>
    <w:rsid w:val="00A44852"/>
    <w:rsid w:val="00A459E9"/>
    <w:rsid w:val="00A4650A"/>
    <w:rsid w:val="00A50502"/>
    <w:rsid w:val="00A50F9D"/>
    <w:rsid w:val="00A57D04"/>
    <w:rsid w:val="00A60A26"/>
    <w:rsid w:val="00A60FFF"/>
    <w:rsid w:val="00A61598"/>
    <w:rsid w:val="00A678BA"/>
    <w:rsid w:val="00A70417"/>
    <w:rsid w:val="00A7581A"/>
    <w:rsid w:val="00A84A99"/>
    <w:rsid w:val="00A84F46"/>
    <w:rsid w:val="00A85E0E"/>
    <w:rsid w:val="00A871F4"/>
    <w:rsid w:val="00A90828"/>
    <w:rsid w:val="00A90AA4"/>
    <w:rsid w:val="00A923BF"/>
    <w:rsid w:val="00AB3C9C"/>
    <w:rsid w:val="00AB47E1"/>
    <w:rsid w:val="00AB67FE"/>
    <w:rsid w:val="00AC1143"/>
    <w:rsid w:val="00AC1B2C"/>
    <w:rsid w:val="00AC3184"/>
    <w:rsid w:val="00AC31EF"/>
    <w:rsid w:val="00AC3264"/>
    <w:rsid w:val="00AC4AAF"/>
    <w:rsid w:val="00AD06EE"/>
    <w:rsid w:val="00AD2D8D"/>
    <w:rsid w:val="00AD3884"/>
    <w:rsid w:val="00AD7B56"/>
    <w:rsid w:val="00AE0A1F"/>
    <w:rsid w:val="00AE1BF1"/>
    <w:rsid w:val="00AE351C"/>
    <w:rsid w:val="00AE494A"/>
    <w:rsid w:val="00AE4EF1"/>
    <w:rsid w:val="00AE59D7"/>
    <w:rsid w:val="00AE5A20"/>
    <w:rsid w:val="00AF0575"/>
    <w:rsid w:val="00AF0DD2"/>
    <w:rsid w:val="00AF18F1"/>
    <w:rsid w:val="00AF63FE"/>
    <w:rsid w:val="00B005FD"/>
    <w:rsid w:val="00B01E4E"/>
    <w:rsid w:val="00B0209D"/>
    <w:rsid w:val="00B0263F"/>
    <w:rsid w:val="00B02961"/>
    <w:rsid w:val="00B02FFC"/>
    <w:rsid w:val="00B04908"/>
    <w:rsid w:val="00B04B4C"/>
    <w:rsid w:val="00B07CEA"/>
    <w:rsid w:val="00B12460"/>
    <w:rsid w:val="00B13048"/>
    <w:rsid w:val="00B137B3"/>
    <w:rsid w:val="00B1716D"/>
    <w:rsid w:val="00B17A1D"/>
    <w:rsid w:val="00B207A0"/>
    <w:rsid w:val="00B23B45"/>
    <w:rsid w:val="00B3139B"/>
    <w:rsid w:val="00B32835"/>
    <w:rsid w:val="00B3497F"/>
    <w:rsid w:val="00B40CAA"/>
    <w:rsid w:val="00B45C5A"/>
    <w:rsid w:val="00B46733"/>
    <w:rsid w:val="00B50ABF"/>
    <w:rsid w:val="00B514DD"/>
    <w:rsid w:val="00B51F3F"/>
    <w:rsid w:val="00B52AF0"/>
    <w:rsid w:val="00B53885"/>
    <w:rsid w:val="00B54682"/>
    <w:rsid w:val="00B561BD"/>
    <w:rsid w:val="00B56E03"/>
    <w:rsid w:val="00B57E79"/>
    <w:rsid w:val="00B61205"/>
    <w:rsid w:val="00B61EDF"/>
    <w:rsid w:val="00B62111"/>
    <w:rsid w:val="00B6782F"/>
    <w:rsid w:val="00B74AC5"/>
    <w:rsid w:val="00B757A6"/>
    <w:rsid w:val="00B75D06"/>
    <w:rsid w:val="00B7747C"/>
    <w:rsid w:val="00B8080B"/>
    <w:rsid w:val="00B82223"/>
    <w:rsid w:val="00B87BA5"/>
    <w:rsid w:val="00B87C39"/>
    <w:rsid w:val="00B91A14"/>
    <w:rsid w:val="00B92980"/>
    <w:rsid w:val="00B9376E"/>
    <w:rsid w:val="00B953DA"/>
    <w:rsid w:val="00B9562D"/>
    <w:rsid w:val="00B9738A"/>
    <w:rsid w:val="00BA0731"/>
    <w:rsid w:val="00BA4665"/>
    <w:rsid w:val="00BA47EE"/>
    <w:rsid w:val="00BA592F"/>
    <w:rsid w:val="00BB2FB2"/>
    <w:rsid w:val="00BB3304"/>
    <w:rsid w:val="00BB3C2A"/>
    <w:rsid w:val="00BB3FD7"/>
    <w:rsid w:val="00BB50FF"/>
    <w:rsid w:val="00BB59A8"/>
    <w:rsid w:val="00BB6848"/>
    <w:rsid w:val="00BB6BDB"/>
    <w:rsid w:val="00BB7528"/>
    <w:rsid w:val="00BC0700"/>
    <w:rsid w:val="00BC18DE"/>
    <w:rsid w:val="00BC2FAF"/>
    <w:rsid w:val="00BC42EF"/>
    <w:rsid w:val="00BC6628"/>
    <w:rsid w:val="00BC6D0C"/>
    <w:rsid w:val="00BD0920"/>
    <w:rsid w:val="00BD0C45"/>
    <w:rsid w:val="00BD310B"/>
    <w:rsid w:val="00BD3446"/>
    <w:rsid w:val="00BD4A82"/>
    <w:rsid w:val="00BE1F1B"/>
    <w:rsid w:val="00BE47B5"/>
    <w:rsid w:val="00BF0C8F"/>
    <w:rsid w:val="00BF0CD7"/>
    <w:rsid w:val="00BF24E0"/>
    <w:rsid w:val="00BF37F5"/>
    <w:rsid w:val="00BF4FF2"/>
    <w:rsid w:val="00BF5405"/>
    <w:rsid w:val="00BF7B35"/>
    <w:rsid w:val="00BF7E47"/>
    <w:rsid w:val="00C006DA"/>
    <w:rsid w:val="00C02B9D"/>
    <w:rsid w:val="00C02C1B"/>
    <w:rsid w:val="00C04223"/>
    <w:rsid w:val="00C04FE2"/>
    <w:rsid w:val="00C25FA6"/>
    <w:rsid w:val="00C27311"/>
    <w:rsid w:val="00C275C4"/>
    <w:rsid w:val="00C30637"/>
    <w:rsid w:val="00C355E1"/>
    <w:rsid w:val="00C36F19"/>
    <w:rsid w:val="00C41668"/>
    <w:rsid w:val="00C42ACA"/>
    <w:rsid w:val="00C43158"/>
    <w:rsid w:val="00C47654"/>
    <w:rsid w:val="00C503B0"/>
    <w:rsid w:val="00C50DE3"/>
    <w:rsid w:val="00C5122C"/>
    <w:rsid w:val="00C538A9"/>
    <w:rsid w:val="00C53B5A"/>
    <w:rsid w:val="00C54F5A"/>
    <w:rsid w:val="00C569B4"/>
    <w:rsid w:val="00C56A01"/>
    <w:rsid w:val="00C56A3E"/>
    <w:rsid w:val="00C56E2C"/>
    <w:rsid w:val="00C57BDB"/>
    <w:rsid w:val="00C60D0C"/>
    <w:rsid w:val="00C63531"/>
    <w:rsid w:val="00C67A92"/>
    <w:rsid w:val="00C7497E"/>
    <w:rsid w:val="00C74D43"/>
    <w:rsid w:val="00C81568"/>
    <w:rsid w:val="00C82589"/>
    <w:rsid w:val="00C82641"/>
    <w:rsid w:val="00C82FA8"/>
    <w:rsid w:val="00C84560"/>
    <w:rsid w:val="00C84F52"/>
    <w:rsid w:val="00C86679"/>
    <w:rsid w:val="00C90FA5"/>
    <w:rsid w:val="00C92B35"/>
    <w:rsid w:val="00C93518"/>
    <w:rsid w:val="00C97CDF"/>
    <w:rsid w:val="00CA1011"/>
    <w:rsid w:val="00CA1D27"/>
    <w:rsid w:val="00CA2ABF"/>
    <w:rsid w:val="00CA2C1D"/>
    <w:rsid w:val="00CA2DCA"/>
    <w:rsid w:val="00CA32B8"/>
    <w:rsid w:val="00CA3BD5"/>
    <w:rsid w:val="00CA489E"/>
    <w:rsid w:val="00CA52A2"/>
    <w:rsid w:val="00CB0279"/>
    <w:rsid w:val="00CB65ED"/>
    <w:rsid w:val="00CB666B"/>
    <w:rsid w:val="00CB7551"/>
    <w:rsid w:val="00CC1F8C"/>
    <w:rsid w:val="00CC2FB6"/>
    <w:rsid w:val="00CC56F4"/>
    <w:rsid w:val="00CC7F1D"/>
    <w:rsid w:val="00CD19EE"/>
    <w:rsid w:val="00CE3079"/>
    <w:rsid w:val="00CE40A8"/>
    <w:rsid w:val="00CE484B"/>
    <w:rsid w:val="00CE4900"/>
    <w:rsid w:val="00CE5B17"/>
    <w:rsid w:val="00CE5C53"/>
    <w:rsid w:val="00CF088C"/>
    <w:rsid w:val="00CF0D02"/>
    <w:rsid w:val="00CF0DEE"/>
    <w:rsid w:val="00CF21EA"/>
    <w:rsid w:val="00CF2C05"/>
    <w:rsid w:val="00CF6EDE"/>
    <w:rsid w:val="00CF70FA"/>
    <w:rsid w:val="00CF748E"/>
    <w:rsid w:val="00D006AE"/>
    <w:rsid w:val="00D01CF0"/>
    <w:rsid w:val="00D01EFD"/>
    <w:rsid w:val="00D03547"/>
    <w:rsid w:val="00D042E8"/>
    <w:rsid w:val="00D0442A"/>
    <w:rsid w:val="00D06055"/>
    <w:rsid w:val="00D066B7"/>
    <w:rsid w:val="00D101CF"/>
    <w:rsid w:val="00D10BEE"/>
    <w:rsid w:val="00D126CA"/>
    <w:rsid w:val="00D17683"/>
    <w:rsid w:val="00D17792"/>
    <w:rsid w:val="00D31EB8"/>
    <w:rsid w:val="00D35DCE"/>
    <w:rsid w:val="00D36FCC"/>
    <w:rsid w:val="00D4123B"/>
    <w:rsid w:val="00D41E80"/>
    <w:rsid w:val="00D44A34"/>
    <w:rsid w:val="00D45694"/>
    <w:rsid w:val="00D46BD3"/>
    <w:rsid w:val="00D47C58"/>
    <w:rsid w:val="00D51F0F"/>
    <w:rsid w:val="00D608F6"/>
    <w:rsid w:val="00D60DAD"/>
    <w:rsid w:val="00D60EFF"/>
    <w:rsid w:val="00D61388"/>
    <w:rsid w:val="00D61A54"/>
    <w:rsid w:val="00D64275"/>
    <w:rsid w:val="00D64DEA"/>
    <w:rsid w:val="00D65609"/>
    <w:rsid w:val="00D65855"/>
    <w:rsid w:val="00D66D4B"/>
    <w:rsid w:val="00D700CD"/>
    <w:rsid w:val="00D7168E"/>
    <w:rsid w:val="00D71E57"/>
    <w:rsid w:val="00D73568"/>
    <w:rsid w:val="00D73C91"/>
    <w:rsid w:val="00D75AA2"/>
    <w:rsid w:val="00D7645E"/>
    <w:rsid w:val="00D80893"/>
    <w:rsid w:val="00D84854"/>
    <w:rsid w:val="00D848B4"/>
    <w:rsid w:val="00D8571C"/>
    <w:rsid w:val="00D86B06"/>
    <w:rsid w:val="00D8707E"/>
    <w:rsid w:val="00D90022"/>
    <w:rsid w:val="00D92CF1"/>
    <w:rsid w:val="00D92D38"/>
    <w:rsid w:val="00D950F5"/>
    <w:rsid w:val="00D965AA"/>
    <w:rsid w:val="00DA02B6"/>
    <w:rsid w:val="00DA0BCC"/>
    <w:rsid w:val="00DA4752"/>
    <w:rsid w:val="00DA61F3"/>
    <w:rsid w:val="00DA6B93"/>
    <w:rsid w:val="00DA6F94"/>
    <w:rsid w:val="00DB0F93"/>
    <w:rsid w:val="00DB173D"/>
    <w:rsid w:val="00DB1A67"/>
    <w:rsid w:val="00DB5074"/>
    <w:rsid w:val="00DB5B21"/>
    <w:rsid w:val="00DB7DC7"/>
    <w:rsid w:val="00DC3130"/>
    <w:rsid w:val="00DC67DA"/>
    <w:rsid w:val="00DC7981"/>
    <w:rsid w:val="00DD1C15"/>
    <w:rsid w:val="00DE1093"/>
    <w:rsid w:val="00DE2782"/>
    <w:rsid w:val="00DE4EFA"/>
    <w:rsid w:val="00DE5520"/>
    <w:rsid w:val="00DE563D"/>
    <w:rsid w:val="00DE5E2E"/>
    <w:rsid w:val="00DE6CB2"/>
    <w:rsid w:val="00DE772C"/>
    <w:rsid w:val="00DF1D9A"/>
    <w:rsid w:val="00DF312A"/>
    <w:rsid w:val="00DF3A87"/>
    <w:rsid w:val="00E04818"/>
    <w:rsid w:val="00E06442"/>
    <w:rsid w:val="00E06BCF"/>
    <w:rsid w:val="00E073CA"/>
    <w:rsid w:val="00E07ABE"/>
    <w:rsid w:val="00E1001C"/>
    <w:rsid w:val="00E119AD"/>
    <w:rsid w:val="00E1427A"/>
    <w:rsid w:val="00E21224"/>
    <w:rsid w:val="00E21471"/>
    <w:rsid w:val="00E23993"/>
    <w:rsid w:val="00E257D6"/>
    <w:rsid w:val="00E25B8C"/>
    <w:rsid w:val="00E25FB9"/>
    <w:rsid w:val="00E34AA4"/>
    <w:rsid w:val="00E3544F"/>
    <w:rsid w:val="00E36453"/>
    <w:rsid w:val="00E40287"/>
    <w:rsid w:val="00E42ECE"/>
    <w:rsid w:val="00E50081"/>
    <w:rsid w:val="00E51486"/>
    <w:rsid w:val="00E51D65"/>
    <w:rsid w:val="00E5295F"/>
    <w:rsid w:val="00E5465D"/>
    <w:rsid w:val="00E57479"/>
    <w:rsid w:val="00E6200B"/>
    <w:rsid w:val="00E65451"/>
    <w:rsid w:val="00E65C85"/>
    <w:rsid w:val="00E65FF8"/>
    <w:rsid w:val="00E66199"/>
    <w:rsid w:val="00E66349"/>
    <w:rsid w:val="00E66704"/>
    <w:rsid w:val="00E711C7"/>
    <w:rsid w:val="00E7494F"/>
    <w:rsid w:val="00E755EC"/>
    <w:rsid w:val="00E7624D"/>
    <w:rsid w:val="00E77C74"/>
    <w:rsid w:val="00E93C98"/>
    <w:rsid w:val="00E93FF5"/>
    <w:rsid w:val="00E95B9B"/>
    <w:rsid w:val="00E97242"/>
    <w:rsid w:val="00EA38F3"/>
    <w:rsid w:val="00EA3D42"/>
    <w:rsid w:val="00EA6B1B"/>
    <w:rsid w:val="00EA779B"/>
    <w:rsid w:val="00EB5BC8"/>
    <w:rsid w:val="00EB606C"/>
    <w:rsid w:val="00EC04F1"/>
    <w:rsid w:val="00EC0956"/>
    <w:rsid w:val="00EC1B2B"/>
    <w:rsid w:val="00EC1FD2"/>
    <w:rsid w:val="00EC32E5"/>
    <w:rsid w:val="00ED0EC2"/>
    <w:rsid w:val="00ED17C9"/>
    <w:rsid w:val="00ED3474"/>
    <w:rsid w:val="00ED4733"/>
    <w:rsid w:val="00ED7323"/>
    <w:rsid w:val="00EE21F9"/>
    <w:rsid w:val="00EE28F3"/>
    <w:rsid w:val="00EE50D1"/>
    <w:rsid w:val="00EE553B"/>
    <w:rsid w:val="00EE77FA"/>
    <w:rsid w:val="00EE7A83"/>
    <w:rsid w:val="00EF1B7A"/>
    <w:rsid w:val="00EF5110"/>
    <w:rsid w:val="00F0334E"/>
    <w:rsid w:val="00F044FD"/>
    <w:rsid w:val="00F06FA9"/>
    <w:rsid w:val="00F07967"/>
    <w:rsid w:val="00F10411"/>
    <w:rsid w:val="00F1076F"/>
    <w:rsid w:val="00F10DE2"/>
    <w:rsid w:val="00F12DA0"/>
    <w:rsid w:val="00F13EC2"/>
    <w:rsid w:val="00F1460F"/>
    <w:rsid w:val="00F15882"/>
    <w:rsid w:val="00F171E0"/>
    <w:rsid w:val="00F20BD3"/>
    <w:rsid w:val="00F220A7"/>
    <w:rsid w:val="00F2526A"/>
    <w:rsid w:val="00F2699D"/>
    <w:rsid w:val="00F35081"/>
    <w:rsid w:val="00F35D2A"/>
    <w:rsid w:val="00F373A5"/>
    <w:rsid w:val="00F414BE"/>
    <w:rsid w:val="00F42E08"/>
    <w:rsid w:val="00F42FA1"/>
    <w:rsid w:val="00F47559"/>
    <w:rsid w:val="00F536A0"/>
    <w:rsid w:val="00F551E4"/>
    <w:rsid w:val="00F57907"/>
    <w:rsid w:val="00F61176"/>
    <w:rsid w:val="00F628EB"/>
    <w:rsid w:val="00F62A30"/>
    <w:rsid w:val="00F64C7B"/>
    <w:rsid w:val="00F65B25"/>
    <w:rsid w:val="00F676DD"/>
    <w:rsid w:val="00F6799C"/>
    <w:rsid w:val="00F71667"/>
    <w:rsid w:val="00F73895"/>
    <w:rsid w:val="00F75A26"/>
    <w:rsid w:val="00F76706"/>
    <w:rsid w:val="00F768C8"/>
    <w:rsid w:val="00F77473"/>
    <w:rsid w:val="00F81B8D"/>
    <w:rsid w:val="00F83FAD"/>
    <w:rsid w:val="00F849B9"/>
    <w:rsid w:val="00F8653A"/>
    <w:rsid w:val="00F90788"/>
    <w:rsid w:val="00F91574"/>
    <w:rsid w:val="00F91F55"/>
    <w:rsid w:val="00F92349"/>
    <w:rsid w:val="00F931D5"/>
    <w:rsid w:val="00F938E0"/>
    <w:rsid w:val="00F93B21"/>
    <w:rsid w:val="00F952A0"/>
    <w:rsid w:val="00F96411"/>
    <w:rsid w:val="00F9746A"/>
    <w:rsid w:val="00FA1DC0"/>
    <w:rsid w:val="00FA3C7F"/>
    <w:rsid w:val="00FB1BF3"/>
    <w:rsid w:val="00FB4402"/>
    <w:rsid w:val="00FB60FE"/>
    <w:rsid w:val="00FB739C"/>
    <w:rsid w:val="00FB74E2"/>
    <w:rsid w:val="00FB7FD5"/>
    <w:rsid w:val="00FC6177"/>
    <w:rsid w:val="00FC71DC"/>
    <w:rsid w:val="00FC75A9"/>
    <w:rsid w:val="00FC7ACB"/>
    <w:rsid w:val="00FD2ED2"/>
    <w:rsid w:val="00FD4D9E"/>
    <w:rsid w:val="00FD5614"/>
    <w:rsid w:val="00FD5E78"/>
    <w:rsid w:val="00FE0BE1"/>
    <w:rsid w:val="00FE1DE9"/>
    <w:rsid w:val="00FE2D9B"/>
    <w:rsid w:val="00FE36AF"/>
    <w:rsid w:val="00FE39C2"/>
    <w:rsid w:val="00FE3C32"/>
    <w:rsid w:val="00FE64AE"/>
    <w:rsid w:val="00FF6564"/>
    <w:rsid w:val="00FF7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annotation text" w:uiPriority="0"/>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annotation text" w:uiPriority="0"/>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11563579">
      <w:bodyDiv w:val="1"/>
      <w:marLeft w:val="0"/>
      <w:marRight w:val="0"/>
      <w:marTop w:val="0"/>
      <w:marBottom w:val="0"/>
      <w:divBdr>
        <w:top w:val="none" w:sz="0" w:space="0" w:color="auto"/>
        <w:left w:val="none" w:sz="0" w:space="0" w:color="auto"/>
        <w:bottom w:val="none" w:sz="0" w:space="0" w:color="auto"/>
        <w:right w:val="none" w:sz="0" w:space="0" w:color="auto"/>
      </w:divBdr>
    </w:div>
    <w:div w:id="102205469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39054373">
      <w:bodyDiv w:val="1"/>
      <w:marLeft w:val="0"/>
      <w:marRight w:val="0"/>
      <w:marTop w:val="0"/>
      <w:marBottom w:val="0"/>
      <w:divBdr>
        <w:top w:val="none" w:sz="0" w:space="0" w:color="auto"/>
        <w:left w:val="none" w:sz="0" w:space="0" w:color="auto"/>
        <w:bottom w:val="none" w:sz="0" w:space="0" w:color="auto"/>
        <w:right w:val="none" w:sz="0" w:space="0" w:color="auto"/>
      </w:divBdr>
    </w:div>
    <w:div w:id="1328049896">
      <w:bodyDiv w:val="1"/>
      <w:marLeft w:val="0"/>
      <w:marRight w:val="0"/>
      <w:marTop w:val="0"/>
      <w:marBottom w:val="0"/>
      <w:divBdr>
        <w:top w:val="none" w:sz="0" w:space="0" w:color="auto"/>
        <w:left w:val="none" w:sz="0" w:space="0" w:color="auto"/>
        <w:bottom w:val="none" w:sz="0" w:space="0" w:color="auto"/>
        <w:right w:val="none" w:sz="0" w:space="0" w:color="auto"/>
      </w:divBdr>
    </w:div>
    <w:div w:id="15344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About-the-Industry/Registration/Current-Registration-and-Exemption-lists" TargetMode="External"/><Relationship Id="rId1" Type="http://schemas.openxmlformats.org/officeDocument/2006/relationships/hyperlink" Target="http://www.nemweb.com.au/REPORTS/CURRENT/VicGas/INT125_V8_DETAILS_OF_ORGANISATIONS_1.CSV"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2E6F0-D55F-4066-B1F5-37FD428C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48AEA43E</Template>
  <TotalTime>0</TotalTime>
  <Pages>28</Pages>
  <Words>7056</Words>
  <Characters>40223</Characters>
  <Application>Microsoft Office Word</Application>
  <DocSecurity>0</DocSecurity>
  <Lines>335</Lines>
  <Paragraphs>94</Paragraphs>
  <ScaleCrop>false</ScaleCrop>
  <Company/>
  <LinksUpToDate>false</LinksUpToDate>
  <CharactersWithSpaces>47185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2016-05-20T07:05:00Z</dcterms:created>
  <dcterms:modified xsi:type="dcterms:W3CDTF">2016-05-20T07:05:00Z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8575807</vt:lpwstr>
  </property>
</Properties>
</file>