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2E4DE180" wp14:editId="7CD0ABC9">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B04B4C" w:rsidRDefault="00B04B4C" w:rsidP="00F171E0"/>
        <w:p w:rsidR="00F171E0" w:rsidRDefault="00F171E0" w:rsidP="00F171E0"/>
        <w:p w:rsidR="00327A1E" w:rsidRDefault="001754EE" w:rsidP="001754EE">
          <w:pPr>
            <w:pStyle w:val="ReportSubtitle"/>
            <w:tabs>
              <w:tab w:val="left" w:pos="1122"/>
              <w:tab w:val="center" w:pos="4238"/>
            </w:tabs>
            <w:jc w:val="left"/>
          </w:pPr>
          <w:r>
            <w:tab/>
          </w:r>
          <w:r>
            <w:tab/>
          </w:r>
          <w:r w:rsidR="00A2303E">
            <w:t>FINAL</w:t>
          </w:r>
          <w:r w:rsidR="00DA4752">
            <w:t xml:space="preserve"> DECISION</w:t>
          </w:r>
        </w:p>
        <w:p w:rsidR="00415F31" w:rsidRDefault="00E07A9D" w:rsidP="008F07A3">
          <w:pPr>
            <w:pStyle w:val="ReportSubtitle"/>
          </w:pPr>
          <w:r>
            <w:t>Australian Gas Networks</w:t>
          </w:r>
          <w:r w:rsidR="00CF2C05">
            <w:br/>
            <w:t>Access Arrangement</w:t>
          </w:r>
        </w:p>
        <w:p w:rsidR="000A6C7B" w:rsidRDefault="005C0A7F" w:rsidP="008F07A3">
          <w:pPr>
            <w:pStyle w:val="ReportSubtitle"/>
          </w:pPr>
          <w:r>
            <w:t>20</w:t>
          </w:r>
          <w:r w:rsidR="00DA4752">
            <w:t xml:space="preserve">16 to </w:t>
          </w:r>
          <w:r w:rsidR="00A06085">
            <w:t>2021</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2146AD">
            <w:t>1</w:t>
          </w:r>
          <w:r w:rsidR="00DA4752">
            <w:t xml:space="preserve"> </w:t>
          </w:r>
          <w:r w:rsidR="00415F31">
            <w:rPr>
              <w:rFonts w:cs="Arial"/>
            </w:rPr>
            <w:t>–</w:t>
          </w:r>
          <w:r w:rsidR="00DA4752">
            <w:t xml:space="preserve"> </w:t>
          </w:r>
          <w:r w:rsidR="002146AD">
            <w:t>Services covered by the access arrangement</w:t>
          </w:r>
        </w:p>
        <w:p w:rsidR="000A6C7B" w:rsidRPr="00327A1E" w:rsidRDefault="00AE3C9F" w:rsidP="00327A1E">
          <w:pPr>
            <w:pStyle w:val="ReportDate"/>
          </w:pPr>
          <w:r>
            <w:t xml:space="preserve">May </w:t>
          </w:r>
          <w:r w:rsidR="00A2303E">
            <w:t>2016</w:t>
          </w:r>
        </w:p>
      </w:sdtContent>
    </w:sdt>
    <w:p w:rsidR="00327A1E" w:rsidRPr="00290C63" w:rsidRDefault="00327A1E" w:rsidP="00290C63">
      <w:r>
        <w:br w:type="page"/>
      </w:r>
    </w:p>
    <w:p w:rsidR="000A6C7B" w:rsidRDefault="008F07A3" w:rsidP="00961A4A">
      <w:pPr>
        <w:pStyle w:val="Copyright"/>
      </w:pPr>
      <w:r>
        <w:lastRenderedPageBreak/>
        <w:t xml:space="preserve">© Commonwealth of Australia </w:t>
      </w:r>
      <w:r w:rsidR="00886190">
        <w:t>2016</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rsidRPr="00901DFB">
        <w:rPr>
          <w:sz w:val="20"/>
          <w:szCs w:val="20"/>
        </w:rPr>
        <w:t>the</w:t>
      </w:r>
      <w:r>
        <w:t xml:space="preserv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DE772C">
      <w:pPr>
        <w:pStyle w:val="UnnumberedHeading"/>
        <w:numPr>
          <w:ilvl w:val="0"/>
          <w:numId w:val="23"/>
        </w:numPr>
      </w:pPr>
      <w:bookmarkStart w:id="4" w:name="_Toc451523224"/>
      <w:r>
        <w:t>N</w:t>
      </w:r>
      <w:r w:rsidR="008F07A3">
        <w:t>ote</w:t>
      </w:r>
      <w:bookmarkEnd w:id="0"/>
      <w:bookmarkEnd w:id="1"/>
      <w:bookmarkEnd w:id="2"/>
      <w:bookmarkEnd w:id="3"/>
      <w:bookmarkEnd w:id="4"/>
    </w:p>
    <w:p w:rsidR="00415F31" w:rsidRDefault="00415F31" w:rsidP="00DE772C">
      <w:pPr>
        <w:numPr>
          <w:ilvl w:val="0"/>
          <w:numId w:val="24"/>
        </w:numPr>
        <w:spacing w:before="0" w:after="240" w:line="288" w:lineRule="auto"/>
        <w:jc w:val="both"/>
      </w:pPr>
    </w:p>
    <w:p w:rsidR="00322391" w:rsidRPr="00322391" w:rsidRDefault="00322391" w:rsidP="00322391">
      <w:r w:rsidRPr="00322391">
        <w:t>This attachment forms part of the AER's final decision on the access arrangement for Australian Gas Networks South Australian distribution network for 2016–21. It should be read with all other parts of the final decision.</w:t>
      </w:r>
    </w:p>
    <w:p w:rsidR="00415F31" w:rsidRDefault="00415F31" w:rsidP="00322391">
      <w:r>
        <w:t xml:space="preserve">The </w:t>
      </w:r>
      <w:r w:rsidR="00A2303E">
        <w:t>final</w:t>
      </w:r>
      <w:r w:rsidR="005C0A7F">
        <w:t xml:space="preserve"> </w:t>
      </w:r>
      <w:r>
        <w:t>decision includes the following documents:</w:t>
      </w:r>
    </w:p>
    <w:p w:rsidR="00415F31" w:rsidRDefault="00415F31" w:rsidP="00322391">
      <w:r>
        <w:t>Overview</w:t>
      </w:r>
    </w:p>
    <w:p w:rsidR="0070011E" w:rsidRDefault="0070011E" w:rsidP="00322391">
      <w:r>
        <w:t xml:space="preserve">Attachment 1 - </w:t>
      </w:r>
      <w:r w:rsidR="00EE77FA">
        <w:t>Services covered by the access arrangement</w:t>
      </w:r>
    </w:p>
    <w:p w:rsidR="0070011E" w:rsidRDefault="0070011E" w:rsidP="00322391">
      <w:r>
        <w:t xml:space="preserve">Attachment 2 - </w:t>
      </w:r>
      <w:r w:rsidR="00EE77FA">
        <w:t>Capital base</w:t>
      </w:r>
    </w:p>
    <w:p w:rsidR="0070011E" w:rsidRDefault="0070011E" w:rsidP="00322391">
      <w:r>
        <w:t xml:space="preserve">Attachment 3 - </w:t>
      </w:r>
      <w:r w:rsidR="00EE77FA">
        <w:t>R</w:t>
      </w:r>
      <w:r>
        <w:t>ate of return</w:t>
      </w:r>
    </w:p>
    <w:p w:rsidR="0070011E" w:rsidRDefault="0070011E" w:rsidP="00322391">
      <w:r>
        <w:t>Attachment 4 - Value of imputation credits</w:t>
      </w:r>
    </w:p>
    <w:p w:rsidR="0070011E" w:rsidRDefault="0070011E" w:rsidP="00322391">
      <w:r>
        <w:t>Attachment 5 - Regulatory depreciation</w:t>
      </w:r>
    </w:p>
    <w:p w:rsidR="0070011E" w:rsidRDefault="0070011E" w:rsidP="00322391">
      <w:r>
        <w:t xml:space="preserve">Attachment 6 - Capital expenditure </w:t>
      </w:r>
    </w:p>
    <w:p w:rsidR="0070011E" w:rsidRDefault="0070011E" w:rsidP="00322391">
      <w:r>
        <w:t>Attachment 7 - Operating expenditure</w:t>
      </w:r>
    </w:p>
    <w:p w:rsidR="0070011E" w:rsidRDefault="0070011E" w:rsidP="00322391">
      <w:r>
        <w:t>Attachment 8 - Corporate income tax</w:t>
      </w:r>
    </w:p>
    <w:p w:rsidR="0070011E" w:rsidRDefault="0070011E" w:rsidP="00322391">
      <w:r>
        <w:t xml:space="preserve">Attachment 9 - Efficiency </w:t>
      </w:r>
      <w:r w:rsidR="00EE77FA">
        <w:t>carryover mechanism</w:t>
      </w:r>
    </w:p>
    <w:p w:rsidR="0070011E" w:rsidRDefault="0070011E" w:rsidP="00322391">
      <w:r>
        <w:t xml:space="preserve">Attachment 10 - </w:t>
      </w:r>
      <w:r w:rsidR="00EE77FA">
        <w:t>Reference tariff setting</w:t>
      </w:r>
    </w:p>
    <w:p w:rsidR="0070011E" w:rsidRDefault="0070011E" w:rsidP="00322391">
      <w:r>
        <w:t xml:space="preserve">Attachment 11 - </w:t>
      </w:r>
      <w:r w:rsidR="00EE77FA">
        <w:t>Reference tariff variation mechanism</w:t>
      </w:r>
    </w:p>
    <w:p w:rsidR="0070011E" w:rsidRDefault="0070011E" w:rsidP="00322391">
      <w:r>
        <w:t xml:space="preserve">Attachment 12 - </w:t>
      </w:r>
      <w:r w:rsidR="00EE77FA">
        <w:t>Non-tariff components</w:t>
      </w:r>
    </w:p>
    <w:p w:rsidR="0070011E" w:rsidRDefault="0070011E" w:rsidP="00322391">
      <w:r>
        <w:t xml:space="preserve">Attachment 13 - </w:t>
      </w:r>
      <w:r w:rsidR="00EE77FA">
        <w:t>Demand</w:t>
      </w:r>
    </w:p>
    <w:p w:rsidR="00E07A9D" w:rsidRDefault="00E07A9D" w:rsidP="00322391">
      <w:r>
        <w:t>Attachment 14 - Other incentive schemes</w:t>
      </w:r>
    </w:p>
    <w:p w:rsidR="00DE563D" w:rsidRPr="00A72B34" w:rsidRDefault="00DE563D" w:rsidP="00DE772C">
      <w:pPr>
        <w:pStyle w:val="UnnumberedHeading"/>
        <w:numPr>
          <w:ilvl w:val="0"/>
          <w:numId w:val="23"/>
        </w:numPr>
      </w:pPr>
      <w:bookmarkStart w:id="5" w:name="_Toc403144133"/>
      <w:bookmarkStart w:id="6" w:name="_Toc451523225"/>
      <w:r>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bookmarkStart w:id="7" w:name="_GoBack" w:displacedByCustomXml="prev"/>
        <w:bookmarkEnd w:id="7" w:displacedByCustomXml="prev"/>
        <w:p w:rsidR="00FD2D6E"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51523224" w:history="1">
            <w:r w:rsidR="00FD2D6E" w:rsidRPr="003A798D">
              <w:rPr>
                <w:rStyle w:val="Hyperlink"/>
              </w:rPr>
              <w:t>Note</w:t>
            </w:r>
            <w:r w:rsidR="00FD2D6E">
              <w:rPr>
                <w:webHidden/>
              </w:rPr>
              <w:tab/>
            </w:r>
            <w:r w:rsidR="00FD2D6E">
              <w:rPr>
                <w:webHidden/>
              </w:rPr>
              <w:fldChar w:fldCharType="begin"/>
            </w:r>
            <w:r w:rsidR="00FD2D6E">
              <w:rPr>
                <w:webHidden/>
              </w:rPr>
              <w:instrText xml:space="preserve"> PAGEREF _Toc451523224 \h </w:instrText>
            </w:r>
            <w:r w:rsidR="00FD2D6E">
              <w:rPr>
                <w:webHidden/>
              </w:rPr>
            </w:r>
            <w:r w:rsidR="00FD2D6E">
              <w:rPr>
                <w:webHidden/>
              </w:rPr>
              <w:fldChar w:fldCharType="separate"/>
            </w:r>
            <w:r w:rsidR="00FD2D6E">
              <w:rPr>
                <w:webHidden/>
              </w:rPr>
              <w:t>1-2</w:t>
            </w:r>
            <w:r w:rsidR="00FD2D6E">
              <w:rPr>
                <w:webHidden/>
              </w:rPr>
              <w:fldChar w:fldCharType="end"/>
            </w:r>
          </w:hyperlink>
        </w:p>
        <w:p w:rsidR="00FD2D6E" w:rsidRDefault="00FD2D6E">
          <w:pPr>
            <w:pStyle w:val="TOC1"/>
            <w:rPr>
              <w:rFonts w:asciiTheme="minorHAnsi" w:eastAsiaTheme="minorEastAsia" w:hAnsiTheme="minorHAnsi"/>
              <w:b w:val="0"/>
              <w:color w:val="auto"/>
              <w:sz w:val="22"/>
              <w:lang w:val="en-AU" w:eastAsia="en-AU"/>
            </w:rPr>
          </w:pPr>
          <w:hyperlink w:anchor="_Toc451523225" w:history="1">
            <w:r w:rsidRPr="003A798D">
              <w:rPr>
                <w:rStyle w:val="Hyperlink"/>
              </w:rPr>
              <w:t>Contents</w:t>
            </w:r>
            <w:r>
              <w:rPr>
                <w:webHidden/>
              </w:rPr>
              <w:tab/>
            </w:r>
            <w:r>
              <w:rPr>
                <w:webHidden/>
              </w:rPr>
              <w:fldChar w:fldCharType="begin"/>
            </w:r>
            <w:r>
              <w:rPr>
                <w:webHidden/>
              </w:rPr>
              <w:instrText xml:space="preserve"> PAGEREF _Toc451523225 \h </w:instrText>
            </w:r>
            <w:r>
              <w:rPr>
                <w:webHidden/>
              </w:rPr>
            </w:r>
            <w:r>
              <w:rPr>
                <w:webHidden/>
              </w:rPr>
              <w:fldChar w:fldCharType="separate"/>
            </w:r>
            <w:r>
              <w:rPr>
                <w:webHidden/>
              </w:rPr>
              <w:t>1-3</w:t>
            </w:r>
            <w:r>
              <w:rPr>
                <w:webHidden/>
              </w:rPr>
              <w:fldChar w:fldCharType="end"/>
            </w:r>
          </w:hyperlink>
        </w:p>
        <w:p w:rsidR="00FD2D6E" w:rsidRDefault="00FD2D6E">
          <w:pPr>
            <w:pStyle w:val="TOC1"/>
            <w:rPr>
              <w:rFonts w:asciiTheme="minorHAnsi" w:eastAsiaTheme="minorEastAsia" w:hAnsiTheme="minorHAnsi"/>
              <w:b w:val="0"/>
              <w:color w:val="auto"/>
              <w:sz w:val="22"/>
              <w:lang w:val="en-AU" w:eastAsia="en-AU"/>
            </w:rPr>
          </w:pPr>
          <w:hyperlink w:anchor="_Toc451523226" w:history="1">
            <w:r w:rsidRPr="003A798D">
              <w:rPr>
                <w:rStyle w:val="Hyperlink"/>
              </w:rPr>
              <w:t>Shortened forms</w:t>
            </w:r>
            <w:r>
              <w:rPr>
                <w:webHidden/>
              </w:rPr>
              <w:tab/>
            </w:r>
            <w:r>
              <w:rPr>
                <w:webHidden/>
              </w:rPr>
              <w:fldChar w:fldCharType="begin"/>
            </w:r>
            <w:r>
              <w:rPr>
                <w:webHidden/>
              </w:rPr>
              <w:instrText xml:space="preserve"> PAGEREF _Toc451523226 \h </w:instrText>
            </w:r>
            <w:r>
              <w:rPr>
                <w:webHidden/>
              </w:rPr>
            </w:r>
            <w:r>
              <w:rPr>
                <w:webHidden/>
              </w:rPr>
              <w:fldChar w:fldCharType="separate"/>
            </w:r>
            <w:r>
              <w:rPr>
                <w:webHidden/>
              </w:rPr>
              <w:t>1-4</w:t>
            </w:r>
            <w:r>
              <w:rPr>
                <w:webHidden/>
              </w:rPr>
              <w:fldChar w:fldCharType="end"/>
            </w:r>
          </w:hyperlink>
        </w:p>
        <w:p w:rsidR="00FD2D6E" w:rsidRDefault="00FD2D6E">
          <w:pPr>
            <w:pStyle w:val="TOC1"/>
            <w:rPr>
              <w:rFonts w:asciiTheme="minorHAnsi" w:eastAsiaTheme="minorEastAsia" w:hAnsiTheme="minorHAnsi"/>
              <w:b w:val="0"/>
              <w:color w:val="auto"/>
              <w:sz w:val="22"/>
              <w:lang w:val="en-AU" w:eastAsia="en-AU"/>
            </w:rPr>
          </w:pPr>
          <w:hyperlink w:anchor="_Toc451523227" w:history="1">
            <w:r w:rsidRPr="003A798D">
              <w:rPr>
                <w:rStyle w:val="Hyperlink"/>
              </w:rPr>
              <w:t>1</w:t>
            </w:r>
            <w:r>
              <w:rPr>
                <w:rFonts w:asciiTheme="minorHAnsi" w:eastAsiaTheme="minorEastAsia" w:hAnsiTheme="minorHAnsi"/>
                <w:b w:val="0"/>
                <w:color w:val="auto"/>
                <w:sz w:val="22"/>
                <w:lang w:val="en-AU" w:eastAsia="en-AU"/>
              </w:rPr>
              <w:tab/>
            </w:r>
            <w:r w:rsidRPr="003A798D">
              <w:rPr>
                <w:rStyle w:val="Hyperlink"/>
              </w:rPr>
              <w:t>Services covered by the access arrangement</w:t>
            </w:r>
            <w:r>
              <w:rPr>
                <w:webHidden/>
              </w:rPr>
              <w:tab/>
            </w:r>
            <w:r>
              <w:rPr>
                <w:webHidden/>
              </w:rPr>
              <w:fldChar w:fldCharType="begin"/>
            </w:r>
            <w:r>
              <w:rPr>
                <w:webHidden/>
              </w:rPr>
              <w:instrText xml:space="preserve"> PAGEREF _Toc451523227 \h </w:instrText>
            </w:r>
            <w:r>
              <w:rPr>
                <w:webHidden/>
              </w:rPr>
            </w:r>
            <w:r>
              <w:rPr>
                <w:webHidden/>
              </w:rPr>
              <w:fldChar w:fldCharType="separate"/>
            </w:r>
            <w:r>
              <w:rPr>
                <w:webHidden/>
              </w:rPr>
              <w:t>1-6</w:t>
            </w:r>
            <w:r>
              <w:rPr>
                <w:webHidden/>
              </w:rPr>
              <w:fldChar w:fldCharType="end"/>
            </w:r>
          </w:hyperlink>
        </w:p>
        <w:p w:rsidR="00FD2D6E" w:rsidRDefault="00FD2D6E">
          <w:pPr>
            <w:pStyle w:val="TOC2"/>
            <w:rPr>
              <w:rFonts w:asciiTheme="minorHAnsi" w:eastAsiaTheme="minorEastAsia" w:hAnsiTheme="minorHAnsi"/>
              <w:b w:val="0"/>
              <w:color w:val="auto"/>
              <w:sz w:val="22"/>
              <w:lang w:eastAsia="en-AU"/>
            </w:rPr>
          </w:pPr>
          <w:hyperlink w:anchor="_Toc451523228" w:history="1">
            <w:r w:rsidRPr="003A798D">
              <w:rPr>
                <w:rStyle w:val="Hyperlink"/>
              </w:rPr>
              <w:t>1.1</w:t>
            </w:r>
            <w:r>
              <w:rPr>
                <w:rFonts w:asciiTheme="minorHAnsi" w:eastAsiaTheme="minorEastAsia" w:hAnsiTheme="minorHAnsi"/>
                <w:b w:val="0"/>
                <w:color w:val="auto"/>
                <w:sz w:val="22"/>
                <w:lang w:eastAsia="en-AU"/>
              </w:rPr>
              <w:tab/>
            </w:r>
            <w:r w:rsidRPr="003A798D">
              <w:rPr>
                <w:rStyle w:val="Hyperlink"/>
              </w:rPr>
              <w:t>Final decision</w:t>
            </w:r>
            <w:r>
              <w:rPr>
                <w:webHidden/>
              </w:rPr>
              <w:tab/>
            </w:r>
            <w:r>
              <w:rPr>
                <w:webHidden/>
              </w:rPr>
              <w:fldChar w:fldCharType="begin"/>
            </w:r>
            <w:r>
              <w:rPr>
                <w:webHidden/>
              </w:rPr>
              <w:instrText xml:space="preserve"> PAGEREF _Toc451523228 \h </w:instrText>
            </w:r>
            <w:r>
              <w:rPr>
                <w:webHidden/>
              </w:rPr>
            </w:r>
            <w:r>
              <w:rPr>
                <w:webHidden/>
              </w:rPr>
              <w:fldChar w:fldCharType="separate"/>
            </w:r>
            <w:r>
              <w:rPr>
                <w:webHidden/>
              </w:rPr>
              <w:t>1-6</w:t>
            </w:r>
            <w:r>
              <w:rPr>
                <w:webHidden/>
              </w:rPr>
              <w:fldChar w:fldCharType="end"/>
            </w:r>
          </w:hyperlink>
        </w:p>
        <w:p w:rsidR="00FD2D6E" w:rsidRDefault="00FD2D6E">
          <w:pPr>
            <w:pStyle w:val="TOC2"/>
            <w:rPr>
              <w:rFonts w:asciiTheme="minorHAnsi" w:eastAsiaTheme="minorEastAsia" w:hAnsiTheme="minorHAnsi"/>
              <w:b w:val="0"/>
              <w:color w:val="auto"/>
              <w:sz w:val="22"/>
              <w:lang w:eastAsia="en-AU"/>
            </w:rPr>
          </w:pPr>
          <w:hyperlink w:anchor="_Toc451523229" w:history="1">
            <w:r w:rsidRPr="003A798D">
              <w:rPr>
                <w:rStyle w:val="Hyperlink"/>
              </w:rPr>
              <w:t>1.2</w:t>
            </w:r>
            <w:r>
              <w:rPr>
                <w:rFonts w:asciiTheme="minorHAnsi" w:eastAsiaTheme="minorEastAsia" w:hAnsiTheme="minorHAnsi"/>
                <w:b w:val="0"/>
                <w:color w:val="auto"/>
                <w:sz w:val="22"/>
                <w:lang w:eastAsia="en-AU"/>
              </w:rPr>
              <w:tab/>
            </w:r>
            <w:r w:rsidRPr="003A798D">
              <w:rPr>
                <w:rStyle w:val="Hyperlink"/>
              </w:rPr>
              <w:t>AGN's revised proposal</w:t>
            </w:r>
            <w:r>
              <w:rPr>
                <w:webHidden/>
              </w:rPr>
              <w:tab/>
            </w:r>
            <w:r>
              <w:rPr>
                <w:webHidden/>
              </w:rPr>
              <w:fldChar w:fldCharType="begin"/>
            </w:r>
            <w:r>
              <w:rPr>
                <w:webHidden/>
              </w:rPr>
              <w:instrText xml:space="preserve"> PAGEREF _Toc451523229 \h </w:instrText>
            </w:r>
            <w:r>
              <w:rPr>
                <w:webHidden/>
              </w:rPr>
            </w:r>
            <w:r>
              <w:rPr>
                <w:webHidden/>
              </w:rPr>
              <w:fldChar w:fldCharType="separate"/>
            </w:r>
            <w:r>
              <w:rPr>
                <w:webHidden/>
              </w:rPr>
              <w:t>1-6</w:t>
            </w:r>
            <w:r>
              <w:rPr>
                <w:webHidden/>
              </w:rPr>
              <w:fldChar w:fldCharType="end"/>
            </w:r>
          </w:hyperlink>
        </w:p>
        <w:p w:rsidR="00FD2D6E" w:rsidRDefault="00FD2D6E">
          <w:pPr>
            <w:pStyle w:val="TOC2"/>
            <w:rPr>
              <w:rFonts w:asciiTheme="minorHAnsi" w:eastAsiaTheme="minorEastAsia" w:hAnsiTheme="minorHAnsi"/>
              <w:b w:val="0"/>
              <w:color w:val="auto"/>
              <w:sz w:val="22"/>
              <w:lang w:eastAsia="en-AU"/>
            </w:rPr>
          </w:pPr>
          <w:hyperlink w:anchor="_Toc451523230" w:history="1">
            <w:r w:rsidRPr="003A798D">
              <w:rPr>
                <w:rStyle w:val="Hyperlink"/>
              </w:rPr>
              <w:t>1.3</w:t>
            </w:r>
            <w:r>
              <w:rPr>
                <w:rFonts w:asciiTheme="minorHAnsi" w:eastAsiaTheme="minorEastAsia" w:hAnsiTheme="minorHAnsi"/>
                <w:b w:val="0"/>
                <w:color w:val="auto"/>
                <w:sz w:val="22"/>
                <w:lang w:eastAsia="en-AU"/>
              </w:rPr>
              <w:tab/>
            </w:r>
            <w:r w:rsidRPr="003A798D">
              <w:rPr>
                <w:rStyle w:val="Hyperlink"/>
              </w:rPr>
              <w:t>AER’s assessment approach</w:t>
            </w:r>
            <w:r>
              <w:rPr>
                <w:webHidden/>
              </w:rPr>
              <w:tab/>
            </w:r>
            <w:r>
              <w:rPr>
                <w:webHidden/>
              </w:rPr>
              <w:fldChar w:fldCharType="begin"/>
            </w:r>
            <w:r>
              <w:rPr>
                <w:webHidden/>
              </w:rPr>
              <w:instrText xml:space="preserve"> PAGEREF _Toc451523230 \h </w:instrText>
            </w:r>
            <w:r>
              <w:rPr>
                <w:webHidden/>
              </w:rPr>
            </w:r>
            <w:r>
              <w:rPr>
                <w:webHidden/>
              </w:rPr>
              <w:fldChar w:fldCharType="separate"/>
            </w:r>
            <w:r>
              <w:rPr>
                <w:webHidden/>
              </w:rPr>
              <w:t>1-8</w:t>
            </w:r>
            <w:r>
              <w:rPr>
                <w:webHidden/>
              </w:rPr>
              <w:fldChar w:fldCharType="end"/>
            </w:r>
          </w:hyperlink>
        </w:p>
        <w:p w:rsidR="00FD2D6E" w:rsidRDefault="00FD2D6E">
          <w:pPr>
            <w:pStyle w:val="TOC2"/>
            <w:rPr>
              <w:rFonts w:asciiTheme="minorHAnsi" w:eastAsiaTheme="minorEastAsia" w:hAnsiTheme="minorHAnsi"/>
              <w:b w:val="0"/>
              <w:color w:val="auto"/>
              <w:sz w:val="22"/>
              <w:lang w:eastAsia="en-AU"/>
            </w:rPr>
          </w:pPr>
          <w:hyperlink w:anchor="_Toc451523231" w:history="1">
            <w:r w:rsidRPr="003A798D">
              <w:rPr>
                <w:rStyle w:val="Hyperlink"/>
              </w:rPr>
              <w:t>1.4</w:t>
            </w:r>
            <w:r>
              <w:rPr>
                <w:rFonts w:asciiTheme="minorHAnsi" w:eastAsiaTheme="minorEastAsia" w:hAnsiTheme="minorHAnsi"/>
                <w:b w:val="0"/>
                <w:color w:val="auto"/>
                <w:sz w:val="22"/>
                <w:lang w:eastAsia="en-AU"/>
              </w:rPr>
              <w:tab/>
            </w:r>
            <w:r w:rsidRPr="003A798D">
              <w:rPr>
                <w:rStyle w:val="Hyperlink"/>
              </w:rPr>
              <w:t>Reasons for final decision</w:t>
            </w:r>
            <w:r>
              <w:rPr>
                <w:webHidden/>
              </w:rPr>
              <w:tab/>
            </w:r>
            <w:r>
              <w:rPr>
                <w:webHidden/>
              </w:rPr>
              <w:fldChar w:fldCharType="begin"/>
            </w:r>
            <w:r>
              <w:rPr>
                <w:webHidden/>
              </w:rPr>
              <w:instrText xml:space="preserve"> PAGEREF _Toc451523231 \h </w:instrText>
            </w:r>
            <w:r>
              <w:rPr>
                <w:webHidden/>
              </w:rPr>
            </w:r>
            <w:r>
              <w:rPr>
                <w:webHidden/>
              </w:rPr>
              <w:fldChar w:fldCharType="separate"/>
            </w:r>
            <w:r>
              <w:rPr>
                <w:webHidden/>
              </w:rPr>
              <w:t>1-8</w:t>
            </w:r>
            <w:r>
              <w:rPr>
                <w:webHidden/>
              </w:rPr>
              <w:fldChar w:fldCharType="end"/>
            </w:r>
          </w:hyperlink>
        </w:p>
        <w:p w:rsidR="00FD2D6E" w:rsidRDefault="00FD2D6E">
          <w:pPr>
            <w:pStyle w:val="TOC3"/>
            <w:rPr>
              <w:rFonts w:asciiTheme="minorHAnsi" w:eastAsiaTheme="minorEastAsia" w:hAnsiTheme="minorHAnsi"/>
              <w:lang w:eastAsia="en-AU"/>
            </w:rPr>
          </w:pPr>
          <w:hyperlink w:anchor="_Toc451523232" w:history="1">
            <w:r w:rsidRPr="003A798D">
              <w:rPr>
                <w:rStyle w:val="Hyperlink"/>
              </w:rPr>
              <w:t>1.4.1</w:t>
            </w:r>
            <w:r>
              <w:rPr>
                <w:rFonts w:asciiTheme="minorHAnsi" w:eastAsiaTheme="minorEastAsia" w:hAnsiTheme="minorHAnsi"/>
                <w:lang w:eastAsia="en-AU"/>
              </w:rPr>
              <w:tab/>
            </w:r>
            <w:r w:rsidRPr="003A798D">
              <w:rPr>
                <w:rStyle w:val="Hyperlink"/>
              </w:rPr>
              <w:t>Reference services</w:t>
            </w:r>
            <w:r>
              <w:rPr>
                <w:webHidden/>
              </w:rPr>
              <w:tab/>
            </w:r>
            <w:r>
              <w:rPr>
                <w:webHidden/>
              </w:rPr>
              <w:fldChar w:fldCharType="begin"/>
            </w:r>
            <w:r>
              <w:rPr>
                <w:webHidden/>
              </w:rPr>
              <w:instrText xml:space="preserve"> PAGEREF _Toc451523232 \h </w:instrText>
            </w:r>
            <w:r>
              <w:rPr>
                <w:webHidden/>
              </w:rPr>
            </w:r>
            <w:r>
              <w:rPr>
                <w:webHidden/>
              </w:rPr>
              <w:fldChar w:fldCharType="separate"/>
            </w:r>
            <w:r>
              <w:rPr>
                <w:webHidden/>
              </w:rPr>
              <w:t>1-9</w:t>
            </w:r>
            <w:r>
              <w:rPr>
                <w:webHidden/>
              </w:rPr>
              <w:fldChar w:fldCharType="end"/>
            </w:r>
          </w:hyperlink>
        </w:p>
        <w:p w:rsidR="00FD2D6E" w:rsidRDefault="00FD2D6E">
          <w:pPr>
            <w:pStyle w:val="TOC3"/>
            <w:rPr>
              <w:rFonts w:asciiTheme="minorHAnsi" w:eastAsiaTheme="minorEastAsia" w:hAnsiTheme="minorHAnsi"/>
              <w:lang w:eastAsia="en-AU"/>
            </w:rPr>
          </w:pPr>
          <w:hyperlink w:anchor="_Toc451523233" w:history="1">
            <w:r w:rsidRPr="003A798D">
              <w:rPr>
                <w:rStyle w:val="Hyperlink"/>
              </w:rPr>
              <w:t>1.4.2</w:t>
            </w:r>
            <w:r>
              <w:rPr>
                <w:rFonts w:asciiTheme="minorHAnsi" w:eastAsiaTheme="minorEastAsia" w:hAnsiTheme="minorHAnsi"/>
                <w:lang w:eastAsia="en-AU"/>
              </w:rPr>
              <w:tab/>
            </w:r>
            <w:r w:rsidRPr="003A798D">
              <w:rPr>
                <w:rStyle w:val="Hyperlink"/>
              </w:rPr>
              <w:t>Non–reference services</w:t>
            </w:r>
            <w:r>
              <w:rPr>
                <w:webHidden/>
              </w:rPr>
              <w:tab/>
            </w:r>
            <w:r>
              <w:rPr>
                <w:webHidden/>
              </w:rPr>
              <w:fldChar w:fldCharType="begin"/>
            </w:r>
            <w:r>
              <w:rPr>
                <w:webHidden/>
              </w:rPr>
              <w:instrText xml:space="preserve"> PAGEREF _Toc451523233 \h </w:instrText>
            </w:r>
            <w:r>
              <w:rPr>
                <w:webHidden/>
              </w:rPr>
            </w:r>
            <w:r>
              <w:rPr>
                <w:webHidden/>
              </w:rPr>
              <w:fldChar w:fldCharType="separate"/>
            </w:r>
            <w:r>
              <w:rPr>
                <w:webHidden/>
              </w:rPr>
              <w:t>1-10</w:t>
            </w:r>
            <w:r>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E7494F" w:rsidRDefault="00DE563D" w:rsidP="00DE772C">
      <w:pPr>
        <w:pStyle w:val="UnnumberedHeading"/>
        <w:numPr>
          <w:ilvl w:val="0"/>
          <w:numId w:val="23"/>
        </w:numPr>
      </w:pPr>
      <w:bookmarkStart w:id="8" w:name="_Toc404700925"/>
      <w:bookmarkStart w:id="9" w:name="_Toc451523226"/>
      <w:r>
        <w:t>Shortened forms</w:t>
      </w:r>
      <w:bookmarkEnd w:id="8"/>
      <w:bookmarkEnd w:id="9"/>
    </w:p>
    <w:tbl>
      <w:tblPr>
        <w:tblStyle w:val="AERtable-numbers"/>
        <w:tblW w:w="0" w:type="auto"/>
        <w:tblLook w:val="04A0" w:firstRow="1" w:lastRow="0" w:firstColumn="1" w:lastColumn="0" w:noHBand="0" w:noVBand="1"/>
      </w:tblPr>
      <w:tblGrid>
        <w:gridCol w:w="3652"/>
        <w:gridCol w:w="5041"/>
      </w:tblGrid>
      <w:tr w:rsidR="00195201" w:rsidTr="0019520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95201" w:rsidRPr="00195201" w:rsidRDefault="00195201" w:rsidP="00195201">
            <w:pPr>
              <w:numPr>
                <w:ilvl w:val="0"/>
                <w:numId w:val="24"/>
              </w:numPr>
            </w:pPr>
            <w:r w:rsidRPr="00195201">
              <w:t>Shortened form</w:t>
            </w:r>
          </w:p>
        </w:tc>
        <w:tc>
          <w:tcPr>
            <w:tcW w:w="5041" w:type="dxa"/>
            <w:tcBorders>
              <w:top w:val="nil"/>
              <w:left w:val="nil"/>
              <w:bottom w:val="nil"/>
              <w:right w:val="nil"/>
            </w:tcBorders>
            <w:hideMark/>
          </w:tcPr>
          <w:p w:rsidR="00195201" w:rsidRPr="00195201" w:rsidRDefault="00195201" w:rsidP="00195201">
            <w:pPr>
              <w:numPr>
                <w:ilvl w:val="0"/>
                <w:numId w:val="24"/>
              </w:numPr>
              <w:cnfStyle w:val="100000000000" w:firstRow="1" w:lastRow="0" w:firstColumn="0" w:lastColumn="0" w:oddVBand="0" w:evenVBand="0" w:oddHBand="0" w:evenHBand="0" w:firstRowFirstColumn="0" w:firstRowLastColumn="0" w:lastRowFirstColumn="0" w:lastRowLastColumn="0"/>
            </w:pPr>
            <w:r w:rsidRPr="00195201">
              <w:t>Extended form</w:t>
            </w:r>
          </w:p>
        </w:tc>
      </w:tr>
      <w:tr w:rsidR="00195201" w:rsidTr="00195201">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95201" w:rsidRPr="00195201" w:rsidRDefault="00195201" w:rsidP="00195201">
            <w:pPr>
              <w:numPr>
                <w:ilvl w:val="0"/>
                <w:numId w:val="24"/>
              </w:numPr>
            </w:pPr>
            <w:r w:rsidRPr="00195201">
              <w:t>AA</w:t>
            </w:r>
          </w:p>
        </w:tc>
        <w:tc>
          <w:tcPr>
            <w:tcW w:w="5041" w:type="dxa"/>
            <w:tcBorders>
              <w:top w:val="nil"/>
              <w:left w:val="nil"/>
              <w:bottom w:val="nil"/>
              <w:right w:val="nil"/>
            </w:tcBorders>
            <w:hideMark/>
          </w:tcPr>
          <w:p w:rsidR="00195201" w:rsidRPr="00195201" w:rsidRDefault="00195201" w:rsidP="00195201">
            <w:pPr>
              <w:cnfStyle w:val="000000000000" w:firstRow="0" w:lastRow="0" w:firstColumn="0" w:lastColumn="0" w:oddVBand="0" w:evenVBand="0" w:oddHBand="0" w:evenHBand="0" w:firstRowFirstColumn="0" w:firstRowLastColumn="0" w:lastRowFirstColumn="0" w:lastRowLastColumn="0"/>
            </w:pPr>
            <w:r w:rsidRPr="00195201">
              <w:t>Access Arrangement</w:t>
            </w:r>
          </w:p>
        </w:tc>
      </w:tr>
      <w:tr w:rsidR="00195201" w:rsidTr="001952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95201" w:rsidRPr="00195201" w:rsidRDefault="00195201" w:rsidP="00195201">
            <w:pPr>
              <w:numPr>
                <w:ilvl w:val="0"/>
                <w:numId w:val="24"/>
              </w:numPr>
            </w:pPr>
            <w:r w:rsidRPr="00195201">
              <w:t>AAI</w:t>
            </w:r>
          </w:p>
        </w:tc>
        <w:tc>
          <w:tcPr>
            <w:tcW w:w="5041" w:type="dxa"/>
            <w:tcBorders>
              <w:top w:val="nil"/>
              <w:left w:val="nil"/>
              <w:bottom w:val="nil"/>
              <w:right w:val="nil"/>
            </w:tcBorders>
            <w:hideMark/>
          </w:tcPr>
          <w:p w:rsidR="00195201" w:rsidRPr="00195201" w:rsidRDefault="00195201" w:rsidP="00195201">
            <w:pPr>
              <w:cnfStyle w:val="000000010000" w:firstRow="0" w:lastRow="0" w:firstColumn="0" w:lastColumn="0" w:oddVBand="0" w:evenVBand="0" w:oddHBand="0" w:evenHBand="1" w:firstRowFirstColumn="0" w:firstRowLastColumn="0" w:lastRowFirstColumn="0" w:lastRowLastColumn="0"/>
            </w:pPr>
            <w:r w:rsidRPr="00195201">
              <w:t>Access Arrangement Information</w:t>
            </w:r>
          </w:p>
        </w:tc>
      </w:tr>
      <w:tr w:rsidR="00195201" w:rsidTr="00195201">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95201" w:rsidRPr="00195201" w:rsidRDefault="00195201" w:rsidP="00195201">
            <w:pPr>
              <w:numPr>
                <w:ilvl w:val="0"/>
                <w:numId w:val="24"/>
              </w:numPr>
            </w:pPr>
            <w:r w:rsidRPr="00195201">
              <w:t>AER</w:t>
            </w:r>
          </w:p>
        </w:tc>
        <w:tc>
          <w:tcPr>
            <w:tcW w:w="5041" w:type="dxa"/>
            <w:tcBorders>
              <w:top w:val="nil"/>
              <w:left w:val="nil"/>
              <w:bottom w:val="nil"/>
              <w:right w:val="nil"/>
            </w:tcBorders>
            <w:hideMark/>
          </w:tcPr>
          <w:p w:rsidR="00195201" w:rsidRPr="00195201" w:rsidRDefault="00195201" w:rsidP="00195201">
            <w:pPr>
              <w:numPr>
                <w:ilvl w:val="0"/>
                <w:numId w:val="24"/>
              </w:numPr>
              <w:cnfStyle w:val="000000000000" w:firstRow="0" w:lastRow="0" w:firstColumn="0" w:lastColumn="0" w:oddVBand="0" w:evenVBand="0" w:oddHBand="0" w:evenHBand="0" w:firstRowFirstColumn="0" w:firstRowLastColumn="0" w:lastRowFirstColumn="0" w:lastRowLastColumn="0"/>
            </w:pPr>
            <w:r w:rsidRPr="00195201">
              <w:t>Australian Energy Regulator</w:t>
            </w:r>
          </w:p>
        </w:tc>
      </w:tr>
      <w:tr w:rsidR="00195201" w:rsidTr="001952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95201" w:rsidRPr="00195201" w:rsidRDefault="00195201" w:rsidP="00195201">
            <w:pPr>
              <w:numPr>
                <w:ilvl w:val="0"/>
                <w:numId w:val="24"/>
              </w:numPr>
            </w:pPr>
            <w:r w:rsidRPr="00195201">
              <w:t>AGN</w:t>
            </w:r>
          </w:p>
        </w:tc>
        <w:tc>
          <w:tcPr>
            <w:tcW w:w="5041" w:type="dxa"/>
            <w:tcBorders>
              <w:top w:val="nil"/>
              <w:left w:val="nil"/>
              <w:bottom w:val="nil"/>
              <w:right w:val="nil"/>
            </w:tcBorders>
            <w:hideMark/>
          </w:tcPr>
          <w:p w:rsidR="00195201" w:rsidRPr="00195201" w:rsidRDefault="00195201" w:rsidP="00195201">
            <w:pPr>
              <w:cnfStyle w:val="000000010000" w:firstRow="0" w:lastRow="0" w:firstColumn="0" w:lastColumn="0" w:oddVBand="0" w:evenVBand="0" w:oddHBand="0" w:evenHBand="1" w:firstRowFirstColumn="0" w:firstRowLastColumn="0" w:lastRowFirstColumn="0" w:lastRowLastColumn="0"/>
            </w:pPr>
            <w:r w:rsidRPr="00195201">
              <w:t>Australian Gas Networks</w:t>
            </w:r>
          </w:p>
        </w:tc>
      </w:tr>
      <w:tr w:rsidR="00195201" w:rsidTr="00195201">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95201" w:rsidRPr="00195201" w:rsidRDefault="00195201" w:rsidP="00195201">
            <w:pPr>
              <w:numPr>
                <w:ilvl w:val="0"/>
                <w:numId w:val="24"/>
              </w:numPr>
            </w:pPr>
            <w:r w:rsidRPr="00195201">
              <w:t>ATO</w:t>
            </w:r>
          </w:p>
        </w:tc>
        <w:tc>
          <w:tcPr>
            <w:tcW w:w="5041" w:type="dxa"/>
            <w:tcBorders>
              <w:top w:val="nil"/>
              <w:left w:val="nil"/>
              <w:bottom w:val="nil"/>
              <w:right w:val="nil"/>
            </w:tcBorders>
            <w:hideMark/>
          </w:tcPr>
          <w:p w:rsidR="00195201" w:rsidRPr="00195201" w:rsidRDefault="00195201" w:rsidP="00195201">
            <w:pPr>
              <w:cnfStyle w:val="000000000000" w:firstRow="0" w:lastRow="0" w:firstColumn="0" w:lastColumn="0" w:oddVBand="0" w:evenVBand="0" w:oddHBand="0" w:evenHBand="0" w:firstRowFirstColumn="0" w:firstRowLastColumn="0" w:lastRowFirstColumn="0" w:lastRowLastColumn="0"/>
            </w:pPr>
            <w:r w:rsidRPr="00195201">
              <w:t>Australian Tax Office</w:t>
            </w:r>
          </w:p>
        </w:tc>
      </w:tr>
      <w:tr w:rsidR="00195201" w:rsidTr="001952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95201" w:rsidRPr="00195201" w:rsidRDefault="00195201" w:rsidP="00195201">
            <w:pPr>
              <w:numPr>
                <w:ilvl w:val="0"/>
                <w:numId w:val="24"/>
              </w:numPr>
            </w:pPr>
            <w:r w:rsidRPr="00195201">
              <w:t>capex</w:t>
            </w:r>
          </w:p>
        </w:tc>
        <w:tc>
          <w:tcPr>
            <w:tcW w:w="5041" w:type="dxa"/>
            <w:tcBorders>
              <w:top w:val="nil"/>
              <w:left w:val="nil"/>
              <w:bottom w:val="nil"/>
              <w:right w:val="nil"/>
            </w:tcBorders>
            <w:hideMark/>
          </w:tcPr>
          <w:p w:rsidR="00195201" w:rsidRPr="00195201" w:rsidRDefault="00195201" w:rsidP="00195201">
            <w:pPr>
              <w:numPr>
                <w:ilvl w:val="0"/>
                <w:numId w:val="24"/>
              </w:numPr>
              <w:cnfStyle w:val="000000010000" w:firstRow="0" w:lastRow="0" w:firstColumn="0" w:lastColumn="0" w:oddVBand="0" w:evenVBand="0" w:oddHBand="0" w:evenHBand="1" w:firstRowFirstColumn="0" w:firstRowLastColumn="0" w:lastRowFirstColumn="0" w:lastRowLastColumn="0"/>
            </w:pPr>
            <w:r w:rsidRPr="00195201">
              <w:t>capital expenditure</w:t>
            </w:r>
          </w:p>
        </w:tc>
      </w:tr>
      <w:tr w:rsidR="00195201" w:rsidTr="00195201">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95201" w:rsidRPr="00195201" w:rsidRDefault="00195201" w:rsidP="00195201">
            <w:pPr>
              <w:numPr>
                <w:ilvl w:val="0"/>
                <w:numId w:val="24"/>
              </w:numPr>
            </w:pPr>
            <w:r w:rsidRPr="00195201">
              <w:t>CAPM</w:t>
            </w:r>
          </w:p>
        </w:tc>
        <w:tc>
          <w:tcPr>
            <w:tcW w:w="5041" w:type="dxa"/>
            <w:tcBorders>
              <w:top w:val="nil"/>
              <w:left w:val="nil"/>
              <w:bottom w:val="nil"/>
              <w:right w:val="nil"/>
            </w:tcBorders>
            <w:hideMark/>
          </w:tcPr>
          <w:p w:rsidR="00195201" w:rsidRPr="00195201" w:rsidRDefault="00195201" w:rsidP="00195201">
            <w:pPr>
              <w:numPr>
                <w:ilvl w:val="0"/>
                <w:numId w:val="24"/>
              </w:numPr>
              <w:cnfStyle w:val="000000000000" w:firstRow="0" w:lastRow="0" w:firstColumn="0" w:lastColumn="0" w:oddVBand="0" w:evenVBand="0" w:oddHBand="0" w:evenHBand="0" w:firstRowFirstColumn="0" w:firstRowLastColumn="0" w:lastRowFirstColumn="0" w:lastRowLastColumn="0"/>
            </w:pPr>
            <w:r w:rsidRPr="00195201">
              <w:t>capital asset pricing model</w:t>
            </w:r>
          </w:p>
        </w:tc>
      </w:tr>
      <w:tr w:rsidR="00195201" w:rsidTr="001952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95201" w:rsidRPr="00195201" w:rsidRDefault="00195201" w:rsidP="00195201">
            <w:pPr>
              <w:numPr>
                <w:ilvl w:val="0"/>
                <w:numId w:val="24"/>
              </w:numPr>
            </w:pPr>
            <w:r w:rsidRPr="00195201">
              <w:t>CCP</w:t>
            </w:r>
          </w:p>
        </w:tc>
        <w:tc>
          <w:tcPr>
            <w:tcW w:w="5041" w:type="dxa"/>
            <w:tcBorders>
              <w:top w:val="nil"/>
              <w:left w:val="nil"/>
              <w:bottom w:val="nil"/>
              <w:right w:val="nil"/>
            </w:tcBorders>
            <w:hideMark/>
          </w:tcPr>
          <w:p w:rsidR="00195201" w:rsidRPr="00195201" w:rsidRDefault="00195201" w:rsidP="00195201">
            <w:pPr>
              <w:numPr>
                <w:ilvl w:val="0"/>
                <w:numId w:val="24"/>
              </w:numPr>
              <w:cnfStyle w:val="000000010000" w:firstRow="0" w:lastRow="0" w:firstColumn="0" w:lastColumn="0" w:oddVBand="0" w:evenVBand="0" w:oddHBand="0" w:evenHBand="1" w:firstRowFirstColumn="0" w:firstRowLastColumn="0" w:lastRowFirstColumn="0" w:lastRowLastColumn="0"/>
            </w:pPr>
            <w:r w:rsidRPr="00195201">
              <w:t>Consumer Challenge Panel</w:t>
            </w:r>
          </w:p>
        </w:tc>
      </w:tr>
      <w:tr w:rsidR="00195201" w:rsidTr="00195201">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95201" w:rsidRPr="00195201" w:rsidRDefault="00195201" w:rsidP="00195201">
            <w:pPr>
              <w:numPr>
                <w:ilvl w:val="0"/>
                <w:numId w:val="24"/>
              </w:numPr>
            </w:pPr>
            <w:r w:rsidRPr="00195201">
              <w:t>CESS</w:t>
            </w:r>
          </w:p>
        </w:tc>
        <w:tc>
          <w:tcPr>
            <w:tcW w:w="5041" w:type="dxa"/>
            <w:tcBorders>
              <w:top w:val="nil"/>
              <w:left w:val="nil"/>
              <w:bottom w:val="nil"/>
              <w:right w:val="nil"/>
            </w:tcBorders>
            <w:hideMark/>
          </w:tcPr>
          <w:p w:rsidR="00195201" w:rsidRPr="00195201" w:rsidRDefault="00195201" w:rsidP="00195201">
            <w:pPr>
              <w:numPr>
                <w:ilvl w:val="0"/>
                <w:numId w:val="24"/>
              </w:numPr>
              <w:cnfStyle w:val="000000000000" w:firstRow="0" w:lastRow="0" w:firstColumn="0" w:lastColumn="0" w:oddVBand="0" w:evenVBand="0" w:oddHBand="0" w:evenHBand="0" w:firstRowFirstColumn="0" w:firstRowLastColumn="0" w:lastRowFirstColumn="0" w:lastRowLastColumn="0"/>
            </w:pPr>
            <w:r w:rsidRPr="00195201">
              <w:t>Capital Expenditure Sharing Scheme</w:t>
            </w:r>
          </w:p>
        </w:tc>
      </w:tr>
      <w:tr w:rsidR="00195201" w:rsidTr="001952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95201" w:rsidRPr="00195201" w:rsidRDefault="00195201" w:rsidP="00195201">
            <w:pPr>
              <w:numPr>
                <w:ilvl w:val="0"/>
                <w:numId w:val="24"/>
              </w:numPr>
            </w:pPr>
            <w:r w:rsidRPr="00195201">
              <w:t>CPI</w:t>
            </w:r>
          </w:p>
        </w:tc>
        <w:tc>
          <w:tcPr>
            <w:tcW w:w="5041" w:type="dxa"/>
            <w:tcBorders>
              <w:top w:val="nil"/>
              <w:left w:val="nil"/>
              <w:bottom w:val="nil"/>
              <w:right w:val="nil"/>
            </w:tcBorders>
            <w:hideMark/>
          </w:tcPr>
          <w:p w:rsidR="00195201" w:rsidRPr="00195201" w:rsidRDefault="00195201" w:rsidP="00195201">
            <w:pPr>
              <w:numPr>
                <w:ilvl w:val="0"/>
                <w:numId w:val="24"/>
              </w:numPr>
              <w:cnfStyle w:val="000000010000" w:firstRow="0" w:lastRow="0" w:firstColumn="0" w:lastColumn="0" w:oddVBand="0" w:evenVBand="0" w:oddHBand="0" w:evenHBand="1" w:firstRowFirstColumn="0" w:firstRowLastColumn="0" w:lastRowFirstColumn="0" w:lastRowLastColumn="0"/>
            </w:pPr>
            <w:r w:rsidRPr="00195201">
              <w:t>consumer price index</w:t>
            </w:r>
          </w:p>
        </w:tc>
      </w:tr>
      <w:tr w:rsidR="00195201" w:rsidTr="00195201">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95201" w:rsidRPr="00195201" w:rsidRDefault="00195201" w:rsidP="00195201">
            <w:pPr>
              <w:numPr>
                <w:ilvl w:val="0"/>
                <w:numId w:val="24"/>
              </w:numPr>
            </w:pPr>
            <w:r w:rsidRPr="00195201">
              <w:t>CSIS</w:t>
            </w:r>
          </w:p>
        </w:tc>
        <w:tc>
          <w:tcPr>
            <w:tcW w:w="5041" w:type="dxa"/>
            <w:tcBorders>
              <w:top w:val="nil"/>
              <w:left w:val="nil"/>
              <w:bottom w:val="nil"/>
              <w:right w:val="nil"/>
            </w:tcBorders>
            <w:hideMark/>
          </w:tcPr>
          <w:p w:rsidR="00195201" w:rsidRPr="00195201" w:rsidRDefault="00195201" w:rsidP="00195201">
            <w:pPr>
              <w:cnfStyle w:val="000000000000" w:firstRow="0" w:lastRow="0" w:firstColumn="0" w:lastColumn="0" w:oddVBand="0" w:evenVBand="0" w:oddHBand="0" w:evenHBand="0" w:firstRowFirstColumn="0" w:firstRowLastColumn="0" w:lastRowFirstColumn="0" w:lastRowLastColumn="0"/>
            </w:pPr>
            <w:r w:rsidRPr="00195201">
              <w:t>Customer Service Incentive Scheme</w:t>
            </w:r>
          </w:p>
        </w:tc>
      </w:tr>
      <w:tr w:rsidR="00195201" w:rsidTr="001952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95201" w:rsidRPr="00195201" w:rsidRDefault="00195201" w:rsidP="00195201">
            <w:pPr>
              <w:numPr>
                <w:ilvl w:val="0"/>
                <w:numId w:val="24"/>
              </w:numPr>
            </w:pPr>
            <w:r w:rsidRPr="00195201">
              <w:t>DRP</w:t>
            </w:r>
          </w:p>
        </w:tc>
        <w:tc>
          <w:tcPr>
            <w:tcW w:w="5041" w:type="dxa"/>
            <w:tcBorders>
              <w:top w:val="nil"/>
              <w:left w:val="nil"/>
              <w:bottom w:val="nil"/>
              <w:right w:val="nil"/>
            </w:tcBorders>
            <w:hideMark/>
          </w:tcPr>
          <w:p w:rsidR="00195201" w:rsidRPr="00195201" w:rsidRDefault="00195201" w:rsidP="00195201">
            <w:pPr>
              <w:numPr>
                <w:ilvl w:val="0"/>
                <w:numId w:val="24"/>
              </w:numPr>
              <w:cnfStyle w:val="000000010000" w:firstRow="0" w:lastRow="0" w:firstColumn="0" w:lastColumn="0" w:oddVBand="0" w:evenVBand="0" w:oddHBand="0" w:evenHBand="1" w:firstRowFirstColumn="0" w:firstRowLastColumn="0" w:lastRowFirstColumn="0" w:lastRowLastColumn="0"/>
            </w:pPr>
            <w:r w:rsidRPr="00195201">
              <w:t>debt risk premium</w:t>
            </w:r>
          </w:p>
        </w:tc>
      </w:tr>
      <w:tr w:rsidR="00195201" w:rsidTr="00195201">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95201" w:rsidRPr="00195201" w:rsidRDefault="00195201" w:rsidP="00195201">
            <w:pPr>
              <w:numPr>
                <w:ilvl w:val="0"/>
                <w:numId w:val="24"/>
              </w:numPr>
            </w:pPr>
            <w:r w:rsidRPr="00195201">
              <w:t>EBSS</w:t>
            </w:r>
          </w:p>
        </w:tc>
        <w:tc>
          <w:tcPr>
            <w:tcW w:w="5041" w:type="dxa"/>
            <w:tcBorders>
              <w:top w:val="nil"/>
              <w:left w:val="nil"/>
              <w:bottom w:val="nil"/>
              <w:right w:val="nil"/>
            </w:tcBorders>
            <w:hideMark/>
          </w:tcPr>
          <w:p w:rsidR="00195201" w:rsidRPr="00195201" w:rsidRDefault="00195201" w:rsidP="00195201">
            <w:pPr>
              <w:cnfStyle w:val="000000000000" w:firstRow="0" w:lastRow="0" w:firstColumn="0" w:lastColumn="0" w:oddVBand="0" w:evenVBand="0" w:oddHBand="0" w:evenHBand="0" w:firstRowFirstColumn="0" w:firstRowLastColumn="0" w:lastRowFirstColumn="0" w:lastRowLastColumn="0"/>
            </w:pPr>
            <w:r w:rsidRPr="00195201">
              <w:t>Efficiency Benefit Sharing Scheme</w:t>
            </w:r>
          </w:p>
        </w:tc>
      </w:tr>
      <w:tr w:rsidR="00195201" w:rsidTr="001952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95201" w:rsidRPr="00195201" w:rsidRDefault="00195201" w:rsidP="00195201">
            <w:pPr>
              <w:numPr>
                <w:ilvl w:val="0"/>
                <w:numId w:val="24"/>
              </w:numPr>
            </w:pPr>
            <w:r w:rsidRPr="00195201">
              <w:t>ECM</w:t>
            </w:r>
          </w:p>
        </w:tc>
        <w:tc>
          <w:tcPr>
            <w:tcW w:w="5041" w:type="dxa"/>
            <w:tcBorders>
              <w:top w:val="nil"/>
              <w:left w:val="nil"/>
              <w:bottom w:val="nil"/>
              <w:right w:val="nil"/>
            </w:tcBorders>
            <w:hideMark/>
          </w:tcPr>
          <w:p w:rsidR="00195201" w:rsidRPr="00195201" w:rsidRDefault="00195201" w:rsidP="00195201">
            <w:pPr>
              <w:cnfStyle w:val="000000010000" w:firstRow="0" w:lastRow="0" w:firstColumn="0" w:lastColumn="0" w:oddVBand="0" w:evenVBand="0" w:oddHBand="0" w:evenHBand="1" w:firstRowFirstColumn="0" w:firstRowLastColumn="0" w:lastRowFirstColumn="0" w:lastRowLastColumn="0"/>
            </w:pPr>
            <w:r w:rsidRPr="00195201">
              <w:t>Efficiency Carryover Mechanism</w:t>
            </w:r>
          </w:p>
        </w:tc>
      </w:tr>
      <w:tr w:rsidR="00195201" w:rsidTr="00195201">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95201" w:rsidRPr="00195201" w:rsidRDefault="00195201" w:rsidP="00195201">
            <w:pPr>
              <w:numPr>
                <w:ilvl w:val="0"/>
                <w:numId w:val="24"/>
              </w:numPr>
            </w:pPr>
            <w:r w:rsidRPr="00195201">
              <w:t>ERP</w:t>
            </w:r>
          </w:p>
        </w:tc>
        <w:tc>
          <w:tcPr>
            <w:tcW w:w="5041" w:type="dxa"/>
            <w:tcBorders>
              <w:top w:val="nil"/>
              <w:left w:val="nil"/>
              <w:bottom w:val="nil"/>
              <w:right w:val="nil"/>
            </w:tcBorders>
            <w:hideMark/>
          </w:tcPr>
          <w:p w:rsidR="00195201" w:rsidRPr="00195201" w:rsidRDefault="00195201" w:rsidP="00195201">
            <w:pPr>
              <w:numPr>
                <w:ilvl w:val="0"/>
                <w:numId w:val="24"/>
              </w:numPr>
              <w:cnfStyle w:val="000000000000" w:firstRow="0" w:lastRow="0" w:firstColumn="0" w:lastColumn="0" w:oddVBand="0" w:evenVBand="0" w:oddHBand="0" w:evenHBand="0" w:firstRowFirstColumn="0" w:firstRowLastColumn="0" w:lastRowFirstColumn="0" w:lastRowLastColumn="0"/>
            </w:pPr>
            <w:r w:rsidRPr="00195201">
              <w:t>equity risk premium</w:t>
            </w:r>
          </w:p>
        </w:tc>
      </w:tr>
      <w:tr w:rsidR="00195201" w:rsidTr="001952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95201" w:rsidRPr="00195201" w:rsidRDefault="00195201" w:rsidP="00195201">
            <w:pPr>
              <w:numPr>
                <w:ilvl w:val="0"/>
                <w:numId w:val="24"/>
              </w:numPr>
            </w:pPr>
            <w:r w:rsidRPr="00195201">
              <w:t>Expenditure Guideline</w:t>
            </w:r>
          </w:p>
        </w:tc>
        <w:tc>
          <w:tcPr>
            <w:tcW w:w="5041" w:type="dxa"/>
            <w:tcBorders>
              <w:top w:val="nil"/>
              <w:left w:val="nil"/>
              <w:bottom w:val="nil"/>
              <w:right w:val="nil"/>
            </w:tcBorders>
            <w:hideMark/>
          </w:tcPr>
          <w:p w:rsidR="00195201" w:rsidRPr="00195201" w:rsidRDefault="00195201" w:rsidP="00195201">
            <w:pPr>
              <w:cnfStyle w:val="000000010000" w:firstRow="0" w:lastRow="0" w:firstColumn="0" w:lastColumn="0" w:oddVBand="0" w:evenVBand="0" w:oddHBand="0" w:evenHBand="1" w:firstRowFirstColumn="0" w:firstRowLastColumn="0" w:lastRowFirstColumn="0" w:lastRowLastColumn="0"/>
            </w:pPr>
            <w:r w:rsidRPr="00195201">
              <w:t>Expenditure Forecast Assessment Guideline</w:t>
            </w:r>
          </w:p>
        </w:tc>
      </w:tr>
      <w:tr w:rsidR="00195201" w:rsidTr="00195201">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95201" w:rsidRPr="00195201" w:rsidRDefault="00195201" w:rsidP="00195201">
            <w:pPr>
              <w:numPr>
                <w:ilvl w:val="0"/>
                <w:numId w:val="24"/>
              </w:numPr>
            </w:pPr>
            <w:r w:rsidRPr="00195201">
              <w:t>gamma</w:t>
            </w:r>
          </w:p>
        </w:tc>
        <w:tc>
          <w:tcPr>
            <w:tcW w:w="5041" w:type="dxa"/>
            <w:tcBorders>
              <w:top w:val="nil"/>
              <w:left w:val="nil"/>
              <w:bottom w:val="nil"/>
              <w:right w:val="nil"/>
            </w:tcBorders>
            <w:hideMark/>
          </w:tcPr>
          <w:p w:rsidR="00195201" w:rsidRPr="00195201" w:rsidRDefault="00195201" w:rsidP="00195201">
            <w:pPr>
              <w:cnfStyle w:val="000000000000" w:firstRow="0" w:lastRow="0" w:firstColumn="0" w:lastColumn="0" w:oddVBand="0" w:evenVBand="0" w:oddHBand="0" w:evenHBand="0" w:firstRowFirstColumn="0" w:firstRowLastColumn="0" w:lastRowFirstColumn="0" w:lastRowLastColumn="0"/>
            </w:pPr>
            <w:r w:rsidRPr="00195201">
              <w:t>value of imputation credits</w:t>
            </w:r>
          </w:p>
        </w:tc>
      </w:tr>
      <w:tr w:rsidR="00195201" w:rsidTr="001952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95201" w:rsidRPr="00195201" w:rsidRDefault="00195201" w:rsidP="00195201">
            <w:pPr>
              <w:numPr>
                <w:ilvl w:val="0"/>
                <w:numId w:val="24"/>
              </w:numPr>
            </w:pPr>
            <w:r w:rsidRPr="00195201">
              <w:t>GSL</w:t>
            </w:r>
          </w:p>
        </w:tc>
        <w:tc>
          <w:tcPr>
            <w:tcW w:w="5041" w:type="dxa"/>
            <w:tcBorders>
              <w:top w:val="nil"/>
              <w:left w:val="nil"/>
              <w:bottom w:val="nil"/>
              <w:right w:val="nil"/>
            </w:tcBorders>
            <w:hideMark/>
          </w:tcPr>
          <w:p w:rsidR="00195201" w:rsidRPr="00195201" w:rsidRDefault="00195201" w:rsidP="00195201">
            <w:pPr>
              <w:cnfStyle w:val="000000010000" w:firstRow="0" w:lastRow="0" w:firstColumn="0" w:lastColumn="0" w:oddVBand="0" w:evenVBand="0" w:oddHBand="0" w:evenHBand="1" w:firstRowFirstColumn="0" w:firstRowLastColumn="0" w:lastRowFirstColumn="0" w:lastRowLastColumn="0"/>
            </w:pPr>
            <w:r w:rsidRPr="00195201">
              <w:t>Guaranteed Service Level</w:t>
            </w:r>
          </w:p>
        </w:tc>
      </w:tr>
      <w:tr w:rsidR="00195201" w:rsidTr="00195201">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95201" w:rsidRPr="00195201" w:rsidRDefault="00195201" w:rsidP="00195201">
            <w:pPr>
              <w:numPr>
                <w:ilvl w:val="0"/>
                <w:numId w:val="24"/>
              </w:numPr>
            </w:pPr>
            <w:r w:rsidRPr="00195201">
              <w:t>MRP</w:t>
            </w:r>
          </w:p>
        </w:tc>
        <w:tc>
          <w:tcPr>
            <w:tcW w:w="5041" w:type="dxa"/>
            <w:tcBorders>
              <w:top w:val="nil"/>
              <w:left w:val="nil"/>
              <w:bottom w:val="nil"/>
              <w:right w:val="nil"/>
            </w:tcBorders>
            <w:hideMark/>
          </w:tcPr>
          <w:p w:rsidR="00195201" w:rsidRPr="00195201" w:rsidRDefault="00195201" w:rsidP="00195201">
            <w:pPr>
              <w:numPr>
                <w:ilvl w:val="0"/>
                <w:numId w:val="24"/>
              </w:numPr>
              <w:cnfStyle w:val="000000000000" w:firstRow="0" w:lastRow="0" w:firstColumn="0" w:lastColumn="0" w:oddVBand="0" w:evenVBand="0" w:oddHBand="0" w:evenHBand="0" w:firstRowFirstColumn="0" w:firstRowLastColumn="0" w:lastRowFirstColumn="0" w:lastRowLastColumn="0"/>
            </w:pPr>
            <w:r w:rsidRPr="00195201">
              <w:t>market risk premium</w:t>
            </w:r>
          </w:p>
        </w:tc>
      </w:tr>
      <w:tr w:rsidR="00195201" w:rsidTr="001952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95201" w:rsidRPr="00195201" w:rsidRDefault="00195201" w:rsidP="00195201">
            <w:pPr>
              <w:numPr>
                <w:ilvl w:val="0"/>
                <w:numId w:val="24"/>
              </w:numPr>
            </w:pPr>
            <w:r w:rsidRPr="00195201">
              <w:t>NECF</w:t>
            </w:r>
          </w:p>
        </w:tc>
        <w:tc>
          <w:tcPr>
            <w:tcW w:w="5041" w:type="dxa"/>
            <w:tcBorders>
              <w:top w:val="nil"/>
              <w:left w:val="nil"/>
              <w:bottom w:val="nil"/>
              <w:right w:val="nil"/>
            </w:tcBorders>
            <w:hideMark/>
          </w:tcPr>
          <w:p w:rsidR="00195201" w:rsidRPr="00195201" w:rsidRDefault="00195201" w:rsidP="00195201">
            <w:pPr>
              <w:cnfStyle w:val="000000010000" w:firstRow="0" w:lastRow="0" w:firstColumn="0" w:lastColumn="0" w:oddVBand="0" w:evenVBand="0" w:oddHBand="0" w:evenHBand="1" w:firstRowFirstColumn="0" w:firstRowLastColumn="0" w:lastRowFirstColumn="0" w:lastRowLastColumn="0"/>
            </w:pPr>
            <w:r w:rsidRPr="00195201">
              <w:t>National Energy Customer Framework</w:t>
            </w:r>
          </w:p>
        </w:tc>
      </w:tr>
      <w:tr w:rsidR="00195201" w:rsidTr="00195201">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95201" w:rsidRPr="00195201" w:rsidRDefault="00195201" w:rsidP="00195201">
            <w:pPr>
              <w:numPr>
                <w:ilvl w:val="0"/>
                <w:numId w:val="24"/>
              </w:numPr>
            </w:pPr>
            <w:r w:rsidRPr="00195201">
              <w:t>NERL</w:t>
            </w:r>
          </w:p>
        </w:tc>
        <w:tc>
          <w:tcPr>
            <w:tcW w:w="5041" w:type="dxa"/>
            <w:tcBorders>
              <w:top w:val="nil"/>
              <w:left w:val="nil"/>
              <w:bottom w:val="nil"/>
              <w:right w:val="nil"/>
            </w:tcBorders>
            <w:hideMark/>
          </w:tcPr>
          <w:p w:rsidR="00195201" w:rsidRPr="00195201" w:rsidRDefault="00195201" w:rsidP="00195201">
            <w:pPr>
              <w:cnfStyle w:val="000000000000" w:firstRow="0" w:lastRow="0" w:firstColumn="0" w:lastColumn="0" w:oddVBand="0" w:evenVBand="0" w:oddHBand="0" w:evenHBand="0" w:firstRowFirstColumn="0" w:firstRowLastColumn="0" w:lastRowFirstColumn="0" w:lastRowLastColumn="0"/>
            </w:pPr>
            <w:r w:rsidRPr="00195201">
              <w:t>National Energy Retail Law</w:t>
            </w:r>
          </w:p>
        </w:tc>
      </w:tr>
      <w:tr w:rsidR="00195201" w:rsidTr="001952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95201" w:rsidRPr="00195201" w:rsidRDefault="00195201" w:rsidP="00195201">
            <w:pPr>
              <w:numPr>
                <w:ilvl w:val="0"/>
                <w:numId w:val="24"/>
              </w:numPr>
            </w:pPr>
            <w:r w:rsidRPr="00195201">
              <w:t>NERR</w:t>
            </w:r>
          </w:p>
        </w:tc>
        <w:tc>
          <w:tcPr>
            <w:tcW w:w="5041" w:type="dxa"/>
            <w:tcBorders>
              <w:top w:val="nil"/>
              <w:left w:val="nil"/>
              <w:bottom w:val="nil"/>
              <w:right w:val="nil"/>
            </w:tcBorders>
            <w:hideMark/>
          </w:tcPr>
          <w:p w:rsidR="00195201" w:rsidRPr="00195201" w:rsidRDefault="00195201" w:rsidP="00195201">
            <w:pPr>
              <w:numPr>
                <w:ilvl w:val="0"/>
                <w:numId w:val="24"/>
              </w:numPr>
              <w:cnfStyle w:val="000000010000" w:firstRow="0" w:lastRow="0" w:firstColumn="0" w:lastColumn="0" w:oddVBand="0" w:evenVBand="0" w:oddHBand="0" w:evenHBand="1" w:firstRowFirstColumn="0" w:firstRowLastColumn="0" w:lastRowFirstColumn="0" w:lastRowLastColumn="0"/>
            </w:pPr>
            <w:r w:rsidRPr="00195201">
              <w:t>National Energy Retail Rules</w:t>
            </w:r>
          </w:p>
        </w:tc>
      </w:tr>
      <w:tr w:rsidR="00195201" w:rsidTr="00195201">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95201" w:rsidRPr="00195201" w:rsidRDefault="00195201" w:rsidP="00195201">
            <w:pPr>
              <w:numPr>
                <w:ilvl w:val="0"/>
                <w:numId w:val="24"/>
              </w:numPr>
            </w:pPr>
            <w:r w:rsidRPr="00195201">
              <w:t>NGL</w:t>
            </w:r>
          </w:p>
        </w:tc>
        <w:tc>
          <w:tcPr>
            <w:tcW w:w="5041" w:type="dxa"/>
            <w:tcBorders>
              <w:top w:val="nil"/>
              <w:left w:val="nil"/>
              <w:bottom w:val="nil"/>
              <w:right w:val="nil"/>
            </w:tcBorders>
            <w:hideMark/>
          </w:tcPr>
          <w:p w:rsidR="00195201" w:rsidRPr="00195201" w:rsidRDefault="00195201" w:rsidP="00195201">
            <w:pPr>
              <w:numPr>
                <w:ilvl w:val="0"/>
                <w:numId w:val="24"/>
              </w:numPr>
              <w:cnfStyle w:val="000000000000" w:firstRow="0" w:lastRow="0" w:firstColumn="0" w:lastColumn="0" w:oddVBand="0" w:evenVBand="0" w:oddHBand="0" w:evenHBand="0" w:firstRowFirstColumn="0" w:firstRowLastColumn="0" w:lastRowFirstColumn="0" w:lastRowLastColumn="0"/>
            </w:pPr>
            <w:r w:rsidRPr="00195201">
              <w:t>National Gas Law</w:t>
            </w:r>
          </w:p>
        </w:tc>
      </w:tr>
      <w:tr w:rsidR="00195201" w:rsidTr="001952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95201" w:rsidRPr="00195201" w:rsidRDefault="00195201" w:rsidP="00195201">
            <w:pPr>
              <w:numPr>
                <w:ilvl w:val="0"/>
                <w:numId w:val="24"/>
              </w:numPr>
            </w:pPr>
            <w:r w:rsidRPr="00195201">
              <w:t>NGO</w:t>
            </w:r>
          </w:p>
        </w:tc>
        <w:tc>
          <w:tcPr>
            <w:tcW w:w="5041" w:type="dxa"/>
            <w:tcBorders>
              <w:top w:val="nil"/>
              <w:left w:val="nil"/>
              <w:bottom w:val="nil"/>
              <w:right w:val="nil"/>
            </w:tcBorders>
            <w:hideMark/>
          </w:tcPr>
          <w:p w:rsidR="00195201" w:rsidRPr="00195201" w:rsidRDefault="00195201" w:rsidP="00195201">
            <w:pPr>
              <w:numPr>
                <w:ilvl w:val="0"/>
                <w:numId w:val="24"/>
              </w:numPr>
              <w:cnfStyle w:val="000000010000" w:firstRow="0" w:lastRow="0" w:firstColumn="0" w:lastColumn="0" w:oddVBand="0" w:evenVBand="0" w:oddHBand="0" w:evenHBand="1" w:firstRowFirstColumn="0" w:firstRowLastColumn="0" w:lastRowFirstColumn="0" w:lastRowLastColumn="0"/>
            </w:pPr>
            <w:r w:rsidRPr="00195201">
              <w:t>National Gas Objective</w:t>
            </w:r>
          </w:p>
        </w:tc>
      </w:tr>
      <w:tr w:rsidR="00195201" w:rsidTr="00195201">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95201" w:rsidRPr="00195201" w:rsidRDefault="00195201" w:rsidP="00195201">
            <w:pPr>
              <w:numPr>
                <w:ilvl w:val="0"/>
                <w:numId w:val="24"/>
              </w:numPr>
            </w:pPr>
            <w:r w:rsidRPr="00195201">
              <w:t>NGR</w:t>
            </w:r>
          </w:p>
        </w:tc>
        <w:tc>
          <w:tcPr>
            <w:tcW w:w="5041" w:type="dxa"/>
            <w:tcBorders>
              <w:top w:val="nil"/>
              <w:left w:val="nil"/>
              <w:bottom w:val="nil"/>
              <w:right w:val="nil"/>
            </w:tcBorders>
            <w:hideMark/>
          </w:tcPr>
          <w:p w:rsidR="00195201" w:rsidRPr="00195201" w:rsidRDefault="00195201" w:rsidP="00195201">
            <w:pPr>
              <w:numPr>
                <w:ilvl w:val="0"/>
                <w:numId w:val="24"/>
              </w:numPr>
              <w:cnfStyle w:val="000000000000" w:firstRow="0" w:lastRow="0" w:firstColumn="0" w:lastColumn="0" w:oddVBand="0" w:evenVBand="0" w:oddHBand="0" w:evenHBand="0" w:firstRowFirstColumn="0" w:firstRowLastColumn="0" w:lastRowFirstColumn="0" w:lastRowLastColumn="0"/>
            </w:pPr>
            <w:r w:rsidRPr="00195201">
              <w:t>National Gas Rules</w:t>
            </w:r>
          </w:p>
        </w:tc>
      </w:tr>
      <w:tr w:rsidR="00195201" w:rsidTr="001952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95201" w:rsidRPr="00195201" w:rsidRDefault="00195201" w:rsidP="00195201">
            <w:pPr>
              <w:numPr>
                <w:ilvl w:val="0"/>
                <w:numId w:val="24"/>
              </w:numPr>
            </w:pPr>
            <w:r w:rsidRPr="00195201">
              <w:t>NIS</w:t>
            </w:r>
          </w:p>
        </w:tc>
        <w:tc>
          <w:tcPr>
            <w:tcW w:w="5041" w:type="dxa"/>
            <w:tcBorders>
              <w:top w:val="nil"/>
              <w:left w:val="nil"/>
              <w:bottom w:val="nil"/>
              <w:right w:val="nil"/>
            </w:tcBorders>
            <w:hideMark/>
          </w:tcPr>
          <w:p w:rsidR="00195201" w:rsidRPr="00195201" w:rsidRDefault="00195201" w:rsidP="00195201">
            <w:pPr>
              <w:cnfStyle w:val="000000010000" w:firstRow="0" w:lastRow="0" w:firstColumn="0" w:lastColumn="0" w:oddVBand="0" w:evenVBand="0" w:oddHBand="0" w:evenHBand="1" w:firstRowFirstColumn="0" w:firstRowLastColumn="0" w:lastRowFirstColumn="0" w:lastRowLastColumn="0"/>
            </w:pPr>
            <w:r w:rsidRPr="00195201">
              <w:t>Network Incentive Scheme</w:t>
            </w:r>
          </w:p>
        </w:tc>
      </w:tr>
      <w:tr w:rsidR="00195201" w:rsidTr="00195201">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95201" w:rsidRPr="00195201" w:rsidRDefault="00195201" w:rsidP="00195201">
            <w:pPr>
              <w:numPr>
                <w:ilvl w:val="0"/>
                <w:numId w:val="24"/>
              </w:numPr>
            </w:pPr>
            <w:r w:rsidRPr="00195201">
              <w:t>NPV</w:t>
            </w:r>
          </w:p>
        </w:tc>
        <w:tc>
          <w:tcPr>
            <w:tcW w:w="5041" w:type="dxa"/>
            <w:tcBorders>
              <w:top w:val="nil"/>
              <w:left w:val="nil"/>
              <w:bottom w:val="nil"/>
              <w:right w:val="nil"/>
            </w:tcBorders>
            <w:hideMark/>
          </w:tcPr>
          <w:p w:rsidR="00195201" w:rsidRPr="00195201" w:rsidRDefault="00195201" w:rsidP="00195201">
            <w:pPr>
              <w:cnfStyle w:val="000000000000" w:firstRow="0" w:lastRow="0" w:firstColumn="0" w:lastColumn="0" w:oddVBand="0" w:evenVBand="0" w:oddHBand="0" w:evenHBand="0" w:firstRowFirstColumn="0" w:firstRowLastColumn="0" w:lastRowFirstColumn="0" w:lastRowLastColumn="0"/>
            </w:pPr>
            <w:r w:rsidRPr="00195201">
              <w:t>net present value</w:t>
            </w:r>
          </w:p>
        </w:tc>
      </w:tr>
      <w:tr w:rsidR="00195201" w:rsidTr="001952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95201" w:rsidRPr="00195201" w:rsidRDefault="00195201" w:rsidP="00195201">
            <w:pPr>
              <w:numPr>
                <w:ilvl w:val="0"/>
                <w:numId w:val="24"/>
              </w:numPr>
            </w:pPr>
            <w:r w:rsidRPr="00195201">
              <w:t>opex</w:t>
            </w:r>
          </w:p>
        </w:tc>
        <w:tc>
          <w:tcPr>
            <w:tcW w:w="5041" w:type="dxa"/>
            <w:tcBorders>
              <w:top w:val="nil"/>
              <w:left w:val="nil"/>
              <w:bottom w:val="nil"/>
              <w:right w:val="nil"/>
            </w:tcBorders>
            <w:hideMark/>
          </w:tcPr>
          <w:p w:rsidR="00195201" w:rsidRPr="00195201" w:rsidRDefault="00195201" w:rsidP="00195201">
            <w:pPr>
              <w:numPr>
                <w:ilvl w:val="0"/>
                <w:numId w:val="24"/>
              </w:numPr>
              <w:cnfStyle w:val="000000010000" w:firstRow="0" w:lastRow="0" w:firstColumn="0" w:lastColumn="0" w:oddVBand="0" w:evenVBand="0" w:oddHBand="0" w:evenHBand="1" w:firstRowFirstColumn="0" w:firstRowLastColumn="0" w:lastRowFirstColumn="0" w:lastRowLastColumn="0"/>
            </w:pPr>
            <w:r w:rsidRPr="00195201">
              <w:t>operating expenditure</w:t>
            </w:r>
          </w:p>
        </w:tc>
      </w:tr>
      <w:tr w:rsidR="00195201" w:rsidTr="00195201">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95201" w:rsidRPr="00195201" w:rsidRDefault="00195201" w:rsidP="00195201">
            <w:pPr>
              <w:numPr>
                <w:ilvl w:val="0"/>
                <w:numId w:val="24"/>
              </w:numPr>
            </w:pPr>
            <w:r w:rsidRPr="00195201">
              <w:t>PFP</w:t>
            </w:r>
          </w:p>
        </w:tc>
        <w:tc>
          <w:tcPr>
            <w:tcW w:w="5041" w:type="dxa"/>
            <w:tcBorders>
              <w:top w:val="nil"/>
              <w:left w:val="nil"/>
              <w:bottom w:val="nil"/>
              <w:right w:val="nil"/>
            </w:tcBorders>
            <w:hideMark/>
          </w:tcPr>
          <w:p w:rsidR="00195201" w:rsidRPr="00195201" w:rsidRDefault="00195201" w:rsidP="00195201">
            <w:pPr>
              <w:cnfStyle w:val="000000000000" w:firstRow="0" w:lastRow="0" w:firstColumn="0" w:lastColumn="0" w:oddVBand="0" w:evenVBand="0" w:oddHBand="0" w:evenHBand="0" w:firstRowFirstColumn="0" w:firstRowLastColumn="0" w:lastRowFirstColumn="0" w:lastRowLastColumn="0"/>
            </w:pPr>
            <w:r w:rsidRPr="00195201">
              <w:t>partial factor productivity</w:t>
            </w:r>
          </w:p>
        </w:tc>
      </w:tr>
      <w:tr w:rsidR="00195201" w:rsidTr="001952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95201" w:rsidRPr="00195201" w:rsidRDefault="00195201" w:rsidP="00195201">
            <w:pPr>
              <w:numPr>
                <w:ilvl w:val="0"/>
                <w:numId w:val="24"/>
              </w:numPr>
            </w:pPr>
            <w:r w:rsidRPr="00195201">
              <w:t>PPI</w:t>
            </w:r>
          </w:p>
        </w:tc>
        <w:tc>
          <w:tcPr>
            <w:tcW w:w="5041" w:type="dxa"/>
            <w:tcBorders>
              <w:top w:val="nil"/>
              <w:left w:val="nil"/>
              <w:bottom w:val="nil"/>
              <w:right w:val="nil"/>
            </w:tcBorders>
            <w:hideMark/>
          </w:tcPr>
          <w:p w:rsidR="00195201" w:rsidRPr="00195201" w:rsidRDefault="00195201" w:rsidP="00195201">
            <w:pPr>
              <w:numPr>
                <w:ilvl w:val="0"/>
                <w:numId w:val="24"/>
              </w:numPr>
              <w:cnfStyle w:val="000000010000" w:firstRow="0" w:lastRow="0" w:firstColumn="0" w:lastColumn="0" w:oddVBand="0" w:evenVBand="0" w:oddHBand="0" w:evenHBand="1" w:firstRowFirstColumn="0" w:firstRowLastColumn="0" w:lastRowFirstColumn="0" w:lastRowLastColumn="0"/>
            </w:pPr>
            <w:r w:rsidRPr="00195201">
              <w:t>partial performance indicators</w:t>
            </w:r>
          </w:p>
        </w:tc>
      </w:tr>
      <w:tr w:rsidR="00195201" w:rsidTr="00195201">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95201" w:rsidRPr="00195201" w:rsidRDefault="00195201" w:rsidP="00195201">
            <w:pPr>
              <w:numPr>
                <w:ilvl w:val="0"/>
                <w:numId w:val="24"/>
              </w:numPr>
            </w:pPr>
            <w:r w:rsidRPr="00195201">
              <w:t>PTRM</w:t>
            </w:r>
          </w:p>
        </w:tc>
        <w:tc>
          <w:tcPr>
            <w:tcW w:w="5041" w:type="dxa"/>
            <w:tcBorders>
              <w:top w:val="nil"/>
              <w:left w:val="nil"/>
              <w:bottom w:val="nil"/>
              <w:right w:val="nil"/>
            </w:tcBorders>
            <w:hideMark/>
          </w:tcPr>
          <w:p w:rsidR="00195201" w:rsidRPr="00195201" w:rsidRDefault="00195201" w:rsidP="00195201">
            <w:pPr>
              <w:numPr>
                <w:ilvl w:val="0"/>
                <w:numId w:val="24"/>
              </w:numPr>
              <w:cnfStyle w:val="000000000000" w:firstRow="0" w:lastRow="0" w:firstColumn="0" w:lastColumn="0" w:oddVBand="0" w:evenVBand="0" w:oddHBand="0" w:evenHBand="0" w:firstRowFirstColumn="0" w:firstRowLastColumn="0" w:lastRowFirstColumn="0" w:lastRowLastColumn="0"/>
            </w:pPr>
            <w:r w:rsidRPr="00195201">
              <w:t>post-tax revenue model</w:t>
            </w:r>
          </w:p>
        </w:tc>
      </w:tr>
      <w:tr w:rsidR="00195201" w:rsidTr="001952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95201" w:rsidRPr="00195201" w:rsidRDefault="00195201" w:rsidP="00195201">
            <w:pPr>
              <w:numPr>
                <w:ilvl w:val="0"/>
                <w:numId w:val="24"/>
              </w:numPr>
            </w:pPr>
            <w:r w:rsidRPr="00195201">
              <w:t>RBA</w:t>
            </w:r>
          </w:p>
        </w:tc>
        <w:tc>
          <w:tcPr>
            <w:tcW w:w="5041" w:type="dxa"/>
            <w:tcBorders>
              <w:top w:val="nil"/>
              <w:left w:val="nil"/>
              <w:bottom w:val="nil"/>
              <w:right w:val="nil"/>
            </w:tcBorders>
            <w:hideMark/>
          </w:tcPr>
          <w:p w:rsidR="00195201" w:rsidRPr="00195201" w:rsidRDefault="00195201" w:rsidP="00195201">
            <w:pPr>
              <w:numPr>
                <w:ilvl w:val="0"/>
                <w:numId w:val="24"/>
              </w:numPr>
              <w:cnfStyle w:val="000000010000" w:firstRow="0" w:lastRow="0" w:firstColumn="0" w:lastColumn="0" w:oddVBand="0" w:evenVBand="0" w:oddHBand="0" w:evenHBand="1" w:firstRowFirstColumn="0" w:firstRowLastColumn="0" w:lastRowFirstColumn="0" w:lastRowLastColumn="0"/>
            </w:pPr>
            <w:r w:rsidRPr="00195201">
              <w:t>Reserve Bank of Australia</w:t>
            </w:r>
          </w:p>
        </w:tc>
      </w:tr>
      <w:tr w:rsidR="00195201" w:rsidTr="00195201">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95201" w:rsidRPr="00195201" w:rsidRDefault="00195201" w:rsidP="00195201">
            <w:pPr>
              <w:numPr>
                <w:ilvl w:val="0"/>
                <w:numId w:val="24"/>
              </w:numPr>
            </w:pPr>
            <w:r w:rsidRPr="00195201">
              <w:t>RFM</w:t>
            </w:r>
          </w:p>
        </w:tc>
        <w:tc>
          <w:tcPr>
            <w:tcW w:w="5041" w:type="dxa"/>
            <w:tcBorders>
              <w:top w:val="nil"/>
              <w:left w:val="nil"/>
              <w:bottom w:val="nil"/>
              <w:right w:val="nil"/>
            </w:tcBorders>
            <w:hideMark/>
          </w:tcPr>
          <w:p w:rsidR="00195201" w:rsidRPr="00195201" w:rsidRDefault="00195201" w:rsidP="00195201">
            <w:pPr>
              <w:numPr>
                <w:ilvl w:val="0"/>
                <w:numId w:val="24"/>
              </w:numPr>
              <w:cnfStyle w:val="000000000000" w:firstRow="0" w:lastRow="0" w:firstColumn="0" w:lastColumn="0" w:oddVBand="0" w:evenVBand="0" w:oddHBand="0" w:evenHBand="0" w:firstRowFirstColumn="0" w:firstRowLastColumn="0" w:lastRowFirstColumn="0" w:lastRowLastColumn="0"/>
            </w:pPr>
            <w:r w:rsidRPr="00195201">
              <w:t>roll forward model</w:t>
            </w:r>
          </w:p>
        </w:tc>
      </w:tr>
      <w:tr w:rsidR="00195201" w:rsidTr="001952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95201" w:rsidRPr="00195201" w:rsidRDefault="00195201" w:rsidP="00195201">
            <w:pPr>
              <w:numPr>
                <w:ilvl w:val="0"/>
                <w:numId w:val="24"/>
              </w:numPr>
            </w:pPr>
            <w:r w:rsidRPr="00195201">
              <w:t>RIN</w:t>
            </w:r>
          </w:p>
        </w:tc>
        <w:tc>
          <w:tcPr>
            <w:tcW w:w="5041" w:type="dxa"/>
            <w:tcBorders>
              <w:top w:val="nil"/>
              <w:left w:val="nil"/>
              <w:bottom w:val="nil"/>
              <w:right w:val="nil"/>
            </w:tcBorders>
            <w:hideMark/>
          </w:tcPr>
          <w:p w:rsidR="00195201" w:rsidRPr="00195201" w:rsidRDefault="00195201" w:rsidP="00195201">
            <w:pPr>
              <w:numPr>
                <w:ilvl w:val="0"/>
                <w:numId w:val="24"/>
              </w:numPr>
              <w:cnfStyle w:val="000000010000" w:firstRow="0" w:lastRow="0" w:firstColumn="0" w:lastColumn="0" w:oddVBand="0" w:evenVBand="0" w:oddHBand="0" w:evenHBand="1" w:firstRowFirstColumn="0" w:firstRowLastColumn="0" w:lastRowFirstColumn="0" w:lastRowLastColumn="0"/>
            </w:pPr>
            <w:r w:rsidRPr="00195201">
              <w:t>regulatory information notice</w:t>
            </w:r>
          </w:p>
        </w:tc>
      </w:tr>
      <w:tr w:rsidR="00195201" w:rsidTr="00195201">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95201" w:rsidRPr="00195201" w:rsidRDefault="00195201" w:rsidP="00195201">
            <w:pPr>
              <w:numPr>
                <w:ilvl w:val="0"/>
                <w:numId w:val="24"/>
              </w:numPr>
            </w:pPr>
            <w:proofErr w:type="spellStart"/>
            <w:r w:rsidRPr="00195201">
              <w:t>RoLR</w:t>
            </w:r>
            <w:proofErr w:type="spellEnd"/>
          </w:p>
        </w:tc>
        <w:tc>
          <w:tcPr>
            <w:tcW w:w="5041" w:type="dxa"/>
            <w:tcBorders>
              <w:top w:val="nil"/>
              <w:left w:val="nil"/>
              <w:bottom w:val="nil"/>
              <w:right w:val="nil"/>
            </w:tcBorders>
            <w:hideMark/>
          </w:tcPr>
          <w:p w:rsidR="00195201" w:rsidRPr="00195201" w:rsidRDefault="00195201" w:rsidP="00195201">
            <w:pPr>
              <w:cnfStyle w:val="000000000000" w:firstRow="0" w:lastRow="0" w:firstColumn="0" w:lastColumn="0" w:oddVBand="0" w:evenVBand="0" w:oddHBand="0" w:evenHBand="0" w:firstRowFirstColumn="0" w:firstRowLastColumn="0" w:lastRowFirstColumn="0" w:lastRowLastColumn="0"/>
            </w:pPr>
            <w:r w:rsidRPr="00195201">
              <w:t>retailer of last resort</w:t>
            </w:r>
          </w:p>
        </w:tc>
      </w:tr>
      <w:tr w:rsidR="00195201" w:rsidTr="001952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95201" w:rsidRPr="00195201" w:rsidRDefault="00195201" w:rsidP="00195201">
            <w:pPr>
              <w:numPr>
                <w:ilvl w:val="0"/>
                <w:numId w:val="24"/>
              </w:numPr>
            </w:pPr>
            <w:r w:rsidRPr="00195201">
              <w:t>RPP</w:t>
            </w:r>
          </w:p>
        </w:tc>
        <w:tc>
          <w:tcPr>
            <w:tcW w:w="5041" w:type="dxa"/>
            <w:tcBorders>
              <w:top w:val="nil"/>
              <w:left w:val="nil"/>
              <w:bottom w:val="nil"/>
              <w:right w:val="nil"/>
            </w:tcBorders>
            <w:hideMark/>
          </w:tcPr>
          <w:p w:rsidR="00195201" w:rsidRPr="00195201" w:rsidRDefault="00195201" w:rsidP="00195201">
            <w:pPr>
              <w:numPr>
                <w:ilvl w:val="0"/>
                <w:numId w:val="24"/>
              </w:numPr>
              <w:cnfStyle w:val="000000010000" w:firstRow="0" w:lastRow="0" w:firstColumn="0" w:lastColumn="0" w:oddVBand="0" w:evenVBand="0" w:oddHBand="0" w:evenHBand="1" w:firstRowFirstColumn="0" w:firstRowLastColumn="0" w:lastRowFirstColumn="0" w:lastRowLastColumn="0"/>
            </w:pPr>
            <w:r w:rsidRPr="00195201">
              <w:t>revenue and pricing principles</w:t>
            </w:r>
          </w:p>
        </w:tc>
      </w:tr>
      <w:tr w:rsidR="00195201" w:rsidTr="00195201">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95201" w:rsidRPr="00195201" w:rsidRDefault="00195201" w:rsidP="00195201">
            <w:pPr>
              <w:numPr>
                <w:ilvl w:val="0"/>
                <w:numId w:val="24"/>
              </w:numPr>
            </w:pPr>
            <w:r w:rsidRPr="00195201">
              <w:t>SLCAPM</w:t>
            </w:r>
          </w:p>
        </w:tc>
        <w:tc>
          <w:tcPr>
            <w:tcW w:w="5041" w:type="dxa"/>
            <w:tcBorders>
              <w:top w:val="nil"/>
              <w:left w:val="nil"/>
              <w:bottom w:val="nil"/>
              <w:right w:val="nil"/>
            </w:tcBorders>
            <w:hideMark/>
          </w:tcPr>
          <w:p w:rsidR="00195201" w:rsidRPr="00195201" w:rsidRDefault="00195201" w:rsidP="00195201">
            <w:pPr>
              <w:numPr>
                <w:ilvl w:val="0"/>
                <w:numId w:val="24"/>
              </w:numPr>
              <w:cnfStyle w:val="000000000000" w:firstRow="0" w:lastRow="0" w:firstColumn="0" w:lastColumn="0" w:oddVBand="0" w:evenVBand="0" w:oddHBand="0" w:evenHBand="0" w:firstRowFirstColumn="0" w:firstRowLastColumn="0" w:lastRowFirstColumn="0" w:lastRowLastColumn="0"/>
            </w:pPr>
            <w:r w:rsidRPr="00195201">
              <w:t>Sharpe-</w:t>
            </w:r>
            <w:proofErr w:type="spellStart"/>
            <w:r w:rsidRPr="00195201">
              <w:t>Lintner</w:t>
            </w:r>
            <w:proofErr w:type="spellEnd"/>
            <w:r w:rsidRPr="00195201">
              <w:t xml:space="preserve"> capital asset pricing model</w:t>
            </w:r>
          </w:p>
        </w:tc>
      </w:tr>
      <w:tr w:rsidR="00195201" w:rsidTr="001952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95201" w:rsidRPr="00195201" w:rsidRDefault="00195201" w:rsidP="00195201">
            <w:pPr>
              <w:numPr>
                <w:ilvl w:val="0"/>
                <w:numId w:val="24"/>
              </w:numPr>
            </w:pPr>
            <w:r w:rsidRPr="00195201">
              <w:t>STPIS</w:t>
            </w:r>
          </w:p>
        </w:tc>
        <w:tc>
          <w:tcPr>
            <w:tcW w:w="5041" w:type="dxa"/>
            <w:tcBorders>
              <w:top w:val="nil"/>
              <w:left w:val="nil"/>
              <w:bottom w:val="nil"/>
              <w:right w:val="nil"/>
            </w:tcBorders>
            <w:hideMark/>
          </w:tcPr>
          <w:p w:rsidR="00195201" w:rsidRPr="00195201" w:rsidRDefault="00195201" w:rsidP="00195201">
            <w:pPr>
              <w:cnfStyle w:val="000000010000" w:firstRow="0" w:lastRow="0" w:firstColumn="0" w:lastColumn="0" w:oddVBand="0" w:evenVBand="0" w:oddHBand="0" w:evenHBand="1" w:firstRowFirstColumn="0" w:firstRowLastColumn="0" w:lastRowFirstColumn="0" w:lastRowLastColumn="0"/>
            </w:pPr>
            <w:r w:rsidRPr="00195201">
              <w:t>Service Target Performance Incentive Scheme</w:t>
            </w:r>
          </w:p>
        </w:tc>
      </w:tr>
      <w:tr w:rsidR="00195201" w:rsidTr="00195201">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95201" w:rsidRPr="00195201" w:rsidRDefault="00195201" w:rsidP="00195201">
            <w:pPr>
              <w:numPr>
                <w:ilvl w:val="0"/>
                <w:numId w:val="24"/>
              </w:numPr>
            </w:pPr>
            <w:r w:rsidRPr="00195201">
              <w:t>TAB</w:t>
            </w:r>
          </w:p>
        </w:tc>
        <w:tc>
          <w:tcPr>
            <w:tcW w:w="5041" w:type="dxa"/>
            <w:tcBorders>
              <w:top w:val="nil"/>
              <w:left w:val="nil"/>
              <w:bottom w:val="nil"/>
              <w:right w:val="nil"/>
            </w:tcBorders>
            <w:hideMark/>
          </w:tcPr>
          <w:p w:rsidR="00195201" w:rsidRPr="00195201" w:rsidRDefault="00195201" w:rsidP="00195201">
            <w:pPr>
              <w:cnfStyle w:val="000000000000" w:firstRow="0" w:lastRow="0" w:firstColumn="0" w:lastColumn="0" w:oddVBand="0" w:evenVBand="0" w:oddHBand="0" w:evenHBand="0" w:firstRowFirstColumn="0" w:firstRowLastColumn="0" w:lastRowFirstColumn="0" w:lastRowLastColumn="0"/>
            </w:pPr>
            <w:r w:rsidRPr="00195201">
              <w:t>tax asset base</w:t>
            </w:r>
          </w:p>
        </w:tc>
      </w:tr>
      <w:tr w:rsidR="00195201" w:rsidTr="001952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95201" w:rsidRPr="00195201" w:rsidRDefault="00195201" w:rsidP="00195201">
            <w:pPr>
              <w:numPr>
                <w:ilvl w:val="0"/>
                <w:numId w:val="24"/>
              </w:numPr>
            </w:pPr>
            <w:r w:rsidRPr="00195201">
              <w:t>UAFG</w:t>
            </w:r>
          </w:p>
        </w:tc>
        <w:tc>
          <w:tcPr>
            <w:tcW w:w="5041" w:type="dxa"/>
            <w:tcBorders>
              <w:top w:val="nil"/>
              <w:left w:val="nil"/>
              <w:bottom w:val="nil"/>
              <w:right w:val="nil"/>
            </w:tcBorders>
            <w:hideMark/>
          </w:tcPr>
          <w:p w:rsidR="00195201" w:rsidRPr="00195201" w:rsidRDefault="00195201" w:rsidP="00195201">
            <w:pPr>
              <w:cnfStyle w:val="000000010000" w:firstRow="0" w:lastRow="0" w:firstColumn="0" w:lastColumn="0" w:oddVBand="0" w:evenVBand="0" w:oddHBand="0" w:evenHBand="1" w:firstRowFirstColumn="0" w:firstRowLastColumn="0" w:lastRowFirstColumn="0" w:lastRowLastColumn="0"/>
            </w:pPr>
            <w:r w:rsidRPr="00195201">
              <w:t>unaccounted for gas</w:t>
            </w:r>
          </w:p>
        </w:tc>
      </w:tr>
      <w:tr w:rsidR="00195201" w:rsidTr="00195201">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195201" w:rsidRPr="00195201" w:rsidRDefault="00195201" w:rsidP="00195201">
            <w:pPr>
              <w:numPr>
                <w:ilvl w:val="0"/>
                <w:numId w:val="24"/>
              </w:numPr>
            </w:pPr>
            <w:r w:rsidRPr="00195201">
              <w:t>WACC</w:t>
            </w:r>
          </w:p>
        </w:tc>
        <w:tc>
          <w:tcPr>
            <w:tcW w:w="5041" w:type="dxa"/>
            <w:tcBorders>
              <w:top w:val="nil"/>
              <w:left w:val="nil"/>
              <w:bottom w:val="nil"/>
              <w:right w:val="nil"/>
            </w:tcBorders>
            <w:hideMark/>
          </w:tcPr>
          <w:p w:rsidR="00195201" w:rsidRPr="00195201" w:rsidRDefault="00195201" w:rsidP="00195201">
            <w:pPr>
              <w:numPr>
                <w:ilvl w:val="0"/>
                <w:numId w:val="24"/>
              </w:numPr>
              <w:cnfStyle w:val="000000000000" w:firstRow="0" w:lastRow="0" w:firstColumn="0" w:lastColumn="0" w:oddVBand="0" w:evenVBand="0" w:oddHBand="0" w:evenHBand="0" w:firstRowFirstColumn="0" w:firstRowLastColumn="0" w:lastRowFirstColumn="0" w:lastRowLastColumn="0"/>
            </w:pPr>
            <w:r w:rsidRPr="00195201">
              <w:t>weighted average cost of capital</w:t>
            </w:r>
          </w:p>
        </w:tc>
      </w:tr>
      <w:tr w:rsidR="00195201" w:rsidTr="001952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single" w:sz="4" w:space="0" w:color="365F91"/>
              <w:right w:val="nil"/>
            </w:tcBorders>
            <w:hideMark/>
          </w:tcPr>
          <w:p w:rsidR="00195201" w:rsidRPr="00195201" w:rsidRDefault="00195201" w:rsidP="00195201">
            <w:pPr>
              <w:numPr>
                <w:ilvl w:val="0"/>
                <w:numId w:val="24"/>
              </w:numPr>
            </w:pPr>
            <w:r w:rsidRPr="00195201">
              <w:t>WPI</w:t>
            </w:r>
          </w:p>
        </w:tc>
        <w:tc>
          <w:tcPr>
            <w:tcW w:w="5041" w:type="dxa"/>
            <w:tcBorders>
              <w:top w:val="nil"/>
              <w:left w:val="nil"/>
              <w:bottom w:val="single" w:sz="4" w:space="0" w:color="365F91"/>
              <w:right w:val="nil"/>
            </w:tcBorders>
            <w:hideMark/>
          </w:tcPr>
          <w:p w:rsidR="00195201" w:rsidRPr="00195201" w:rsidRDefault="00195201" w:rsidP="00195201">
            <w:pPr>
              <w:cnfStyle w:val="000000010000" w:firstRow="0" w:lastRow="0" w:firstColumn="0" w:lastColumn="0" w:oddVBand="0" w:evenVBand="0" w:oddHBand="0" w:evenHBand="1" w:firstRowFirstColumn="0" w:firstRowLastColumn="0" w:lastRowFirstColumn="0" w:lastRowLastColumn="0"/>
            </w:pPr>
            <w:r w:rsidRPr="00195201">
              <w:t>Wage Price Index</w:t>
            </w:r>
          </w:p>
        </w:tc>
      </w:tr>
    </w:tbl>
    <w:p w:rsidR="00DC54A0" w:rsidRPr="00DC54A0" w:rsidRDefault="00DC54A0" w:rsidP="00DC54A0"/>
    <w:p w:rsidR="00DE563D" w:rsidRDefault="002146AD" w:rsidP="002146AD">
      <w:pPr>
        <w:pStyle w:val="Heading1"/>
      </w:pPr>
      <w:bookmarkStart w:id="10" w:name="_Toc451523227"/>
      <w:r>
        <w:t>Services covered by the access arrangement</w:t>
      </w:r>
      <w:bookmarkEnd w:id="10"/>
    </w:p>
    <w:p w:rsidR="00546678" w:rsidRDefault="00546678" w:rsidP="00546678">
      <w:r>
        <w:t xml:space="preserve">The NGR requires </w:t>
      </w:r>
      <w:r w:rsidR="00DC54A0">
        <w:t xml:space="preserve">an </w:t>
      </w:r>
      <w:r>
        <w:t>access arrangement to identify:</w:t>
      </w:r>
    </w:p>
    <w:p w:rsidR="00546678" w:rsidRPr="00546678" w:rsidRDefault="00546678" w:rsidP="00546678">
      <w:pPr>
        <w:pStyle w:val="AERbulletlistfirststyle"/>
      </w:pPr>
      <w:r>
        <w:t xml:space="preserve">the pipeline which the access arrangement relates </w:t>
      </w:r>
      <w:r w:rsidRPr="00546678">
        <w:t>to, and</w:t>
      </w:r>
    </w:p>
    <w:p w:rsidR="00546678" w:rsidRPr="00546678" w:rsidRDefault="00546678" w:rsidP="00546678">
      <w:pPr>
        <w:pStyle w:val="AERbulletlistfirststyle"/>
      </w:pPr>
      <w:proofErr w:type="gramStart"/>
      <w:r>
        <w:t>the</w:t>
      </w:r>
      <w:proofErr w:type="gramEnd"/>
      <w:r>
        <w:t xml:space="preserve"> services which Australian Gas Networks (AGN) proposes to offer</w:t>
      </w:r>
      <w:r w:rsidRPr="00546678">
        <w:t xml:space="preserve"> customers by means of that pipeline.</w:t>
      </w:r>
      <w:r w:rsidRPr="00546678">
        <w:rPr>
          <w:rStyle w:val="FootnoteReference"/>
        </w:rPr>
        <w:footnoteReference w:id="1"/>
      </w:r>
      <w:r w:rsidRPr="00546678">
        <w:t xml:space="preserve"> </w:t>
      </w:r>
    </w:p>
    <w:p w:rsidR="00A2303E" w:rsidRDefault="00A2303E" w:rsidP="00A2303E">
      <w:pPr>
        <w:pStyle w:val="Heading2"/>
      </w:pPr>
      <w:bookmarkStart w:id="11" w:name="_Toc408404320"/>
      <w:bookmarkStart w:id="12" w:name="_Toc419366913"/>
      <w:bookmarkStart w:id="13" w:name="_Toc451523228"/>
      <w:r>
        <w:t>Final</w:t>
      </w:r>
      <w:r w:rsidRPr="0074565D">
        <w:t xml:space="preserve"> decision</w:t>
      </w:r>
      <w:bookmarkEnd w:id="11"/>
      <w:bookmarkEnd w:id="12"/>
      <w:bookmarkEnd w:id="13"/>
    </w:p>
    <w:p w:rsidR="00E944A5" w:rsidRPr="00E944A5" w:rsidRDefault="00BE20E6" w:rsidP="00E944A5">
      <w:r>
        <w:t>For the reasons set out in</w:t>
      </w:r>
      <w:r w:rsidR="00A26817">
        <w:t xml:space="preserve"> our draft decision, our final decision accepts AGN's proposed services </w:t>
      </w:r>
      <w:r>
        <w:t>because they are</w:t>
      </w:r>
      <w:r w:rsidR="00A26817">
        <w:t xml:space="preserve"> compliant with the NGR.</w:t>
      </w:r>
      <w:r w:rsidR="00A26817">
        <w:rPr>
          <w:rStyle w:val="FootnoteReference"/>
        </w:rPr>
        <w:footnoteReference w:id="2"/>
      </w:r>
      <w:r w:rsidR="00653D8E">
        <w:t xml:space="preserve"> </w:t>
      </w:r>
      <w:r w:rsidR="00AF4A11">
        <w:t>Therefore t</w:t>
      </w:r>
      <w:r w:rsidR="00653D8E" w:rsidRPr="00653D8E">
        <w:t>here ar</w:t>
      </w:r>
      <w:r w:rsidR="00653D8E">
        <w:t>e no revisions required to AGN</w:t>
      </w:r>
      <w:r w:rsidR="00653D8E" w:rsidRPr="00653D8E">
        <w:t>'s proposed services</w:t>
      </w:r>
      <w:r w:rsidR="00007A8A">
        <w:t xml:space="preserve"> to be</w:t>
      </w:r>
      <w:r w:rsidR="00653D8E" w:rsidRPr="00653D8E">
        <w:t xml:space="preserve"> covered by the access arrangement.</w:t>
      </w:r>
    </w:p>
    <w:p w:rsidR="00A2303E" w:rsidRDefault="00E07A9D" w:rsidP="00A2303E">
      <w:pPr>
        <w:pStyle w:val="Heading2"/>
      </w:pPr>
      <w:bookmarkStart w:id="14" w:name="_Toc419366914"/>
      <w:bookmarkStart w:id="15" w:name="_Toc451523229"/>
      <w:r>
        <w:t>AGN's</w:t>
      </w:r>
      <w:r w:rsidR="00A2303E">
        <w:t xml:space="preserve"> </w:t>
      </w:r>
      <w:r w:rsidR="00886190">
        <w:t xml:space="preserve">revised </w:t>
      </w:r>
      <w:r w:rsidR="00A2303E">
        <w:t>proposal</w:t>
      </w:r>
      <w:bookmarkEnd w:id="14"/>
      <w:bookmarkEnd w:id="15"/>
    </w:p>
    <w:p w:rsidR="00A26817" w:rsidRDefault="00A26817" w:rsidP="00E944A5">
      <w:r>
        <w:t xml:space="preserve">AGN did not </w:t>
      </w:r>
      <w:r w:rsidR="001E4C9F">
        <w:t>propose</w:t>
      </w:r>
      <w:r>
        <w:t xml:space="preserve"> any changes to the services</w:t>
      </w:r>
      <w:r w:rsidR="001E4C9F">
        <w:t xml:space="preserve"> we</w:t>
      </w:r>
      <w:r w:rsidR="00F80D06">
        <w:t xml:space="preserve"> </w:t>
      </w:r>
      <w:r>
        <w:t>approved in our draft decision.</w:t>
      </w:r>
      <w:r w:rsidR="00F80D06">
        <w:rPr>
          <w:rStyle w:val="FootnoteReference"/>
        </w:rPr>
        <w:footnoteReference w:id="3"/>
      </w:r>
      <w:r w:rsidR="00E5257A">
        <w:t xml:space="preserve"> The services it will </w:t>
      </w:r>
      <w:r w:rsidR="00AF4A11">
        <w:t xml:space="preserve">offer </w:t>
      </w:r>
      <w:r w:rsidR="00E5257A">
        <w:t>over the 2016–21 access arrangement period are:</w:t>
      </w:r>
    </w:p>
    <w:p w:rsidR="00E5257A" w:rsidRDefault="00E5257A" w:rsidP="00E5257A">
      <w:pPr>
        <w:pStyle w:val="AERbulletlistfirststyle"/>
      </w:pPr>
      <w:r>
        <w:t>the reference services, comprising:</w:t>
      </w:r>
    </w:p>
    <w:p w:rsidR="00E5257A" w:rsidRDefault="00E5257A" w:rsidP="00E5257A">
      <w:pPr>
        <w:pStyle w:val="AERbulletlistsecondstyle"/>
      </w:pPr>
      <w:r>
        <w:t>haulage reference services</w:t>
      </w:r>
    </w:p>
    <w:p w:rsidR="00E5257A" w:rsidRDefault="00E5257A" w:rsidP="00E5257A">
      <w:pPr>
        <w:pStyle w:val="AERbulletlistsecondstyle"/>
      </w:pPr>
      <w:r>
        <w:t>ancillary reference services, and</w:t>
      </w:r>
    </w:p>
    <w:p w:rsidR="00E5257A" w:rsidRDefault="00E5257A" w:rsidP="00E5257A">
      <w:pPr>
        <w:pStyle w:val="AERbulletlistfirststyle"/>
      </w:pPr>
      <w:proofErr w:type="gramStart"/>
      <w:r>
        <w:t>non</w:t>
      </w:r>
      <w:r>
        <w:noBreakHyphen/>
        <w:t>reference</w:t>
      </w:r>
      <w:proofErr w:type="gramEnd"/>
      <w:r>
        <w:t xml:space="preserve"> services.</w:t>
      </w:r>
      <w:r>
        <w:rPr>
          <w:rStyle w:val="FootnoteReference"/>
        </w:rPr>
        <w:footnoteReference w:id="4"/>
      </w:r>
    </w:p>
    <w:p w:rsidR="005B5913" w:rsidRPr="005B5913" w:rsidRDefault="005B5913" w:rsidP="005B5913">
      <w:r w:rsidRPr="005B5913">
        <w:t>AGN proposed three haulage reference services:</w:t>
      </w:r>
    </w:p>
    <w:p w:rsidR="005B5913" w:rsidRPr="005B5913" w:rsidRDefault="005B5913" w:rsidP="005B5913">
      <w:pPr>
        <w:pStyle w:val="AERbulletlistfirststyle"/>
      </w:pPr>
      <w:r w:rsidRPr="005B5913">
        <w:t>Domestic haulage service—for the delivery of gas to delivery points where natural gas is used primarily for domestic purposes</w:t>
      </w:r>
    </w:p>
    <w:p w:rsidR="005B5913" w:rsidRPr="005B5913" w:rsidRDefault="005B5913" w:rsidP="005B5913">
      <w:pPr>
        <w:pStyle w:val="AERbulletlistfirststyle"/>
      </w:pPr>
      <w:r w:rsidRPr="005B5913">
        <w:t>Demand haulage service—</w:t>
      </w:r>
      <w:r w:rsidR="001E4C9F">
        <w:t>for</w:t>
      </w:r>
      <w:r w:rsidRPr="005B5913">
        <w:t xml:space="preserve"> the delivery of gas to delivery points with an annual consumption that is equal to or greater than 10 </w:t>
      </w:r>
      <w:proofErr w:type="spellStart"/>
      <w:r w:rsidRPr="005B5913">
        <w:t>terajoules</w:t>
      </w:r>
      <w:proofErr w:type="spellEnd"/>
      <w:r w:rsidRPr="005B5913">
        <w:t xml:space="preserve"> per year</w:t>
      </w:r>
    </w:p>
    <w:p w:rsidR="00E944A5" w:rsidRDefault="005B5913" w:rsidP="005B5913">
      <w:pPr>
        <w:pStyle w:val="AERbulletlistfirststyle"/>
      </w:pPr>
      <w:r w:rsidRPr="005B5913">
        <w:t>Commercial haulage service—applicable to all delivery points that are not demand delivery points or domestic delivery points.</w:t>
      </w:r>
      <w:r>
        <w:rPr>
          <w:rStyle w:val="FootnoteReference"/>
        </w:rPr>
        <w:footnoteReference w:id="5"/>
      </w:r>
    </w:p>
    <w:p w:rsidR="005B5913" w:rsidRPr="005B5913" w:rsidRDefault="005B5913" w:rsidP="00901DFB">
      <w:pPr>
        <w:keepNext/>
      </w:pPr>
      <w:r w:rsidRPr="005B5913">
        <w:t>The haulage reference services include:</w:t>
      </w:r>
    </w:p>
    <w:p w:rsidR="005B5913" w:rsidRPr="005B5913" w:rsidRDefault="005B5913" w:rsidP="00901DFB">
      <w:pPr>
        <w:pStyle w:val="AERbulletlistfirststyle"/>
        <w:keepNext/>
      </w:pPr>
      <w:r w:rsidRPr="005B5913">
        <w:t>receiving gas injected into the network from an upstream pipeline at an injection point (referred to as a receipt point)</w:t>
      </w:r>
    </w:p>
    <w:p w:rsidR="005B5913" w:rsidRPr="005B5913" w:rsidRDefault="005B5913" w:rsidP="005B5913">
      <w:pPr>
        <w:pStyle w:val="AERbulletlistfirststyle"/>
      </w:pPr>
      <w:proofErr w:type="spellStart"/>
      <w:r w:rsidRPr="005B5913">
        <w:t>odo</w:t>
      </w:r>
      <w:r w:rsidR="00B23126">
        <w:t>u</w:t>
      </w:r>
      <w:r w:rsidRPr="005B5913">
        <w:t>risation</w:t>
      </w:r>
      <w:proofErr w:type="spellEnd"/>
      <w:r w:rsidRPr="005B5913">
        <w:t xml:space="preserve"> of gas where required</w:t>
      </w:r>
    </w:p>
    <w:p w:rsidR="005B5913" w:rsidRPr="005B5913" w:rsidRDefault="005B5913" w:rsidP="005B5913">
      <w:pPr>
        <w:pStyle w:val="AERbulletlistfirststyle"/>
      </w:pPr>
      <w:r w:rsidRPr="005B5913">
        <w:t>haulage (that is, transport) of gas from a receipt point to a delivery point</w:t>
      </w:r>
    </w:p>
    <w:p w:rsidR="005B5913" w:rsidRPr="005B5913" w:rsidRDefault="005B5913" w:rsidP="005B5913">
      <w:pPr>
        <w:pStyle w:val="AERbulletlistfirststyle"/>
      </w:pPr>
      <w:r w:rsidRPr="005B5913">
        <w:t>allowing the withdrawal of gas at a delivery point</w:t>
      </w:r>
    </w:p>
    <w:p w:rsidR="005B5913" w:rsidRPr="005B5913" w:rsidRDefault="005B5913" w:rsidP="005B5913">
      <w:pPr>
        <w:pStyle w:val="AERbulletlistfirststyle"/>
      </w:pPr>
      <w:r w:rsidRPr="005B5913">
        <w:t>the provision and maintenance of a standard metering installation</w:t>
      </w:r>
    </w:p>
    <w:p w:rsidR="005B5913" w:rsidRDefault="005B5913" w:rsidP="005B5913">
      <w:pPr>
        <w:pStyle w:val="AERbulletlistfirststyle"/>
      </w:pPr>
      <w:proofErr w:type="gramStart"/>
      <w:r w:rsidRPr="005B5913">
        <w:t>meter</w:t>
      </w:r>
      <w:proofErr w:type="gramEnd"/>
      <w:r w:rsidRPr="005B5913">
        <w:t xml:space="preserve"> reading and associated data services (every three months for domestic and commercial haulage services and daily for demand haulage reference services</w:t>
      </w:r>
      <w:r w:rsidR="00B564EB">
        <w:t>)</w:t>
      </w:r>
      <w:r w:rsidRPr="005B5913">
        <w:t>.</w:t>
      </w:r>
      <w:r>
        <w:rPr>
          <w:rStyle w:val="FootnoteReference"/>
        </w:rPr>
        <w:footnoteReference w:id="6"/>
      </w:r>
    </w:p>
    <w:p w:rsidR="005B5913" w:rsidRDefault="005B5913" w:rsidP="005B5913">
      <w:r w:rsidRPr="005B5913">
        <w:t>The above services include recoveries for unaccounted for gas and all services that are necessary for AGN to comply with its obligations under the access arrangement and the retail market procedures.</w:t>
      </w:r>
      <w:r>
        <w:rPr>
          <w:rStyle w:val="FootnoteReference"/>
        </w:rPr>
        <w:footnoteReference w:id="7"/>
      </w:r>
    </w:p>
    <w:p w:rsidR="005B5913" w:rsidRPr="005B5913" w:rsidRDefault="005B5913" w:rsidP="005B5913">
      <w:r w:rsidRPr="005B5913">
        <w:t>AGN proposed six ancillary reference services:</w:t>
      </w:r>
    </w:p>
    <w:p w:rsidR="005B5913" w:rsidRPr="005B5913" w:rsidRDefault="005B5913" w:rsidP="00C922D1">
      <w:pPr>
        <w:pStyle w:val="AERbulletlistfirststyle"/>
      </w:pPr>
      <w:r w:rsidRPr="005B5913">
        <w:t>Disconnection—installing locks or plugs at the metering installation of a domestic delivery point in order to prevent the withdrawal of gas at the delivery point</w:t>
      </w:r>
    </w:p>
    <w:p w:rsidR="005B5913" w:rsidRPr="005B5913" w:rsidRDefault="005B5913" w:rsidP="00C922D1">
      <w:pPr>
        <w:pStyle w:val="AERbulletlistfirststyle"/>
      </w:pPr>
      <w:r w:rsidRPr="005B5913">
        <w:t>Reconnection—this reinstates the ability to withdraw gas at a domestic delivery point, following a previous disconnection, which service includes the removal of any locks for plugs used to isolate supply, performance of a safety check and the lighting of appliances where necessary</w:t>
      </w:r>
    </w:p>
    <w:p w:rsidR="005B5913" w:rsidRPr="005B5913" w:rsidRDefault="005B5913" w:rsidP="00C922D1">
      <w:pPr>
        <w:pStyle w:val="AERbulletlistfirststyle"/>
      </w:pPr>
      <w:r w:rsidRPr="005B5913">
        <w:t>Special meter read—meter reading for a delivery point that is in addition to the scheduled meter reading that forms part of the haulage reference service</w:t>
      </w:r>
    </w:p>
    <w:p w:rsidR="005B5913" w:rsidRPr="005B5913" w:rsidRDefault="005B5913" w:rsidP="00C922D1">
      <w:pPr>
        <w:pStyle w:val="AERbulletlistfirststyle"/>
      </w:pPr>
      <w:r w:rsidRPr="005B5913">
        <w:t>Meter and gas installation test—on site testing to check the measurement accuracy of a metering installation and the soundness of the gas installation downstream of the metering installation</w:t>
      </w:r>
    </w:p>
    <w:p w:rsidR="005B5913" w:rsidRPr="005B5913" w:rsidRDefault="005B5913" w:rsidP="00C922D1">
      <w:pPr>
        <w:pStyle w:val="AERbulletlistfirststyle"/>
      </w:pPr>
      <w:r w:rsidRPr="005B5913">
        <w:t>Meter removal—removal of a meter at a metering installation in order to prevent the withdrawal of natural gas at the delivery point</w:t>
      </w:r>
    </w:p>
    <w:p w:rsidR="005B5913" w:rsidRDefault="005B5913" w:rsidP="00C922D1">
      <w:pPr>
        <w:pStyle w:val="AERbulletlistfirststyle"/>
      </w:pPr>
      <w:r w:rsidRPr="005B5913">
        <w:t>Meter reinstallation—reinstallation of a meter at a metering installation, performance of a safety check and the lighting of appliances where necessary.</w:t>
      </w:r>
      <w:r w:rsidR="00C922D1">
        <w:rPr>
          <w:rStyle w:val="FootnoteReference"/>
        </w:rPr>
        <w:footnoteReference w:id="8"/>
      </w:r>
    </w:p>
    <w:p w:rsidR="00C922D1" w:rsidRPr="00C922D1" w:rsidRDefault="00C922D1" w:rsidP="00CF78F8">
      <w:r w:rsidRPr="00C922D1">
        <w:t>AGN also proposed to provide non</w:t>
      </w:r>
      <w:r w:rsidR="001E4C9F">
        <w:noBreakHyphen/>
      </w:r>
      <w:r w:rsidRPr="00C922D1">
        <w:t>reference services to customers on an as requested basis.</w:t>
      </w:r>
      <w:r>
        <w:rPr>
          <w:rStyle w:val="FootnoteReference"/>
        </w:rPr>
        <w:footnoteReference w:id="9"/>
      </w:r>
      <w:r>
        <w:t xml:space="preserve"> </w:t>
      </w:r>
      <w:r w:rsidRPr="00C922D1">
        <w:t>The</w:t>
      </w:r>
      <w:r w:rsidR="00CF78F8">
        <w:t xml:space="preserve"> price for non</w:t>
      </w:r>
      <w:r w:rsidR="00CF78F8">
        <w:noBreakHyphen/>
        <w:t xml:space="preserve">reference services will be negotiated </w:t>
      </w:r>
      <w:r w:rsidRPr="00C922D1">
        <w:t>on a case</w:t>
      </w:r>
      <w:r w:rsidR="00AF4A11">
        <w:noBreakHyphen/>
      </w:r>
      <w:r w:rsidRPr="00C922D1">
        <w:t>by</w:t>
      </w:r>
      <w:r w:rsidR="00AF4A11">
        <w:noBreakHyphen/>
      </w:r>
      <w:r w:rsidRPr="00C922D1">
        <w:t>case basis depend</w:t>
      </w:r>
      <w:r w:rsidR="00CF78F8">
        <w:t>ant</w:t>
      </w:r>
      <w:r w:rsidRPr="00C922D1">
        <w:t xml:space="preserve"> on the specific conditions of the service requested. AGN noted that if requested, the same non-reference service would be offered to different network users </w:t>
      </w:r>
      <w:r w:rsidR="005E7635">
        <w:t>on the same</w:t>
      </w:r>
      <w:r w:rsidRPr="00C922D1">
        <w:t xml:space="preserve"> terms and conditions.</w:t>
      </w:r>
      <w:r>
        <w:rPr>
          <w:rStyle w:val="FootnoteReference"/>
        </w:rPr>
        <w:footnoteReference w:id="10"/>
      </w:r>
    </w:p>
    <w:p w:rsidR="00A2303E" w:rsidRDefault="00A2303E" w:rsidP="00A2303E">
      <w:pPr>
        <w:pStyle w:val="Heading2"/>
      </w:pPr>
      <w:bookmarkStart w:id="16" w:name="_Toc408404322"/>
      <w:bookmarkStart w:id="17" w:name="_Toc419366915"/>
      <w:bookmarkStart w:id="18" w:name="_Toc451523230"/>
      <w:r w:rsidRPr="0074565D">
        <w:t>AER’s assessment approach</w:t>
      </w:r>
      <w:bookmarkEnd w:id="16"/>
      <w:bookmarkEnd w:id="17"/>
      <w:bookmarkEnd w:id="18"/>
    </w:p>
    <w:p w:rsidR="00546678" w:rsidRDefault="00546678" w:rsidP="00546678">
      <w:r>
        <w:t>AGN is required by the NGR to specify all reference services in its access arrangement proposal.</w:t>
      </w:r>
      <w:r>
        <w:rPr>
          <w:rStyle w:val="FootnoteReference"/>
        </w:rPr>
        <w:footnoteReference w:id="11"/>
      </w:r>
      <w:r>
        <w:t xml:space="preserve"> A reference service is a pipeline service that is likely to be sought by a significant part of the market. A pipeline service is a:</w:t>
      </w:r>
    </w:p>
    <w:p w:rsidR="00546678" w:rsidRPr="00546678" w:rsidRDefault="00546678" w:rsidP="00546678">
      <w:pPr>
        <w:pStyle w:val="AERbulletlistfirststyle"/>
      </w:pPr>
      <w:r>
        <w:t>service provided by means of a pipeline, including a:</w:t>
      </w:r>
    </w:p>
    <w:p w:rsidR="00546678" w:rsidRDefault="00546678" w:rsidP="00546678">
      <w:pPr>
        <w:pStyle w:val="AERbulletlistsecondstyle"/>
      </w:pPr>
      <w:r>
        <w:t>haulage service</w:t>
      </w:r>
    </w:p>
    <w:p w:rsidR="00546678" w:rsidRDefault="00546678" w:rsidP="00546678">
      <w:pPr>
        <w:pStyle w:val="AERbulletlistsecondstyle"/>
      </w:pPr>
      <w:r>
        <w:t>service facilitating the interconnection of pipelines</w:t>
      </w:r>
    </w:p>
    <w:p w:rsidR="00546678" w:rsidRPr="00546678" w:rsidRDefault="00546678" w:rsidP="00546678">
      <w:pPr>
        <w:pStyle w:val="AERbulletlistfirststyle"/>
      </w:pPr>
      <w:proofErr w:type="gramStart"/>
      <w:r>
        <w:t>service</w:t>
      </w:r>
      <w:proofErr w:type="gramEnd"/>
      <w:r>
        <w:t xml:space="preserve"> ancillary to one of </w:t>
      </w:r>
      <w:r w:rsidR="00B008D3">
        <w:t>the above listed</w:t>
      </w:r>
      <w:r>
        <w:t xml:space="preserve"> services.</w:t>
      </w:r>
    </w:p>
    <w:p w:rsidR="00546678" w:rsidRDefault="00546678" w:rsidP="00546678">
      <w:r>
        <w:t>AGN’s proposed reference service is also required to be consistent with the National Gas Objective.</w:t>
      </w:r>
      <w:r>
        <w:rPr>
          <w:rStyle w:val="FootnoteReference"/>
        </w:rPr>
        <w:footnoteReference w:id="12"/>
      </w:r>
    </w:p>
    <w:p w:rsidR="00546678" w:rsidRDefault="00546678" w:rsidP="00546678">
      <w:r>
        <w:t>Our approach to assessing these requirements is to identify:</w:t>
      </w:r>
    </w:p>
    <w:p w:rsidR="00546678" w:rsidRPr="00546678" w:rsidRDefault="00546678" w:rsidP="00546678">
      <w:pPr>
        <w:pStyle w:val="AERbulletlistfirststyle"/>
      </w:pPr>
      <w:r>
        <w:t xml:space="preserve">the covered </w:t>
      </w:r>
      <w:r w:rsidRPr="00546678">
        <w:t>pipeline under the current access arrangement</w:t>
      </w:r>
    </w:p>
    <w:p w:rsidR="00546678" w:rsidRPr="00546678" w:rsidRDefault="00546678" w:rsidP="00546678">
      <w:pPr>
        <w:pStyle w:val="AERbulletlistfirststyle"/>
      </w:pPr>
      <w:proofErr w:type="gramStart"/>
      <w:r>
        <w:t>any</w:t>
      </w:r>
      <w:proofErr w:type="gramEnd"/>
      <w:r>
        <w:t xml:space="preserve"> extensions or expansions that were completed during the earlier access arrangement and which are taken to be ‘covered’ under that access arrangement’s extension and expansion requirements.</w:t>
      </w:r>
    </w:p>
    <w:p w:rsidR="00546678" w:rsidRDefault="00546678" w:rsidP="00546678">
      <w:r>
        <w:t>The next step is to review the service provider’s description of the pipeline services and reference services.</w:t>
      </w:r>
    </w:p>
    <w:p w:rsidR="00A2303E" w:rsidRDefault="00A2303E" w:rsidP="00A2303E">
      <w:pPr>
        <w:pStyle w:val="Heading2"/>
      </w:pPr>
      <w:bookmarkStart w:id="19" w:name="_Toc408404324"/>
      <w:bookmarkStart w:id="20" w:name="_Toc419366917"/>
      <w:bookmarkStart w:id="21" w:name="_Toc451523231"/>
      <w:r w:rsidRPr="0074565D">
        <w:t xml:space="preserve">Reasons for </w:t>
      </w:r>
      <w:r>
        <w:t>final</w:t>
      </w:r>
      <w:r w:rsidRPr="0074565D">
        <w:t xml:space="preserve"> decision</w:t>
      </w:r>
      <w:bookmarkEnd w:id="19"/>
      <w:bookmarkEnd w:id="20"/>
      <w:bookmarkEnd w:id="21"/>
      <w:r w:rsidRPr="0074565D">
        <w:t xml:space="preserve"> </w:t>
      </w:r>
    </w:p>
    <w:p w:rsidR="000B3D1D" w:rsidRDefault="005915FD" w:rsidP="005B5913">
      <w:r>
        <w:t>O</w:t>
      </w:r>
      <w:r w:rsidR="000B3D1D">
        <w:t xml:space="preserve">ur assessment </w:t>
      </w:r>
      <w:r>
        <w:t>considers</w:t>
      </w:r>
      <w:r w:rsidR="000B3D1D">
        <w:t xml:space="preserve"> AGN has complied with the NGR's</w:t>
      </w:r>
      <w:r w:rsidR="005D794E">
        <w:t xml:space="preserve"> services requirements as outlined </w:t>
      </w:r>
      <w:r w:rsidR="00915993">
        <w:t xml:space="preserve">in </w:t>
      </w:r>
      <w:r w:rsidR="00915993">
        <w:fldChar w:fldCharType="begin"/>
      </w:r>
      <w:r w:rsidR="00915993">
        <w:instrText xml:space="preserve"> REF  _Ref441151671 \* Lower \h </w:instrText>
      </w:r>
      <w:r w:rsidR="00915993">
        <w:fldChar w:fldCharType="separate"/>
      </w:r>
      <w:r w:rsidR="00077742">
        <w:t xml:space="preserve">table </w:t>
      </w:r>
      <w:r w:rsidR="00077742">
        <w:rPr>
          <w:noProof/>
        </w:rPr>
        <w:t>1</w:t>
      </w:r>
      <w:r w:rsidR="00077742">
        <w:t>.</w:t>
      </w:r>
      <w:r w:rsidR="00077742">
        <w:rPr>
          <w:noProof/>
        </w:rPr>
        <w:t>1</w:t>
      </w:r>
      <w:r w:rsidR="00915993">
        <w:fldChar w:fldCharType="end"/>
      </w:r>
      <w:r w:rsidR="00915993">
        <w:t xml:space="preserve"> </w:t>
      </w:r>
      <w:r w:rsidR="005D794E">
        <w:t xml:space="preserve">and section </w:t>
      </w:r>
      <w:r w:rsidR="005D794E">
        <w:fldChar w:fldCharType="begin"/>
      </w:r>
      <w:r w:rsidR="005D794E">
        <w:instrText xml:space="preserve"> REF _Ref441073076 \r \h </w:instrText>
      </w:r>
      <w:r w:rsidR="005D794E">
        <w:fldChar w:fldCharType="separate"/>
      </w:r>
      <w:r w:rsidR="00077742">
        <w:t>1.4.1</w:t>
      </w:r>
      <w:r w:rsidR="005D794E">
        <w:fldChar w:fldCharType="end"/>
      </w:r>
      <w:r w:rsidR="005D794E">
        <w:t xml:space="preserve">. We note AGN's proposed reference services for the 2016–21 access arrangement </w:t>
      </w:r>
      <w:r w:rsidR="00AE3C9F">
        <w:t xml:space="preserve">are </w:t>
      </w:r>
      <w:r w:rsidR="005D794E">
        <w:t>consistent with the reference services we found compliant with the NGR for the current access arrangement.</w:t>
      </w:r>
    </w:p>
    <w:p w:rsidR="000B3D1D" w:rsidRDefault="000B3D1D" w:rsidP="00901DFB">
      <w:pPr>
        <w:pStyle w:val="Caption"/>
      </w:pPr>
      <w:bookmarkStart w:id="22" w:name="_Ref441073005"/>
      <w:bookmarkStart w:id="23" w:name="_Ref441151671"/>
      <w:proofErr w:type="gramStart"/>
      <w:r>
        <w:t xml:space="preserve">Table </w:t>
      </w:r>
      <w:proofErr w:type="gramEnd"/>
      <w:r w:rsidR="00195201">
        <w:fldChar w:fldCharType="begin"/>
      </w:r>
      <w:r w:rsidR="00195201">
        <w:instrText xml:space="preserve"> STYLEREF 1 \s </w:instrText>
      </w:r>
      <w:r w:rsidR="00195201">
        <w:fldChar w:fldCharType="separate"/>
      </w:r>
      <w:r w:rsidR="00077742">
        <w:rPr>
          <w:noProof/>
        </w:rPr>
        <w:t>1</w:t>
      </w:r>
      <w:r w:rsidR="00195201">
        <w:rPr>
          <w:noProof/>
        </w:rPr>
        <w:fldChar w:fldCharType="end"/>
      </w:r>
      <w:proofErr w:type="gramStart"/>
      <w:r>
        <w:t>.</w:t>
      </w:r>
      <w:proofErr w:type="gramEnd"/>
      <w:r w:rsidR="00901DFB">
        <w:fldChar w:fldCharType="begin"/>
      </w:r>
      <w:r w:rsidR="00901DFB">
        <w:instrText xml:space="preserve"> SEQ Table \* ARABIC \s 1 </w:instrText>
      </w:r>
      <w:r w:rsidR="00901DFB">
        <w:fldChar w:fldCharType="separate"/>
      </w:r>
      <w:r w:rsidR="00077742">
        <w:rPr>
          <w:noProof/>
        </w:rPr>
        <w:t>1</w:t>
      </w:r>
      <w:r w:rsidR="00901DFB">
        <w:rPr>
          <w:noProof/>
        </w:rPr>
        <w:fldChar w:fldCharType="end"/>
      </w:r>
      <w:bookmarkEnd w:id="22"/>
      <w:bookmarkEnd w:id="23"/>
      <w:r>
        <w:tab/>
        <w:t>Assessment of AGN's compliance with the NGR</w:t>
      </w:r>
    </w:p>
    <w:tbl>
      <w:tblPr>
        <w:tblStyle w:val="AERtable-text0"/>
        <w:tblW w:w="0" w:type="auto"/>
        <w:tblLook w:val="04A0" w:firstRow="1" w:lastRow="0" w:firstColumn="1" w:lastColumn="0" w:noHBand="0" w:noVBand="1"/>
      </w:tblPr>
      <w:tblGrid>
        <w:gridCol w:w="5211"/>
        <w:gridCol w:w="3482"/>
      </w:tblGrid>
      <w:tr w:rsidR="000B3D1D" w:rsidTr="00915993">
        <w:trPr>
          <w:cnfStyle w:val="100000000000" w:firstRow="1" w:lastRow="0" w:firstColumn="0" w:lastColumn="0" w:oddVBand="0" w:evenVBand="0" w:oddHBand="0" w:evenHBand="0" w:firstRowFirstColumn="0" w:firstRowLastColumn="0" w:lastRowFirstColumn="0" w:lastRowLastColumn="0"/>
        </w:trPr>
        <w:tc>
          <w:tcPr>
            <w:tcW w:w="5211" w:type="dxa"/>
          </w:tcPr>
          <w:p w:rsidR="000B3D1D" w:rsidRDefault="000B3D1D" w:rsidP="00901DFB">
            <w:pPr>
              <w:keepNext/>
            </w:pPr>
            <w:r>
              <w:t>NGR requirements</w:t>
            </w:r>
          </w:p>
        </w:tc>
        <w:tc>
          <w:tcPr>
            <w:tcW w:w="3482" w:type="dxa"/>
          </w:tcPr>
          <w:p w:rsidR="000B3D1D" w:rsidRDefault="000B3D1D" w:rsidP="00901DFB">
            <w:pPr>
              <w:keepNext/>
            </w:pPr>
            <w:r>
              <w:t>AER assessment</w:t>
            </w:r>
          </w:p>
        </w:tc>
      </w:tr>
      <w:tr w:rsidR="000B3D1D" w:rsidRPr="00901DFB" w:rsidTr="00915993">
        <w:tc>
          <w:tcPr>
            <w:tcW w:w="5211" w:type="dxa"/>
          </w:tcPr>
          <w:p w:rsidR="000B3D1D" w:rsidRPr="00901DFB" w:rsidRDefault="000B3D1D" w:rsidP="00901DFB">
            <w:pPr>
              <w:keepNext/>
              <w:rPr>
                <w:rStyle w:val="Strong"/>
              </w:rPr>
            </w:pPr>
            <w:r w:rsidRPr="00901DFB">
              <w:rPr>
                <w:rStyle w:val="Strong"/>
              </w:rPr>
              <w:t>A full access arrangement must:</w:t>
            </w:r>
          </w:p>
        </w:tc>
        <w:tc>
          <w:tcPr>
            <w:tcW w:w="3482" w:type="dxa"/>
          </w:tcPr>
          <w:p w:rsidR="000B3D1D" w:rsidRPr="00901DFB" w:rsidRDefault="000B3D1D" w:rsidP="00901DFB">
            <w:pPr>
              <w:keepNext/>
              <w:rPr>
                <w:rStyle w:val="Strong"/>
              </w:rPr>
            </w:pPr>
          </w:p>
        </w:tc>
      </w:tr>
      <w:tr w:rsidR="000B3D1D" w:rsidTr="00915993">
        <w:trPr>
          <w:cnfStyle w:val="000000010000" w:firstRow="0" w:lastRow="0" w:firstColumn="0" w:lastColumn="0" w:oddVBand="0" w:evenVBand="0" w:oddHBand="0" w:evenHBand="1" w:firstRowFirstColumn="0" w:firstRowLastColumn="0" w:lastRowFirstColumn="0" w:lastRowLastColumn="0"/>
        </w:trPr>
        <w:tc>
          <w:tcPr>
            <w:tcW w:w="5211" w:type="dxa"/>
          </w:tcPr>
          <w:p w:rsidR="000B3D1D" w:rsidRPr="000B3D1D" w:rsidRDefault="000B3D1D" w:rsidP="00CA1D39">
            <w:pPr>
              <w:keepNext/>
            </w:pPr>
            <w:r>
              <w:t>identify the pipeline to which the access arrangement relates and include a reference to a website at which a description of the pipeline can be inspected — NGR</w:t>
            </w:r>
            <w:r w:rsidRPr="000B3D1D">
              <w:t> </w:t>
            </w:r>
            <w:r w:rsidR="00CA1D39">
              <w:t>rule</w:t>
            </w:r>
            <w:r w:rsidR="00CA1D39" w:rsidRPr="000B3D1D">
              <w:t> </w:t>
            </w:r>
            <w:r w:rsidRPr="000B3D1D">
              <w:t xml:space="preserve">48(1)(a) </w:t>
            </w:r>
          </w:p>
        </w:tc>
        <w:tc>
          <w:tcPr>
            <w:tcW w:w="3482" w:type="dxa"/>
          </w:tcPr>
          <w:p w:rsidR="000B3D1D" w:rsidRPr="000B3D1D" w:rsidRDefault="000B3D1D" w:rsidP="00901DFB">
            <w:pPr>
              <w:keepNext/>
            </w:pPr>
            <w:r>
              <w:t>Compliant. Clause 1</w:t>
            </w:r>
            <w:r w:rsidRPr="000B3D1D">
              <w:t>.1 and Annexure A of the AGN access arrangement proposal.</w:t>
            </w:r>
          </w:p>
        </w:tc>
      </w:tr>
      <w:tr w:rsidR="000B3D1D" w:rsidTr="00915993">
        <w:tc>
          <w:tcPr>
            <w:tcW w:w="5211" w:type="dxa"/>
          </w:tcPr>
          <w:p w:rsidR="000B3D1D" w:rsidRPr="000B3D1D" w:rsidRDefault="000B3D1D" w:rsidP="00901DFB">
            <w:pPr>
              <w:keepNext/>
            </w:pPr>
            <w:r>
              <w:t>describe the pipeline services the service provider propose to offer to provide by means of the pipeline — NGR</w:t>
            </w:r>
            <w:r w:rsidRPr="000B3D1D">
              <w:t> </w:t>
            </w:r>
            <w:r w:rsidR="00CA1D39">
              <w:t>r</w:t>
            </w:r>
            <w:r w:rsidR="00CA1D39" w:rsidRPr="00CA1D39">
              <w:t>ule</w:t>
            </w:r>
            <w:r w:rsidR="00CA1D39" w:rsidRPr="00CA1D39" w:rsidDel="00CA1D39">
              <w:t xml:space="preserve"> </w:t>
            </w:r>
            <w:r w:rsidRPr="000B3D1D">
              <w:t>48(1)(b)</w:t>
            </w:r>
          </w:p>
        </w:tc>
        <w:tc>
          <w:tcPr>
            <w:tcW w:w="3482" w:type="dxa"/>
          </w:tcPr>
          <w:p w:rsidR="000B3D1D" w:rsidRPr="000B3D1D" w:rsidRDefault="000B3D1D" w:rsidP="00901DFB">
            <w:pPr>
              <w:keepNext/>
            </w:pPr>
            <w:r>
              <w:t>Compliant. Clause 2 of the AGN access arrangement proposal.</w:t>
            </w:r>
          </w:p>
        </w:tc>
      </w:tr>
      <w:tr w:rsidR="000B3D1D" w:rsidTr="00915993">
        <w:trPr>
          <w:cnfStyle w:val="000000010000" w:firstRow="0" w:lastRow="0" w:firstColumn="0" w:lastColumn="0" w:oddVBand="0" w:evenVBand="0" w:oddHBand="0" w:evenHBand="1" w:firstRowFirstColumn="0" w:firstRowLastColumn="0" w:lastRowFirstColumn="0" w:lastRowLastColumn="0"/>
        </w:trPr>
        <w:tc>
          <w:tcPr>
            <w:tcW w:w="5211" w:type="dxa"/>
          </w:tcPr>
          <w:p w:rsidR="000B3D1D" w:rsidRPr="000B3D1D" w:rsidRDefault="000B3D1D" w:rsidP="00901DFB">
            <w:pPr>
              <w:keepNext/>
            </w:pPr>
            <w:r>
              <w:t>specify the reference services — NGR</w:t>
            </w:r>
            <w:r w:rsidRPr="000B3D1D">
              <w:t> </w:t>
            </w:r>
            <w:r w:rsidR="00CA1D39">
              <w:t>r</w:t>
            </w:r>
            <w:r w:rsidR="00CA1D39" w:rsidRPr="00CA1D39">
              <w:t>ule</w:t>
            </w:r>
            <w:r w:rsidRPr="000B3D1D">
              <w:t xml:space="preserve"> 48(1)(c)</w:t>
            </w:r>
          </w:p>
        </w:tc>
        <w:tc>
          <w:tcPr>
            <w:tcW w:w="3482" w:type="dxa"/>
          </w:tcPr>
          <w:p w:rsidR="000B3D1D" w:rsidRPr="000B3D1D" w:rsidRDefault="000B3D1D" w:rsidP="00901DFB">
            <w:pPr>
              <w:keepNext/>
            </w:pPr>
            <w:r>
              <w:t>Compliant. Clause</w:t>
            </w:r>
            <w:r w:rsidR="00AE3C9F">
              <w:t>s</w:t>
            </w:r>
            <w:r>
              <w:t xml:space="preserve"> 2</w:t>
            </w:r>
            <w:r w:rsidRPr="000B3D1D">
              <w:t>.2</w:t>
            </w:r>
            <w:r w:rsidR="00AE3C9F">
              <w:t xml:space="preserve"> and</w:t>
            </w:r>
            <w:r w:rsidRPr="000B3D1D">
              <w:t xml:space="preserve"> 2.3 of the AGN access arrangement proposal.</w:t>
            </w:r>
          </w:p>
        </w:tc>
      </w:tr>
      <w:tr w:rsidR="000B3D1D" w:rsidTr="00915993">
        <w:tc>
          <w:tcPr>
            <w:tcW w:w="5211" w:type="dxa"/>
          </w:tcPr>
          <w:p w:rsidR="000B3D1D" w:rsidRPr="000B3D1D" w:rsidRDefault="000B3D1D" w:rsidP="00901DFB">
            <w:pPr>
              <w:keepNext/>
            </w:pPr>
            <w:r>
              <w:t>specify for each reference service:</w:t>
            </w:r>
          </w:p>
          <w:p w:rsidR="000B3D1D" w:rsidRPr="000B3D1D" w:rsidRDefault="000B3D1D" w:rsidP="00901DFB">
            <w:pPr>
              <w:keepNext/>
            </w:pPr>
            <w:r w:rsidRPr="00EA5A53">
              <w:t>(</w:t>
            </w:r>
            <w:proofErr w:type="spellStart"/>
            <w:r w:rsidRPr="00EA5A53">
              <w:t>i</w:t>
            </w:r>
            <w:proofErr w:type="spellEnd"/>
            <w:r w:rsidRPr="000B3D1D">
              <w:t>) the reference tariff; and</w:t>
            </w:r>
          </w:p>
          <w:p w:rsidR="000B3D1D" w:rsidRPr="000B3D1D" w:rsidRDefault="000B3D1D" w:rsidP="00901DFB">
            <w:pPr>
              <w:keepNext/>
            </w:pPr>
            <w:r>
              <w:t>(ii) the other terms and conditions on which the reference service will be provided</w:t>
            </w:r>
          </w:p>
          <w:p w:rsidR="000B3D1D" w:rsidRPr="000B3D1D" w:rsidRDefault="000B3D1D" w:rsidP="00901DFB">
            <w:pPr>
              <w:keepNext/>
            </w:pPr>
            <w:r w:rsidRPr="00EA5A53">
              <w:t>—</w:t>
            </w:r>
            <w:r w:rsidRPr="000B3D1D">
              <w:t xml:space="preserve"> NGR </w:t>
            </w:r>
            <w:r w:rsidR="00CA1D39">
              <w:t>r</w:t>
            </w:r>
            <w:r w:rsidR="00CA1D39" w:rsidRPr="00CA1D39">
              <w:t>ule</w:t>
            </w:r>
            <w:r w:rsidRPr="000B3D1D">
              <w:t xml:space="preserve"> 48(1)(d)</w:t>
            </w:r>
          </w:p>
        </w:tc>
        <w:tc>
          <w:tcPr>
            <w:tcW w:w="3482" w:type="dxa"/>
          </w:tcPr>
          <w:p w:rsidR="000B3D1D" w:rsidRPr="000B3D1D" w:rsidRDefault="000B3D1D" w:rsidP="00901DFB">
            <w:pPr>
              <w:keepNext/>
            </w:pPr>
            <w:r>
              <w:t xml:space="preserve">Compliant. Clauses 3 </w:t>
            </w:r>
            <w:r w:rsidR="00AE3C9F">
              <w:t xml:space="preserve">and </w:t>
            </w:r>
            <w:r>
              <w:t>6 and Annexure B of the AGN access arrangement proposal.</w:t>
            </w:r>
          </w:p>
        </w:tc>
      </w:tr>
      <w:tr w:rsidR="000B3D1D" w:rsidTr="00915993">
        <w:trPr>
          <w:cnfStyle w:val="000000010000" w:firstRow="0" w:lastRow="0" w:firstColumn="0" w:lastColumn="0" w:oddVBand="0" w:evenVBand="0" w:oddHBand="0" w:evenHBand="1" w:firstRowFirstColumn="0" w:firstRowLastColumn="0" w:lastRowFirstColumn="0" w:lastRowLastColumn="0"/>
        </w:trPr>
        <w:tc>
          <w:tcPr>
            <w:tcW w:w="5211" w:type="dxa"/>
          </w:tcPr>
          <w:p w:rsidR="000B3D1D" w:rsidRPr="000B3D1D" w:rsidRDefault="000B3D1D" w:rsidP="00901DFB">
            <w:pPr>
              <w:keepNext/>
            </w:pPr>
            <w:r>
              <w:t>if the access arrangement is to contain queuing requirements – set out the queuing requirements — NGR</w:t>
            </w:r>
            <w:r w:rsidRPr="000B3D1D">
              <w:t> </w:t>
            </w:r>
            <w:r w:rsidR="00CA1D39">
              <w:t>r</w:t>
            </w:r>
            <w:r w:rsidR="00CA1D39" w:rsidRPr="00CA1D39">
              <w:t>ule</w:t>
            </w:r>
            <w:r w:rsidRPr="000B3D1D">
              <w:t> 48(1)(e)</w:t>
            </w:r>
          </w:p>
        </w:tc>
        <w:tc>
          <w:tcPr>
            <w:tcW w:w="3482" w:type="dxa"/>
          </w:tcPr>
          <w:p w:rsidR="000B3D1D" w:rsidRPr="000B3D1D" w:rsidRDefault="000B3D1D" w:rsidP="00901DFB">
            <w:pPr>
              <w:keepNext/>
            </w:pPr>
            <w:r>
              <w:t>Not applicable.</w:t>
            </w:r>
          </w:p>
        </w:tc>
      </w:tr>
      <w:tr w:rsidR="000B3D1D" w:rsidTr="00915993">
        <w:tc>
          <w:tcPr>
            <w:tcW w:w="5211" w:type="dxa"/>
          </w:tcPr>
          <w:p w:rsidR="000B3D1D" w:rsidRPr="000B3D1D" w:rsidRDefault="000B3D1D" w:rsidP="00901DFB">
            <w:pPr>
              <w:keepNext/>
            </w:pPr>
            <w:r>
              <w:t>set out the capa</w:t>
            </w:r>
            <w:r w:rsidRPr="000B3D1D">
              <w:t>city trading requirements — NGR </w:t>
            </w:r>
            <w:r w:rsidR="00CA1D39">
              <w:t>r</w:t>
            </w:r>
            <w:r w:rsidR="00CA1D39" w:rsidRPr="00CA1D39">
              <w:t>ule</w:t>
            </w:r>
            <w:r w:rsidRPr="000B3D1D">
              <w:t> 48(1)(f)</w:t>
            </w:r>
          </w:p>
        </w:tc>
        <w:tc>
          <w:tcPr>
            <w:tcW w:w="3482" w:type="dxa"/>
          </w:tcPr>
          <w:p w:rsidR="000B3D1D" w:rsidRPr="000B3D1D" w:rsidRDefault="000B3D1D" w:rsidP="00901DFB">
            <w:pPr>
              <w:keepNext/>
            </w:pPr>
            <w:r>
              <w:t>Compliant. Clause 7 of the AGN access arrangement proposal.</w:t>
            </w:r>
          </w:p>
        </w:tc>
      </w:tr>
      <w:tr w:rsidR="000B3D1D" w:rsidTr="00915993">
        <w:trPr>
          <w:cnfStyle w:val="000000010000" w:firstRow="0" w:lastRow="0" w:firstColumn="0" w:lastColumn="0" w:oddVBand="0" w:evenVBand="0" w:oddHBand="0" w:evenHBand="1" w:firstRowFirstColumn="0" w:firstRowLastColumn="0" w:lastRowFirstColumn="0" w:lastRowLastColumn="0"/>
        </w:trPr>
        <w:tc>
          <w:tcPr>
            <w:tcW w:w="5211" w:type="dxa"/>
          </w:tcPr>
          <w:p w:rsidR="000B3D1D" w:rsidRPr="000B3D1D" w:rsidRDefault="000B3D1D" w:rsidP="00901DFB">
            <w:pPr>
              <w:keepNext/>
            </w:pPr>
            <w:r>
              <w:t>set out the extension and expansion requirements — NGR</w:t>
            </w:r>
            <w:r w:rsidRPr="000B3D1D">
              <w:t> </w:t>
            </w:r>
            <w:r w:rsidR="00CA1D39">
              <w:t>r</w:t>
            </w:r>
            <w:r w:rsidR="00CA1D39" w:rsidRPr="00CA1D39">
              <w:t>ule</w:t>
            </w:r>
            <w:r w:rsidRPr="000B3D1D">
              <w:t xml:space="preserve"> 48(1)(g)</w:t>
            </w:r>
          </w:p>
        </w:tc>
        <w:tc>
          <w:tcPr>
            <w:tcW w:w="3482" w:type="dxa"/>
          </w:tcPr>
          <w:p w:rsidR="000B3D1D" w:rsidRPr="000B3D1D" w:rsidRDefault="000B3D1D" w:rsidP="00901DFB">
            <w:pPr>
              <w:keepNext/>
            </w:pPr>
            <w:r>
              <w:t xml:space="preserve">Compliant. Clause 8 of the AGN access arrangement </w:t>
            </w:r>
            <w:r w:rsidRPr="000B3D1D">
              <w:t>proposal.</w:t>
            </w:r>
          </w:p>
        </w:tc>
      </w:tr>
      <w:tr w:rsidR="000B3D1D" w:rsidTr="00915993">
        <w:tc>
          <w:tcPr>
            <w:tcW w:w="5211" w:type="dxa"/>
          </w:tcPr>
          <w:p w:rsidR="000B3D1D" w:rsidRPr="000B3D1D" w:rsidRDefault="000B3D1D" w:rsidP="00901DFB">
            <w:pPr>
              <w:keepNext/>
            </w:pPr>
            <w:r>
              <w:t>state the terms and conditions for cha</w:t>
            </w:r>
            <w:r w:rsidR="00AF11A8">
              <w:t>n</w:t>
            </w:r>
            <w:r>
              <w:t>ging receipt and delivery points — NGR </w:t>
            </w:r>
            <w:r w:rsidR="00CA1D39">
              <w:t>r</w:t>
            </w:r>
            <w:r w:rsidR="00CA1D39" w:rsidRPr="00CA1D39">
              <w:t>ule</w:t>
            </w:r>
            <w:r>
              <w:t xml:space="preserve"> 48</w:t>
            </w:r>
            <w:r w:rsidRPr="000B3D1D">
              <w:t>(1)(h)</w:t>
            </w:r>
          </w:p>
        </w:tc>
        <w:tc>
          <w:tcPr>
            <w:tcW w:w="3482" w:type="dxa"/>
          </w:tcPr>
          <w:p w:rsidR="000B3D1D" w:rsidRPr="000B3D1D" w:rsidRDefault="000B3D1D" w:rsidP="00901DFB">
            <w:pPr>
              <w:keepNext/>
            </w:pPr>
            <w:r>
              <w:t xml:space="preserve">Compliant. Clause 6 and Annexures F </w:t>
            </w:r>
            <w:r w:rsidR="00AE3C9F">
              <w:t xml:space="preserve">and </w:t>
            </w:r>
            <w:r>
              <w:t>G of the AGN access arrangement proposal.</w:t>
            </w:r>
          </w:p>
        </w:tc>
      </w:tr>
      <w:tr w:rsidR="000B3D1D" w:rsidTr="00915993">
        <w:trPr>
          <w:cnfStyle w:val="000000010000" w:firstRow="0" w:lastRow="0" w:firstColumn="0" w:lastColumn="0" w:oddVBand="0" w:evenVBand="0" w:oddHBand="0" w:evenHBand="1" w:firstRowFirstColumn="0" w:firstRowLastColumn="0" w:lastRowFirstColumn="0" w:lastRowLastColumn="0"/>
        </w:trPr>
        <w:tc>
          <w:tcPr>
            <w:tcW w:w="5211" w:type="dxa"/>
          </w:tcPr>
          <w:p w:rsidR="000B3D1D" w:rsidRPr="000B3D1D" w:rsidRDefault="000B3D1D" w:rsidP="00901DFB">
            <w:pPr>
              <w:keepNext/>
            </w:pPr>
            <w:r>
              <w:t>if there is to be a review submission date – state the review submission date and the revision commencement date — NGR </w:t>
            </w:r>
            <w:r w:rsidR="00CA1D39">
              <w:t>r</w:t>
            </w:r>
            <w:r w:rsidR="00CA1D39" w:rsidRPr="00CA1D39">
              <w:t>ule</w:t>
            </w:r>
            <w:r>
              <w:t xml:space="preserve"> 48</w:t>
            </w:r>
            <w:r w:rsidRPr="000B3D1D">
              <w:t>(1)(</w:t>
            </w:r>
            <w:proofErr w:type="spellStart"/>
            <w:r w:rsidRPr="000B3D1D">
              <w:t>i</w:t>
            </w:r>
            <w:proofErr w:type="spellEnd"/>
            <w:r w:rsidRPr="000B3D1D">
              <w:t>)</w:t>
            </w:r>
          </w:p>
        </w:tc>
        <w:tc>
          <w:tcPr>
            <w:tcW w:w="3482" w:type="dxa"/>
          </w:tcPr>
          <w:p w:rsidR="000B3D1D" w:rsidRPr="000B3D1D" w:rsidRDefault="000B3D1D" w:rsidP="00901DFB">
            <w:pPr>
              <w:keepNext/>
            </w:pPr>
            <w:r>
              <w:t>Compliant. Clause 9 of the AGN access arrangement proposal.</w:t>
            </w:r>
          </w:p>
        </w:tc>
      </w:tr>
      <w:tr w:rsidR="000B3D1D" w:rsidTr="00915993">
        <w:tc>
          <w:tcPr>
            <w:tcW w:w="5211" w:type="dxa"/>
          </w:tcPr>
          <w:p w:rsidR="000B3D1D" w:rsidRPr="000B3D1D" w:rsidRDefault="000B3D1D" w:rsidP="00901DFB">
            <w:pPr>
              <w:keepNext/>
            </w:pPr>
            <w:r>
              <w:t>if there is to be an expir</w:t>
            </w:r>
            <w:r w:rsidR="00AF11A8">
              <w:t>y</w:t>
            </w:r>
            <w:r>
              <w:t xml:space="preserve"> date – state the expiry date — NGR </w:t>
            </w:r>
            <w:r w:rsidR="00CA1D39">
              <w:t>r</w:t>
            </w:r>
            <w:r w:rsidR="00CA1D39" w:rsidRPr="00CA1D39">
              <w:t>ule</w:t>
            </w:r>
            <w:r w:rsidR="00DA4561">
              <w:t> </w:t>
            </w:r>
            <w:r>
              <w:t>48</w:t>
            </w:r>
            <w:r w:rsidRPr="000B3D1D">
              <w:t>(1)(j)</w:t>
            </w:r>
          </w:p>
        </w:tc>
        <w:tc>
          <w:tcPr>
            <w:tcW w:w="3482" w:type="dxa"/>
          </w:tcPr>
          <w:p w:rsidR="000B3D1D" w:rsidRPr="000B3D1D" w:rsidRDefault="000B3D1D" w:rsidP="00901DFB">
            <w:pPr>
              <w:keepNext/>
            </w:pPr>
            <w:r>
              <w:t>Not applicable.</w:t>
            </w:r>
          </w:p>
        </w:tc>
      </w:tr>
    </w:tbl>
    <w:p w:rsidR="000B3D1D" w:rsidRDefault="00B26BF3" w:rsidP="00901DFB">
      <w:pPr>
        <w:pStyle w:val="AERtablesource"/>
        <w:keepNext/>
      </w:pPr>
      <w:r w:rsidRPr="00B26BF3">
        <w:t>Source:</w:t>
      </w:r>
      <w:r w:rsidRPr="00B26BF3">
        <w:tab/>
        <w:t xml:space="preserve">AER analysis; NGR </w:t>
      </w:r>
      <w:r w:rsidR="00AB3966">
        <w:t>rule</w:t>
      </w:r>
      <w:r w:rsidR="00AB3966" w:rsidRPr="00B26BF3">
        <w:t xml:space="preserve"> </w:t>
      </w:r>
      <w:r w:rsidRPr="00B26BF3">
        <w:t xml:space="preserve">48(1); AGN, </w:t>
      </w:r>
      <w:r w:rsidR="00901DFB" w:rsidRPr="00901DFB">
        <w:rPr>
          <w:rStyle w:val="AERtextitalic"/>
        </w:rPr>
        <w:t xml:space="preserve">Revised </w:t>
      </w:r>
      <w:r w:rsidRPr="00ED4610">
        <w:rPr>
          <w:rStyle w:val="AERtextitalic"/>
        </w:rPr>
        <w:t xml:space="preserve">Access arrangement for AGN’s South Australian Gas Distribution Network </w:t>
      </w:r>
      <w:r w:rsidR="005915FD" w:rsidRPr="00ED4610">
        <w:rPr>
          <w:rStyle w:val="AERtextitalic"/>
        </w:rPr>
        <w:t>1 July 2016 – 30 June 2021</w:t>
      </w:r>
      <w:r w:rsidR="005915FD">
        <w:t xml:space="preserve">, January </w:t>
      </w:r>
      <w:r w:rsidRPr="00B26BF3">
        <w:t>201</w:t>
      </w:r>
      <w:r w:rsidR="005915FD">
        <w:t>6</w:t>
      </w:r>
      <w:r w:rsidRPr="00B26BF3">
        <w:t>.</w:t>
      </w:r>
    </w:p>
    <w:p w:rsidR="00B26BF3" w:rsidRDefault="00B26BF3" w:rsidP="00B26BF3">
      <w:pPr>
        <w:pStyle w:val="Heading3"/>
      </w:pPr>
      <w:bookmarkStart w:id="24" w:name="_Ref441073076"/>
      <w:bookmarkStart w:id="25" w:name="_Toc451523232"/>
      <w:r>
        <w:t>Reference services</w:t>
      </w:r>
      <w:bookmarkEnd w:id="24"/>
      <w:bookmarkEnd w:id="25"/>
    </w:p>
    <w:p w:rsidR="00B26BF3" w:rsidRDefault="005E7635" w:rsidP="00B26BF3">
      <w:r>
        <w:t xml:space="preserve">For the reasons set out in </w:t>
      </w:r>
      <w:r w:rsidR="00B26BF3">
        <w:t xml:space="preserve">our draft decision, we </w:t>
      </w:r>
      <w:r w:rsidR="00B26BF3" w:rsidRPr="00B26BF3">
        <w:t>consider that a significant part of the market is likely to seek services that provide for the transpor</w:t>
      </w:r>
      <w:r w:rsidR="0019792F">
        <w:t>tation of gas, meter reading,</w:t>
      </w:r>
      <w:r w:rsidR="00B26BF3" w:rsidRPr="00B26BF3">
        <w:t xml:space="preserve"> associated data activities and ancillary activities. Accordingly, we consider that the reference services provided by AGN are likely to be sought by a significant part of the market.</w:t>
      </w:r>
      <w:r w:rsidR="00B26BF3">
        <w:rPr>
          <w:rStyle w:val="FootnoteReference"/>
        </w:rPr>
        <w:footnoteReference w:id="13"/>
      </w:r>
      <w:r w:rsidR="006418A1">
        <w:t xml:space="preserve"> </w:t>
      </w:r>
      <w:r w:rsidR="006418A1" w:rsidRPr="006418A1">
        <w:t>This means they must be cove</w:t>
      </w:r>
      <w:r w:rsidR="006418A1">
        <w:t xml:space="preserve">red by the access arrangement. </w:t>
      </w:r>
    </w:p>
    <w:p w:rsidR="007B4786" w:rsidRDefault="00007A8A" w:rsidP="007B4786">
      <w:r>
        <w:t>Our final decision has not disaggregated meter data services from the haulage reference services as suggested by the Consumer</w:t>
      </w:r>
      <w:r w:rsidR="00273058">
        <w:t xml:space="preserve"> Challenge Panel</w:t>
      </w:r>
      <w:r>
        <w:t>.</w:t>
      </w:r>
      <w:r>
        <w:rPr>
          <w:rStyle w:val="FootnoteReference"/>
        </w:rPr>
        <w:footnoteReference w:id="14"/>
      </w:r>
      <w:r w:rsidR="007B4786">
        <w:t xml:space="preserve"> </w:t>
      </w:r>
      <w:r>
        <w:t>W</w:t>
      </w:r>
      <w:r w:rsidR="007B4786">
        <w:t>e note:</w:t>
      </w:r>
    </w:p>
    <w:p w:rsidR="007B4786" w:rsidRDefault="007B4786" w:rsidP="007B4786">
      <w:pPr>
        <w:pStyle w:val="AERbulletlistfirststyle"/>
      </w:pPr>
      <w:r>
        <w:t>t</w:t>
      </w:r>
      <w:r w:rsidRPr="00B278CD">
        <w:t>he market to implement gas meter reading contestability in South Australia has not changed over the current access arrangement period</w:t>
      </w:r>
      <w:r>
        <w:t xml:space="preserve">; and </w:t>
      </w:r>
    </w:p>
    <w:p w:rsidR="007B4786" w:rsidRDefault="007B4786" w:rsidP="007B4786">
      <w:pPr>
        <w:pStyle w:val="AERbulletlistfirststyle"/>
      </w:pPr>
      <w:proofErr w:type="gramStart"/>
      <w:r>
        <w:t>we</w:t>
      </w:r>
      <w:proofErr w:type="gramEnd"/>
      <w:r>
        <w:t xml:space="preserve"> have not been provided with compelling evidence to demonstrate </w:t>
      </w:r>
      <w:r w:rsidRPr="00B278CD">
        <w:t>contestability</w:t>
      </w:r>
      <w:r>
        <w:t xml:space="preserve"> in t</w:t>
      </w:r>
      <w:r w:rsidRPr="00B278CD">
        <w:t xml:space="preserve">he market </w:t>
      </w:r>
      <w:r>
        <w:t>for</w:t>
      </w:r>
      <w:r w:rsidRPr="00B278CD">
        <w:t xml:space="preserve"> meter</w:t>
      </w:r>
      <w:r>
        <w:t>ing services</w:t>
      </w:r>
      <w:r w:rsidRPr="00B278CD">
        <w:t xml:space="preserve"> in South Australia </w:t>
      </w:r>
      <w:r>
        <w:t xml:space="preserve">will </w:t>
      </w:r>
      <w:r w:rsidRPr="00B278CD">
        <w:t>change over the</w:t>
      </w:r>
      <w:r>
        <w:t xml:space="preserve"> forthcoming access arrangement period.</w:t>
      </w:r>
    </w:p>
    <w:p w:rsidR="00B57B06" w:rsidRDefault="00B57B06" w:rsidP="00B57B06">
      <w:r>
        <w:t xml:space="preserve">We note that price signals are a key element in the development of contestability in services. We consider sufficient price signals will be available over the </w:t>
      </w:r>
      <w:r w:rsidRPr="00B57B06">
        <w:t>2016–21 access arrangement</w:t>
      </w:r>
      <w:r>
        <w:t xml:space="preserve"> </w:t>
      </w:r>
      <w:proofErr w:type="gramStart"/>
      <w:r>
        <w:t>period</w:t>
      </w:r>
      <w:proofErr w:type="gramEnd"/>
      <w:r>
        <w:t xml:space="preserve"> to assist in the development of contestability since AGN's list of ancillary network services contains prices for most metering services it provides.</w:t>
      </w:r>
    </w:p>
    <w:p w:rsidR="00B57B06" w:rsidRDefault="0019792F" w:rsidP="00280554">
      <w:r>
        <w:t>As noted in our draft decision, we will monitor the market for metering services over the coming years to see whe</w:t>
      </w:r>
      <w:r w:rsidR="00A15B70">
        <w:t>ther the</w:t>
      </w:r>
      <w:r w:rsidR="007B4786">
        <w:t>ir</w:t>
      </w:r>
      <w:r w:rsidR="00A15B70">
        <w:t xml:space="preserve"> disaggregation </w:t>
      </w:r>
      <w:r>
        <w:t>from the haulage reference services is warranted</w:t>
      </w:r>
      <w:r w:rsidR="00174330">
        <w:t xml:space="preserve"> for future access arrangements</w:t>
      </w:r>
      <w:r>
        <w:t>.</w:t>
      </w:r>
      <w:r>
        <w:rPr>
          <w:rStyle w:val="FootnoteReference"/>
        </w:rPr>
        <w:footnoteReference w:id="15"/>
      </w:r>
      <w:r w:rsidR="00174330">
        <w:t xml:space="preserve"> </w:t>
      </w:r>
    </w:p>
    <w:p w:rsidR="00B26BF3" w:rsidRDefault="0039463A" w:rsidP="00B26BF3">
      <w:pPr>
        <w:pStyle w:val="Heading3"/>
      </w:pPr>
      <w:bookmarkStart w:id="26" w:name="_Toc451523233"/>
      <w:r>
        <w:t>Non–reference services</w:t>
      </w:r>
      <w:bookmarkEnd w:id="26"/>
    </w:p>
    <w:p w:rsidR="00B26BF3" w:rsidRPr="0039463A" w:rsidRDefault="0039463A" w:rsidP="0039463A">
      <w:r>
        <w:t xml:space="preserve">As per our draft decision, we agree with AGN that its proposed </w:t>
      </w:r>
      <w:r w:rsidRPr="0039463A">
        <w:t>negotiated services are non-reference service</w:t>
      </w:r>
      <w:r>
        <w:t>s</w:t>
      </w:r>
      <w:r w:rsidR="00B008D3">
        <w:t xml:space="preserve"> because </w:t>
      </w:r>
      <w:r w:rsidRPr="0039463A">
        <w:t xml:space="preserve">they are not likely to be sought by a significant part of the market and </w:t>
      </w:r>
      <w:r w:rsidR="00B008D3">
        <w:t xml:space="preserve">therefore </w:t>
      </w:r>
      <w:r w:rsidRPr="0039463A">
        <w:t>should not be specified as a reference service.</w:t>
      </w:r>
      <w:r>
        <w:rPr>
          <w:rStyle w:val="FootnoteReference"/>
        </w:rPr>
        <w:footnoteReference w:id="16"/>
      </w:r>
    </w:p>
    <w:sectPr w:rsidR="00B26BF3" w:rsidRPr="0039463A" w:rsidSect="00B757A6">
      <w:headerReference w:type="even" r:id="rId12"/>
      <w:footerReference w:type="even" r:id="rId13"/>
      <w:footerReference w:type="default" r:id="rId14"/>
      <w:headerReference w:type="first" r:id="rId15"/>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646" w:rsidRPr="00290C63" w:rsidRDefault="00393646" w:rsidP="00290C63">
      <w:r>
        <w:separator/>
      </w:r>
    </w:p>
    <w:p w:rsidR="00393646" w:rsidRDefault="00393646"/>
  </w:endnote>
  <w:endnote w:type="continuationSeparator" w:id="0">
    <w:p w:rsidR="00393646" w:rsidRPr="00290C63" w:rsidRDefault="00393646" w:rsidP="00290C63">
      <w:r>
        <w:continuationSeparator/>
      </w:r>
    </w:p>
    <w:p w:rsidR="00393646" w:rsidRDefault="003936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altName w:val="Calibri"/>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646" w:rsidRDefault="00393646">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393646" w:rsidRDefault="00393646">
    <w:pPr>
      <w:pStyle w:val="Footer"/>
    </w:pPr>
  </w:p>
  <w:p w:rsidR="00393646" w:rsidRDefault="00393646">
    <w:pPr>
      <w:pStyle w:val="Footer"/>
    </w:pPr>
    <w:r>
      <w:fldChar w:fldCharType="begin"/>
    </w:r>
    <w:r>
      <w:instrText xml:space="preserve"> DOCPROPERTY DocumentID \* MERGEFORMAT </w:instrText>
    </w:r>
    <w:r>
      <w:fldChar w:fldCharType="separate"/>
    </w:r>
    <w:r>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393646" w:rsidRPr="00CA52A2" w:rsidRDefault="00393646" w:rsidP="00CA52A2">
        <w:pPr>
          <w:pStyle w:val="Footer"/>
        </w:pPr>
        <w:r w:rsidRPr="00CA52A2">
          <w:fldChar w:fldCharType="begin"/>
        </w:r>
        <w:r>
          <w:instrText xml:space="preserve"> PAGE   \* MERGEFORMAT </w:instrText>
        </w:r>
        <w:r w:rsidRPr="00CA52A2">
          <w:fldChar w:fldCharType="separate"/>
        </w:r>
        <w:r w:rsidR="002F3B7A">
          <w:rPr>
            <w:noProof/>
          </w:rPr>
          <w:t>1-10</w:t>
        </w:r>
        <w:r w:rsidRPr="00CA52A2">
          <w:fldChar w:fldCharType="end"/>
        </w:r>
        <w:r w:rsidRPr="00CA52A2">
          <w:t xml:space="preserve">          Attachment </w:t>
        </w:r>
        <w:r w:rsidR="002146AD">
          <w:t>1</w:t>
        </w:r>
        <w:r>
          <w:t xml:space="preserve"> </w:t>
        </w:r>
        <w:r w:rsidRPr="00CA52A2">
          <w:t xml:space="preserve">– </w:t>
        </w:r>
        <w:r w:rsidR="002146AD">
          <w:t>Services covered by the access arrangement</w:t>
        </w:r>
        <w:r w:rsidR="00D46BD3">
          <w:t xml:space="preserve"> </w:t>
        </w:r>
        <w:r w:rsidRPr="00CA52A2">
          <w:t xml:space="preserve">| </w:t>
        </w:r>
        <w:r w:rsidR="00D41E80">
          <w:t>Final</w:t>
        </w:r>
        <w:r>
          <w:t xml:space="preserve"> decision: </w:t>
        </w:r>
        <w:r w:rsidR="00E07A9D">
          <w:t>Australian Gas Networks</w:t>
        </w:r>
        <w:r>
          <w:t xml:space="preserve"> Access Arrangement 2016</w:t>
        </w:r>
        <w:r w:rsidRPr="00CA52A2">
          <w:t>–</w:t>
        </w:r>
        <w:r>
          <w:t>21</w:t>
        </w:r>
      </w:p>
    </w:sdtContent>
  </w:sdt>
  <w:p w:rsidR="00393646" w:rsidRDefault="00393646">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646" w:rsidRPr="00290C63" w:rsidRDefault="00393646" w:rsidP="00290C63">
      <w:r>
        <w:separator/>
      </w:r>
    </w:p>
    <w:p w:rsidR="00393646" w:rsidRDefault="00393646"/>
  </w:footnote>
  <w:footnote w:type="continuationSeparator" w:id="0">
    <w:p w:rsidR="00393646" w:rsidRPr="00290C63" w:rsidRDefault="00393646" w:rsidP="00290C63">
      <w:r>
        <w:continuationSeparator/>
      </w:r>
    </w:p>
    <w:p w:rsidR="00393646" w:rsidRDefault="00393646"/>
  </w:footnote>
  <w:footnote w:id="1">
    <w:p w:rsidR="00546678" w:rsidRDefault="00546678" w:rsidP="00546678">
      <w:pPr>
        <w:pStyle w:val="FootnoteText"/>
      </w:pPr>
      <w:r>
        <w:rPr>
          <w:rStyle w:val="FootnoteReference"/>
        </w:rPr>
        <w:footnoteRef/>
      </w:r>
      <w:r>
        <w:t xml:space="preserve"> </w:t>
      </w:r>
      <w:r>
        <w:tab/>
        <w:t xml:space="preserve">NGR, </w:t>
      </w:r>
      <w:proofErr w:type="spellStart"/>
      <w:proofErr w:type="gramStart"/>
      <w:r w:rsidR="00DA4561">
        <w:t>r</w:t>
      </w:r>
      <w:r>
        <w:t>r</w:t>
      </w:r>
      <w:proofErr w:type="spellEnd"/>
      <w:proofErr w:type="gramEnd"/>
      <w:r>
        <w:t>. 48(1</w:t>
      </w:r>
      <w:proofErr w:type="gramStart"/>
      <w:r>
        <w:t>)(</w:t>
      </w:r>
      <w:proofErr w:type="gramEnd"/>
      <w:r>
        <w:t>a), 48(1)(b).</w:t>
      </w:r>
    </w:p>
  </w:footnote>
  <w:footnote w:id="2">
    <w:p w:rsidR="00A26817" w:rsidRDefault="00A26817" w:rsidP="00A26817">
      <w:pPr>
        <w:pStyle w:val="FootnoteText"/>
      </w:pPr>
      <w:r>
        <w:rPr>
          <w:rStyle w:val="FootnoteReference"/>
        </w:rPr>
        <w:footnoteRef/>
      </w:r>
      <w:r>
        <w:t xml:space="preserve"> </w:t>
      </w:r>
      <w:r>
        <w:tab/>
      </w:r>
      <w:proofErr w:type="gramStart"/>
      <w:r>
        <w:t>NGR, r. 48(1).</w:t>
      </w:r>
      <w:proofErr w:type="gramEnd"/>
    </w:p>
  </w:footnote>
  <w:footnote w:id="3">
    <w:p w:rsidR="00F80D06" w:rsidRDefault="00F80D06">
      <w:pPr>
        <w:pStyle w:val="FootnoteText"/>
      </w:pPr>
      <w:r>
        <w:rPr>
          <w:rStyle w:val="FootnoteReference"/>
        </w:rPr>
        <w:footnoteRef/>
      </w:r>
      <w:r>
        <w:t xml:space="preserve"> </w:t>
      </w:r>
      <w:r>
        <w:tab/>
      </w:r>
      <w:r w:rsidR="00084A61">
        <w:t xml:space="preserve">AER, </w:t>
      </w:r>
      <w:r w:rsidR="00084A61" w:rsidRPr="00915993">
        <w:rPr>
          <w:rStyle w:val="AERtextitalic"/>
        </w:rPr>
        <w:t>Draft decision:</w:t>
      </w:r>
      <w:r w:rsidR="00E23D9B" w:rsidRPr="00915993">
        <w:rPr>
          <w:rStyle w:val="AERtextitalic"/>
        </w:rPr>
        <w:t xml:space="preserve"> </w:t>
      </w:r>
      <w:r w:rsidR="00F3762B" w:rsidRPr="00915993">
        <w:rPr>
          <w:rStyle w:val="AERtextitalic"/>
        </w:rPr>
        <w:t xml:space="preserve">Australian Gas Networks </w:t>
      </w:r>
      <w:r w:rsidR="00915993" w:rsidRPr="00915993">
        <w:rPr>
          <w:rStyle w:val="AERtextitalic"/>
        </w:rPr>
        <w:t>access arrangement 2016 to 2021: Attachment 1 — Services covered by the access arrangement</w:t>
      </w:r>
      <w:r w:rsidR="00915993">
        <w:t>, November 2015, p. </w:t>
      </w:r>
      <w:r w:rsidR="00B23126">
        <w:t>1-</w:t>
      </w:r>
      <w:r w:rsidR="00915993">
        <w:t xml:space="preserve">6; </w:t>
      </w:r>
      <w:r>
        <w:t>AGN</w:t>
      </w:r>
      <w:r w:rsidRPr="00E5257A">
        <w:rPr>
          <w:rStyle w:val="AERtextitalic"/>
        </w:rPr>
        <w:t xml:space="preserve">, </w:t>
      </w:r>
      <w:r w:rsidR="00DC54A0" w:rsidRPr="00DC54A0">
        <w:rPr>
          <w:rStyle w:val="AERtextitalic"/>
        </w:rPr>
        <w:t>Revised Access Arrangement Information for AGN's SA Natural Gas Distribution Network - January 2016 - Attachment 6.1 Pipeline Services</w:t>
      </w:r>
      <w:r>
        <w:t>, January 2016, pp. 1–2.</w:t>
      </w:r>
    </w:p>
  </w:footnote>
  <w:footnote w:id="4">
    <w:p w:rsidR="00E5257A" w:rsidRDefault="00E5257A">
      <w:pPr>
        <w:pStyle w:val="FootnoteText"/>
      </w:pPr>
      <w:r>
        <w:rPr>
          <w:rStyle w:val="FootnoteReference"/>
        </w:rPr>
        <w:footnoteRef/>
      </w:r>
      <w:r>
        <w:t xml:space="preserve"> </w:t>
      </w:r>
      <w:r>
        <w:tab/>
      </w:r>
      <w:proofErr w:type="gramStart"/>
      <w:r w:rsidRPr="00E5257A">
        <w:t xml:space="preserve">AGN, </w:t>
      </w:r>
      <w:r w:rsidRPr="00E5257A">
        <w:rPr>
          <w:rStyle w:val="AERtextitalic"/>
        </w:rPr>
        <w:t>Access arrangement information</w:t>
      </w:r>
      <w:r w:rsidR="00DC54A0" w:rsidRPr="00DC54A0">
        <w:rPr>
          <w:rStyle w:val="AERtextitalic"/>
        </w:rPr>
        <w:t xml:space="preserve"> </w:t>
      </w:r>
      <w:r w:rsidR="00DC54A0">
        <w:rPr>
          <w:rStyle w:val="AERtextitalic"/>
        </w:rPr>
        <w:t>f</w:t>
      </w:r>
      <w:r w:rsidR="00DC54A0" w:rsidRPr="00DC54A0">
        <w:rPr>
          <w:rStyle w:val="AERtextitalic"/>
        </w:rPr>
        <w:t>or Australian Gas Networks’ South Australian Natural Gas Distribution Network</w:t>
      </w:r>
      <w:r w:rsidRPr="00E5257A">
        <w:t>, July 2015, pp. 103–105.</w:t>
      </w:r>
      <w:proofErr w:type="gramEnd"/>
    </w:p>
  </w:footnote>
  <w:footnote w:id="5">
    <w:p w:rsidR="005B5913" w:rsidRDefault="005B5913">
      <w:pPr>
        <w:pStyle w:val="FootnoteText"/>
      </w:pPr>
      <w:r>
        <w:rPr>
          <w:rStyle w:val="FootnoteReference"/>
        </w:rPr>
        <w:footnoteRef/>
      </w:r>
      <w:r>
        <w:t xml:space="preserve"> </w:t>
      </w:r>
      <w:r>
        <w:tab/>
        <w:t>AGN</w:t>
      </w:r>
      <w:r w:rsidRPr="00E5257A">
        <w:rPr>
          <w:rStyle w:val="AERtextitalic"/>
        </w:rPr>
        <w:t xml:space="preserve">, </w:t>
      </w:r>
      <w:r w:rsidR="00DC54A0" w:rsidRPr="00DC54A0">
        <w:rPr>
          <w:rStyle w:val="AERtextitalic"/>
        </w:rPr>
        <w:t>Revised Access Arrangement Information for AGN's SA Natural Gas Distribution Network - January 2016 - Attachment 6.1 Pipeline Services</w:t>
      </w:r>
      <w:r>
        <w:t>, January 2016, p. 2.</w:t>
      </w:r>
    </w:p>
  </w:footnote>
  <w:footnote w:id="6">
    <w:p w:rsidR="005B5913" w:rsidRDefault="005B5913">
      <w:pPr>
        <w:pStyle w:val="FootnoteText"/>
      </w:pPr>
      <w:r>
        <w:rPr>
          <w:rStyle w:val="FootnoteReference"/>
        </w:rPr>
        <w:footnoteRef/>
      </w:r>
      <w:r>
        <w:t xml:space="preserve"> </w:t>
      </w:r>
      <w:r>
        <w:tab/>
      </w:r>
      <w:proofErr w:type="gramStart"/>
      <w:r w:rsidRPr="005B5913">
        <w:t xml:space="preserve">AGN, </w:t>
      </w:r>
      <w:r w:rsidR="00DC54A0" w:rsidRPr="00E5257A">
        <w:rPr>
          <w:rStyle w:val="AERtextitalic"/>
        </w:rPr>
        <w:t>Access arrangement information</w:t>
      </w:r>
      <w:r w:rsidR="00DC54A0" w:rsidRPr="00DC54A0">
        <w:rPr>
          <w:rStyle w:val="AERtextitalic"/>
        </w:rPr>
        <w:t xml:space="preserve"> </w:t>
      </w:r>
      <w:r w:rsidR="00DC54A0">
        <w:rPr>
          <w:rStyle w:val="AERtextitalic"/>
        </w:rPr>
        <w:t>f</w:t>
      </w:r>
      <w:r w:rsidR="00DC54A0" w:rsidRPr="00DC54A0">
        <w:rPr>
          <w:rStyle w:val="AERtextitalic"/>
        </w:rPr>
        <w:t>or Australian Gas Networks’ South Australian Natural Gas Distribution Network</w:t>
      </w:r>
      <w:r w:rsidR="00DC54A0" w:rsidRPr="00E5257A">
        <w:t>, July 2015</w:t>
      </w:r>
      <w:r w:rsidRPr="005B5913">
        <w:t>, p. 103.</w:t>
      </w:r>
      <w:proofErr w:type="gramEnd"/>
    </w:p>
  </w:footnote>
  <w:footnote w:id="7">
    <w:p w:rsidR="005B5913" w:rsidRDefault="005B5913">
      <w:pPr>
        <w:pStyle w:val="FootnoteText"/>
      </w:pPr>
      <w:r>
        <w:rPr>
          <w:rStyle w:val="FootnoteReference"/>
        </w:rPr>
        <w:footnoteRef/>
      </w:r>
      <w:r>
        <w:t xml:space="preserve"> </w:t>
      </w:r>
      <w:r>
        <w:tab/>
      </w:r>
      <w:proofErr w:type="gramStart"/>
      <w:r w:rsidRPr="005B5913">
        <w:t xml:space="preserve">AGN, </w:t>
      </w:r>
      <w:r w:rsidR="00DC54A0" w:rsidRPr="00E5257A">
        <w:rPr>
          <w:rStyle w:val="AERtextitalic"/>
        </w:rPr>
        <w:t>Access arrangement information</w:t>
      </w:r>
      <w:r w:rsidR="00DC54A0" w:rsidRPr="00DC54A0">
        <w:rPr>
          <w:rStyle w:val="AERtextitalic"/>
        </w:rPr>
        <w:t xml:space="preserve"> </w:t>
      </w:r>
      <w:r w:rsidR="00DC54A0">
        <w:rPr>
          <w:rStyle w:val="AERtextitalic"/>
        </w:rPr>
        <w:t>f</w:t>
      </w:r>
      <w:r w:rsidR="00DC54A0" w:rsidRPr="00DC54A0">
        <w:rPr>
          <w:rStyle w:val="AERtextitalic"/>
        </w:rPr>
        <w:t>or Australian Gas Networks’ South Australian Natural Gas Distribution Network</w:t>
      </w:r>
      <w:r w:rsidR="00DC54A0" w:rsidRPr="00E5257A">
        <w:t>, July 2015</w:t>
      </w:r>
      <w:r w:rsidRPr="005B5913">
        <w:t>, p. 104.</w:t>
      </w:r>
      <w:proofErr w:type="gramEnd"/>
    </w:p>
  </w:footnote>
  <w:footnote w:id="8">
    <w:p w:rsidR="00C922D1" w:rsidRDefault="00C922D1">
      <w:pPr>
        <w:pStyle w:val="FootnoteText"/>
      </w:pPr>
      <w:r>
        <w:rPr>
          <w:rStyle w:val="FootnoteReference"/>
        </w:rPr>
        <w:footnoteRef/>
      </w:r>
      <w:r>
        <w:t xml:space="preserve"> </w:t>
      </w:r>
      <w:r>
        <w:tab/>
        <w:t>AGN</w:t>
      </w:r>
      <w:r w:rsidRPr="00E5257A">
        <w:rPr>
          <w:rStyle w:val="AERtextitalic"/>
        </w:rPr>
        <w:t xml:space="preserve">, </w:t>
      </w:r>
      <w:r w:rsidR="00DC54A0" w:rsidRPr="00DC54A0">
        <w:rPr>
          <w:rStyle w:val="AERtextitalic"/>
        </w:rPr>
        <w:t>Revised Access Arrangement Information for AGN's SA Natural Gas Distribution Network - January 2016 - Attachment 6.1 Pipeline Services</w:t>
      </w:r>
      <w:r w:rsidR="00DC54A0">
        <w:t>, January 2016</w:t>
      </w:r>
      <w:r>
        <w:t>, p. 2.</w:t>
      </w:r>
    </w:p>
  </w:footnote>
  <w:footnote w:id="9">
    <w:p w:rsidR="00C922D1" w:rsidRDefault="00C922D1">
      <w:pPr>
        <w:pStyle w:val="FootnoteText"/>
      </w:pPr>
      <w:r>
        <w:rPr>
          <w:rStyle w:val="FootnoteReference"/>
        </w:rPr>
        <w:footnoteRef/>
      </w:r>
      <w:r>
        <w:t xml:space="preserve"> </w:t>
      </w:r>
      <w:r>
        <w:tab/>
        <w:t>AGN</w:t>
      </w:r>
      <w:r w:rsidRPr="00E5257A">
        <w:rPr>
          <w:rStyle w:val="AERtextitalic"/>
        </w:rPr>
        <w:t>, Revised access arrangement information: Attachment 6.1 – Response to draft decision: Pipeline Services</w:t>
      </w:r>
      <w:r>
        <w:t>, January 2016, p. 2.</w:t>
      </w:r>
    </w:p>
  </w:footnote>
  <w:footnote w:id="10">
    <w:p w:rsidR="00C922D1" w:rsidRDefault="00C922D1">
      <w:pPr>
        <w:pStyle w:val="FootnoteText"/>
      </w:pPr>
      <w:r>
        <w:rPr>
          <w:rStyle w:val="FootnoteReference"/>
        </w:rPr>
        <w:footnoteRef/>
      </w:r>
      <w:r>
        <w:t xml:space="preserve"> </w:t>
      </w:r>
      <w:r>
        <w:tab/>
      </w:r>
      <w:proofErr w:type="gramStart"/>
      <w:r w:rsidRPr="00C922D1">
        <w:t xml:space="preserve">AGN, </w:t>
      </w:r>
      <w:r w:rsidRPr="00C922D1">
        <w:rPr>
          <w:rStyle w:val="AERtextitalic"/>
        </w:rPr>
        <w:t>Access arrangement information</w:t>
      </w:r>
      <w:r w:rsidRPr="00C922D1">
        <w:t>, July 2015, p. 104.</w:t>
      </w:r>
      <w:proofErr w:type="gramEnd"/>
    </w:p>
  </w:footnote>
  <w:footnote w:id="11">
    <w:p w:rsidR="00546678" w:rsidRDefault="00546678" w:rsidP="00546678">
      <w:pPr>
        <w:pStyle w:val="FootnoteText"/>
      </w:pPr>
      <w:r>
        <w:rPr>
          <w:rStyle w:val="FootnoteReference"/>
        </w:rPr>
        <w:footnoteRef/>
      </w:r>
      <w:r>
        <w:t xml:space="preserve"> </w:t>
      </w:r>
      <w:r>
        <w:tab/>
      </w:r>
      <w:proofErr w:type="gramStart"/>
      <w:r>
        <w:t>NGR, r. 48.</w:t>
      </w:r>
      <w:proofErr w:type="gramEnd"/>
    </w:p>
  </w:footnote>
  <w:footnote w:id="12">
    <w:p w:rsidR="00546678" w:rsidRDefault="00546678" w:rsidP="00546678">
      <w:pPr>
        <w:pStyle w:val="FootnoteText"/>
      </w:pPr>
      <w:r>
        <w:rPr>
          <w:rStyle w:val="FootnoteReference"/>
        </w:rPr>
        <w:footnoteRef/>
      </w:r>
      <w:r>
        <w:t xml:space="preserve"> </w:t>
      </w:r>
      <w:r>
        <w:tab/>
      </w:r>
      <w:proofErr w:type="gramStart"/>
      <w:r>
        <w:t>NGR, r. 100(a).</w:t>
      </w:r>
      <w:proofErr w:type="gramEnd"/>
    </w:p>
  </w:footnote>
  <w:footnote w:id="13">
    <w:p w:rsidR="00B26BF3" w:rsidRDefault="00B26BF3">
      <w:pPr>
        <w:pStyle w:val="FootnoteText"/>
      </w:pPr>
      <w:r>
        <w:rPr>
          <w:rStyle w:val="FootnoteReference"/>
        </w:rPr>
        <w:footnoteRef/>
      </w:r>
      <w:r>
        <w:t xml:space="preserve"> </w:t>
      </w:r>
      <w:r>
        <w:tab/>
      </w:r>
      <w:proofErr w:type="gramStart"/>
      <w:r>
        <w:t>NGR, r. 101.</w:t>
      </w:r>
      <w:proofErr w:type="gramEnd"/>
    </w:p>
  </w:footnote>
  <w:footnote w:id="14">
    <w:p w:rsidR="00007A8A" w:rsidRDefault="00007A8A" w:rsidP="00007A8A">
      <w:pPr>
        <w:pStyle w:val="FootnoteText"/>
      </w:pPr>
      <w:r>
        <w:rPr>
          <w:rStyle w:val="FootnoteReference"/>
        </w:rPr>
        <w:footnoteRef/>
      </w:r>
      <w:r>
        <w:t xml:space="preserve"> </w:t>
      </w:r>
      <w:r>
        <w:tab/>
      </w:r>
      <w:proofErr w:type="gramStart"/>
      <w:r>
        <w:t xml:space="preserve">Consumer Challenge Panel, </w:t>
      </w:r>
      <w:r w:rsidRPr="00174330">
        <w:rPr>
          <w:rStyle w:val="AERtextitalic"/>
        </w:rPr>
        <w:t>Advice to AER from Consumer Channel Panel sub</w:t>
      </w:r>
      <w:r w:rsidRPr="00174330">
        <w:rPr>
          <w:rStyle w:val="AERtextitalic"/>
        </w:rPr>
        <w:noBreakHyphen/>
        <w:t>panel 8 regarding the AER draft decision and Australian Gas Networks’ (SA) revised access arrangement 2016–2021 proposal</w:t>
      </w:r>
      <w:r w:rsidR="00607028">
        <w:t>, 31 March</w:t>
      </w:r>
      <w:r>
        <w:t> 2016, p. 7</w:t>
      </w:r>
      <w:r w:rsidRPr="00174330">
        <w:t>.</w:t>
      </w:r>
      <w:proofErr w:type="gramEnd"/>
    </w:p>
  </w:footnote>
  <w:footnote w:id="15">
    <w:p w:rsidR="0019792F" w:rsidRDefault="0019792F">
      <w:pPr>
        <w:pStyle w:val="FootnoteText"/>
      </w:pPr>
      <w:r>
        <w:rPr>
          <w:rStyle w:val="FootnoteReference"/>
        </w:rPr>
        <w:footnoteRef/>
      </w:r>
      <w:r>
        <w:t xml:space="preserve"> </w:t>
      </w:r>
      <w:r>
        <w:tab/>
        <w:t xml:space="preserve">AER, </w:t>
      </w:r>
      <w:r w:rsidRPr="00915993">
        <w:rPr>
          <w:rStyle w:val="AERtextitalic"/>
        </w:rPr>
        <w:t>Draft decision: Australian Gas Networks access arrangement 2016 to 2021: Attachment 1 — Services covered by the access arrangement</w:t>
      </w:r>
      <w:r>
        <w:t>, November 2015, p. </w:t>
      </w:r>
      <w:r w:rsidR="00B23126">
        <w:t>1-</w:t>
      </w:r>
      <w:r>
        <w:t>6</w:t>
      </w:r>
      <w:r w:rsidR="00174330">
        <w:t>.</w:t>
      </w:r>
    </w:p>
  </w:footnote>
  <w:footnote w:id="16">
    <w:p w:rsidR="0039463A" w:rsidRDefault="0039463A">
      <w:pPr>
        <w:pStyle w:val="FootnoteText"/>
      </w:pPr>
      <w:r>
        <w:rPr>
          <w:rStyle w:val="FootnoteReference"/>
        </w:rPr>
        <w:footnoteRef/>
      </w:r>
      <w:r>
        <w:t xml:space="preserve"> </w:t>
      </w:r>
      <w:r>
        <w:tab/>
      </w:r>
      <w:proofErr w:type="gramStart"/>
      <w:r>
        <w:t>NGR, r. 101.</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646" w:rsidRDefault="002F3B7A">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393646">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646" w:rsidRDefault="002F3B7A">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1">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3">
    <w:nsid w:val="5ECE4384"/>
    <w:multiLevelType w:val="multilevel"/>
    <w:tmpl w:val="97681AA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E2819EC"/>
    <w:multiLevelType w:val="multilevel"/>
    <w:tmpl w:val="1250F310"/>
    <w:lvl w:ilvl="0">
      <w:start w:val="1"/>
      <w:numFmt w:val="bullet"/>
      <w:pStyle w:val="AERbulletlistfirststyle"/>
      <w:lvlText w:val=""/>
      <w:lvlJc w:val="left"/>
      <w:pPr>
        <w:ind w:left="644"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7"/>
  </w:num>
  <w:num w:numId="14">
    <w:abstractNumId w:val="10"/>
  </w:num>
  <w:num w:numId="15">
    <w:abstractNumId w:val="12"/>
  </w:num>
  <w:num w:numId="16">
    <w:abstractNumId w:val="18"/>
  </w:num>
  <w:num w:numId="17">
    <w:abstractNumId w:val="9"/>
  </w:num>
  <w:num w:numId="18">
    <w:abstractNumId w:val="14"/>
  </w:num>
  <w:num w:numId="19">
    <w:abstractNumId w:val="19"/>
  </w:num>
  <w:num w:numId="20">
    <w:abstractNumId w:val="25"/>
  </w:num>
  <w:num w:numId="21">
    <w:abstractNumId w:val="22"/>
  </w:num>
  <w:num w:numId="22">
    <w:abstractNumId w:val="20"/>
  </w:num>
  <w:num w:numId="23">
    <w:abstractNumId w:val="15"/>
  </w:num>
  <w:num w:numId="24">
    <w:abstractNumId w:val="21"/>
  </w:num>
  <w:num w:numId="25">
    <w:abstractNumId w:val="23"/>
  </w:num>
  <w:num w:numId="26">
    <w:abstractNumId w:val="16"/>
  </w:num>
  <w:num w:numId="27">
    <w:abstractNumId w:val="13"/>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6QQ8FqiVbusprK3CxUgkVPIFQL19AZ2xXfjU+GOZFhQ=" w:saltValue="L6IJSwKwTKUQdUjE3tHc9Q==" w:algorithmName="SHA-256"/>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8720\AER15 4332  AER - Final decision Amadeus Gas Pipeline Access Arrangement - Attachment 1 - Services covered by the access arrangement - April 2016.DOCX"/>
  </w:docVars>
  <w:rsids>
    <w:rsidRoot w:val="00961A4A"/>
    <w:rsid w:val="00004633"/>
    <w:rsid w:val="00007A8A"/>
    <w:rsid w:val="00010286"/>
    <w:rsid w:val="00021202"/>
    <w:rsid w:val="00021C2B"/>
    <w:rsid w:val="0002517F"/>
    <w:rsid w:val="00026495"/>
    <w:rsid w:val="0003578C"/>
    <w:rsid w:val="000401AF"/>
    <w:rsid w:val="00041DDA"/>
    <w:rsid w:val="00063247"/>
    <w:rsid w:val="00063A92"/>
    <w:rsid w:val="00070F9F"/>
    <w:rsid w:val="0007137B"/>
    <w:rsid w:val="00077742"/>
    <w:rsid w:val="00084A61"/>
    <w:rsid w:val="00085663"/>
    <w:rsid w:val="00085EBF"/>
    <w:rsid w:val="00085F93"/>
    <w:rsid w:val="00091B15"/>
    <w:rsid w:val="000A1E7C"/>
    <w:rsid w:val="000A3020"/>
    <w:rsid w:val="000A6C7B"/>
    <w:rsid w:val="000B0360"/>
    <w:rsid w:val="000B3D1D"/>
    <w:rsid w:val="000C2B40"/>
    <w:rsid w:val="000D01F4"/>
    <w:rsid w:val="000D06C1"/>
    <w:rsid w:val="000D122C"/>
    <w:rsid w:val="000D3016"/>
    <w:rsid w:val="000D64F2"/>
    <w:rsid w:val="000D7F32"/>
    <w:rsid w:val="000E1819"/>
    <w:rsid w:val="000E4821"/>
    <w:rsid w:val="000E6C72"/>
    <w:rsid w:val="000F0B2B"/>
    <w:rsid w:val="000F3E72"/>
    <w:rsid w:val="000F48B1"/>
    <w:rsid w:val="000F723D"/>
    <w:rsid w:val="00103A67"/>
    <w:rsid w:val="00116EB2"/>
    <w:rsid w:val="00124609"/>
    <w:rsid w:val="00126A4C"/>
    <w:rsid w:val="00142AB6"/>
    <w:rsid w:val="0014573B"/>
    <w:rsid w:val="00147E70"/>
    <w:rsid w:val="00156DCC"/>
    <w:rsid w:val="001573E4"/>
    <w:rsid w:val="00160756"/>
    <w:rsid w:val="0017232E"/>
    <w:rsid w:val="00174102"/>
    <w:rsid w:val="00174330"/>
    <w:rsid w:val="0017480F"/>
    <w:rsid w:val="001754EE"/>
    <w:rsid w:val="00180157"/>
    <w:rsid w:val="00182467"/>
    <w:rsid w:val="00185CB9"/>
    <w:rsid w:val="00186F77"/>
    <w:rsid w:val="001926A4"/>
    <w:rsid w:val="00192AD5"/>
    <w:rsid w:val="00195201"/>
    <w:rsid w:val="0019792F"/>
    <w:rsid w:val="001B3F62"/>
    <w:rsid w:val="001B45A0"/>
    <w:rsid w:val="001B45C0"/>
    <w:rsid w:val="001B6F2E"/>
    <w:rsid w:val="001B7D00"/>
    <w:rsid w:val="001C17E7"/>
    <w:rsid w:val="001D055E"/>
    <w:rsid w:val="001E009C"/>
    <w:rsid w:val="001E4C9F"/>
    <w:rsid w:val="001E5FE2"/>
    <w:rsid w:val="001F05A4"/>
    <w:rsid w:val="001F492E"/>
    <w:rsid w:val="001F6DA3"/>
    <w:rsid w:val="002010BC"/>
    <w:rsid w:val="002016E7"/>
    <w:rsid w:val="00201F98"/>
    <w:rsid w:val="00202E03"/>
    <w:rsid w:val="0020478D"/>
    <w:rsid w:val="0020492C"/>
    <w:rsid w:val="00205A33"/>
    <w:rsid w:val="002146AD"/>
    <w:rsid w:val="0022444D"/>
    <w:rsid w:val="00224DB9"/>
    <w:rsid w:val="00227DCE"/>
    <w:rsid w:val="0023276C"/>
    <w:rsid w:val="00233775"/>
    <w:rsid w:val="00251745"/>
    <w:rsid w:val="00263AC0"/>
    <w:rsid w:val="00264264"/>
    <w:rsid w:val="0026772D"/>
    <w:rsid w:val="00273058"/>
    <w:rsid w:val="00277554"/>
    <w:rsid w:val="00280554"/>
    <w:rsid w:val="00286874"/>
    <w:rsid w:val="00290C63"/>
    <w:rsid w:val="00296B65"/>
    <w:rsid w:val="0029724D"/>
    <w:rsid w:val="002A6688"/>
    <w:rsid w:val="002A7DEF"/>
    <w:rsid w:val="002B1003"/>
    <w:rsid w:val="002B573C"/>
    <w:rsid w:val="002C233C"/>
    <w:rsid w:val="002D72E8"/>
    <w:rsid w:val="002E7B22"/>
    <w:rsid w:val="002F3B7A"/>
    <w:rsid w:val="002F7986"/>
    <w:rsid w:val="00301B40"/>
    <w:rsid w:val="00301F1F"/>
    <w:rsid w:val="003029A5"/>
    <w:rsid w:val="003029EE"/>
    <w:rsid w:val="0030370B"/>
    <w:rsid w:val="00305CC8"/>
    <w:rsid w:val="00307F6D"/>
    <w:rsid w:val="003130C9"/>
    <w:rsid w:val="003177A2"/>
    <w:rsid w:val="00320869"/>
    <w:rsid w:val="00322391"/>
    <w:rsid w:val="00326B1D"/>
    <w:rsid w:val="003271B5"/>
    <w:rsid w:val="00327A1E"/>
    <w:rsid w:val="00331264"/>
    <w:rsid w:val="003338A2"/>
    <w:rsid w:val="00334C8D"/>
    <w:rsid w:val="0033548E"/>
    <w:rsid w:val="00343A18"/>
    <w:rsid w:val="00344473"/>
    <w:rsid w:val="00344D08"/>
    <w:rsid w:val="003457F9"/>
    <w:rsid w:val="00347114"/>
    <w:rsid w:val="003518B3"/>
    <w:rsid w:val="003578CD"/>
    <w:rsid w:val="003666F2"/>
    <w:rsid w:val="003717D8"/>
    <w:rsid w:val="003846F1"/>
    <w:rsid w:val="003903D4"/>
    <w:rsid w:val="00391BF0"/>
    <w:rsid w:val="003931A7"/>
    <w:rsid w:val="00393646"/>
    <w:rsid w:val="0039463A"/>
    <w:rsid w:val="003B484F"/>
    <w:rsid w:val="003B7FBA"/>
    <w:rsid w:val="003F174D"/>
    <w:rsid w:val="003F572D"/>
    <w:rsid w:val="003F7442"/>
    <w:rsid w:val="00415F31"/>
    <w:rsid w:val="0042205D"/>
    <w:rsid w:val="00423A77"/>
    <w:rsid w:val="00436ECD"/>
    <w:rsid w:val="00452473"/>
    <w:rsid w:val="0045777E"/>
    <w:rsid w:val="00461B0F"/>
    <w:rsid w:val="00461C29"/>
    <w:rsid w:val="00474EC7"/>
    <w:rsid w:val="00480B4B"/>
    <w:rsid w:val="00485DC4"/>
    <w:rsid w:val="004A0A5E"/>
    <w:rsid w:val="004A43D1"/>
    <w:rsid w:val="004B355D"/>
    <w:rsid w:val="004B4412"/>
    <w:rsid w:val="004C0C43"/>
    <w:rsid w:val="004C348C"/>
    <w:rsid w:val="004C6A30"/>
    <w:rsid w:val="004D1A96"/>
    <w:rsid w:val="004D55BA"/>
    <w:rsid w:val="004E22EC"/>
    <w:rsid w:val="004E2A4C"/>
    <w:rsid w:val="004F6A0E"/>
    <w:rsid w:val="00510AB9"/>
    <w:rsid w:val="00530128"/>
    <w:rsid w:val="00532467"/>
    <w:rsid w:val="00537FD6"/>
    <w:rsid w:val="00546678"/>
    <w:rsid w:val="00564A4D"/>
    <w:rsid w:val="00564C2D"/>
    <w:rsid w:val="0056588A"/>
    <w:rsid w:val="00567BA5"/>
    <w:rsid w:val="00571B35"/>
    <w:rsid w:val="00571D57"/>
    <w:rsid w:val="005769F9"/>
    <w:rsid w:val="00577A09"/>
    <w:rsid w:val="005829C2"/>
    <w:rsid w:val="00584D8F"/>
    <w:rsid w:val="00585A4E"/>
    <w:rsid w:val="00586819"/>
    <w:rsid w:val="005915FD"/>
    <w:rsid w:val="00596BEA"/>
    <w:rsid w:val="0059704C"/>
    <w:rsid w:val="005A404D"/>
    <w:rsid w:val="005B1E3C"/>
    <w:rsid w:val="005B3FB7"/>
    <w:rsid w:val="005B4D33"/>
    <w:rsid w:val="005B5913"/>
    <w:rsid w:val="005B704A"/>
    <w:rsid w:val="005C0A7F"/>
    <w:rsid w:val="005C26CC"/>
    <w:rsid w:val="005C4C9C"/>
    <w:rsid w:val="005C6218"/>
    <w:rsid w:val="005D03B1"/>
    <w:rsid w:val="005D794E"/>
    <w:rsid w:val="005D7BA2"/>
    <w:rsid w:val="005E36C2"/>
    <w:rsid w:val="005E7635"/>
    <w:rsid w:val="005F0183"/>
    <w:rsid w:val="005F727F"/>
    <w:rsid w:val="006007DE"/>
    <w:rsid w:val="00601638"/>
    <w:rsid w:val="00607028"/>
    <w:rsid w:val="00610EF9"/>
    <w:rsid w:val="00612F4F"/>
    <w:rsid w:val="00615C6B"/>
    <w:rsid w:val="00620DC3"/>
    <w:rsid w:val="00621DCE"/>
    <w:rsid w:val="00632D6D"/>
    <w:rsid w:val="00640812"/>
    <w:rsid w:val="006418A1"/>
    <w:rsid w:val="00642C3E"/>
    <w:rsid w:val="00651C3A"/>
    <w:rsid w:val="00651CB2"/>
    <w:rsid w:val="00653D8E"/>
    <w:rsid w:val="006560CA"/>
    <w:rsid w:val="0066104A"/>
    <w:rsid w:val="00663DAD"/>
    <w:rsid w:val="00665649"/>
    <w:rsid w:val="00666E20"/>
    <w:rsid w:val="006672AA"/>
    <w:rsid w:val="00675E20"/>
    <w:rsid w:val="00676679"/>
    <w:rsid w:val="006812E7"/>
    <w:rsid w:val="00683C89"/>
    <w:rsid w:val="00684C16"/>
    <w:rsid w:val="00691D9A"/>
    <w:rsid w:val="006A7CB9"/>
    <w:rsid w:val="006A7D76"/>
    <w:rsid w:val="006B2395"/>
    <w:rsid w:val="006B45A4"/>
    <w:rsid w:val="006B4CF9"/>
    <w:rsid w:val="006B785B"/>
    <w:rsid w:val="006B7AC8"/>
    <w:rsid w:val="006C1736"/>
    <w:rsid w:val="006C4798"/>
    <w:rsid w:val="006C774D"/>
    <w:rsid w:val="006D22F2"/>
    <w:rsid w:val="006D4DD0"/>
    <w:rsid w:val="006D550F"/>
    <w:rsid w:val="006E3F76"/>
    <w:rsid w:val="006F1F83"/>
    <w:rsid w:val="006F3AD1"/>
    <w:rsid w:val="006F3FC8"/>
    <w:rsid w:val="006F6183"/>
    <w:rsid w:val="0070011E"/>
    <w:rsid w:val="00701CAB"/>
    <w:rsid w:val="00707563"/>
    <w:rsid w:val="0072348C"/>
    <w:rsid w:val="00724A37"/>
    <w:rsid w:val="007303C3"/>
    <w:rsid w:val="00741C46"/>
    <w:rsid w:val="00741E23"/>
    <w:rsid w:val="007429BE"/>
    <w:rsid w:val="00743223"/>
    <w:rsid w:val="00746E01"/>
    <w:rsid w:val="00747EEA"/>
    <w:rsid w:val="00752C8D"/>
    <w:rsid w:val="00757364"/>
    <w:rsid w:val="00757BDF"/>
    <w:rsid w:val="007609D0"/>
    <w:rsid w:val="00763618"/>
    <w:rsid w:val="00763E5D"/>
    <w:rsid w:val="00767740"/>
    <w:rsid w:val="00777EE6"/>
    <w:rsid w:val="00782EEA"/>
    <w:rsid w:val="007A7002"/>
    <w:rsid w:val="007A7136"/>
    <w:rsid w:val="007A7F63"/>
    <w:rsid w:val="007B011C"/>
    <w:rsid w:val="007B186E"/>
    <w:rsid w:val="007B2C72"/>
    <w:rsid w:val="007B4786"/>
    <w:rsid w:val="007B6C52"/>
    <w:rsid w:val="007C1C53"/>
    <w:rsid w:val="007C74BB"/>
    <w:rsid w:val="007D456E"/>
    <w:rsid w:val="007E42F4"/>
    <w:rsid w:val="007E4904"/>
    <w:rsid w:val="007E4CB5"/>
    <w:rsid w:val="007F066B"/>
    <w:rsid w:val="007F213A"/>
    <w:rsid w:val="007F75C4"/>
    <w:rsid w:val="008033C4"/>
    <w:rsid w:val="008057DE"/>
    <w:rsid w:val="00806C88"/>
    <w:rsid w:val="00810070"/>
    <w:rsid w:val="0081034E"/>
    <w:rsid w:val="00812B03"/>
    <w:rsid w:val="00815CAC"/>
    <w:rsid w:val="008168E7"/>
    <w:rsid w:val="00821004"/>
    <w:rsid w:val="008221F2"/>
    <w:rsid w:val="00825985"/>
    <w:rsid w:val="008301A7"/>
    <w:rsid w:val="008301B2"/>
    <w:rsid w:val="008344F6"/>
    <w:rsid w:val="0083510F"/>
    <w:rsid w:val="008408C5"/>
    <w:rsid w:val="008414FC"/>
    <w:rsid w:val="00847887"/>
    <w:rsid w:val="00851209"/>
    <w:rsid w:val="0085722A"/>
    <w:rsid w:val="00862B19"/>
    <w:rsid w:val="00864B35"/>
    <w:rsid w:val="00866D99"/>
    <w:rsid w:val="00867CF6"/>
    <w:rsid w:val="008749E0"/>
    <w:rsid w:val="00874CD0"/>
    <w:rsid w:val="00882481"/>
    <w:rsid w:val="008837AC"/>
    <w:rsid w:val="00886190"/>
    <w:rsid w:val="00893E2D"/>
    <w:rsid w:val="008947CA"/>
    <w:rsid w:val="008A587D"/>
    <w:rsid w:val="008B35CD"/>
    <w:rsid w:val="008B5FCC"/>
    <w:rsid w:val="008B7544"/>
    <w:rsid w:val="008C3374"/>
    <w:rsid w:val="008C39F0"/>
    <w:rsid w:val="008C5486"/>
    <w:rsid w:val="008C63DF"/>
    <w:rsid w:val="008C708B"/>
    <w:rsid w:val="008D1661"/>
    <w:rsid w:val="008D6800"/>
    <w:rsid w:val="008E7031"/>
    <w:rsid w:val="008E77DE"/>
    <w:rsid w:val="008F07A3"/>
    <w:rsid w:val="008F16B3"/>
    <w:rsid w:val="008F34DD"/>
    <w:rsid w:val="009001B6"/>
    <w:rsid w:val="00900E1B"/>
    <w:rsid w:val="00901C3C"/>
    <w:rsid w:val="00901DFB"/>
    <w:rsid w:val="009038ED"/>
    <w:rsid w:val="00915993"/>
    <w:rsid w:val="009233EE"/>
    <w:rsid w:val="00923CFC"/>
    <w:rsid w:val="00923FA9"/>
    <w:rsid w:val="009272AD"/>
    <w:rsid w:val="009277DC"/>
    <w:rsid w:val="009460AA"/>
    <w:rsid w:val="0094641C"/>
    <w:rsid w:val="00951978"/>
    <w:rsid w:val="00961115"/>
    <w:rsid w:val="00961A4A"/>
    <w:rsid w:val="009661DE"/>
    <w:rsid w:val="00977538"/>
    <w:rsid w:val="00983C25"/>
    <w:rsid w:val="009856B7"/>
    <w:rsid w:val="00985C86"/>
    <w:rsid w:val="00996BAF"/>
    <w:rsid w:val="009972D8"/>
    <w:rsid w:val="009A4FAA"/>
    <w:rsid w:val="009A5113"/>
    <w:rsid w:val="009A539D"/>
    <w:rsid w:val="009A5FC3"/>
    <w:rsid w:val="009B5DC8"/>
    <w:rsid w:val="009B6F84"/>
    <w:rsid w:val="009B7343"/>
    <w:rsid w:val="009B74B0"/>
    <w:rsid w:val="009C691D"/>
    <w:rsid w:val="009D2B38"/>
    <w:rsid w:val="009D3906"/>
    <w:rsid w:val="009D6B46"/>
    <w:rsid w:val="009F4940"/>
    <w:rsid w:val="009F5BA1"/>
    <w:rsid w:val="00A02A88"/>
    <w:rsid w:val="00A0562E"/>
    <w:rsid w:val="00A06085"/>
    <w:rsid w:val="00A0726D"/>
    <w:rsid w:val="00A15B70"/>
    <w:rsid w:val="00A16596"/>
    <w:rsid w:val="00A2303E"/>
    <w:rsid w:val="00A26817"/>
    <w:rsid w:val="00A32FBB"/>
    <w:rsid w:val="00A428EE"/>
    <w:rsid w:val="00A4478A"/>
    <w:rsid w:val="00A44852"/>
    <w:rsid w:val="00A4650A"/>
    <w:rsid w:val="00A50502"/>
    <w:rsid w:val="00A57D04"/>
    <w:rsid w:val="00A60A26"/>
    <w:rsid w:val="00A61598"/>
    <w:rsid w:val="00A7259C"/>
    <w:rsid w:val="00A84A99"/>
    <w:rsid w:val="00A84F46"/>
    <w:rsid w:val="00A86B48"/>
    <w:rsid w:val="00A871F4"/>
    <w:rsid w:val="00A90AA4"/>
    <w:rsid w:val="00A923BF"/>
    <w:rsid w:val="00AB3966"/>
    <w:rsid w:val="00AB47E1"/>
    <w:rsid w:val="00AC1B2C"/>
    <w:rsid w:val="00AC3264"/>
    <w:rsid w:val="00AD3884"/>
    <w:rsid w:val="00AD7B56"/>
    <w:rsid w:val="00AE1BF1"/>
    <w:rsid w:val="00AE3C9F"/>
    <w:rsid w:val="00AF0DD2"/>
    <w:rsid w:val="00AF11A8"/>
    <w:rsid w:val="00AF4A11"/>
    <w:rsid w:val="00B008D3"/>
    <w:rsid w:val="00B0209D"/>
    <w:rsid w:val="00B02165"/>
    <w:rsid w:val="00B02961"/>
    <w:rsid w:val="00B04908"/>
    <w:rsid w:val="00B04B4C"/>
    <w:rsid w:val="00B07CEA"/>
    <w:rsid w:val="00B13048"/>
    <w:rsid w:val="00B1716D"/>
    <w:rsid w:val="00B17A1D"/>
    <w:rsid w:val="00B207A0"/>
    <w:rsid w:val="00B23126"/>
    <w:rsid w:val="00B26BF3"/>
    <w:rsid w:val="00B278CD"/>
    <w:rsid w:val="00B40CAA"/>
    <w:rsid w:val="00B514DD"/>
    <w:rsid w:val="00B51F3F"/>
    <w:rsid w:val="00B52AF0"/>
    <w:rsid w:val="00B561BD"/>
    <w:rsid w:val="00B564EB"/>
    <w:rsid w:val="00B56E03"/>
    <w:rsid w:val="00B57B06"/>
    <w:rsid w:val="00B61EDF"/>
    <w:rsid w:val="00B74AC5"/>
    <w:rsid w:val="00B757A6"/>
    <w:rsid w:val="00B8080B"/>
    <w:rsid w:val="00B82223"/>
    <w:rsid w:val="00B87BA5"/>
    <w:rsid w:val="00B87C39"/>
    <w:rsid w:val="00B9562D"/>
    <w:rsid w:val="00BA0731"/>
    <w:rsid w:val="00BA4665"/>
    <w:rsid w:val="00BA47EE"/>
    <w:rsid w:val="00BB2FB2"/>
    <w:rsid w:val="00BB3304"/>
    <w:rsid w:val="00BB3FD7"/>
    <w:rsid w:val="00BB6848"/>
    <w:rsid w:val="00BB7528"/>
    <w:rsid w:val="00BC18DE"/>
    <w:rsid w:val="00BC2FAF"/>
    <w:rsid w:val="00BC42EF"/>
    <w:rsid w:val="00BD0920"/>
    <w:rsid w:val="00BD0C45"/>
    <w:rsid w:val="00BD310B"/>
    <w:rsid w:val="00BD3446"/>
    <w:rsid w:val="00BE1F1B"/>
    <w:rsid w:val="00BE20E6"/>
    <w:rsid w:val="00BE47B5"/>
    <w:rsid w:val="00BF0C8F"/>
    <w:rsid w:val="00BF0CD7"/>
    <w:rsid w:val="00C04223"/>
    <w:rsid w:val="00C25FA6"/>
    <w:rsid w:val="00C275C4"/>
    <w:rsid w:val="00C30637"/>
    <w:rsid w:val="00C36F19"/>
    <w:rsid w:val="00C42ACA"/>
    <w:rsid w:val="00C5122C"/>
    <w:rsid w:val="00C538A9"/>
    <w:rsid w:val="00C53B5A"/>
    <w:rsid w:val="00C54434"/>
    <w:rsid w:val="00C54F5A"/>
    <w:rsid w:val="00C569B4"/>
    <w:rsid w:val="00C56A01"/>
    <w:rsid w:val="00C56A3E"/>
    <w:rsid w:val="00C67A92"/>
    <w:rsid w:val="00C7497E"/>
    <w:rsid w:val="00C74D43"/>
    <w:rsid w:val="00C81568"/>
    <w:rsid w:val="00C84560"/>
    <w:rsid w:val="00C84F52"/>
    <w:rsid w:val="00C86679"/>
    <w:rsid w:val="00C922D1"/>
    <w:rsid w:val="00C97CDF"/>
    <w:rsid w:val="00CA1D39"/>
    <w:rsid w:val="00CA2ABF"/>
    <w:rsid w:val="00CA2C1D"/>
    <w:rsid w:val="00CA489E"/>
    <w:rsid w:val="00CA52A2"/>
    <w:rsid w:val="00CB0279"/>
    <w:rsid w:val="00CB666B"/>
    <w:rsid w:val="00CC7F1D"/>
    <w:rsid w:val="00CD19EE"/>
    <w:rsid w:val="00CE484B"/>
    <w:rsid w:val="00CE4900"/>
    <w:rsid w:val="00CF0DEE"/>
    <w:rsid w:val="00CF2C05"/>
    <w:rsid w:val="00CF6EDE"/>
    <w:rsid w:val="00CF78F8"/>
    <w:rsid w:val="00D006AE"/>
    <w:rsid w:val="00D01CF0"/>
    <w:rsid w:val="00D01EFD"/>
    <w:rsid w:val="00D0442A"/>
    <w:rsid w:val="00D06055"/>
    <w:rsid w:val="00D066B7"/>
    <w:rsid w:val="00D17683"/>
    <w:rsid w:val="00D36FCC"/>
    <w:rsid w:val="00D41E80"/>
    <w:rsid w:val="00D45694"/>
    <w:rsid w:val="00D46BD3"/>
    <w:rsid w:val="00D608F6"/>
    <w:rsid w:val="00D60EFF"/>
    <w:rsid w:val="00D61388"/>
    <w:rsid w:val="00D61A54"/>
    <w:rsid w:val="00D64275"/>
    <w:rsid w:val="00D64DEA"/>
    <w:rsid w:val="00D7168E"/>
    <w:rsid w:val="00D71E57"/>
    <w:rsid w:val="00D75AA2"/>
    <w:rsid w:val="00D7645E"/>
    <w:rsid w:val="00D80893"/>
    <w:rsid w:val="00D84854"/>
    <w:rsid w:val="00D848B4"/>
    <w:rsid w:val="00D86B06"/>
    <w:rsid w:val="00D92CF1"/>
    <w:rsid w:val="00D92D38"/>
    <w:rsid w:val="00D950F5"/>
    <w:rsid w:val="00DA0BCC"/>
    <w:rsid w:val="00DA4561"/>
    <w:rsid w:val="00DA4752"/>
    <w:rsid w:val="00DA61F3"/>
    <w:rsid w:val="00DA6B93"/>
    <w:rsid w:val="00DA6F94"/>
    <w:rsid w:val="00DB0F93"/>
    <w:rsid w:val="00DB1A67"/>
    <w:rsid w:val="00DB5074"/>
    <w:rsid w:val="00DB5B21"/>
    <w:rsid w:val="00DC54A0"/>
    <w:rsid w:val="00DC7981"/>
    <w:rsid w:val="00DD1C15"/>
    <w:rsid w:val="00DE1093"/>
    <w:rsid w:val="00DE4EFA"/>
    <w:rsid w:val="00DE5520"/>
    <w:rsid w:val="00DE563D"/>
    <w:rsid w:val="00DE5E2E"/>
    <w:rsid w:val="00DE5EF8"/>
    <w:rsid w:val="00DE772C"/>
    <w:rsid w:val="00DF1D9A"/>
    <w:rsid w:val="00DF312A"/>
    <w:rsid w:val="00E04818"/>
    <w:rsid w:val="00E06442"/>
    <w:rsid w:val="00E06BCF"/>
    <w:rsid w:val="00E07A9D"/>
    <w:rsid w:val="00E1001C"/>
    <w:rsid w:val="00E11949"/>
    <w:rsid w:val="00E23993"/>
    <w:rsid w:val="00E23D9B"/>
    <w:rsid w:val="00E257D6"/>
    <w:rsid w:val="00E25B8C"/>
    <w:rsid w:val="00E3544F"/>
    <w:rsid w:val="00E51D65"/>
    <w:rsid w:val="00E5257A"/>
    <w:rsid w:val="00E6200B"/>
    <w:rsid w:val="00E65C85"/>
    <w:rsid w:val="00E66199"/>
    <w:rsid w:val="00E711C7"/>
    <w:rsid w:val="00E7494F"/>
    <w:rsid w:val="00E755EC"/>
    <w:rsid w:val="00E7624D"/>
    <w:rsid w:val="00E944A5"/>
    <w:rsid w:val="00E97242"/>
    <w:rsid w:val="00EA38F3"/>
    <w:rsid w:val="00EA3D42"/>
    <w:rsid w:val="00EA4EA9"/>
    <w:rsid w:val="00EA6B1B"/>
    <w:rsid w:val="00EB5BC8"/>
    <w:rsid w:val="00EB606C"/>
    <w:rsid w:val="00EC04F1"/>
    <w:rsid w:val="00EC1B2B"/>
    <w:rsid w:val="00EC32E5"/>
    <w:rsid w:val="00ED0EC2"/>
    <w:rsid w:val="00ED3474"/>
    <w:rsid w:val="00ED4610"/>
    <w:rsid w:val="00ED7323"/>
    <w:rsid w:val="00EE28F3"/>
    <w:rsid w:val="00EE50D1"/>
    <w:rsid w:val="00EE77FA"/>
    <w:rsid w:val="00EE7A83"/>
    <w:rsid w:val="00EF1B7A"/>
    <w:rsid w:val="00EF5110"/>
    <w:rsid w:val="00F0334E"/>
    <w:rsid w:val="00F07967"/>
    <w:rsid w:val="00F10411"/>
    <w:rsid w:val="00F15882"/>
    <w:rsid w:val="00F171E0"/>
    <w:rsid w:val="00F20BD3"/>
    <w:rsid w:val="00F2526A"/>
    <w:rsid w:val="00F2740A"/>
    <w:rsid w:val="00F35081"/>
    <w:rsid w:val="00F373A5"/>
    <w:rsid w:val="00F3762B"/>
    <w:rsid w:val="00F42E08"/>
    <w:rsid w:val="00F47559"/>
    <w:rsid w:val="00F57907"/>
    <w:rsid w:val="00F61176"/>
    <w:rsid w:val="00F62A30"/>
    <w:rsid w:val="00F64C7B"/>
    <w:rsid w:val="00F65B25"/>
    <w:rsid w:val="00F676DD"/>
    <w:rsid w:val="00F71667"/>
    <w:rsid w:val="00F73895"/>
    <w:rsid w:val="00F75A26"/>
    <w:rsid w:val="00F76706"/>
    <w:rsid w:val="00F768C8"/>
    <w:rsid w:val="00F80D06"/>
    <w:rsid w:val="00F81B8D"/>
    <w:rsid w:val="00F83FAD"/>
    <w:rsid w:val="00F8653A"/>
    <w:rsid w:val="00F91F55"/>
    <w:rsid w:val="00F92349"/>
    <w:rsid w:val="00F93B21"/>
    <w:rsid w:val="00F952A0"/>
    <w:rsid w:val="00FA3C7F"/>
    <w:rsid w:val="00FB1BF3"/>
    <w:rsid w:val="00FB4402"/>
    <w:rsid w:val="00FB60FE"/>
    <w:rsid w:val="00FB74E2"/>
    <w:rsid w:val="00FC71DC"/>
    <w:rsid w:val="00FD2D6E"/>
    <w:rsid w:val="00FD2ED2"/>
    <w:rsid w:val="00FD5614"/>
    <w:rsid w:val="00FD5E78"/>
    <w:rsid w:val="00FD7B81"/>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60"/>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 w:type="numbering" w:customStyle="1" w:styleId="AERnumberedlist1">
    <w:name w:val="AER numbered list1"/>
    <w:uiPriority w:val="99"/>
    <w:rsid w:val="00DC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60"/>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 w:type="numbering" w:customStyle="1" w:styleId="AERnumberedlist1">
    <w:name w:val="AER numbered list1"/>
    <w:uiPriority w:val="99"/>
    <w:rsid w:val="00DC5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29558573">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21515850">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82723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09CC29-59CA-42F2-8C40-E7799CF89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249271B9</Template>
  <TotalTime>0</TotalTime>
  <Pages>11</Pages>
  <Words>1966</Words>
  <Characters>11208</Characters>
  <Application>Microsoft Office Word</Application>
  <DocSecurity>0</DocSecurity>
  <Lines>93</Lines>
  <Paragraphs>26</Paragraphs>
  <ScaleCrop>false</ScaleCrop>
  <Company/>
  <LinksUpToDate>false</LinksUpToDate>
  <CharactersWithSpaces>13148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2016-05-20T05:59:00Z</dcterms:created>
  <dcterms:modified xsi:type="dcterms:W3CDTF">2016-05-20T05:59:00Z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8575848</vt:lpwstr>
  </property>
  <property fmtid="{D5CDD505-2E9C-101B-9397-08002B2CF9AE}" pid="3" name="_MarkAsFinal">
    <vt:bool>true</vt:bool>
  </property>
</Properties>
</file>