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7BBC6CF3" wp14:editId="06ACA06A">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2792B8D5" wp14:editId="42C9914E">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DB4E34" w:rsidP="008F07A3">
          <w:pPr>
            <w:pStyle w:val="ReportSubtitle"/>
          </w:pPr>
          <w:r>
            <w:t>AusNet Services</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5F73CF">
            <w:t>8</w:t>
          </w:r>
          <w:r w:rsidR="000474DF">
            <w:t xml:space="preserve"> </w:t>
          </w:r>
          <w:r w:rsidR="00185BA5">
            <w:t>–</w:t>
          </w:r>
          <w:r w:rsidR="000474DF">
            <w:t xml:space="preserve"> </w:t>
          </w:r>
          <w:r w:rsidR="005F73CF">
            <w:t>Corporate income tax</w:t>
          </w:r>
        </w:p>
        <w:p w:rsidR="000A6C7B" w:rsidRPr="00327A1E" w:rsidRDefault="004A6AEF"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286375"/>
      <w:r>
        <w:lastRenderedPageBreak/>
        <w:t>Note</w:t>
      </w:r>
      <w:bookmarkEnd w:id="2"/>
      <w:bookmarkEnd w:id="3"/>
      <w:bookmarkEnd w:id="4"/>
    </w:p>
    <w:p w:rsidR="00761454" w:rsidRDefault="00761454" w:rsidP="00761454">
      <w:pPr>
        <w:numPr>
          <w:ilvl w:val="0"/>
          <w:numId w:val="24"/>
        </w:numPr>
      </w:pPr>
      <w:r>
        <w:t xml:space="preserve">This </w:t>
      </w:r>
      <w:r w:rsidR="004E473C">
        <w:t xml:space="preserve">attachment </w:t>
      </w:r>
      <w:r>
        <w:t xml:space="preserve">forms part of the AER's </w:t>
      </w:r>
      <w:r w:rsidR="00DB4E34">
        <w:t>final</w:t>
      </w:r>
      <w:r w:rsidR="000474DF">
        <w:t xml:space="preserve"> </w:t>
      </w:r>
      <w:r>
        <w:t xml:space="preserve">decision on </w:t>
      </w:r>
      <w:r w:rsidR="00DB4E34">
        <w:t>AusNet Services'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286376"/>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D02ECC"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286375" w:history="1">
            <w:r w:rsidR="00D02ECC" w:rsidRPr="00AC240E">
              <w:rPr>
                <w:rStyle w:val="Hyperlink"/>
              </w:rPr>
              <w:t>Note</w:t>
            </w:r>
            <w:r w:rsidR="00D02ECC">
              <w:rPr>
                <w:webHidden/>
              </w:rPr>
              <w:tab/>
            </w:r>
            <w:r w:rsidR="00D02ECC">
              <w:rPr>
                <w:webHidden/>
              </w:rPr>
              <w:fldChar w:fldCharType="begin"/>
            </w:r>
            <w:r w:rsidR="00D02ECC">
              <w:rPr>
                <w:webHidden/>
              </w:rPr>
              <w:instrText xml:space="preserve"> PAGEREF _Toc451286375 \h </w:instrText>
            </w:r>
            <w:r w:rsidR="00D02ECC">
              <w:rPr>
                <w:webHidden/>
              </w:rPr>
            </w:r>
            <w:r w:rsidR="00D02ECC">
              <w:rPr>
                <w:webHidden/>
              </w:rPr>
              <w:fldChar w:fldCharType="separate"/>
            </w:r>
            <w:r w:rsidR="00D02ECC">
              <w:rPr>
                <w:webHidden/>
              </w:rPr>
              <w:t>8-2</w:t>
            </w:r>
            <w:r w:rsidR="00D02ECC">
              <w:rPr>
                <w:webHidden/>
              </w:rPr>
              <w:fldChar w:fldCharType="end"/>
            </w:r>
          </w:hyperlink>
        </w:p>
        <w:p w:rsidR="00D02ECC" w:rsidRDefault="00C325B3">
          <w:pPr>
            <w:pStyle w:val="TOC1"/>
            <w:rPr>
              <w:rFonts w:asciiTheme="minorHAnsi" w:eastAsiaTheme="minorEastAsia" w:hAnsiTheme="minorHAnsi"/>
              <w:b w:val="0"/>
              <w:color w:val="auto"/>
              <w:sz w:val="22"/>
              <w:lang w:val="en-AU" w:eastAsia="en-AU"/>
            </w:rPr>
          </w:pPr>
          <w:hyperlink w:anchor="_Toc451286376" w:history="1">
            <w:r w:rsidR="00D02ECC" w:rsidRPr="00AC240E">
              <w:rPr>
                <w:rStyle w:val="Hyperlink"/>
              </w:rPr>
              <w:t>Contents</w:t>
            </w:r>
            <w:r w:rsidR="00D02ECC">
              <w:rPr>
                <w:webHidden/>
              </w:rPr>
              <w:tab/>
            </w:r>
            <w:r w:rsidR="00D02ECC">
              <w:rPr>
                <w:webHidden/>
              </w:rPr>
              <w:fldChar w:fldCharType="begin"/>
            </w:r>
            <w:r w:rsidR="00D02ECC">
              <w:rPr>
                <w:webHidden/>
              </w:rPr>
              <w:instrText xml:space="preserve"> PAGEREF _Toc451286376 \h </w:instrText>
            </w:r>
            <w:r w:rsidR="00D02ECC">
              <w:rPr>
                <w:webHidden/>
              </w:rPr>
            </w:r>
            <w:r w:rsidR="00D02ECC">
              <w:rPr>
                <w:webHidden/>
              </w:rPr>
              <w:fldChar w:fldCharType="separate"/>
            </w:r>
            <w:r w:rsidR="00D02ECC">
              <w:rPr>
                <w:webHidden/>
              </w:rPr>
              <w:t>8-3</w:t>
            </w:r>
            <w:r w:rsidR="00D02ECC">
              <w:rPr>
                <w:webHidden/>
              </w:rPr>
              <w:fldChar w:fldCharType="end"/>
            </w:r>
          </w:hyperlink>
        </w:p>
        <w:p w:rsidR="00D02ECC" w:rsidRDefault="00C325B3">
          <w:pPr>
            <w:pStyle w:val="TOC1"/>
            <w:rPr>
              <w:rFonts w:asciiTheme="minorHAnsi" w:eastAsiaTheme="minorEastAsia" w:hAnsiTheme="minorHAnsi"/>
              <w:b w:val="0"/>
              <w:color w:val="auto"/>
              <w:sz w:val="22"/>
              <w:lang w:val="en-AU" w:eastAsia="en-AU"/>
            </w:rPr>
          </w:pPr>
          <w:hyperlink w:anchor="_Toc451286377" w:history="1">
            <w:r w:rsidR="00D02ECC" w:rsidRPr="00AC240E">
              <w:rPr>
                <w:rStyle w:val="Hyperlink"/>
              </w:rPr>
              <w:t>Shortened forms</w:t>
            </w:r>
            <w:r w:rsidR="00D02ECC">
              <w:rPr>
                <w:webHidden/>
              </w:rPr>
              <w:tab/>
            </w:r>
            <w:r w:rsidR="00D02ECC">
              <w:rPr>
                <w:webHidden/>
              </w:rPr>
              <w:fldChar w:fldCharType="begin"/>
            </w:r>
            <w:r w:rsidR="00D02ECC">
              <w:rPr>
                <w:webHidden/>
              </w:rPr>
              <w:instrText xml:space="preserve"> PAGEREF _Toc451286377 \h </w:instrText>
            </w:r>
            <w:r w:rsidR="00D02ECC">
              <w:rPr>
                <w:webHidden/>
              </w:rPr>
            </w:r>
            <w:r w:rsidR="00D02ECC">
              <w:rPr>
                <w:webHidden/>
              </w:rPr>
              <w:fldChar w:fldCharType="separate"/>
            </w:r>
            <w:r w:rsidR="00D02ECC">
              <w:rPr>
                <w:webHidden/>
              </w:rPr>
              <w:t>8-4</w:t>
            </w:r>
            <w:r w:rsidR="00D02ECC">
              <w:rPr>
                <w:webHidden/>
              </w:rPr>
              <w:fldChar w:fldCharType="end"/>
            </w:r>
          </w:hyperlink>
        </w:p>
        <w:p w:rsidR="00D02ECC" w:rsidRDefault="00C325B3">
          <w:pPr>
            <w:pStyle w:val="TOC1"/>
            <w:rPr>
              <w:rFonts w:asciiTheme="minorHAnsi" w:eastAsiaTheme="minorEastAsia" w:hAnsiTheme="minorHAnsi"/>
              <w:b w:val="0"/>
              <w:color w:val="auto"/>
              <w:sz w:val="22"/>
              <w:lang w:val="en-AU" w:eastAsia="en-AU"/>
            </w:rPr>
          </w:pPr>
          <w:hyperlink w:anchor="_Toc451286378" w:history="1">
            <w:r w:rsidR="00D02ECC" w:rsidRPr="00AC240E">
              <w:rPr>
                <w:rStyle w:val="Hyperlink"/>
              </w:rPr>
              <w:t>8</w:t>
            </w:r>
            <w:r w:rsidR="00D02ECC">
              <w:rPr>
                <w:rFonts w:asciiTheme="minorHAnsi" w:eastAsiaTheme="minorEastAsia" w:hAnsiTheme="minorHAnsi"/>
                <w:b w:val="0"/>
                <w:color w:val="auto"/>
                <w:sz w:val="22"/>
                <w:lang w:val="en-AU" w:eastAsia="en-AU"/>
              </w:rPr>
              <w:tab/>
            </w:r>
            <w:r w:rsidR="00D02ECC" w:rsidRPr="00AC240E">
              <w:rPr>
                <w:rStyle w:val="Hyperlink"/>
              </w:rPr>
              <w:t>Corporate income tax</w:t>
            </w:r>
            <w:r w:rsidR="00D02ECC">
              <w:rPr>
                <w:webHidden/>
              </w:rPr>
              <w:tab/>
            </w:r>
            <w:r w:rsidR="00D02ECC">
              <w:rPr>
                <w:webHidden/>
              </w:rPr>
              <w:fldChar w:fldCharType="begin"/>
            </w:r>
            <w:r w:rsidR="00D02ECC">
              <w:rPr>
                <w:webHidden/>
              </w:rPr>
              <w:instrText xml:space="preserve"> PAGEREF _Toc451286378 \h </w:instrText>
            </w:r>
            <w:r w:rsidR="00D02ECC">
              <w:rPr>
                <w:webHidden/>
              </w:rPr>
            </w:r>
            <w:r w:rsidR="00D02ECC">
              <w:rPr>
                <w:webHidden/>
              </w:rPr>
              <w:fldChar w:fldCharType="separate"/>
            </w:r>
            <w:r w:rsidR="00D02ECC">
              <w:rPr>
                <w:webHidden/>
              </w:rPr>
              <w:t>8-6</w:t>
            </w:r>
            <w:r w:rsidR="00D02ECC">
              <w:rPr>
                <w:webHidden/>
              </w:rPr>
              <w:fldChar w:fldCharType="end"/>
            </w:r>
          </w:hyperlink>
        </w:p>
        <w:p w:rsidR="00D02ECC" w:rsidRDefault="00C325B3">
          <w:pPr>
            <w:pStyle w:val="TOC2"/>
            <w:rPr>
              <w:rFonts w:asciiTheme="minorHAnsi" w:eastAsiaTheme="minorEastAsia" w:hAnsiTheme="minorHAnsi"/>
              <w:b w:val="0"/>
              <w:color w:val="auto"/>
              <w:sz w:val="22"/>
              <w:lang w:eastAsia="en-AU"/>
            </w:rPr>
          </w:pPr>
          <w:hyperlink w:anchor="_Toc451286379" w:history="1">
            <w:r w:rsidR="00D02ECC" w:rsidRPr="00AC240E">
              <w:rPr>
                <w:rStyle w:val="Hyperlink"/>
              </w:rPr>
              <w:t>8.1</w:t>
            </w:r>
            <w:r w:rsidR="00D02ECC">
              <w:rPr>
                <w:rFonts w:asciiTheme="minorHAnsi" w:eastAsiaTheme="minorEastAsia" w:hAnsiTheme="minorHAnsi"/>
                <w:b w:val="0"/>
                <w:color w:val="auto"/>
                <w:sz w:val="22"/>
                <w:lang w:eastAsia="en-AU"/>
              </w:rPr>
              <w:tab/>
            </w:r>
            <w:r w:rsidR="00D02ECC" w:rsidRPr="00AC240E">
              <w:rPr>
                <w:rStyle w:val="Hyperlink"/>
              </w:rPr>
              <w:t>Final decision</w:t>
            </w:r>
            <w:r w:rsidR="00D02ECC">
              <w:rPr>
                <w:webHidden/>
              </w:rPr>
              <w:tab/>
            </w:r>
            <w:r w:rsidR="00D02ECC">
              <w:rPr>
                <w:webHidden/>
              </w:rPr>
              <w:fldChar w:fldCharType="begin"/>
            </w:r>
            <w:r w:rsidR="00D02ECC">
              <w:rPr>
                <w:webHidden/>
              </w:rPr>
              <w:instrText xml:space="preserve"> PAGEREF _Toc451286379 \h </w:instrText>
            </w:r>
            <w:r w:rsidR="00D02ECC">
              <w:rPr>
                <w:webHidden/>
              </w:rPr>
            </w:r>
            <w:r w:rsidR="00D02ECC">
              <w:rPr>
                <w:webHidden/>
              </w:rPr>
              <w:fldChar w:fldCharType="separate"/>
            </w:r>
            <w:r w:rsidR="00D02ECC">
              <w:rPr>
                <w:webHidden/>
              </w:rPr>
              <w:t>8-6</w:t>
            </w:r>
            <w:r w:rsidR="00D02ECC">
              <w:rPr>
                <w:webHidden/>
              </w:rPr>
              <w:fldChar w:fldCharType="end"/>
            </w:r>
          </w:hyperlink>
        </w:p>
        <w:p w:rsidR="00D02ECC" w:rsidRDefault="00C325B3">
          <w:pPr>
            <w:pStyle w:val="TOC2"/>
            <w:rPr>
              <w:rFonts w:asciiTheme="minorHAnsi" w:eastAsiaTheme="minorEastAsia" w:hAnsiTheme="minorHAnsi"/>
              <w:b w:val="0"/>
              <w:color w:val="auto"/>
              <w:sz w:val="22"/>
              <w:lang w:eastAsia="en-AU"/>
            </w:rPr>
          </w:pPr>
          <w:hyperlink w:anchor="_Toc451286380" w:history="1">
            <w:r w:rsidR="00D02ECC" w:rsidRPr="00AC240E">
              <w:rPr>
                <w:rStyle w:val="Hyperlink"/>
              </w:rPr>
              <w:t>8.2</w:t>
            </w:r>
            <w:r w:rsidR="00D02ECC">
              <w:rPr>
                <w:rFonts w:asciiTheme="minorHAnsi" w:eastAsiaTheme="minorEastAsia" w:hAnsiTheme="minorHAnsi"/>
                <w:b w:val="0"/>
                <w:color w:val="auto"/>
                <w:sz w:val="22"/>
                <w:lang w:eastAsia="en-AU"/>
              </w:rPr>
              <w:tab/>
            </w:r>
            <w:r w:rsidR="00D02ECC" w:rsidRPr="00AC240E">
              <w:rPr>
                <w:rStyle w:val="Hyperlink"/>
              </w:rPr>
              <w:t>AusNet Services' revised proposal</w:t>
            </w:r>
            <w:r w:rsidR="00D02ECC">
              <w:rPr>
                <w:webHidden/>
              </w:rPr>
              <w:tab/>
            </w:r>
            <w:r w:rsidR="00D02ECC">
              <w:rPr>
                <w:webHidden/>
              </w:rPr>
              <w:fldChar w:fldCharType="begin"/>
            </w:r>
            <w:r w:rsidR="00D02ECC">
              <w:rPr>
                <w:webHidden/>
              </w:rPr>
              <w:instrText xml:space="preserve"> PAGEREF _Toc451286380 \h </w:instrText>
            </w:r>
            <w:r w:rsidR="00D02ECC">
              <w:rPr>
                <w:webHidden/>
              </w:rPr>
            </w:r>
            <w:r w:rsidR="00D02ECC">
              <w:rPr>
                <w:webHidden/>
              </w:rPr>
              <w:fldChar w:fldCharType="separate"/>
            </w:r>
            <w:r w:rsidR="00D02ECC">
              <w:rPr>
                <w:webHidden/>
              </w:rPr>
              <w:t>8-7</w:t>
            </w:r>
            <w:r w:rsidR="00D02ECC">
              <w:rPr>
                <w:webHidden/>
              </w:rPr>
              <w:fldChar w:fldCharType="end"/>
            </w:r>
          </w:hyperlink>
        </w:p>
        <w:p w:rsidR="00D02ECC" w:rsidRDefault="00C325B3">
          <w:pPr>
            <w:pStyle w:val="TOC2"/>
            <w:rPr>
              <w:rFonts w:asciiTheme="minorHAnsi" w:eastAsiaTheme="minorEastAsia" w:hAnsiTheme="minorHAnsi"/>
              <w:b w:val="0"/>
              <w:color w:val="auto"/>
              <w:sz w:val="22"/>
              <w:lang w:eastAsia="en-AU"/>
            </w:rPr>
          </w:pPr>
          <w:hyperlink w:anchor="_Toc451286381" w:history="1">
            <w:r w:rsidR="00D02ECC" w:rsidRPr="00AC240E">
              <w:rPr>
                <w:rStyle w:val="Hyperlink"/>
              </w:rPr>
              <w:t>8.3</w:t>
            </w:r>
            <w:r w:rsidR="00D02ECC">
              <w:rPr>
                <w:rFonts w:asciiTheme="minorHAnsi" w:eastAsiaTheme="minorEastAsia" w:hAnsiTheme="minorHAnsi"/>
                <w:b w:val="0"/>
                <w:color w:val="auto"/>
                <w:sz w:val="22"/>
                <w:lang w:eastAsia="en-AU"/>
              </w:rPr>
              <w:tab/>
            </w:r>
            <w:r w:rsidR="00D02ECC" w:rsidRPr="00AC240E">
              <w:rPr>
                <w:rStyle w:val="Hyperlink"/>
              </w:rPr>
              <w:t>Assessment approach</w:t>
            </w:r>
            <w:r w:rsidR="00D02ECC">
              <w:rPr>
                <w:webHidden/>
              </w:rPr>
              <w:tab/>
            </w:r>
            <w:r w:rsidR="00D02ECC">
              <w:rPr>
                <w:webHidden/>
              </w:rPr>
              <w:fldChar w:fldCharType="begin"/>
            </w:r>
            <w:r w:rsidR="00D02ECC">
              <w:rPr>
                <w:webHidden/>
              </w:rPr>
              <w:instrText xml:space="preserve"> PAGEREF _Toc451286381 \h </w:instrText>
            </w:r>
            <w:r w:rsidR="00D02ECC">
              <w:rPr>
                <w:webHidden/>
              </w:rPr>
            </w:r>
            <w:r w:rsidR="00D02ECC">
              <w:rPr>
                <w:webHidden/>
              </w:rPr>
              <w:fldChar w:fldCharType="separate"/>
            </w:r>
            <w:r w:rsidR="00D02ECC">
              <w:rPr>
                <w:webHidden/>
              </w:rPr>
              <w:t>8-7</w:t>
            </w:r>
            <w:r w:rsidR="00D02ECC">
              <w:rPr>
                <w:webHidden/>
              </w:rPr>
              <w:fldChar w:fldCharType="end"/>
            </w:r>
          </w:hyperlink>
        </w:p>
        <w:p w:rsidR="00D02ECC" w:rsidRDefault="00C325B3">
          <w:pPr>
            <w:pStyle w:val="TOC2"/>
            <w:rPr>
              <w:rFonts w:asciiTheme="minorHAnsi" w:eastAsiaTheme="minorEastAsia" w:hAnsiTheme="minorHAnsi"/>
              <w:b w:val="0"/>
              <w:color w:val="auto"/>
              <w:sz w:val="22"/>
              <w:lang w:eastAsia="en-AU"/>
            </w:rPr>
          </w:pPr>
          <w:hyperlink w:anchor="_Toc451286382" w:history="1">
            <w:r w:rsidR="00D02ECC" w:rsidRPr="00AC240E">
              <w:rPr>
                <w:rStyle w:val="Hyperlink"/>
              </w:rPr>
              <w:t>8.4</w:t>
            </w:r>
            <w:r w:rsidR="00D02ECC">
              <w:rPr>
                <w:rFonts w:asciiTheme="minorHAnsi" w:eastAsiaTheme="minorEastAsia" w:hAnsiTheme="minorHAnsi"/>
                <w:b w:val="0"/>
                <w:color w:val="auto"/>
                <w:sz w:val="22"/>
                <w:lang w:eastAsia="en-AU"/>
              </w:rPr>
              <w:tab/>
            </w:r>
            <w:r w:rsidR="00D02ECC" w:rsidRPr="00AC240E">
              <w:rPr>
                <w:rStyle w:val="Hyperlink"/>
              </w:rPr>
              <w:t>Reasons for final decision</w:t>
            </w:r>
            <w:r w:rsidR="00D02ECC">
              <w:rPr>
                <w:webHidden/>
              </w:rPr>
              <w:tab/>
            </w:r>
            <w:r w:rsidR="00D02ECC">
              <w:rPr>
                <w:webHidden/>
              </w:rPr>
              <w:fldChar w:fldCharType="begin"/>
            </w:r>
            <w:r w:rsidR="00D02ECC">
              <w:rPr>
                <w:webHidden/>
              </w:rPr>
              <w:instrText xml:space="preserve"> PAGEREF _Toc451286382 \h </w:instrText>
            </w:r>
            <w:r w:rsidR="00D02ECC">
              <w:rPr>
                <w:webHidden/>
              </w:rPr>
            </w:r>
            <w:r w:rsidR="00D02ECC">
              <w:rPr>
                <w:webHidden/>
              </w:rPr>
              <w:fldChar w:fldCharType="separate"/>
            </w:r>
            <w:r w:rsidR="00D02ECC">
              <w:rPr>
                <w:webHidden/>
              </w:rPr>
              <w:t>8-7</w:t>
            </w:r>
            <w:r w:rsidR="00D02ECC">
              <w:rPr>
                <w:webHidden/>
              </w:rPr>
              <w:fldChar w:fldCharType="end"/>
            </w:r>
          </w:hyperlink>
        </w:p>
        <w:p w:rsidR="00D02ECC" w:rsidRDefault="00C325B3">
          <w:pPr>
            <w:pStyle w:val="TOC3"/>
            <w:rPr>
              <w:rFonts w:asciiTheme="minorHAnsi" w:eastAsiaTheme="minorEastAsia" w:hAnsiTheme="minorHAnsi"/>
              <w:lang w:eastAsia="en-AU"/>
            </w:rPr>
          </w:pPr>
          <w:hyperlink w:anchor="_Toc451286383" w:history="1">
            <w:r w:rsidR="00D02ECC" w:rsidRPr="00AC240E">
              <w:rPr>
                <w:rStyle w:val="Hyperlink"/>
              </w:rPr>
              <w:t>8.4.1</w:t>
            </w:r>
            <w:r w:rsidR="00D02ECC">
              <w:rPr>
                <w:rFonts w:asciiTheme="minorHAnsi" w:eastAsiaTheme="minorEastAsia" w:hAnsiTheme="minorHAnsi"/>
                <w:lang w:eastAsia="en-AU"/>
              </w:rPr>
              <w:tab/>
            </w:r>
            <w:r w:rsidR="00D02ECC" w:rsidRPr="00AC240E">
              <w:rPr>
                <w:rStyle w:val="Hyperlink"/>
              </w:rPr>
              <w:t>Opening tax asset base</w:t>
            </w:r>
            <w:r w:rsidR="00D02ECC">
              <w:rPr>
                <w:webHidden/>
              </w:rPr>
              <w:tab/>
            </w:r>
            <w:r w:rsidR="00D02ECC">
              <w:rPr>
                <w:webHidden/>
              </w:rPr>
              <w:fldChar w:fldCharType="begin"/>
            </w:r>
            <w:r w:rsidR="00D02ECC">
              <w:rPr>
                <w:webHidden/>
              </w:rPr>
              <w:instrText xml:space="preserve"> PAGEREF _Toc451286383 \h </w:instrText>
            </w:r>
            <w:r w:rsidR="00D02ECC">
              <w:rPr>
                <w:webHidden/>
              </w:rPr>
            </w:r>
            <w:r w:rsidR="00D02ECC">
              <w:rPr>
                <w:webHidden/>
              </w:rPr>
              <w:fldChar w:fldCharType="separate"/>
            </w:r>
            <w:r w:rsidR="00D02ECC">
              <w:rPr>
                <w:webHidden/>
              </w:rPr>
              <w:t>8-8</w:t>
            </w:r>
            <w:r w:rsidR="00D02ECC">
              <w:rPr>
                <w:webHidden/>
              </w:rPr>
              <w:fldChar w:fldCharType="end"/>
            </w:r>
          </w:hyperlink>
        </w:p>
        <w:p w:rsidR="00D02ECC" w:rsidRDefault="00C325B3">
          <w:pPr>
            <w:pStyle w:val="TOC3"/>
            <w:rPr>
              <w:rFonts w:asciiTheme="minorHAnsi" w:eastAsiaTheme="minorEastAsia" w:hAnsiTheme="minorHAnsi"/>
              <w:lang w:eastAsia="en-AU"/>
            </w:rPr>
          </w:pPr>
          <w:hyperlink w:anchor="_Toc451286384" w:history="1">
            <w:r w:rsidR="00D02ECC" w:rsidRPr="00AC240E">
              <w:rPr>
                <w:rStyle w:val="Hyperlink"/>
              </w:rPr>
              <w:t>8.4.2</w:t>
            </w:r>
            <w:r w:rsidR="00D02ECC">
              <w:rPr>
                <w:rFonts w:asciiTheme="minorHAnsi" w:eastAsiaTheme="minorEastAsia" w:hAnsiTheme="minorHAnsi"/>
                <w:lang w:eastAsia="en-AU"/>
              </w:rPr>
              <w:tab/>
            </w:r>
            <w:r w:rsidR="00D02ECC" w:rsidRPr="00AC240E">
              <w:rPr>
                <w:rStyle w:val="Hyperlink"/>
              </w:rPr>
              <w:t>Remaining tax asset lives</w:t>
            </w:r>
            <w:r w:rsidR="00D02ECC">
              <w:rPr>
                <w:webHidden/>
              </w:rPr>
              <w:tab/>
            </w:r>
            <w:r w:rsidR="00D02ECC">
              <w:rPr>
                <w:webHidden/>
              </w:rPr>
              <w:fldChar w:fldCharType="begin"/>
            </w:r>
            <w:r w:rsidR="00D02ECC">
              <w:rPr>
                <w:webHidden/>
              </w:rPr>
              <w:instrText xml:space="preserve"> PAGEREF _Toc451286384 \h </w:instrText>
            </w:r>
            <w:r w:rsidR="00D02ECC">
              <w:rPr>
                <w:webHidden/>
              </w:rPr>
            </w:r>
            <w:r w:rsidR="00D02ECC">
              <w:rPr>
                <w:webHidden/>
              </w:rPr>
              <w:fldChar w:fldCharType="separate"/>
            </w:r>
            <w:r w:rsidR="00D02ECC">
              <w:rPr>
                <w:webHidden/>
              </w:rPr>
              <w:t>8-9</w:t>
            </w:r>
            <w:r w:rsidR="00D02ECC">
              <w:rPr>
                <w:webHidden/>
              </w:rPr>
              <w:fldChar w:fldCharType="end"/>
            </w:r>
          </w:hyperlink>
        </w:p>
        <w:p w:rsidR="00D02ECC" w:rsidRDefault="00C325B3">
          <w:pPr>
            <w:pStyle w:val="TOC3"/>
            <w:rPr>
              <w:rFonts w:asciiTheme="minorHAnsi" w:eastAsiaTheme="minorEastAsia" w:hAnsiTheme="minorHAnsi"/>
              <w:lang w:eastAsia="en-AU"/>
            </w:rPr>
          </w:pPr>
          <w:hyperlink w:anchor="_Toc451286385" w:history="1">
            <w:r w:rsidR="00D02ECC" w:rsidRPr="00AC240E">
              <w:rPr>
                <w:rStyle w:val="Hyperlink"/>
              </w:rPr>
              <w:t>8.4.3</w:t>
            </w:r>
            <w:r w:rsidR="00D02ECC">
              <w:rPr>
                <w:rFonts w:asciiTheme="minorHAnsi" w:eastAsiaTheme="minorEastAsia" w:hAnsiTheme="minorHAnsi"/>
                <w:lang w:eastAsia="en-AU"/>
              </w:rPr>
              <w:tab/>
            </w:r>
            <w:r w:rsidR="00D02ECC" w:rsidRPr="00AC240E">
              <w:rPr>
                <w:rStyle w:val="Hyperlink"/>
              </w:rPr>
              <w:t>Standard tax asset lives</w:t>
            </w:r>
            <w:r w:rsidR="00D02ECC">
              <w:rPr>
                <w:webHidden/>
              </w:rPr>
              <w:tab/>
            </w:r>
            <w:r w:rsidR="00D02ECC">
              <w:rPr>
                <w:webHidden/>
              </w:rPr>
              <w:fldChar w:fldCharType="begin"/>
            </w:r>
            <w:r w:rsidR="00D02ECC">
              <w:rPr>
                <w:webHidden/>
              </w:rPr>
              <w:instrText xml:space="preserve"> PAGEREF _Toc451286385 \h </w:instrText>
            </w:r>
            <w:r w:rsidR="00D02ECC">
              <w:rPr>
                <w:webHidden/>
              </w:rPr>
            </w:r>
            <w:r w:rsidR="00D02ECC">
              <w:rPr>
                <w:webHidden/>
              </w:rPr>
              <w:fldChar w:fldCharType="separate"/>
            </w:r>
            <w:r w:rsidR="00D02ECC">
              <w:rPr>
                <w:webHidden/>
              </w:rPr>
              <w:t>8-10</w:t>
            </w:r>
            <w:r w:rsidR="00D02ECC">
              <w:rPr>
                <w:webHidden/>
              </w:rPr>
              <w:fldChar w:fldCharType="end"/>
            </w:r>
          </w:hyperlink>
        </w:p>
        <w:p w:rsidR="00D02ECC" w:rsidRDefault="00C325B3">
          <w:pPr>
            <w:pStyle w:val="TOC3"/>
            <w:rPr>
              <w:rFonts w:asciiTheme="minorHAnsi" w:eastAsiaTheme="minorEastAsia" w:hAnsiTheme="minorHAnsi"/>
              <w:lang w:eastAsia="en-AU"/>
            </w:rPr>
          </w:pPr>
          <w:hyperlink w:anchor="_Toc451286386" w:history="1">
            <w:r w:rsidR="00D02ECC" w:rsidRPr="00AC240E">
              <w:rPr>
                <w:rStyle w:val="Hyperlink"/>
              </w:rPr>
              <w:t>8.4.4</w:t>
            </w:r>
            <w:r w:rsidR="00D02ECC">
              <w:rPr>
                <w:rFonts w:asciiTheme="minorHAnsi" w:eastAsiaTheme="minorEastAsia" w:hAnsiTheme="minorHAnsi"/>
                <w:lang w:eastAsia="en-AU"/>
              </w:rPr>
              <w:tab/>
            </w:r>
            <w:r w:rsidR="00D02ECC" w:rsidRPr="00AC240E">
              <w:rPr>
                <w:rStyle w:val="Hyperlink"/>
              </w:rPr>
              <w:t>Tax treatment of other revenue adjustments</w:t>
            </w:r>
            <w:r w:rsidR="00D02ECC">
              <w:rPr>
                <w:webHidden/>
              </w:rPr>
              <w:tab/>
            </w:r>
            <w:r w:rsidR="00D02ECC">
              <w:rPr>
                <w:webHidden/>
              </w:rPr>
              <w:fldChar w:fldCharType="begin"/>
            </w:r>
            <w:r w:rsidR="00D02ECC">
              <w:rPr>
                <w:webHidden/>
              </w:rPr>
              <w:instrText xml:space="preserve"> PAGEREF _Toc451286386 \h </w:instrText>
            </w:r>
            <w:r w:rsidR="00D02ECC">
              <w:rPr>
                <w:webHidden/>
              </w:rPr>
            </w:r>
            <w:r w:rsidR="00D02ECC">
              <w:rPr>
                <w:webHidden/>
              </w:rPr>
              <w:fldChar w:fldCharType="separate"/>
            </w:r>
            <w:r w:rsidR="00D02ECC">
              <w:rPr>
                <w:webHidden/>
              </w:rPr>
              <w:t>8-11</w:t>
            </w:r>
            <w:r w:rsidR="00D02ECC">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286377"/>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7F67F3" w:rsidP="004523B2">
            <w:pPr>
              <w:pStyle w:val="AERtabletextleft"/>
              <w:rPr>
                <w:rStyle w:val="AERtextsize8"/>
              </w:rPr>
            </w:pPr>
            <w:r w:rsidRPr="00712239">
              <w:rPr>
                <w:rStyle w:val="AERtextsize8"/>
              </w:rPr>
              <w:t>A</w:t>
            </w:r>
            <w:r w:rsidR="004523B2" w:rsidRPr="00712239">
              <w:rPr>
                <w:rStyle w:val="AERtextsize8"/>
              </w:rPr>
              <w:t>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7F67F3" w:rsidP="004523B2">
            <w:pPr>
              <w:pStyle w:val="AERtabletextleft"/>
              <w:rPr>
                <w:rStyle w:val="AERtextsize8"/>
              </w:rPr>
            </w:pPr>
            <w:r w:rsidRPr="00712239">
              <w:rPr>
                <w:rStyle w:val="AERtextsize8"/>
              </w:rPr>
              <w:t>C</w:t>
            </w:r>
            <w:r w:rsidR="004523B2" w:rsidRPr="00712239">
              <w:rPr>
                <w:rStyle w:val="AERtextsize8"/>
              </w:rPr>
              <w:t>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7F67F3" w:rsidP="004523B2">
            <w:pPr>
              <w:pStyle w:val="AERtabletextleft"/>
              <w:rPr>
                <w:rStyle w:val="AERtextsize8"/>
              </w:rPr>
            </w:pPr>
            <w:r w:rsidRPr="00712239">
              <w:rPr>
                <w:rStyle w:val="AERtextsize8"/>
              </w:rPr>
              <w:t>D</w:t>
            </w:r>
            <w:r w:rsidR="004523B2" w:rsidRPr="00712239">
              <w:rPr>
                <w:rStyle w:val="AERtextsize8"/>
              </w:rPr>
              <w:t>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7F67F3" w:rsidP="004523B2">
            <w:pPr>
              <w:pStyle w:val="AERtabletextleft"/>
              <w:rPr>
                <w:rStyle w:val="AERtextsize8"/>
              </w:rPr>
            </w:pPr>
            <w:r w:rsidRPr="00712239">
              <w:rPr>
                <w:rStyle w:val="AERtextsize8"/>
              </w:rPr>
              <w:t>O</w:t>
            </w:r>
            <w:r w:rsidR="004523B2" w:rsidRPr="00712239">
              <w:rPr>
                <w:rStyle w:val="AERtextsize8"/>
              </w:rPr>
              <w:t>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7F67F3" w:rsidP="004523B2">
            <w:pPr>
              <w:pStyle w:val="AERtabletextleft"/>
              <w:rPr>
                <w:rStyle w:val="AERtextsize8"/>
              </w:rPr>
            </w:pPr>
            <w:r w:rsidRPr="00712239">
              <w:rPr>
                <w:rStyle w:val="AERtextsize8"/>
              </w:rPr>
              <w:lastRenderedPageBreak/>
              <w:t>R</w:t>
            </w:r>
            <w:r w:rsidR="004523B2" w:rsidRPr="00712239">
              <w:rPr>
                <w:rStyle w:val="AERtextsize8"/>
              </w:rPr>
              <w:t>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5F73CF" w:rsidP="005F73CF">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286378"/>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Corporate income tax</w:t>
      </w:r>
      <w:bookmarkEnd w:id="71"/>
    </w:p>
    <w:p w:rsidR="003C1380" w:rsidRPr="00521143" w:rsidRDefault="003C1380" w:rsidP="003C1380">
      <w:pPr>
        <w:rPr>
          <w:rStyle w:val="AERbody"/>
        </w:rPr>
      </w:pPr>
      <w:r w:rsidRPr="00521143">
        <w:rPr>
          <w:rStyle w:val="AERbody"/>
        </w:rPr>
        <w:t xml:space="preserve">We are required to make a decision on the estimated cost of corporate income tax for </w:t>
      </w:r>
      <w:r>
        <w:rPr>
          <w:rStyle w:val="AERbody"/>
        </w:rPr>
        <w:t>AusNet Services'</w:t>
      </w:r>
      <w:r w:rsidRPr="00521143">
        <w:rPr>
          <w:rStyle w:val="AERbody"/>
        </w:rPr>
        <w:t xml:space="preserve"> 201</w:t>
      </w:r>
      <w:r>
        <w:rPr>
          <w:rStyle w:val="AERbody"/>
        </w:rPr>
        <w:t>6</w:t>
      </w:r>
      <w:r w:rsidRPr="00521143">
        <w:rPr>
          <w:rStyle w:val="AERbody"/>
        </w:rPr>
        <w:t>–20 regulatory control period.</w:t>
      </w:r>
      <w:r w:rsidRPr="00577DF0">
        <w:rPr>
          <w:rStyle w:val="FootnoteReference"/>
        </w:rPr>
        <w:footnoteReference w:id="1"/>
      </w:r>
      <w:r w:rsidRPr="00521143">
        <w:rPr>
          <w:rStyle w:val="AERbody"/>
        </w:rPr>
        <w:t xml:space="preserve"> Under the post-tax framework, a corporate income tax allowance is calculated as part of the building block assessment using our post-tax revenue model (PTRM). This amount enables </w:t>
      </w:r>
      <w:r>
        <w:rPr>
          <w:rStyle w:val="AERbody"/>
        </w:rPr>
        <w:t xml:space="preserve">AusNet Services </w:t>
      </w:r>
      <w:r w:rsidRPr="00521143">
        <w:rPr>
          <w:rStyle w:val="AERbody"/>
        </w:rPr>
        <w:t>to recover the costs associated with the estimated corporate income tax payable during the 201</w:t>
      </w:r>
      <w:r>
        <w:rPr>
          <w:rStyle w:val="AERbody"/>
        </w:rPr>
        <w:t>6</w:t>
      </w:r>
      <w:r w:rsidRPr="00521143">
        <w:rPr>
          <w:rStyle w:val="AERbody"/>
        </w:rPr>
        <w:t xml:space="preserve">–20 regulatory control period. </w:t>
      </w:r>
    </w:p>
    <w:p w:rsidR="003C1380" w:rsidRPr="006C6959" w:rsidRDefault="003C1380" w:rsidP="003C1380">
      <w:r w:rsidRPr="00521143">
        <w:rPr>
          <w:rStyle w:val="AERbody"/>
        </w:rPr>
        <w:t xml:space="preserve">This attachment presents our </w:t>
      </w:r>
      <w:r>
        <w:rPr>
          <w:rStyle w:val="AERbody"/>
        </w:rPr>
        <w:t>final decision on</w:t>
      </w:r>
      <w:r w:rsidRPr="00521143">
        <w:rPr>
          <w:rStyle w:val="AERbody"/>
        </w:rPr>
        <w:t xml:space="preserve"> </w:t>
      </w:r>
      <w:r>
        <w:rPr>
          <w:rStyle w:val="AERbody"/>
        </w:rPr>
        <w:t>AusNet Services' revised</w:t>
      </w:r>
      <w:r w:rsidRPr="00521143">
        <w:rPr>
          <w:rStyle w:val="AERbody"/>
        </w:rPr>
        <w:t xml:space="preserve"> proposed corporate income tax allowance for the 201</w:t>
      </w:r>
      <w:r>
        <w:rPr>
          <w:rStyle w:val="AERbody"/>
        </w:rPr>
        <w:t>6</w:t>
      </w:r>
      <w:r w:rsidRPr="00521143">
        <w:rPr>
          <w:rStyle w:val="AERbody"/>
        </w:rPr>
        <w:t xml:space="preserve">–20 regulatory control period. It also presents our </w:t>
      </w:r>
      <w:r>
        <w:rPr>
          <w:rStyle w:val="AERbody"/>
        </w:rPr>
        <w:t xml:space="preserve">final decision on </w:t>
      </w:r>
      <w:r w:rsidRPr="00521143">
        <w:rPr>
          <w:rStyle w:val="AERbody"/>
        </w:rPr>
        <w:t xml:space="preserve">its </w:t>
      </w:r>
      <w:r>
        <w:rPr>
          <w:rStyle w:val="AERbody"/>
        </w:rPr>
        <w:t xml:space="preserve">revised </w:t>
      </w:r>
      <w:r w:rsidRPr="00521143">
        <w:rPr>
          <w:rStyle w:val="AERbody"/>
        </w:rPr>
        <w:t>proposed opening tax asset base (TAB),</w:t>
      </w:r>
      <w:r w:rsidR="007B680C">
        <w:rPr>
          <w:rStyle w:val="AERbody"/>
        </w:rPr>
        <w:t xml:space="preserve"> and</w:t>
      </w:r>
      <w:r w:rsidRPr="00521143">
        <w:rPr>
          <w:rStyle w:val="AERbody"/>
        </w:rPr>
        <w:t xml:space="preserve"> the standard </w:t>
      </w:r>
      <w:r w:rsidR="004A2A1A">
        <w:rPr>
          <w:rStyle w:val="AERbody"/>
        </w:rPr>
        <w:t>and remaining tax asset lives</w:t>
      </w:r>
      <w:r>
        <w:rPr>
          <w:rStyle w:val="AERbody"/>
        </w:rPr>
        <w:t xml:space="preserve"> used </w:t>
      </w:r>
      <w:r w:rsidR="007B4056">
        <w:rPr>
          <w:rStyle w:val="AERbody"/>
        </w:rPr>
        <w:t xml:space="preserve">to estimate tax depreciation </w:t>
      </w:r>
      <w:r w:rsidRPr="00521143">
        <w:rPr>
          <w:rStyle w:val="AERbody"/>
        </w:rPr>
        <w:t>for the purpose of calculating tax expenses.</w:t>
      </w:r>
    </w:p>
    <w:p w:rsidR="00132D43" w:rsidRDefault="00DB4E34" w:rsidP="00132D43">
      <w:pPr>
        <w:pStyle w:val="Heading2"/>
      </w:pPr>
      <w:bookmarkStart w:id="72" w:name="_Toc451286379"/>
      <w:r>
        <w:t>Final</w:t>
      </w:r>
      <w:r w:rsidR="00132D43">
        <w:t xml:space="preserve"> decision</w:t>
      </w:r>
      <w:bookmarkEnd w:id="72"/>
    </w:p>
    <w:p w:rsidR="003C1380" w:rsidRDefault="003C1380" w:rsidP="00C73A70">
      <w:r>
        <w:t>We do not accept AusNet Services' revised proposed cost of corporate income tax allowance of $254.</w:t>
      </w:r>
      <w:r w:rsidR="00D67CF7">
        <w:t>7</w:t>
      </w:r>
      <w:r>
        <w:t xml:space="preserve"> million ($ nominal).</w:t>
      </w:r>
      <w:r w:rsidR="00D67CF7">
        <w:rPr>
          <w:rStyle w:val="FootnoteReference"/>
        </w:rPr>
        <w:footnoteReference w:id="2"/>
      </w:r>
      <w:r>
        <w:t xml:space="preserve"> Our final decision on the estimated cost of corporate income tax </w:t>
      </w:r>
      <w:r w:rsidRPr="001B4FAE">
        <w:rPr>
          <w:rStyle w:val="AERbody"/>
        </w:rPr>
        <w:t xml:space="preserve">is </w:t>
      </w:r>
      <w:r w:rsidR="00C86E99" w:rsidRPr="00C73A70">
        <w:t>$143.7</w:t>
      </w:r>
      <w:r w:rsidRPr="00C73A70">
        <w:t> </w:t>
      </w:r>
      <w:r w:rsidRPr="001B4FAE">
        <w:rPr>
          <w:rStyle w:val="AERbody"/>
        </w:rPr>
        <w:t xml:space="preserve">million </w:t>
      </w:r>
      <w:r>
        <w:t xml:space="preserve">($ nominal) for AusNet Services over the 2016–20 regulatory control period. This represents a reduction of </w:t>
      </w:r>
      <w:r w:rsidR="00C86E99" w:rsidRPr="00C73A70">
        <w:rPr>
          <w:rStyle w:val="AERbody"/>
        </w:rPr>
        <w:t>$110.9</w:t>
      </w:r>
      <w:r w:rsidRPr="001B4FAE">
        <w:rPr>
          <w:rStyle w:val="AERbody"/>
        </w:rPr>
        <w:t xml:space="preserve"> million (or </w:t>
      </w:r>
      <w:r w:rsidR="00C86E99" w:rsidRPr="00C73A70">
        <w:t>43.6</w:t>
      </w:r>
      <w:r w:rsidRPr="001B4FAE">
        <w:rPr>
          <w:rStyle w:val="AERbody"/>
        </w:rPr>
        <w:t> per cent</w:t>
      </w:r>
      <w:r>
        <w:t>) from its revised proposal.</w:t>
      </w:r>
    </w:p>
    <w:p w:rsidR="00D02ECC" w:rsidRPr="003C1380" w:rsidRDefault="00E657F2" w:rsidP="003C1380">
      <w:r w:rsidRPr="00A74A3C">
        <w:t>The r</w:t>
      </w:r>
      <w:r>
        <w:t xml:space="preserve">eduction </w:t>
      </w:r>
      <w:r w:rsidRPr="00DD7F15">
        <w:t xml:space="preserve">reflects our </w:t>
      </w:r>
      <w:r w:rsidR="00336C7F">
        <w:t xml:space="preserve">amendments to AusNet's proposed inputs for forecasting the cost of corporate income tax such as the opening TAB (section </w:t>
      </w:r>
      <w:r w:rsidR="00336C7F">
        <w:fldChar w:fldCharType="begin"/>
      </w:r>
      <w:r w:rsidR="00336C7F">
        <w:instrText xml:space="preserve"> REF _Ref410982190 \r \h </w:instrText>
      </w:r>
      <w:r w:rsidR="00336C7F">
        <w:fldChar w:fldCharType="separate"/>
      </w:r>
      <w:r w:rsidR="00D02ECC">
        <w:t>8.4.1</w:t>
      </w:r>
      <w:r w:rsidR="00336C7F">
        <w:fldChar w:fldCharType="end"/>
      </w:r>
      <w:r w:rsidR="00336C7F">
        <w:t xml:space="preserve">) and </w:t>
      </w:r>
      <w:r>
        <w:t>the</w:t>
      </w:r>
      <w:r w:rsidRPr="00A74A3C">
        <w:t xml:space="preserve"> </w:t>
      </w:r>
      <w:r>
        <w:t xml:space="preserve">value of imputation credits—gamma—(attachment 4). Changes to the building block costs also affect revenues, which in turn impacts the tax calculation. The changes affecting revenues are discussed in attachment 1.  </w:t>
      </w:r>
      <w:r w:rsidR="003C1380">
        <w:fldChar w:fldCharType="begin"/>
      </w:r>
      <w:r w:rsidR="003C1380">
        <w:instrText xml:space="preserve"> REF _Ref410978856 \h </w:instrText>
      </w:r>
      <w:r w:rsidR="003C1380">
        <w:fldChar w:fldCharType="separate"/>
      </w:r>
    </w:p>
    <w:p w:rsidR="003C1380" w:rsidRPr="003C1380" w:rsidRDefault="00D02ECC" w:rsidP="003C1380">
      <w:r>
        <w:t xml:space="preserve">Table </w:t>
      </w:r>
      <w:r>
        <w:rPr>
          <w:noProof/>
        </w:rPr>
        <w:t>8</w:t>
      </w:r>
      <w:r>
        <w:t>.</w:t>
      </w:r>
      <w:r>
        <w:rPr>
          <w:noProof/>
        </w:rPr>
        <w:t>1</w:t>
      </w:r>
      <w:r w:rsidR="003C1380">
        <w:fldChar w:fldCharType="end"/>
      </w:r>
      <w:r w:rsidR="003C1380">
        <w:t xml:space="preserve"> </w:t>
      </w:r>
      <w:r w:rsidR="003C1380" w:rsidRPr="00521143">
        <w:t>set</w:t>
      </w:r>
      <w:r w:rsidR="003C1380">
        <w:t>s</w:t>
      </w:r>
      <w:r w:rsidR="003C1380" w:rsidRPr="00521143">
        <w:t xml:space="preserve"> out our </w:t>
      </w:r>
      <w:r w:rsidR="003C1380">
        <w:t>final</w:t>
      </w:r>
      <w:r w:rsidR="003C1380" w:rsidRPr="00521143">
        <w:t xml:space="preserve"> decision on the estimated cost of corporate income tax allowance for </w:t>
      </w:r>
      <w:r w:rsidR="003C1380">
        <w:t>AusNet Services over the 201</w:t>
      </w:r>
      <w:r w:rsidR="00464A03">
        <w:t>6</w:t>
      </w:r>
      <w:r w:rsidR="003C1380">
        <w:t>–20 regulatory control period</w:t>
      </w:r>
      <w:r w:rsidR="003C1380" w:rsidRPr="00521143">
        <w:t xml:space="preserve">. </w:t>
      </w:r>
      <w:bookmarkStart w:id="73" w:name="_Ref410978856"/>
    </w:p>
    <w:p w:rsidR="003C1380" w:rsidRDefault="003C1380" w:rsidP="003C1380">
      <w:pPr>
        <w:pStyle w:val="Caption"/>
      </w:pPr>
      <w:r>
        <w:t xml:space="preserve">Table </w:t>
      </w:r>
      <w:fldSimple w:instr=" STYLEREF 1 \s ">
        <w:r w:rsidR="00D02ECC">
          <w:rPr>
            <w:noProof/>
          </w:rPr>
          <w:t>8</w:t>
        </w:r>
      </w:fldSimple>
      <w:r>
        <w:t>.</w:t>
      </w:r>
      <w:r w:rsidRPr="000473F7">
        <w:fldChar w:fldCharType="begin"/>
      </w:r>
      <w:r>
        <w:instrText xml:space="preserve"> SEQ Table \* ARABIC \s 1 </w:instrText>
      </w:r>
      <w:r w:rsidRPr="000473F7">
        <w:fldChar w:fldCharType="separate"/>
      </w:r>
      <w:r w:rsidR="00D02ECC">
        <w:rPr>
          <w:noProof/>
        </w:rPr>
        <w:t>1</w:t>
      </w:r>
      <w:r w:rsidRPr="000473F7">
        <w:fldChar w:fldCharType="end"/>
      </w:r>
      <w:bookmarkEnd w:id="73"/>
      <w:r>
        <w:tab/>
        <w:t>AER's final</w:t>
      </w:r>
      <w:r w:rsidRPr="00E123FB">
        <w:t xml:space="preserve"> decision on </w:t>
      </w:r>
      <w:r>
        <w:t xml:space="preserve">AusNet Services' </w:t>
      </w:r>
      <w:r w:rsidRPr="00E123FB">
        <w:t>cost of corporate i</w:t>
      </w:r>
      <w:r>
        <w:t>ncome tax allowance for the 2016</w:t>
      </w:r>
      <w:r w:rsidRPr="00E123FB">
        <w:t>–20 regulatory control period ($</w:t>
      </w:r>
      <w:r>
        <w:t> </w:t>
      </w:r>
      <w:r w:rsidRPr="00E123FB">
        <w:t>million, nominal)</w:t>
      </w:r>
    </w:p>
    <w:tbl>
      <w:tblPr>
        <w:tblStyle w:val="AERtable-numbers"/>
        <w:tblW w:w="8755" w:type="dxa"/>
        <w:tblLayout w:type="fixed"/>
        <w:tblLook w:val="04A0" w:firstRow="1" w:lastRow="0" w:firstColumn="1" w:lastColumn="0" w:noHBand="0" w:noVBand="1"/>
      </w:tblPr>
      <w:tblGrid>
        <w:gridCol w:w="3245"/>
        <w:gridCol w:w="918"/>
        <w:gridCol w:w="918"/>
        <w:gridCol w:w="919"/>
        <w:gridCol w:w="918"/>
        <w:gridCol w:w="918"/>
        <w:gridCol w:w="919"/>
      </w:tblGrid>
      <w:tr w:rsidR="003C1380" w:rsidRPr="00521143" w:rsidTr="003C13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3C1380" w:rsidRPr="003C1380" w:rsidRDefault="003C1380" w:rsidP="003C1380">
            <w:r w:rsidRPr="00521143">
              <w:t> </w:t>
            </w:r>
          </w:p>
        </w:tc>
        <w:tc>
          <w:tcPr>
            <w:tcW w:w="918" w:type="dxa"/>
            <w:noWrap/>
            <w:hideMark/>
          </w:tcPr>
          <w:p w:rsidR="003C1380" w:rsidRPr="003C1380" w:rsidRDefault="003C1380" w:rsidP="00D67CF7">
            <w:pPr>
              <w:cnfStyle w:val="100000000000" w:firstRow="1" w:lastRow="0" w:firstColumn="0" w:lastColumn="0" w:oddVBand="0" w:evenVBand="0" w:oddHBand="0" w:evenHBand="0" w:firstRowFirstColumn="0" w:firstRowLastColumn="0" w:lastRowFirstColumn="0" w:lastRowLastColumn="0"/>
            </w:pPr>
            <w:r w:rsidRPr="00521143">
              <w:t>2016</w:t>
            </w:r>
          </w:p>
        </w:tc>
        <w:tc>
          <w:tcPr>
            <w:tcW w:w="918" w:type="dxa"/>
            <w:noWrap/>
            <w:hideMark/>
          </w:tcPr>
          <w:p w:rsidR="003C1380" w:rsidRPr="003C1380" w:rsidRDefault="003C1380" w:rsidP="00D67CF7">
            <w:pPr>
              <w:cnfStyle w:val="100000000000" w:firstRow="1" w:lastRow="0" w:firstColumn="0" w:lastColumn="0" w:oddVBand="0" w:evenVBand="0" w:oddHBand="0" w:evenHBand="0" w:firstRowFirstColumn="0" w:firstRowLastColumn="0" w:lastRowFirstColumn="0" w:lastRowLastColumn="0"/>
            </w:pPr>
            <w:r w:rsidRPr="00521143">
              <w:t>2017</w:t>
            </w:r>
          </w:p>
        </w:tc>
        <w:tc>
          <w:tcPr>
            <w:tcW w:w="919" w:type="dxa"/>
            <w:noWrap/>
            <w:hideMark/>
          </w:tcPr>
          <w:p w:rsidR="003C1380" w:rsidRPr="003C1380" w:rsidRDefault="003C1380" w:rsidP="00D67CF7">
            <w:pPr>
              <w:cnfStyle w:val="100000000000" w:firstRow="1" w:lastRow="0" w:firstColumn="0" w:lastColumn="0" w:oddVBand="0" w:evenVBand="0" w:oddHBand="0" w:evenHBand="0" w:firstRowFirstColumn="0" w:firstRowLastColumn="0" w:lastRowFirstColumn="0" w:lastRowLastColumn="0"/>
            </w:pPr>
            <w:r w:rsidRPr="00521143">
              <w:t>2018</w:t>
            </w:r>
          </w:p>
        </w:tc>
        <w:tc>
          <w:tcPr>
            <w:tcW w:w="918" w:type="dxa"/>
            <w:noWrap/>
            <w:hideMark/>
          </w:tcPr>
          <w:p w:rsidR="003C1380" w:rsidRPr="003C1380" w:rsidRDefault="003C1380" w:rsidP="00D67CF7">
            <w:pPr>
              <w:cnfStyle w:val="100000000000" w:firstRow="1" w:lastRow="0" w:firstColumn="0" w:lastColumn="0" w:oddVBand="0" w:evenVBand="0" w:oddHBand="0" w:evenHBand="0" w:firstRowFirstColumn="0" w:firstRowLastColumn="0" w:lastRowFirstColumn="0" w:lastRowLastColumn="0"/>
            </w:pPr>
            <w:r w:rsidRPr="00521143">
              <w:t>2019</w:t>
            </w:r>
          </w:p>
        </w:tc>
        <w:tc>
          <w:tcPr>
            <w:tcW w:w="918" w:type="dxa"/>
            <w:noWrap/>
            <w:hideMark/>
          </w:tcPr>
          <w:p w:rsidR="003C1380" w:rsidRPr="003C1380" w:rsidRDefault="003C1380" w:rsidP="00D67CF7">
            <w:pPr>
              <w:cnfStyle w:val="100000000000" w:firstRow="1" w:lastRow="0" w:firstColumn="0" w:lastColumn="0" w:oddVBand="0" w:evenVBand="0" w:oddHBand="0" w:evenHBand="0" w:firstRowFirstColumn="0" w:firstRowLastColumn="0" w:lastRowFirstColumn="0" w:lastRowLastColumn="0"/>
            </w:pPr>
            <w:r w:rsidRPr="00521143">
              <w:t>2020</w:t>
            </w:r>
          </w:p>
        </w:tc>
        <w:tc>
          <w:tcPr>
            <w:tcW w:w="919" w:type="dxa"/>
            <w:noWrap/>
            <w:hideMark/>
          </w:tcPr>
          <w:p w:rsidR="003C1380" w:rsidRPr="003C1380" w:rsidRDefault="003C1380" w:rsidP="003C1380">
            <w:pPr>
              <w:cnfStyle w:val="100000000000" w:firstRow="1" w:lastRow="0" w:firstColumn="0" w:lastColumn="0" w:oddVBand="0" w:evenVBand="0" w:oddHBand="0" w:evenHBand="0" w:firstRowFirstColumn="0" w:firstRowLastColumn="0" w:lastRowFirstColumn="0" w:lastRowLastColumn="0"/>
            </w:pPr>
            <w:r w:rsidRPr="00521143">
              <w:t>Total</w:t>
            </w:r>
          </w:p>
        </w:tc>
      </w:tr>
      <w:tr w:rsidR="00C86E99" w:rsidRPr="00521143" w:rsidTr="003C1380">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C86E99" w:rsidRPr="00C86E99" w:rsidRDefault="00C86E99" w:rsidP="00C86E99">
            <w:r w:rsidRPr="00C86E99">
              <w:t>Tax payable</w:t>
            </w:r>
          </w:p>
        </w:tc>
        <w:tc>
          <w:tcPr>
            <w:tcW w:w="918" w:type="dxa"/>
            <w:noWrap/>
            <w:vAlign w:val="bottom"/>
          </w:tcPr>
          <w:p w:rsidR="00C86E99" w:rsidRPr="00C86E99" w:rsidRDefault="00C86E99" w:rsidP="00C86E99">
            <w:pPr>
              <w:cnfStyle w:val="000000000000" w:firstRow="0" w:lastRow="0" w:firstColumn="0" w:lastColumn="0" w:oddVBand="0" w:evenVBand="0" w:oddHBand="0" w:evenHBand="0" w:firstRowFirstColumn="0" w:firstRowLastColumn="0" w:lastRowFirstColumn="0" w:lastRowLastColumn="0"/>
            </w:pPr>
            <w:r w:rsidRPr="00C86E99">
              <w:t>55.4</w:t>
            </w:r>
          </w:p>
        </w:tc>
        <w:tc>
          <w:tcPr>
            <w:tcW w:w="918" w:type="dxa"/>
            <w:noWrap/>
            <w:vAlign w:val="bottom"/>
          </w:tcPr>
          <w:p w:rsidR="00C86E99" w:rsidRPr="00C86E99" w:rsidRDefault="00C86E99" w:rsidP="00C86E99">
            <w:pPr>
              <w:cnfStyle w:val="000000000000" w:firstRow="0" w:lastRow="0" w:firstColumn="0" w:lastColumn="0" w:oddVBand="0" w:evenVBand="0" w:oddHBand="0" w:evenHBand="0" w:firstRowFirstColumn="0" w:firstRowLastColumn="0" w:lastRowFirstColumn="0" w:lastRowLastColumn="0"/>
            </w:pPr>
            <w:r w:rsidRPr="00C86E99">
              <w:t>45.1</w:t>
            </w:r>
          </w:p>
        </w:tc>
        <w:tc>
          <w:tcPr>
            <w:tcW w:w="919" w:type="dxa"/>
            <w:noWrap/>
            <w:vAlign w:val="bottom"/>
          </w:tcPr>
          <w:p w:rsidR="00C86E99" w:rsidRPr="00C86E99" w:rsidRDefault="00C86E99" w:rsidP="00C86E99">
            <w:pPr>
              <w:cnfStyle w:val="000000000000" w:firstRow="0" w:lastRow="0" w:firstColumn="0" w:lastColumn="0" w:oddVBand="0" w:evenVBand="0" w:oddHBand="0" w:evenHBand="0" w:firstRowFirstColumn="0" w:firstRowLastColumn="0" w:lastRowFirstColumn="0" w:lastRowLastColumn="0"/>
            </w:pPr>
            <w:r w:rsidRPr="00C86E99">
              <w:t>46.0</w:t>
            </w:r>
          </w:p>
        </w:tc>
        <w:tc>
          <w:tcPr>
            <w:tcW w:w="918" w:type="dxa"/>
            <w:noWrap/>
            <w:vAlign w:val="bottom"/>
          </w:tcPr>
          <w:p w:rsidR="00C86E99" w:rsidRPr="00C86E99" w:rsidRDefault="00C86E99" w:rsidP="00C86E99">
            <w:pPr>
              <w:cnfStyle w:val="000000000000" w:firstRow="0" w:lastRow="0" w:firstColumn="0" w:lastColumn="0" w:oddVBand="0" w:evenVBand="0" w:oddHBand="0" w:evenHBand="0" w:firstRowFirstColumn="0" w:firstRowLastColumn="0" w:lastRowFirstColumn="0" w:lastRowLastColumn="0"/>
            </w:pPr>
            <w:r w:rsidRPr="00C86E99">
              <w:t>47.2</w:t>
            </w:r>
          </w:p>
        </w:tc>
        <w:tc>
          <w:tcPr>
            <w:tcW w:w="918" w:type="dxa"/>
            <w:noWrap/>
            <w:vAlign w:val="bottom"/>
          </w:tcPr>
          <w:p w:rsidR="00C86E99" w:rsidRPr="00C86E99" w:rsidRDefault="00C86E99" w:rsidP="00C86E99">
            <w:pPr>
              <w:cnfStyle w:val="000000000000" w:firstRow="0" w:lastRow="0" w:firstColumn="0" w:lastColumn="0" w:oddVBand="0" w:evenVBand="0" w:oddHBand="0" w:evenHBand="0" w:firstRowFirstColumn="0" w:firstRowLastColumn="0" w:lastRowFirstColumn="0" w:lastRowLastColumn="0"/>
            </w:pPr>
            <w:r w:rsidRPr="00C86E99">
              <w:t>45.8</w:t>
            </w:r>
          </w:p>
        </w:tc>
        <w:tc>
          <w:tcPr>
            <w:tcW w:w="919" w:type="dxa"/>
            <w:noWrap/>
            <w:vAlign w:val="bottom"/>
          </w:tcPr>
          <w:p w:rsidR="00C86E99" w:rsidRPr="00C86E99" w:rsidRDefault="00C86E99" w:rsidP="00C86E99">
            <w:pPr>
              <w:cnfStyle w:val="000000000000" w:firstRow="0" w:lastRow="0" w:firstColumn="0" w:lastColumn="0" w:oddVBand="0" w:evenVBand="0" w:oddHBand="0" w:evenHBand="0" w:firstRowFirstColumn="0" w:firstRowLastColumn="0" w:lastRowFirstColumn="0" w:lastRowLastColumn="0"/>
            </w:pPr>
            <w:r w:rsidRPr="00C86E99">
              <w:t>239.5</w:t>
            </w:r>
          </w:p>
        </w:tc>
      </w:tr>
      <w:tr w:rsidR="00C86E99" w:rsidRPr="00521143" w:rsidTr="003C138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C86E99" w:rsidRPr="00C86E99" w:rsidRDefault="00C86E99" w:rsidP="00C86E99">
            <w:r w:rsidRPr="00C86E99">
              <w:rPr>
                <w:rStyle w:val="AERtextitalic"/>
              </w:rPr>
              <w:t xml:space="preserve">Less: </w:t>
            </w:r>
            <w:r w:rsidRPr="00C86E99">
              <w:t>value of imputation credits</w:t>
            </w:r>
          </w:p>
        </w:tc>
        <w:tc>
          <w:tcPr>
            <w:tcW w:w="918" w:type="dxa"/>
            <w:noWrap/>
            <w:vAlign w:val="bottom"/>
          </w:tcPr>
          <w:p w:rsidR="00C86E99" w:rsidRPr="00C86E99" w:rsidRDefault="00C86E99" w:rsidP="00C86E99">
            <w:pPr>
              <w:cnfStyle w:val="000000010000" w:firstRow="0" w:lastRow="0" w:firstColumn="0" w:lastColumn="0" w:oddVBand="0" w:evenVBand="0" w:oddHBand="0" w:evenHBand="1" w:firstRowFirstColumn="0" w:firstRowLastColumn="0" w:lastRowFirstColumn="0" w:lastRowLastColumn="0"/>
            </w:pPr>
            <w:r w:rsidRPr="00C86E99">
              <w:t>22.2</w:t>
            </w:r>
          </w:p>
        </w:tc>
        <w:tc>
          <w:tcPr>
            <w:tcW w:w="918" w:type="dxa"/>
            <w:noWrap/>
            <w:vAlign w:val="bottom"/>
          </w:tcPr>
          <w:p w:rsidR="00C86E99" w:rsidRPr="00C86E99" w:rsidRDefault="00C86E99" w:rsidP="00C86E99">
            <w:pPr>
              <w:cnfStyle w:val="000000010000" w:firstRow="0" w:lastRow="0" w:firstColumn="0" w:lastColumn="0" w:oddVBand="0" w:evenVBand="0" w:oddHBand="0" w:evenHBand="1" w:firstRowFirstColumn="0" w:firstRowLastColumn="0" w:lastRowFirstColumn="0" w:lastRowLastColumn="0"/>
            </w:pPr>
            <w:r w:rsidRPr="00C86E99">
              <w:t>18.0</w:t>
            </w:r>
          </w:p>
        </w:tc>
        <w:tc>
          <w:tcPr>
            <w:tcW w:w="919" w:type="dxa"/>
            <w:noWrap/>
            <w:vAlign w:val="bottom"/>
          </w:tcPr>
          <w:p w:rsidR="00C86E99" w:rsidRPr="00C86E99" w:rsidRDefault="00C86E99" w:rsidP="00C86E99">
            <w:pPr>
              <w:cnfStyle w:val="000000010000" w:firstRow="0" w:lastRow="0" w:firstColumn="0" w:lastColumn="0" w:oddVBand="0" w:evenVBand="0" w:oddHBand="0" w:evenHBand="1" w:firstRowFirstColumn="0" w:firstRowLastColumn="0" w:lastRowFirstColumn="0" w:lastRowLastColumn="0"/>
            </w:pPr>
            <w:r w:rsidRPr="00C86E99">
              <w:t>18.4</w:t>
            </w:r>
          </w:p>
        </w:tc>
        <w:tc>
          <w:tcPr>
            <w:tcW w:w="918" w:type="dxa"/>
            <w:noWrap/>
            <w:vAlign w:val="bottom"/>
          </w:tcPr>
          <w:p w:rsidR="00C86E99" w:rsidRPr="00C86E99" w:rsidRDefault="00C86E99" w:rsidP="00C86E99">
            <w:pPr>
              <w:cnfStyle w:val="000000010000" w:firstRow="0" w:lastRow="0" w:firstColumn="0" w:lastColumn="0" w:oddVBand="0" w:evenVBand="0" w:oddHBand="0" w:evenHBand="1" w:firstRowFirstColumn="0" w:firstRowLastColumn="0" w:lastRowFirstColumn="0" w:lastRowLastColumn="0"/>
            </w:pPr>
            <w:r w:rsidRPr="00C86E99">
              <w:t>18.9</w:t>
            </w:r>
          </w:p>
        </w:tc>
        <w:tc>
          <w:tcPr>
            <w:tcW w:w="918" w:type="dxa"/>
            <w:noWrap/>
            <w:vAlign w:val="bottom"/>
          </w:tcPr>
          <w:p w:rsidR="00C86E99" w:rsidRPr="00C86E99" w:rsidRDefault="00C86E99" w:rsidP="00C86E99">
            <w:pPr>
              <w:cnfStyle w:val="000000010000" w:firstRow="0" w:lastRow="0" w:firstColumn="0" w:lastColumn="0" w:oddVBand="0" w:evenVBand="0" w:oddHBand="0" w:evenHBand="1" w:firstRowFirstColumn="0" w:firstRowLastColumn="0" w:lastRowFirstColumn="0" w:lastRowLastColumn="0"/>
            </w:pPr>
            <w:r w:rsidRPr="00C86E99">
              <w:t>18.3</w:t>
            </w:r>
          </w:p>
        </w:tc>
        <w:tc>
          <w:tcPr>
            <w:tcW w:w="919" w:type="dxa"/>
            <w:noWrap/>
            <w:vAlign w:val="bottom"/>
          </w:tcPr>
          <w:p w:rsidR="00C86E99" w:rsidRPr="00C86E99" w:rsidRDefault="00C86E99" w:rsidP="00C86E99">
            <w:pPr>
              <w:cnfStyle w:val="000000010000" w:firstRow="0" w:lastRow="0" w:firstColumn="0" w:lastColumn="0" w:oddVBand="0" w:evenVBand="0" w:oddHBand="0" w:evenHBand="1" w:firstRowFirstColumn="0" w:firstRowLastColumn="0" w:lastRowFirstColumn="0" w:lastRowLastColumn="0"/>
            </w:pPr>
            <w:r w:rsidRPr="00C86E99">
              <w:t>95.8</w:t>
            </w:r>
          </w:p>
        </w:tc>
      </w:tr>
      <w:tr w:rsidR="00C86E99" w:rsidRPr="00C86E99" w:rsidTr="003C1380">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C86E99" w:rsidRPr="00C86E99" w:rsidRDefault="00C86E99" w:rsidP="00C86E99">
            <w:pPr>
              <w:rPr>
                <w:rStyle w:val="Strong"/>
              </w:rPr>
            </w:pPr>
            <w:r w:rsidRPr="00C86E99">
              <w:rPr>
                <w:rStyle w:val="Strong"/>
              </w:rPr>
              <w:t>Net corporate income tax allowance</w:t>
            </w:r>
          </w:p>
        </w:tc>
        <w:tc>
          <w:tcPr>
            <w:tcW w:w="918" w:type="dxa"/>
            <w:noWrap/>
            <w:vAlign w:val="bottom"/>
          </w:tcPr>
          <w:p w:rsidR="00C86E99" w:rsidRPr="00C86E99" w:rsidRDefault="00C86E99" w:rsidP="00C86E99">
            <w:pPr>
              <w:cnfStyle w:val="000000000000" w:firstRow="0" w:lastRow="0" w:firstColumn="0" w:lastColumn="0" w:oddVBand="0" w:evenVBand="0" w:oddHBand="0" w:evenHBand="0" w:firstRowFirstColumn="0" w:firstRowLastColumn="0" w:lastRowFirstColumn="0" w:lastRowLastColumn="0"/>
              <w:rPr>
                <w:rStyle w:val="Strong"/>
              </w:rPr>
            </w:pPr>
            <w:r w:rsidRPr="00C86E99">
              <w:rPr>
                <w:rStyle w:val="Strong"/>
              </w:rPr>
              <w:t>33.2</w:t>
            </w:r>
          </w:p>
        </w:tc>
        <w:tc>
          <w:tcPr>
            <w:tcW w:w="918" w:type="dxa"/>
            <w:noWrap/>
            <w:vAlign w:val="bottom"/>
          </w:tcPr>
          <w:p w:rsidR="00C86E99" w:rsidRPr="00C86E99" w:rsidRDefault="00C86E99" w:rsidP="00C86E99">
            <w:pPr>
              <w:cnfStyle w:val="000000000000" w:firstRow="0" w:lastRow="0" w:firstColumn="0" w:lastColumn="0" w:oddVBand="0" w:evenVBand="0" w:oddHBand="0" w:evenHBand="0" w:firstRowFirstColumn="0" w:firstRowLastColumn="0" w:lastRowFirstColumn="0" w:lastRowLastColumn="0"/>
              <w:rPr>
                <w:rStyle w:val="Strong"/>
              </w:rPr>
            </w:pPr>
            <w:r w:rsidRPr="00C86E99">
              <w:rPr>
                <w:rStyle w:val="Strong"/>
              </w:rPr>
              <w:t>27.1</w:t>
            </w:r>
          </w:p>
        </w:tc>
        <w:tc>
          <w:tcPr>
            <w:tcW w:w="919" w:type="dxa"/>
            <w:noWrap/>
            <w:vAlign w:val="bottom"/>
          </w:tcPr>
          <w:p w:rsidR="00C86E99" w:rsidRPr="00C86E99" w:rsidRDefault="00C86E99" w:rsidP="00C86E99">
            <w:pPr>
              <w:cnfStyle w:val="000000000000" w:firstRow="0" w:lastRow="0" w:firstColumn="0" w:lastColumn="0" w:oddVBand="0" w:evenVBand="0" w:oddHBand="0" w:evenHBand="0" w:firstRowFirstColumn="0" w:firstRowLastColumn="0" w:lastRowFirstColumn="0" w:lastRowLastColumn="0"/>
              <w:rPr>
                <w:rStyle w:val="Strong"/>
              </w:rPr>
            </w:pPr>
            <w:r w:rsidRPr="00C86E99">
              <w:rPr>
                <w:rStyle w:val="Strong"/>
              </w:rPr>
              <w:t>27.6</w:t>
            </w:r>
          </w:p>
        </w:tc>
        <w:tc>
          <w:tcPr>
            <w:tcW w:w="918" w:type="dxa"/>
            <w:noWrap/>
            <w:vAlign w:val="bottom"/>
          </w:tcPr>
          <w:p w:rsidR="00C86E99" w:rsidRPr="00C86E99" w:rsidRDefault="00C86E99" w:rsidP="00C86E99">
            <w:pPr>
              <w:cnfStyle w:val="000000000000" w:firstRow="0" w:lastRow="0" w:firstColumn="0" w:lastColumn="0" w:oddVBand="0" w:evenVBand="0" w:oddHBand="0" w:evenHBand="0" w:firstRowFirstColumn="0" w:firstRowLastColumn="0" w:lastRowFirstColumn="0" w:lastRowLastColumn="0"/>
              <w:rPr>
                <w:rStyle w:val="Strong"/>
              </w:rPr>
            </w:pPr>
            <w:r w:rsidRPr="00C86E99">
              <w:rPr>
                <w:rStyle w:val="Strong"/>
              </w:rPr>
              <w:t>28.3</w:t>
            </w:r>
          </w:p>
        </w:tc>
        <w:tc>
          <w:tcPr>
            <w:tcW w:w="918" w:type="dxa"/>
            <w:noWrap/>
            <w:vAlign w:val="bottom"/>
          </w:tcPr>
          <w:p w:rsidR="00C86E99" w:rsidRPr="00C86E99" w:rsidRDefault="00C86E99" w:rsidP="00C86E99">
            <w:pPr>
              <w:cnfStyle w:val="000000000000" w:firstRow="0" w:lastRow="0" w:firstColumn="0" w:lastColumn="0" w:oddVBand="0" w:evenVBand="0" w:oddHBand="0" w:evenHBand="0" w:firstRowFirstColumn="0" w:firstRowLastColumn="0" w:lastRowFirstColumn="0" w:lastRowLastColumn="0"/>
              <w:rPr>
                <w:rStyle w:val="Strong"/>
              </w:rPr>
            </w:pPr>
            <w:r w:rsidRPr="00C86E99">
              <w:rPr>
                <w:rStyle w:val="Strong"/>
              </w:rPr>
              <w:t>27.5</w:t>
            </w:r>
          </w:p>
        </w:tc>
        <w:tc>
          <w:tcPr>
            <w:tcW w:w="919" w:type="dxa"/>
            <w:noWrap/>
            <w:vAlign w:val="bottom"/>
          </w:tcPr>
          <w:p w:rsidR="00C86E99" w:rsidRPr="00C86E99" w:rsidRDefault="00C86E99" w:rsidP="00C86E99">
            <w:pPr>
              <w:cnfStyle w:val="000000000000" w:firstRow="0" w:lastRow="0" w:firstColumn="0" w:lastColumn="0" w:oddVBand="0" w:evenVBand="0" w:oddHBand="0" w:evenHBand="0" w:firstRowFirstColumn="0" w:firstRowLastColumn="0" w:lastRowFirstColumn="0" w:lastRowLastColumn="0"/>
              <w:rPr>
                <w:rStyle w:val="Strong"/>
              </w:rPr>
            </w:pPr>
            <w:r w:rsidRPr="00C86E99">
              <w:rPr>
                <w:rStyle w:val="Strong"/>
              </w:rPr>
              <w:t>143.7</w:t>
            </w:r>
          </w:p>
        </w:tc>
      </w:tr>
    </w:tbl>
    <w:p w:rsidR="003C1380" w:rsidRPr="00F16C56" w:rsidRDefault="003C1380" w:rsidP="003C1380">
      <w:pPr>
        <w:pStyle w:val="AERtablesource"/>
      </w:pPr>
      <w:r>
        <w:t>Source:</w:t>
      </w:r>
      <w:r>
        <w:tab/>
        <w:t>AER analysis.</w:t>
      </w:r>
    </w:p>
    <w:p w:rsidR="00132D43" w:rsidRDefault="00DB4E34" w:rsidP="00132D43">
      <w:pPr>
        <w:pStyle w:val="Heading2"/>
      </w:pPr>
      <w:bookmarkStart w:id="74" w:name="_Toc451286380"/>
      <w:r>
        <w:lastRenderedPageBreak/>
        <w:t>AusNet Services</w:t>
      </w:r>
      <w:r w:rsidR="004523B2">
        <w:t>'</w:t>
      </w:r>
      <w:r w:rsidR="00132D43">
        <w:t xml:space="preserve"> </w:t>
      </w:r>
      <w:r w:rsidR="000F0F0A">
        <w:t xml:space="preserve">revised </w:t>
      </w:r>
      <w:r w:rsidR="00132D43">
        <w:t>proposal</w:t>
      </w:r>
      <w:bookmarkEnd w:id="74"/>
    </w:p>
    <w:p w:rsidR="00D620DD" w:rsidRDefault="00E657F2" w:rsidP="000561F1">
      <w:r>
        <w:t>AusNet Services' revised proposal forecasts a cost of corporate income tax allowance of $254.7 million ($ nominal) for the 2016–20 regulatory control period.</w:t>
      </w:r>
      <w:r w:rsidRPr="00F20DF9">
        <w:t xml:space="preserve"> </w:t>
      </w:r>
      <w:r>
        <w:t>AusNet Services'</w:t>
      </w:r>
      <w:r w:rsidRPr="00EE3835">
        <w:t xml:space="preserve"> </w:t>
      </w:r>
      <w:r>
        <w:t xml:space="preserve">revised proposal adopted the </w:t>
      </w:r>
      <w:r w:rsidRPr="00EE3835">
        <w:t xml:space="preserve">methodology </w:t>
      </w:r>
      <w:r>
        <w:t xml:space="preserve">approved in the preliminary decision </w:t>
      </w:r>
      <w:r w:rsidRPr="00EE3835">
        <w:t xml:space="preserve">for determining its corporate income tax. </w:t>
      </w:r>
    </w:p>
    <w:p w:rsidR="00EF4FB3" w:rsidRPr="00EF4FB3" w:rsidRDefault="00EF4FB3" w:rsidP="000561F1">
      <w:r>
        <w:t xml:space="preserve">AusNet Services </w:t>
      </w:r>
      <w:r w:rsidRPr="00EF4FB3">
        <w:t>has revised its corporate income tax allowance using the AER's PTRM and included the following inputs:</w:t>
      </w:r>
    </w:p>
    <w:p w:rsidR="00E657F2" w:rsidRPr="00EE3835" w:rsidRDefault="00E657F2" w:rsidP="00EF4FB3">
      <w:pPr>
        <w:pStyle w:val="AERbulletlistfirststyle"/>
      </w:pPr>
      <w:r w:rsidRPr="00EE3835">
        <w:t>revised forecast capex</w:t>
      </w:r>
    </w:p>
    <w:p w:rsidR="00E657F2" w:rsidRDefault="00E657F2" w:rsidP="00EF4FB3">
      <w:pPr>
        <w:pStyle w:val="AERbulletlistfirststyle"/>
      </w:pPr>
      <w:r w:rsidRPr="00EE3835">
        <w:t>revised forecast opex</w:t>
      </w:r>
      <w:r>
        <w:t>.</w:t>
      </w:r>
    </w:p>
    <w:p w:rsidR="003C1380" w:rsidRDefault="003C1380" w:rsidP="003C1380">
      <w:r>
        <w:t>AusNet Services</w:t>
      </w:r>
      <w:r w:rsidR="00EF4FB3">
        <w:t>' revised proposal</w:t>
      </w:r>
      <w:r>
        <w:t xml:space="preserve"> also used the </w:t>
      </w:r>
      <w:r w:rsidR="000A2CB2">
        <w:t xml:space="preserve">opening TAB at 1 January 2016, </w:t>
      </w:r>
      <w:r>
        <w:t xml:space="preserve">standard </w:t>
      </w:r>
      <w:r w:rsidR="007B4056">
        <w:t xml:space="preserve">and remaining tax asset lives </w:t>
      </w:r>
      <w:r>
        <w:t>consistent with those approved in the preliminary decision. However, it used a value for gamma of 0.25 consistent with its initial proposal.</w:t>
      </w:r>
    </w:p>
    <w:p w:rsidR="003C1380" w:rsidRDefault="003C1380" w:rsidP="003C1380">
      <w:r>
        <w:fldChar w:fldCharType="begin"/>
      </w:r>
      <w:r>
        <w:instrText xml:space="preserve"> REF _Ref410980088 \h </w:instrText>
      </w:r>
      <w:r>
        <w:fldChar w:fldCharType="separate"/>
      </w:r>
      <w:r w:rsidR="00D02ECC">
        <w:t xml:space="preserve">Table </w:t>
      </w:r>
      <w:r w:rsidR="00D02ECC">
        <w:rPr>
          <w:noProof/>
        </w:rPr>
        <w:t>8</w:t>
      </w:r>
      <w:r w:rsidR="00D02ECC">
        <w:t>.</w:t>
      </w:r>
      <w:r w:rsidR="00D02ECC">
        <w:rPr>
          <w:noProof/>
        </w:rPr>
        <w:t>2</w:t>
      </w:r>
      <w:r>
        <w:fldChar w:fldCharType="end"/>
      </w:r>
      <w:r>
        <w:t xml:space="preserve"> </w:t>
      </w:r>
      <w:r w:rsidRPr="00375619">
        <w:t xml:space="preserve">sets out </w:t>
      </w:r>
      <w:r>
        <w:t>AusNet Services</w:t>
      </w:r>
      <w:r w:rsidRPr="00375619">
        <w:t xml:space="preserve">' </w:t>
      </w:r>
      <w:r>
        <w:t xml:space="preserve">revised </w:t>
      </w:r>
      <w:r w:rsidRPr="00375619">
        <w:t>proposed corporate i</w:t>
      </w:r>
      <w:r>
        <w:t>ncome tax allowance for the 2016</w:t>
      </w:r>
      <w:r w:rsidRPr="00375619">
        <w:t>–</w:t>
      </w:r>
      <w:r>
        <w:t>20</w:t>
      </w:r>
      <w:r w:rsidRPr="00375619">
        <w:t xml:space="preserve"> </w:t>
      </w:r>
      <w:r>
        <w:t xml:space="preserve">regulatory control </w:t>
      </w:r>
      <w:r w:rsidRPr="00375619">
        <w:t>period.</w:t>
      </w:r>
    </w:p>
    <w:p w:rsidR="003C1380" w:rsidRDefault="003C1380" w:rsidP="003C1380">
      <w:pPr>
        <w:pStyle w:val="Caption"/>
      </w:pPr>
      <w:bookmarkStart w:id="75" w:name="_Ref410980088"/>
      <w:r>
        <w:t xml:space="preserve">Table </w:t>
      </w:r>
      <w:fldSimple w:instr=" STYLEREF 1 \s ">
        <w:r w:rsidR="00D02ECC">
          <w:rPr>
            <w:noProof/>
          </w:rPr>
          <w:t>8</w:t>
        </w:r>
      </w:fldSimple>
      <w:r>
        <w:t>.</w:t>
      </w:r>
      <w:r w:rsidRPr="000473F7">
        <w:fldChar w:fldCharType="begin"/>
      </w:r>
      <w:r>
        <w:instrText xml:space="preserve"> SEQ Table \* ARABIC \s 1 </w:instrText>
      </w:r>
      <w:r w:rsidRPr="000473F7">
        <w:fldChar w:fldCharType="separate"/>
      </w:r>
      <w:r w:rsidR="00D02ECC">
        <w:rPr>
          <w:noProof/>
        </w:rPr>
        <w:t>2</w:t>
      </w:r>
      <w:r w:rsidRPr="000473F7">
        <w:fldChar w:fldCharType="end"/>
      </w:r>
      <w:bookmarkEnd w:id="75"/>
      <w:r>
        <w:tab/>
        <w:t>AusNet Services'</w:t>
      </w:r>
      <w:r w:rsidRPr="00375619">
        <w:t xml:space="preserve"> propos</w:t>
      </w:r>
      <w:r w:rsidR="00D67CF7">
        <w:t xml:space="preserve">ed cost of corporate income tax </w:t>
      </w:r>
      <w:r w:rsidRPr="00375619">
        <w:t>allowance for the 2015–20 regulatory control period ($ million, nominal)</w:t>
      </w:r>
    </w:p>
    <w:tbl>
      <w:tblPr>
        <w:tblStyle w:val="AERtable-numbers"/>
        <w:tblW w:w="5000" w:type="pct"/>
        <w:tblLook w:val="04A0" w:firstRow="1" w:lastRow="0" w:firstColumn="1" w:lastColumn="0" w:noHBand="0" w:noVBand="1"/>
      </w:tblPr>
      <w:tblGrid>
        <w:gridCol w:w="3071"/>
        <w:gridCol w:w="922"/>
        <w:gridCol w:w="921"/>
        <w:gridCol w:w="921"/>
        <w:gridCol w:w="921"/>
        <w:gridCol w:w="1017"/>
        <w:gridCol w:w="920"/>
      </w:tblGrid>
      <w:tr w:rsidR="003C1380" w:rsidRPr="00521143" w:rsidTr="00D67CF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6" w:type="pct"/>
            <w:noWrap/>
            <w:hideMark/>
          </w:tcPr>
          <w:p w:rsidR="003C1380" w:rsidRPr="003C1380" w:rsidRDefault="003C1380" w:rsidP="003C1380">
            <w:r w:rsidRPr="00521143">
              <w:t> </w:t>
            </w:r>
          </w:p>
        </w:tc>
        <w:tc>
          <w:tcPr>
            <w:tcW w:w="530" w:type="pct"/>
            <w:noWrap/>
            <w:hideMark/>
          </w:tcPr>
          <w:p w:rsidR="003C1380" w:rsidRPr="003C1380" w:rsidRDefault="003C1380" w:rsidP="003C1380">
            <w:pPr>
              <w:cnfStyle w:val="100000000000" w:firstRow="1" w:lastRow="0" w:firstColumn="0" w:lastColumn="0" w:oddVBand="0" w:evenVBand="0" w:oddHBand="0" w:evenHBand="0" w:firstRowFirstColumn="0" w:firstRowLastColumn="0" w:lastRowFirstColumn="0" w:lastRowLastColumn="0"/>
            </w:pPr>
            <w:r w:rsidRPr="00521143">
              <w:t>2016</w:t>
            </w:r>
          </w:p>
        </w:tc>
        <w:tc>
          <w:tcPr>
            <w:tcW w:w="530" w:type="pct"/>
            <w:noWrap/>
            <w:hideMark/>
          </w:tcPr>
          <w:p w:rsidR="003C1380" w:rsidRPr="003C1380" w:rsidRDefault="003C1380" w:rsidP="003C1380">
            <w:pPr>
              <w:cnfStyle w:val="100000000000" w:firstRow="1" w:lastRow="0" w:firstColumn="0" w:lastColumn="0" w:oddVBand="0" w:evenVBand="0" w:oddHBand="0" w:evenHBand="0" w:firstRowFirstColumn="0" w:firstRowLastColumn="0" w:lastRowFirstColumn="0" w:lastRowLastColumn="0"/>
            </w:pPr>
            <w:r w:rsidRPr="00521143">
              <w:t>2017</w:t>
            </w:r>
          </w:p>
        </w:tc>
        <w:tc>
          <w:tcPr>
            <w:tcW w:w="530" w:type="pct"/>
            <w:noWrap/>
            <w:hideMark/>
          </w:tcPr>
          <w:p w:rsidR="003C1380" w:rsidRPr="003C1380" w:rsidRDefault="003C1380" w:rsidP="003C1380">
            <w:pPr>
              <w:cnfStyle w:val="100000000000" w:firstRow="1" w:lastRow="0" w:firstColumn="0" w:lastColumn="0" w:oddVBand="0" w:evenVBand="0" w:oddHBand="0" w:evenHBand="0" w:firstRowFirstColumn="0" w:firstRowLastColumn="0" w:lastRowFirstColumn="0" w:lastRowLastColumn="0"/>
            </w:pPr>
            <w:r w:rsidRPr="00521143">
              <w:t>2018</w:t>
            </w:r>
          </w:p>
        </w:tc>
        <w:tc>
          <w:tcPr>
            <w:tcW w:w="530" w:type="pct"/>
            <w:noWrap/>
            <w:hideMark/>
          </w:tcPr>
          <w:p w:rsidR="003C1380" w:rsidRPr="003C1380" w:rsidRDefault="003C1380" w:rsidP="003C1380">
            <w:pPr>
              <w:cnfStyle w:val="100000000000" w:firstRow="1" w:lastRow="0" w:firstColumn="0" w:lastColumn="0" w:oddVBand="0" w:evenVBand="0" w:oddHBand="0" w:evenHBand="0" w:firstRowFirstColumn="0" w:firstRowLastColumn="0" w:lastRowFirstColumn="0" w:lastRowLastColumn="0"/>
            </w:pPr>
            <w:r w:rsidRPr="00521143">
              <w:t>2019</w:t>
            </w:r>
          </w:p>
        </w:tc>
        <w:tc>
          <w:tcPr>
            <w:tcW w:w="585" w:type="pct"/>
            <w:noWrap/>
            <w:hideMark/>
          </w:tcPr>
          <w:p w:rsidR="003C1380" w:rsidRPr="003C1380" w:rsidRDefault="003C1380" w:rsidP="003C1380">
            <w:pPr>
              <w:cnfStyle w:val="100000000000" w:firstRow="1" w:lastRow="0" w:firstColumn="0" w:lastColumn="0" w:oddVBand="0" w:evenVBand="0" w:oddHBand="0" w:evenHBand="0" w:firstRowFirstColumn="0" w:firstRowLastColumn="0" w:lastRowFirstColumn="0" w:lastRowLastColumn="0"/>
            </w:pPr>
            <w:r w:rsidRPr="00521143">
              <w:t>2020</w:t>
            </w:r>
          </w:p>
        </w:tc>
        <w:tc>
          <w:tcPr>
            <w:tcW w:w="530" w:type="pct"/>
            <w:noWrap/>
            <w:hideMark/>
          </w:tcPr>
          <w:p w:rsidR="003C1380" w:rsidRPr="003C1380" w:rsidRDefault="003C1380" w:rsidP="003C1380">
            <w:pPr>
              <w:cnfStyle w:val="100000000000" w:firstRow="1" w:lastRow="0" w:firstColumn="0" w:lastColumn="0" w:oddVBand="0" w:evenVBand="0" w:oddHBand="0" w:evenHBand="0" w:firstRowFirstColumn="0" w:firstRowLastColumn="0" w:lastRowFirstColumn="0" w:lastRowLastColumn="0"/>
            </w:pPr>
            <w:r w:rsidRPr="00521143">
              <w:t>Total</w:t>
            </w:r>
          </w:p>
        </w:tc>
      </w:tr>
      <w:tr w:rsidR="00D67CF7" w:rsidRPr="00521143" w:rsidTr="00D67CF7">
        <w:trPr>
          <w:trHeight w:val="300"/>
        </w:trPr>
        <w:tc>
          <w:tcPr>
            <w:cnfStyle w:val="001000000000" w:firstRow="0" w:lastRow="0" w:firstColumn="1" w:lastColumn="0" w:oddVBand="0" w:evenVBand="0" w:oddHBand="0" w:evenHBand="0" w:firstRowFirstColumn="0" w:firstRowLastColumn="0" w:lastRowFirstColumn="0" w:lastRowLastColumn="0"/>
            <w:tcW w:w="1766" w:type="pct"/>
            <w:noWrap/>
            <w:hideMark/>
          </w:tcPr>
          <w:p w:rsidR="00D67CF7" w:rsidRPr="00D67CF7" w:rsidRDefault="00D67CF7" w:rsidP="00D67CF7">
            <w:r w:rsidRPr="00D67CF7">
              <w:t>Tax payable</w:t>
            </w:r>
          </w:p>
        </w:tc>
        <w:tc>
          <w:tcPr>
            <w:tcW w:w="530" w:type="pct"/>
            <w:noWrap/>
            <w:vAlign w:val="bottom"/>
          </w:tcPr>
          <w:p w:rsidR="00D67CF7" w:rsidRPr="00D67CF7" w:rsidRDefault="00D67CF7" w:rsidP="00D67CF7">
            <w:pPr>
              <w:cnfStyle w:val="000000000000" w:firstRow="0" w:lastRow="0" w:firstColumn="0" w:lastColumn="0" w:oddVBand="0" w:evenVBand="0" w:oddHBand="0" w:evenHBand="0" w:firstRowFirstColumn="0" w:firstRowLastColumn="0" w:lastRowFirstColumn="0" w:lastRowLastColumn="0"/>
            </w:pPr>
            <w:r w:rsidRPr="00D67CF7">
              <w:t>73.5</w:t>
            </w:r>
          </w:p>
        </w:tc>
        <w:tc>
          <w:tcPr>
            <w:tcW w:w="530" w:type="pct"/>
            <w:noWrap/>
            <w:vAlign w:val="bottom"/>
          </w:tcPr>
          <w:p w:rsidR="00D67CF7" w:rsidRPr="00D67CF7" w:rsidRDefault="00D67CF7" w:rsidP="00D67CF7">
            <w:pPr>
              <w:cnfStyle w:val="000000000000" w:firstRow="0" w:lastRow="0" w:firstColumn="0" w:lastColumn="0" w:oddVBand="0" w:evenVBand="0" w:oddHBand="0" w:evenHBand="0" w:firstRowFirstColumn="0" w:firstRowLastColumn="0" w:lastRowFirstColumn="0" w:lastRowLastColumn="0"/>
            </w:pPr>
            <w:r w:rsidRPr="00D67CF7">
              <w:t>63.6</w:t>
            </w:r>
          </w:p>
        </w:tc>
        <w:tc>
          <w:tcPr>
            <w:tcW w:w="530" w:type="pct"/>
            <w:noWrap/>
            <w:vAlign w:val="bottom"/>
          </w:tcPr>
          <w:p w:rsidR="00D67CF7" w:rsidRPr="00D67CF7" w:rsidRDefault="00D67CF7" w:rsidP="00D67CF7">
            <w:pPr>
              <w:cnfStyle w:val="000000000000" w:firstRow="0" w:lastRow="0" w:firstColumn="0" w:lastColumn="0" w:oddVBand="0" w:evenVBand="0" w:oddHBand="0" w:evenHBand="0" w:firstRowFirstColumn="0" w:firstRowLastColumn="0" w:lastRowFirstColumn="0" w:lastRowLastColumn="0"/>
            </w:pPr>
            <w:r w:rsidRPr="00D67CF7">
              <w:t>65.9</w:t>
            </w:r>
          </w:p>
        </w:tc>
        <w:tc>
          <w:tcPr>
            <w:tcW w:w="530" w:type="pct"/>
            <w:noWrap/>
            <w:vAlign w:val="bottom"/>
          </w:tcPr>
          <w:p w:rsidR="00D67CF7" w:rsidRPr="00D67CF7" w:rsidRDefault="00D67CF7" w:rsidP="00D67CF7">
            <w:pPr>
              <w:cnfStyle w:val="000000000000" w:firstRow="0" w:lastRow="0" w:firstColumn="0" w:lastColumn="0" w:oddVBand="0" w:evenVBand="0" w:oddHBand="0" w:evenHBand="0" w:firstRowFirstColumn="0" w:firstRowLastColumn="0" w:lastRowFirstColumn="0" w:lastRowLastColumn="0"/>
            </w:pPr>
            <w:r w:rsidRPr="00D67CF7">
              <w:t>68.4</w:t>
            </w:r>
          </w:p>
        </w:tc>
        <w:tc>
          <w:tcPr>
            <w:tcW w:w="585" w:type="pct"/>
            <w:noWrap/>
            <w:vAlign w:val="bottom"/>
          </w:tcPr>
          <w:p w:rsidR="00D67CF7" w:rsidRPr="00D67CF7" w:rsidRDefault="00D67CF7" w:rsidP="00D67CF7">
            <w:pPr>
              <w:cnfStyle w:val="000000000000" w:firstRow="0" w:lastRow="0" w:firstColumn="0" w:lastColumn="0" w:oddVBand="0" w:evenVBand="0" w:oddHBand="0" w:evenHBand="0" w:firstRowFirstColumn="0" w:firstRowLastColumn="0" w:lastRowFirstColumn="0" w:lastRowLastColumn="0"/>
            </w:pPr>
            <w:r w:rsidRPr="00D67CF7">
              <w:t>68.2</w:t>
            </w:r>
          </w:p>
        </w:tc>
        <w:tc>
          <w:tcPr>
            <w:tcW w:w="530" w:type="pct"/>
            <w:noWrap/>
            <w:vAlign w:val="bottom"/>
          </w:tcPr>
          <w:p w:rsidR="00D67CF7" w:rsidRPr="00D67CF7" w:rsidRDefault="00D67CF7" w:rsidP="00D67CF7">
            <w:pPr>
              <w:cnfStyle w:val="000000000000" w:firstRow="0" w:lastRow="0" w:firstColumn="0" w:lastColumn="0" w:oddVBand="0" w:evenVBand="0" w:oddHBand="0" w:evenHBand="0" w:firstRowFirstColumn="0" w:firstRowLastColumn="0" w:lastRowFirstColumn="0" w:lastRowLastColumn="0"/>
            </w:pPr>
            <w:r w:rsidRPr="00D67CF7">
              <w:t>339.5</w:t>
            </w:r>
          </w:p>
        </w:tc>
      </w:tr>
      <w:tr w:rsidR="00D67CF7" w:rsidRPr="00521143" w:rsidTr="00D67C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6" w:type="pct"/>
            <w:noWrap/>
            <w:hideMark/>
          </w:tcPr>
          <w:p w:rsidR="00D67CF7" w:rsidRPr="00D67CF7" w:rsidRDefault="00D67CF7" w:rsidP="00D67CF7">
            <w:r w:rsidRPr="00D67CF7">
              <w:rPr>
                <w:rStyle w:val="AERtextitalic"/>
              </w:rPr>
              <w:t>Less:</w:t>
            </w:r>
            <w:r w:rsidRPr="00D67CF7">
              <w:t xml:space="preserve"> value of imputation credits</w:t>
            </w:r>
          </w:p>
        </w:tc>
        <w:tc>
          <w:tcPr>
            <w:tcW w:w="530" w:type="pct"/>
            <w:noWrap/>
            <w:vAlign w:val="bottom"/>
          </w:tcPr>
          <w:p w:rsidR="00D67CF7" w:rsidRPr="00D67CF7" w:rsidRDefault="00D67CF7" w:rsidP="00D67CF7">
            <w:pPr>
              <w:cnfStyle w:val="000000010000" w:firstRow="0" w:lastRow="0" w:firstColumn="0" w:lastColumn="0" w:oddVBand="0" w:evenVBand="0" w:oddHBand="0" w:evenHBand="1" w:firstRowFirstColumn="0" w:firstRowLastColumn="0" w:lastRowFirstColumn="0" w:lastRowLastColumn="0"/>
            </w:pPr>
            <w:r w:rsidRPr="00D67CF7">
              <w:t>18.4</w:t>
            </w:r>
          </w:p>
        </w:tc>
        <w:tc>
          <w:tcPr>
            <w:tcW w:w="530" w:type="pct"/>
            <w:noWrap/>
            <w:vAlign w:val="bottom"/>
          </w:tcPr>
          <w:p w:rsidR="00D67CF7" w:rsidRPr="00D67CF7" w:rsidRDefault="00D67CF7" w:rsidP="00D67CF7">
            <w:pPr>
              <w:cnfStyle w:val="000000010000" w:firstRow="0" w:lastRow="0" w:firstColumn="0" w:lastColumn="0" w:oddVBand="0" w:evenVBand="0" w:oddHBand="0" w:evenHBand="1" w:firstRowFirstColumn="0" w:firstRowLastColumn="0" w:lastRowFirstColumn="0" w:lastRowLastColumn="0"/>
            </w:pPr>
            <w:r w:rsidRPr="00D67CF7">
              <w:t>15.9</w:t>
            </w:r>
          </w:p>
        </w:tc>
        <w:tc>
          <w:tcPr>
            <w:tcW w:w="530" w:type="pct"/>
            <w:noWrap/>
            <w:vAlign w:val="bottom"/>
          </w:tcPr>
          <w:p w:rsidR="00D67CF7" w:rsidRPr="00D67CF7" w:rsidRDefault="00D67CF7" w:rsidP="00D67CF7">
            <w:pPr>
              <w:cnfStyle w:val="000000010000" w:firstRow="0" w:lastRow="0" w:firstColumn="0" w:lastColumn="0" w:oddVBand="0" w:evenVBand="0" w:oddHBand="0" w:evenHBand="1" w:firstRowFirstColumn="0" w:firstRowLastColumn="0" w:lastRowFirstColumn="0" w:lastRowLastColumn="0"/>
            </w:pPr>
            <w:r w:rsidRPr="00D67CF7">
              <w:t>16.5</w:t>
            </w:r>
          </w:p>
        </w:tc>
        <w:tc>
          <w:tcPr>
            <w:tcW w:w="530" w:type="pct"/>
            <w:noWrap/>
            <w:vAlign w:val="bottom"/>
          </w:tcPr>
          <w:p w:rsidR="00D67CF7" w:rsidRPr="00D67CF7" w:rsidRDefault="00D67CF7" w:rsidP="00D67CF7">
            <w:pPr>
              <w:cnfStyle w:val="000000010000" w:firstRow="0" w:lastRow="0" w:firstColumn="0" w:lastColumn="0" w:oddVBand="0" w:evenVBand="0" w:oddHBand="0" w:evenHBand="1" w:firstRowFirstColumn="0" w:firstRowLastColumn="0" w:lastRowFirstColumn="0" w:lastRowLastColumn="0"/>
            </w:pPr>
            <w:r w:rsidRPr="00D67CF7">
              <w:t>17.1</w:t>
            </w:r>
          </w:p>
        </w:tc>
        <w:tc>
          <w:tcPr>
            <w:tcW w:w="585" w:type="pct"/>
            <w:noWrap/>
            <w:vAlign w:val="bottom"/>
          </w:tcPr>
          <w:p w:rsidR="00D67CF7" w:rsidRPr="00D67CF7" w:rsidRDefault="00D67CF7" w:rsidP="00D67CF7">
            <w:pPr>
              <w:cnfStyle w:val="000000010000" w:firstRow="0" w:lastRow="0" w:firstColumn="0" w:lastColumn="0" w:oddVBand="0" w:evenVBand="0" w:oddHBand="0" w:evenHBand="1" w:firstRowFirstColumn="0" w:firstRowLastColumn="0" w:lastRowFirstColumn="0" w:lastRowLastColumn="0"/>
            </w:pPr>
            <w:r w:rsidRPr="00D67CF7">
              <w:t>17.0</w:t>
            </w:r>
          </w:p>
        </w:tc>
        <w:tc>
          <w:tcPr>
            <w:tcW w:w="530" w:type="pct"/>
            <w:noWrap/>
            <w:vAlign w:val="bottom"/>
          </w:tcPr>
          <w:p w:rsidR="00D67CF7" w:rsidRPr="00D67CF7" w:rsidRDefault="00D67CF7" w:rsidP="00D67CF7">
            <w:pPr>
              <w:cnfStyle w:val="000000010000" w:firstRow="0" w:lastRow="0" w:firstColumn="0" w:lastColumn="0" w:oddVBand="0" w:evenVBand="0" w:oddHBand="0" w:evenHBand="1" w:firstRowFirstColumn="0" w:firstRowLastColumn="0" w:lastRowFirstColumn="0" w:lastRowLastColumn="0"/>
            </w:pPr>
            <w:r w:rsidRPr="00D67CF7">
              <w:t>84.9</w:t>
            </w:r>
          </w:p>
        </w:tc>
      </w:tr>
      <w:tr w:rsidR="00D67CF7" w:rsidRPr="00D67CF7" w:rsidTr="00D67CF7">
        <w:trPr>
          <w:trHeight w:val="300"/>
        </w:trPr>
        <w:tc>
          <w:tcPr>
            <w:cnfStyle w:val="001000000000" w:firstRow="0" w:lastRow="0" w:firstColumn="1" w:lastColumn="0" w:oddVBand="0" w:evenVBand="0" w:oddHBand="0" w:evenHBand="0" w:firstRowFirstColumn="0" w:firstRowLastColumn="0" w:lastRowFirstColumn="0" w:lastRowLastColumn="0"/>
            <w:tcW w:w="1766" w:type="pct"/>
            <w:noWrap/>
            <w:hideMark/>
          </w:tcPr>
          <w:p w:rsidR="00D67CF7" w:rsidRPr="00D67CF7" w:rsidRDefault="00D67CF7" w:rsidP="00D67CF7">
            <w:pPr>
              <w:rPr>
                <w:rStyle w:val="Strong"/>
              </w:rPr>
            </w:pPr>
            <w:r w:rsidRPr="00D67CF7">
              <w:rPr>
                <w:rStyle w:val="Strong"/>
              </w:rPr>
              <w:t>Net corporate income tax allowance</w:t>
            </w:r>
          </w:p>
        </w:tc>
        <w:tc>
          <w:tcPr>
            <w:tcW w:w="530" w:type="pct"/>
            <w:noWrap/>
            <w:vAlign w:val="bottom"/>
          </w:tcPr>
          <w:p w:rsidR="00D67CF7" w:rsidRPr="00D67CF7" w:rsidRDefault="00D67CF7" w:rsidP="00D67CF7">
            <w:pPr>
              <w:cnfStyle w:val="000000000000" w:firstRow="0" w:lastRow="0" w:firstColumn="0" w:lastColumn="0" w:oddVBand="0" w:evenVBand="0" w:oddHBand="0" w:evenHBand="0" w:firstRowFirstColumn="0" w:firstRowLastColumn="0" w:lastRowFirstColumn="0" w:lastRowLastColumn="0"/>
              <w:rPr>
                <w:rStyle w:val="Strong"/>
              </w:rPr>
            </w:pPr>
            <w:r w:rsidRPr="00D67CF7">
              <w:rPr>
                <w:rStyle w:val="Strong"/>
              </w:rPr>
              <w:t>55.1</w:t>
            </w:r>
          </w:p>
        </w:tc>
        <w:tc>
          <w:tcPr>
            <w:tcW w:w="530" w:type="pct"/>
            <w:noWrap/>
            <w:vAlign w:val="bottom"/>
          </w:tcPr>
          <w:p w:rsidR="00D67CF7" w:rsidRPr="00D67CF7" w:rsidRDefault="00D67CF7" w:rsidP="00D67CF7">
            <w:pPr>
              <w:cnfStyle w:val="000000000000" w:firstRow="0" w:lastRow="0" w:firstColumn="0" w:lastColumn="0" w:oddVBand="0" w:evenVBand="0" w:oddHBand="0" w:evenHBand="0" w:firstRowFirstColumn="0" w:firstRowLastColumn="0" w:lastRowFirstColumn="0" w:lastRowLastColumn="0"/>
              <w:rPr>
                <w:rStyle w:val="Strong"/>
              </w:rPr>
            </w:pPr>
            <w:r w:rsidRPr="00D67CF7">
              <w:rPr>
                <w:rStyle w:val="Strong"/>
              </w:rPr>
              <w:t>47.7</w:t>
            </w:r>
          </w:p>
        </w:tc>
        <w:tc>
          <w:tcPr>
            <w:tcW w:w="530" w:type="pct"/>
            <w:noWrap/>
            <w:vAlign w:val="bottom"/>
          </w:tcPr>
          <w:p w:rsidR="00D67CF7" w:rsidRPr="00D67CF7" w:rsidRDefault="00D67CF7" w:rsidP="00D67CF7">
            <w:pPr>
              <w:cnfStyle w:val="000000000000" w:firstRow="0" w:lastRow="0" w:firstColumn="0" w:lastColumn="0" w:oddVBand="0" w:evenVBand="0" w:oddHBand="0" w:evenHBand="0" w:firstRowFirstColumn="0" w:firstRowLastColumn="0" w:lastRowFirstColumn="0" w:lastRowLastColumn="0"/>
              <w:rPr>
                <w:rStyle w:val="Strong"/>
              </w:rPr>
            </w:pPr>
            <w:r w:rsidRPr="00D67CF7">
              <w:rPr>
                <w:rStyle w:val="Strong"/>
              </w:rPr>
              <w:t>49.4</w:t>
            </w:r>
          </w:p>
        </w:tc>
        <w:tc>
          <w:tcPr>
            <w:tcW w:w="530" w:type="pct"/>
            <w:noWrap/>
            <w:vAlign w:val="bottom"/>
          </w:tcPr>
          <w:p w:rsidR="00D67CF7" w:rsidRPr="00D67CF7" w:rsidRDefault="00D67CF7" w:rsidP="00D67CF7">
            <w:pPr>
              <w:cnfStyle w:val="000000000000" w:firstRow="0" w:lastRow="0" w:firstColumn="0" w:lastColumn="0" w:oddVBand="0" w:evenVBand="0" w:oddHBand="0" w:evenHBand="0" w:firstRowFirstColumn="0" w:firstRowLastColumn="0" w:lastRowFirstColumn="0" w:lastRowLastColumn="0"/>
              <w:rPr>
                <w:rStyle w:val="Strong"/>
              </w:rPr>
            </w:pPr>
            <w:r w:rsidRPr="00D67CF7">
              <w:rPr>
                <w:rStyle w:val="Strong"/>
              </w:rPr>
              <w:t>51.3</w:t>
            </w:r>
          </w:p>
        </w:tc>
        <w:tc>
          <w:tcPr>
            <w:tcW w:w="585" w:type="pct"/>
            <w:noWrap/>
            <w:vAlign w:val="bottom"/>
          </w:tcPr>
          <w:p w:rsidR="00D67CF7" w:rsidRPr="00D67CF7" w:rsidRDefault="00D67CF7" w:rsidP="00D67CF7">
            <w:pPr>
              <w:cnfStyle w:val="000000000000" w:firstRow="0" w:lastRow="0" w:firstColumn="0" w:lastColumn="0" w:oddVBand="0" w:evenVBand="0" w:oddHBand="0" w:evenHBand="0" w:firstRowFirstColumn="0" w:firstRowLastColumn="0" w:lastRowFirstColumn="0" w:lastRowLastColumn="0"/>
              <w:rPr>
                <w:rStyle w:val="Strong"/>
              </w:rPr>
            </w:pPr>
            <w:r w:rsidRPr="00D67CF7">
              <w:rPr>
                <w:rStyle w:val="Strong"/>
              </w:rPr>
              <w:t>51.1</w:t>
            </w:r>
          </w:p>
        </w:tc>
        <w:tc>
          <w:tcPr>
            <w:tcW w:w="530" w:type="pct"/>
            <w:noWrap/>
            <w:vAlign w:val="bottom"/>
          </w:tcPr>
          <w:p w:rsidR="00D67CF7" w:rsidRPr="00D67CF7" w:rsidRDefault="00D67CF7" w:rsidP="00D67CF7">
            <w:pPr>
              <w:cnfStyle w:val="000000000000" w:firstRow="0" w:lastRow="0" w:firstColumn="0" w:lastColumn="0" w:oddVBand="0" w:evenVBand="0" w:oddHBand="0" w:evenHBand="0" w:firstRowFirstColumn="0" w:firstRowLastColumn="0" w:lastRowFirstColumn="0" w:lastRowLastColumn="0"/>
              <w:rPr>
                <w:rStyle w:val="Strong"/>
              </w:rPr>
            </w:pPr>
            <w:r w:rsidRPr="00D67CF7">
              <w:rPr>
                <w:rStyle w:val="Strong"/>
              </w:rPr>
              <w:t>254.7</w:t>
            </w:r>
          </w:p>
        </w:tc>
      </w:tr>
    </w:tbl>
    <w:p w:rsidR="003C1380" w:rsidRDefault="00D67CF7" w:rsidP="003C1380">
      <w:pPr>
        <w:pStyle w:val="AERtablesource"/>
      </w:pPr>
      <w:r>
        <w:t>Source:</w:t>
      </w:r>
      <w:r>
        <w:tab/>
        <w:t>AusNet Services</w:t>
      </w:r>
      <w:r w:rsidR="003C1380">
        <w:t xml:space="preserve">, </w:t>
      </w:r>
      <w:r w:rsidR="003C1380" w:rsidRPr="001279B5">
        <w:rPr>
          <w:rStyle w:val="AERtextitalic"/>
        </w:rPr>
        <w:t>Re</w:t>
      </w:r>
      <w:r w:rsidR="003C1380">
        <w:rPr>
          <w:rStyle w:val="AERtextitalic"/>
        </w:rPr>
        <w:t>vised re</w:t>
      </w:r>
      <w:r w:rsidR="003C1380" w:rsidRPr="001279B5">
        <w:rPr>
          <w:rStyle w:val="AERtextitalic"/>
        </w:rPr>
        <w:t>gulatory proposal</w:t>
      </w:r>
      <w:r w:rsidR="003C1380" w:rsidRPr="001678BA">
        <w:t xml:space="preserve">, </w:t>
      </w:r>
      <w:r w:rsidR="003C1380">
        <w:t>J</w:t>
      </w:r>
      <w:r>
        <w:t>anuary</w:t>
      </w:r>
      <w:r w:rsidR="003C1380">
        <w:t xml:space="preserve"> </w:t>
      </w:r>
      <w:r w:rsidR="003C1380" w:rsidRPr="001678BA">
        <w:t>201</w:t>
      </w:r>
      <w:r>
        <w:t>6</w:t>
      </w:r>
      <w:r w:rsidR="003C1380" w:rsidRPr="001678BA">
        <w:t>,</w:t>
      </w:r>
      <w:r w:rsidR="003C1380">
        <w:t xml:space="preserve"> p. </w:t>
      </w:r>
      <w:r>
        <w:t>10–6</w:t>
      </w:r>
      <w:r w:rsidR="003C1380">
        <w:t>.</w:t>
      </w:r>
    </w:p>
    <w:p w:rsidR="00132D43" w:rsidRDefault="00132D43" w:rsidP="00132D43">
      <w:pPr>
        <w:pStyle w:val="Heading2"/>
      </w:pPr>
      <w:bookmarkStart w:id="76" w:name="_Toc451286381"/>
      <w:r>
        <w:t>Assessment approach</w:t>
      </w:r>
      <w:bookmarkEnd w:id="76"/>
    </w:p>
    <w:p w:rsidR="00132D43" w:rsidRDefault="003C1380" w:rsidP="00132D43">
      <w:r w:rsidRPr="00CA062D">
        <w:t xml:space="preserve">We </w:t>
      </w:r>
      <w:r>
        <w:t>have</w:t>
      </w:r>
      <w:r w:rsidRPr="00CA062D">
        <w:t xml:space="preserve"> not change</w:t>
      </w:r>
      <w:r>
        <w:t>d</w:t>
      </w:r>
      <w:r w:rsidRPr="00CA062D">
        <w:t xml:space="preserve"> our assessment approach for the </w:t>
      </w:r>
      <w:r>
        <w:t>cost of corporate income tax</w:t>
      </w:r>
      <w:r w:rsidRPr="00CA062D">
        <w:t xml:space="preserve"> from our </w:t>
      </w:r>
      <w:r>
        <w:t>preliminary</w:t>
      </w:r>
      <w:r w:rsidRPr="00CA062D">
        <w:t xml:space="preserve"> decision. Section </w:t>
      </w:r>
      <w:r>
        <w:t>8</w:t>
      </w:r>
      <w:r w:rsidRPr="00CA062D">
        <w:t xml:space="preserve">.3 of our </w:t>
      </w:r>
      <w:r>
        <w:t>preliminary</w:t>
      </w:r>
      <w:r w:rsidRPr="00CA062D">
        <w:t xml:space="preserve"> decision details that approach.</w:t>
      </w:r>
      <w:r>
        <w:rPr>
          <w:rStyle w:val="FootnoteReference"/>
        </w:rPr>
        <w:footnoteReference w:id="3"/>
      </w:r>
    </w:p>
    <w:p w:rsidR="00132D43" w:rsidRDefault="00132D43" w:rsidP="00132D43">
      <w:pPr>
        <w:pStyle w:val="Heading2"/>
      </w:pPr>
      <w:bookmarkStart w:id="77" w:name="_Toc451286382"/>
      <w:r>
        <w:t xml:space="preserve">Reasons for </w:t>
      </w:r>
      <w:r w:rsidR="00DB4E34">
        <w:t>final</w:t>
      </w:r>
      <w:r>
        <w:t xml:space="preserve"> decision</w:t>
      </w:r>
      <w:bookmarkEnd w:id="77"/>
    </w:p>
    <w:p w:rsidR="003C1380" w:rsidRDefault="003C1380" w:rsidP="00C73A70">
      <w:r w:rsidRPr="004F1897">
        <w:t xml:space="preserve">We do not accept </w:t>
      </w:r>
      <w:r>
        <w:t>AusNet Services</w:t>
      </w:r>
      <w:r w:rsidRPr="004F1897">
        <w:t xml:space="preserve">' </w:t>
      </w:r>
      <w:r>
        <w:t xml:space="preserve">revised </w:t>
      </w:r>
      <w:r w:rsidRPr="004F1897">
        <w:t>proposed cost of corporate income tax allowance</w:t>
      </w:r>
      <w:r>
        <w:t xml:space="preserve"> of $</w:t>
      </w:r>
      <w:r w:rsidR="00D67CF7">
        <w:t>254.7</w:t>
      </w:r>
      <w:r>
        <w:t xml:space="preserve"> million ($ nominal)</w:t>
      </w:r>
      <w:r w:rsidRPr="004F1897">
        <w:t xml:space="preserve">. We </w:t>
      </w:r>
      <w:r>
        <w:t>instead determine</w:t>
      </w:r>
      <w:r w:rsidRPr="004F1897">
        <w:t xml:space="preserve"> a cost of corporate income tax allowance </w:t>
      </w:r>
      <w:r w:rsidRPr="00C73A70">
        <w:t>of $</w:t>
      </w:r>
      <w:r w:rsidR="00C86E99" w:rsidRPr="00C73A70">
        <w:t>143.7</w:t>
      </w:r>
      <w:r w:rsidRPr="00C73A70">
        <w:t> million</w:t>
      </w:r>
      <w:r w:rsidRPr="001B4FAE">
        <w:rPr>
          <w:rStyle w:val="AERbody"/>
        </w:rPr>
        <w:t xml:space="preserve"> for the 201</w:t>
      </w:r>
      <w:r w:rsidR="00D67CF7">
        <w:rPr>
          <w:rStyle w:val="AERbody"/>
        </w:rPr>
        <w:t>6</w:t>
      </w:r>
      <w:r w:rsidRPr="001B4FAE">
        <w:rPr>
          <w:rStyle w:val="AERbody"/>
        </w:rPr>
        <w:t xml:space="preserve">–20 regulatory control period. This </w:t>
      </w:r>
      <w:r w:rsidRPr="001B4FAE">
        <w:rPr>
          <w:rStyle w:val="AERbody"/>
        </w:rPr>
        <w:lastRenderedPageBreak/>
        <w:t xml:space="preserve">represents a reduction </w:t>
      </w:r>
      <w:r w:rsidRPr="00C73A70">
        <w:t>of $</w:t>
      </w:r>
      <w:r w:rsidR="00C86E99" w:rsidRPr="00C73A70">
        <w:t>110.9</w:t>
      </w:r>
      <w:r w:rsidRPr="00C73A70">
        <w:t xml:space="preserve"> million (or </w:t>
      </w:r>
      <w:r w:rsidR="00C86E99" w:rsidRPr="00C73A70">
        <w:t>43.6</w:t>
      </w:r>
      <w:r w:rsidRPr="001B4FAE">
        <w:rPr>
          <w:rStyle w:val="AERbody"/>
        </w:rPr>
        <w:t> per cent)</w:t>
      </w:r>
      <w:r w:rsidRPr="004F1897">
        <w:t xml:space="preserve"> from </w:t>
      </w:r>
      <w:r>
        <w:t>AusNet Services</w:t>
      </w:r>
      <w:r w:rsidRPr="004F1897">
        <w:t>' revised proposal.</w:t>
      </w:r>
    </w:p>
    <w:p w:rsidR="003C1380" w:rsidRDefault="003C1380" w:rsidP="003C1380">
      <w:r>
        <w:t xml:space="preserve">This is because we </w:t>
      </w:r>
      <w:r w:rsidRPr="007B05E8">
        <w:t xml:space="preserve">adjusted the following proposed inputs to the PTRM </w:t>
      </w:r>
      <w:r>
        <w:t>for tax purposes:</w:t>
      </w:r>
    </w:p>
    <w:p w:rsidR="003C1380" w:rsidRPr="007D35D2" w:rsidRDefault="003C1380" w:rsidP="003C1380">
      <w:pPr>
        <w:pStyle w:val="AERbulletlistfirststyle"/>
      </w:pPr>
      <w:r w:rsidRPr="007D35D2">
        <w:t>the value of gamma (attachment 4)</w:t>
      </w:r>
    </w:p>
    <w:p w:rsidR="003C1380" w:rsidRDefault="003C1380" w:rsidP="003C1380">
      <w:pPr>
        <w:pStyle w:val="AERbulletlistfirststyle"/>
      </w:pPr>
      <w:r w:rsidRPr="007D35D2">
        <w:t xml:space="preserve">other building block components including forecast opex (attachment 7) and forecast capex (attachment 6) that </w:t>
      </w:r>
      <w:r>
        <w:t>a</w:t>
      </w:r>
      <w:r w:rsidRPr="007D35D2">
        <w:t>ffect revenues, and therefore also impact the forecast corporate income tax allowance.</w:t>
      </w:r>
    </w:p>
    <w:p w:rsidR="003C1380" w:rsidRDefault="003C1380" w:rsidP="003C1380">
      <w:r>
        <w:t>We accept the</w:t>
      </w:r>
      <w:r w:rsidR="00483149">
        <w:t xml:space="preserve"> </w:t>
      </w:r>
      <w:r w:rsidR="00CA03BD">
        <w:t xml:space="preserve">revised proposed </w:t>
      </w:r>
      <w:r w:rsidR="00483149">
        <w:t>opening tax asset base</w:t>
      </w:r>
      <w:r w:rsidR="00CA03BD">
        <w:t xml:space="preserve"> (section </w:t>
      </w:r>
      <w:r w:rsidR="00CA03BD">
        <w:fldChar w:fldCharType="begin"/>
      </w:r>
      <w:r w:rsidR="00CA03BD">
        <w:instrText xml:space="preserve"> REF _Ref410982190 \r \h </w:instrText>
      </w:r>
      <w:r w:rsidR="00CA03BD">
        <w:fldChar w:fldCharType="separate"/>
      </w:r>
      <w:r w:rsidR="00D02ECC">
        <w:t>8.4.1</w:t>
      </w:r>
      <w:r w:rsidR="00CA03BD">
        <w:fldChar w:fldCharType="end"/>
      </w:r>
      <w:r w:rsidR="00CA03BD">
        <w:t>)</w:t>
      </w:r>
      <w:r w:rsidR="00483149">
        <w:t>,</w:t>
      </w:r>
      <w:r>
        <w:t xml:space="preserve"> </w:t>
      </w:r>
      <w:r w:rsidR="00CA03BD">
        <w:t>remaining</w:t>
      </w:r>
      <w:r>
        <w:t xml:space="preserve"> tax asset lives </w:t>
      </w:r>
      <w:r w:rsidR="00CA03BD">
        <w:t xml:space="preserve">(section </w:t>
      </w:r>
      <w:r w:rsidR="00CA03BD">
        <w:fldChar w:fldCharType="begin"/>
      </w:r>
      <w:r w:rsidR="00CA03BD">
        <w:instrText xml:space="preserve"> REF _Ref410982196 \r \h </w:instrText>
      </w:r>
      <w:r w:rsidR="00CA03BD">
        <w:fldChar w:fldCharType="separate"/>
      </w:r>
      <w:r w:rsidR="00D02ECC">
        <w:t>8.4.2</w:t>
      </w:r>
      <w:r w:rsidR="00CA03BD">
        <w:fldChar w:fldCharType="end"/>
      </w:r>
      <w:r w:rsidR="00CA03BD">
        <w:t xml:space="preserve">) </w:t>
      </w:r>
      <w:r w:rsidR="00483149">
        <w:t xml:space="preserve">and the </w:t>
      </w:r>
      <w:r w:rsidR="00CA03BD">
        <w:t>standard tax</w:t>
      </w:r>
      <w:r w:rsidR="00483149">
        <w:t xml:space="preserve"> asset lives </w:t>
      </w:r>
      <w:r w:rsidR="00CA03BD">
        <w:t xml:space="preserve">(section </w:t>
      </w:r>
      <w:r w:rsidR="00CA03BD">
        <w:fldChar w:fldCharType="begin"/>
      </w:r>
      <w:r w:rsidR="00CA03BD">
        <w:instrText xml:space="preserve"> REF _Ref445373159 \r \h </w:instrText>
      </w:r>
      <w:r w:rsidR="00CA03BD">
        <w:fldChar w:fldCharType="separate"/>
      </w:r>
      <w:r w:rsidR="00D02ECC">
        <w:t>8.4.3</w:t>
      </w:r>
      <w:r w:rsidR="00CA03BD">
        <w:fldChar w:fldCharType="end"/>
      </w:r>
      <w:r w:rsidR="00CA03BD">
        <w:t>)</w:t>
      </w:r>
      <w:r w:rsidR="00BF1784">
        <w:t>,</w:t>
      </w:r>
      <w:r w:rsidR="00CA03BD">
        <w:t xml:space="preserve"> </w:t>
      </w:r>
      <w:r>
        <w:t>consistent with those approved in the preliminary decision.</w:t>
      </w:r>
    </w:p>
    <w:p w:rsidR="003C1380" w:rsidRPr="003C1380" w:rsidRDefault="003C1380" w:rsidP="00152F71">
      <w:pPr>
        <w:pStyle w:val="Heading3"/>
        <w:ind w:left="578" w:hanging="578"/>
      </w:pPr>
      <w:bookmarkStart w:id="78" w:name="_Ref410982190"/>
      <w:bookmarkStart w:id="79" w:name="_Toc413149276"/>
      <w:bookmarkStart w:id="80" w:name="_Toc427679740"/>
      <w:bookmarkStart w:id="81" w:name="_Toc432778665"/>
      <w:bookmarkStart w:id="82" w:name="_Toc451286383"/>
      <w:r w:rsidRPr="00ED290F">
        <w:t>Opening tax asset base</w:t>
      </w:r>
      <w:bookmarkEnd w:id="78"/>
      <w:bookmarkEnd w:id="79"/>
      <w:bookmarkEnd w:id="80"/>
      <w:bookmarkEnd w:id="81"/>
      <w:bookmarkEnd w:id="82"/>
    </w:p>
    <w:p w:rsidR="00B10831" w:rsidRDefault="003C1380" w:rsidP="00D67CF7">
      <w:r w:rsidRPr="00BA6440">
        <w:t>We</w:t>
      </w:r>
      <w:r w:rsidR="00CB1E39">
        <w:t xml:space="preserve"> </w:t>
      </w:r>
      <w:r>
        <w:t xml:space="preserve">accept AusNet Services' proposed </w:t>
      </w:r>
      <w:r w:rsidRPr="00BA6440">
        <w:t xml:space="preserve">opening </w:t>
      </w:r>
      <w:r>
        <w:t xml:space="preserve">TAB value at 1 </w:t>
      </w:r>
      <w:r w:rsidR="00D67CF7">
        <w:t>January</w:t>
      </w:r>
      <w:r>
        <w:t xml:space="preserve"> 201</w:t>
      </w:r>
      <w:r w:rsidR="00D67CF7">
        <w:t>6</w:t>
      </w:r>
      <w:r>
        <w:t xml:space="preserve"> of $</w:t>
      </w:r>
      <w:r w:rsidR="00D67CF7">
        <w:t>2218.2</w:t>
      </w:r>
      <w:r>
        <w:t xml:space="preserve"> million ($ nominal)</w:t>
      </w:r>
      <w:r w:rsidR="00C03B62">
        <w:t>.</w:t>
      </w:r>
      <w:r w:rsidR="00F453BA">
        <w:t xml:space="preserve"> This is the same amount approved in the preliminary decision. </w:t>
      </w:r>
    </w:p>
    <w:p w:rsidR="005D5681" w:rsidRDefault="003C1380" w:rsidP="00D67CF7">
      <w:pPr>
        <w:rPr>
          <w:rStyle w:val="AERbody"/>
        </w:rPr>
      </w:pPr>
      <w:r w:rsidRPr="003415D8">
        <w:t xml:space="preserve">In the </w:t>
      </w:r>
      <w:r>
        <w:t xml:space="preserve">preliminary </w:t>
      </w:r>
      <w:r w:rsidRPr="003415D8">
        <w:t xml:space="preserve">decision, </w:t>
      </w:r>
      <w:r>
        <w:t>we accepted</w:t>
      </w:r>
      <w:r w:rsidRPr="00C34109">
        <w:t xml:space="preserve"> </w:t>
      </w:r>
      <w:r>
        <w:t>AusNet Services</w:t>
      </w:r>
      <w:r w:rsidRPr="00604A5F">
        <w:t xml:space="preserve">' proposed </w:t>
      </w:r>
      <w:r w:rsidR="00CA03BD">
        <w:t xml:space="preserve">method to establish the opening TAB at 1 January 2016 as it was based on the approach </w:t>
      </w:r>
      <w:r w:rsidR="005908BB">
        <w:t>approved at the 2010 determination</w:t>
      </w:r>
      <w:r w:rsidR="00CA03BD">
        <w:t xml:space="preserve">. However, we amended AusNet Services' proposed opening TAB </w:t>
      </w:r>
      <w:r w:rsidR="001F58F5">
        <w:t xml:space="preserve">by removing the transfer of $47.3 million at 1 January 2016 </w:t>
      </w:r>
      <w:r w:rsidR="00CA03BD">
        <w:t>for</w:t>
      </w:r>
      <w:r w:rsidR="001F58F5">
        <w:t xml:space="preserve"> AMI IT and communication assets from alternative control services to standard control services</w:t>
      </w:r>
      <w:r>
        <w:t xml:space="preserve">. </w:t>
      </w:r>
      <w:r w:rsidR="005D5681" w:rsidRPr="005D5681">
        <w:rPr>
          <w:rStyle w:val="AERbody"/>
        </w:rPr>
        <w:t xml:space="preserve"> </w:t>
      </w:r>
      <w:r w:rsidR="005D5681">
        <w:rPr>
          <w:rStyle w:val="AERbody"/>
        </w:rPr>
        <w:t xml:space="preserve">AusNet Services' revised proposal adopted our draft decision amendment. </w:t>
      </w:r>
    </w:p>
    <w:p w:rsidR="00D67CF7" w:rsidRPr="00D67CF7" w:rsidRDefault="003C1380" w:rsidP="00D67CF7">
      <w:pPr>
        <w:rPr>
          <w:rStyle w:val="AERbody"/>
        </w:rPr>
      </w:pPr>
      <w:r>
        <w:t xml:space="preserve">We noted the roll forward of AusNet Services' TAB included an estimated capex value for 2015. </w:t>
      </w:r>
      <w:r w:rsidRPr="009477A6">
        <w:t xml:space="preserve">We </w:t>
      </w:r>
      <w:r>
        <w:t xml:space="preserve">stated we </w:t>
      </w:r>
      <w:r w:rsidRPr="009477A6">
        <w:t>would update</w:t>
      </w:r>
      <w:r>
        <w:t xml:space="preserve"> the 201</w:t>
      </w:r>
      <w:r w:rsidR="00D67CF7">
        <w:t>5</w:t>
      </w:r>
      <w:r>
        <w:t xml:space="preserve"> estimated capex value for the final decision</w:t>
      </w:r>
      <w:r w:rsidRPr="009477A6">
        <w:t>.</w:t>
      </w:r>
      <w:r>
        <w:t xml:space="preserve"> </w:t>
      </w:r>
      <w:r w:rsidR="005D5681">
        <w:rPr>
          <w:rStyle w:val="AERbody"/>
        </w:rPr>
        <w:t xml:space="preserve">AusNet's revised proposal did not include an update for 2015 estimated capex. </w:t>
      </w:r>
      <w:r w:rsidR="003E3DC7">
        <w:rPr>
          <w:rStyle w:val="AERbody"/>
        </w:rPr>
        <w:t xml:space="preserve">In response to an information request, AusNet Services advised that it has encountered </w:t>
      </w:r>
      <w:r w:rsidR="00D67CF7" w:rsidRPr="00CD0E8E">
        <w:rPr>
          <w:rStyle w:val="AERbody"/>
        </w:rPr>
        <w:t xml:space="preserve">a data migration issue </w:t>
      </w:r>
      <w:r w:rsidR="005D5681">
        <w:rPr>
          <w:rStyle w:val="AERbody"/>
        </w:rPr>
        <w:t xml:space="preserve">arising from </w:t>
      </w:r>
      <w:r w:rsidR="00D67CF7" w:rsidRPr="00CD0E8E">
        <w:rPr>
          <w:rStyle w:val="AERbody"/>
        </w:rPr>
        <w:t>upgrade</w:t>
      </w:r>
      <w:r w:rsidR="005D5681">
        <w:rPr>
          <w:rStyle w:val="AERbody"/>
        </w:rPr>
        <w:t>s</w:t>
      </w:r>
      <w:r w:rsidR="00D67CF7" w:rsidRPr="00CD0E8E">
        <w:rPr>
          <w:rStyle w:val="AERbody"/>
        </w:rPr>
        <w:t xml:space="preserve"> </w:t>
      </w:r>
      <w:r w:rsidR="005D5681">
        <w:rPr>
          <w:rStyle w:val="AERbody"/>
        </w:rPr>
        <w:t>t</w:t>
      </w:r>
      <w:r w:rsidR="00D67CF7" w:rsidRPr="00CD0E8E">
        <w:rPr>
          <w:rStyle w:val="AERbody"/>
        </w:rPr>
        <w:t>o</w:t>
      </w:r>
      <w:r w:rsidR="005D5681">
        <w:rPr>
          <w:rStyle w:val="AERbody"/>
        </w:rPr>
        <w:t xml:space="preserve"> its IT</w:t>
      </w:r>
      <w:r w:rsidR="00D67CF7" w:rsidRPr="00CD0E8E">
        <w:rPr>
          <w:rStyle w:val="AERbody"/>
        </w:rPr>
        <w:t xml:space="preserve"> system</w:t>
      </w:r>
      <w:r w:rsidR="005D5681">
        <w:rPr>
          <w:rStyle w:val="AERbody"/>
        </w:rPr>
        <w:t>s</w:t>
      </w:r>
      <w:r w:rsidR="00D67CF7" w:rsidRPr="00CD0E8E">
        <w:rPr>
          <w:rStyle w:val="AERbody"/>
        </w:rPr>
        <w:t>.</w:t>
      </w:r>
      <w:r w:rsidR="005D5681">
        <w:rPr>
          <w:rStyle w:val="FootnoteReference"/>
        </w:rPr>
        <w:footnoteReference w:id="4"/>
      </w:r>
      <w:r w:rsidR="005D5681" w:rsidRPr="003A1A6F">
        <w:rPr>
          <w:rStyle w:val="AERbody"/>
        </w:rPr>
        <w:t xml:space="preserve"> </w:t>
      </w:r>
      <w:r w:rsidR="00D67CF7" w:rsidRPr="00CD0E8E">
        <w:rPr>
          <w:rStyle w:val="AERbody"/>
        </w:rPr>
        <w:t xml:space="preserve"> </w:t>
      </w:r>
      <w:r w:rsidR="005D5681">
        <w:rPr>
          <w:rStyle w:val="AERbody"/>
        </w:rPr>
        <w:t>For the reasons discussed in attachment 2, w</w:t>
      </w:r>
      <w:r w:rsidR="00D67CF7" w:rsidRPr="00CD0E8E">
        <w:rPr>
          <w:rStyle w:val="AERbody"/>
        </w:rPr>
        <w:t xml:space="preserve">e </w:t>
      </w:r>
      <w:r w:rsidR="005D5681">
        <w:rPr>
          <w:rStyle w:val="AERbody"/>
        </w:rPr>
        <w:t>accept that</w:t>
      </w:r>
      <w:r w:rsidR="00D67CF7" w:rsidRPr="00CD0E8E">
        <w:rPr>
          <w:rStyle w:val="AERbody"/>
        </w:rPr>
        <w:t xml:space="preserve"> the estimate approved in the preliminary decision</w:t>
      </w:r>
      <w:r w:rsidR="005D5681">
        <w:rPr>
          <w:rStyle w:val="AERbody"/>
        </w:rPr>
        <w:t xml:space="preserve"> should continue to serve as the best estimate for</w:t>
      </w:r>
      <w:r w:rsidR="00D67CF7" w:rsidRPr="00CD0E8E">
        <w:rPr>
          <w:rStyle w:val="AERbody"/>
        </w:rPr>
        <w:t xml:space="preserve"> this final decision. </w:t>
      </w:r>
      <w:r w:rsidR="00D67CF7" w:rsidRPr="00D67CF7">
        <w:rPr>
          <w:rStyle w:val="AERbody"/>
        </w:rPr>
        <w:t xml:space="preserve">We </w:t>
      </w:r>
      <w:r w:rsidR="00B10831">
        <w:rPr>
          <w:rStyle w:val="AERbody"/>
        </w:rPr>
        <w:t xml:space="preserve">will update the </w:t>
      </w:r>
      <w:r w:rsidR="001F58F5">
        <w:rPr>
          <w:rStyle w:val="AERbody"/>
        </w:rPr>
        <w:t xml:space="preserve">TAB for </w:t>
      </w:r>
      <w:r w:rsidR="00E85C42">
        <w:rPr>
          <w:rStyle w:val="AERbody"/>
        </w:rPr>
        <w:t xml:space="preserve">2015 </w:t>
      </w:r>
      <w:r w:rsidR="00D67CF7" w:rsidRPr="00D67CF7">
        <w:rPr>
          <w:rStyle w:val="AERbody"/>
        </w:rPr>
        <w:t>actual capex at the next reset.</w:t>
      </w:r>
    </w:p>
    <w:p w:rsidR="003C1380" w:rsidRDefault="003C1380" w:rsidP="003C1380">
      <w:r>
        <w:fldChar w:fldCharType="begin"/>
      </w:r>
      <w:r>
        <w:instrText xml:space="preserve"> REF _Ref417391805 \h </w:instrText>
      </w:r>
      <w:r>
        <w:fldChar w:fldCharType="separate"/>
      </w:r>
      <w:r w:rsidR="00D02ECC">
        <w:t xml:space="preserve">Table </w:t>
      </w:r>
      <w:r w:rsidR="00D02ECC">
        <w:rPr>
          <w:noProof/>
        </w:rPr>
        <w:t>8</w:t>
      </w:r>
      <w:r w:rsidR="00D02ECC">
        <w:t>.</w:t>
      </w:r>
      <w:r w:rsidR="00D02ECC">
        <w:rPr>
          <w:noProof/>
        </w:rPr>
        <w:t>3</w:t>
      </w:r>
      <w:r>
        <w:fldChar w:fldCharType="end"/>
      </w:r>
      <w:r>
        <w:t xml:space="preserve"> </w:t>
      </w:r>
      <w:r w:rsidRPr="008F4FB1">
        <w:t xml:space="preserve">sets out our </w:t>
      </w:r>
      <w:r>
        <w:t xml:space="preserve">final </w:t>
      </w:r>
      <w:r w:rsidRPr="008F4FB1">
        <w:t xml:space="preserve">decision on the roll forward of </w:t>
      </w:r>
      <w:r>
        <w:t>AusNet Services</w:t>
      </w:r>
      <w:r w:rsidRPr="008F4FB1">
        <w:t>' TAB values over the 20</w:t>
      </w:r>
      <w:r>
        <w:t>1</w:t>
      </w:r>
      <w:r w:rsidR="00B10831">
        <w:t>1</w:t>
      </w:r>
      <w:r w:rsidRPr="008F4FB1">
        <w:t>–1</w:t>
      </w:r>
      <w:r>
        <w:t>5</w:t>
      </w:r>
      <w:r w:rsidRPr="008F4FB1">
        <w:t xml:space="preserve"> regulatory control period.</w:t>
      </w:r>
      <w:r>
        <w:t xml:space="preserve"> </w:t>
      </w:r>
    </w:p>
    <w:p w:rsidR="003C1380" w:rsidRDefault="003C1380" w:rsidP="004E473C">
      <w:pPr>
        <w:pStyle w:val="Caption"/>
      </w:pPr>
      <w:bookmarkStart w:id="83" w:name="_Ref417391805"/>
      <w:r>
        <w:lastRenderedPageBreak/>
        <w:t xml:space="preserve">Table </w:t>
      </w:r>
      <w:fldSimple w:instr=" STYLEREF 1 \s ">
        <w:r w:rsidR="00D02ECC">
          <w:rPr>
            <w:noProof/>
          </w:rPr>
          <w:t>8</w:t>
        </w:r>
      </w:fldSimple>
      <w:r>
        <w:t>.</w:t>
      </w:r>
      <w:r w:rsidRPr="00EA633B">
        <w:fldChar w:fldCharType="begin"/>
      </w:r>
      <w:r>
        <w:instrText xml:space="preserve"> SEQ Table \* ARABIC \s 1 </w:instrText>
      </w:r>
      <w:r w:rsidRPr="00EA633B">
        <w:fldChar w:fldCharType="separate"/>
      </w:r>
      <w:r w:rsidR="00D02ECC">
        <w:rPr>
          <w:noProof/>
        </w:rPr>
        <w:t>3</w:t>
      </w:r>
      <w:r w:rsidRPr="00EA633B">
        <w:fldChar w:fldCharType="end"/>
      </w:r>
      <w:bookmarkEnd w:id="83"/>
      <w:r>
        <w:tab/>
      </w:r>
      <w:r w:rsidRPr="008F4FB1">
        <w:t xml:space="preserve">AER's </w:t>
      </w:r>
      <w:r>
        <w:t>final</w:t>
      </w:r>
      <w:r w:rsidRPr="008F4FB1">
        <w:t xml:space="preserve"> decision on </w:t>
      </w:r>
      <w:r>
        <w:t>AusNet Services</w:t>
      </w:r>
      <w:r w:rsidRPr="008F4FB1">
        <w:t>' TAB roll forward ($</w:t>
      </w:r>
      <w:r>
        <w:t> </w:t>
      </w:r>
      <w:r w:rsidRPr="008F4FB1">
        <w:t>million, nominal)</w:t>
      </w:r>
    </w:p>
    <w:tbl>
      <w:tblPr>
        <w:tblStyle w:val="AERtable-numbers"/>
        <w:tblW w:w="8755" w:type="dxa"/>
        <w:tblLayout w:type="fixed"/>
        <w:tblLook w:val="04A0" w:firstRow="1" w:lastRow="0" w:firstColumn="1" w:lastColumn="0" w:noHBand="0" w:noVBand="1"/>
      </w:tblPr>
      <w:tblGrid>
        <w:gridCol w:w="3227"/>
        <w:gridCol w:w="940"/>
        <w:gridCol w:w="1147"/>
        <w:gridCol w:w="1147"/>
        <w:gridCol w:w="1147"/>
        <w:gridCol w:w="1147"/>
      </w:tblGrid>
      <w:tr w:rsidR="003C1380" w:rsidRPr="008F4FB1" w:rsidTr="003C1380">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3C1380" w:rsidRPr="003C1380" w:rsidRDefault="003C1380" w:rsidP="00152F71">
            <w:pPr>
              <w:keepNext/>
            </w:pPr>
            <w:r w:rsidRPr="008F4FB1">
              <w:t> </w:t>
            </w:r>
          </w:p>
        </w:tc>
        <w:tc>
          <w:tcPr>
            <w:tcW w:w="940" w:type="dxa"/>
            <w:noWrap/>
            <w:hideMark/>
          </w:tcPr>
          <w:p w:rsidR="003C1380" w:rsidRPr="003C1380" w:rsidRDefault="003C1380" w:rsidP="00152F71">
            <w:pPr>
              <w:keepNext/>
              <w:cnfStyle w:val="100000000000" w:firstRow="1" w:lastRow="0" w:firstColumn="0" w:lastColumn="0" w:oddVBand="0" w:evenVBand="0" w:oddHBand="0" w:evenHBand="0" w:firstRowFirstColumn="0" w:firstRowLastColumn="0" w:lastRowFirstColumn="0" w:lastRowLastColumn="0"/>
            </w:pPr>
            <w:r w:rsidRPr="008F4FB1">
              <w:t>201</w:t>
            </w:r>
            <w:r w:rsidR="000028F4">
              <w:t>1</w:t>
            </w:r>
          </w:p>
        </w:tc>
        <w:tc>
          <w:tcPr>
            <w:tcW w:w="1147" w:type="dxa"/>
            <w:noWrap/>
            <w:hideMark/>
          </w:tcPr>
          <w:p w:rsidR="003C1380" w:rsidRPr="003C1380" w:rsidRDefault="003C1380" w:rsidP="00152F71">
            <w:pPr>
              <w:keepNext/>
              <w:cnfStyle w:val="100000000000" w:firstRow="1" w:lastRow="0" w:firstColumn="0" w:lastColumn="0" w:oddVBand="0" w:evenVBand="0" w:oddHBand="0" w:evenHBand="0" w:firstRowFirstColumn="0" w:firstRowLastColumn="0" w:lastRowFirstColumn="0" w:lastRowLastColumn="0"/>
            </w:pPr>
            <w:r w:rsidRPr="008F4FB1">
              <w:t>20</w:t>
            </w:r>
            <w:r w:rsidR="000028F4">
              <w:t>1</w:t>
            </w:r>
            <w:r w:rsidRPr="008F4FB1">
              <w:t>2</w:t>
            </w:r>
          </w:p>
        </w:tc>
        <w:tc>
          <w:tcPr>
            <w:tcW w:w="1147" w:type="dxa"/>
            <w:noWrap/>
            <w:hideMark/>
          </w:tcPr>
          <w:p w:rsidR="003C1380" w:rsidRPr="003C1380" w:rsidRDefault="003C1380" w:rsidP="00152F71">
            <w:pPr>
              <w:keepNext/>
              <w:cnfStyle w:val="100000000000" w:firstRow="1" w:lastRow="0" w:firstColumn="0" w:lastColumn="0" w:oddVBand="0" w:evenVBand="0" w:oddHBand="0" w:evenHBand="0" w:firstRowFirstColumn="0" w:firstRowLastColumn="0" w:lastRowFirstColumn="0" w:lastRowLastColumn="0"/>
            </w:pPr>
            <w:r w:rsidRPr="008F4FB1">
              <w:t>2013</w:t>
            </w:r>
          </w:p>
        </w:tc>
        <w:tc>
          <w:tcPr>
            <w:tcW w:w="1147" w:type="dxa"/>
            <w:noWrap/>
            <w:hideMark/>
          </w:tcPr>
          <w:p w:rsidR="003C1380" w:rsidRPr="003C1380" w:rsidRDefault="003C1380" w:rsidP="00152F71">
            <w:pPr>
              <w:keepNext/>
              <w:cnfStyle w:val="100000000000" w:firstRow="1" w:lastRow="0" w:firstColumn="0" w:lastColumn="0" w:oddVBand="0" w:evenVBand="0" w:oddHBand="0" w:evenHBand="0" w:firstRowFirstColumn="0" w:firstRowLastColumn="0" w:lastRowFirstColumn="0" w:lastRowLastColumn="0"/>
            </w:pPr>
            <w:r w:rsidRPr="008F4FB1">
              <w:t>2014</w:t>
            </w:r>
          </w:p>
        </w:tc>
        <w:tc>
          <w:tcPr>
            <w:tcW w:w="1147" w:type="dxa"/>
            <w:noWrap/>
            <w:hideMark/>
          </w:tcPr>
          <w:p w:rsidR="003C1380" w:rsidRPr="003C1380" w:rsidRDefault="003C1380" w:rsidP="00152F71">
            <w:pPr>
              <w:keepNext/>
              <w:cnfStyle w:val="100000000000" w:firstRow="1" w:lastRow="0" w:firstColumn="0" w:lastColumn="0" w:oddVBand="0" w:evenVBand="0" w:oddHBand="0" w:evenHBand="0" w:firstRowFirstColumn="0" w:firstRowLastColumn="0" w:lastRowFirstColumn="0" w:lastRowLastColumn="0"/>
              <w:rPr>
                <w:rStyle w:val="AERsuperscript"/>
                <w:rFonts w:eastAsiaTheme="minorHAnsi" w:cstheme="minorBidi"/>
                <w:bCs/>
                <w:color w:val="076A92" w:themeColor="text1"/>
                <w:szCs w:val="18"/>
                <w:lang w:eastAsia="en-US"/>
              </w:rPr>
            </w:pPr>
            <w:r w:rsidRPr="008F4FB1">
              <w:t>2015</w:t>
            </w:r>
            <w:r w:rsidR="00E85C42">
              <w:rPr>
                <w:rStyle w:val="AERsuperscript"/>
              </w:rPr>
              <w:t>a</w:t>
            </w:r>
          </w:p>
        </w:tc>
      </w:tr>
      <w:tr w:rsidR="000028F4" w:rsidRPr="008F4FB1" w:rsidTr="003C1380">
        <w:trPr>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0028F4" w:rsidRPr="000028F4" w:rsidRDefault="000028F4" w:rsidP="00152F71">
            <w:pPr>
              <w:keepNext/>
            </w:pPr>
            <w:r w:rsidRPr="000028F4">
              <w:t>Opening TAB</w:t>
            </w:r>
          </w:p>
        </w:tc>
        <w:tc>
          <w:tcPr>
            <w:tcW w:w="940" w:type="dxa"/>
            <w:noWrap/>
            <w:vAlign w:val="bottom"/>
          </w:tcPr>
          <w:p w:rsidR="000028F4" w:rsidRPr="000028F4" w:rsidRDefault="000028F4" w:rsidP="00152F71">
            <w:pPr>
              <w:keepNext/>
              <w:cnfStyle w:val="000000000000" w:firstRow="0" w:lastRow="0" w:firstColumn="0" w:lastColumn="0" w:oddVBand="0" w:evenVBand="0" w:oddHBand="0" w:evenHBand="0" w:firstRowFirstColumn="0" w:firstRowLastColumn="0" w:lastRowFirstColumn="0" w:lastRowLastColumn="0"/>
            </w:pPr>
            <w:r w:rsidRPr="000028F4">
              <w:t>1278.7</w:t>
            </w:r>
          </w:p>
        </w:tc>
        <w:tc>
          <w:tcPr>
            <w:tcW w:w="1147" w:type="dxa"/>
            <w:noWrap/>
            <w:vAlign w:val="bottom"/>
          </w:tcPr>
          <w:p w:rsidR="000028F4" w:rsidRPr="000028F4" w:rsidRDefault="000028F4" w:rsidP="00152F71">
            <w:pPr>
              <w:keepNext/>
              <w:cnfStyle w:val="000000000000" w:firstRow="0" w:lastRow="0" w:firstColumn="0" w:lastColumn="0" w:oddVBand="0" w:evenVBand="0" w:oddHBand="0" w:evenHBand="0" w:firstRowFirstColumn="0" w:firstRowLastColumn="0" w:lastRowFirstColumn="0" w:lastRowLastColumn="0"/>
            </w:pPr>
            <w:r w:rsidRPr="000028F4">
              <w:t>1444.8</w:t>
            </w:r>
          </w:p>
        </w:tc>
        <w:tc>
          <w:tcPr>
            <w:tcW w:w="1147" w:type="dxa"/>
            <w:noWrap/>
            <w:vAlign w:val="bottom"/>
          </w:tcPr>
          <w:p w:rsidR="000028F4" w:rsidRPr="000028F4" w:rsidRDefault="000028F4" w:rsidP="00152F71">
            <w:pPr>
              <w:keepNext/>
              <w:cnfStyle w:val="000000000000" w:firstRow="0" w:lastRow="0" w:firstColumn="0" w:lastColumn="0" w:oddVBand="0" w:evenVBand="0" w:oddHBand="0" w:evenHBand="0" w:firstRowFirstColumn="0" w:firstRowLastColumn="0" w:lastRowFirstColumn="0" w:lastRowLastColumn="0"/>
            </w:pPr>
            <w:r w:rsidRPr="000028F4">
              <w:t>1624.3</w:t>
            </w:r>
          </w:p>
        </w:tc>
        <w:tc>
          <w:tcPr>
            <w:tcW w:w="1147" w:type="dxa"/>
            <w:noWrap/>
            <w:vAlign w:val="bottom"/>
          </w:tcPr>
          <w:p w:rsidR="000028F4" w:rsidRPr="000028F4" w:rsidRDefault="000028F4" w:rsidP="00152F71">
            <w:pPr>
              <w:keepNext/>
              <w:cnfStyle w:val="000000000000" w:firstRow="0" w:lastRow="0" w:firstColumn="0" w:lastColumn="0" w:oddVBand="0" w:evenVBand="0" w:oddHBand="0" w:evenHBand="0" w:firstRowFirstColumn="0" w:firstRowLastColumn="0" w:lastRowFirstColumn="0" w:lastRowLastColumn="0"/>
            </w:pPr>
            <w:r w:rsidRPr="000028F4">
              <w:t>1832.8</w:t>
            </w:r>
          </w:p>
        </w:tc>
        <w:tc>
          <w:tcPr>
            <w:tcW w:w="1147" w:type="dxa"/>
            <w:noWrap/>
            <w:vAlign w:val="bottom"/>
          </w:tcPr>
          <w:p w:rsidR="000028F4" w:rsidRPr="000028F4" w:rsidRDefault="000028F4" w:rsidP="00152F71">
            <w:pPr>
              <w:keepNext/>
              <w:cnfStyle w:val="000000000000" w:firstRow="0" w:lastRow="0" w:firstColumn="0" w:lastColumn="0" w:oddVBand="0" w:evenVBand="0" w:oddHBand="0" w:evenHBand="0" w:firstRowFirstColumn="0" w:firstRowLastColumn="0" w:lastRowFirstColumn="0" w:lastRowLastColumn="0"/>
            </w:pPr>
            <w:r w:rsidRPr="000028F4">
              <w:t>2041.0</w:t>
            </w:r>
          </w:p>
        </w:tc>
      </w:tr>
      <w:tr w:rsidR="000028F4" w:rsidRPr="008F4FB1" w:rsidTr="003C1380">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0028F4" w:rsidRPr="000028F4" w:rsidRDefault="000028F4" w:rsidP="00152F71">
            <w:pPr>
              <w:keepNext/>
              <w:rPr>
                <w:rStyle w:val="AERsuperscript"/>
              </w:rPr>
            </w:pPr>
            <w:r w:rsidRPr="000028F4">
              <w:t>Capital expenditure</w:t>
            </w:r>
          </w:p>
        </w:tc>
        <w:tc>
          <w:tcPr>
            <w:tcW w:w="940" w:type="dxa"/>
            <w:noWrap/>
            <w:vAlign w:val="bottom"/>
          </w:tcPr>
          <w:p w:rsidR="000028F4" w:rsidRPr="000028F4" w:rsidRDefault="000028F4" w:rsidP="00152F71">
            <w:pPr>
              <w:keepNext/>
              <w:cnfStyle w:val="000000010000" w:firstRow="0" w:lastRow="0" w:firstColumn="0" w:lastColumn="0" w:oddVBand="0" w:evenVBand="0" w:oddHBand="0" w:evenHBand="1" w:firstRowFirstColumn="0" w:firstRowLastColumn="0" w:lastRowFirstColumn="0" w:lastRowLastColumn="0"/>
            </w:pPr>
            <w:r w:rsidRPr="000028F4">
              <w:t>290.8</w:t>
            </w:r>
          </w:p>
        </w:tc>
        <w:tc>
          <w:tcPr>
            <w:tcW w:w="1147" w:type="dxa"/>
            <w:noWrap/>
            <w:vAlign w:val="bottom"/>
          </w:tcPr>
          <w:p w:rsidR="000028F4" w:rsidRPr="000028F4" w:rsidRDefault="000028F4" w:rsidP="00152F71">
            <w:pPr>
              <w:keepNext/>
              <w:cnfStyle w:val="000000010000" w:firstRow="0" w:lastRow="0" w:firstColumn="0" w:lastColumn="0" w:oddVBand="0" w:evenVBand="0" w:oddHBand="0" w:evenHBand="1" w:firstRowFirstColumn="0" w:firstRowLastColumn="0" w:lastRowFirstColumn="0" w:lastRowLastColumn="0"/>
            </w:pPr>
            <w:r w:rsidRPr="000028F4">
              <w:t>331.1</w:t>
            </w:r>
          </w:p>
        </w:tc>
        <w:tc>
          <w:tcPr>
            <w:tcW w:w="1147" w:type="dxa"/>
            <w:noWrap/>
            <w:vAlign w:val="bottom"/>
          </w:tcPr>
          <w:p w:rsidR="000028F4" w:rsidRPr="000028F4" w:rsidRDefault="000028F4" w:rsidP="00152F71">
            <w:pPr>
              <w:keepNext/>
              <w:cnfStyle w:val="000000010000" w:firstRow="0" w:lastRow="0" w:firstColumn="0" w:lastColumn="0" w:oddVBand="0" w:evenVBand="0" w:oddHBand="0" w:evenHBand="1" w:firstRowFirstColumn="0" w:firstRowLastColumn="0" w:lastRowFirstColumn="0" w:lastRowLastColumn="0"/>
            </w:pPr>
            <w:r w:rsidRPr="000028F4">
              <w:t>386.3</w:t>
            </w:r>
          </w:p>
        </w:tc>
        <w:tc>
          <w:tcPr>
            <w:tcW w:w="1147" w:type="dxa"/>
            <w:noWrap/>
            <w:vAlign w:val="bottom"/>
          </w:tcPr>
          <w:p w:rsidR="000028F4" w:rsidRPr="000028F4" w:rsidRDefault="000028F4" w:rsidP="00152F71">
            <w:pPr>
              <w:keepNext/>
              <w:cnfStyle w:val="000000010000" w:firstRow="0" w:lastRow="0" w:firstColumn="0" w:lastColumn="0" w:oddVBand="0" w:evenVBand="0" w:oddHBand="0" w:evenHBand="1" w:firstRowFirstColumn="0" w:firstRowLastColumn="0" w:lastRowFirstColumn="0" w:lastRowLastColumn="0"/>
            </w:pPr>
            <w:r w:rsidRPr="000028F4">
              <w:t>428.2</w:t>
            </w:r>
          </w:p>
        </w:tc>
        <w:tc>
          <w:tcPr>
            <w:tcW w:w="1147" w:type="dxa"/>
            <w:noWrap/>
            <w:vAlign w:val="bottom"/>
          </w:tcPr>
          <w:p w:rsidR="000028F4" w:rsidRPr="000028F4" w:rsidRDefault="000028F4" w:rsidP="00152F71">
            <w:pPr>
              <w:keepNext/>
              <w:cnfStyle w:val="000000010000" w:firstRow="0" w:lastRow="0" w:firstColumn="0" w:lastColumn="0" w:oddVBand="0" w:evenVBand="0" w:oddHBand="0" w:evenHBand="1" w:firstRowFirstColumn="0" w:firstRowLastColumn="0" w:lastRowFirstColumn="0" w:lastRowLastColumn="0"/>
            </w:pPr>
            <w:r w:rsidRPr="000028F4">
              <w:t>387.4</w:t>
            </w:r>
          </w:p>
        </w:tc>
      </w:tr>
      <w:tr w:rsidR="000028F4" w:rsidRPr="008F4FB1" w:rsidTr="003C1380">
        <w:trPr>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0028F4" w:rsidRPr="000028F4" w:rsidRDefault="000028F4" w:rsidP="00152F71">
            <w:pPr>
              <w:keepNext/>
            </w:pPr>
            <w:r w:rsidRPr="000028F4">
              <w:rPr>
                <w:rStyle w:val="AERtextitalic"/>
              </w:rPr>
              <w:t>Less:</w:t>
            </w:r>
            <w:r w:rsidRPr="000028F4">
              <w:t xml:space="preserve"> Tax depreciation</w:t>
            </w:r>
          </w:p>
        </w:tc>
        <w:tc>
          <w:tcPr>
            <w:tcW w:w="940" w:type="dxa"/>
            <w:noWrap/>
            <w:vAlign w:val="bottom"/>
          </w:tcPr>
          <w:p w:rsidR="000028F4" w:rsidRPr="000028F4" w:rsidRDefault="000028F4" w:rsidP="00152F71">
            <w:pPr>
              <w:keepNext/>
              <w:cnfStyle w:val="000000000000" w:firstRow="0" w:lastRow="0" w:firstColumn="0" w:lastColumn="0" w:oddVBand="0" w:evenVBand="0" w:oddHBand="0" w:evenHBand="0" w:firstRowFirstColumn="0" w:firstRowLastColumn="0" w:lastRowFirstColumn="0" w:lastRowLastColumn="0"/>
            </w:pPr>
            <w:r w:rsidRPr="000028F4">
              <w:t>124.8</w:t>
            </w:r>
          </w:p>
        </w:tc>
        <w:tc>
          <w:tcPr>
            <w:tcW w:w="1147" w:type="dxa"/>
            <w:noWrap/>
            <w:vAlign w:val="bottom"/>
          </w:tcPr>
          <w:p w:rsidR="000028F4" w:rsidRPr="000028F4" w:rsidRDefault="000028F4" w:rsidP="00152F71">
            <w:pPr>
              <w:keepNext/>
              <w:cnfStyle w:val="000000000000" w:firstRow="0" w:lastRow="0" w:firstColumn="0" w:lastColumn="0" w:oddVBand="0" w:evenVBand="0" w:oddHBand="0" w:evenHBand="0" w:firstRowFirstColumn="0" w:firstRowLastColumn="0" w:lastRowFirstColumn="0" w:lastRowLastColumn="0"/>
            </w:pPr>
            <w:r w:rsidRPr="000028F4">
              <w:t>151.5</w:t>
            </w:r>
          </w:p>
        </w:tc>
        <w:tc>
          <w:tcPr>
            <w:tcW w:w="1147" w:type="dxa"/>
            <w:noWrap/>
            <w:vAlign w:val="bottom"/>
          </w:tcPr>
          <w:p w:rsidR="000028F4" w:rsidRPr="000028F4" w:rsidRDefault="000028F4" w:rsidP="00152F71">
            <w:pPr>
              <w:keepNext/>
              <w:cnfStyle w:val="000000000000" w:firstRow="0" w:lastRow="0" w:firstColumn="0" w:lastColumn="0" w:oddVBand="0" w:evenVBand="0" w:oddHBand="0" w:evenHBand="0" w:firstRowFirstColumn="0" w:firstRowLastColumn="0" w:lastRowFirstColumn="0" w:lastRowLastColumn="0"/>
            </w:pPr>
            <w:r w:rsidRPr="000028F4">
              <w:t>177.8</w:t>
            </w:r>
          </w:p>
        </w:tc>
        <w:tc>
          <w:tcPr>
            <w:tcW w:w="1147" w:type="dxa"/>
            <w:noWrap/>
            <w:vAlign w:val="bottom"/>
          </w:tcPr>
          <w:p w:rsidR="000028F4" w:rsidRPr="000028F4" w:rsidRDefault="000028F4" w:rsidP="00152F71">
            <w:pPr>
              <w:keepNext/>
              <w:cnfStyle w:val="000000000000" w:firstRow="0" w:lastRow="0" w:firstColumn="0" w:lastColumn="0" w:oddVBand="0" w:evenVBand="0" w:oddHBand="0" w:evenHBand="0" w:firstRowFirstColumn="0" w:firstRowLastColumn="0" w:lastRowFirstColumn="0" w:lastRowLastColumn="0"/>
            </w:pPr>
            <w:r w:rsidRPr="000028F4">
              <w:t>220.0</w:t>
            </w:r>
          </w:p>
        </w:tc>
        <w:tc>
          <w:tcPr>
            <w:tcW w:w="1147" w:type="dxa"/>
            <w:noWrap/>
            <w:vAlign w:val="bottom"/>
          </w:tcPr>
          <w:p w:rsidR="000028F4" w:rsidRPr="000028F4" w:rsidRDefault="000028F4" w:rsidP="00152F71">
            <w:pPr>
              <w:keepNext/>
              <w:cnfStyle w:val="000000000000" w:firstRow="0" w:lastRow="0" w:firstColumn="0" w:lastColumn="0" w:oddVBand="0" w:evenVBand="0" w:oddHBand="0" w:evenHBand="0" w:firstRowFirstColumn="0" w:firstRowLastColumn="0" w:lastRowFirstColumn="0" w:lastRowLastColumn="0"/>
            </w:pPr>
            <w:r w:rsidRPr="000028F4">
              <w:t>210.2</w:t>
            </w:r>
          </w:p>
        </w:tc>
      </w:tr>
      <w:tr w:rsidR="000028F4" w:rsidRPr="000028F4" w:rsidTr="003C1380">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0028F4" w:rsidRPr="000028F4" w:rsidRDefault="000028F4" w:rsidP="00152F71">
            <w:pPr>
              <w:keepNext/>
            </w:pPr>
            <w:r w:rsidRPr="000028F4">
              <w:t>Closing TAB</w:t>
            </w:r>
          </w:p>
        </w:tc>
        <w:tc>
          <w:tcPr>
            <w:tcW w:w="940" w:type="dxa"/>
            <w:noWrap/>
            <w:vAlign w:val="bottom"/>
          </w:tcPr>
          <w:p w:rsidR="000028F4" w:rsidRPr="000028F4" w:rsidRDefault="000028F4" w:rsidP="00152F71">
            <w:pPr>
              <w:keepNext/>
              <w:cnfStyle w:val="000000010000" w:firstRow="0" w:lastRow="0" w:firstColumn="0" w:lastColumn="0" w:oddVBand="0" w:evenVBand="0" w:oddHBand="0" w:evenHBand="1" w:firstRowFirstColumn="0" w:firstRowLastColumn="0" w:lastRowFirstColumn="0" w:lastRowLastColumn="0"/>
              <w:rPr>
                <w:rStyle w:val="Strong"/>
              </w:rPr>
            </w:pPr>
            <w:r w:rsidRPr="000028F4">
              <w:rPr>
                <w:rStyle w:val="Strong"/>
              </w:rPr>
              <w:t>1444.8</w:t>
            </w:r>
          </w:p>
        </w:tc>
        <w:tc>
          <w:tcPr>
            <w:tcW w:w="1147" w:type="dxa"/>
            <w:noWrap/>
            <w:vAlign w:val="bottom"/>
          </w:tcPr>
          <w:p w:rsidR="000028F4" w:rsidRPr="000028F4" w:rsidRDefault="000028F4" w:rsidP="00152F71">
            <w:pPr>
              <w:keepNext/>
              <w:cnfStyle w:val="000000010000" w:firstRow="0" w:lastRow="0" w:firstColumn="0" w:lastColumn="0" w:oddVBand="0" w:evenVBand="0" w:oddHBand="0" w:evenHBand="1" w:firstRowFirstColumn="0" w:firstRowLastColumn="0" w:lastRowFirstColumn="0" w:lastRowLastColumn="0"/>
              <w:rPr>
                <w:rStyle w:val="Strong"/>
              </w:rPr>
            </w:pPr>
            <w:r w:rsidRPr="000028F4">
              <w:rPr>
                <w:rStyle w:val="Strong"/>
              </w:rPr>
              <w:t>1624.3</w:t>
            </w:r>
          </w:p>
        </w:tc>
        <w:tc>
          <w:tcPr>
            <w:tcW w:w="1147" w:type="dxa"/>
            <w:noWrap/>
            <w:vAlign w:val="bottom"/>
          </w:tcPr>
          <w:p w:rsidR="000028F4" w:rsidRPr="000028F4" w:rsidRDefault="000028F4" w:rsidP="00152F71">
            <w:pPr>
              <w:keepNext/>
              <w:cnfStyle w:val="000000010000" w:firstRow="0" w:lastRow="0" w:firstColumn="0" w:lastColumn="0" w:oddVBand="0" w:evenVBand="0" w:oddHBand="0" w:evenHBand="1" w:firstRowFirstColumn="0" w:firstRowLastColumn="0" w:lastRowFirstColumn="0" w:lastRowLastColumn="0"/>
              <w:rPr>
                <w:rStyle w:val="Strong"/>
              </w:rPr>
            </w:pPr>
            <w:r w:rsidRPr="000028F4">
              <w:rPr>
                <w:rStyle w:val="Strong"/>
              </w:rPr>
              <w:t>1832.8</w:t>
            </w:r>
          </w:p>
        </w:tc>
        <w:tc>
          <w:tcPr>
            <w:tcW w:w="1147" w:type="dxa"/>
            <w:noWrap/>
            <w:vAlign w:val="bottom"/>
          </w:tcPr>
          <w:p w:rsidR="000028F4" w:rsidRPr="000028F4" w:rsidRDefault="000028F4" w:rsidP="00152F71">
            <w:pPr>
              <w:keepNext/>
              <w:cnfStyle w:val="000000010000" w:firstRow="0" w:lastRow="0" w:firstColumn="0" w:lastColumn="0" w:oddVBand="0" w:evenVBand="0" w:oddHBand="0" w:evenHBand="1" w:firstRowFirstColumn="0" w:firstRowLastColumn="0" w:lastRowFirstColumn="0" w:lastRowLastColumn="0"/>
              <w:rPr>
                <w:rStyle w:val="Strong"/>
              </w:rPr>
            </w:pPr>
            <w:r w:rsidRPr="000028F4">
              <w:rPr>
                <w:rStyle w:val="Strong"/>
              </w:rPr>
              <w:t>2041.0</w:t>
            </w:r>
          </w:p>
        </w:tc>
        <w:tc>
          <w:tcPr>
            <w:tcW w:w="1147" w:type="dxa"/>
            <w:noWrap/>
            <w:vAlign w:val="bottom"/>
          </w:tcPr>
          <w:p w:rsidR="000028F4" w:rsidRPr="000028F4" w:rsidRDefault="000028F4" w:rsidP="00152F71">
            <w:pPr>
              <w:keepNext/>
              <w:cnfStyle w:val="000000010000" w:firstRow="0" w:lastRow="0" w:firstColumn="0" w:lastColumn="0" w:oddVBand="0" w:evenVBand="0" w:oddHBand="0" w:evenHBand="1" w:firstRowFirstColumn="0" w:firstRowLastColumn="0" w:lastRowFirstColumn="0" w:lastRowLastColumn="0"/>
              <w:rPr>
                <w:rStyle w:val="Strong"/>
              </w:rPr>
            </w:pPr>
            <w:r w:rsidRPr="000028F4">
              <w:rPr>
                <w:rStyle w:val="Strong"/>
              </w:rPr>
              <w:t>2218.2</w:t>
            </w:r>
          </w:p>
        </w:tc>
      </w:tr>
    </w:tbl>
    <w:p w:rsidR="003C1380" w:rsidRDefault="003C1380" w:rsidP="00152F71">
      <w:pPr>
        <w:pStyle w:val="AERtablesource"/>
        <w:keepNext/>
      </w:pPr>
      <w:r>
        <w:t>Source:</w:t>
      </w:r>
      <w:r>
        <w:tab/>
        <w:t>AER analysis.</w:t>
      </w:r>
    </w:p>
    <w:p w:rsidR="003C1380" w:rsidRDefault="00E85C42" w:rsidP="00152F71">
      <w:pPr>
        <w:pStyle w:val="AERtablesource"/>
        <w:keepNext/>
      </w:pPr>
      <w:r w:rsidDel="00E85C42">
        <w:t xml:space="preserve"> </w:t>
      </w:r>
      <w:r w:rsidR="003C1380">
        <w:t>(</w:t>
      </w:r>
      <w:r>
        <w:t>a</w:t>
      </w:r>
      <w:r w:rsidR="003C1380">
        <w:t>)</w:t>
      </w:r>
      <w:r w:rsidR="003C1380">
        <w:tab/>
        <w:t>Based on estimated capex.</w:t>
      </w:r>
    </w:p>
    <w:p w:rsidR="003C1380" w:rsidRPr="003C1380" w:rsidRDefault="003C1380" w:rsidP="00152F71">
      <w:pPr>
        <w:pStyle w:val="Heading3"/>
        <w:ind w:left="578" w:hanging="578"/>
      </w:pPr>
      <w:bookmarkStart w:id="84" w:name="_Ref410982196"/>
      <w:bookmarkStart w:id="85" w:name="_Toc413149277"/>
      <w:bookmarkStart w:id="86" w:name="_Toc427679741"/>
      <w:bookmarkStart w:id="87" w:name="_Toc432778666"/>
      <w:bookmarkStart w:id="88" w:name="_Toc451286384"/>
      <w:r>
        <w:t>Remaining tax asset lives</w:t>
      </w:r>
      <w:bookmarkEnd w:id="84"/>
      <w:bookmarkEnd w:id="85"/>
      <w:bookmarkEnd w:id="86"/>
      <w:bookmarkEnd w:id="87"/>
      <w:bookmarkEnd w:id="88"/>
    </w:p>
    <w:p w:rsidR="00EE568F" w:rsidRDefault="00E83038" w:rsidP="007F67F3">
      <w:r>
        <w:t xml:space="preserve">We accept </w:t>
      </w:r>
      <w:r w:rsidR="003C1380">
        <w:t>AusNet Services</w:t>
      </w:r>
      <w:r>
        <w:t>' revised proposed remaining tax asset lives calculated based on the approach approved in our preliminary decision.</w:t>
      </w:r>
      <w:r w:rsidR="003C1380">
        <w:t xml:space="preserve"> </w:t>
      </w:r>
      <w:r w:rsidR="007F67F3" w:rsidRPr="00DA10BC">
        <w:t>Th</w:t>
      </w:r>
      <w:r w:rsidR="007F67F3">
        <w:t>e</w:t>
      </w:r>
      <w:r w:rsidR="007F67F3" w:rsidRPr="00DA10BC">
        <w:t xml:space="preserve"> </w:t>
      </w:r>
      <w:r w:rsidR="007F67F3">
        <w:t>approach calculates the remaining tax asset life</w:t>
      </w:r>
      <w:r w:rsidR="00EE568F">
        <w:t xml:space="preserve"> for each asset class at 1 January 2016</w:t>
      </w:r>
      <w:r w:rsidR="007F67F3" w:rsidRPr="00DA10BC">
        <w:t xml:space="preserve"> using the standard tax asset life for th</w:t>
      </w:r>
      <w:r w:rsidR="00EE568F">
        <w:t>at</w:t>
      </w:r>
      <w:r w:rsidR="007F67F3" w:rsidRPr="00DA10BC">
        <w:t xml:space="preserve"> asset class multiplied by the ratio of the RAB remaining asset life to the RAB standard asset life. </w:t>
      </w:r>
    </w:p>
    <w:p w:rsidR="00FA3FB8" w:rsidRDefault="00EE568F" w:rsidP="007F67F3">
      <w:pPr>
        <w:rPr>
          <w:rStyle w:val="AERbody"/>
        </w:rPr>
      </w:pPr>
      <w:r>
        <w:t xml:space="preserve">In the preliminary decision, we accepted </w:t>
      </w:r>
      <w:r w:rsidRPr="007F2FB0">
        <w:t>AusNet</w:t>
      </w:r>
      <w:r w:rsidRPr="006B4C17">
        <w:t xml:space="preserve"> </w:t>
      </w:r>
      <w:r>
        <w:t>Services'</w:t>
      </w:r>
      <w:r w:rsidRPr="007F2FB0">
        <w:t xml:space="preserve"> proposal to </w:t>
      </w:r>
      <w:r>
        <w:t>transition to our preferred</w:t>
      </w:r>
      <w:r w:rsidRPr="007F2FB0">
        <w:t xml:space="preserve"> straight-li</w:t>
      </w:r>
      <w:r>
        <w:t>n</w:t>
      </w:r>
      <w:r w:rsidRPr="007F2FB0">
        <w:t xml:space="preserve">e </w:t>
      </w:r>
      <w:r>
        <w:t xml:space="preserve">tax </w:t>
      </w:r>
      <w:r w:rsidRPr="007F2FB0">
        <w:t>depreciation approach to calculate the corporate income tax allowance for the 201</w:t>
      </w:r>
      <w:r>
        <w:t xml:space="preserve">6–20 regulatory control period. This required us to </w:t>
      </w:r>
      <w:r w:rsidRPr="007F2FB0">
        <w:t xml:space="preserve">determine remaining tax asset lives </w:t>
      </w:r>
      <w:r>
        <w:t xml:space="preserve">for depreciating the opening TAB </w:t>
      </w:r>
      <w:r w:rsidRPr="007F2FB0">
        <w:t>at 1 January 2016</w:t>
      </w:r>
      <w:r>
        <w:t xml:space="preserve">. </w:t>
      </w:r>
      <w:r w:rsidR="007F67F3" w:rsidRPr="00856BBF">
        <w:rPr>
          <w:rStyle w:val="AERbody"/>
        </w:rPr>
        <w:t xml:space="preserve">We </w:t>
      </w:r>
      <w:r w:rsidR="007F67F3">
        <w:rPr>
          <w:rStyle w:val="AERbody"/>
        </w:rPr>
        <w:t>consider</w:t>
      </w:r>
      <w:r w:rsidR="00F6364A">
        <w:rPr>
          <w:rStyle w:val="AERbody"/>
        </w:rPr>
        <w:t xml:space="preserve">ed </w:t>
      </w:r>
      <w:r w:rsidR="000A2CB2" w:rsidRPr="00856BBF">
        <w:rPr>
          <w:rStyle w:val="AERbody"/>
        </w:rPr>
        <w:t>Aus</w:t>
      </w:r>
      <w:r w:rsidR="000A2CB2">
        <w:rPr>
          <w:rStyle w:val="AERbody"/>
        </w:rPr>
        <w:t xml:space="preserve">Net </w:t>
      </w:r>
      <w:r w:rsidR="000A2CB2">
        <w:t>Services'</w:t>
      </w:r>
      <w:r w:rsidR="000A2CB2" w:rsidRPr="00856BBF">
        <w:rPr>
          <w:rStyle w:val="AERbody"/>
        </w:rPr>
        <w:t xml:space="preserve"> proposed approach </w:t>
      </w:r>
      <w:r w:rsidR="000A2CB2">
        <w:rPr>
          <w:rStyle w:val="AERbody"/>
        </w:rPr>
        <w:t xml:space="preserve">to determine remaining tax asset lives </w:t>
      </w:r>
      <w:r w:rsidR="000A2CB2" w:rsidRPr="00856BBF">
        <w:rPr>
          <w:rStyle w:val="AERbody"/>
        </w:rPr>
        <w:t xml:space="preserve">provides reasonable estimates for the majority of </w:t>
      </w:r>
      <w:r w:rsidR="000A2CB2">
        <w:rPr>
          <w:rStyle w:val="AERbody"/>
        </w:rPr>
        <w:t>its</w:t>
      </w:r>
      <w:r w:rsidR="000A2CB2" w:rsidRPr="00856BBF">
        <w:rPr>
          <w:rStyle w:val="AERbody"/>
        </w:rPr>
        <w:t xml:space="preserve"> asset classes.</w:t>
      </w:r>
    </w:p>
    <w:p w:rsidR="00E83038" w:rsidRDefault="00FA3FB8" w:rsidP="007F67F3">
      <w:r>
        <w:rPr>
          <w:rStyle w:val="AERbody"/>
        </w:rPr>
        <w:t>We noted the remaining tax asset lives at 1 January 2016 may be updated</w:t>
      </w:r>
      <w:r w:rsidR="008D1525">
        <w:rPr>
          <w:rStyle w:val="AERbody"/>
        </w:rPr>
        <w:t xml:space="preserve"> using the approved approach for any revision to the RAB remaining asset lives, which in turn depends on any changes in 2015 capex. For the reasons discussed in attachment 2, we have not made any further changes to the 2015 capex estimate for this final decision. Therefore, our final decision on the remaining tax asset lives for AusNet Services remains the same as those in the preliminary decision.</w:t>
      </w:r>
      <w:r w:rsidR="007F67F3">
        <w:rPr>
          <w:rStyle w:val="AERbody"/>
        </w:rPr>
        <w:t xml:space="preserve"> </w:t>
      </w:r>
    </w:p>
    <w:p w:rsidR="004F66EE" w:rsidRDefault="004F66EE" w:rsidP="00ED1B95">
      <w:r w:rsidRPr="00FA7AD3">
        <w:t>We are satisfied the remaining tax asset lives</w:t>
      </w:r>
      <w:r>
        <w:t xml:space="preserve"> in AusNet Services' revised proposal</w:t>
      </w:r>
      <w:r w:rsidRPr="00FA7AD3">
        <w:t xml:space="preserve"> </w:t>
      </w:r>
      <w:r>
        <w:t xml:space="preserve">are likely to </w:t>
      </w:r>
      <w:r w:rsidRPr="00FA7AD3">
        <w:t>provide an appropriate estimate of the tax depreciation amount for a benchmark efficient service provider as required by the NER.</w:t>
      </w:r>
      <w:r w:rsidRPr="00FA7AD3">
        <w:rPr>
          <w:rStyle w:val="FootnoteReference"/>
        </w:rPr>
        <w:footnoteReference w:id="5"/>
      </w:r>
    </w:p>
    <w:p w:rsidR="00E83038" w:rsidRDefault="000561F1" w:rsidP="00ED1B95">
      <w:r>
        <w:fldChar w:fldCharType="begin"/>
      </w:r>
      <w:r>
        <w:instrText xml:space="preserve"> REF _Ref410983841 \h </w:instrText>
      </w:r>
      <w:r>
        <w:fldChar w:fldCharType="separate"/>
      </w:r>
      <w:r w:rsidR="00D02ECC" w:rsidRPr="0075210A">
        <w:t xml:space="preserve">Table </w:t>
      </w:r>
      <w:r w:rsidR="00D02ECC">
        <w:rPr>
          <w:noProof/>
        </w:rPr>
        <w:t>8</w:t>
      </w:r>
      <w:r w:rsidR="00D02ECC" w:rsidRPr="0075210A">
        <w:t>.</w:t>
      </w:r>
      <w:r w:rsidR="00D02ECC">
        <w:rPr>
          <w:noProof/>
        </w:rPr>
        <w:t>4</w:t>
      </w:r>
      <w:r>
        <w:fldChar w:fldCharType="end"/>
      </w:r>
      <w:r w:rsidR="00E83038">
        <w:t xml:space="preserve"> sets out our final</w:t>
      </w:r>
      <w:r w:rsidR="00E83038" w:rsidRPr="00F01612">
        <w:t xml:space="preserve"> decision on the remaining tax asset lives at 1 </w:t>
      </w:r>
      <w:r w:rsidR="00E83038">
        <w:t>January</w:t>
      </w:r>
      <w:r w:rsidR="00E83038" w:rsidRPr="00F01612">
        <w:t xml:space="preserve"> 201</w:t>
      </w:r>
      <w:r w:rsidR="00E83038">
        <w:t>6</w:t>
      </w:r>
      <w:r w:rsidR="00E83038" w:rsidRPr="00F01612">
        <w:t xml:space="preserve"> for </w:t>
      </w:r>
      <w:r w:rsidR="00E83038">
        <w:t>AusNet Services</w:t>
      </w:r>
      <w:r w:rsidR="00E83038" w:rsidRPr="00F01612">
        <w:t>.</w:t>
      </w:r>
      <w:r w:rsidR="00E83038" w:rsidRPr="0068312B">
        <w:t xml:space="preserve"> </w:t>
      </w:r>
    </w:p>
    <w:p w:rsidR="004E473C" w:rsidRDefault="004E473C" w:rsidP="00ED1B95"/>
    <w:p w:rsidR="003C1380" w:rsidRPr="003C1380" w:rsidRDefault="003C1380" w:rsidP="00152F71">
      <w:pPr>
        <w:pStyle w:val="Heading3"/>
        <w:ind w:left="578" w:hanging="578"/>
      </w:pPr>
      <w:bookmarkStart w:id="89" w:name="_Toc413149278"/>
      <w:bookmarkStart w:id="90" w:name="_Toc427679742"/>
      <w:bookmarkStart w:id="91" w:name="_Ref427830236"/>
      <w:bookmarkStart w:id="92" w:name="_Toc432778667"/>
      <w:bookmarkStart w:id="93" w:name="_Ref445373159"/>
      <w:bookmarkStart w:id="94" w:name="_Toc451286385"/>
      <w:bookmarkStart w:id="95" w:name="_Toc428869397"/>
      <w:r w:rsidRPr="0075210A">
        <w:lastRenderedPageBreak/>
        <w:t>Standard tax asset lives</w:t>
      </w:r>
      <w:bookmarkEnd w:id="89"/>
      <w:bookmarkEnd w:id="90"/>
      <w:bookmarkEnd w:id="91"/>
      <w:bookmarkEnd w:id="92"/>
      <w:bookmarkEnd w:id="93"/>
      <w:bookmarkEnd w:id="94"/>
    </w:p>
    <w:p w:rsidR="003C1380" w:rsidRPr="0075210A" w:rsidRDefault="003C1380" w:rsidP="003C1380">
      <w:r w:rsidRPr="0075210A">
        <w:t xml:space="preserve">Consistent with our preliminary decision, we accept </w:t>
      </w:r>
      <w:r>
        <w:t>AusNet Services</w:t>
      </w:r>
      <w:r w:rsidRPr="0075210A">
        <w:t>' proposed standard tax asset lives because they are:</w:t>
      </w:r>
    </w:p>
    <w:p w:rsidR="003C1380" w:rsidRPr="0075210A" w:rsidRDefault="003C1380" w:rsidP="003C1380">
      <w:pPr>
        <w:pStyle w:val="AERbulletlistfirststyle"/>
      </w:pPr>
      <w:r w:rsidRPr="0075210A">
        <w:t>broadly consistent with the values prescribed by the Commissioner for taxation in tax ruling 20</w:t>
      </w:r>
      <w:r w:rsidR="00323BCC">
        <w:t>15</w:t>
      </w:r>
      <w:r w:rsidRPr="0075210A">
        <w:t>/</w:t>
      </w:r>
      <w:r w:rsidR="00323BCC">
        <w:t>2</w:t>
      </w:r>
      <w:r w:rsidRPr="0075210A">
        <w:rPr>
          <w:rStyle w:val="FootnoteReference"/>
        </w:rPr>
        <w:footnoteReference w:id="6"/>
      </w:r>
      <w:r w:rsidRPr="0075210A">
        <w:t xml:space="preserve"> </w:t>
      </w:r>
    </w:p>
    <w:p w:rsidR="003C1380" w:rsidRPr="0075210A" w:rsidRDefault="003C1380" w:rsidP="003C1380">
      <w:pPr>
        <w:pStyle w:val="AERbulletlistfirststyle"/>
      </w:pPr>
      <w:r w:rsidRPr="0075210A">
        <w:t>the same as the approved standard tax asset lives for the 201</w:t>
      </w:r>
      <w:r w:rsidR="000028F4">
        <w:t>1</w:t>
      </w:r>
      <w:r w:rsidRPr="0075210A">
        <w:t>–1</w:t>
      </w:r>
      <w:r w:rsidR="000028F4">
        <w:t>5</w:t>
      </w:r>
      <w:r w:rsidRPr="0075210A">
        <w:t xml:space="preserve"> regulatory control period. </w:t>
      </w:r>
    </w:p>
    <w:p w:rsidR="00685F88" w:rsidRDefault="00685F88" w:rsidP="003C1380">
      <w:pPr>
        <w:numPr>
          <w:ilvl w:val="0"/>
          <w:numId w:val="24"/>
        </w:numPr>
      </w:pPr>
      <w:r>
        <w:t>In the preliminary decision, we considered that the opening TAB value for land as at 1</w:t>
      </w:r>
      <w:r w:rsidR="000561F1">
        <w:t> </w:t>
      </w:r>
      <w:r>
        <w:t>January 2016 should be allocated to its own asset class</w:t>
      </w:r>
      <w:r w:rsidRPr="00685F88">
        <w:t xml:space="preserve"> </w:t>
      </w:r>
      <w:r>
        <w:t>as land assets do not depreciate. We therefore created a new non-depreciating 'Land' asset class. AusNet Services' revised proposal adopted our preliminary decision to create a new 'Land' asset class with no standard life assigned to it.</w:t>
      </w:r>
    </w:p>
    <w:p w:rsidR="003C1380" w:rsidRPr="0075210A" w:rsidRDefault="003C1380" w:rsidP="003C1380">
      <w:pPr>
        <w:numPr>
          <w:ilvl w:val="0"/>
          <w:numId w:val="24"/>
        </w:numPr>
      </w:pPr>
      <w:r w:rsidRPr="0075210A">
        <w:t xml:space="preserve">We are satisfied the standard tax asset lives in </w:t>
      </w:r>
      <w:r>
        <w:t>AusNet Services</w:t>
      </w:r>
      <w:r w:rsidRPr="0075210A">
        <w:t>' revised proposal are likely to provide an appropriate estimate of the tax depreciation amount for a benchmark efficient service provider as required by the NER.</w:t>
      </w:r>
      <w:r w:rsidRPr="0075210A">
        <w:rPr>
          <w:rStyle w:val="FootnoteReference"/>
        </w:rPr>
        <w:footnoteReference w:id="7"/>
      </w:r>
      <w:r w:rsidRPr="0075210A">
        <w:t xml:space="preserve"> </w:t>
      </w:r>
    </w:p>
    <w:p w:rsidR="003C1380" w:rsidRPr="0075210A" w:rsidRDefault="003C1380" w:rsidP="003C1380">
      <w:pPr>
        <w:numPr>
          <w:ilvl w:val="0"/>
          <w:numId w:val="24"/>
        </w:numPr>
      </w:pPr>
      <w:r w:rsidRPr="0075210A">
        <w:fldChar w:fldCharType="begin"/>
      </w:r>
      <w:r w:rsidRPr="0075210A">
        <w:instrText xml:space="preserve"> REF _Ref410983841 \h </w:instrText>
      </w:r>
      <w:r w:rsidRPr="0075210A">
        <w:fldChar w:fldCharType="separate"/>
      </w:r>
      <w:r w:rsidR="00D02ECC" w:rsidRPr="0075210A">
        <w:t xml:space="preserve">Table </w:t>
      </w:r>
      <w:r w:rsidR="00D02ECC">
        <w:rPr>
          <w:noProof/>
        </w:rPr>
        <w:t>8</w:t>
      </w:r>
      <w:r w:rsidR="00D02ECC" w:rsidRPr="0075210A">
        <w:t>.</w:t>
      </w:r>
      <w:r w:rsidR="00D02ECC">
        <w:rPr>
          <w:noProof/>
        </w:rPr>
        <w:t>4</w:t>
      </w:r>
      <w:r w:rsidRPr="0075210A">
        <w:fldChar w:fldCharType="end"/>
      </w:r>
      <w:r w:rsidRPr="0075210A">
        <w:t xml:space="preserve"> sets out our final decision on the standard tax asset lives for </w:t>
      </w:r>
      <w:r>
        <w:t>AusNet Services</w:t>
      </w:r>
      <w:r w:rsidRPr="0075210A">
        <w:t>.</w:t>
      </w:r>
    </w:p>
    <w:p w:rsidR="003C1380" w:rsidRPr="0075210A" w:rsidRDefault="003C1380" w:rsidP="004E473C">
      <w:pPr>
        <w:pStyle w:val="Caption"/>
      </w:pPr>
      <w:bookmarkStart w:id="96" w:name="_Ref410983841"/>
      <w:r w:rsidRPr="0075210A">
        <w:lastRenderedPageBreak/>
        <w:t xml:space="preserve">Table </w:t>
      </w:r>
      <w:fldSimple w:instr=" STYLEREF 1 \s ">
        <w:r w:rsidR="00D02ECC">
          <w:rPr>
            <w:noProof/>
          </w:rPr>
          <w:t>8</w:t>
        </w:r>
      </w:fldSimple>
      <w:r w:rsidRPr="0075210A">
        <w:t>.</w:t>
      </w:r>
      <w:fldSimple w:instr=" SEQ Table \* ARABIC \s 1 ">
        <w:r w:rsidR="00D02ECC">
          <w:rPr>
            <w:noProof/>
          </w:rPr>
          <w:t>4</w:t>
        </w:r>
      </w:fldSimple>
      <w:bookmarkEnd w:id="96"/>
      <w:r w:rsidRPr="0075210A">
        <w:tab/>
        <w:t xml:space="preserve">AER's final decision on </w:t>
      </w:r>
      <w:r>
        <w:t>AusNet Services</w:t>
      </w:r>
      <w:r w:rsidRPr="0075210A">
        <w:t>' standard tax asset lives (years)</w:t>
      </w:r>
    </w:p>
    <w:tbl>
      <w:tblPr>
        <w:tblStyle w:val="AERtable-numbers"/>
        <w:tblW w:w="8693" w:type="dxa"/>
        <w:tblLayout w:type="fixed"/>
        <w:tblLook w:val="04A0" w:firstRow="1" w:lastRow="0" w:firstColumn="1" w:lastColumn="0" w:noHBand="0" w:noVBand="1"/>
      </w:tblPr>
      <w:tblGrid>
        <w:gridCol w:w="3794"/>
        <w:gridCol w:w="2410"/>
        <w:gridCol w:w="2489"/>
      </w:tblGrid>
      <w:tr w:rsidR="00E83038" w:rsidRPr="007211B2" w:rsidTr="00E830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rsidR="00E83038" w:rsidRPr="003C1380" w:rsidRDefault="00E83038" w:rsidP="00152F71">
            <w:pPr>
              <w:keepNext/>
            </w:pPr>
            <w:r w:rsidRPr="0075210A">
              <w:t>Asset class</w:t>
            </w:r>
          </w:p>
        </w:tc>
        <w:tc>
          <w:tcPr>
            <w:tcW w:w="2410" w:type="dxa"/>
            <w:noWrap/>
            <w:hideMark/>
          </w:tcPr>
          <w:p w:rsidR="00E83038" w:rsidRPr="003C1380" w:rsidRDefault="00E83038" w:rsidP="00152F71">
            <w:pPr>
              <w:keepNext/>
              <w:cnfStyle w:val="100000000000" w:firstRow="1" w:lastRow="0" w:firstColumn="0" w:lastColumn="0" w:oddVBand="0" w:evenVBand="0" w:oddHBand="0" w:evenHBand="0" w:firstRowFirstColumn="0" w:firstRowLastColumn="0" w:lastRowFirstColumn="0" w:lastRowLastColumn="0"/>
            </w:pPr>
            <w:r w:rsidRPr="0075210A">
              <w:t xml:space="preserve">Standard tax asset life </w:t>
            </w:r>
          </w:p>
        </w:tc>
        <w:tc>
          <w:tcPr>
            <w:tcW w:w="2489" w:type="dxa"/>
          </w:tcPr>
          <w:p w:rsidR="00E83038" w:rsidRPr="0075210A" w:rsidRDefault="00E83038" w:rsidP="00152F71">
            <w:pPr>
              <w:keepNext/>
              <w:cnfStyle w:val="100000000000" w:firstRow="1" w:lastRow="0" w:firstColumn="0" w:lastColumn="0" w:oddVBand="0" w:evenVBand="0" w:oddHBand="0" w:evenHBand="0" w:firstRowFirstColumn="0" w:firstRowLastColumn="0" w:lastRowFirstColumn="0" w:lastRowLastColumn="0"/>
            </w:pPr>
            <w:r w:rsidRPr="007211B2">
              <w:t xml:space="preserve">Remaining </w:t>
            </w:r>
            <w:r w:rsidRPr="00E83038">
              <w:t>tax asset life</w:t>
            </w:r>
            <w:r w:rsidRPr="00E83038">
              <w:br/>
              <w:t>as at 1 January 2016</w:t>
            </w:r>
          </w:p>
        </w:tc>
      </w:tr>
      <w:tr w:rsidR="00E83038" w:rsidRPr="007211B2" w:rsidTr="00E83038">
        <w:trPr>
          <w:trHeight w:val="300"/>
        </w:trPr>
        <w:tc>
          <w:tcPr>
            <w:cnfStyle w:val="001000000000" w:firstRow="0" w:lastRow="0" w:firstColumn="1" w:lastColumn="0" w:oddVBand="0" w:evenVBand="0" w:oddHBand="0" w:evenHBand="0" w:firstRowFirstColumn="0" w:firstRowLastColumn="0" w:lastRowFirstColumn="0" w:lastRowLastColumn="0"/>
            <w:tcW w:w="3794" w:type="dxa"/>
            <w:noWrap/>
            <w:vAlign w:val="bottom"/>
          </w:tcPr>
          <w:p w:rsidR="00E83038" w:rsidRPr="003C1380" w:rsidRDefault="00E83038" w:rsidP="00152F71">
            <w:pPr>
              <w:keepNext/>
            </w:pPr>
            <w:r w:rsidRPr="0075210A">
              <w:t xml:space="preserve">Subtransmission </w:t>
            </w:r>
          </w:p>
        </w:tc>
        <w:tc>
          <w:tcPr>
            <w:tcW w:w="2410" w:type="dxa"/>
            <w:noWrap/>
            <w:vAlign w:val="bottom"/>
          </w:tcPr>
          <w:p w:rsidR="00E83038" w:rsidRPr="003C1380" w:rsidRDefault="00E83038" w:rsidP="00152F71">
            <w:pPr>
              <w:keepNext/>
              <w:cnfStyle w:val="000000000000" w:firstRow="0" w:lastRow="0" w:firstColumn="0" w:lastColumn="0" w:oddVBand="0" w:evenVBand="0" w:oddHBand="0" w:evenHBand="0" w:firstRowFirstColumn="0" w:firstRowLastColumn="0" w:lastRowFirstColumn="0" w:lastRowLastColumn="0"/>
            </w:pPr>
            <w:r>
              <w:t>43.0</w:t>
            </w:r>
          </w:p>
        </w:tc>
        <w:tc>
          <w:tcPr>
            <w:tcW w:w="2489" w:type="dxa"/>
          </w:tcPr>
          <w:p w:rsidR="00E83038" w:rsidRDefault="00E83038" w:rsidP="00152F71">
            <w:pPr>
              <w:keepNext/>
              <w:cnfStyle w:val="000000000000" w:firstRow="0" w:lastRow="0" w:firstColumn="0" w:lastColumn="0" w:oddVBand="0" w:evenVBand="0" w:oddHBand="0" w:evenHBand="0" w:firstRowFirstColumn="0" w:firstRowLastColumn="0" w:lastRowFirstColumn="0" w:lastRowLastColumn="0"/>
            </w:pPr>
            <w:r>
              <w:t>34.0</w:t>
            </w:r>
          </w:p>
        </w:tc>
      </w:tr>
      <w:tr w:rsidR="00E83038" w:rsidRPr="007211B2" w:rsidTr="00E8303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vAlign w:val="bottom"/>
          </w:tcPr>
          <w:p w:rsidR="00E83038" w:rsidRPr="003C1380" w:rsidRDefault="00E83038" w:rsidP="00152F71">
            <w:pPr>
              <w:keepNext/>
            </w:pPr>
            <w:r w:rsidRPr="0075210A">
              <w:t xml:space="preserve">Distribution </w:t>
            </w:r>
            <w:r>
              <w:t>system assets</w:t>
            </w:r>
          </w:p>
        </w:tc>
        <w:tc>
          <w:tcPr>
            <w:tcW w:w="2410" w:type="dxa"/>
            <w:noWrap/>
            <w:vAlign w:val="bottom"/>
          </w:tcPr>
          <w:p w:rsidR="00E83038" w:rsidRPr="003C1380" w:rsidRDefault="00E83038" w:rsidP="00152F71">
            <w:pPr>
              <w:keepNext/>
              <w:cnfStyle w:val="000000010000" w:firstRow="0" w:lastRow="0" w:firstColumn="0" w:lastColumn="0" w:oddVBand="0" w:evenVBand="0" w:oddHBand="0" w:evenHBand="1" w:firstRowFirstColumn="0" w:firstRowLastColumn="0" w:lastRowFirstColumn="0" w:lastRowLastColumn="0"/>
            </w:pPr>
            <w:r>
              <w:t>46.0</w:t>
            </w:r>
          </w:p>
        </w:tc>
        <w:tc>
          <w:tcPr>
            <w:tcW w:w="2489" w:type="dxa"/>
          </w:tcPr>
          <w:p w:rsidR="00E83038" w:rsidRDefault="00E83038" w:rsidP="00152F71">
            <w:pPr>
              <w:keepNext/>
              <w:cnfStyle w:val="000000010000" w:firstRow="0" w:lastRow="0" w:firstColumn="0" w:lastColumn="0" w:oddVBand="0" w:evenVBand="0" w:oddHBand="0" w:evenHBand="1" w:firstRowFirstColumn="0" w:firstRowLastColumn="0" w:lastRowFirstColumn="0" w:lastRowLastColumn="0"/>
            </w:pPr>
            <w:r>
              <w:t>31.7</w:t>
            </w:r>
          </w:p>
        </w:tc>
      </w:tr>
      <w:tr w:rsidR="00E83038" w:rsidRPr="007211B2" w:rsidTr="00E83038">
        <w:trPr>
          <w:trHeight w:val="300"/>
        </w:trPr>
        <w:tc>
          <w:tcPr>
            <w:cnfStyle w:val="001000000000" w:firstRow="0" w:lastRow="0" w:firstColumn="1" w:lastColumn="0" w:oddVBand="0" w:evenVBand="0" w:oddHBand="0" w:evenHBand="0" w:firstRowFirstColumn="0" w:firstRowLastColumn="0" w:lastRowFirstColumn="0" w:lastRowLastColumn="0"/>
            <w:tcW w:w="3794" w:type="dxa"/>
            <w:noWrap/>
            <w:vAlign w:val="bottom"/>
          </w:tcPr>
          <w:p w:rsidR="00E83038" w:rsidRPr="003C1380" w:rsidRDefault="00E83038" w:rsidP="00152F71">
            <w:pPr>
              <w:keepNext/>
            </w:pPr>
            <w:r w:rsidRPr="0075210A">
              <w:t>S</w:t>
            </w:r>
            <w:r>
              <w:t xml:space="preserve">tandard metering </w:t>
            </w:r>
          </w:p>
        </w:tc>
        <w:tc>
          <w:tcPr>
            <w:tcW w:w="2410" w:type="dxa"/>
            <w:noWrap/>
            <w:vAlign w:val="bottom"/>
          </w:tcPr>
          <w:p w:rsidR="00E83038" w:rsidRPr="003C1380" w:rsidRDefault="00E83038" w:rsidP="00152F71">
            <w:pPr>
              <w:keepNext/>
              <w:cnfStyle w:val="000000000000" w:firstRow="0" w:lastRow="0" w:firstColumn="0" w:lastColumn="0" w:oddVBand="0" w:evenVBand="0" w:oddHBand="0" w:evenHBand="0" w:firstRowFirstColumn="0" w:firstRowLastColumn="0" w:lastRowFirstColumn="0" w:lastRowLastColumn="0"/>
            </w:pPr>
            <w:r>
              <w:t>n/a</w:t>
            </w:r>
          </w:p>
        </w:tc>
        <w:tc>
          <w:tcPr>
            <w:tcW w:w="2489" w:type="dxa"/>
          </w:tcPr>
          <w:p w:rsidR="00E83038" w:rsidRDefault="00DE1CB4" w:rsidP="00152F71">
            <w:pPr>
              <w:keepNext/>
              <w:cnfStyle w:val="000000000000" w:firstRow="0" w:lastRow="0" w:firstColumn="0" w:lastColumn="0" w:oddVBand="0" w:evenVBand="0" w:oddHBand="0" w:evenHBand="0" w:firstRowFirstColumn="0" w:firstRowLastColumn="0" w:lastRowFirstColumn="0" w:lastRowLastColumn="0"/>
            </w:pPr>
            <w:r>
              <w:t>1.0</w:t>
            </w:r>
            <w:r w:rsidRPr="00152F71">
              <w:rPr>
                <w:rStyle w:val="AERsuperscript"/>
              </w:rPr>
              <w:t>a</w:t>
            </w:r>
          </w:p>
        </w:tc>
      </w:tr>
      <w:tr w:rsidR="00E83038" w:rsidRPr="007211B2" w:rsidTr="00E8303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vAlign w:val="bottom"/>
          </w:tcPr>
          <w:p w:rsidR="00E83038" w:rsidRPr="003C1380" w:rsidRDefault="00E83038" w:rsidP="00152F71">
            <w:pPr>
              <w:keepNext/>
            </w:pPr>
            <w:r>
              <w:t>Public lighting</w:t>
            </w:r>
          </w:p>
        </w:tc>
        <w:tc>
          <w:tcPr>
            <w:tcW w:w="2410" w:type="dxa"/>
            <w:noWrap/>
            <w:vAlign w:val="bottom"/>
          </w:tcPr>
          <w:p w:rsidR="00E83038" w:rsidRPr="003C1380" w:rsidRDefault="00E83038" w:rsidP="00152F71">
            <w:pPr>
              <w:keepNext/>
              <w:cnfStyle w:val="000000010000" w:firstRow="0" w:lastRow="0" w:firstColumn="0" w:lastColumn="0" w:oddVBand="0" w:evenVBand="0" w:oddHBand="0" w:evenHBand="1" w:firstRowFirstColumn="0" w:firstRowLastColumn="0" w:lastRowFirstColumn="0" w:lastRowLastColumn="0"/>
            </w:pPr>
            <w:r>
              <w:t>n/a</w:t>
            </w:r>
          </w:p>
        </w:tc>
        <w:tc>
          <w:tcPr>
            <w:tcW w:w="2489" w:type="dxa"/>
          </w:tcPr>
          <w:p w:rsidR="00E83038" w:rsidRDefault="00E83038" w:rsidP="00152F71">
            <w:pPr>
              <w:keepNext/>
              <w:cnfStyle w:val="000000010000" w:firstRow="0" w:lastRow="0" w:firstColumn="0" w:lastColumn="0" w:oddVBand="0" w:evenVBand="0" w:oddHBand="0" w:evenHBand="1" w:firstRowFirstColumn="0" w:firstRowLastColumn="0" w:lastRowFirstColumn="0" w:lastRowLastColumn="0"/>
            </w:pPr>
            <w:r>
              <w:t>n/a</w:t>
            </w:r>
          </w:p>
        </w:tc>
      </w:tr>
      <w:tr w:rsidR="00E83038" w:rsidRPr="007211B2" w:rsidTr="00E83038">
        <w:trPr>
          <w:trHeight w:val="300"/>
        </w:trPr>
        <w:tc>
          <w:tcPr>
            <w:cnfStyle w:val="001000000000" w:firstRow="0" w:lastRow="0" w:firstColumn="1" w:lastColumn="0" w:oddVBand="0" w:evenVBand="0" w:oddHBand="0" w:evenHBand="0" w:firstRowFirstColumn="0" w:firstRowLastColumn="0" w:lastRowFirstColumn="0" w:lastRowLastColumn="0"/>
            <w:tcW w:w="3794" w:type="dxa"/>
            <w:noWrap/>
            <w:vAlign w:val="bottom"/>
          </w:tcPr>
          <w:p w:rsidR="00E83038" w:rsidRPr="003C1380" w:rsidRDefault="00E83038" w:rsidP="00152F71">
            <w:pPr>
              <w:keepNext/>
            </w:pPr>
            <w:r>
              <w:t>SCADA/Network control</w:t>
            </w:r>
          </w:p>
        </w:tc>
        <w:tc>
          <w:tcPr>
            <w:tcW w:w="2410" w:type="dxa"/>
            <w:noWrap/>
            <w:vAlign w:val="bottom"/>
          </w:tcPr>
          <w:p w:rsidR="00E83038" w:rsidRPr="003C1380" w:rsidRDefault="00E83038" w:rsidP="00152F71">
            <w:pPr>
              <w:keepNext/>
              <w:cnfStyle w:val="000000000000" w:firstRow="0" w:lastRow="0" w:firstColumn="0" w:lastColumn="0" w:oddVBand="0" w:evenVBand="0" w:oddHBand="0" w:evenHBand="0" w:firstRowFirstColumn="0" w:firstRowLastColumn="0" w:lastRowFirstColumn="0" w:lastRowLastColumn="0"/>
            </w:pPr>
            <w:r>
              <w:t>10.0</w:t>
            </w:r>
          </w:p>
        </w:tc>
        <w:tc>
          <w:tcPr>
            <w:tcW w:w="2489" w:type="dxa"/>
          </w:tcPr>
          <w:p w:rsidR="00E83038" w:rsidRDefault="00E83038" w:rsidP="00152F71">
            <w:pPr>
              <w:keepNext/>
              <w:cnfStyle w:val="000000000000" w:firstRow="0" w:lastRow="0" w:firstColumn="0" w:lastColumn="0" w:oddVBand="0" w:evenVBand="0" w:oddHBand="0" w:evenHBand="0" w:firstRowFirstColumn="0" w:firstRowLastColumn="0" w:lastRowFirstColumn="0" w:lastRowLastColumn="0"/>
            </w:pPr>
            <w:r>
              <w:t>6.9</w:t>
            </w:r>
          </w:p>
        </w:tc>
      </w:tr>
      <w:tr w:rsidR="00E83038" w:rsidRPr="007211B2" w:rsidTr="00E8303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vAlign w:val="bottom"/>
          </w:tcPr>
          <w:p w:rsidR="00E83038" w:rsidRPr="003C1380" w:rsidRDefault="00E83038" w:rsidP="00152F71">
            <w:pPr>
              <w:keepNext/>
            </w:pPr>
            <w:r>
              <w:t>Non-network general assets - IT</w:t>
            </w:r>
          </w:p>
        </w:tc>
        <w:tc>
          <w:tcPr>
            <w:tcW w:w="2410" w:type="dxa"/>
            <w:noWrap/>
            <w:vAlign w:val="bottom"/>
          </w:tcPr>
          <w:p w:rsidR="00E83038" w:rsidRPr="003C1380" w:rsidRDefault="00E83038" w:rsidP="00152F71">
            <w:pPr>
              <w:keepNext/>
              <w:cnfStyle w:val="000000010000" w:firstRow="0" w:lastRow="0" w:firstColumn="0" w:lastColumn="0" w:oddVBand="0" w:evenVBand="0" w:oddHBand="0" w:evenHBand="1" w:firstRowFirstColumn="0" w:firstRowLastColumn="0" w:lastRowFirstColumn="0" w:lastRowLastColumn="0"/>
            </w:pPr>
            <w:r>
              <w:t>4.0</w:t>
            </w:r>
          </w:p>
        </w:tc>
        <w:tc>
          <w:tcPr>
            <w:tcW w:w="2489" w:type="dxa"/>
          </w:tcPr>
          <w:p w:rsidR="00E83038" w:rsidRDefault="00E83038" w:rsidP="00152F71">
            <w:pPr>
              <w:keepNext/>
              <w:cnfStyle w:val="000000010000" w:firstRow="0" w:lastRow="0" w:firstColumn="0" w:lastColumn="0" w:oddVBand="0" w:evenVBand="0" w:oddHBand="0" w:evenHBand="1" w:firstRowFirstColumn="0" w:firstRowLastColumn="0" w:lastRowFirstColumn="0" w:lastRowLastColumn="0"/>
            </w:pPr>
            <w:r>
              <w:t>2.6</w:t>
            </w:r>
          </w:p>
        </w:tc>
      </w:tr>
      <w:tr w:rsidR="00E83038" w:rsidRPr="007211B2" w:rsidTr="00E83038">
        <w:trPr>
          <w:trHeight w:val="300"/>
        </w:trPr>
        <w:tc>
          <w:tcPr>
            <w:cnfStyle w:val="001000000000" w:firstRow="0" w:lastRow="0" w:firstColumn="1" w:lastColumn="0" w:oddVBand="0" w:evenVBand="0" w:oddHBand="0" w:evenHBand="0" w:firstRowFirstColumn="0" w:firstRowLastColumn="0" w:lastRowFirstColumn="0" w:lastRowLastColumn="0"/>
            <w:tcW w:w="3794" w:type="dxa"/>
            <w:noWrap/>
            <w:vAlign w:val="bottom"/>
          </w:tcPr>
          <w:p w:rsidR="00E83038" w:rsidRPr="003C1380" w:rsidRDefault="00E83038" w:rsidP="00152F71">
            <w:pPr>
              <w:keepNext/>
            </w:pPr>
            <w:r>
              <w:t>Non-network general - Other</w:t>
            </w:r>
          </w:p>
        </w:tc>
        <w:tc>
          <w:tcPr>
            <w:tcW w:w="2410" w:type="dxa"/>
            <w:noWrap/>
            <w:vAlign w:val="bottom"/>
          </w:tcPr>
          <w:p w:rsidR="00E83038" w:rsidRPr="003C1380" w:rsidRDefault="00E83038" w:rsidP="00152F71">
            <w:pPr>
              <w:keepNext/>
              <w:cnfStyle w:val="000000000000" w:firstRow="0" w:lastRow="0" w:firstColumn="0" w:lastColumn="0" w:oddVBand="0" w:evenVBand="0" w:oddHBand="0" w:evenHBand="0" w:firstRowFirstColumn="0" w:firstRowLastColumn="0" w:lastRowFirstColumn="0" w:lastRowLastColumn="0"/>
            </w:pPr>
            <w:r>
              <w:t>12.0</w:t>
            </w:r>
          </w:p>
        </w:tc>
        <w:tc>
          <w:tcPr>
            <w:tcW w:w="2489" w:type="dxa"/>
          </w:tcPr>
          <w:p w:rsidR="00E83038" w:rsidRDefault="00E83038" w:rsidP="00152F71">
            <w:pPr>
              <w:keepNext/>
              <w:cnfStyle w:val="000000000000" w:firstRow="0" w:lastRow="0" w:firstColumn="0" w:lastColumn="0" w:oddVBand="0" w:evenVBand="0" w:oddHBand="0" w:evenHBand="0" w:firstRowFirstColumn="0" w:firstRowLastColumn="0" w:lastRowFirstColumn="0" w:lastRowLastColumn="0"/>
            </w:pPr>
            <w:r>
              <w:t>8.</w:t>
            </w:r>
            <w:r w:rsidR="000561F1">
              <w:t>3</w:t>
            </w:r>
          </w:p>
        </w:tc>
      </w:tr>
      <w:tr w:rsidR="00E83038" w:rsidRPr="007211B2" w:rsidTr="00E8303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vAlign w:val="bottom"/>
          </w:tcPr>
          <w:p w:rsidR="00E83038" w:rsidRPr="003C1380" w:rsidRDefault="00E83038" w:rsidP="00152F71">
            <w:pPr>
              <w:keepNext/>
            </w:pPr>
            <w:r w:rsidRPr="0075210A">
              <w:t>Land</w:t>
            </w:r>
          </w:p>
        </w:tc>
        <w:tc>
          <w:tcPr>
            <w:tcW w:w="2410" w:type="dxa"/>
            <w:noWrap/>
            <w:vAlign w:val="bottom"/>
          </w:tcPr>
          <w:p w:rsidR="00E83038" w:rsidRPr="003C1380" w:rsidRDefault="00E83038" w:rsidP="00152F71">
            <w:pPr>
              <w:keepNext/>
              <w:cnfStyle w:val="000000010000" w:firstRow="0" w:lastRow="0" w:firstColumn="0" w:lastColumn="0" w:oddVBand="0" w:evenVBand="0" w:oddHBand="0" w:evenHBand="1" w:firstRowFirstColumn="0" w:firstRowLastColumn="0" w:lastRowFirstColumn="0" w:lastRowLastColumn="0"/>
            </w:pPr>
            <w:r w:rsidRPr="0075210A">
              <w:t>n/a</w:t>
            </w:r>
          </w:p>
        </w:tc>
        <w:tc>
          <w:tcPr>
            <w:tcW w:w="2489" w:type="dxa"/>
          </w:tcPr>
          <w:p w:rsidR="00E83038" w:rsidRPr="0075210A" w:rsidRDefault="00E83038" w:rsidP="00152F71">
            <w:pPr>
              <w:keepNext/>
              <w:cnfStyle w:val="000000010000" w:firstRow="0" w:lastRow="0" w:firstColumn="0" w:lastColumn="0" w:oddVBand="0" w:evenVBand="0" w:oddHBand="0" w:evenHBand="1" w:firstRowFirstColumn="0" w:firstRowLastColumn="0" w:lastRowFirstColumn="0" w:lastRowLastColumn="0"/>
            </w:pPr>
            <w:r>
              <w:t>n/a</w:t>
            </w:r>
          </w:p>
        </w:tc>
      </w:tr>
      <w:tr w:rsidR="00E83038" w:rsidRPr="007211B2" w:rsidTr="00E83038">
        <w:trPr>
          <w:trHeight w:val="300"/>
        </w:trPr>
        <w:tc>
          <w:tcPr>
            <w:cnfStyle w:val="001000000000" w:firstRow="0" w:lastRow="0" w:firstColumn="1" w:lastColumn="0" w:oddVBand="0" w:evenVBand="0" w:oddHBand="0" w:evenHBand="0" w:firstRowFirstColumn="0" w:firstRowLastColumn="0" w:lastRowFirstColumn="0" w:lastRowLastColumn="0"/>
            <w:tcW w:w="3794" w:type="dxa"/>
            <w:noWrap/>
            <w:vAlign w:val="bottom"/>
          </w:tcPr>
          <w:p w:rsidR="00E83038" w:rsidRPr="003C1380" w:rsidRDefault="00E83038" w:rsidP="00152F71">
            <w:pPr>
              <w:keepNext/>
            </w:pPr>
            <w:r w:rsidRPr="000028F4">
              <w:t>Accelerated depreciation opening RAB adjustment  - Subtransmission</w:t>
            </w:r>
          </w:p>
        </w:tc>
        <w:tc>
          <w:tcPr>
            <w:tcW w:w="2410" w:type="dxa"/>
            <w:noWrap/>
            <w:vAlign w:val="bottom"/>
          </w:tcPr>
          <w:p w:rsidR="00E83038" w:rsidRPr="003C1380" w:rsidRDefault="00E83038" w:rsidP="00152F71">
            <w:pPr>
              <w:keepNext/>
              <w:cnfStyle w:val="000000000000" w:firstRow="0" w:lastRow="0" w:firstColumn="0" w:lastColumn="0" w:oddVBand="0" w:evenVBand="0" w:oddHBand="0" w:evenHBand="0" w:firstRowFirstColumn="0" w:firstRowLastColumn="0" w:lastRowFirstColumn="0" w:lastRowLastColumn="0"/>
            </w:pPr>
            <w:r w:rsidRPr="0075210A">
              <w:t>n/a</w:t>
            </w:r>
          </w:p>
        </w:tc>
        <w:tc>
          <w:tcPr>
            <w:tcW w:w="2489" w:type="dxa"/>
          </w:tcPr>
          <w:p w:rsidR="00E83038" w:rsidRPr="0075210A" w:rsidRDefault="00E83038" w:rsidP="00152F71">
            <w:pPr>
              <w:keepNext/>
              <w:cnfStyle w:val="000000000000" w:firstRow="0" w:lastRow="0" w:firstColumn="0" w:lastColumn="0" w:oddVBand="0" w:evenVBand="0" w:oddHBand="0" w:evenHBand="0" w:firstRowFirstColumn="0" w:firstRowLastColumn="0" w:lastRowFirstColumn="0" w:lastRowLastColumn="0"/>
            </w:pPr>
            <w:r>
              <w:t>n/a</w:t>
            </w:r>
          </w:p>
        </w:tc>
      </w:tr>
      <w:tr w:rsidR="00E83038" w:rsidRPr="007211B2" w:rsidTr="00E8303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vAlign w:val="bottom"/>
          </w:tcPr>
          <w:p w:rsidR="00E83038" w:rsidRPr="003C1380" w:rsidRDefault="00E83038" w:rsidP="00152F71">
            <w:pPr>
              <w:keepNext/>
            </w:pPr>
            <w:r w:rsidRPr="000028F4">
              <w:t>Accelerated depreciation opening RAB adjustment  - Distribution</w:t>
            </w:r>
          </w:p>
        </w:tc>
        <w:tc>
          <w:tcPr>
            <w:tcW w:w="2410" w:type="dxa"/>
            <w:noWrap/>
            <w:vAlign w:val="bottom"/>
          </w:tcPr>
          <w:p w:rsidR="00E83038" w:rsidRPr="003C1380" w:rsidRDefault="00E83038" w:rsidP="00152F71">
            <w:pPr>
              <w:keepNext/>
              <w:cnfStyle w:val="000000010000" w:firstRow="0" w:lastRow="0" w:firstColumn="0" w:lastColumn="0" w:oddVBand="0" w:evenVBand="0" w:oddHBand="0" w:evenHBand="1" w:firstRowFirstColumn="0" w:firstRowLastColumn="0" w:lastRowFirstColumn="0" w:lastRowLastColumn="0"/>
            </w:pPr>
            <w:r w:rsidRPr="0075210A">
              <w:t>n/a</w:t>
            </w:r>
          </w:p>
        </w:tc>
        <w:tc>
          <w:tcPr>
            <w:tcW w:w="2489" w:type="dxa"/>
          </w:tcPr>
          <w:p w:rsidR="00E83038" w:rsidRPr="0075210A" w:rsidRDefault="00E83038" w:rsidP="00152F71">
            <w:pPr>
              <w:keepNext/>
              <w:cnfStyle w:val="000000010000" w:firstRow="0" w:lastRow="0" w:firstColumn="0" w:lastColumn="0" w:oddVBand="0" w:evenVBand="0" w:oddHBand="0" w:evenHBand="1" w:firstRowFirstColumn="0" w:firstRowLastColumn="0" w:lastRowFirstColumn="0" w:lastRowLastColumn="0"/>
            </w:pPr>
            <w:r>
              <w:t>n/a</w:t>
            </w:r>
          </w:p>
        </w:tc>
      </w:tr>
      <w:tr w:rsidR="00E83038" w:rsidRPr="007211B2" w:rsidTr="00E83038">
        <w:trPr>
          <w:trHeight w:val="300"/>
        </w:trPr>
        <w:tc>
          <w:tcPr>
            <w:cnfStyle w:val="001000000000" w:firstRow="0" w:lastRow="0" w:firstColumn="1" w:lastColumn="0" w:oddVBand="0" w:evenVBand="0" w:oddHBand="0" w:evenHBand="0" w:firstRowFirstColumn="0" w:firstRowLastColumn="0" w:lastRowFirstColumn="0" w:lastRowLastColumn="0"/>
            <w:tcW w:w="3794" w:type="dxa"/>
            <w:noWrap/>
            <w:vAlign w:val="bottom"/>
          </w:tcPr>
          <w:p w:rsidR="00E83038" w:rsidRPr="003C1380" w:rsidRDefault="00E83038" w:rsidP="00152F71">
            <w:pPr>
              <w:keepNext/>
            </w:pPr>
            <w:r w:rsidRPr="000028F4">
              <w:t>Accelerated depreciation  - Subtransmission (2016–20)</w:t>
            </w:r>
          </w:p>
        </w:tc>
        <w:tc>
          <w:tcPr>
            <w:tcW w:w="2410" w:type="dxa"/>
            <w:noWrap/>
            <w:vAlign w:val="bottom"/>
          </w:tcPr>
          <w:p w:rsidR="00E83038" w:rsidRPr="003C1380" w:rsidRDefault="00E83038" w:rsidP="00152F71">
            <w:pPr>
              <w:keepNext/>
              <w:cnfStyle w:val="000000000000" w:firstRow="0" w:lastRow="0" w:firstColumn="0" w:lastColumn="0" w:oddVBand="0" w:evenVBand="0" w:oddHBand="0" w:evenHBand="0" w:firstRowFirstColumn="0" w:firstRowLastColumn="0" w:lastRowFirstColumn="0" w:lastRowLastColumn="0"/>
            </w:pPr>
            <w:r>
              <w:t>n/a</w:t>
            </w:r>
          </w:p>
        </w:tc>
        <w:tc>
          <w:tcPr>
            <w:tcW w:w="2489" w:type="dxa"/>
          </w:tcPr>
          <w:p w:rsidR="00E83038" w:rsidRDefault="00E83038" w:rsidP="00152F71">
            <w:pPr>
              <w:keepNext/>
              <w:cnfStyle w:val="000000000000" w:firstRow="0" w:lastRow="0" w:firstColumn="0" w:lastColumn="0" w:oddVBand="0" w:evenVBand="0" w:oddHBand="0" w:evenHBand="0" w:firstRowFirstColumn="0" w:firstRowLastColumn="0" w:lastRowFirstColumn="0" w:lastRowLastColumn="0"/>
            </w:pPr>
            <w:r>
              <w:t>n/a</w:t>
            </w:r>
          </w:p>
        </w:tc>
      </w:tr>
      <w:tr w:rsidR="00E83038" w:rsidRPr="007211B2" w:rsidTr="00E8303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4" w:type="dxa"/>
            <w:noWrap/>
            <w:vAlign w:val="bottom"/>
          </w:tcPr>
          <w:p w:rsidR="00E83038" w:rsidRPr="003C1380" w:rsidRDefault="00E83038" w:rsidP="00152F71">
            <w:pPr>
              <w:keepNext/>
            </w:pPr>
            <w:r w:rsidRPr="000028F4">
              <w:t>Accelerated depreciation  - Distribution (2016–20)</w:t>
            </w:r>
          </w:p>
        </w:tc>
        <w:tc>
          <w:tcPr>
            <w:tcW w:w="2410" w:type="dxa"/>
            <w:noWrap/>
            <w:vAlign w:val="bottom"/>
          </w:tcPr>
          <w:p w:rsidR="00E83038" w:rsidRPr="003C1380" w:rsidRDefault="00E83038" w:rsidP="00152F71">
            <w:pPr>
              <w:keepNext/>
              <w:cnfStyle w:val="000000010000" w:firstRow="0" w:lastRow="0" w:firstColumn="0" w:lastColumn="0" w:oddVBand="0" w:evenVBand="0" w:oddHBand="0" w:evenHBand="1" w:firstRowFirstColumn="0" w:firstRowLastColumn="0" w:lastRowFirstColumn="0" w:lastRowLastColumn="0"/>
            </w:pPr>
            <w:r>
              <w:t>n/a</w:t>
            </w:r>
          </w:p>
        </w:tc>
        <w:tc>
          <w:tcPr>
            <w:tcW w:w="2489" w:type="dxa"/>
          </w:tcPr>
          <w:p w:rsidR="00E83038" w:rsidRDefault="00E83038" w:rsidP="00152F71">
            <w:pPr>
              <w:keepNext/>
              <w:cnfStyle w:val="000000010000" w:firstRow="0" w:lastRow="0" w:firstColumn="0" w:lastColumn="0" w:oddVBand="0" w:evenVBand="0" w:oddHBand="0" w:evenHBand="1" w:firstRowFirstColumn="0" w:firstRowLastColumn="0" w:lastRowFirstColumn="0" w:lastRowLastColumn="0"/>
            </w:pPr>
            <w:r>
              <w:t>n/a</w:t>
            </w:r>
          </w:p>
        </w:tc>
      </w:tr>
      <w:tr w:rsidR="00E83038" w:rsidRPr="007211B2" w:rsidTr="00E83038">
        <w:trPr>
          <w:trHeight w:val="300"/>
        </w:trPr>
        <w:tc>
          <w:tcPr>
            <w:cnfStyle w:val="001000000000" w:firstRow="0" w:lastRow="0" w:firstColumn="1" w:lastColumn="0" w:oddVBand="0" w:evenVBand="0" w:oddHBand="0" w:evenHBand="0" w:firstRowFirstColumn="0" w:firstRowLastColumn="0" w:lastRowFirstColumn="0" w:lastRowLastColumn="0"/>
            <w:tcW w:w="3794" w:type="dxa"/>
            <w:noWrap/>
            <w:vAlign w:val="bottom"/>
          </w:tcPr>
          <w:p w:rsidR="00E83038" w:rsidRPr="003C1380" w:rsidRDefault="00E83038" w:rsidP="00152F71">
            <w:pPr>
              <w:keepNext/>
            </w:pPr>
            <w:r w:rsidRPr="0075210A">
              <w:t>Equity raising costs</w:t>
            </w:r>
          </w:p>
        </w:tc>
        <w:tc>
          <w:tcPr>
            <w:tcW w:w="2410" w:type="dxa"/>
            <w:noWrap/>
            <w:vAlign w:val="bottom"/>
          </w:tcPr>
          <w:p w:rsidR="00E83038" w:rsidRPr="003C1380" w:rsidRDefault="00E83038" w:rsidP="00152F71">
            <w:pPr>
              <w:keepNext/>
              <w:cnfStyle w:val="000000000000" w:firstRow="0" w:lastRow="0" w:firstColumn="0" w:lastColumn="0" w:oddVBand="0" w:evenVBand="0" w:oddHBand="0" w:evenHBand="0" w:firstRowFirstColumn="0" w:firstRowLastColumn="0" w:lastRowFirstColumn="0" w:lastRowLastColumn="0"/>
            </w:pPr>
            <w:r>
              <w:t>5.0</w:t>
            </w:r>
          </w:p>
        </w:tc>
        <w:tc>
          <w:tcPr>
            <w:tcW w:w="2489" w:type="dxa"/>
          </w:tcPr>
          <w:p w:rsidR="00E83038" w:rsidRDefault="00685F88" w:rsidP="00152F71">
            <w:pPr>
              <w:keepNext/>
              <w:cnfStyle w:val="000000000000" w:firstRow="0" w:lastRow="0" w:firstColumn="0" w:lastColumn="0" w:oddVBand="0" w:evenVBand="0" w:oddHBand="0" w:evenHBand="0" w:firstRowFirstColumn="0" w:firstRowLastColumn="0" w:lastRowFirstColumn="0" w:lastRowLastColumn="0"/>
            </w:pPr>
            <w:r>
              <w:t>n/a</w:t>
            </w:r>
          </w:p>
        </w:tc>
      </w:tr>
    </w:tbl>
    <w:p w:rsidR="003C1380" w:rsidRPr="0075210A" w:rsidRDefault="003C1380" w:rsidP="00152F71">
      <w:pPr>
        <w:pStyle w:val="AERtablesource"/>
        <w:keepNext/>
      </w:pPr>
      <w:r w:rsidRPr="0075210A">
        <w:t>Source:</w:t>
      </w:r>
      <w:r w:rsidRPr="0075210A">
        <w:tab/>
        <w:t>AER analysis.</w:t>
      </w:r>
    </w:p>
    <w:p w:rsidR="003C1380" w:rsidRDefault="003C1380" w:rsidP="00152F71">
      <w:pPr>
        <w:pStyle w:val="AERtablesource"/>
        <w:keepNext/>
      </w:pPr>
      <w:r w:rsidRPr="0075210A">
        <w:t>n/a</w:t>
      </w:r>
      <w:r w:rsidRPr="0075210A">
        <w:tab/>
        <w:t>not applicable.</w:t>
      </w:r>
    </w:p>
    <w:p w:rsidR="00DE1CB4" w:rsidRPr="00D6242E" w:rsidRDefault="00DE1CB4" w:rsidP="00DE1CB4">
      <w:pPr>
        <w:pStyle w:val="AERtablesource"/>
      </w:pPr>
      <w:r>
        <w:t>a:</w:t>
      </w:r>
      <w:r>
        <w:tab/>
      </w:r>
      <w:r w:rsidRPr="00D6242E">
        <w:t xml:space="preserve">The remaining </w:t>
      </w:r>
      <w:r>
        <w:t xml:space="preserve">tax </w:t>
      </w:r>
      <w:r w:rsidRPr="00D6242E">
        <w:t>asset life as at 1 January 2016 for the ‘</w:t>
      </w:r>
      <w:r>
        <w:t>Standard m</w:t>
      </w:r>
      <w:r w:rsidRPr="00D6242E">
        <w:t xml:space="preserve">etering’ asset class is set to 1 year in order to fully depreciate the small residual TAB value for </w:t>
      </w:r>
      <w:r>
        <w:t>this asset class within the 2016</w:t>
      </w:r>
      <w:r w:rsidRPr="00D6242E">
        <w:t>–20 regulatory control period.</w:t>
      </w:r>
    </w:p>
    <w:p w:rsidR="00CE67DE" w:rsidRPr="00CE67DE" w:rsidRDefault="00CE67DE" w:rsidP="00152F71">
      <w:pPr>
        <w:pStyle w:val="Heading3"/>
        <w:ind w:left="578" w:hanging="578"/>
      </w:pPr>
      <w:bookmarkStart w:id="97" w:name="_Toc451286386"/>
      <w:bookmarkEnd w:id="95"/>
      <w:r>
        <w:t>Tax treatment of other revenue adjustments</w:t>
      </w:r>
      <w:bookmarkEnd w:id="97"/>
    </w:p>
    <w:p w:rsidR="00132D43" w:rsidRPr="00132D43" w:rsidRDefault="00CE67DE" w:rsidP="00CD0E8E">
      <w:r w:rsidRPr="003703F3">
        <w:t>We note AusNet Services' revised proposal adopted our preliminary decision on the tax treatment of the revenue adjustments arising from the operation of the EBSS over the 2011–15 regulatory control period and the close out of the ESCV's previous S</w:t>
      </w:r>
      <w:r w:rsidRPr="003703F3">
        <w:noBreakHyphen/>
        <w:t>factor scheme.</w:t>
      </w:r>
      <w:r w:rsidR="00CD0E8E">
        <w:rPr>
          <w:rStyle w:val="FootnoteReference"/>
        </w:rPr>
        <w:footnoteReference w:id="8"/>
      </w:r>
      <w:r w:rsidRPr="003703F3">
        <w:t xml:space="preserve"> Consistent with the preliminary decision, our final decision </w:t>
      </w:r>
      <w:r w:rsidR="00EE036E" w:rsidRPr="003703F3">
        <w:t>is that the EBSS and S</w:t>
      </w:r>
      <w:r w:rsidR="0070077A" w:rsidRPr="003703F3">
        <w:t>-</w:t>
      </w:r>
      <w:r w:rsidR="00EE036E" w:rsidRPr="003703F3">
        <w:t>factor revenue adjustments should be given identical income and expense tax status in the PTRM.</w:t>
      </w:r>
      <w:r w:rsidR="00EE036E" w:rsidRPr="00152F71">
        <w:rPr>
          <w:vertAlign w:val="superscript"/>
        </w:rPr>
        <w:footnoteReference w:id="9"/>
      </w:r>
    </w:p>
    <w:sectPr w:rsidR="00132D43" w:rsidRPr="00132D43" w:rsidSect="00CF42AA">
      <w:headerReference w:type="default" r:id="rId15"/>
      <w:footerReference w:type="even" r:id="rId16"/>
      <w:footerReference w:type="first" r:id="rId17"/>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9CF" w:rsidRPr="00290C63" w:rsidRDefault="007829CF" w:rsidP="00290C63">
      <w:r>
        <w:separator/>
      </w:r>
    </w:p>
    <w:p w:rsidR="007829CF" w:rsidRDefault="007829CF"/>
  </w:endnote>
  <w:endnote w:type="continuationSeparator" w:id="0">
    <w:p w:rsidR="007829CF" w:rsidRPr="00290C63" w:rsidRDefault="007829CF" w:rsidP="00290C63">
      <w:r>
        <w:continuationSeparator/>
      </w:r>
    </w:p>
    <w:p w:rsidR="007829CF" w:rsidRDefault="00782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CF" w:rsidRPr="00290C63" w:rsidRDefault="007829C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829CF" w:rsidRDefault="007829CF"/>
  <w:p w:rsidR="007829CF" w:rsidRDefault="007829CF"/>
  <w:p w:rsidR="007829CF" w:rsidRDefault="007829CF"/>
  <w:p w:rsidR="007829CF" w:rsidRDefault="007829CF"/>
  <w:p w:rsidR="007829CF" w:rsidRDefault="007829CF"/>
  <w:p w:rsidR="007829CF" w:rsidRDefault="007829CF"/>
  <w:p w:rsidR="007829CF" w:rsidRDefault="007829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7829CF" w:rsidRPr="009B6F84" w:rsidRDefault="007829CF">
        <w:pPr>
          <w:pStyle w:val="Footer"/>
          <w:rPr>
            <w:sz w:val="20"/>
          </w:rPr>
        </w:pPr>
        <w:r>
          <w:fldChar w:fldCharType="begin"/>
        </w:r>
        <w:r>
          <w:instrText xml:space="preserve"> PAGE   \* MERGEFORMAT </w:instrText>
        </w:r>
        <w:r>
          <w:fldChar w:fldCharType="separate"/>
        </w:r>
        <w:r w:rsidR="00905046">
          <w:rPr>
            <w:noProof/>
          </w:rPr>
          <w:t>8-0</w:t>
        </w:r>
        <w:r>
          <w:rPr>
            <w:noProof/>
          </w:rPr>
          <w:fldChar w:fldCharType="end"/>
        </w:r>
        <w:r>
          <w:rPr>
            <w:noProof/>
          </w:rPr>
          <w:t xml:space="preserve">  </w:t>
        </w:r>
        <w:r>
          <w:t>Attachment 8 – Corporate income tax</w:t>
        </w:r>
        <w:r w:rsidRPr="004523B2">
          <w:t xml:space="preserve"> | </w:t>
        </w:r>
        <w:r>
          <w:t>AusNet Services distribution determination final decision</w:t>
        </w:r>
        <w:r w:rsidRPr="004523B2">
          <w:t xml:space="preserve"> 201</w:t>
        </w:r>
        <w:r>
          <w:t>6</w:t>
        </w:r>
        <w:r w:rsidRPr="004523B2">
          <w:t>–</w:t>
        </w:r>
        <w:r>
          <w:t>20</w:t>
        </w:r>
      </w:p>
    </w:sdtContent>
  </w:sdt>
  <w:p w:rsidR="007829CF" w:rsidRDefault="007829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CF" w:rsidRPr="00290C63" w:rsidRDefault="007829C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829CF" w:rsidRDefault="007829CF">
    <w:pPr>
      <w:pStyle w:val="Footer"/>
    </w:pPr>
  </w:p>
  <w:p w:rsidR="007829CF" w:rsidRDefault="007829CF"/>
  <w:p w:rsidR="007829CF" w:rsidRDefault="007829CF"/>
  <w:p w:rsidR="007829CF" w:rsidRDefault="007829CF"/>
  <w:p w:rsidR="007829CF" w:rsidRDefault="007829CF"/>
  <w:p w:rsidR="007829CF" w:rsidRDefault="007829CF"/>
  <w:p w:rsidR="007829CF" w:rsidRDefault="007829CF"/>
  <w:p w:rsidR="007829CF" w:rsidRDefault="007829C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CF" w:rsidRPr="00290C63" w:rsidRDefault="007829C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829CF" w:rsidRDefault="007829CF"/>
  <w:p w:rsidR="007829CF" w:rsidRDefault="007829CF"/>
  <w:p w:rsidR="007829CF" w:rsidRDefault="007829CF"/>
  <w:p w:rsidR="007829CF" w:rsidRDefault="007829CF"/>
  <w:p w:rsidR="007829CF" w:rsidRDefault="007829CF"/>
  <w:p w:rsidR="007829CF" w:rsidRDefault="007829CF"/>
  <w:p w:rsidR="007829CF" w:rsidRDefault="007829C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CF" w:rsidRPr="00290C63" w:rsidRDefault="007829C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829CF" w:rsidRDefault="007829CF">
    <w:pPr>
      <w:pStyle w:val="Footer"/>
    </w:pPr>
  </w:p>
  <w:p w:rsidR="007829CF" w:rsidRDefault="007829CF"/>
  <w:p w:rsidR="007829CF" w:rsidRDefault="007829CF"/>
  <w:p w:rsidR="007829CF" w:rsidRDefault="007829CF"/>
  <w:p w:rsidR="007829CF" w:rsidRDefault="007829CF"/>
  <w:p w:rsidR="007829CF" w:rsidRDefault="007829CF"/>
  <w:p w:rsidR="007829CF" w:rsidRDefault="007829CF"/>
  <w:p w:rsidR="007829CF" w:rsidRDefault="007829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9CF" w:rsidRPr="00290C63" w:rsidRDefault="007829CF" w:rsidP="00290C63">
      <w:r>
        <w:separator/>
      </w:r>
    </w:p>
    <w:p w:rsidR="007829CF" w:rsidRDefault="007829CF"/>
  </w:footnote>
  <w:footnote w:type="continuationSeparator" w:id="0">
    <w:p w:rsidR="007829CF" w:rsidRPr="00290C63" w:rsidRDefault="007829CF" w:rsidP="00290C63">
      <w:r>
        <w:continuationSeparator/>
      </w:r>
    </w:p>
    <w:p w:rsidR="007829CF" w:rsidRDefault="007829CF"/>
  </w:footnote>
  <w:footnote w:id="1">
    <w:p w:rsidR="007829CF" w:rsidRDefault="007829CF" w:rsidP="003C1380">
      <w:pPr>
        <w:pStyle w:val="FootnoteText"/>
      </w:pPr>
      <w:r>
        <w:rPr>
          <w:rStyle w:val="FootnoteReference"/>
        </w:rPr>
        <w:footnoteRef/>
      </w:r>
      <w:r>
        <w:t xml:space="preserve"> </w:t>
      </w:r>
      <w:r>
        <w:tab/>
      </w:r>
      <w:r w:rsidRPr="0046015E">
        <w:t>NER, cl</w:t>
      </w:r>
      <w:r>
        <w:t>.</w:t>
      </w:r>
      <w:r w:rsidRPr="0046015E">
        <w:t xml:space="preserve"> 6.4.3(a)(4).</w:t>
      </w:r>
    </w:p>
  </w:footnote>
  <w:footnote w:id="2">
    <w:p w:rsidR="007829CF" w:rsidRDefault="007829CF">
      <w:pPr>
        <w:pStyle w:val="FootnoteText"/>
      </w:pPr>
      <w:r>
        <w:rPr>
          <w:rStyle w:val="FootnoteReference"/>
        </w:rPr>
        <w:footnoteRef/>
      </w:r>
      <w:r>
        <w:t xml:space="preserve"> </w:t>
      </w:r>
      <w:r>
        <w:tab/>
        <w:t>AusNet Services,</w:t>
      </w:r>
      <w:r w:rsidRPr="00F20DF9">
        <w:t xml:space="preserve"> </w:t>
      </w:r>
      <w:r w:rsidRPr="00F20DF9">
        <w:rPr>
          <w:rStyle w:val="AERtextitalic"/>
        </w:rPr>
        <w:t>Revised regulatory proposal</w:t>
      </w:r>
      <w:r w:rsidRPr="00F20DF9">
        <w:t>, J</w:t>
      </w:r>
      <w:r>
        <w:t>anuary 2015, p.10–2.</w:t>
      </w:r>
    </w:p>
  </w:footnote>
  <w:footnote w:id="3">
    <w:p w:rsidR="007829CF" w:rsidRDefault="007829CF" w:rsidP="003C1380">
      <w:pPr>
        <w:pStyle w:val="FootnoteText"/>
      </w:pPr>
      <w:r>
        <w:rPr>
          <w:rStyle w:val="FootnoteReference"/>
        </w:rPr>
        <w:footnoteRef/>
      </w:r>
      <w:r>
        <w:t xml:space="preserve"> </w:t>
      </w:r>
      <w:r>
        <w:tab/>
        <w:t xml:space="preserve">AER, </w:t>
      </w:r>
      <w:r>
        <w:rPr>
          <w:rStyle w:val="AERtextitalic"/>
        </w:rPr>
        <w:t xml:space="preserve">Preliminary </w:t>
      </w:r>
      <w:r w:rsidRPr="005C78F1">
        <w:rPr>
          <w:rStyle w:val="AERtextitalic"/>
        </w:rPr>
        <w:t>decision</w:t>
      </w:r>
      <w:r>
        <w:rPr>
          <w:rStyle w:val="AERtextitalic"/>
        </w:rPr>
        <w:t>,</w:t>
      </w:r>
      <w:r w:rsidRPr="005C78F1">
        <w:rPr>
          <w:rStyle w:val="AERtextitalic"/>
        </w:rPr>
        <w:t xml:space="preserve"> </w:t>
      </w:r>
      <w:r>
        <w:rPr>
          <w:rStyle w:val="AERtextitalic"/>
        </w:rPr>
        <w:t xml:space="preserve">AusNet Services </w:t>
      </w:r>
      <w:r w:rsidRPr="005C78F1">
        <w:rPr>
          <w:rStyle w:val="AERtextitalic"/>
        </w:rPr>
        <w:t xml:space="preserve">determination </w:t>
      </w:r>
      <w:r>
        <w:rPr>
          <w:rStyle w:val="AERtextitalic"/>
        </w:rPr>
        <w:t>2015–16 to 2019–20: A</w:t>
      </w:r>
      <w:r w:rsidRPr="005C78F1">
        <w:rPr>
          <w:rStyle w:val="AERtextitalic"/>
        </w:rPr>
        <w:t xml:space="preserve">ttachment </w:t>
      </w:r>
      <w:r>
        <w:rPr>
          <w:rStyle w:val="AERtextitalic"/>
        </w:rPr>
        <w:t>8</w:t>
      </w:r>
      <w:r w:rsidRPr="005C78F1">
        <w:rPr>
          <w:rStyle w:val="AERtextitalic"/>
        </w:rPr>
        <w:t xml:space="preserve"> </w:t>
      </w:r>
      <w:r>
        <w:rPr>
          <w:rStyle w:val="AERtextitalic"/>
        </w:rPr>
        <w:t>–</w:t>
      </w:r>
      <w:r w:rsidRPr="005C78F1">
        <w:rPr>
          <w:rStyle w:val="AERtextitalic"/>
        </w:rPr>
        <w:t xml:space="preserve"> </w:t>
      </w:r>
      <w:r>
        <w:rPr>
          <w:rStyle w:val="AERtextitalic"/>
        </w:rPr>
        <w:t>Corporate income tax</w:t>
      </w:r>
      <w:r>
        <w:t>, April 2015, pp. 7–10.</w:t>
      </w:r>
    </w:p>
  </w:footnote>
  <w:footnote w:id="4">
    <w:p w:rsidR="007829CF" w:rsidRDefault="007829CF" w:rsidP="005D5681">
      <w:pPr>
        <w:pStyle w:val="FootnoteText"/>
      </w:pPr>
      <w:r>
        <w:rPr>
          <w:rStyle w:val="FootnoteReference"/>
        </w:rPr>
        <w:footnoteRef/>
      </w:r>
      <w:r>
        <w:t xml:space="preserve"> </w:t>
      </w:r>
      <w:r>
        <w:tab/>
        <w:t>AusNet Services</w:t>
      </w:r>
      <w:r w:rsidRPr="001F5B55">
        <w:t xml:space="preserve">, </w:t>
      </w:r>
      <w:r w:rsidRPr="001F5B55">
        <w:rPr>
          <w:rStyle w:val="AERtextitalic"/>
        </w:rPr>
        <w:t>RE: AER information request – Jemena - #0</w:t>
      </w:r>
      <w:r>
        <w:rPr>
          <w:rStyle w:val="AERtextitalic"/>
        </w:rPr>
        <w:t>30</w:t>
      </w:r>
      <w:r w:rsidRPr="001F5B55">
        <w:rPr>
          <w:rStyle w:val="AERtextitalic"/>
        </w:rPr>
        <w:t xml:space="preserve"> – 2015 estimated capex update</w:t>
      </w:r>
      <w:r>
        <w:t>, 8</w:t>
      </w:r>
      <w:r w:rsidRPr="001F5B55">
        <w:t xml:space="preserve"> February 2016.</w:t>
      </w:r>
    </w:p>
  </w:footnote>
  <w:footnote w:id="5">
    <w:p w:rsidR="007829CF" w:rsidRDefault="007829CF" w:rsidP="004F66EE">
      <w:pPr>
        <w:pStyle w:val="FootnoteText"/>
      </w:pPr>
      <w:r>
        <w:rPr>
          <w:rStyle w:val="FootnoteReference"/>
        </w:rPr>
        <w:footnoteRef/>
      </w:r>
      <w:r>
        <w:t xml:space="preserve"> </w:t>
      </w:r>
      <w:r>
        <w:tab/>
      </w:r>
      <w:r w:rsidRPr="005F0D1A">
        <w:t xml:space="preserve">NER, </w:t>
      </w:r>
      <w:r>
        <w:t>cl.</w:t>
      </w:r>
      <w:r w:rsidRPr="005F0D1A">
        <w:t xml:space="preserve"> 6</w:t>
      </w:r>
      <w:r>
        <w:t>.5.3</w:t>
      </w:r>
      <w:r w:rsidRPr="005F0D1A">
        <w:t>.</w:t>
      </w:r>
    </w:p>
  </w:footnote>
  <w:footnote w:id="6">
    <w:p w:rsidR="007829CF" w:rsidRPr="005027EE" w:rsidRDefault="007829CF" w:rsidP="00323BCC">
      <w:pPr>
        <w:pStyle w:val="FootnoteText"/>
        <w:rPr>
          <w:rStyle w:val="FootnoteReference"/>
          <w:vertAlign w:val="baseline"/>
        </w:rPr>
      </w:pPr>
      <w:r>
        <w:rPr>
          <w:rStyle w:val="FootnoteReference"/>
        </w:rPr>
        <w:footnoteRef/>
      </w:r>
      <w:r>
        <w:t xml:space="preserve"> </w:t>
      </w:r>
      <w:r>
        <w:tab/>
      </w:r>
      <w:r w:rsidRPr="00323BCC">
        <w:t xml:space="preserve">ATO, </w:t>
      </w:r>
      <w:r w:rsidRPr="00323BCC">
        <w:rPr>
          <w:rStyle w:val="AERtextitalic"/>
        </w:rPr>
        <w:t>Taxation Ruling Income tax: effective life of depreciating assets (applicable from 1 July 2015)</w:t>
      </w:r>
      <w:r w:rsidRPr="00323BCC">
        <w:t xml:space="preserve">, July 2015, http://law.ato.gov.au/atolaw/view.htm?docid=%22TXR%2FTR20152%2FNAT%2FATO%2F00001%22, accessed on </w:t>
      </w:r>
      <w:r>
        <w:t>9 March 2016</w:t>
      </w:r>
      <w:r w:rsidRPr="00323BCC">
        <w:t>.</w:t>
      </w:r>
    </w:p>
  </w:footnote>
  <w:footnote w:id="7">
    <w:p w:rsidR="007829CF" w:rsidRDefault="007829CF" w:rsidP="003C1380">
      <w:pPr>
        <w:pStyle w:val="FootnoteText"/>
      </w:pPr>
      <w:r>
        <w:rPr>
          <w:rStyle w:val="FootnoteReference"/>
        </w:rPr>
        <w:footnoteRef/>
      </w:r>
      <w:r>
        <w:t xml:space="preserve"> </w:t>
      </w:r>
      <w:r>
        <w:tab/>
        <w:t>NER, cl. 6.5.3.</w:t>
      </w:r>
    </w:p>
  </w:footnote>
  <w:footnote w:id="8">
    <w:p w:rsidR="007829CF" w:rsidRDefault="007829CF">
      <w:pPr>
        <w:pStyle w:val="FootnoteText"/>
      </w:pPr>
      <w:r>
        <w:rPr>
          <w:rStyle w:val="FootnoteReference"/>
        </w:rPr>
        <w:footnoteRef/>
      </w:r>
      <w:r>
        <w:t xml:space="preserve"> </w:t>
      </w:r>
      <w:r>
        <w:tab/>
      </w:r>
      <w:r w:rsidRPr="00CD0E8E">
        <w:t xml:space="preserve">AusNet Services, </w:t>
      </w:r>
      <w:r w:rsidRPr="00CD0E8E">
        <w:rPr>
          <w:rStyle w:val="AERtextitalic"/>
        </w:rPr>
        <w:t>Revised regulatory proposal</w:t>
      </w:r>
      <w:r w:rsidRPr="00CD0E8E">
        <w:t xml:space="preserve">, January 2016, p. </w:t>
      </w:r>
      <w:r>
        <w:t>2</w:t>
      </w:r>
      <w:r w:rsidR="00AA6A28">
        <w:t>-</w:t>
      </w:r>
      <w:r>
        <w:t>11</w:t>
      </w:r>
      <w:r w:rsidRPr="00CD0E8E">
        <w:t>.</w:t>
      </w:r>
    </w:p>
  </w:footnote>
  <w:footnote w:id="9">
    <w:p w:rsidR="007829CF" w:rsidRDefault="007829CF">
      <w:pPr>
        <w:pStyle w:val="FootnoteText"/>
      </w:pPr>
      <w:r>
        <w:rPr>
          <w:rStyle w:val="FootnoteReference"/>
        </w:rPr>
        <w:footnoteRef/>
      </w:r>
      <w:r>
        <w:t xml:space="preserve"> </w:t>
      </w:r>
      <w:r>
        <w:tab/>
        <w:t>That is, the revenue adjustments are either both tax income and tax expense (EBSS, shared assets); or neither tax income nor tax expense (S-factor).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CF" w:rsidRDefault="007829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23861FB0"/>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NSabheAs/sVDXOnyee93kDHfTE8zlkqHjgdtXx9rOZ8=" w:saltValue="PFhdDw/YO13j96PlBjwmag==" w:algorithmName="SHA-256"/>
  <w:defaultTabStop w:val="340"/>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396\AER15 4373  AER - Final decision AusNet distribution determination - Attachment 9 - Efficiency benefit sharing scheme - April 2016.DOCX"/>
  </w:docVars>
  <w:rsids>
    <w:rsidRoot w:val="00961A4A"/>
    <w:rsid w:val="000028F4"/>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07D2"/>
    <w:rsid w:val="00052503"/>
    <w:rsid w:val="00055A67"/>
    <w:rsid w:val="000561F1"/>
    <w:rsid w:val="00063247"/>
    <w:rsid w:val="0006624E"/>
    <w:rsid w:val="00070F9F"/>
    <w:rsid w:val="0007137B"/>
    <w:rsid w:val="00073B74"/>
    <w:rsid w:val="00076416"/>
    <w:rsid w:val="00077383"/>
    <w:rsid w:val="000805A8"/>
    <w:rsid w:val="0008190B"/>
    <w:rsid w:val="000836D9"/>
    <w:rsid w:val="00085663"/>
    <w:rsid w:val="00085EBF"/>
    <w:rsid w:val="00091B15"/>
    <w:rsid w:val="00095186"/>
    <w:rsid w:val="000A0E71"/>
    <w:rsid w:val="000A1C0C"/>
    <w:rsid w:val="000A2CB2"/>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100EA2"/>
    <w:rsid w:val="00101AA1"/>
    <w:rsid w:val="00102338"/>
    <w:rsid w:val="00104566"/>
    <w:rsid w:val="00104FF6"/>
    <w:rsid w:val="00105DB9"/>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2F71"/>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C437A"/>
    <w:rsid w:val="001D055E"/>
    <w:rsid w:val="001E1B3F"/>
    <w:rsid w:val="001E7161"/>
    <w:rsid w:val="001F05A4"/>
    <w:rsid w:val="001F3D4A"/>
    <w:rsid w:val="001F492E"/>
    <w:rsid w:val="001F58F5"/>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0647"/>
    <w:rsid w:val="002F12EC"/>
    <w:rsid w:val="002F321E"/>
    <w:rsid w:val="002F7986"/>
    <w:rsid w:val="00301B40"/>
    <w:rsid w:val="00301C82"/>
    <w:rsid w:val="003029EE"/>
    <w:rsid w:val="00304D38"/>
    <w:rsid w:val="00305CC8"/>
    <w:rsid w:val="00307F6D"/>
    <w:rsid w:val="00314D83"/>
    <w:rsid w:val="0031571F"/>
    <w:rsid w:val="003177A2"/>
    <w:rsid w:val="00317E02"/>
    <w:rsid w:val="00323BCC"/>
    <w:rsid w:val="003271B5"/>
    <w:rsid w:val="00327A1E"/>
    <w:rsid w:val="00327E28"/>
    <w:rsid w:val="00331264"/>
    <w:rsid w:val="00334C8D"/>
    <w:rsid w:val="00336C7F"/>
    <w:rsid w:val="003378BD"/>
    <w:rsid w:val="003424EA"/>
    <w:rsid w:val="00342C2F"/>
    <w:rsid w:val="003436EB"/>
    <w:rsid w:val="00343A18"/>
    <w:rsid w:val="00345744"/>
    <w:rsid w:val="003518B3"/>
    <w:rsid w:val="00353E79"/>
    <w:rsid w:val="00364EA0"/>
    <w:rsid w:val="00366981"/>
    <w:rsid w:val="003703F3"/>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1380"/>
    <w:rsid w:val="003C5A87"/>
    <w:rsid w:val="003C6537"/>
    <w:rsid w:val="003C6A13"/>
    <w:rsid w:val="003C764A"/>
    <w:rsid w:val="003C78BA"/>
    <w:rsid w:val="003D41F1"/>
    <w:rsid w:val="003D42AB"/>
    <w:rsid w:val="003D5B94"/>
    <w:rsid w:val="003E0D3A"/>
    <w:rsid w:val="003E3AAB"/>
    <w:rsid w:val="003E3DC7"/>
    <w:rsid w:val="003E7FE9"/>
    <w:rsid w:val="003F07D4"/>
    <w:rsid w:val="003F174D"/>
    <w:rsid w:val="003F2329"/>
    <w:rsid w:val="0040021C"/>
    <w:rsid w:val="00400FD2"/>
    <w:rsid w:val="00403711"/>
    <w:rsid w:val="00403720"/>
    <w:rsid w:val="00404C52"/>
    <w:rsid w:val="004156D5"/>
    <w:rsid w:val="00415BA9"/>
    <w:rsid w:val="00415F31"/>
    <w:rsid w:val="0041691D"/>
    <w:rsid w:val="0042000C"/>
    <w:rsid w:val="0042090E"/>
    <w:rsid w:val="00421F27"/>
    <w:rsid w:val="004238D8"/>
    <w:rsid w:val="00423A77"/>
    <w:rsid w:val="00425002"/>
    <w:rsid w:val="004324F4"/>
    <w:rsid w:val="00434544"/>
    <w:rsid w:val="00441F4E"/>
    <w:rsid w:val="00445D43"/>
    <w:rsid w:val="00446CD2"/>
    <w:rsid w:val="004523B2"/>
    <w:rsid w:val="0045777E"/>
    <w:rsid w:val="00464A03"/>
    <w:rsid w:val="00465258"/>
    <w:rsid w:val="00471BC6"/>
    <w:rsid w:val="00476221"/>
    <w:rsid w:val="004766F5"/>
    <w:rsid w:val="00480B4B"/>
    <w:rsid w:val="00483149"/>
    <w:rsid w:val="004838D8"/>
    <w:rsid w:val="00485DC4"/>
    <w:rsid w:val="004931CF"/>
    <w:rsid w:val="00494D04"/>
    <w:rsid w:val="004A2A1A"/>
    <w:rsid w:val="004A40BA"/>
    <w:rsid w:val="004A43D1"/>
    <w:rsid w:val="004A492B"/>
    <w:rsid w:val="004A6AEF"/>
    <w:rsid w:val="004B4412"/>
    <w:rsid w:val="004B6269"/>
    <w:rsid w:val="004C348C"/>
    <w:rsid w:val="004C462E"/>
    <w:rsid w:val="004C6CA3"/>
    <w:rsid w:val="004C7F5E"/>
    <w:rsid w:val="004D343C"/>
    <w:rsid w:val="004D372A"/>
    <w:rsid w:val="004D55BA"/>
    <w:rsid w:val="004D720C"/>
    <w:rsid w:val="004E0FA7"/>
    <w:rsid w:val="004E22EC"/>
    <w:rsid w:val="004E473C"/>
    <w:rsid w:val="004F0BFA"/>
    <w:rsid w:val="004F13DA"/>
    <w:rsid w:val="004F4D69"/>
    <w:rsid w:val="004F66EE"/>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908BB"/>
    <w:rsid w:val="005A0BEC"/>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5681"/>
    <w:rsid w:val="005D6208"/>
    <w:rsid w:val="005D6366"/>
    <w:rsid w:val="005D7BA2"/>
    <w:rsid w:val="005E36C2"/>
    <w:rsid w:val="005E4AF4"/>
    <w:rsid w:val="005F387E"/>
    <w:rsid w:val="005F73CF"/>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85F88"/>
    <w:rsid w:val="00691B53"/>
    <w:rsid w:val="0069700A"/>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077A"/>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38BB"/>
    <w:rsid w:val="00755084"/>
    <w:rsid w:val="00757364"/>
    <w:rsid w:val="00757A77"/>
    <w:rsid w:val="00757BDF"/>
    <w:rsid w:val="007609D0"/>
    <w:rsid w:val="00761454"/>
    <w:rsid w:val="0076193D"/>
    <w:rsid w:val="00763E5D"/>
    <w:rsid w:val="00767740"/>
    <w:rsid w:val="00767B5E"/>
    <w:rsid w:val="00770064"/>
    <w:rsid w:val="00775460"/>
    <w:rsid w:val="00777EE6"/>
    <w:rsid w:val="007829CF"/>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4056"/>
    <w:rsid w:val="007B651F"/>
    <w:rsid w:val="007B680C"/>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67F3"/>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56A10"/>
    <w:rsid w:val="008658A1"/>
    <w:rsid w:val="0086716A"/>
    <w:rsid w:val="00870613"/>
    <w:rsid w:val="0087380F"/>
    <w:rsid w:val="0087648F"/>
    <w:rsid w:val="00876612"/>
    <w:rsid w:val="0087718C"/>
    <w:rsid w:val="00882BB1"/>
    <w:rsid w:val="008837AC"/>
    <w:rsid w:val="008909DC"/>
    <w:rsid w:val="00894255"/>
    <w:rsid w:val="008945AD"/>
    <w:rsid w:val="00896D92"/>
    <w:rsid w:val="008A0645"/>
    <w:rsid w:val="008A1C02"/>
    <w:rsid w:val="008A370D"/>
    <w:rsid w:val="008A587D"/>
    <w:rsid w:val="008B1646"/>
    <w:rsid w:val="008B16B0"/>
    <w:rsid w:val="008B1BD5"/>
    <w:rsid w:val="008B35CD"/>
    <w:rsid w:val="008B4093"/>
    <w:rsid w:val="008B5FCC"/>
    <w:rsid w:val="008B7F36"/>
    <w:rsid w:val="008C357F"/>
    <w:rsid w:val="008C5486"/>
    <w:rsid w:val="008D1525"/>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5046"/>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A6A28"/>
    <w:rsid w:val="00AB2CB8"/>
    <w:rsid w:val="00AB4617"/>
    <w:rsid w:val="00AC0B28"/>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0831"/>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BF1784"/>
    <w:rsid w:val="00C0079E"/>
    <w:rsid w:val="00C03B62"/>
    <w:rsid w:val="00C0572A"/>
    <w:rsid w:val="00C13EBD"/>
    <w:rsid w:val="00C1631B"/>
    <w:rsid w:val="00C163AB"/>
    <w:rsid w:val="00C170F0"/>
    <w:rsid w:val="00C25962"/>
    <w:rsid w:val="00C25FA6"/>
    <w:rsid w:val="00C3099D"/>
    <w:rsid w:val="00C325B3"/>
    <w:rsid w:val="00C33011"/>
    <w:rsid w:val="00C343A2"/>
    <w:rsid w:val="00C34B1E"/>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66BF"/>
    <w:rsid w:val="00C67A92"/>
    <w:rsid w:val="00C71280"/>
    <w:rsid w:val="00C717BF"/>
    <w:rsid w:val="00C73A70"/>
    <w:rsid w:val="00C75E3E"/>
    <w:rsid w:val="00C76178"/>
    <w:rsid w:val="00C84560"/>
    <w:rsid w:val="00C86679"/>
    <w:rsid w:val="00C86E99"/>
    <w:rsid w:val="00C8792F"/>
    <w:rsid w:val="00C90472"/>
    <w:rsid w:val="00C91D6E"/>
    <w:rsid w:val="00CA03BD"/>
    <w:rsid w:val="00CA489E"/>
    <w:rsid w:val="00CB0279"/>
    <w:rsid w:val="00CB1E39"/>
    <w:rsid w:val="00CB666B"/>
    <w:rsid w:val="00CB734B"/>
    <w:rsid w:val="00CC058C"/>
    <w:rsid w:val="00CC41B6"/>
    <w:rsid w:val="00CC7ADA"/>
    <w:rsid w:val="00CC7F1D"/>
    <w:rsid w:val="00CD0A88"/>
    <w:rsid w:val="00CD0E8E"/>
    <w:rsid w:val="00CD125D"/>
    <w:rsid w:val="00CD283C"/>
    <w:rsid w:val="00CD3641"/>
    <w:rsid w:val="00CD66EA"/>
    <w:rsid w:val="00CD7432"/>
    <w:rsid w:val="00CE0FA5"/>
    <w:rsid w:val="00CE2A23"/>
    <w:rsid w:val="00CE31C8"/>
    <w:rsid w:val="00CE484B"/>
    <w:rsid w:val="00CE67DE"/>
    <w:rsid w:val="00CE7CBA"/>
    <w:rsid w:val="00CF0DEE"/>
    <w:rsid w:val="00CF42AA"/>
    <w:rsid w:val="00CF5EAA"/>
    <w:rsid w:val="00CF6AE3"/>
    <w:rsid w:val="00CF77BB"/>
    <w:rsid w:val="00D006AE"/>
    <w:rsid w:val="00D00905"/>
    <w:rsid w:val="00D010C1"/>
    <w:rsid w:val="00D01CF0"/>
    <w:rsid w:val="00D02ECC"/>
    <w:rsid w:val="00D0442A"/>
    <w:rsid w:val="00D11D91"/>
    <w:rsid w:val="00D12A7B"/>
    <w:rsid w:val="00D12ADB"/>
    <w:rsid w:val="00D15E63"/>
    <w:rsid w:val="00D25A39"/>
    <w:rsid w:val="00D27CFA"/>
    <w:rsid w:val="00D310FA"/>
    <w:rsid w:val="00D31696"/>
    <w:rsid w:val="00D325C6"/>
    <w:rsid w:val="00D37213"/>
    <w:rsid w:val="00D4360D"/>
    <w:rsid w:val="00D5607F"/>
    <w:rsid w:val="00D61388"/>
    <w:rsid w:val="00D61A54"/>
    <w:rsid w:val="00D620DD"/>
    <w:rsid w:val="00D62108"/>
    <w:rsid w:val="00D64AA4"/>
    <w:rsid w:val="00D64DEA"/>
    <w:rsid w:val="00D64F84"/>
    <w:rsid w:val="00D663CD"/>
    <w:rsid w:val="00D6726A"/>
    <w:rsid w:val="00D67CF7"/>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1CB4"/>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4852"/>
    <w:rsid w:val="00E50A02"/>
    <w:rsid w:val="00E54106"/>
    <w:rsid w:val="00E54697"/>
    <w:rsid w:val="00E57A08"/>
    <w:rsid w:val="00E63631"/>
    <w:rsid w:val="00E64C2A"/>
    <w:rsid w:val="00E657F2"/>
    <w:rsid w:val="00E65C85"/>
    <w:rsid w:val="00E65D91"/>
    <w:rsid w:val="00E66199"/>
    <w:rsid w:val="00E70526"/>
    <w:rsid w:val="00E754B4"/>
    <w:rsid w:val="00E755EC"/>
    <w:rsid w:val="00E7624D"/>
    <w:rsid w:val="00E81724"/>
    <w:rsid w:val="00E819A4"/>
    <w:rsid w:val="00E83038"/>
    <w:rsid w:val="00E833FA"/>
    <w:rsid w:val="00E84B74"/>
    <w:rsid w:val="00E85C42"/>
    <w:rsid w:val="00E87066"/>
    <w:rsid w:val="00E966BF"/>
    <w:rsid w:val="00EA0C04"/>
    <w:rsid w:val="00EA3D42"/>
    <w:rsid w:val="00EA6B1B"/>
    <w:rsid w:val="00EB1CBD"/>
    <w:rsid w:val="00EB3A34"/>
    <w:rsid w:val="00EB3C3F"/>
    <w:rsid w:val="00EC04F1"/>
    <w:rsid w:val="00EC237F"/>
    <w:rsid w:val="00EC573A"/>
    <w:rsid w:val="00ED1B95"/>
    <w:rsid w:val="00ED35C8"/>
    <w:rsid w:val="00ED3968"/>
    <w:rsid w:val="00ED7323"/>
    <w:rsid w:val="00EE036E"/>
    <w:rsid w:val="00EE28F3"/>
    <w:rsid w:val="00EE50D1"/>
    <w:rsid w:val="00EE568F"/>
    <w:rsid w:val="00EE7614"/>
    <w:rsid w:val="00EF4FB3"/>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53BA"/>
    <w:rsid w:val="00F47559"/>
    <w:rsid w:val="00F50B30"/>
    <w:rsid w:val="00F51F5F"/>
    <w:rsid w:val="00F52D75"/>
    <w:rsid w:val="00F55582"/>
    <w:rsid w:val="00F57647"/>
    <w:rsid w:val="00F62A14"/>
    <w:rsid w:val="00F6364A"/>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3FB8"/>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1316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67A3961B</Template>
  <TotalTime>0</TotalTime>
  <Pages>12</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2016-05-20T08:00:00Z</dcterms:created>
  <dcterms:modified xsi:type="dcterms:W3CDTF">2016-05-20T08:00:00Z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8578100</vt:lpwstr>
  </property>
  <property fmtid="{D5CDD505-2E9C-101B-9397-08002B2CF9AE}" pid="3" name="_MarkAsFinal">
    <vt:bool>true</vt:bool>
  </property>
</Properties>
</file>