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96" w:rsidRPr="00DE6C18" w:rsidRDefault="00937196" w:rsidP="00DE6C18">
      <w:pPr>
        <w:rPr>
          <w:rFonts w:eastAsiaTheme="majorEastAsia" w:cstheme="majorBidi"/>
          <w:noProof/>
          <w:lang w:eastAsia="en-AU"/>
        </w:rPr>
      </w:pPr>
      <w:r w:rsidRPr="00DE6C18">
        <w:rPr>
          <w:noProof/>
          <w:lang w:eastAsia="en-AU"/>
        </w:rPr>
        <w:drawing>
          <wp:anchor distT="0" distB="0" distL="114300" distR="114300" simplePos="0" relativeHeight="251659264" behindDoc="1" locked="0" layoutInCell="1" allowOverlap="1" wp14:anchorId="646C97A2" wp14:editId="35021CBC">
            <wp:simplePos x="0" y="0"/>
            <wp:positionH relativeFrom="column">
              <wp:posOffset>-1131471</wp:posOffset>
            </wp:positionH>
            <wp:positionV relativeFrom="paragraph">
              <wp:posOffset>-1090569</wp:posOffset>
            </wp:positionV>
            <wp:extent cx="7591821" cy="10863743"/>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863177"/>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0B79FF" w:rsidP="008F07A3">
          <w:pPr>
            <w:pStyle w:val="ReportSubtitle"/>
          </w:pPr>
          <w:r>
            <w:t>Overview</w:t>
          </w:r>
        </w:p>
        <w:p w:rsidR="000A6C7B" w:rsidRPr="00327A1E" w:rsidRDefault="0003290C" w:rsidP="00327A1E">
          <w:pPr>
            <w:pStyle w:val="ReportDate"/>
          </w:pPr>
          <w:r>
            <w:t>May</w:t>
          </w:r>
          <w:r w:rsidR="005C0A7F">
            <w:t xml:space="preserve"> </w:t>
          </w:r>
          <w:r w:rsidR="00A2303E">
            <w:t>2016</w:t>
          </w:r>
        </w:p>
      </w:sdtContent>
    </w:sdt>
    <w:p w:rsidR="00327A1E" w:rsidRPr="00290C63" w:rsidRDefault="00327A1E" w:rsidP="00290C63">
      <w:r>
        <w:br w:type="page"/>
      </w:r>
    </w:p>
    <w:p w:rsidR="000A6C7B" w:rsidRDefault="000E7ED0"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E61BF7">
        <w:t xml:space="preserve">Melbourne </w:t>
      </w:r>
      <w:r>
        <w:t>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873612"/>
      <w:r>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873613"/>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28637B"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873612" w:history="1">
            <w:r w:rsidR="0028637B" w:rsidRPr="00672D0C">
              <w:rPr>
                <w:rStyle w:val="Hyperlink"/>
              </w:rPr>
              <w:t>Note</w:t>
            </w:r>
            <w:r w:rsidR="0028637B">
              <w:rPr>
                <w:webHidden/>
              </w:rPr>
              <w:tab/>
            </w:r>
            <w:r w:rsidR="0028637B">
              <w:rPr>
                <w:webHidden/>
              </w:rPr>
              <w:fldChar w:fldCharType="begin"/>
            </w:r>
            <w:r w:rsidR="0028637B">
              <w:rPr>
                <w:webHidden/>
              </w:rPr>
              <w:instrText xml:space="preserve"> PAGEREF _Toc451873612 \h </w:instrText>
            </w:r>
            <w:r w:rsidR="0028637B">
              <w:rPr>
                <w:webHidden/>
              </w:rPr>
            </w:r>
            <w:r w:rsidR="0028637B">
              <w:rPr>
                <w:webHidden/>
              </w:rPr>
              <w:fldChar w:fldCharType="separate"/>
            </w:r>
            <w:r w:rsidR="0028637B">
              <w:rPr>
                <w:webHidden/>
              </w:rPr>
              <w:t>2</w:t>
            </w:r>
            <w:r w:rsidR="0028637B">
              <w:rPr>
                <w:webHidden/>
              </w:rPr>
              <w:fldChar w:fldCharType="end"/>
            </w:r>
          </w:hyperlink>
        </w:p>
        <w:p w:rsidR="0028637B" w:rsidRDefault="006A6E05">
          <w:pPr>
            <w:pStyle w:val="TOC1"/>
            <w:rPr>
              <w:rFonts w:asciiTheme="minorHAnsi" w:eastAsiaTheme="minorEastAsia" w:hAnsiTheme="minorHAnsi"/>
              <w:b w:val="0"/>
              <w:color w:val="auto"/>
              <w:sz w:val="22"/>
              <w:lang w:val="en-AU" w:eastAsia="en-AU"/>
            </w:rPr>
          </w:pPr>
          <w:hyperlink w:anchor="_Toc451873613" w:history="1">
            <w:r w:rsidR="0028637B" w:rsidRPr="00672D0C">
              <w:rPr>
                <w:rStyle w:val="Hyperlink"/>
              </w:rPr>
              <w:t>Contents</w:t>
            </w:r>
            <w:r w:rsidR="0028637B">
              <w:rPr>
                <w:webHidden/>
              </w:rPr>
              <w:tab/>
            </w:r>
            <w:r w:rsidR="0028637B">
              <w:rPr>
                <w:webHidden/>
              </w:rPr>
              <w:fldChar w:fldCharType="begin"/>
            </w:r>
            <w:r w:rsidR="0028637B">
              <w:rPr>
                <w:webHidden/>
              </w:rPr>
              <w:instrText xml:space="preserve"> PAGEREF _Toc451873613 \h </w:instrText>
            </w:r>
            <w:r w:rsidR="0028637B">
              <w:rPr>
                <w:webHidden/>
              </w:rPr>
            </w:r>
            <w:r w:rsidR="0028637B">
              <w:rPr>
                <w:webHidden/>
              </w:rPr>
              <w:fldChar w:fldCharType="separate"/>
            </w:r>
            <w:r w:rsidR="0028637B">
              <w:rPr>
                <w:webHidden/>
              </w:rPr>
              <w:t>3</w:t>
            </w:r>
            <w:r w:rsidR="0028637B">
              <w:rPr>
                <w:webHidden/>
              </w:rPr>
              <w:fldChar w:fldCharType="end"/>
            </w:r>
          </w:hyperlink>
        </w:p>
        <w:p w:rsidR="0028637B" w:rsidRDefault="006A6E05">
          <w:pPr>
            <w:pStyle w:val="TOC1"/>
            <w:rPr>
              <w:rFonts w:asciiTheme="minorHAnsi" w:eastAsiaTheme="minorEastAsia" w:hAnsiTheme="minorHAnsi"/>
              <w:b w:val="0"/>
              <w:color w:val="auto"/>
              <w:sz w:val="22"/>
              <w:lang w:val="en-AU" w:eastAsia="en-AU"/>
            </w:rPr>
          </w:pPr>
          <w:hyperlink w:anchor="_Toc451873614" w:history="1">
            <w:r w:rsidR="0028637B" w:rsidRPr="00672D0C">
              <w:rPr>
                <w:rStyle w:val="Hyperlink"/>
              </w:rPr>
              <w:t>Shortened forms</w:t>
            </w:r>
            <w:r w:rsidR="0028637B">
              <w:rPr>
                <w:webHidden/>
              </w:rPr>
              <w:tab/>
            </w:r>
            <w:r w:rsidR="0028637B">
              <w:rPr>
                <w:webHidden/>
              </w:rPr>
              <w:fldChar w:fldCharType="begin"/>
            </w:r>
            <w:r w:rsidR="0028637B">
              <w:rPr>
                <w:webHidden/>
              </w:rPr>
              <w:instrText xml:space="preserve"> PAGEREF _Toc451873614 \h </w:instrText>
            </w:r>
            <w:r w:rsidR="0028637B">
              <w:rPr>
                <w:webHidden/>
              </w:rPr>
            </w:r>
            <w:r w:rsidR="0028637B">
              <w:rPr>
                <w:webHidden/>
              </w:rPr>
              <w:fldChar w:fldCharType="separate"/>
            </w:r>
            <w:r w:rsidR="0028637B">
              <w:rPr>
                <w:webHidden/>
              </w:rPr>
              <w:t>5</w:t>
            </w:r>
            <w:r w:rsidR="0028637B">
              <w:rPr>
                <w:webHidden/>
              </w:rPr>
              <w:fldChar w:fldCharType="end"/>
            </w:r>
          </w:hyperlink>
        </w:p>
        <w:p w:rsidR="0028637B" w:rsidRDefault="006A6E05">
          <w:pPr>
            <w:pStyle w:val="TOC1"/>
            <w:rPr>
              <w:rFonts w:asciiTheme="minorHAnsi" w:eastAsiaTheme="minorEastAsia" w:hAnsiTheme="minorHAnsi"/>
              <w:b w:val="0"/>
              <w:color w:val="auto"/>
              <w:sz w:val="22"/>
              <w:lang w:val="en-AU" w:eastAsia="en-AU"/>
            </w:rPr>
          </w:pPr>
          <w:hyperlink w:anchor="_Toc451873615" w:history="1">
            <w:r w:rsidR="0028637B" w:rsidRPr="00672D0C">
              <w:rPr>
                <w:rStyle w:val="Hyperlink"/>
              </w:rPr>
              <w:t>1</w:t>
            </w:r>
            <w:r w:rsidR="0028637B">
              <w:rPr>
                <w:rFonts w:asciiTheme="minorHAnsi" w:eastAsiaTheme="minorEastAsia" w:hAnsiTheme="minorHAnsi"/>
                <w:b w:val="0"/>
                <w:color w:val="auto"/>
                <w:sz w:val="22"/>
                <w:lang w:val="en-AU" w:eastAsia="en-AU"/>
              </w:rPr>
              <w:tab/>
            </w:r>
            <w:r w:rsidR="0028637B" w:rsidRPr="00672D0C">
              <w:rPr>
                <w:rStyle w:val="Hyperlink"/>
              </w:rPr>
              <w:t>Introduction</w:t>
            </w:r>
            <w:r w:rsidR="0028637B">
              <w:rPr>
                <w:webHidden/>
              </w:rPr>
              <w:tab/>
            </w:r>
            <w:r w:rsidR="0028637B">
              <w:rPr>
                <w:webHidden/>
              </w:rPr>
              <w:fldChar w:fldCharType="begin"/>
            </w:r>
            <w:r w:rsidR="0028637B">
              <w:rPr>
                <w:webHidden/>
              </w:rPr>
              <w:instrText xml:space="preserve"> PAGEREF _Toc451873615 \h </w:instrText>
            </w:r>
            <w:r w:rsidR="0028637B">
              <w:rPr>
                <w:webHidden/>
              </w:rPr>
            </w:r>
            <w:r w:rsidR="0028637B">
              <w:rPr>
                <w:webHidden/>
              </w:rPr>
              <w:fldChar w:fldCharType="separate"/>
            </w:r>
            <w:r w:rsidR="0028637B">
              <w:rPr>
                <w:webHidden/>
              </w:rPr>
              <w:t>6</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16" w:history="1">
            <w:r w:rsidR="0028637B" w:rsidRPr="00672D0C">
              <w:rPr>
                <w:rStyle w:val="Hyperlink"/>
              </w:rPr>
              <w:t>1.1</w:t>
            </w:r>
            <w:r w:rsidR="0028637B">
              <w:rPr>
                <w:rFonts w:asciiTheme="minorHAnsi" w:eastAsiaTheme="minorEastAsia" w:hAnsiTheme="minorHAnsi"/>
                <w:b w:val="0"/>
                <w:color w:val="auto"/>
                <w:sz w:val="22"/>
                <w:lang w:eastAsia="en-AU"/>
              </w:rPr>
              <w:tab/>
            </w:r>
            <w:r w:rsidR="0028637B" w:rsidRPr="00672D0C">
              <w:rPr>
                <w:rStyle w:val="Hyperlink"/>
              </w:rPr>
              <w:t>Structure of overview</w:t>
            </w:r>
            <w:r w:rsidR="0028637B">
              <w:rPr>
                <w:webHidden/>
              </w:rPr>
              <w:tab/>
            </w:r>
            <w:r w:rsidR="0028637B">
              <w:rPr>
                <w:webHidden/>
              </w:rPr>
              <w:fldChar w:fldCharType="begin"/>
            </w:r>
            <w:r w:rsidR="0028637B">
              <w:rPr>
                <w:webHidden/>
              </w:rPr>
              <w:instrText xml:space="preserve"> PAGEREF _Toc451873616 \h </w:instrText>
            </w:r>
            <w:r w:rsidR="0028637B">
              <w:rPr>
                <w:webHidden/>
              </w:rPr>
            </w:r>
            <w:r w:rsidR="0028637B">
              <w:rPr>
                <w:webHidden/>
              </w:rPr>
              <w:fldChar w:fldCharType="separate"/>
            </w:r>
            <w:r w:rsidR="0028637B">
              <w:rPr>
                <w:webHidden/>
              </w:rPr>
              <w:t>6</w:t>
            </w:r>
            <w:r w:rsidR="0028637B">
              <w:rPr>
                <w:webHidden/>
              </w:rPr>
              <w:fldChar w:fldCharType="end"/>
            </w:r>
          </w:hyperlink>
        </w:p>
        <w:p w:rsidR="0028637B" w:rsidRDefault="006A6E05">
          <w:pPr>
            <w:pStyle w:val="TOC1"/>
            <w:rPr>
              <w:rFonts w:asciiTheme="minorHAnsi" w:eastAsiaTheme="minorEastAsia" w:hAnsiTheme="minorHAnsi"/>
              <w:b w:val="0"/>
              <w:color w:val="auto"/>
              <w:sz w:val="22"/>
              <w:lang w:val="en-AU" w:eastAsia="en-AU"/>
            </w:rPr>
          </w:pPr>
          <w:hyperlink w:anchor="_Toc451873617" w:history="1">
            <w:r w:rsidR="0028637B" w:rsidRPr="00672D0C">
              <w:rPr>
                <w:rStyle w:val="Hyperlink"/>
              </w:rPr>
              <w:t>2</w:t>
            </w:r>
            <w:r w:rsidR="0028637B">
              <w:rPr>
                <w:rFonts w:asciiTheme="minorHAnsi" w:eastAsiaTheme="minorEastAsia" w:hAnsiTheme="minorHAnsi"/>
                <w:b w:val="0"/>
                <w:color w:val="auto"/>
                <w:sz w:val="22"/>
                <w:lang w:val="en-AU" w:eastAsia="en-AU"/>
              </w:rPr>
              <w:tab/>
            </w:r>
            <w:r w:rsidR="0028637B" w:rsidRPr="00672D0C">
              <w:rPr>
                <w:rStyle w:val="Hyperlink"/>
              </w:rPr>
              <w:t>Final decision</w:t>
            </w:r>
            <w:r w:rsidR="0028637B">
              <w:rPr>
                <w:webHidden/>
              </w:rPr>
              <w:tab/>
            </w:r>
            <w:r w:rsidR="0028637B">
              <w:rPr>
                <w:webHidden/>
              </w:rPr>
              <w:fldChar w:fldCharType="begin"/>
            </w:r>
            <w:r w:rsidR="0028637B">
              <w:rPr>
                <w:webHidden/>
              </w:rPr>
              <w:instrText xml:space="preserve"> PAGEREF _Toc451873617 \h </w:instrText>
            </w:r>
            <w:r w:rsidR="0028637B">
              <w:rPr>
                <w:webHidden/>
              </w:rPr>
            </w:r>
            <w:r w:rsidR="0028637B">
              <w:rPr>
                <w:webHidden/>
              </w:rPr>
              <w:fldChar w:fldCharType="separate"/>
            </w:r>
            <w:r w:rsidR="0028637B">
              <w:rPr>
                <w:webHidden/>
              </w:rPr>
              <w:t>8</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18" w:history="1">
            <w:r w:rsidR="0028637B" w:rsidRPr="00672D0C">
              <w:rPr>
                <w:rStyle w:val="Hyperlink"/>
              </w:rPr>
              <w:t>2.1</w:t>
            </w:r>
            <w:r w:rsidR="0028637B">
              <w:rPr>
                <w:rFonts w:asciiTheme="minorHAnsi" w:eastAsiaTheme="minorEastAsia" w:hAnsiTheme="minorHAnsi"/>
                <w:b w:val="0"/>
                <w:color w:val="auto"/>
                <w:sz w:val="22"/>
                <w:lang w:eastAsia="en-AU"/>
              </w:rPr>
              <w:tab/>
            </w:r>
            <w:r w:rsidR="0028637B" w:rsidRPr="00672D0C">
              <w:rPr>
                <w:rStyle w:val="Hyperlink"/>
              </w:rPr>
              <w:t>What is driving allowed revenue?</w:t>
            </w:r>
            <w:r w:rsidR="0028637B">
              <w:rPr>
                <w:webHidden/>
              </w:rPr>
              <w:tab/>
            </w:r>
            <w:r w:rsidR="0028637B">
              <w:rPr>
                <w:webHidden/>
              </w:rPr>
              <w:fldChar w:fldCharType="begin"/>
            </w:r>
            <w:r w:rsidR="0028637B">
              <w:rPr>
                <w:webHidden/>
              </w:rPr>
              <w:instrText xml:space="preserve"> PAGEREF _Toc451873618 \h </w:instrText>
            </w:r>
            <w:r w:rsidR="0028637B">
              <w:rPr>
                <w:webHidden/>
              </w:rPr>
            </w:r>
            <w:r w:rsidR="0028637B">
              <w:rPr>
                <w:webHidden/>
              </w:rPr>
              <w:fldChar w:fldCharType="separate"/>
            </w:r>
            <w:r w:rsidR="0028637B">
              <w:rPr>
                <w:webHidden/>
              </w:rPr>
              <w:t>9</w:t>
            </w:r>
            <w:r w:rsidR="0028637B">
              <w:rPr>
                <w:webHidden/>
              </w:rPr>
              <w:fldChar w:fldCharType="end"/>
            </w:r>
          </w:hyperlink>
        </w:p>
        <w:p w:rsidR="0028637B" w:rsidRDefault="006A6E05">
          <w:pPr>
            <w:pStyle w:val="TOC3"/>
            <w:rPr>
              <w:rFonts w:asciiTheme="minorHAnsi" w:eastAsiaTheme="minorEastAsia" w:hAnsiTheme="minorHAnsi"/>
              <w:lang w:eastAsia="en-AU"/>
            </w:rPr>
          </w:pPr>
          <w:hyperlink w:anchor="_Toc451873619" w:history="1">
            <w:r w:rsidR="0028637B" w:rsidRPr="00672D0C">
              <w:rPr>
                <w:rStyle w:val="Hyperlink"/>
              </w:rPr>
              <w:t>2.1.1</w:t>
            </w:r>
            <w:r w:rsidR="0028637B">
              <w:rPr>
                <w:rFonts w:asciiTheme="minorHAnsi" w:eastAsiaTheme="minorEastAsia" w:hAnsiTheme="minorHAnsi"/>
                <w:lang w:eastAsia="en-AU"/>
              </w:rPr>
              <w:tab/>
            </w:r>
            <w:r w:rsidR="0028637B" w:rsidRPr="00672D0C">
              <w:rPr>
                <w:rStyle w:val="Hyperlink"/>
              </w:rPr>
              <w:t>Northern Gas Pipeline</w:t>
            </w:r>
            <w:r w:rsidR="0028637B">
              <w:rPr>
                <w:webHidden/>
              </w:rPr>
              <w:tab/>
            </w:r>
            <w:r w:rsidR="0028637B">
              <w:rPr>
                <w:webHidden/>
              </w:rPr>
              <w:fldChar w:fldCharType="begin"/>
            </w:r>
            <w:r w:rsidR="0028637B">
              <w:rPr>
                <w:webHidden/>
              </w:rPr>
              <w:instrText xml:space="preserve"> PAGEREF _Toc451873619 \h </w:instrText>
            </w:r>
            <w:r w:rsidR="0028637B">
              <w:rPr>
                <w:webHidden/>
              </w:rPr>
            </w:r>
            <w:r w:rsidR="0028637B">
              <w:rPr>
                <w:webHidden/>
              </w:rPr>
              <w:fldChar w:fldCharType="separate"/>
            </w:r>
            <w:r w:rsidR="0028637B">
              <w:rPr>
                <w:webHidden/>
              </w:rPr>
              <w:t>11</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20" w:history="1">
            <w:r w:rsidR="0028637B" w:rsidRPr="00672D0C">
              <w:rPr>
                <w:rStyle w:val="Hyperlink"/>
              </w:rPr>
              <w:t>2.2</w:t>
            </w:r>
            <w:r w:rsidR="0028637B">
              <w:rPr>
                <w:rFonts w:asciiTheme="minorHAnsi" w:eastAsiaTheme="minorEastAsia" w:hAnsiTheme="minorHAnsi"/>
                <w:b w:val="0"/>
                <w:color w:val="auto"/>
                <w:sz w:val="22"/>
                <w:lang w:eastAsia="en-AU"/>
              </w:rPr>
              <w:tab/>
            </w:r>
            <w:r w:rsidR="0028637B" w:rsidRPr="00672D0C">
              <w:rPr>
                <w:rStyle w:val="Hyperlink"/>
              </w:rPr>
              <w:t>Key differences between our draft and final decisions</w:t>
            </w:r>
            <w:r w:rsidR="0028637B">
              <w:rPr>
                <w:webHidden/>
              </w:rPr>
              <w:tab/>
            </w:r>
            <w:r w:rsidR="0028637B">
              <w:rPr>
                <w:webHidden/>
              </w:rPr>
              <w:fldChar w:fldCharType="begin"/>
            </w:r>
            <w:r w:rsidR="0028637B">
              <w:rPr>
                <w:webHidden/>
              </w:rPr>
              <w:instrText xml:space="preserve"> PAGEREF _Toc451873620 \h </w:instrText>
            </w:r>
            <w:r w:rsidR="0028637B">
              <w:rPr>
                <w:webHidden/>
              </w:rPr>
            </w:r>
            <w:r w:rsidR="0028637B">
              <w:rPr>
                <w:webHidden/>
              </w:rPr>
              <w:fldChar w:fldCharType="separate"/>
            </w:r>
            <w:r w:rsidR="0028637B">
              <w:rPr>
                <w:webHidden/>
              </w:rPr>
              <w:t>12</w:t>
            </w:r>
            <w:r w:rsidR="0028637B">
              <w:rPr>
                <w:webHidden/>
              </w:rPr>
              <w:fldChar w:fldCharType="end"/>
            </w:r>
          </w:hyperlink>
        </w:p>
        <w:p w:rsidR="0028637B" w:rsidRDefault="006A6E05">
          <w:pPr>
            <w:pStyle w:val="TOC1"/>
            <w:rPr>
              <w:rFonts w:asciiTheme="minorHAnsi" w:eastAsiaTheme="minorEastAsia" w:hAnsiTheme="minorHAnsi"/>
              <w:b w:val="0"/>
              <w:color w:val="auto"/>
              <w:sz w:val="22"/>
              <w:lang w:val="en-AU" w:eastAsia="en-AU"/>
            </w:rPr>
          </w:pPr>
          <w:hyperlink w:anchor="_Toc451873621" w:history="1">
            <w:r w:rsidR="0028637B" w:rsidRPr="00672D0C">
              <w:rPr>
                <w:rStyle w:val="Hyperlink"/>
              </w:rPr>
              <w:t>3</w:t>
            </w:r>
            <w:r w:rsidR="0028637B">
              <w:rPr>
                <w:rFonts w:asciiTheme="minorHAnsi" w:eastAsiaTheme="minorEastAsia" w:hAnsiTheme="minorHAnsi"/>
                <w:b w:val="0"/>
                <w:color w:val="auto"/>
                <w:sz w:val="22"/>
                <w:lang w:val="en-AU" w:eastAsia="en-AU"/>
              </w:rPr>
              <w:tab/>
            </w:r>
            <w:r w:rsidR="0028637B" w:rsidRPr="00672D0C">
              <w:rPr>
                <w:rStyle w:val="Hyperlink"/>
              </w:rPr>
              <w:t>Total revenue</w:t>
            </w:r>
            <w:r w:rsidR="0028637B">
              <w:rPr>
                <w:webHidden/>
              </w:rPr>
              <w:tab/>
            </w:r>
            <w:r w:rsidR="0028637B">
              <w:rPr>
                <w:webHidden/>
              </w:rPr>
              <w:fldChar w:fldCharType="begin"/>
            </w:r>
            <w:r w:rsidR="0028637B">
              <w:rPr>
                <w:webHidden/>
              </w:rPr>
              <w:instrText xml:space="preserve"> PAGEREF _Toc451873621 \h </w:instrText>
            </w:r>
            <w:r w:rsidR="0028637B">
              <w:rPr>
                <w:webHidden/>
              </w:rPr>
            </w:r>
            <w:r w:rsidR="0028637B">
              <w:rPr>
                <w:webHidden/>
              </w:rPr>
              <w:fldChar w:fldCharType="separate"/>
            </w:r>
            <w:r w:rsidR="0028637B">
              <w:rPr>
                <w:webHidden/>
              </w:rPr>
              <w:t>14</w:t>
            </w:r>
            <w:r w:rsidR="0028637B">
              <w:rPr>
                <w:webHidden/>
              </w:rPr>
              <w:fldChar w:fldCharType="end"/>
            </w:r>
          </w:hyperlink>
        </w:p>
        <w:p w:rsidR="0028637B" w:rsidRDefault="006A6E05">
          <w:pPr>
            <w:pStyle w:val="TOC3"/>
            <w:rPr>
              <w:rFonts w:asciiTheme="minorHAnsi" w:eastAsiaTheme="minorEastAsia" w:hAnsiTheme="minorHAnsi"/>
              <w:lang w:eastAsia="en-AU"/>
            </w:rPr>
          </w:pPr>
          <w:hyperlink w:anchor="_Toc451873622" w:history="1">
            <w:r w:rsidR="0028637B" w:rsidRPr="00672D0C">
              <w:rPr>
                <w:rStyle w:val="Hyperlink"/>
              </w:rPr>
              <w:t>3.1.1</w:t>
            </w:r>
            <w:r w:rsidR="0028637B">
              <w:rPr>
                <w:rFonts w:asciiTheme="minorHAnsi" w:eastAsiaTheme="minorEastAsia" w:hAnsiTheme="minorHAnsi"/>
                <w:lang w:eastAsia="en-AU"/>
              </w:rPr>
              <w:tab/>
            </w:r>
            <w:r w:rsidR="0028637B" w:rsidRPr="00672D0C">
              <w:rPr>
                <w:rStyle w:val="Hyperlink"/>
              </w:rPr>
              <w:t>The building block approach</w:t>
            </w:r>
            <w:r w:rsidR="0028637B">
              <w:rPr>
                <w:webHidden/>
              </w:rPr>
              <w:tab/>
            </w:r>
            <w:r w:rsidR="0028637B">
              <w:rPr>
                <w:webHidden/>
              </w:rPr>
              <w:fldChar w:fldCharType="begin"/>
            </w:r>
            <w:r w:rsidR="0028637B">
              <w:rPr>
                <w:webHidden/>
              </w:rPr>
              <w:instrText xml:space="preserve"> PAGEREF _Toc451873622 \h </w:instrText>
            </w:r>
            <w:r w:rsidR="0028637B">
              <w:rPr>
                <w:webHidden/>
              </w:rPr>
            </w:r>
            <w:r w:rsidR="0028637B">
              <w:rPr>
                <w:webHidden/>
              </w:rPr>
              <w:fldChar w:fldCharType="separate"/>
            </w:r>
            <w:r w:rsidR="0028637B">
              <w:rPr>
                <w:webHidden/>
              </w:rPr>
              <w:t>14</w:t>
            </w:r>
            <w:r w:rsidR="0028637B">
              <w:rPr>
                <w:webHidden/>
              </w:rPr>
              <w:fldChar w:fldCharType="end"/>
            </w:r>
          </w:hyperlink>
        </w:p>
        <w:p w:rsidR="0028637B" w:rsidRDefault="006A6E05">
          <w:pPr>
            <w:pStyle w:val="TOC3"/>
            <w:rPr>
              <w:rFonts w:asciiTheme="minorHAnsi" w:eastAsiaTheme="minorEastAsia" w:hAnsiTheme="minorHAnsi"/>
              <w:lang w:eastAsia="en-AU"/>
            </w:rPr>
          </w:pPr>
          <w:hyperlink w:anchor="_Toc451873623" w:history="1">
            <w:r w:rsidR="0028637B" w:rsidRPr="00672D0C">
              <w:rPr>
                <w:rStyle w:val="Hyperlink"/>
              </w:rPr>
              <w:t>3.1.2</w:t>
            </w:r>
            <w:r w:rsidR="0028637B">
              <w:rPr>
                <w:rFonts w:asciiTheme="minorHAnsi" w:eastAsiaTheme="minorEastAsia" w:hAnsiTheme="minorHAnsi"/>
                <w:lang w:eastAsia="en-AU"/>
              </w:rPr>
              <w:tab/>
            </w:r>
            <w:r w:rsidR="0028637B" w:rsidRPr="00672D0C">
              <w:rPr>
                <w:rStyle w:val="Hyperlink"/>
              </w:rPr>
              <w:t>Final decision</w:t>
            </w:r>
            <w:r w:rsidR="0028637B">
              <w:rPr>
                <w:webHidden/>
              </w:rPr>
              <w:tab/>
            </w:r>
            <w:r w:rsidR="0028637B">
              <w:rPr>
                <w:webHidden/>
              </w:rPr>
              <w:fldChar w:fldCharType="begin"/>
            </w:r>
            <w:r w:rsidR="0028637B">
              <w:rPr>
                <w:webHidden/>
              </w:rPr>
              <w:instrText xml:space="preserve"> PAGEREF _Toc451873623 \h </w:instrText>
            </w:r>
            <w:r w:rsidR="0028637B">
              <w:rPr>
                <w:webHidden/>
              </w:rPr>
            </w:r>
            <w:r w:rsidR="0028637B">
              <w:rPr>
                <w:webHidden/>
              </w:rPr>
              <w:fldChar w:fldCharType="separate"/>
            </w:r>
            <w:r w:rsidR="0028637B">
              <w:rPr>
                <w:webHidden/>
              </w:rPr>
              <w:t>15</w:t>
            </w:r>
            <w:r w:rsidR="0028637B">
              <w:rPr>
                <w:webHidden/>
              </w:rPr>
              <w:fldChar w:fldCharType="end"/>
            </w:r>
          </w:hyperlink>
        </w:p>
        <w:p w:rsidR="0028637B" w:rsidRDefault="006A6E05">
          <w:pPr>
            <w:pStyle w:val="TOC3"/>
            <w:rPr>
              <w:rFonts w:asciiTheme="minorHAnsi" w:eastAsiaTheme="minorEastAsia" w:hAnsiTheme="minorHAnsi"/>
              <w:lang w:eastAsia="en-AU"/>
            </w:rPr>
          </w:pPr>
          <w:hyperlink w:anchor="_Toc451873624" w:history="1">
            <w:r w:rsidR="0028637B" w:rsidRPr="00672D0C">
              <w:rPr>
                <w:rStyle w:val="Hyperlink"/>
              </w:rPr>
              <w:t>3.1.3</w:t>
            </w:r>
            <w:r w:rsidR="0028637B">
              <w:rPr>
                <w:rFonts w:asciiTheme="minorHAnsi" w:eastAsiaTheme="minorEastAsia" w:hAnsiTheme="minorHAnsi"/>
                <w:lang w:eastAsia="en-AU"/>
              </w:rPr>
              <w:tab/>
            </w:r>
            <w:r w:rsidR="0028637B" w:rsidRPr="00672D0C">
              <w:rPr>
                <w:rStyle w:val="Hyperlink"/>
              </w:rPr>
              <w:t>Revenue equalisation (smoothing) and tariffs</w:t>
            </w:r>
            <w:r w:rsidR="0028637B">
              <w:rPr>
                <w:webHidden/>
              </w:rPr>
              <w:tab/>
            </w:r>
            <w:r w:rsidR="0028637B">
              <w:rPr>
                <w:webHidden/>
              </w:rPr>
              <w:fldChar w:fldCharType="begin"/>
            </w:r>
            <w:r w:rsidR="0028637B">
              <w:rPr>
                <w:webHidden/>
              </w:rPr>
              <w:instrText xml:space="preserve"> PAGEREF _Toc451873624 \h </w:instrText>
            </w:r>
            <w:r w:rsidR="0028637B">
              <w:rPr>
                <w:webHidden/>
              </w:rPr>
            </w:r>
            <w:r w:rsidR="0028637B">
              <w:rPr>
                <w:webHidden/>
              </w:rPr>
              <w:fldChar w:fldCharType="separate"/>
            </w:r>
            <w:r w:rsidR="0028637B">
              <w:rPr>
                <w:webHidden/>
              </w:rPr>
              <w:t>16</w:t>
            </w:r>
            <w:r w:rsidR="0028637B">
              <w:rPr>
                <w:webHidden/>
              </w:rPr>
              <w:fldChar w:fldCharType="end"/>
            </w:r>
          </w:hyperlink>
        </w:p>
        <w:p w:rsidR="0028637B" w:rsidRDefault="006A6E05">
          <w:pPr>
            <w:pStyle w:val="TOC1"/>
            <w:rPr>
              <w:rFonts w:asciiTheme="minorHAnsi" w:eastAsiaTheme="minorEastAsia" w:hAnsiTheme="minorHAnsi"/>
              <w:b w:val="0"/>
              <w:color w:val="auto"/>
              <w:sz w:val="22"/>
              <w:lang w:val="en-AU" w:eastAsia="en-AU"/>
            </w:rPr>
          </w:pPr>
          <w:hyperlink w:anchor="_Toc451873625" w:history="1">
            <w:r w:rsidR="0028637B" w:rsidRPr="00672D0C">
              <w:rPr>
                <w:rStyle w:val="Hyperlink"/>
              </w:rPr>
              <w:t>4</w:t>
            </w:r>
            <w:r w:rsidR="0028637B">
              <w:rPr>
                <w:rFonts w:asciiTheme="minorHAnsi" w:eastAsiaTheme="minorEastAsia" w:hAnsiTheme="minorHAnsi"/>
                <w:b w:val="0"/>
                <w:color w:val="auto"/>
                <w:sz w:val="22"/>
                <w:lang w:val="en-AU" w:eastAsia="en-AU"/>
              </w:rPr>
              <w:tab/>
            </w:r>
            <w:r w:rsidR="0028637B" w:rsidRPr="00672D0C">
              <w:rPr>
                <w:rStyle w:val="Hyperlink"/>
              </w:rPr>
              <w:t>Key elements of decision on APTNT’s revenue</w:t>
            </w:r>
            <w:r w:rsidR="0028637B">
              <w:rPr>
                <w:webHidden/>
              </w:rPr>
              <w:tab/>
            </w:r>
            <w:r w:rsidR="0028637B">
              <w:rPr>
                <w:webHidden/>
              </w:rPr>
              <w:fldChar w:fldCharType="begin"/>
            </w:r>
            <w:r w:rsidR="0028637B">
              <w:rPr>
                <w:webHidden/>
              </w:rPr>
              <w:instrText xml:space="preserve"> PAGEREF _Toc451873625 \h </w:instrText>
            </w:r>
            <w:r w:rsidR="0028637B">
              <w:rPr>
                <w:webHidden/>
              </w:rPr>
            </w:r>
            <w:r w:rsidR="0028637B">
              <w:rPr>
                <w:webHidden/>
              </w:rPr>
              <w:fldChar w:fldCharType="separate"/>
            </w:r>
            <w:r w:rsidR="0028637B">
              <w:rPr>
                <w:webHidden/>
              </w:rPr>
              <w:t>21</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26" w:history="1">
            <w:r w:rsidR="0028637B" w:rsidRPr="00672D0C">
              <w:rPr>
                <w:rStyle w:val="Hyperlink"/>
              </w:rPr>
              <w:t>4.1</w:t>
            </w:r>
            <w:r w:rsidR="0028637B">
              <w:rPr>
                <w:rFonts w:asciiTheme="minorHAnsi" w:eastAsiaTheme="minorEastAsia" w:hAnsiTheme="minorHAnsi"/>
                <w:b w:val="0"/>
                <w:color w:val="auto"/>
                <w:sz w:val="22"/>
                <w:lang w:eastAsia="en-AU"/>
              </w:rPr>
              <w:tab/>
            </w:r>
            <w:r w:rsidR="0028637B" w:rsidRPr="00672D0C">
              <w:rPr>
                <w:rStyle w:val="Hyperlink"/>
              </w:rPr>
              <w:t>Capital base</w:t>
            </w:r>
            <w:r w:rsidR="0028637B">
              <w:rPr>
                <w:webHidden/>
              </w:rPr>
              <w:tab/>
            </w:r>
            <w:r w:rsidR="0028637B">
              <w:rPr>
                <w:webHidden/>
              </w:rPr>
              <w:fldChar w:fldCharType="begin"/>
            </w:r>
            <w:r w:rsidR="0028637B">
              <w:rPr>
                <w:webHidden/>
              </w:rPr>
              <w:instrText xml:space="preserve"> PAGEREF _Toc451873626 \h </w:instrText>
            </w:r>
            <w:r w:rsidR="0028637B">
              <w:rPr>
                <w:webHidden/>
              </w:rPr>
            </w:r>
            <w:r w:rsidR="0028637B">
              <w:rPr>
                <w:webHidden/>
              </w:rPr>
              <w:fldChar w:fldCharType="separate"/>
            </w:r>
            <w:r w:rsidR="0028637B">
              <w:rPr>
                <w:webHidden/>
              </w:rPr>
              <w:t>21</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27" w:history="1">
            <w:r w:rsidR="0028637B" w:rsidRPr="00672D0C">
              <w:rPr>
                <w:rStyle w:val="Hyperlink"/>
              </w:rPr>
              <w:t>4.2</w:t>
            </w:r>
            <w:r w:rsidR="0028637B">
              <w:rPr>
                <w:rFonts w:asciiTheme="minorHAnsi" w:eastAsiaTheme="minorEastAsia" w:hAnsiTheme="minorHAnsi"/>
                <w:b w:val="0"/>
                <w:color w:val="auto"/>
                <w:sz w:val="22"/>
                <w:lang w:eastAsia="en-AU"/>
              </w:rPr>
              <w:tab/>
            </w:r>
            <w:r w:rsidR="0028637B" w:rsidRPr="00672D0C">
              <w:rPr>
                <w:rStyle w:val="Hyperlink"/>
              </w:rPr>
              <w:t>Rate of return (return on capital)</w:t>
            </w:r>
            <w:r w:rsidR="0028637B">
              <w:rPr>
                <w:webHidden/>
              </w:rPr>
              <w:tab/>
            </w:r>
            <w:r w:rsidR="0028637B">
              <w:rPr>
                <w:webHidden/>
              </w:rPr>
              <w:fldChar w:fldCharType="begin"/>
            </w:r>
            <w:r w:rsidR="0028637B">
              <w:rPr>
                <w:webHidden/>
              </w:rPr>
              <w:instrText xml:space="preserve"> PAGEREF _Toc451873627 \h </w:instrText>
            </w:r>
            <w:r w:rsidR="0028637B">
              <w:rPr>
                <w:webHidden/>
              </w:rPr>
            </w:r>
            <w:r w:rsidR="0028637B">
              <w:rPr>
                <w:webHidden/>
              </w:rPr>
              <w:fldChar w:fldCharType="separate"/>
            </w:r>
            <w:r w:rsidR="0028637B">
              <w:rPr>
                <w:webHidden/>
              </w:rPr>
              <w:t>24</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28" w:history="1">
            <w:r w:rsidR="0028637B" w:rsidRPr="00672D0C">
              <w:rPr>
                <w:rStyle w:val="Hyperlink"/>
              </w:rPr>
              <w:t>4.3</w:t>
            </w:r>
            <w:r w:rsidR="0028637B">
              <w:rPr>
                <w:rFonts w:asciiTheme="minorHAnsi" w:eastAsiaTheme="minorEastAsia" w:hAnsiTheme="minorHAnsi"/>
                <w:b w:val="0"/>
                <w:color w:val="auto"/>
                <w:sz w:val="22"/>
                <w:lang w:eastAsia="en-AU"/>
              </w:rPr>
              <w:tab/>
            </w:r>
            <w:r w:rsidR="0028637B" w:rsidRPr="00672D0C">
              <w:rPr>
                <w:rStyle w:val="Hyperlink"/>
              </w:rPr>
              <w:t>Value of imputation credits (gamma)</w:t>
            </w:r>
            <w:r w:rsidR="0028637B">
              <w:rPr>
                <w:webHidden/>
              </w:rPr>
              <w:tab/>
            </w:r>
            <w:r w:rsidR="0028637B">
              <w:rPr>
                <w:webHidden/>
              </w:rPr>
              <w:fldChar w:fldCharType="begin"/>
            </w:r>
            <w:r w:rsidR="0028637B">
              <w:rPr>
                <w:webHidden/>
              </w:rPr>
              <w:instrText xml:space="preserve"> PAGEREF _Toc451873628 \h </w:instrText>
            </w:r>
            <w:r w:rsidR="0028637B">
              <w:rPr>
                <w:webHidden/>
              </w:rPr>
            </w:r>
            <w:r w:rsidR="0028637B">
              <w:rPr>
                <w:webHidden/>
              </w:rPr>
              <w:fldChar w:fldCharType="separate"/>
            </w:r>
            <w:r w:rsidR="0028637B">
              <w:rPr>
                <w:webHidden/>
              </w:rPr>
              <w:t>27</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29" w:history="1">
            <w:r w:rsidR="0028637B" w:rsidRPr="00672D0C">
              <w:rPr>
                <w:rStyle w:val="Hyperlink"/>
              </w:rPr>
              <w:t>4.4</w:t>
            </w:r>
            <w:r w:rsidR="0028637B">
              <w:rPr>
                <w:rFonts w:asciiTheme="minorHAnsi" w:eastAsiaTheme="minorEastAsia" w:hAnsiTheme="minorHAnsi"/>
                <w:b w:val="0"/>
                <w:color w:val="auto"/>
                <w:sz w:val="22"/>
                <w:lang w:eastAsia="en-AU"/>
              </w:rPr>
              <w:tab/>
            </w:r>
            <w:r w:rsidR="0028637B" w:rsidRPr="00672D0C">
              <w:rPr>
                <w:rStyle w:val="Hyperlink"/>
              </w:rPr>
              <w:t>Regulatory depreciation (return of capital)</w:t>
            </w:r>
            <w:r w:rsidR="0028637B">
              <w:rPr>
                <w:webHidden/>
              </w:rPr>
              <w:tab/>
            </w:r>
            <w:r w:rsidR="0028637B">
              <w:rPr>
                <w:webHidden/>
              </w:rPr>
              <w:fldChar w:fldCharType="begin"/>
            </w:r>
            <w:r w:rsidR="0028637B">
              <w:rPr>
                <w:webHidden/>
              </w:rPr>
              <w:instrText xml:space="preserve"> PAGEREF _Toc451873629 \h </w:instrText>
            </w:r>
            <w:r w:rsidR="0028637B">
              <w:rPr>
                <w:webHidden/>
              </w:rPr>
            </w:r>
            <w:r w:rsidR="0028637B">
              <w:rPr>
                <w:webHidden/>
              </w:rPr>
              <w:fldChar w:fldCharType="separate"/>
            </w:r>
            <w:r w:rsidR="0028637B">
              <w:rPr>
                <w:webHidden/>
              </w:rPr>
              <w:t>29</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30" w:history="1">
            <w:r w:rsidR="0028637B" w:rsidRPr="00672D0C">
              <w:rPr>
                <w:rStyle w:val="Hyperlink"/>
              </w:rPr>
              <w:t>4.5</w:t>
            </w:r>
            <w:r w:rsidR="0028637B">
              <w:rPr>
                <w:rFonts w:asciiTheme="minorHAnsi" w:eastAsiaTheme="minorEastAsia" w:hAnsiTheme="minorHAnsi"/>
                <w:b w:val="0"/>
                <w:color w:val="auto"/>
                <w:sz w:val="22"/>
                <w:lang w:eastAsia="en-AU"/>
              </w:rPr>
              <w:tab/>
            </w:r>
            <w:r w:rsidR="0028637B" w:rsidRPr="00672D0C">
              <w:rPr>
                <w:rStyle w:val="Hyperlink"/>
              </w:rPr>
              <w:t>Capital expenditure</w:t>
            </w:r>
            <w:r w:rsidR="0028637B">
              <w:rPr>
                <w:webHidden/>
              </w:rPr>
              <w:tab/>
            </w:r>
            <w:r w:rsidR="0028637B">
              <w:rPr>
                <w:webHidden/>
              </w:rPr>
              <w:fldChar w:fldCharType="begin"/>
            </w:r>
            <w:r w:rsidR="0028637B">
              <w:rPr>
                <w:webHidden/>
              </w:rPr>
              <w:instrText xml:space="preserve"> PAGEREF _Toc451873630 \h </w:instrText>
            </w:r>
            <w:r w:rsidR="0028637B">
              <w:rPr>
                <w:webHidden/>
              </w:rPr>
            </w:r>
            <w:r w:rsidR="0028637B">
              <w:rPr>
                <w:webHidden/>
              </w:rPr>
              <w:fldChar w:fldCharType="separate"/>
            </w:r>
            <w:r w:rsidR="0028637B">
              <w:rPr>
                <w:webHidden/>
              </w:rPr>
              <w:t>30</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31" w:history="1">
            <w:r w:rsidR="0028637B" w:rsidRPr="00672D0C">
              <w:rPr>
                <w:rStyle w:val="Hyperlink"/>
              </w:rPr>
              <w:t>4.6</w:t>
            </w:r>
            <w:r w:rsidR="0028637B">
              <w:rPr>
                <w:rFonts w:asciiTheme="minorHAnsi" w:eastAsiaTheme="minorEastAsia" w:hAnsiTheme="minorHAnsi"/>
                <w:b w:val="0"/>
                <w:color w:val="auto"/>
                <w:sz w:val="22"/>
                <w:lang w:eastAsia="en-AU"/>
              </w:rPr>
              <w:tab/>
            </w:r>
            <w:r w:rsidR="0028637B" w:rsidRPr="00672D0C">
              <w:rPr>
                <w:rStyle w:val="Hyperlink"/>
              </w:rPr>
              <w:t>Operating expenditure</w:t>
            </w:r>
            <w:r w:rsidR="0028637B">
              <w:rPr>
                <w:webHidden/>
              </w:rPr>
              <w:tab/>
            </w:r>
            <w:r w:rsidR="0028637B">
              <w:rPr>
                <w:webHidden/>
              </w:rPr>
              <w:fldChar w:fldCharType="begin"/>
            </w:r>
            <w:r w:rsidR="0028637B">
              <w:rPr>
                <w:webHidden/>
              </w:rPr>
              <w:instrText xml:space="preserve"> PAGEREF _Toc451873631 \h </w:instrText>
            </w:r>
            <w:r w:rsidR="0028637B">
              <w:rPr>
                <w:webHidden/>
              </w:rPr>
            </w:r>
            <w:r w:rsidR="0028637B">
              <w:rPr>
                <w:webHidden/>
              </w:rPr>
              <w:fldChar w:fldCharType="separate"/>
            </w:r>
            <w:r w:rsidR="0028637B">
              <w:rPr>
                <w:webHidden/>
              </w:rPr>
              <w:t>33</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32" w:history="1">
            <w:r w:rsidR="0028637B" w:rsidRPr="00672D0C">
              <w:rPr>
                <w:rStyle w:val="Hyperlink"/>
              </w:rPr>
              <w:t>4.7</w:t>
            </w:r>
            <w:r w:rsidR="0028637B">
              <w:rPr>
                <w:rFonts w:asciiTheme="minorHAnsi" w:eastAsiaTheme="minorEastAsia" w:hAnsiTheme="minorHAnsi"/>
                <w:b w:val="0"/>
                <w:color w:val="auto"/>
                <w:sz w:val="22"/>
                <w:lang w:eastAsia="en-AU"/>
              </w:rPr>
              <w:tab/>
            </w:r>
            <w:r w:rsidR="0028637B" w:rsidRPr="00672D0C">
              <w:rPr>
                <w:rStyle w:val="Hyperlink"/>
              </w:rPr>
              <w:t>Corporate income tax</w:t>
            </w:r>
            <w:r w:rsidR="0028637B">
              <w:rPr>
                <w:webHidden/>
              </w:rPr>
              <w:tab/>
            </w:r>
            <w:r w:rsidR="0028637B">
              <w:rPr>
                <w:webHidden/>
              </w:rPr>
              <w:fldChar w:fldCharType="begin"/>
            </w:r>
            <w:r w:rsidR="0028637B">
              <w:rPr>
                <w:webHidden/>
              </w:rPr>
              <w:instrText xml:space="preserve"> PAGEREF _Toc451873632 \h </w:instrText>
            </w:r>
            <w:r w:rsidR="0028637B">
              <w:rPr>
                <w:webHidden/>
              </w:rPr>
            </w:r>
            <w:r w:rsidR="0028637B">
              <w:rPr>
                <w:webHidden/>
              </w:rPr>
              <w:fldChar w:fldCharType="separate"/>
            </w:r>
            <w:r w:rsidR="0028637B">
              <w:rPr>
                <w:webHidden/>
              </w:rPr>
              <w:t>34</w:t>
            </w:r>
            <w:r w:rsidR="0028637B">
              <w:rPr>
                <w:webHidden/>
              </w:rPr>
              <w:fldChar w:fldCharType="end"/>
            </w:r>
          </w:hyperlink>
        </w:p>
        <w:p w:rsidR="0028637B" w:rsidRDefault="006A6E05">
          <w:pPr>
            <w:pStyle w:val="TOC1"/>
            <w:rPr>
              <w:rFonts w:asciiTheme="minorHAnsi" w:eastAsiaTheme="minorEastAsia" w:hAnsiTheme="minorHAnsi"/>
              <w:b w:val="0"/>
              <w:color w:val="auto"/>
              <w:sz w:val="22"/>
              <w:lang w:val="en-AU" w:eastAsia="en-AU"/>
            </w:rPr>
          </w:pPr>
          <w:hyperlink w:anchor="_Toc451873633" w:history="1">
            <w:r w:rsidR="0028637B" w:rsidRPr="00672D0C">
              <w:rPr>
                <w:rStyle w:val="Hyperlink"/>
              </w:rPr>
              <w:t>5</w:t>
            </w:r>
            <w:r w:rsidR="0028637B">
              <w:rPr>
                <w:rFonts w:asciiTheme="minorHAnsi" w:eastAsiaTheme="minorEastAsia" w:hAnsiTheme="minorHAnsi"/>
                <w:b w:val="0"/>
                <w:color w:val="auto"/>
                <w:sz w:val="22"/>
                <w:lang w:val="en-AU" w:eastAsia="en-AU"/>
              </w:rPr>
              <w:tab/>
            </w:r>
            <w:r w:rsidR="0028637B" w:rsidRPr="00672D0C">
              <w:rPr>
                <w:rStyle w:val="Hyperlink"/>
              </w:rPr>
              <w:t>Demand, reference tariffs and incentive schemes</w:t>
            </w:r>
            <w:r w:rsidR="0028637B">
              <w:rPr>
                <w:webHidden/>
              </w:rPr>
              <w:tab/>
            </w:r>
            <w:r w:rsidR="0028637B">
              <w:rPr>
                <w:webHidden/>
              </w:rPr>
              <w:fldChar w:fldCharType="begin"/>
            </w:r>
            <w:r w:rsidR="0028637B">
              <w:rPr>
                <w:webHidden/>
              </w:rPr>
              <w:instrText xml:space="preserve"> PAGEREF _Toc451873633 \h </w:instrText>
            </w:r>
            <w:r w:rsidR="0028637B">
              <w:rPr>
                <w:webHidden/>
              </w:rPr>
            </w:r>
            <w:r w:rsidR="0028637B">
              <w:rPr>
                <w:webHidden/>
              </w:rPr>
              <w:fldChar w:fldCharType="separate"/>
            </w:r>
            <w:r w:rsidR="0028637B">
              <w:rPr>
                <w:webHidden/>
              </w:rPr>
              <w:t>36</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34" w:history="1">
            <w:r w:rsidR="0028637B" w:rsidRPr="00672D0C">
              <w:rPr>
                <w:rStyle w:val="Hyperlink"/>
              </w:rPr>
              <w:t>5.1</w:t>
            </w:r>
            <w:r w:rsidR="0028637B">
              <w:rPr>
                <w:rFonts w:asciiTheme="minorHAnsi" w:eastAsiaTheme="minorEastAsia" w:hAnsiTheme="minorHAnsi"/>
                <w:b w:val="0"/>
                <w:color w:val="auto"/>
                <w:sz w:val="22"/>
                <w:lang w:eastAsia="en-AU"/>
              </w:rPr>
              <w:tab/>
            </w:r>
            <w:r w:rsidR="0028637B" w:rsidRPr="00672D0C">
              <w:rPr>
                <w:rStyle w:val="Hyperlink"/>
              </w:rPr>
              <w:t>Demand</w:t>
            </w:r>
            <w:r w:rsidR="0028637B">
              <w:rPr>
                <w:webHidden/>
              </w:rPr>
              <w:tab/>
            </w:r>
            <w:r w:rsidR="0028637B">
              <w:rPr>
                <w:webHidden/>
              </w:rPr>
              <w:fldChar w:fldCharType="begin"/>
            </w:r>
            <w:r w:rsidR="0028637B">
              <w:rPr>
                <w:webHidden/>
              </w:rPr>
              <w:instrText xml:space="preserve"> PAGEREF _Toc451873634 \h </w:instrText>
            </w:r>
            <w:r w:rsidR="0028637B">
              <w:rPr>
                <w:webHidden/>
              </w:rPr>
            </w:r>
            <w:r w:rsidR="0028637B">
              <w:rPr>
                <w:webHidden/>
              </w:rPr>
              <w:fldChar w:fldCharType="separate"/>
            </w:r>
            <w:r w:rsidR="0028637B">
              <w:rPr>
                <w:webHidden/>
              </w:rPr>
              <w:t>36</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35" w:history="1">
            <w:r w:rsidR="0028637B" w:rsidRPr="00672D0C">
              <w:rPr>
                <w:rStyle w:val="Hyperlink"/>
              </w:rPr>
              <w:t>5.2</w:t>
            </w:r>
            <w:r w:rsidR="0028637B">
              <w:rPr>
                <w:rFonts w:asciiTheme="minorHAnsi" w:eastAsiaTheme="minorEastAsia" w:hAnsiTheme="minorHAnsi"/>
                <w:b w:val="0"/>
                <w:color w:val="auto"/>
                <w:sz w:val="22"/>
                <w:lang w:eastAsia="en-AU"/>
              </w:rPr>
              <w:tab/>
            </w:r>
            <w:r w:rsidR="0028637B" w:rsidRPr="00672D0C">
              <w:rPr>
                <w:rStyle w:val="Hyperlink"/>
              </w:rPr>
              <w:t>Services covered by the access arrangement</w:t>
            </w:r>
            <w:r w:rsidR="0028637B">
              <w:rPr>
                <w:webHidden/>
              </w:rPr>
              <w:tab/>
            </w:r>
            <w:r w:rsidR="0028637B">
              <w:rPr>
                <w:webHidden/>
              </w:rPr>
              <w:fldChar w:fldCharType="begin"/>
            </w:r>
            <w:r w:rsidR="0028637B">
              <w:rPr>
                <w:webHidden/>
              </w:rPr>
              <w:instrText xml:space="preserve"> PAGEREF _Toc451873635 \h </w:instrText>
            </w:r>
            <w:r w:rsidR="0028637B">
              <w:rPr>
                <w:webHidden/>
              </w:rPr>
            </w:r>
            <w:r w:rsidR="0028637B">
              <w:rPr>
                <w:webHidden/>
              </w:rPr>
              <w:fldChar w:fldCharType="separate"/>
            </w:r>
            <w:r w:rsidR="0028637B">
              <w:rPr>
                <w:webHidden/>
              </w:rPr>
              <w:t>37</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36" w:history="1">
            <w:r w:rsidR="0028637B" w:rsidRPr="00672D0C">
              <w:rPr>
                <w:rStyle w:val="Hyperlink"/>
              </w:rPr>
              <w:t>5.3</w:t>
            </w:r>
            <w:r w:rsidR="0028637B">
              <w:rPr>
                <w:rFonts w:asciiTheme="minorHAnsi" w:eastAsiaTheme="minorEastAsia" w:hAnsiTheme="minorHAnsi"/>
                <w:b w:val="0"/>
                <w:color w:val="auto"/>
                <w:sz w:val="22"/>
                <w:lang w:eastAsia="en-AU"/>
              </w:rPr>
              <w:tab/>
            </w:r>
            <w:r w:rsidR="0028637B" w:rsidRPr="00672D0C">
              <w:rPr>
                <w:rStyle w:val="Hyperlink"/>
              </w:rPr>
              <w:t>Reference tariffs and reference tariff variation mechanism</w:t>
            </w:r>
            <w:r w:rsidR="0028637B">
              <w:rPr>
                <w:webHidden/>
              </w:rPr>
              <w:tab/>
            </w:r>
            <w:r w:rsidR="0028637B">
              <w:rPr>
                <w:webHidden/>
              </w:rPr>
              <w:fldChar w:fldCharType="begin"/>
            </w:r>
            <w:r w:rsidR="0028637B">
              <w:rPr>
                <w:webHidden/>
              </w:rPr>
              <w:instrText xml:space="preserve"> PAGEREF _Toc451873636 \h </w:instrText>
            </w:r>
            <w:r w:rsidR="0028637B">
              <w:rPr>
                <w:webHidden/>
              </w:rPr>
            </w:r>
            <w:r w:rsidR="0028637B">
              <w:rPr>
                <w:webHidden/>
              </w:rPr>
              <w:fldChar w:fldCharType="separate"/>
            </w:r>
            <w:r w:rsidR="0028637B">
              <w:rPr>
                <w:webHidden/>
              </w:rPr>
              <w:t>37</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37" w:history="1">
            <w:r w:rsidR="0028637B" w:rsidRPr="00672D0C">
              <w:rPr>
                <w:rStyle w:val="Hyperlink"/>
              </w:rPr>
              <w:t>5.4</w:t>
            </w:r>
            <w:r w:rsidR="0028637B">
              <w:rPr>
                <w:rFonts w:asciiTheme="minorHAnsi" w:eastAsiaTheme="minorEastAsia" w:hAnsiTheme="minorHAnsi"/>
                <w:b w:val="0"/>
                <w:color w:val="auto"/>
                <w:sz w:val="22"/>
                <w:lang w:eastAsia="en-AU"/>
              </w:rPr>
              <w:tab/>
            </w:r>
            <w:r w:rsidR="0028637B" w:rsidRPr="00672D0C">
              <w:rPr>
                <w:rStyle w:val="Hyperlink"/>
              </w:rPr>
              <w:t>Incentive schemes</w:t>
            </w:r>
            <w:r w:rsidR="0028637B">
              <w:rPr>
                <w:webHidden/>
              </w:rPr>
              <w:tab/>
            </w:r>
            <w:r w:rsidR="0028637B">
              <w:rPr>
                <w:webHidden/>
              </w:rPr>
              <w:fldChar w:fldCharType="begin"/>
            </w:r>
            <w:r w:rsidR="0028637B">
              <w:rPr>
                <w:webHidden/>
              </w:rPr>
              <w:instrText xml:space="preserve"> PAGEREF _Toc451873637 \h </w:instrText>
            </w:r>
            <w:r w:rsidR="0028637B">
              <w:rPr>
                <w:webHidden/>
              </w:rPr>
            </w:r>
            <w:r w:rsidR="0028637B">
              <w:rPr>
                <w:webHidden/>
              </w:rPr>
              <w:fldChar w:fldCharType="separate"/>
            </w:r>
            <w:r w:rsidR="0028637B">
              <w:rPr>
                <w:webHidden/>
              </w:rPr>
              <w:t>39</w:t>
            </w:r>
            <w:r w:rsidR="0028637B">
              <w:rPr>
                <w:webHidden/>
              </w:rPr>
              <w:fldChar w:fldCharType="end"/>
            </w:r>
          </w:hyperlink>
        </w:p>
        <w:p w:rsidR="0028637B" w:rsidRDefault="006A6E05">
          <w:pPr>
            <w:pStyle w:val="TOC1"/>
            <w:rPr>
              <w:rFonts w:asciiTheme="minorHAnsi" w:eastAsiaTheme="minorEastAsia" w:hAnsiTheme="minorHAnsi"/>
              <w:b w:val="0"/>
              <w:color w:val="auto"/>
              <w:sz w:val="22"/>
              <w:lang w:val="en-AU" w:eastAsia="en-AU"/>
            </w:rPr>
          </w:pPr>
          <w:hyperlink w:anchor="_Toc451873638" w:history="1">
            <w:r w:rsidR="0028637B" w:rsidRPr="00672D0C">
              <w:rPr>
                <w:rStyle w:val="Hyperlink"/>
              </w:rPr>
              <w:t>6</w:t>
            </w:r>
            <w:r w:rsidR="0028637B">
              <w:rPr>
                <w:rFonts w:asciiTheme="minorHAnsi" w:eastAsiaTheme="minorEastAsia" w:hAnsiTheme="minorHAnsi"/>
                <w:b w:val="0"/>
                <w:color w:val="auto"/>
                <w:sz w:val="22"/>
                <w:lang w:val="en-AU" w:eastAsia="en-AU"/>
              </w:rPr>
              <w:tab/>
            </w:r>
            <w:r w:rsidR="0028637B" w:rsidRPr="00672D0C">
              <w:rPr>
                <w:rStyle w:val="Hyperlink"/>
              </w:rPr>
              <w:t>Non-tariff components</w:t>
            </w:r>
            <w:r w:rsidR="0028637B">
              <w:rPr>
                <w:webHidden/>
              </w:rPr>
              <w:tab/>
            </w:r>
            <w:r w:rsidR="0028637B">
              <w:rPr>
                <w:webHidden/>
              </w:rPr>
              <w:fldChar w:fldCharType="begin"/>
            </w:r>
            <w:r w:rsidR="0028637B">
              <w:rPr>
                <w:webHidden/>
              </w:rPr>
              <w:instrText xml:space="preserve"> PAGEREF _Toc451873638 \h </w:instrText>
            </w:r>
            <w:r w:rsidR="0028637B">
              <w:rPr>
                <w:webHidden/>
              </w:rPr>
            </w:r>
            <w:r w:rsidR="0028637B">
              <w:rPr>
                <w:webHidden/>
              </w:rPr>
              <w:fldChar w:fldCharType="separate"/>
            </w:r>
            <w:r w:rsidR="0028637B">
              <w:rPr>
                <w:webHidden/>
              </w:rPr>
              <w:t>41</w:t>
            </w:r>
            <w:r w:rsidR="0028637B">
              <w:rPr>
                <w:webHidden/>
              </w:rPr>
              <w:fldChar w:fldCharType="end"/>
            </w:r>
          </w:hyperlink>
        </w:p>
        <w:p w:rsidR="0028637B" w:rsidRDefault="006A6E05">
          <w:pPr>
            <w:pStyle w:val="TOC1"/>
            <w:rPr>
              <w:rFonts w:asciiTheme="minorHAnsi" w:eastAsiaTheme="minorEastAsia" w:hAnsiTheme="minorHAnsi"/>
              <w:b w:val="0"/>
              <w:color w:val="auto"/>
              <w:sz w:val="22"/>
              <w:lang w:val="en-AU" w:eastAsia="en-AU"/>
            </w:rPr>
          </w:pPr>
          <w:hyperlink w:anchor="_Toc451873639" w:history="1">
            <w:r w:rsidR="0028637B" w:rsidRPr="00672D0C">
              <w:rPr>
                <w:rStyle w:val="Hyperlink"/>
              </w:rPr>
              <w:t>7</w:t>
            </w:r>
            <w:r w:rsidR="0028637B">
              <w:rPr>
                <w:rFonts w:asciiTheme="minorHAnsi" w:eastAsiaTheme="minorEastAsia" w:hAnsiTheme="minorHAnsi"/>
                <w:b w:val="0"/>
                <w:color w:val="auto"/>
                <w:sz w:val="22"/>
                <w:lang w:val="en-AU" w:eastAsia="en-AU"/>
              </w:rPr>
              <w:tab/>
            </w:r>
            <w:r w:rsidR="0028637B" w:rsidRPr="00672D0C">
              <w:rPr>
                <w:rStyle w:val="Hyperlink"/>
              </w:rPr>
              <w:t>Understanding the NGO</w:t>
            </w:r>
            <w:r w:rsidR="0028637B">
              <w:rPr>
                <w:webHidden/>
              </w:rPr>
              <w:tab/>
            </w:r>
            <w:r w:rsidR="0028637B">
              <w:rPr>
                <w:webHidden/>
              </w:rPr>
              <w:fldChar w:fldCharType="begin"/>
            </w:r>
            <w:r w:rsidR="0028637B">
              <w:rPr>
                <w:webHidden/>
              </w:rPr>
              <w:instrText xml:space="preserve"> PAGEREF _Toc451873639 \h </w:instrText>
            </w:r>
            <w:r w:rsidR="0028637B">
              <w:rPr>
                <w:webHidden/>
              </w:rPr>
            </w:r>
            <w:r w:rsidR="0028637B">
              <w:rPr>
                <w:webHidden/>
              </w:rPr>
              <w:fldChar w:fldCharType="separate"/>
            </w:r>
            <w:r w:rsidR="0028637B">
              <w:rPr>
                <w:webHidden/>
              </w:rPr>
              <w:t>43</w:t>
            </w:r>
            <w:r w:rsidR="0028637B">
              <w:rPr>
                <w:webHidden/>
              </w:rPr>
              <w:fldChar w:fldCharType="end"/>
            </w:r>
          </w:hyperlink>
        </w:p>
        <w:p w:rsidR="0028637B" w:rsidRDefault="006A6E05">
          <w:pPr>
            <w:pStyle w:val="TOC2"/>
            <w:rPr>
              <w:rFonts w:asciiTheme="minorHAnsi" w:eastAsiaTheme="minorEastAsia" w:hAnsiTheme="minorHAnsi"/>
              <w:b w:val="0"/>
              <w:color w:val="auto"/>
              <w:sz w:val="22"/>
              <w:lang w:eastAsia="en-AU"/>
            </w:rPr>
          </w:pPr>
          <w:hyperlink w:anchor="_Toc451873640" w:history="1">
            <w:r w:rsidR="0028637B" w:rsidRPr="00672D0C">
              <w:rPr>
                <w:rStyle w:val="Hyperlink"/>
              </w:rPr>
              <w:t>7.1</w:t>
            </w:r>
            <w:r w:rsidR="0028637B">
              <w:rPr>
                <w:rFonts w:asciiTheme="minorHAnsi" w:eastAsiaTheme="minorEastAsia" w:hAnsiTheme="minorHAnsi"/>
                <w:b w:val="0"/>
                <w:color w:val="auto"/>
                <w:sz w:val="22"/>
                <w:lang w:eastAsia="en-AU"/>
              </w:rPr>
              <w:tab/>
            </w:r>
            <w:r w:rsidR="0028637B" w:rsidRPr="00672D0C">
              <w:rPr>
                <w:rStyle w:val="Hyperlink"/>
              </w:rPr>
              <w:t>Achieving the NGO to the greatest degree</w:t>
            </w:r>
            <w:r w:rsidR="0028637B">
              <w:rPr>
                <w:webHidden/>
              </w:rPr>
              <w:tab/>
            </w:r>
            <w:r w:rsidR="0028637B">
              <w:rPr>
                <w:webHidden/>
              </w:rPr>
              <w:fldChar w:fldCharType="begin"/>
            </w:r>
            <w:r w:rsidR="0028637B">
              <w:rPr>
                <w:webHidden/>
              </w:rPr>
              <w:instrText xml:space="preserve"> PAGEREF _Toc451873640 \h </w:instrText>
            </w:r>
            <w:r w:rsidR="0028637B">
              <w:rPr>
                <w:webHidden/>
              </w:rPr>
            </w:r>
            <w:r w:rsidR="0028637B">
              <w:rPr>
                <w:webHidden/>
              </w:rPr>
              <w:fldChar w:fldCharType="separate"/>
            </w:r>
            <w:r w:rsidR="0028637B">
              <w:rPr>
                <w:webHidden/>
              </w:rPr>
              <w:t>46</w:t>
            </w:r>
            <w:r w:rsidR="0028637B">
              <w:rPr>
                <w:webHidden/>
              </w:rPr>
              <w:fldChar w:fldCharType="end"/>
            </w:r>
          </w:hyperlink>
        </w:p>
        <w:p w:rsidR="0028637B" w:rsidRDefault="006A6E05">
          <w:pPr>
            <w:pStyle w:val="TOC3"/>
            <w:rPr>
              <w:rFonts w:asciiTheme="minorHAnsi" w:eastAsiaTheme="minorEastAsia" w:hAnsiTheme="minorHAnsi"/>
              <w:lang w:eastAsia="en-AU"/>
            </w:rPr>
          </w:pPr>
          <w:hyperlink w:anchor="_Toc451873641" w:history="1">
            <w:r w:rsidR="0028637B" w:rsidRPr="00672D0C">
              <w:rPr>
                <w:rStyle w:val="Hyperlink"/>
              </w:rPr>
              <w:t>7.1.1</w:t>
            </w:r>
            <w:r w:rsidR="0028637B">
              <w:rPr>
                <w:rFonts w:asciiTheme="minorHAnsi" w:eastAsiaTheme="minorEastAsia" w:hAnsiTheme="minorHAnsi"/>
                <w:lang w:eastAsia="en-AU"/>
              </w:rPr>
              <w:tab/>
            </w:r>
            <w:r w:rsidR="0028637B" w:rsidRPr="00672D0C">
              <w:rPr>
                <w:rStyle w:val="Hyperlink"/>
              </w:rPr>
              <w:t>Interrelationships between individual components</w:t>
            </w:r>
            <w:r w:rsidR="0028637B">
              <w:rPr>
                <w:webHidden/>
              </w:rPr>
              <w:tab/>
            </w:r>
            <w:r w:rsidR="0028637B">
              <w:rPr>
                <w:webHidden/>
              </w:rPr>
              <w:fldChar w:fldCharType="begin"/>
            </w:r>
            <w:r w:rsidR="0028637B">
              <w:rPr>
                <w:webHidden/>
              </w:rPr>
              <w:instrText xml:space="preserve"> PAGEREF _Toc451873641 \h </w:instrText>
            </w:r>
            <w:r w:rsidR="0028637B">
              <w:rPr>
                <w:webHidden/>
              </w:rPr>
            </w:r>
            <w:r w:rsidR="0028637B">
              <w:rPr>
                <w:webHidden/>
              </w:rPr>
              <w:fldChar w:fldCharType="separate"/>
            </w:r>
            <w:r w:rsidR="0028637B">
              <w:rPr>
                <w:webHidden/>
              </w:rPr>
              <w:t>47</w:t>
            </w:r>
            <w:r w:rsidR="0028637B">
              <w:rPr>
                <w:webHidden/>
              </w:rPr>
              <w:fldChar w:fldCharType="end"/>
            </w:r>
          </w:hyperlink>
        </w:p>
        <w:p w:rsidR="0028637B" w:rsidRDefault="006A6E05">
          <w:pPr>
            <w:pStyle w:val="TOC1"/>
            <w:rPr>
              <w:rFonts w:asciiTheme="minorHAnsi" w:eastAsiaTheme="minorEastAsia" w:hAnsiTheme="minorHAnsi"/>
              <w:b w:val="0"/>
              <w:color w:val="auto"/>
              <w:sz w:val="22"/>
              <w:lang w:val="en-AU" w:eastAsia="en-AU"/>
            </w:rPr>
          </w:pPr>
          <w:hyperlink w:anchor="_Toc451873642" w:history="1">
            <w:r w:rsidR="0028637B" w:rsidRPr="00672D0C">
              <w:rPr>
                <w:rStyle w:val="Hyperlink"/>
              </w:rPr>
              <w:t>A</w:t>
            </w:r>
            <w:r w:rsidR="0028637B">
              <w:rPr>
                <w:rFonts w:asciiTheme="minorHAnsi" w:eastAsiaTheme="minorEastAsia" w:hAnsiTheme="minorHAnsi"/>
                <w:b w:val="0"/>
                <w:color w:val="auto"/>
                <w:sz w:val="22"/>
                <w:lang w:val="en-AU" w:eastAsia="en-AU"/>
              </w:rPr>
              <w:tab/>
            </w:r>
            <w:r w:rsidR="0028637B" w:rsidRPr="00672D0C">
              <w:rPr>
                <w:rStyle w:val="Hyperlink"/>
              </w:rPr>
              <w:t>List of submissions</w:t>
            </w:r>
            <w:r w:rsidR="0028637B">
              <w:rPr>
                <w:webHidden/>
              </w:rPr>
              <w:tab/>
            </w:r>
            <w:r w:rsidR="0028637B">
              <w:rPr>
                <w:webHidden/>
              </w:rPr>
              <w:fldChar w:fldCharType="begin"/>
            </w:r>
            <w:r w:rsidR="0028637B">
              <w:rPr>
                <w:webHidden/>
              </w:rPr>
              <w:instrText xml:space="preserve"> PAGEREF _Toc451873642 \h </w:instrText>
            </w:r>
            <w:r w:rsidR="0028637B">
              <w:rPr>
                <w:webHidden/>
              </w:rPr>
            </w:r>
            <w:r w:rsidR="0028637B">
              <w:rPr>
                <w:webHidden/>
              </w:rPr>
              <w:fldChar w:fldCharType="separate"/>
            </w:r>
            <w:r w:rsidR="0028637B">
              <w:rPr>
                <w:webHidden/>
              </w:rPr>
              <w:t>49</w:t>
            </w:r>
            <w:r w:rsidR="0028637B">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51873614"/>
      <w:r>
        <w:t>Shortened forms</w:t>
      </w:r>
      <w:bookmarkEnd w:id="7"/>
      <w:bookmarkEnd w:id="8"/>
    </w:p>
    <w:tbl>
      <w:tblPr>
        <w:tblStyle w:val="AERtable-numbers"/>
        <w:tblW w:w="0" w:type="auto"/>
        <w:tblLook w:val="04A0" w:firstRow="1" w:lastRow="0" w:firstColumn="1" w:lastColumn="0" w:noHBand="0" w:noVBand="1"/>
      </w:tblPr>
      <w:tblGrid>
        <w:gridCol w:w="2376"/>
        <w:gridCol w:w="6317"/>
      </w:tblGrid>
      <w:tr w:rsidR="00B2363F" w:rsidRPr="00B2363F" w:rsidTr="00B236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bookmarkStart w:id="9" w:name="_Toc430002782"/>
            <w:bookmarkStart w:id="10" w:name="_Toc436046166"/>
            <w:r w:rsidRPr="00B2363F">
              <w:rPr>
                <w:lang w:eastAsia="en-US"/>
              </w:rPr>
              <w:t>Shortened form</w:t>
            </w:r>
          </w:p>
        </w:tc>
        <w:tc>
          <w:tcPr>
            <w:tcW w:w="6317" w:type="dxa"/>
          </w:tcPr>
          <w:p w:rsidR="00B2363F" w:rsidRPr="00B2363F" w:rsidRDefault="00B2363F" w:rsidP="00B2363F">
            <w:pPr>
              <w:numPr>
                <w:ilvl w:val="0"/>
                <w:numId w:val="24"/>
              </w:numPr>
              <w:cnfStyle w:val="100000000000" w:firstRow="1" w:lastRow="0" w:firstColumn="0" w:lastColumn="0" w:oddVBand="0" w:evenVBand="0" w:oddHBand="0" w:evenHBand="0" w:firstRowFirstColumn="0" w:firstRowLastColumn="0" w:lastRowFirstColumn="0" w:lastRowLastColumn="0"/>
              <w:rPr>
                <w:lang w:eastAsia="en-US"/>
              </w:rPr>
            </w:pPr>
            <w:r w:rsidRPr="00B2363F">
              <w:rPr>
                <w:lang w:eastAsia="en-US"/>
              </w:rPr>
              <w:t>Extended form</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AA</w:t>
            </w:r>
          </w:p>
        </w:tc>
        <w:tc>
          <w:tcPr>
            <w:tcW w:w="6317" w:type="dxa"/>
          </w:tcPr>
          <w:p w:rsidR="00B2363F" w:rsidRPr="00B2363F" w:rsidRDefault="00B2363F" w:rsidP="00B2363F">
            <w:pPr>
              <w:cnfStyle w:val="000000000000" w:firstRow="0" w:lastRow="0" w:firstColumn="0" w:lastColumn="0" w:oddVBand="0" w:evenVBand="0" w:oddHBand="0" w:evenHBand="0" w:firstRowFirstColumn="0" w:firstRowLastColumn="0" w:lastRowFirstColumn="0" w:lastRowLastColumn="0"/>
              <w:rPr>
                <w:lang w:eastAsia="en-US"/>
              </w:rPr>
            </w:pPr>
            <w:r w:rsidRPr="00B2363F">
              <w:rPr>
                <w:lang w:eastAsia="en-US"/>
              </w:rPr>
              <w:t>Access Arrangement</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AAI</w:t>
            </w:r>
          </w:p>
        </w:tc>
        <w:tc>
          <w:tcPr>
            <w:tcW w:w="6317" w:type="dxa"/>
          </w:tcPr>
          <w:p w:rsidR="00B2363F" w:rsidRPr="00B2363F" w:rsidRDefault="00B2363F" w:rsidP="00B2363F">
            <w:pPr>
              <w:cnfStyle w:val="000000010000" w:firstRow="0" w:lastRow="0" w:firstColumn="0" w:lastColumn="0" w:oddVBand="0" w:evenVBand="0" w:oddHBand="0" w:evenHBand="1" w:firstRowFirstColumn="0" w:firstRowLastColumn="0" w:lastRowFirstColumn="0" w:lastRowLastColumn="0"/>
              <w:rPr>
                <w:lang w:eastAsia="en-US"/>
              </w:rPr>
            </w:pPr>
            <w:r w:rsidRPr="00B2363F">
              <w:rPr>
                <w:lang w:eastAsia="en-US"/>
              </w:rPr>
              <w:t>Access Arrangement Information</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AER</w:t>
            </w:r>
          </w:p>
        </w:tc>
        <w:tc>
          <w:tcPr>
            <w:tcW w:w="6317" w:type="dxa"/>
          </w:tcPr>
          <w:p w:rsidR="00B2363F" w:rsidRPr="00B2363F" w:rsidRDefault="00B2363F" w:rsidP="00B2363F">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B2363F">
              <w:rPr>
                <w:lang w:eastAsia="en-US"/>
              </w:rPr>
              <w:t>Australian Energy Regulator</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ATO</w:t>
            </w:r>
          </w:p>
        </w:tc>
        <w:tc>
          <w:tcPr>
            <w:tcW w:w="6317" w:type="dxa"/>
          </w:tcPr>
          <w:p w:rsidR="00B2363F" w:rsidRPr="00B2363F" w:rsidRDefault="00B2363F" w:rsidP="00B2363F">
            <w:pPr>
              <w:cnfStyle w:val="000000010000" w:firstRow="0" w:lastRow="0" w:firstColumn="0" w:lastColumn="0" w:oddVBand="0" w:evenVBand="0" w:oddHBand="0" w:evenHBand="1" w:firstRowFirstColumn="0" w:firstRowLastColumn="0" w:lastRowFirstColumn="0" w:lastRowLastColumn="0"/>
              <w:rPr>
                <w:lang w:eastAsia="en-US"/>
              </w:rPr>
            </w:pPr>
            <w:r w:rsidRPr="00B2363F">
              <w:rPr>
                <w:lang w:eastAsia="en-US"/>
              </w:rPr>
              <w:t>Australian Tax Office</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capex</w:t>
            </w:r>
          </w:p>
        </w:tc>
        <w:tc>
          <w:tcPr>
            <w:tcW w:w="6317" w:type="dxa"/>
          </w:tcPr>
          <w:p w:rsidR="00B2363F" w:rsidRPr="00B2363F" w:rsidRDefault="00B2363F" w:rsidP="00B2363F">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B2363F">
              <w:rPr>
                <w:lang w:eastAsia="en-US"/>
              </w:rPr>
              <w:t>capital expenditure</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CAPM</w:t>
            </w:r>
          </w:p>
        </w:tc>
        <w:tc>
          <w:tcPr>
            <w:tcW w:w="6317" w:type="dxa"/>
          </w:tcPr>
          <w:p w:rsidR="00B2363F" w:rsidRPr="00B2363F" w:rsidRDefault="00B2363F" w:rsidP="00B2363F">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B2363F">
              <w:rPr>
                <w:lang w:eastAsia="en-US"/>
              </w:rPr>
              <w:t>capital asset pricing model</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CPI</w:t>
            </w:r>
          </w:p>
        </w:tc>
        <w:tc>
          <w:tcPr>
            <w:tcW w:w="6317" w:type="dxa"/>
          </w:tcPr>
          <w:p w:rsidR="00B2363F" w:rsidRPr="00B2363F" w:rsidRDefault="00B2363F" w:rsidP="00B2363F">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B2363F">
              <w:rPr>
                <w:lang w:eastAsia="en-US"/>
              </w:rPr>
              <w:t>consumer price index</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DRP</w:t>
            </w:r>
          </w:p>
        </w:tc>
        <w:tc>
          <w:tcPr>
            <w:tcW w:w="6317" w:type="dxa"/>
          </w:tcPr>
          <w:p w:rsidR="00B2363F" w:rsidRPr="00B2363F" w:rsidRDefault="00B2363F" w:rsidP="00B2363F">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B2363F">
              <w:rPr>
                <w:lang w:eastAsia="en-US"/>
              </w:rPr>
              <w:t>debt risk premium</w:t>
            </w:r>
          </w:p>
        </w:tc>
      </w:tr>
      <w:tr w:rsidR="00DE6C18"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DE6C18" w:rsidRPr="00B2363F" w:rsidRDefault="00DE6C18" w:rsidP="00B2363F">
            <w:pPr>
              <w:numPr>
                <w:ilvl w:val="0"/>
                <w:numId w:val="24"/>
              </w:numPr>
            </w:pPr>
            <w:r>
              <w:t>ECM</w:t>
            </w:r>
          </w:p>
        </w:tc>
        <w:tc>
          <w:tcPr>
            <w:tcW w:w="6317" w:type="dxa"/>
          </w:tcPr>
          <w:p w:rsidR="00DE6C18" w:rsidRPr="00B2363F" w:rsidRDefault="00DE6C18" w:rsidP="00B2363F">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ERP</w:t>
            </w:r>
          </w:p>
        </w:tc>
        <w:tc>
          <w:tcPr>
            <w:tcW w:w="6317" w:type="dxa"/>
          </w:tcPr>
          <w:p w:rsidR="00B2363F" w:rsidRPr="00B2363F" w:rsidRDefault="00B2363F" w:rsidP="00B2363F">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B2363F">
              <w:rPr>
                <w:lang w:eastAsia="en-US"/>
              </w:rPr>
              <w:t>equity risk premium</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Expenditure Guideline</w:t>
            </w:r>
          </w:p>
        </w:tc>
        <w:tc>
          <w:tcPr>
            <w:tcW w:w="6317" w:type="dxa"/>
          </w:tcPr>
          <w:p w:rsidR="00B2363F" w:rsidRPr="00B2363F" w:rsidRDefault="00B2363F" w:rsidP="00B2363F">
            <w:pPr>
              <w:cnfStyle w:val="000000000000" w:firstRow="0" w:lastRow="0" w:firstColumn="0" w:lastColumn="0" w:oddVBand="0" w:evenVBand="0" w:oddHBand="0" w:evenHBand="0" w:firstRowFirstColumn="0" w:firstRowLastColumn="0" w:lastRowFirstColumn="0" w:lastRowLastColumn="0"/>
              <w:rPr>
                <w:lang w:eastAsia="en-US"/>
              </w:rPr>
            </w:pPr>
            <w:r w:rsidRPr="00B2363F">
              <w:rPr>
                <w:lang w:eastAsia="en-US"/>
              </w:rPr>
              <w:t>Expenditure Forecast Assessment Guideline</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gamma</w:t>
            </w:r>
          </w:p>
        </w:tc>
        <w:tc>
          <w:tcPr>
            <w:tcW w:w="6317" w:type="dxa"/>
          </w:tcPr>
          <w:p w:rsidR="00B2363F" w:rsidRPr="00B2363F" w:rsidRDefault="00B2363F" w:rsidP="00B2363F">
            <w:pPr>
              <w:cnfStyle w:val="000000010000" w:firstRow="0" w:lastRow="0" w:firstColumn="0" w:lastColumn="0" w:oddVBand="0" w:evenVBand="0" w:oddHBand="0" w:evenHBand="1" w:firstRowFirstColumn="0" w:firstRowLastColumn="0" w:lastRowFirstColumn="0" w:lastRowLastColumn="0"/>
              <w:rPr>
                <w:lang w:eastAsia="en-US"/>
              </w:rPr>
            </w:pPr>
            <w:r>
              <w:t>v</w:t>
            </w:r>
            <w:r w:rsidRPr="00B2363F">
              <w:rPr>
                <w:lang w:eastAsia="en-US"/>
              </w:rPr>
              <w:t xml:space="preserve">alue of </w:t>
            </w:r>
            <w:r>
              <w:t>i</w:t>
            </w:r>
            <w:r>
              <w:rPr>
                <w:lang w:eastAsia="en-US"/>
              </w:rPr>
              <w:t xml:space="preserve">mputation </w:t>
            </w:r>
            <w:r>
              <w:t>c</w:t>
            </w:r>
            <w:r w:rsidRPr="00B2363F">
              <w:rPr>
                <w:lang w:eastAsia="en-US"/>
              </w:rPr>
              <w:t>redits</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GTA</w:t>
            </w:r>
          </w:p>
        </w:tc>
        <w:tc>
          <w:tcPr>
            <w:tcW w:w="6317" w:type="dxa"/>
          </w:tcPr>
          <w:p w:rsidR="00B2363F" w:rsidRPr="00B2363F" w:rsidRDefault="00B2363F" w:rsidP="00B2363F">
            <w:pPr>
              <w:cnfStyle w:val="000000000000" w:firstRow="0" w:lastRow="0" w:firstColumn="0" w:lastColumn="0" w:oddVBand="0" w:evenVBand="0" w:oddHBand="0" w:evenHBand="0" w:firstRowFirstColumn="0" w:firstRowLastColumn="0" w:lastRowFirstColumn="0" w:lastRowLastColumn="0"/>
              <w:rPr>
                <w:lang w:eastAsia="en-US"/>
              </w:rPr>
            </w:pPr>
            <w:r>
              <w:t>G</w:t>
            </w:r>
            <w:r w:rsidRPr="00B2363F">
              <w:rPr>
                <w:lang w:eastAsia="en-US"/>
              </w:rPr>
              <w:t xml:space="preserve">as </w:t>
            </w:r>
            <w:r>
              <w:t>T</w:t>
            </w:r>
            <w:r w:rsidRPr="00B2363F">
              <w:rPr>
                <w:lang w:eastAsia="en-US"/>
              </w:rPr>
              <w:t xml:space="preserve">ransport </w:t>
            </w:r>
            <w:r>
              <w:t>S</w:t>
            </w:r>
            <w:r w:rsidRPr="00B2363F">
              <w:rPr>
                <w:lang w:eastAsia="en-US"/>
              </w:rPr>
              <w:t xml:space="preserve">ervices </w:t>
            </w:r>
            <w:r>
              <w:t>A</w:t>
            </w:r>
            <w:r w:rsidRPr="00B2363F">
              <w:rPr>
                <w:lang w:eastAsia="en-US"/>
              </w:rPr>
              <w:t>greement</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MRP</w:t>
            </w:r>
          </w:p>
        </w:tc>
        <w:tc>
          <w:tcPr>
            <w:tcW w:w="6317" w:type="dxa"/>
          </w:tcPr>
          <w:p w:rsidR="00B2363F" w:rsidRPr="00B2363F" w:rsidRDefault="00B2363F" w:rsidP="00B2363F">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B2363F">
              <w:rPr>
                <w:lang w:eastAsia="en-US"/>
              </w:rPr>
              <w:t>market risk premium</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N</w:t>
            </w:r>
            <w:r>
              <w:t>GP</w:t>
            </w:r>
          </w:p>
        </w:tc>
        <w:tc>
          <w:tcPr>
            <w:tcW w:w="6317" w:type="dxa"/>
          </w:tcPr>
          <w:p w:rsidR="00B2363F" w:rsidRPr="00B2363F" w:rsidRDefault="00B2363F" w:rsidP="00B2363F">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t>Northern Gas Pipeline (formerly North East Gas Interconnector/NEGI)</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NGL</w:t>
            </w:r>
          </w:p>
        </w:tc>
        <w:tc>
          <w:tcPr>
            <w:tcW w:w="6317" w:type="dxa"/>
          </w:tcPr>
          <w:p w:rsidR="00B2363F" w:rsidRPr="00B2363F" w:rsidRDefault="00B2363F" w:rsidP="00B2363F">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t>N</w:t>
            </w:r>
            <w:r w:rsidRPr="00B2363F">
              <w:rPr>
                <w:lang w:eastAsia="en-US"/>
              </w:rPr>
              <w:t xml:space="preserve">ational </w:t>
            </w:r>
            <w:r>
              <w:t>G</w:t>
            </w:r>
            <w:r w:rsidRPr="00B2363F">
              <w:rPr>
                <w:lang w:eastAsia="en-US"/>
              </w:rPr>
              <w:t xml:space="preserve">as </w:t>
            </w:r>
            <w:r>
              <w:t>L</w:t>
            </w:r>
            <w:r w:rsidRPr="00B2363F">
              <w:rPr>
                <w:lang w:eastAsia="en-US"/>
              </w:rPr>
              <w:t>aw</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NGO</w:t>
            </w:r>
          </w:p>
        </w:tc>
        <w:tc>
          <w:tcPr>
            <w:tcW w:w="6317" w:type="dxa"/>
          </w:tcPr>
          <w:p w:rsidR="00B2363F" w:rsidRPr="00B2363F" w:rsidRDefault="00B2363F" w:rsidP="00B2363F">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t>N</w:t>
            </w:r>
            <w:r w:rsidRPr="00B2363F">
              <w:rPr>
                <w:lang w:eastAsia="en-US"/>
              </w:rPr>
              <w:t xml:space="preserve">ational </w:t>
            </w:r>
            <w:r>
              <w:t>G</w:t>
            </w:r>
            <w:r w:rsidRPr="00B2363F">
              <w:rPr>
                <w:lang w:eastAsia="en-US"/>
              </w:rPr>
              <w:t xml:space="preserve">as </w:t>
            </w:r>
            <w:r>
              <w:t>O</w:t>
            </w:r>
            <w:r w:rsidRPr="00B2363F">
              <w:rPr>
                <w:lang w:eastAsia="en-US"/>
              </w:rPr>
              <w:t>bjective</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NGR</w:t>
            </w:r>
          </w:p>
        </w:tc>
        <w:tc>
          <w:tcPr>
            <w:tcW w:w="6317" w:type="dxa"/>
          </w:tcPr>
          <w:p w:rsidR="00B2363F" w:rsidRPr="00B2363F" w:rsidRDefault="00B2363F" w:rsidP="00B2363F">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t>N</w:t>
            </w:r>
            <w:r w:rsidRPr="00B2363F">
              <w:rPr>
                <w:lang w:eastAsia="en-US"/>
              </w:rPr>
              <w:t xml:space="preserve">ational </w:t>
            </w:r>
            <w:r>
              <w:t>G</w:t>
            </w:r>
            <w:r w:rsidRPr="00B2363F">
              <w:rPr>
                <w:lang w:eastAsia="en-US"/>
              </w:rPr>
              <w:t xml:space="preserve">as </w:t>
            </w:r>
            <w:r>
              <w:t>R</w:t>
            </w:r>
            <w:r w:rsidRPr="00B2363F">
              <w:rPr>
                <w:lang w:eastAsia="en-US"/>
              </w:rPr>
              <w:t>ules</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NPV</w:t>
            </w:r>
          </w:p>
        </w:tc>
        <w:tc>
          <w:tcPr>
            <w:tcW w:w="6317" w:type="dxa"/>
          </w:tcPr>
          <w:p w:rsidR="00B2363F" w:rsidRPr="00B2363F" w:rsidRDefault="00B2363F" w:rsidP="00B2363F">
            <w:pPr>
              <w:cnfStyle w:val="000000000000" w:firstRow="0" w:lastRow="0" w:firstColumn="0" w:lastColumn="0" w:oddVBand="0" w:evenVBand="0" w:oddHBand="0" w:evenHBand="0" w:firstRowFirstColumn="0" w:firstRowLastColumn="0" w:lastRowFirstColumn="0" w:lastRowLastColumn="0"/>
              <w:rPr>
                <w:lang w:eastAsia="en-US"/>
              </w:rPr>
            </w:pPr>
            <w:r w:rsidRPr="00B2363F">
              <w:rPr>
                <w:lang w:eastAsia="en-US"/>
              </w:rPr>
              <w:t>net present value</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opex</w:t>
            </w:r>
          </w:p>
        </w:tc>
        <w:tc>
          <w:tcPr>
            <w:tcW w:w="6317" w:type="dxa"/>
          </w:tcPr>
          <w:p w:rsidR="00B2363F" w:rsidRPr="00B2363F" w:rsidRDefault="00B2363F" w:rsidP="00B2363F">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B2363F">
              <w:rPr>
                <w:lang w:eastAsia="en-US"/>
              </w:rPr>
              <w:t>operating expenditure</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PTRM</w:t>
            </w:r>
          </w:p>
        </w:tc>
        <w:tc>
          <w:tcPr>
            <w:tcW w:w="6317" w:type="dxa"/>
          </w:tcPr>
          <w:p w:rsidR="00B2363F" w:rsidRPr="00B2363F" w:rsidRDefault="00B2363F" w:rsidP="00B2363F">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B2363F">
              <w:rPr>
                <w:lang w:eastAsia="en-US"/>
              </w:rPr>
              <w:t>post-tax revenue model</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RBA</w:t>
            </w:r>
          </w:p>
        </w:tc>
        <w:tc>
          <w:tcPr>
            <w:tcW w:w="6317" w:type="dxa"/>
          </w:tcPr>
          <w:p w:rsidR="00B2363F" w:rsidRPr="00B2363F" w:rsidRDefault="00B2363F" w:rsidP="00B2363F">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B2363F">
              <w:rPr>
                <w:lang w:eastAsia="en-US"/>
              </w:rPr>
              <w:t>Reserve Bank of Australia</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RFM</w:t>
            </w:r>
          </w:p>
        </w:tc>
        <w:tc>
          <w:tcPr>
            <w:tcW w:w="6317" w:type="dxa"/>
          </w:tcPr>
          <w:p w:rsidR="00B2363F" w:rsidRPr="00B2363F" w:rsidRDefault="00B2363F" w:rsidP="00B2363F">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B2363F">
              <w:rPr>
                <w:lang w:eastAsia="en-US"/>
              </w:rPr>
              <w:t>roll forward model</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RIN</w:t>
            </w:r>
          </w:p>
        </w:tc>
        <w:tc>
          <w:tcPr>
            <w:tcW w:w="6317" w:type="dxa"/>
          </w:tcPr>
          <w:p w:rsidR="00B2363F" w:rsidRPr="00B2363F" w:rsidRDefault="00B2363F" w:rsidP="00B2363F">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B2363F">
              <w:rPr>
                <w:lang w:eastAsia="en-US"/>
              </w:rPr>
              <w:t>regulatory information notice</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RPP</w:t>
            </w:r>
          </w:p>
        </w:tc>
        <w:tc>
          <w:tcPr>
            <w:tcW w:w="6317" w:type="dxa"/>
          </w:tcPr>
          <w:p w:rsidR="00B2363F" w:rsidRPr="00B2363F" w:rsidRDefault="00B2363F" w:rsidP="00B2363F">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B2363F">
              <w:rPr>
                <w:lang w:eastAsia="en-US"/>
              </w:rPr>
              <w:t>revenue and pricing principles</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SLCAPM</w:t>
            </w:r>
          </w:p>
        </w:tc>
        <w:tc>
          <w:tcPr>
            <w:tcW w:w="6317" w:type="dxa"/>
          </w:tcPr>
          <w:p w:rsidR="00B2363F" w:rsidRPr="00B2363F" w:rsidRDefault="00B2363F" w:rsidP="00B2363F">
            <w:pPr>
              <w:numPr>
                <w:ilvl w:val="0"/>
                <w:numId w:val="24"/>
              </w:numPr>
              <w:cnfStyle w:val="000000010000" w:firstRow="0" w:lastRow="0" w:firstColumn="0" w:lastColumn="0" w:oddVBand="0" w:evenVBand="0" w:oddHBand="0" w:evenHBand="1" w:firstRowFirstColumn="0" w:firstRowLastColumn="0" w:lastRowFirstColumn="0" w:lastRowLastColumn="0"/>
              <w:rPr>
                <w:lang w:eastAsia="en-US"/>
              </w:rPr>
            </w:pPr>
            <w:r w:rsidRPr="00B2363F">
              <w:rPr>
                <w:lang w:eastAsia="en-US"/>
              </w:rPr>
              <w:t>Sharpe-Lintner capital asset pricing model</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TAB</w:t>
            </w:r>
          </w:p>
        </w:tc>
        <w:tc>
          <w:tcPr>
            <w:tcW w:w="6317" w:type="dxa"/>
          </w:tcPr>
          <w:p w:rsidR="00B2363F" w:rsidRPr="00B2363F" w:rsidRDefault="00B2363F" w:rsidP="00B2363F">
            <w:pPr>
              <w:cnfStyle w:val="000000000000" w:firstRow="0" w:lastRow="0" w:firstColumn="0" w:lastColumn="0" w:oddVBand="0" w:evenVBand="0" w:oddHBand="0" w:evenHBand="0" w:firstRowFirstColumn="0" w:firstRowLastColumn="0" w:lastRowFirstColumn="0" w:lastRowLastColumn="0"/>
              <w:rPr>
                <w:lang w:eastAsia="en-US"/>
              </w:rPr>
            </w:pPr>
            <w:r>
              <w:t>t</w:t>
            </w:r>
            <w:r w:rsidRPr="00B2363F">
              <w:rPr>
                <w:lang w:eastAsia="en-US"/>
              </w:rPr>
              <w:t>ax asset base</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UAFG</w:t>
            </w:r>
          </w:p>
        </w:tc>
        <w:tc>
          <w:tcPr>
            <w:tcW w:w="6317" w:type="dxa"/>
          </w:tcPr>
          <w:p w:rsidR="00B2363F" w:rsidRPr="00B2363F" w:rsidRDefault="00B2363F" w:rsidP="00B2363F">
            <w:pPr>
              <w:cnfStyle w:val="000000010000" w:firstRow="0" w:lastRow="0" w:firstColumn="0" w:lastColumn="0" w:oddVBand="0" w:evenVBand="0" w:oddHBand="0" w:evenHBand="1" w:firstRowFirstColumn="0" w:firstRowLastColumn="0" w:lastRowFirstColumn="0" w:lastRowLastColumn="0"/>
              <w:rPr>
                <w:lang w:eastAsia="en-US"/>
              </w:rPr>
            </w:pPr>
            <w:r>
              <w:t>u</w:t>
            </w:r>
            <w:r w:rsidRPr="00B2363F">
              <w:rPr>
                <w:lang w:eastAsia="en-US"/>
              </w:rPr>
              <w:t>naccounted for gas</w:t>
            </w:r>
          </w:p>
        </w:tc>
      </w:tr>
      <w:tr w:rsidR="00B2363F" w:rsidRPr="00B2363F" w:rsidTr="00B2363F">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WACC</w:t>
            </w:r>
          </w:p>
        </w:tc>
        <w:tc>
          <w:tcPr>
            <w:tcW w:w="6317" w:type="dxa"/>
          </w:tcPr>
          <w:p w:rsidR="00B2363F" w:rsidRPr="00B2363F" w:rsidRDefault="00B2363F" w:rsidP="00B2363F">
            <w:pPr>
              <w:numPr>
                <w:ilvl w:val="0"/>
                <w:numId w:val="24"/>
              </w:numPr>
              <w:cnfStyle w:val="000000000000" w:firstRow="0" w:lastRow="0" w:firstColumn="0" w:lastColumn="0" w:oddVBand="0" w:evenVBand="0" w:oddHBand="0" w:evenHBand="0" w:firstRowFirstColumn="0" w:firstRowLastColumn="0" w:lastRowFirstColumn="0" w:lastRowLastColumn="0"/>
              <w:rPr>
                <w:lang w:eastAsia="en-US"/>
              </w:rPr>
            </w:pPr>
            <w:r w:rsidRPr="00B2363F">
              <w:rPr>
                <w:lang w:eastAsia="en-US"/>
              </w:rPr>
              <w:t>weighted average cost of capital</w:t>
            </w:r>
          </w:p>
        </w:tc>
      </w:tr>
      <w:tr w:rsidR="00B2363F" w:rsidRPr="00B2363F" w:rsidTr="00B236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2363F" w:rsidRPr="00B2363F" w:rsidRDefault="00B2363F" w:rsidP="00B2363F">
            <w:pPr>
              <w:numPr>
                <w:ilvl w:val="0"/>
                <w:numId w:val="24"/>
              </w:numPr>
              <w:rPr>
                <w:lang w:eastAsia="en-US"/>
              </w:rPr>
            </w:pPr>
            <w:r w:rsidRPr="00B2363F">
              <w:rPr>
                <w:lang w:eastAsia="en-US"/>
              </w:rPr>
              <w:t>WPI</w:t>
            </w:r>
          </w:p>
        </w:tc>
        <w:tc>
          <w:tcPr>
            <w:tcW w:w="6317" w:type="dxa"/>
          </w:tcPr>
          <w:p w:rsidR="00B2363F" w:rsidRPr="00B2363F" w:rsidRDefault="00B2363F" w:rsidP="00B2363F">
            <w:pPr>
              <w:cnfStyle w:val="000000010000" w:firstRow="0" w:lastRow="0" w:firstColumn="0" w:lastColumn="0" w:oddVBand="0" w:evenVBand="0" w:oddHBand="0" w:evenHBand="1" w:firstRowFirstColumn="0" w:firstRowLastColumn="0" w:lastRowFirstColumn="0" w:lastRowLastColumn="0"/>
              <w:rPr>
                <w:lang w:eastAsia="en-US"/>
              </w:rPr>
            </w:pPr>
            <w:r w:rsidRPr="00B2363F">
              <w:rPr>
                <w:lang w:eastAsia="en-US"/>
              </w:rPr>
              <w:t>Wage Price Index</w:t>
            </w:r>
          </w:p>
        </w:tc>
      </w:tr>
    </w:tbl>
    <w:p w:rsidR="005766DB" w:rsidRDefault="005766DB" w:rsidP="005766DB">
      <w:pPr>
        <w:pStyle w:val="Heading1"/>
      </w:pPr>
      <w:bookmarkStart w:id="11" w:name="_Toc451873615"/>
      <w:r>
        <w:t>Introduction</w:t>
      </w:r>
      <w:bookmarkEnd w:id="9"/>
      <w:bookmarkEnd w:id="10"/>
      <w:bookmarkEnd w:id="11"/>
    </w:p>
    <w:p w:rsidR="005766DB" w:rsidRDefault="005766DB" w:rsidP="005766DB">
      <w:r>
        <w:t>We, the Australian Energy Regulator (AER), are responsible for the economic regulation of covered gas pipelines</w:t>
      </w:r>
      <w:r>
        <w:rPr>
          <w:rStyle w:val="FootnoteReference"/>
        </w:rPr>
        <w:footnoteReference w:id="1"/>
      </w:r>
      <w:r>
        <w:t xml:space="preserve"> in all states and territories in Australia except for Western Australia. </w:t>
      </w:r>
    </w:p>
    <w:p w:rsidR="005766DB" w:rsidRDefault="005766DB" w:rsidP="005766DB">
      <w:pPr>
        <w:pStyle w:val="ListParagraph"/>
        <w:numPr>
          <w:ilvl w:val="0"/>
          <w:numId w:val="24"/>
        </w:numPr>
      </w:pPr>
      <w:r>
        <w:t xml:space="preserve">APT Pipelines (NT) Pty Limited (APTNT) operates the Amadeus Gas Pipeline (AGP), </w:t>
      </w:r>
      <w:r w:rsidR="0003290C">
        <w:t xml:space="preserve">a covered transmission pipeline </w:t>
      </w:r>
      <w:r>
        <w:t>in the Northern Territory. As with other covered pipelines, we regulate APTNT's reference tariffs, and through th</w:t>
      </w:r>
      <w:r w:rsidR="00452D69">
        <w:t>ese,</w:t>
      </w:r>
      <w:r>
        <w:t xml:space="preserve"> its revenue</w:t>
      </w:r>
      <w:r w:rsidR="009835A9">
        <w:t xml:space="preserve"> for reference services</w:t>
      </w:r>
      <w:r>
        <w:t xml:space="preserve">. </w:t>
      </w:r>
    </w:p>
    <w:p w:rsidR="005766DB" w:rsidRDefault="005766DB" w:rsidP="005766DB">
      <w:pPr>
        <w:numPr>
          <w:ilvl w:val="0"/>
          <w:numId w:val="24"/>
        </w:numPr>
      </w:pPr>
      <w:r>
        <w:t xml:space="preserve">The National Gas Law (NGL) and National Gas Rules (NGR) provide the regulatory framework governing gas networks. In regulating APTNT, we are guided by the National Gas Objective (NGO), </w:t>
      </w:r>
      <w:r w:rsidR="0003290C">
        <w:t>which is</w:t>
      </w:r>
      <w:r>
        <w:t xml:space="preserve"> set out in the NGL. The NGO is to promote efficient investment in, and efficient operation and use of, natural gas services for the long term interests of consumers of natural gas with respect to price, quality, safety, reliability and security of supply of natural gas.</w:t>
      </w:r>
      <w:r>
        <w:rPr>
          <w:rStyle w:val="FootnoteReference"/>
        </w:rPr>
        <w:footnoteReference w:id="2"/>
      </w:r>
    </w:p>
    <w:p w:rsidR="00434A75" w:rsidRPr="00434A75" w:rsidRDefault="0003290C" w:rsidP="00434A75">
      <w:r>
        <w:t>APTNT submitted an</w:t>
      </w:r>
      <w:r w:rsidR="00434A75" w:rsidRPr="00434A75">
        <w:t xml:space="preserve"> access arrangement revision proposal </w:t>
      </w:r>
      <w:r>
        <w:t xml:space="preserve">for the AGP </w:t>
      </w:r>
      <w:r w:rsidR="00434A75" w:rsidRPr="00434A75">
        <w:t>on 4 August 2015, for the 2016–21 access arrangement period.</w:t>
      </w:r>
      <w:r w:rsidR="00434A75">
        <w:t xml:space="preserve"> </w:t>
      </w:r>
      <w:r w:rsidR="00434A75" w:rsidRPr="00434A75">
        <w:t xml:space="preserve">Our draft decision, released for consultation on 26 November 2015, did not accept </w:t>
      </w:r>
      <w:r w:rsidR="00434A75">
        <w:t>APTNT</w:t>
      </w:r>
      <w:r w:rsidR="00434A75" w:rsidRPr="00434A75">
        <w:t xml:space="preserve">'s proposal and specified the nature of amendments required to make the proposal acceptable to us. </w:t>
      </w:r>
      <w:r w:rsidR="00434A75">
        <w:t>APTNT</w:t>
      </w:r>
      <w:r w:rsidR="00434A75" w:rsidRPr="00434A75">
        <w:t xml:space="preserve"> submitted a revised proposal on 6 January 2016. We </w:t>
      </w:r>
      <w:r>
        <w:t>received submissions on both the draft decision and revised proposal, which are available on our website</w:t>
      </w:r>
      <w:r w:rsidR="00434A75" w:rsidRPr="00434A75">
        <w:t>.</w:t>
      </w:r>
      <w:r w:rsidR="00EC2AEE">
        <w:rPr>
          <w:rStyle w:val="FootnoteReference"/>
        </w:rPr>
        <w:footnoteReference w:id="3"/>
      </w:r>
      <w:r w:rsidR="00434A75" w:rsidRPr="00434A75">
        <w:t xml:space="preserve"> </w:t>
      </w:r>
    </w:p>
    <w:p w:rsidR="005766DB" w:rsidRPr="005766DB" w:rsidRDefault="005766DB" w:rsidP="005766DB">
      <w:pPr>
        <w:pStyle w:val="Heading2"/>
      </w:pPr>
      <w:bookmarkStart w:id="12" w:name="_Toc433016410"/>
      <w:bookmarkStart w:id="13" w:name="_Toc432083540"/>
      <w:bookmarkStart w:id="14" w:name="_Toc429039116"/>
      <w:bookmarkStart w:id="15" w:name="_Toc436046167"/>
      <w:bookmarkStart w:id="16" w:name="_Toc451873616"/>
      <w:r>
        <w:t>Structure of overview</w:t>
      </w:r>
      <w:bookmarkEnd w:id="12"/>
      <w:bookmarkEnd w:id="13"/>
      <w:bookmarkEnd w:id="14"/>
      <w:bookmarkEnd w:id="15"/>
      <w:bookmarkEnd w:id="16"/>
    </w:p>
    <w:p w:rsidR="005766DB" w:rsidRDefault="005766DB" w:rsidP="005766DB">
      <w:r>
        <w:t xml:space="preserve">This overview provides a summary of our </w:t>
      </w:r>
      <w:r w:rsidR="00513106">
        <w:t>final</w:t>
      </w:r>
      <w:r>
        <w:t xml:space="preserve"> decision and its individual components. It is structured as follows:</w:t>
      </w:r>
    </w:p>
    <w:p w:rsidR="005766DB" w:rsidRPr="005766DB" w:rsidRDefault="005766DB" w:rsidP="005766DB">
      <w:pPr>
        <w:pStyle w:val="AERbulletlistfirststyle"/>
      </w:pPr>
      <w:r>
        <w:t xml:space="preserve">Section </w:t>
      </w:r>
      <w:r w:rsidRPr="005766DB">
        <w:fldChar w:fldCharType="begin"/>
      </w:r>
      <w:r w:rsidRPr="005766DB">
        <w:instrText xml:space="preserve"> REF _Ref433643753 \r \h </w:instrText>
      </w:r>
      <w:r w:rsidRPr="005766DB">
        <w:fldChar w:fldCharType="separate"/>
      </w:r>
      <w:r w:rsidR="009F7892">
        <w:t>2</w:t>
      </w:r>
      <w:r w:rsidRPr="005766DB">
        <w:fldChar w:fldCharType="end"/>
      </w:r>
      <w:r w:rsidRPr="005766DB">
        <w:t xml:space="preserve"> provides a high-level summary of our </w:t>
      </w:r>
      <w:r w:rsidR="00513106">
        <w:t>final</w:t>
      </w:r>
      <w:r w:rsidRPr="005766DB">
        <w:t xml:space="preserve"> decision and the key issues.</w:t>
      </w:r>
    </w:p>
    <w:p w:rsidR="005766DB" w:rsidRPr="005766DB" w:rsidRDefault="005766DB" w:rsidP="005766DB">
      <w:pPr>
        <w:pStyle w:val="AERbulletlistfirststyle"/>
      </w:pPr>
      <w:r>
        <w:t xml:space="preserve">Section </w:t>
      </w:r>
      <w:r w:rsidRPr="005766DB">
        <w:fldChar w:fldCharType="begin"/>
      </w:r>
      <w:r w:rsidRPr="005766DB">
        <w:instrText xml:space="preserve"> REF _Ref434251697 \r \h </w:instrText>
      </w:r>
      <w:r w:rsidRPr="005766DB">
        <w:fldChar w:fldCharType="separate"/>
      </w:r>
      <w:r w:rsidR="009F7892">
        <w:t>3</w:t>
      </w:r>
      <w:r w:rsidRPr="005766DB">
        <w:fldChar w:fldCharType="end"/>
      </w:r>
      <w:r w:rsidRPr="005766DB">
        <w:t xml:space="preserve"> sets out our </w:t>
      </w:r>
      <w:r w:rsidR="00513106">
        <w:t>final</w:t>
      </w:r>
      <w:r w:rsidRPr="005766DB">
        <w:t xml:space="preserve"> decision on APTNT's total revenue requirement. </w:t>
      </w:r>
    </w:p>
    <w:p w:rsidR="005766DB" w:rsidRPr="005766DB" w:rsidRDefault="005766DB" w:rsidP="005766DB">
      <w:pPr>
        <w:pStyle w:val="AERbulletlistfirststyle"/>
      </w:pPr>
      <w:r>
        <w:t xml:space="preserve">Section </w:t>
      </w:r>
      <w:r w:rsidRPr="005766DB">
        <w:fldChar w:fldCharType="begin"/>
      </w:r>
      <w:r w:rsidRPr="005766DB">
        <w:instrText xml:space="preserve"> REF _Ref435706840 \r \h </w:instrText>
      </w:r>
      <w:r w:rsidRPr="005766DB">
        <w:fldChar w:fldCharType="separate"/>
      </w:r>
      <w:r w:rsidR="009F7892">
        <w:t>4</w:t>
      </w:r>
      <w:r w:rsidRPr="005766DB">
        <w:fldChar w:fldCharType="end"/>
      </w:r>
      <w:r w:rsidRPr="005766DB">
        <w:t xml:space="preserve"> provides a break-down of our revenue decision into its key components. </w:t>
      </w:r>
    </w:p>
    <w:p w:rsidR="005766DB" w:rsidRPr="005766DB" w:rsidRDefault="005766DB" w:rsidP="005766DB">
      <w:pPr>
        <w:pStyle w:val="AERbulletlistfirststyle"/>
      </w:pPr>
      <w:r>
        <w:t xml:space="preserve">Section </w:t>
      </w:r>
      <w:r w:rsidRPr="005766DB">
        <w:fldChar w:fldCharType="begin"/>
      </w:r>
      <w:r w:rsidRPr="005766DB">
        <w:instrText xml:space="preserve"> REF _Ref433643781 \r \h </w:instrText>
      </w:r>
      <w:r w:rsidRPr="005766DB">
        <w:fldChar w:fldCharType="separate"/>
      </w:r>
      <w:r w:rsidR="009F7892">
        <w:t>5</w:t>
      </w:r>
      <w:r w:rsidRPr="005766DB">
        <w:fldChar w:fldCharType="end"/>
      </w:r>
      <w:r w:rsidRPr="005766DB">
        <w:t xml:space="preserve"> sets out our </w:t>
      </w:r>
      <w:r w:rsidR="00513106">
        <w:t>final</w:t>
      </w:r>
      <w:r w:rsidRPr="005766DB">
        <w:t xml:space="preserve"> decision on demand, APTNT's reference service, reference tariff setting and the reference tariff variation mechanism that will apply to APTNT. It also sets out our </w:t>
      </w:r>
      <w:r w:rsidR="00513106">
        <w:t>final</w:t>
      </w:r>
      <w:r w:rsidRPr="005766DB">
        <w:t xml:space="preserve"> decision on the incentive schemes to apply to APTNT.</w:t>
      </w:r>
    </w:p>
    <w:p w:rsidR="005766DB" w:rsidRPr="005766DB" w:rsidRDefault="005766DB" w:rsidP="005766DB">
      <w:pPr>
        <w:pStyle w:val="AERbulletlistfirststyle"/>
      </w:pPr>
      <w:r>
        <w:t xml:space="preserve">Section </w:t>
      </w:r>
      <w:r w:rsidRPr="005766DB">
        <w:fldChar w:fldCharType="begin"/>
      </w:r>
      <w:r w:rsidRPr="005766DB">
        <w:instrText xml:space="preserve"> REF _Ref433643795 \r \h </w:instrText>
      </w:r>
      <w:r w:rsidRPr="005766DB">
        <w:fldChar w:fldCharType="separate"/>
      </w:r>
      <w:r w:rsidR="009F7892">
        <w:t>6</w:t>
      </w:r>
      <w:r w:rsidRPr="005766DB">
        <w:fldChar w:fldCharType="end"/>
      </w:r>
      <w:r w:rsidRPr="005766DB">
        <w:t xml:space="preserve"> sets out our </w:t>
      </w:r>
      <w:r w:rsidR="00513106">
        <w:t>final</w:t>
      </w:r>
      <w:r w:rsidRPr="005766DB">
        <w:t xml:space="preserve"> decision on non-tariff components.</w:t>
      </w:r>
    </w:p>
    <w:p w:rsidR="005766DB" w:rsidRPr="005766DB" w:rsidRDefault="005766DB" w:rsidP="005766DB">
      <w:pPr>
        <w:pStyle w:val="AERbulletlistfirststyle"/>
      </w:pPr>
      <w:r>
        <w:t xml:space="preserve">Section </w:t>
      </w:r>
      <w:r w:rsidRPr="005766DB">
        <w:fldChar w:fldCharType="begin"/>
      </w:r>
      <w:r w:rsidRPr="005766DB">
        <w:instrText xml:space="preserve"> REF _Ref433643803 \r \h </w:instrText>
      </w:r>
      <w:r w:rsidRPr="005766DB">
        <w:fldChar w:fldCharType="separate"/>
      </w:r>
      <w:r w:rsidR="009F7892">
        <w:t>7</w:t>
      </w:r>
      <w:r w:rsidRPr="005766DB">
        <w:fldChar w:fldCharType="end"/>
      </w:r>
      <w:r w:rsidRPr="005766DB">
        <w:t xml:space="preserve"> explains our views on the regulatory framework and the NGO.</w:t>
      </w:r>
    </w:p>
    <w:p w:rsidR="005766DB" w:rsidRDefault="005766DB" w:rsidP="005766DB">
      <w:r>
        <w:t xml:space="preserve">In our attachments we set out </w:t>
      </w:r>
      <w:r w:rsidR="00617D62">
        <w:t xml:space="preserve">our </w:t>
      </w:r>
      <w:r>
        <w:t xml:space="preserve">detailed analysis of the individual components that make up our </w:t>
      </w:r>
      <w:r w:rsidR="00513106">
        <w:t>final</w:t>
      </w:r>
      <w:r>
        <w:t xml:space="preserve"> decision. </w:t>
      </w:r>
    </w:p>
    <w:p w:rsidR="005766DB" w:rsidRDefault="00434A75" w:rsidP="005766DB">
      <w:pPr>
        <w:pStyle w:val="Heading1"/>
      </w:pPr>
      <w:bookmarkStart w:id="17" w:name="_Toc430002783"/>
      <w:bookmarkStart w:id="18" w:name="_Ref433643753"/>
      <w:bookmarkStart w:id="19" w:name="_Ref433892882"/>
      <w:bookmarkStart w:id="20" w:name="_Ref433966792"/>
      <w:bookmarkStart w:id="21" w:name="_Toc436046168"/>
      <w:bookmarkStart w:id="22" w:name="_Toc451873617"/>
      <w:r>
        <w:t xml:space="preserve">Final </w:t>
      </w:r>
      <w:r w:rsidR="005766DB">
        <w:t>decision</w:t>
      </w:r>
      <w:bookmarkEnd w:id="17"/>
      <w:bookmarkEnd w:id="18"/>
      <w:bookmarkEnd w:id="19"/>
      <w:bookmarkEnd w:id="20"/>
      <w:bookmarkEnd w:id="21"/>
      <w:bookmarkEnd w:id="22"/>
    </w:p>
    <w:p w:rsidR="0003290C" w:rsidRDefault="0003290C" w:rsidP="0003290C">
      <w:r>
        <w:t>Our final decision is that APTNT can recover $</w:t>
      </w:r>
      <w:r w:rsidR="005E356F">
        <w:t>11</w:t>
      </w:r>
      <w:r w:rsidR="00EB02F1">
        <w:t>2.</w:t>
      </w:r>
      <w:r w:rsidR="00B86FB5">
        <w:t xml:space="preserve">8 </w:t>
      </w:r>
      <w:r>
        <w:t>million ($nominal</w:t>
      </w:r>
      <w:r w:rsidR="00746B94">
        <w:t>, smoothed</w:t>
      </w:r>
      <w:r>
        <w:t>) from user</w:t>
      </w:r>
      <w:r w:rsidR="00D82621">
        <w:t>s</w:t>
      </w:r>
      <w:r>
        <w:t xml:space="preserve"> of its reference service over the 2016–21 access arrangement period, which begins on 1 July 2016. This is a </w:t>
      </w:r>
      <w:r w:rsidR="005E356F">
        <w:t>16.</w:t>
      </w:r>
      <w:r w:rsidR="00B86FB5">
        <w:t xml:space="preserve">2 </w:t>
      </w:r>
      <w:r>
        <w:t xml:space="preserve">per cent reduction to APTNT's </w:t>
      </w:r>
      <w:r w:rsidR="00837A7D">
        <w:t xml:space="preserve">revised </w:t>
      </w:r>
      <w:r>
        <w:t>proposed revenue of $</w:t>
      </w:r>
      <w:r w:rsidR="005E356F">
        <w:t>134.6</w:t>
      </w:r>
      <w:r>
        <w:t xml:space="preserve"> million ($nominal). Our final decision allows APTNT to recover </w:t>
      </w:r>
      <w:r w:rsidR="00B86FB5">
        <w:t>2.0</w:t>
      </w:r>
      <w:r>
        <w:t xml:space="preserve"> per cent more from users than our November 2015 draft decision of $</w:t>
      </w:r>
      <w:r w:rsidR="0068317F">
        <w:t>110.7</w:t>
      </w:r>
      <w:r>
        <w:t xml:space="preserve"> million ($nominal).</w:t>
      </w:r>
    </w:p>
    <w:p w:rsidR="000C089C" w:rsidRDefault="000C089C" w:rsidP="000C089C">
      <w:r w:rsidRPr="00F3451E">
        <w:t xml:space="preserve">We accept that some aspects of </w:t>
      </w:r>
      <w:r>
        <w:t>APTNT</w:t>
      </w:r>
      <w:r w:rsidRPr="00F3451E">
        <w:t xml:space="preserve">'s proposal are consistent with the requirements of the NGR. However, we have not approved all elements, and as such, have not approved </w:t>
      </w:r>
      <w:r>
        <w:t>APTNT</w:t>
      </w:r>
      <w:r w:rsidRPr="00F3451E">
        <w:t>'s access arrangement proposal as a whole.</w:t>
      </w:r>
      <w:r>
        <w:rPr>
          <w:rStyle w:val="FootnoteReference"/>
        </w:rPr>
        <w:footnoteReference w:id="4"/>
      </w:r>
      <w:r>
        <w:t xml:space="preserve"> We have revised APTNT's proposed access arrangement having regard to our reasons for refusing to approve some elements of its proposal and the further matters identified in rule 64(2) of the NGR.</w:t>
      </w:r>
      <w:r>
        <w:rPr>
          <w:rStyle w:val="FootnoteReference"/>
        </w:rPr>
        <w:footnoteReference w:id="5"/>
      </w:r>
      <w:r>
        <w:t xml:space="preserve"> Our revisions are reflected in the </w:t>
      </w:r>
      <w:r w:rsidRPr="0003290C">
        <w:rPr>
          <w:rStyle w:val="AERtextitalic"/>
        </w:rPr>
        <w:t>Approved - Access Arrangement for the Amadeus Gas Pipeline - 1 July 2016 to 30 June 2021</w:t>
      </w:r>
      <w:r>
        <w:t>, which gives effect to this decision.</w:t>
      </w:r>
      <w:r w:rsidRPr="00E62D82">
        <w:t xml:space="preserve"> </w:t>
      </w:r>
    </w:p>
    <w:p w:rsidR="000C089C" w:rsidRDefault="000C089C" w:rsidP="0003290C">
      <w:r>
        <w:fldChar w:fldCharType="begin"/>
      </w:r>
      <w:r>
        <w:instrText xml:space="preserve"> REF _Ref448755487 \h </w:instrText>
      </w:r>
      <w:r>
        <w:fldChar w:fldCharType="separate"/>
      </w:r>
      <w:r w:rsidR="009F7892" w:rsidRPr="00EC2AEE">
        <w:t xml:space="preserve">Figure </w:t>
      </w:r>
      <w:r w:rsidR="009F7892">
        <w:rPr>
          <w:noProof/>
        </w:rPr>
        <w:t>1</w:t>
      </w:r>
      <w:r>
        <w:fldChar w:fldCharType="end"/>
      </w:r>
      <w:r>
        <w:t xml:space="preserve"> compares our final decision on APTNT's revenue for 2016–21 to its proposed revenue, and to the revenue allowed during the current access arrangement period.</w:t>
      </w:r>
    </w:p>
    <w:p w:rsidR="00694BD8" w:rsidRPr="00EC2AEE" w:rsidRDefault="00694BD8" w:rsidP="00694BD8">
      <w:pPr>
        <w:pStyle w:val="Caption"/>
      </w:pPr>
      <w:bookmarkStart w:id="23" w:name="_Ref448755487"/>
      <w:r w:rsidRPr="00EC2AEE">
        <w:t xml:space="preserve">Figure </w:t>
      </w:r>
      <w:r w:rsidRPr="00694BD8">
        <w:fldChar w:fldCharType="begin"/>
      </w:r>
      <w:r>
        <w:instrText xml:space="preserve"> SEQ Figure \* ARABIC </w:instrText>
      </w:r>
      <w:r w:rsidRPr="00694BD8">
        <w:fldChar w:fldCharType="separate"/>
      </w:r>
      <w:r w:rsidR="009F7892">
        <w:rPr>
          <w:noProof/>
        </w:rPr>
        <w:t>1</w:t>
      </w:r>
      <w:r w:rsidRPr="00694BD8">
        <w:fldChar w:fldCharType="end"/>
      </w:r>
      <w:bookmarkEnd w:id="23"/>
      <w:r w:rsidRPr="00EC2AEE">
        <w:tab/>
        <w:t>A</w:t>
      </w:r>
      <w:r>
        <w:t>PTNT</w:t>
      </w:r>
      <w:r w:rsidRPr="00EC2AEE">
        <w:t>’s past total revenue, proposed total revenue and AER final decision ($ million, 2015–16)</w:t>
      </w:r>
    </w:p>
    <w:p w:rsidR="00694BD8" w:rsidRPr="00694BD8" w:rsidRDefault="00DA6FF6" w:rsidP="00694BD8">
      <w:pPr>
        <w:rPr>
          <w:rStyle w:val="AERbodytextChar"/>
          <w:rFonts w:eastAsiaTheme="minorHAnsi"/>
        </w:rPr>
      </w:pPr>
      <w:r w:rsidRPr="00DA6FF6">
        <w:rPr>
          <w:noProof/>
          <w:lang w:eastAsia="en-AU"/>
        </w:rPr>
        <w:drawing>
          <wp:inline distT="0" distB="0" distL="0" distR="0" wp14:anchorId="51B38059" wp14:editId="6E4FAAA0">
            <wp:extent cx="5382895" cy="316438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3164386"/>
                    </a:xfrm>
                    <a:prstGeom prst="rect">
                      <a:avLst/>
                    </a:prstGeom>
                    <a:noFill/>
                    <a:ln>
                      <a:noFill/>
                    </a:ln>
                  </pic:spPr>
                </pic:pic>
              </a:graphicData>
            </a:graphic>
          </wp:inline>
        </w:drawing>
      </w:r>
    </w:p>
    <w:p w:rsidR="00694BD8" w:rsidRPr="00937196" w:rsidRDefault="00694BD8" w:rsidP="00937196">
      <w:pPr>
        <w:pStyle w:val="AERtablesource"/>
        <w:rPr>
          <w:rStyle w:val="AERtexthighlight"/>
          <w:shd w:val="clear" w:color="auto" w:fill="auto"/>
        </w:rPr>
      </w:pPr>
      <w:r w:rsidRPr="00937196">
        <w:rPr>
          <w:rStyle w:val="AERtexthighlight"/>
          <w:shd w:val="clear" w:color="auto" w:fill="auto"/>
        </w:rPr>
        <w:t>Source:</w:t>
      </w:r>
      <w:r w:rsidRPr="00937196">
        <w:tab/>
      </w:r>
      <w:r w:rsidRPr="00937196">
        <w:rPr>
          <w:rStyle w:val="AERtexthighlight"/>
          <w:shd w:val="clear" w:color="auto" w:fill="auto"/>
        </w:rPr>
        <w:t>AER analysis.</w:t>
      </w:r>
    </w:p>
    <w:p w:rsidR="0003290C" w:rsidRDefault="00694BD8" w:rsidP="00594A08">
      <w:pPr>
        <w:pStyle w:val="AERtablesource"/>
        <w:ind w:left="0" w:firstLine="0"/>
      </w:pPr>
      <w:r w:rsidRPr="002224AE">
        <w:t>Note:</w:t>
      </w:r>
      <w:r w:rsidRPr="002224AE">
        <w:tab/>
        <w:t xml:space="preserve">APTNT did not receive any revenue from reference services in the 2011–16 access arrangement period. Its </w:t>
      </w:r>
      <w:r w:rsidR="007D1807">
        <w:tab/>
      </w:r>
      <w:r w:rsidRPr="002224AE">
        <w:t xml:space="preserve">actual revenue in that period is entirely related to contractual arrangements for a non-reference service. The </w:t>
      </w:r>
      <w:r w:rsidR="007D1807">
        <w:tab/>
      </w:r>
      <w:r w:rsidRPr="002224AE">
        <w:t xml:space="preserve">revenue earned under these contracts is confidential (see: APTNT, </w:t>
      </w:r>
      <w:r w:rsidRPr="002224AE">
        <w:rPr>
          <w:rStyle w:val="AERtextitalic"/>
        </w:rPr>
        <w:t xml:space="preserve">Response to AER information request </w:t>
      </w:r>
      <w:r w:rsidR="007D1807">
        <w:rPr>
          <w:rStyle w:val="AERtextitalic"/>
        </w:rPr>
        <w:tab/>
      </w:r>
      <w:r w:rsidRPr="002224AE">
        <w:rPr>
          <w:rStyle w:val="AERtextitalic"/>
        </w:rPr>
        <w:t>No 12</w:t>
      </w:r>
      <w:r w:rsidR="00052B21">
        <w:rPr>
          <w:rStyle w:val="AERtextitalic"/>
        </w:rPr>
        <w:t xml:space="preserve"> </w:t>
      </w:r>
      <w:r w:rsidR="00052B21">
        <w:rPr>
          <w:rStyle w:val="AERtextsize8"/>
        </w:rPr>
        <w:t>[email to AER]</w:t>
      </w:r>
      <w:r w:rsidRPr="002224AE">
        <w:t>, 12 October 2015).</w:t>
      </w:r>
    </w:p>
    <w:p w:rsidR="00594A08" w:rsidRDefault="00594A08" w:rsidP="00594A08">
      <w:pPr>
        <w:pStyle w:val="Heading2"/>
      </w:pPr>
      <w:bookmarkStart w:id="24" w:name="_Toc451873618"/>
      <w:r>
        <w:t>What is driving allowed revenue?</w:t>
      </w:r>
      <w:bookmarkEnd w:id="24"/>
    </w:p>
    <w:p w:rsidR="00594A08" w:rsidRDefault="00594A08" w:rsidP="00594A08">
      <w:r>
        <w:t>C</w:t>
      </w:r>
      <w:r w:rsidRPr="00EC2AEE">
        <w:t xml:space="preserve">onsistent with our draft decision, </w:t>
      </w:r>
      <w:r>
        <w:t>we</w:t>
      </w:r>
      <w:r w:rsidRPr="00EC2AEE">
        <w:t xml:space="preserve"> approve less revenue than that allowed</w:t>
      </w:r>
      <w:r>
        <w:t xml:space="preserve"> for APTNT</w:t>
      </w:r>
      <w:r w:rsidRPr="00EC2AEE">
        <w:t xml:space="preserve"> in the current access arrangement period. </w:t>
      </w:r>
      <w:r w:rsidR="00961341">
        <w:t>The total revenue we approve for the 2016–21 access arrangement period is $</w:t>
      </w:r>
      <w:r w:rsidR="0031750C">
        <w:t>33.7</w:t>
      </w:r>
      <w:r w:rsidR="00CA3A4E">
        <w:t xml:space="preserve"> </w:t>
      </w:r>
      <w:r w:rsidR="00961341">
        <w:t xml:space="preserve">million ($ nominal)—or </w:t>
      </w:r>
      <w:r w:rsidR="0031750C">
        <w:t>23.0</w:t>
      </w:r>
      <w:r w:rsidR="00CA3A4E">
        <w:t xml:space="preserve"> </w:t>
      </w:r>
      <w:r w:rsidR="00961341">
        <w:t>per cent—less than that approved for 2011–16.</w:t>
      </w:r>
      <w:r w:rsidR="00A37FB3">
        <w:rPr>
          <w:rStyle w:val="FootnoteReference"/>
        </w:rPr>
        <w:footnoteReference w:id="6"/>
      </w:r>
      <w:r w:rsidR="00961341">
        <w:t xml:space="preserve"> </w:t>
      </w:r>
      <w:r w:rsidR="009835A9">
        <w:t>W</w:t>
      </w:r>
      <w:r>
        <w:t>e</w:t>
      </w:r>
      <w:r w:rsidRPr="00EC2AEE">
        <w:t xml:space="preserve"> also approve </w:t>
      </w:r>
      <w:r w:rsidR="0031750C">
        <w:t>16.2</w:t>
      </w:r>
      <w:r w:rsidR="00961341">
        <w:t xml:space="preserve"> per cent </w:t>
      </w:r>
      <w:r w:rsidRPr="00EC2AEE">
        <w:t xml:space="preserve">less revenue than </w:t>
      </w:r>
      <w:r>
        <w:t>APTNT</w:t>
      </w:r>
      <w:r w:rsidRPr="00EC2AEE">
        <w:t xml:space="preserve"> sought to recover through its revised proposal.</w:t>
      </w:r>
    </w:p>
    <w:p w:rsidR="00694BD8" w:rsidRPr="009751AC" w:rsidRDefault="00594A08" w:rsidP="00694BD8">
      <w:r>
        <w:fldChar w:fldCharType="begin"/>
      </w:r>
      <w:r>
        <w:instrText xml:space="preserve"> REF _Ref448907110 \h </w:instrText>
      </w:r>
      <w:r>
        <w:fldChar w:fldCharType="separate"/>
      </w:r>
      <w:r w:rsidR="009F7892" w:rsidRPr="009751AC">
        <w:t xml:space="preserve">Figure </w:t>
      </w:r>
      <w:r w:rsidR="009F7892">
        <w:rPr>
          <w:noProof/>
        </w:rPr>
        <w:t>2</w:t>
      </w:r>
      <w:r>
        <w:fldChar w:fldCharType="end"/>
      </w:r>
      <w:r>
        <w:t xml:space="preserve"> </w:t>
      </w:r>
      <w:r w:rsidR="00694BD8" w:rsidRPr="009751AC">
        <w:t xml:space="preserve">compares the average annual building block revenue from our final decision against that proposed by </w:t>
      </w:r>
      <w:r w:rsidR="00694BD8">
        <w:t>APTNT</w:t>
      </w:r>
      <w:r w:rsidR="00694BD8" w:rsidRPr="009751AC">
        <w:t xml:space="preserve"> for the 2016–21 access arrangement period, as well as the approved average amount for the 2011–16 access arrangement period. </w:t>
      </w:r>
    </w:p>
    <w:p w:rsidR="00694BD8" w:rsidRPr="009751AC" w:rsidRDefault="00694BD8" w:rsidP="00694BD8">
      <w:pPr>
        <w:pStyle w:val="Caption"/>
      </w:pPr>
      <w:bookmarkStart w:id="25" w:name="_Ref448907110"/>
      <w:r w:rsidRPr="009751AC">
        <w:t xml:space="preserve">Figure </w:t>
      </w:r>
      <w:r w:rsidRPr="00694BD8">
        <w:fldChar w:fldCharType="begin"/>
      </w:r>
      <w:r>
        <w:instrText xml:space="preserve"> SEQ Figure \* ARABIC </w:instrText>
      </w:r>
      <w:r w:rsidRPr="00694BD8">
        <w:fldChar w:fldCharType="separate"/>
      </w:r>
      <w:r w:rsidR="009F7892">
        <w:rPr>
          <w:noProof/>
        </w:rPr>
        <w:t>2</w:t>
      </w:r>
      <w:r w:rsidRPr="00694BD8">
        <w:fldChar w:fldCharType="end"/>
      </w:r>
      <w:bookmarkEnd w:id="25"/>
      <w:r w:rsidRPr="009751AC">
        <w:t xml:space="preserve"> AER's final decision average annual revenue (unsmoothed) compared with </w:t>
      </w:r>
      <w:r>
        <w:t>APTNT</w:t>
      </w:r>
      <w:r w:rsidRPr="009751AC">
        <w:t>'s revised proposal average annual revenue for 2016–21 and approved average annual revenue for 2011–16 ($million, 2015–16)</w:t>
      </w:r>
    </w:p>
    <w:p w:rsidR="00694BD8" w:rsidRDefault="00747960" w:rsidP="00694BD8">
      <w:r w:rsidRPr="00747960">
        <w:rPr>
          <w:noProof/>
          <w:lang w:eastAsia="en-AU"/>
        </w:rPr>
        <w:drawing>
          <wp:inline distT="0" distB="0" distL="0" distR="0" wp14:anchorId="27914FD5" wp14:editId="0CB071B4">
            <wp:extent cx="5382895" cy="2586796"/>
            <wp:effectExtent l="0" t="0" r="825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2586796"/>
                    </a:xfrm>
                    <a:prstGeom prst="rect">
                      <a:avLst/>
                    </a:prstGeom>
                    <a:noFill/>
                    <a:ln>
                      <a:noFill/>
                    </a:ln>
                  </pic:spPr>
                </pic:pic>
              </a:graphicData>
            </a:graphic>
          </wp:inline>
        </w:drawing>
      </w:r>
    </w:p>
    <w:p w:rsidR="00694BD8" w:rsidRPr="00694BD8" w:rsidRDefault="00694BD8" w:rsidP="00E85DE9">
      <w:pPr>
        <w:pStyle w:val="AERtablesource"/>
        <w:ind w:left="0" w:firstLine="0"/>
      </w:pPr>
      <w:r w:rsidRPr="009751AC">
        <w:t>Source:</w:t>
      </w:r>
      <w:r w:rsidRPr="009751AC">
        <w:tab/>
        <w:t>AER analysis</w:t>
      </w:r>
    </w:p>
    <w:p w:rsidR="009751AC" w:rsidRPr="009751AC" w:rsidRDefault="009751AC" w:rsidP="007E3B16">
      <w:pPr>
        <w:pStyle w:val="ListParagraph"/>
        <w:numPr>
          <w:ilvl w:val="0"/>
          <w:numId w:val="24"/>
        </w:numPr>
      </w:pPr>
      <w:r w:rsidRPr="009751AC">
        <w:fldChar w:fldCharType="begin"/>
      </w:r>
      <w:r w:rsidRPr="009751AC">
        <w:instrText xml:space="preserve"> REF _Ref447644328 \h </w:instrText>
      </w:r>
      <w:r w:rsidRPr="009751AC">
        <w:fldChar w:fldCharType="separate"/>
      </w:r>
      <w:r w:rsidR="009F7892" w:rsidRPr="009751AC">
        <w:t xml:space="preserve">Figure </w:t>
      </w:r>
      <w:r w:rsidR="009F7892">
        <w:rPr>
          <w:noProof/>
        </w:rPr>
        <w:t>3</w:t>
      </w:r>
      <w:r w:rsidRPr="009751AC">
        <w:fldChar w:fldCharType="end"/>
      </w:r>
      <w:r w:rsidRPr="009751AC">
        <w:t xml:space="preserve"> compares our final decision to </w:t>
      </w:r>
      <w:r w:rsidR="00960164">
        <w:t>APTNT</w:t>
      </w:r>
      <w:r w:rsidRPr="009751AC">
        <w:t xml:space="preserve">'s revised proposal, broken down by the various building block components that make up the forecast revenue requirement. </w:t>
      </w:r>
    </w:p>
    <w:p w:rsidR="009751AC" w:rsidRDefault="009751AC" w:rsidP="009751AC">
      <w:pPr>
        <w:pStyle w:val="Caption"/>
        <w:numPr>
          <w:ilvl w:val="0"/>
          <w:numId w:val="24"/>
        </w:numPr>
      </w:pPr>
      <w:bookmarkStart w:id="26" w:name="_Ref447644328"/>
      <w:r w:rsidRPr="009751AC">
        <w:t xml:space="preserve">Figure </w:t>
      </w:r>
      <w:fldSimple w:instr=" SEQ Figure \* ARABIC ">
        <w:r w:rsidR="009F7892">
          <w:rPr>
            <w:noProof/>
          </w:rPr>
          <w:t>3</w:t>
        </w:r>
      </w:fldSimple>
      <w:bookmarkEnd w:id="26"/>
      <w:r w:rsidRPr="009751AC">
        <w:t xml:space="preserve"> </w:t>
      </w:r>
      <w:r w:rsidR="00F075FF">
        <w:t>APTNT</w:t>
      </w:r>
      <w:r w:rsidR="00F075FF" w:rsidRPr="009751AC">
        <w:t xml:space="preserve">'s revised proposal </w:t>
      </w:r>
      <w:r w:rsidR="00F075FF">
        <w:t xml:space="preserve">and </w:t>
      </w:r>
      <w:r w:rsidRPr="009751AC">
        <w:t>AER's final decision average annual building block costs ($million, 2015–16)</w:t>
      </w:r>
    </w:p>
    <w:p w:rsidR="007E3B16" w:rsidRPr="007E3B16" w:rsidRDefault="00DA6FF6" w:rsidP="00DA6FF6">
      <w:pPr>
        <w:pStyle w:val="Caption"/>
        <w:numPr>
          <w:ilvl w:val="0"/>
          <w:numId w:val="24"/>
        </w:numPr>
      </w:pPr>
      <w:r w:rsidRPr="00DA6FF6">
        <w:rPr>
          <w:noProof/>
          <w:lang w:eastAsia="en-AU"/>
        </w:rPr>
        <w:drawing>
          <wp:inline distT="0" distB="0" distL="0" distR="0" wp14:anchorId="0286D7DA" wp14:editId="0A1368BE">
            <wp:extent cx="5382895" cy="2976608"/>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2976608"/>
                    </a:xfrm>
                    <a:prstGeom prst="rect">
                      <a:avLst/>
                    </a:prstGeom>
                    <a:noFill/>
                    <a:ln>
                      <a:noFill/>
                    </a:ln>
                  </pic:spPr>
                </pic:pic>
              </a:graphicData>
            </a:graphic>
          </wp:inline>
        </w:drawing>
      </w:r>
    </w:p>
    <w:p w:rsidR="009751AC" w:rsidRDefault="009751AC" w:rsidP="00960164">
      <w:pPr>
        <w:pStyle w:val="AERtablesource"/>
      </w:pPr>
      <w:r>
        <w:t xml:space="preserve">Source: </w:t>
      </w:r>
      <w:r w:rsidR="00927CC3">
        <w:tab/>
      </w:r>
      <w:r>
        <w:t>AER analysis</w:t>
      </w:r>
      <w:r w:rsidR="00927CC3">
        <w:t>.</w:t>
      </w:r>
    </w:p>
    <w:p w:rsidR="00594A08" w:rsidRPr="00EC4B79" w:rsidRDefault="00EC2AEE" w:rsidP="00594A08">
      <w:r w:rsidRPr="00EC2AEE">
        <w:t xml:space="preserve">The figures </w:t>
      </w:r>
      <w:r w:rsidR="000C4D25">
        <w:t xml:space="preserve">above </w:t>
      </w:r>
      <w:r w:rsidRPr="00EC2AEE">
        <w:t>highlight that the allowed rate of return—which feeds into the return on capital</w:t>
      </w:r>
      <w:r w:rsidR="00A12632">
        <w:t xml:space="preserve"> building block</w:t>
      </w:r>
      <w:r w:rsidRPr="00EC2AEE">
        <w:t xml:space="preserve">—is the key difference between our final decision and </w:t>
      </w:r>
      <w:r>
        <w:t>APTNT</w:t>
      </w:r>
      <w:r w:rsidRPr="00EC2AEE">
        <w:t>'s revised proposal</w:t>
      </w:r>
      <w:r w:rsidR="00694BD8">
        <w:t>, and between our decision for the 2016–21 access arrangement period and that for the current, 2011–16 period</w:t>
      </w:r>
      <w:r w:rsidRPr="00EC2AEE">
        <w:t>.</w:t>
      </w:r>
      <w:r w:rsidR="000C4D25">
        <w:t xml:space="preserve"> </w:t>
      </w:r>
      <w:r w:rsidR="004F5881">
        <w:t>The allowed rate of return provides APTNT with revenue to service the interest on its loans and give a return on equity to its shareholders. It is applied to APTNT's capital base to determine the return on capital building block.</w:t>
      </w:r>
    </w:p>
    <w:p w:rsidR="00CE0A29" w:rsidRDefault="000C4D25" w:rsidP="00CE0A29">
      <w:r w:rsidRPr="00EC4B79">
        <w:t xml:space="preserve">Prevailing market conditions for debt and equity heavily influence the rate of return. Financial conditions have changed since our last decision </w:t>
      </w:r>
      <w:r>
        <w:t>on the access arrangement for the AGP in July 2011</w:t>
      </w:r>
      <w:r w:rsidRPr="00EC4B79">
        <w:t>. Interest rates are lower and financial market conditions are more stable. This means that the cost of debt and the returns required to attract equity are lower.</w:t>
      </w:r>
      <w:r w:rsidR="00D0494D">
        <w:t xml:space="preserve"> </w:t>
      </w:r>
      <w:r w:rsidR="00191786" w:rsidRPr="00EC4B79">
        <w:t xml:space="preserve">This is reflected in a lower rate of return in this decision. </w:t>
      </w:r>
    </w:p>
    <w:p w:rsidR="00D0494D" w:rsidRPr="00CE0A29" w:rsidRDefault="00D0494D" w:rsidP="00CE0A29">
      <w:r w:rsidRPr="00D0494D">
        <w:t>Our final decision is for a rate of return of 6.</w:t>
      </w:r>
      <w:r w:rsidR="00CE39B0">
        <w:t>18</w:t>
      </w:r>
      <w:r w:rsidRPr="00D0494D">
        <w:t xml:space="preserve"> per cent (for 2016–17)—compared to APTNT's proposed 8.58 per cent and the 9.73 per cent set for the 2011–16 access arrangement period. </w:t>
      </w:r>
      <w:r w:rsidR="00F075FF">
        <w:t>While we have considered the information before us in APTNT's proposal and in submissions, our approach to the rate of return in this final decision is consistent with that in our draft decision and Rate of Return Guideline.</w:t>
      </w:r>
    </w:p>
    <w:p w:rsidR="000C4D25" w:rsidRDefault="000C4D25" w:rsidP="00594A08">
      <w:pPr>
        <w:pStyle w:val="Heading3"/>
      </w:pPr>
      <w:bookmarkStart w:id="27" w:name="_Toc451873619"/>
      <w:r>
        <w:t>Northern Gas Pipeline</w:t>
      </w:r>
      <w:bookmarkEnd w:id="27"/>
    </w:p>
    <w:p w:rsidR="00CE0A29" w:rsidRPr="00CE0A29" w:rsidRDefault="00CE0A29" w:rsidP="00CE0A29">
      <w:r w:rsidRPr="00CE0A29">
        <w:t xml:space="preserve">APTNT has characterised its current and previous access arrangement periods as periods of significant operational changes. It described its proposal for 2016–21 as reflecting a transition to more stable operating and commercial conditions, where most of the necessary integrity works for the AGP are now complete and contractual arrangements for the pipeline are well established. The exception to this—as APTNT has noted—is the anticipated connection of the new </w:t>
      </w:r>
      <w:r>
        <w:t>Northern Gas Pipeline</w:t>
      </w:r>
      <w:r w:rsidRPr="00CE0A29">
        <w:t xml:space="preserve"> (N</w:t>
      </w:r>
      <w:r>
        <w:t>GP</w:t>
      </w:r>
      <w:r w:rsidRPr="00CE0A29">
        <w:t>) to the AGP, which will link northern gas fields to the Eastern gas market via the AGP.</w:t>
      </w:r>
      <w:r w:rsidRPr="00CE0A29">
        <w:rPr>
          <w:rStyle w:val="FootnoteReference"/>
        </w:rPr>
        <w:footnoteReference w:id="7"/>
      </w:r>
      <w:r w:rsidRPr="00CE0A29">
        <w:t xml:space="preserve"> </w:t>
      </w:r>
    </w:p>
    <w:p w:rsidR="00CE0A29" w:rsidRPr="00CE0A29" w:rsidRDefault="00AA0606" w:rsidP="00CE0A29">
      <w:r>
        <w:t>There are</w:t>
      </w:r>
      <w:r w:rsidR="00CE0A29" w:rsidRPr="00CE0A29">
        <w:t xml:space="preserve"> a number of uncertainties around what this will mean for the AGP in terms of demand, APTNT’s expenditure requirements, and what this might mean for reference </w:t>
      </w:r>
      <w:r>
        <w:t xml:space="preserve">services and </w:t>
      </w:r>
      <w:r w:rsidR="00CE0A29" w:rsidRPr="00CE0A29">
        <w:t xml:space="preserve">tariffs. </w:t>
      </w:r>
      <w:r w:rsidR="003E3641">
        <w:t>This final decision will apply for five years, with the next review scheduled to commence by 1 July 2020. However, the NGR allow an access arrangement to provide for the next review of the access arrangement to be brought forward in specified circumstances.</w:t>
      </w:r>
      <w:r w:rsidR="003E3641">
        <w:rPr>
          <w:rStyle w:val="FootnoteReference"/>
        </w:rPr>
        <w:footnoteReference w:id="8"/>
      </w:r>
      <w:r w:rsidR="003E3641">
        <w:t xml:space="preserve"> </w:t>
      </w:r>
      <w:r w:rsidR="00CE0A29" w:rsidRPr="00CE0A29">
        <w:t xml:space="preserve">Rather than speculate—at the possible expense of APTNT </w:t>
      </w:r>
      <w:r w:rsidR="003E3641">
        <w:t>and/</w:t>
      </w:r>
      <w:r w:rsidR="00CE0A29" w:rsidRPr="00CE0A29">
        <w:t xml:space="preserve">or its users—our </w:t>
      </w:r>
      <w:r w:rsidR="00CE0A29">
        <w:t>final</w:t>
      </w:r>
      <w:r w:rsidR="00CE0A29" w:rsidRPr="00CE0A29">
        <w:t xml:space="preserve"> decision </w:t>
      </w:r>
      <w:r w:rsidR="003E3641">
        <w:t xml:space="preserve">and </w:t>
      </w:r>
      <w:r w:rsidR="00335999">
        <w:t>APTNT’s</w:t>
      </w:r>
      <w:r w:rsidR="00CE0A29" w:rsidRPr="00CE0A29">
        <w:t xml:space="preserve"> </w:t>
      </w:r>
      <w:r w:rsidR="003E3641">
        <w:t>revised proposal</w:t>
      </w:r>
      <w:r w:rsidR="00CE0A29" w:rsidRPr="00CE0A29">
        <w:t xml:space="preserve"> include</w:t>
      </w:r>
      <w:r w:rsidR="003E3641">
        <w:t xml:space="preserve"> such </w:t>
      </w:r>
      <w:r w:rsidR="00CE0A29" w:rsidRPr="00CE0A29">
        <w:t>a trigger event</w:t>
      </w:r>
      <w:r w:rsidR="003E3641">
        <w:t>.</w:t>
      </w:r>
      <w:r w:rsidR="003E3641">
        <w:rPr>
          <w:rStyle w:val="FootnoteReference"/>
        </w:rPr>
        <w:footnoteReference w:id="9"/>
      </w:r>
      <w:r w:rsidR="00CE0A29" w:rsidRPr="00CE0A29">
        <w:t xml:space="preserve"> </w:t>
      </w:r>
      <w:r w:rsidR="003E3641">
        <w:t>S</w:t>
      </w:r>
      <w:r w:rsidR="00CE0A29" w:rsidRPr="00CE0A29">
        <w:t xml:space="preserve">hould it become clear that the implications of the </w:t>
      </w:r>
      <w:r w:rsidR="00CE0A29">
        <w:t>NGP</w:t>
      </w:r>
      <w:r w:rsidR="00CE0A29" w:rsidRPr="00CE0A29">
        <w:t xml:space="preserve"> for this access arrangement are substantial</w:t>
      </w:r>
      <w:r w:rsidR="003E3641">
        <w:t>, this trigger can be used to bring forward the next review so that we can consult on</w:t>
      </w:r>
      <w:r w:rsidR="00CE0A29" w:rsidRPr="00CE0A29">
        <w:t xml:space="preserve"> what revisions to the access arrangement</w:t>
      </w:r>
      <w:r>
        <w:t>—if any—</w:t>
      </w:r>
      <w:r w:rsidR="00CE0A29" w:rsidRPr="00CE0A29">
        <w:t>may be required.</w:t>
      </w:r>
    </w:p>
    <w:p w:rsidR="00C276CF" w:rsidRPr="00C276CF" w:rsidRDefault="00C276CF" w:rsidP="00C276CF">
      <w:pPr>
        <w:pStyle w:val="Heading2"/>
      </w:pPr>
      <w:bookmarkStart w:id="28" w:name="_Ref447639736"/>
      <w:bookmarkStart w:id="29" w:name="_Toc451873620"/>
      <w:r w:rsidRPr="00C276CF">
        <w:t>Key differences between our draft and final decisions</w:t>
      </w:r>
      <w:bookmarkEnd w:id="28"/>
      <w:bookmarkEnd w:id="29"/>
    </w:p>
    <w:p w:rsidR="00A52D30" w:rsidRDefault="00A52D30" w:rsidP="00C276CF">
      <w:r>
        <w:t>While our approved forecast revenue requirement is less than APTNT proposed, it is higher than our draft decision.</w:t>
      </w:r>
    </w:p>
    <w:p w:rsidR="00C276CF" w:rsidRPr="00C276CF" w:rsidRDefault="00C276CF" w:rsidP="00C276CF">
      <w:r w:rsidRPr="00C276CF">
        <w:fldChar w:fldCharType="begin"/>
      </w:r>
      <w:r w:rsidRPr="00C276CF">
        <w:instrText xml:space="preserve"> REF _Ref447641330 \h </w:instrText>
      </w:r>
      <w:r w:rsidRPr="00C276CF">
        <w:fldChar w:fldCharType="separate"/>
      </w:r>
      <w:r w:rsidR="009F7892" w:rsidRPr="00C276CF">
        <w:t xml:space="preserve">Figure </w:t>
      </w:r>
      <w:r w:rsidR="009F7892">
        <w:rPr>
          <w:noProof/>
        </w:rPr>
        <w:t>4</w:t>
      </w:r>
      <w:r w:rsidRPr="00C276CF">
        <w:fldChar w:fldCharType="end"/>
      </w:r>
      <w:r w:rsidRPr="00C276CF">
        <w:t xml:space="preserve"> compares our final decision on each of the revenue building blocks to our draft decision.</w:t>
      </w:r>
    </w:p>
    <w:p w:rsidR="00C276CF" w:rsidRPr="00C276CF" w:rsidRDefault="00C276CF" w:rsidP="00C276CF">
      <w:pPr>
        <w:pStyle w:val="Caption"/>
      </w:pPr>
      <w:bookmarkStart w:id="30" w:name="_Ref447641330"/>
      <w:r w:rsidRPr="00C276CF">
        <w:t xml:space="preserve">Figure </w:t>
      </w:r>
      <w:fldSimple w:instr=" SEQ Figure \* ARABIC ">
        <w:r w:rsidR="009F7892">
          <w:rPr>
            <w:noProof/>
          </w:rPr>
          <w:t>4</w:t>
        </w:r>
      </w:fldSimple>
      <w:bookmarkEnd w:id="30"/>
      <w:r w:rsidRPr="00C276CF">
        <w:t xml:space="preserve"> AER's final decision and </w:t>
      </w:r>
      <w:r>
        <w:t>APTNT</w:t>
      </w:r>
      <w:r w:rsidRPr="00C276CF">
        <w:t>’s revised proposal building block components of total revenue – unsmoothed ($million, nominal)</w:t>
      </w:r>
    </w:p>
    <w:p w:rsidR="00A11886" w:rsidRDefault="00D8085F" w:rsidP="00C276CF">
      <w:pPr>
        <w:pStyle w:val="AERtablesource"/>
        <w:rPr>
          <w:rFonts w:eastAsia="Calibri"/>
        </w:rPr>
      </w:pPr>
      <w:r w:rsidRPr="00D8085F">
        <w:rPr>
          <w:rFonts w:eastAsia="Calibri"/>
          <w:noProof/>
          <w:lang w:eastAsia="en-AU"/>
        </w:rPr>
        <w:drawing>
          <wp:inline distT="0" distB="0" distL="0" distR="0" wp14:anchorId="3C092B35" wp14:editId="46CB5AA8">
            <wp:extent cx="5382895" cy="3039843"/>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039843"/>
                    </a:xfrm>
                    <a:prstGeom prst="rect">
                      <a:avLst/>
                    </a:prstGeom>
                    <a:noFill/>
                    <a:ln>
                      <a:noFill/>
                    </a:ln>
                  </pic:spPr>
                </pic:pic>
              </a:graphicData>
            </a:graphic>
          </wp:inline>
        </w:drawing>
      </w:r>
    </w:p>
    <w:p w:rsidR="00C276CF" w:rsidRPr="00C276CF" w:rsidRDefault="00C276CF" w:rsidP="00C276CF">
      <w:pPr>
        <w:pStyle w:val="AERtablesource"/>
      </w:pPr>
      <w:r w:rsidRPr="00C276CF">
        <w:rPr>
          <w:rFonts w:eastAsia="Calibri"/>
        </w:rPr>
        <w:t xml:space="preserve">Source: </w:t>
      </w:r>
      <w:r w:rsidRPr="00C276CF">
        <w:rPr>
          <w:rFonts w:eastAsia="Calibri"/>
        </w:rPr>
        <w:tab/>
      </w:r>
      <w:r w:rsidRPr="00C276CF">
        <w:t xml:space="preserve">AER analysis.  </w:t>
      </w:r>
    </w:p>
    <w:p w:rsidR="00C276CF" w:rsidRPr="00C276CF" w:rsidRDefault="00C276CF" w:rsidP="00C276CF">
      <w:r w:rsidRPr="00C276CF">
        <w:t xml:space="preserve">In response to our draft decision we have received further information from a number of sources. </w:t>
      </w:r>
      <w:r>
        <w:t>APTNT</w:t>
      </w:r>
      <w:r w:rsidRPr="00C276CF">
        <w:t xml:space="preserve"> submitted a revised proposal on 6 January 2016. It also provided further </w:t>
      </w:r>
      <w:r>
        <w:t>material</w:t>
      </w:r>
      <w:r w:rsidRPr="00C276CF">
        <w:t xml:space="preserve"> in response to our information requests about its revised proposal. We received submissions from </w:t>
      </w:r>
      <w:r w:rsidR="00960164">
        <w:t>APTNT</w:t>
      </w:r>
      <w:r w:rsidRPr="00C276CF">
        <w:t xml:space="preserve">'s users and other stakeholders on our draft decision and </w:t>
      </w:r>
      <w:r w:rsidR="00960164">
        <w:t>APTNT</w:t>
      </w:r>
      <w:r w:rsidRPr="00C276CF">
        <w:t>'s revised proposal</w:t>
      </w:r>
      <w:r w:rsidR="00F075FF">
        <w:t xml:space="preserve"> (listed in Appendix </w:t>
      </w:r>
      <w:r w:rsidR="00F075FF">
        <w:fldChar w:fldCharType="begin"/>
      </w:r>
      <w:r w:rsidR="00F075FF">
        <w:instrText xml:space="preserve"> REF _Ref450145902 \r \h </w:instrText>
      </w:r>
      <w:r w:rsidR="00F075FF">
        <w:fldChar w:fldCharType="separate"/>
      </w:r>
      <w:r w:rsidR="009F7892">
        <w:t>A</w:t>
      </w:r>
      <w:r w:rsidR="00F075FF">
        <w:fldChar w:fldCharType="end"/>
      </w:r>
      <w:r w:rsidR="00F075FF">
        <w:t xml:space="preserve"> to this Overview)</w:t>
      </w:r>
      <w:r w:rsidRPr="00C276CF">
        <w:t xml:space="preserve">. We have had regard to all of this information in reaching our final decision. </w:t>
      </w:r>
    </w:p>
    <w:p w:rsidR="00617D62" w:rsidRDefault="00C276CF" w:rsidP="00254EA9">
      <w:r w:rsidRPr="00C276CF">
        <w:t xml:space="preserve">A number of aspects of our decision on </w:t>
      </w:r>
      <w:r w:rsidR="006E2481">
        <w:t>APTNT</w:t>
      </w:r>
      <w:r w:rsidRPr="00C276CF">
        <w:t xml:space="preserve">'s forecast revenue have changed since our draft decision. </w:t>
      </w:r>
    </w:p>
    <w:p w:rsidR="003E7A9B" w:rsidRDefault="001C1A91" w:rsidP="00254EA9">
      <w:r w:rsidRPr="001C1A91">
        <w:t>In its original proposal APTNT proposed a rate of return of 8.3 per cent, which we did not accept. In its revised proposal, APTNT increased its revised proposed rate of return to 8.58 per cent.</w:t>
      </w:r>
      <w:r>
        <w:t xml:space="preserve"> </w:t>
      </w:r>
      <w:r w:rsidRPr="001C1A91">
        <w:t>The higher rate of return in APTNT's revised proposal is largely driven by a change in its approach to estimating the return on debt. APTNT previously proposed to calculate its return on debt using a hybrid transition which combines a gradual transition of the base rate to a trailing average and a backwards looking debt risk premium. However, it now proposes an immediate transition to a trailing average (using both a backwards looking base rate and debt risk premium). This approach is more favourable to APTNT in revenue terms than the approach it originally proposed.</w:t>
      </w:r>
      <w:r>
        <w:t xml:space="preserve"> </w:t>
      </w:r>
    </w:p>
    <w:p w:rsidR="00227E93" w:rsidRPr="00227E93" w:rsidRDefault="0047531E" w:rsidP="00254EA9">
      <w:r>
        <w:t xml:space="preserve">While our approach to the rate of return remains unchanged, updated data means that </w:t>
      </w:r>
      <w:r w:rsidR="00227E93" w:rsidRPr="00227E93">
        <w:t xml:space="preserve">the </w:t>
      </w:r>
      <w:r w:rsidR="003B5C07">
        <w:t>6.18</w:t>
      </w:r>
      <w:r w:rsidR="00227E93" w:rsidRPr="00227E93">
        <w:t xml:space="preserve"> per cent rate of return approved in this final decision is highe</w:t>
      </w:r>
      <w:r w:rsidR="003B5C07">
        <w:t xml:space="preserve">r </w:t>
      </w:r>
      <w:r w:rsidR="00227E93" w:rsidRPr="00227E93">
        <w:t xml:space="preserve">than our draft decision of 6.02 per cent. </w:t>
      </w:r>
      <w:r w:rsidR="00133986">
        <w:t>(see section</w:t>
      </w:r>
      <w:r w:rsidR="001C1A91">
        <w:t xml:space="preserve"> </w:t>
      </w:r>
      <w:r w:rsidR="001C1A91">
        <w:fldChar w:fldCharType="begin"/>
      </w:r>
      <w:r w:rsidR="001C1A91">
        <w:instrText xml:space="preserve"> REF _Ref450818139 \r \h </w:instrText>
      </w:r>
      <w:r w:rsidR="001C1A91">
        <w:fldChar w:fldCharType="separate"/>
      </w:r>
      <w:r w:rsidR="009F7892">
        <w:t>4.2</w:t>
      </w:r>
      <w:r w:rsidR="001C1A91">
        <w:fldChar w:fldCharType="end"/>
      </w:r>
      <w:r w:rsidR="00133986">
        <w:t>)</w:t>
      </w:r>
    </w:p>
    <w:p w:rsidR="00227E93" w:rsidRPr="00227E93" w:rsidRDefault="0047531E" w:rsidP="00254EA9">
      <w:r>
        <w:t xml:space="preserve">Our final decision on APTNT's past and forecast conforming capex </w:t>
      </w:r>
      <w:r w:rsidR="00617D62">
        <w:t>has also changed. T</w:t>
      </w:r>
      <w:r>
        <w:t>he opening capital base as at 1 July 2016 will be</w:t>
      </w:r>
      <w:r w:rsidR="00133986">
        <w:t xml:space="preserve"> higher than our draft decision (</w:t>
      </w:r>
      <w:r>
        <w:t>$11</w:t>
      </w:r>
      <w:r w:rsidR="00D752C2">
        <w:t>5</w:t>
      </w:r>
      <w:r>
        <w:t>.</w:t>
      </w:r>
      <w:r w:rsidR="00D752C2">
        <w:t>8</w:t>
      </w:r>
      <w:r>
        <w:t xml:space="preserve"> million ($nominal), compared to $112.2 million in our draft decision</w:t>
      </w:r>
      <w:r w:rsidR="00133986">
        <w:t>)</w:t>
      </w:r>
      <w:r>
        <w:t>.</w:t>
      </w:r>
      <w:r w:rsidR="00133986">
        <w:t xml:space="preserve"> However, t</w:t>
      </w:r>
      <w:r>
        <w:t>he closing capital base will be $</w:t>
      </w:r>
      <w:r w:rsidR="005F53AF">
        <w:t xml:space="preserve">128.2 </w:t>
      </w:r>
      <w:r>
        <w:t>million ($nominal) as at 30 June 2021, compared to $135.8 million in our draft decision.</w:t>
      </w:r>
      <w:r w:rsidR="00133986">
        <w:t xml:space="preserve"> (see sections </w:t>
      </w:r>
      <w:r w:rsidR="00133986">
        <w:fldChar w:fldCharType="begin"/>
      </w:r>
      <w:r w:rsidR="00133986">
        <w:instrText xml:space="preserve"> REF _Ref449527447 \r \h </w:instrText>
      </w:r>
      <w:r w:rsidR="00133986">
        <w:fldChar w:fldCharType="separate"/>
      </w:r>
      <w:r w:rsidR="009F7892">
        <w:t>4.1</w:t>
      </w:r>
      <w:r w:rsidR="00133986">
        <w:fldChar w:fldCharType="end"/>
      </w:r>
      <w:r w:rsidR="00133986">
        <w:t xml:space="preserve"> and </w:t>
      </w:r>
      <w:r w:rsidR="00133986">
        <w:fldChar w:fldCharType="begin"/>
      </w:r>
      <w:r w:rsidR="00133986">
        <w:instrText xml:space="preserve"> REF _Ref449527455 \r \h </w:instrText>
      </w:r>
      <w:r w:rsidR="00133986">
        <w:fldChar w:fldCharType="separate"/>
      </w:r>
      <w:r w:rsidR="009F7892">
        <w:t>4.5</w:t>
      </w:r>
      <w:r w:rsidR="00133986">
        <w:fldChar w:fldCharType="end"/>
      </w:r>
      <w:r w:rsidR="00133986">
        <w:t>).</w:t>
      </w:r>
    </w:p>
    <w:p w:rsidR="005766DB" w:rsidRPr="00812306" w:rsidRDefault="005766DB" w:rsidP="005766DB">
      <w:pPr>
        <w:pStyle w:val="Heading1"/>
      </w:pPr>
      <w:bookmarkStart w:id="31" w:name="_Ref451774939"/>
      <w:bookmarkStart w:id="32" w:name="_Toc451873621"/>
      <w:bookmarkStart w:id="33" w:name="_Ref433967576"/>
      <w:bookmarkStart w:id="34" w:name="_Ref434251697"/>
      <w:bookmarkStart w:id="35" w:name="_Toc433016422"/>
      <w:bookmarkStart w:id="36" w:name="_Toc436046175"/>
      <w:bookmarkStart w:id="37" w:name="_Toc430002787"/>
      <w:bookmarkStart w:id="38" w:name="_Ref433643770"/>
      <w:r>
        <w:t>Total revenue</w:t>
      </w:r>
      <w:bookmarkEnd w:id="31"/>
      <w:bookmarkEnd w:id="32"/>
      <w:r>
        <w:t xml:space="preserve"> </w:t>
      </w:r>
      <w:bookmarkEnd w:id="33"/>
      <w:bookmarkEnd w:id="34"/>
      <w:bookmarkEnd w:id="35"/>
      <w:bookmarkEnd w:id="36"/>
    </w:p>
    <w:p w:rsidR="005766DB" w:rsidRDefault="005766DB" w:rsidP="005766DB">
      <w:pPr>
        <w:numPr>
          <w:ilvl w:val="0"/>
          <w:numId w:val="24"/>
        </w:numPr>
      </w:pPr>
      <w:r w:rsidRPr="007C3463">
        <w:t xml:space="preserve">The total revenue requirement is a forecast of the efficient cost of providing gas </w:t>
      </w:r>
      <w:r>
        <w:t>transmission</w:t>
      </w:r>
      <w:r w:rsidRPr="007C3463">
        <w:t xml:space="preserve"> services over the access arrangement period. The total revenue set out in this </w:t>
      </w:r>
      <w:r w:rsidR="00513106">
        <w:t>final</w:t>
      </w:r>
      <w:r>
        <w:t xml:space="preserve"> </w:t>
      </w:r>
      <w:r w:rsidRPr="007C3463">
        <w:t xml:space="preserve">decision has been determined by assessing each building block cost of </w:t>
      </w:r>
      <w:r>
        <w:t>APTNT</w:t>
      </w:r>
      <w:r w:rsidRPr="007C3463">
        <w:t xml:space="preserve">'s access arrangement proposal. We have assessed whether these building block costs are consistent with the costs that would be incurred by an efficient provider of gas </w:t>
      </w:r>
      <w:r>
        <w:t>transmission</w:t>
      </w:r>
      <w:r w:rsidRPr="007C3463">
        <w:t xml:space="preserve"> services.</w:t>
      </w:r>
      <w:r>
        <w:t xml:space="preserve"> </w:t>
      </w:r>
    </w:p>
    <w:p w:rsidR="005766DB" w:rsidRDefault="00746B94" w:rsidP="005766DB">
      <w:pPr>
        <w:numPr>
          <w:ilvl w:val="0"/>
          <w:numId w:val="24"/>
        </w:numPr>
      </w:pPr>
      <w:r>
        <w:t>APTNT</w:t>
      </w:r>
      <w:r w:rsidRPr="004D0BCD">
        <w:t xml:space="preserve"> operates under</w:t>
      </w:r>
      <w:r>
        <w:t xml:space="preserve"> an average</w:t>
      </w:r>
      <w:r w:rsidRPr="004D0BCD">
        <w:t xml:space="preserve"> </w:t>
      </w:r>
      <w:r>
        <w:t>tariff</w:t>
      </w:r>
      <w:r w:rsidRPr="004D0BCD">
        <w:t xml:space="preserve"> cap. </w:t>
      </w:r>
      <w:r>
        <w:t>T</w:t>
      </w:r>
      <w:r w:rsidR="005766DB" w:rsidRPr="004D0BCD">
        <w:t>ariff</w:t>
      </w:r>
      <w:r w:rsidR="005766DB">
        <w:t>s are</w:t>
      </w:r>
      <w:r w:rsidR="005766DB" w:rsidRPr="004D0BCD">
        <w:t xml:space="preserve"> derived from the total revenue requirement </w:t>
      </w:r>
      <w:r w:rsidR="005766DB" w:rsidRPr="000935F8">
        <w:rPr>
          <w:rStyle w:val="Emphasis"/>
        </w:rPr>
        <w:t>after</w:t>
      </w:r>
      <w:r w:rsidR="005766DB" w:rsidRPr="004D0BCD">
        <w:t xml:space="preserve"> consideration of demand</w:t>
      </w:r>
      <w:r w:rsidR="005766DB">
        <w:t>.</w:t>
      </w:r>
      <w:r w:rsidR="005766DB" w:rsidRPr="004D0BCD">
        <w:t xml:space="preserve"> This means</w:t>
      </w:r>
      <w:r w:rsidR="005766DB">
        <w:t xml:space="preserve"> that</w:t>
      </w:r>
      <w:r w:rsidR="005766DB" w:rsidRPr="004D0BCD">
        <w:t xml:space="preserve"> the tariff we determine (including the means of varying the tariff from year to year) </w:t>
      </w:r>
      <w:r w:rsidR="005766DB">
        <w:t>is</w:t>
      </w:r>
      <w:r w:rsidR="005766DB" w:rsidRPr="004D0BCD">
        <w:t xml:space="preserve"> the binding constraint across the </w:t>
      </w:r>
      <w:r w:rsidR="005766DB">
        <w:t xml:space="preserve">2016–21 </w:t>
      </w:r>
      <w:r w:rsidR="005766DB" w:rsidRPr="004D0BCD">
        <w:t>access arrangement period</w:t>
      </w:r>
      <w:r w:rsidR="005766DB">
        <w:t>, rather than the total revenue requirement set in our decision</w:t>
      </w:r>
      <w:r w:rsidR="005766DB" w:rsidRPr="004D0BCD">
        <w:t>.</w:t>
      </w:r>
      <w:r w:rsidR="005766DB" w:rsidRPr="004D0BCD">
        <w:rPr>
          <w:rStyle w:val="FootnoteReference"/>
        </w:rPr>
        <w:footnoteReference w:id="10"/>
      </w:r>
    </w:p>
    <w:p w:rsidR="005766DB" w:rsidRPr="00837A7D" w:rsidRDefault="005766DB" w:rsidP="008F5F1B">
      <w:pPr>
        <w:rPr>
          <w:rStyle w:val="AERtexthighlight"/>
        </w:rPr>
      </w:pPr>
      <w:r w:rsidRPr="008F5F1B">
        <w:t xml:space="preserve">APTNT’s </w:t>
      </w:r>
      <w:r w:rsidR="00837A7D" w:rsidRPr="008F5F1B">
        <w:t xml:space="preserve">revised </w:t>
      </w:r>
      <w:r w:rsidRPr="008F5F1B">
        <w:t xml:space="preserve">proposed tariff path reflects a </w:t>
      </w:r>
      <w:r w:rsidR="005F53AF">
        <w:t xml:space="preserve">3.1 </w:t>
      </w:r>
      <w:r w:rsidRPr="008F5F1B">
        <w:t xml:space="preserve">per cent decrease in tariffs (in nominal terms) in 2016–17 followed by an increase of </w:t>
      </w:r>
      <w:r w:rsidR="005F53AF">
        <w:t>0.6</w:t>
      </w:r>
      <w:r w:rsidRPr="008F5F1B">
        <w:t xml:space="preserve"> per cent for each subsequent year of the 2016–21 access arrangement period. Our </w:t>
      </w:r>
      <w:r w:rsidR="00434A75" w:rsidRPr="008F5F1B">
        <w:t xml:space="preserve">final </w:t>
      </w:r>
      <w:r w:rsidRPr="008F5F1B">
        <w:t xml:space="preserve">decision tariff path produces lower total smoothed revenue than APTNT's </w:t>
      </w:r>
      <w:r w:rsidR="00837A7D" w:rsidRPr="008F5F1B">
        <w:t xml:space="preserve">revised </w:t>
      </w:r>
      <w:r w:rsidRPr="008F5F1B">
        <w:t xml:space="preserve">proposal, in line with our reductions to total unsmoothed revenue. Our </w:t>
      </w:r>
      <w:r w:rsidR="00434A75" w:rsidRPr="008F5F1B">
        <w:t xml:space="preserve">final </w:t>
      </w:r>
      <w:r w:rsidRPr="008F5F1B">
        <w:t xml:space="preserve">decision tariff path provides for a decrease of </w:t>
      </w:r>
      <w:r w:rsidR="00D523FD">
        <w:t>15.8</w:t>
      </w:r>
      <w:r w:rsidRPr="008F5F1B">
        <w:t xml:space="preserve"> per cent in tariffs (in nominal terms) in 2016–17 and a further decrease of </w:t>
      </w:r>
      <w:r w:rsidR="00D523FD">
        <w:t>1.0</w:t>
      </w:r>
      <w:r w:rsidRPr="008F5F1B">
        <w:t xml:space="preserve"> per cent for each subsequent year of the 2016–21 access arrangement period.</w:t>
      </w:r>
      <w:r w:rsidR="003D32CA">
        <w:t xml:space="preserve"> However, w</w:t>
      </w:r>
      <w:r w:rsidR="003D32CA" w:rsidRPr="008F5F1B">
        <w:t>e note that APTNT’s pipeline is fully committed to a single customer which has negotiated a contract price for the supply of gas.</w:t>
      </w:r>
      <w:r w:rsidR="003D32CA" w:rsidRPr="00837A7D">
        <w:rPr>
          <w:rStyle w:val="FootnoteReference"/>
        </w:rPr>
        <w:footnoteReference w:id="11"/>
      </w:r>
    </w:p>
    <w:p w:rsidR="005766DB" w:rsidRDefault="005766DB" w:rsidP="005766DB">
      <w:pPr>
        <w:pStyle w:val="Heading3"/>
      </w:pPr>
      <w:bookmarkStart w:id="39" w:name="_Toc433016423"/>
      <w:bookmarkStart w:id="40" w:name="_Toc436046176"/>
      <w:bookmarkStart w:id="41" w:name="_Toc451873622"/>
      <w:r>
        <w:t>The building block approach</w:t>
      </w:r>
      <w:bookmarkEnd w:id="39"/>
      <w:bookmarkEnd w:id="40"/>
      <w:bookmarkEnd w:id="41"/>
    </w:p>
    <w:p w:rsidR="005766DB" w:rsidRPr="00EE5F0C" w:rsidRDefault="005766DB" w:rsidP="005766DB">
      <w:pPr>
        <w:numPr>
          <w:ilvl w:val="0"/>
          <w:numId w:val="24"/>
        </w:numPr>
      </w:pPr>
      <w:r w:rsidRPr="00EE5F0C">
        <w:t xml:space="preserve">We have employed the building block approach to determine </w:t>
      </w:r>
      <w:r>
        <w:t>APTNT's total revenue</w:t>
      </w:r>
      <w:r w:rsidRPr="00EE5F0C">
        <w:t xml:space="preserve">—that is, we based the </w:t>
      </w:r>
      <w:r>
        <w:t>total revenue on our estimate of the</w:t>
      </w:r>
      <w:r w:rsidRPr="00EE5F0C">
        <w:t xml:space="preserve"> efficient costs that </w:t>
      </w:r>
      <w:r>
        <w:t xml:space="preserve">APTNT </w:t>
      </w:r>
      <w:r w:rsidRPr="00EE5F0C">
        <w:t xml:space="preserve">is likely to incur in providing </w:t>
      </w:r>
      <w:r>
        <w:t>gas transmission</w:t>
      </w:r>
      <w:r w:rsidRPr="00EE5F0C">
        <w:t xml:space="preserve"> network services. The building block costs</w:t>
      </w:r>
      <w:r>
        <w:t xml:space="preserve">, as shown in </w:t>
      </w:r>
      <w:r>
        <w:fldChar w:fldCharType="begin"/>
      </w:r>
      <w:r>
        <w:instrText xml:space="preserve"> REF _Ref433964801 \h </w:instrText>
      </w:r>
      <w:r>
        <w:fldChar w:fldCharType="separate"/>
      </w:r>
      <w:r w:rsidR="009F7892" w:rsidRPr="002254BF">
        <w:t xml:space="preserve">Figure </w:t>
      </w:r>
      <w:r w:rsidR="009F7892">
        <w:rPr>
          <w:noProof/>
        </w:rPr>
        <w:t>5</w:t>
      </w:r>
      <w:r>
        <w:fldChar w:fldCharType="end"/>
      </w:r>
      <w:r>
        <w:t>,</w:t>
      </w:r>
      <w:r w:rsidRPr="00EE5F0C">
        <w:t xml:space="preserve"> include:</w:t>
      </w:r>
      <w:r w:rsidRPr="00EE5F0C">
        <w:rPr>
          <w:rStyle w:val="FootnoteReference"/>
        </w:rPr>
        <w:footnoteReference w:id="12"/>
      </w:r>
    </w:p>
    <w:p w:rsidR="005766DB" w:rsidRPr="00E64356" w:rsidRDefault="005766DB" w:rsidP="005766DB">
      <w:pPr>
        <w:pStyle w:val="AERbulletlistfirststyle"/>
      </w:pPr>
      <w:r w:rsidRPr="00EE5F0C">
        <w:t xml:space="preserve">return on </w:t>
      </w:r>
      <w:r w:rsidRPr="00E64356">
        <w:t xml:space="preserve">the projected capital base </w:t>
      </w:r>
      <w:r>
        <w:t>(return on capital)</w:t>
      </w:r>
    </w:p>
    <w:p w:rsidR="005766DB" w:rsidRPr="00E64356" w:rsidRDefault="005766DB" w:rsidP="005766DB">
      <w:pPr>
        <w:pStyle w:val="AERbulletlistfirststyle"/>
      </w:pPr>
      <w:r w:rsidRPr="00EE5F0C">
        <w:t xml:space="preserve">depreciation </w:t>
      </w:r>
      <w:r>
        <w:t>of</w:t>
      </w:r>
      <w:r w:rsidRPr="00E64356">
        <w:t xml:space="preserve"> the projected capital base </w:t>
      </w:r>
      <w:r>
        <w:t>(return of capital)</w:t>
      </w:r>
    </w:p>
    <w:p w:rsidR="005766DB" w:rsidRPr="00E64356" w:rsidRDefault="005766DB" w:rsidP="005766DB">
      <w:pPr>
        <w:pStyle w:val="AERbulletlistfirststyle"/>
      </w:pPr>
      <w:r w:rsidRPr="00EE5F0C">
        <w:t>the estimated cost of corporate income tax</w:t>
      </w:r>
    </w:p>
    <w:p w:rsidR="005766DB" w:rsidRPr="00E64356" w:rsidRDefault="005766DB" w:rsidP="005766DB">
      <w:pPr>
        <w:pStyle w:val="AERbulletlistfirststyle"/>
      </w:pPr>
      <w:r w:rsidRPr="00EE5F0C">
        <w:t>forecast opex</w:t>
      </w:r>
      <w:r w:rsidRPr="00E64356">
        <w:t>.</w:t>
      </w:r>
    </w:p>
    <w:p w:rsidR="005766DB" w:rsidRPr="00EE5F0C" w:rsidRDefault="005766DB" w:rsidP="005766DB">
      <w:pPr>
        <w:numPr>
          <w:ilvl w:val="0"/>
          <w:numId w:val="24"/>
        </w:numPr>
      </w:pPr>
      <w:r w:rsidRPr="00EE5F0C">
        <w:t xml:space="preserve">Our assessment of capex directly affects the size of the </w:t>
      </w:r>
      <w:r>
        <w:t xml:space="preserve">capital base </w:t>
      </w:r>
      <w:r w:rsidRPr="00EE5F0C">
        <w:t xml:space="preserve">and therefore, the revenue generated from the return on capital and </w:t>
      </w:r>
      <w:r>
        <w:t xml:space="preserve">depreciation </w:t>
      </w:r>
      <w:r w:rsidRPr="00EE5F0C">
        <w:t xml:space="preserve">building blocks. </w:t>
      </w:r>
    </w:p>
    <w:p w:rsidR="005766DB" w:rsidRPr="005766DB" w:rsidRDefault="005766DB" w:rsidP="00434A75">
      <w:pPr>
        <w:pStyle w:val="Caption"/>
        <w:rPr>
          <w:rStyle w:val="Strong"/>
        </w:rPr>
      </w:pPr>
      <w:bookmarkStart w:id="42" w:name="_Ref433964801"/>
      <w:r w:rsidRPr="002254BF">
        <w:t xml:space="preserve">Figure </w:t>
      </w:r>
      <w:r w:rsidRPr="005766DB">
        <w:fldChar w:fldCharType="begin"/>
      </w:r>
      <w:r>
        <w:instrText xml:space="preserve"> SEQ Figure \* ARABIC </w:instrText>
      </w:r>
      <w:r w:rsidRPr="005766DB">
        <w:fldChar w:fldCharType="separate"/>
      </w:r>
      <w:r w:rsidR="009F7892">
        <w:rPr>
          <w:noProof/>
        </w:rPr>
        <w:t>5</w:t>
      </w:r>
      <w:r w:rsidRPr="005766DB">
        <w:fldChar w:fldCharType="end"/>
      </w:r>
      <w:bookmarkEnd w:id="42"/>
      <w:r w:rsidRPr="002254BF">
        <w:tab/>
      </w:r>
      <w:r w:rsidRPr="000B15BF">
        <w:rPr>
          <w:rStyle w:val="Strong"/>
          <w:b/>
          <w:bCs/>
        </w:rPr>
        <w:t>The building block approach for determining total revenue</w:t>
      </w:r>
    </w:p>
    <w:p w:rsidR="005766DB" w:rsidRDefault="007C4F8D" w:rsidP="005766DB">
      <w:pPr>
        <w:pStyle w:val="ListParagraph"/>
        <w:numPr>
          <w:ilvl w:val="0"/>
          <w:numId w:val="24"/>
        </w:numPr>
      </w:pPr>
      <w:r w:rsidRPr="00FD391B">
        <w:rPr>
          <w:noProof/>
          <w:lang w:eastAsia="en-AU"/>
        </w:rPr>
        <mc:AlternateContent>
          <mc:Choice Requires="wpc">
            <w:drawing>
              <wp:inline distT="0" distB="0" distL="0" distR="0" wp14:anchorId="70A89E03" wp14:editId="0FC2C404">
                <wp:extent cx="5581650" cy="3592467"/>
                <wp:effectExtent l="0" t="0" r="0" b="27305"/>
                <wp:docPr id="23" name="Canvas 23"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4"/>
                        <wps:cNvSpPr txBox="1">
                          <a:spLocks noChangeArrowheads="1"/>
                        </wps:cNvSpPr>
                        <wps:spPr bwMode="auto">
                          <a:xfrm>
                            <a:off x="1504964" y="0"/>
                            <a:ext cx="2470150" cy="666000"/>
                          </a:xfrm>
                          <a:prstGeom prst="rect">
                            <a:avLst/>
                          </a:prstGeom>
                          <a:solidFill>
                            <a:schemeClr val="accent2"/>
                          </a:soli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9E7EC8" w:rsidRPr="003B658B" w:rsidRDefault="009E7EC8" w:rsidP="007C4F8D">
                              <w:pPr>
                                <w:pStyle w:val="TableHeading-centred"/>
                                <w:rPr>
                                  <w:rStyle w:val="AERtextsize10"/>
                                  <w:rFonts w:eastAsia="Calibri"/>
                                </w:rPr>
                              </w:pPr>
                              <w:r w:rsidRPr="003B658B">
                                <w:rPr>
                                  <w:rStyle w:val="AERtextsize10"/>
                                  <w:rFonts w:eastAsia="Calibri"/>
                                </w:rPr>
                                <w:t>R</w:t>
                              </w:r>
                              <w:r>
                                <w:rPr>
                                  <w:rStyle w:val="AERtextsize10"/>
                                  <w:rFonts w:eastAsia="Calibri"/>
                                </w:rPr>
                                <w:t>eturn on capital</w:t>
                              </w:r>
                              <w:r>
                                <w:rPr>
                                  <w:rStyle w:val="AERtextsize10"/>
                                  <w:rFonts w:eastAsia="Calibri"/>
                                </w:rPr>
                                <w:br/>
                              </w:r>
                              <w:r w:rsidRPr="003B658B">
                                <w:rPr>
                                  <w:rStyle w:val="AERtextsize10"/>
                                  <w:rFonts w:eastAsia="Calibri"/>
                                </w:rPr>
                                <w:t xml:space="preserve">(capital base × </w:t>
                              </w:r>
                              <w:r>
                                <w:rPr>
                                  <w:rStyle w:val="AERtextsize10"/>
                                  <w:rFonts w:eastAsia="Calibri"/>
                                </w:rPr>
                                <w:t>rate of return on capital</w:t>
                              </w:r>
                              <w:r w:rsidRPr="003B658B">
                                <w:rPr>
                                  <w:rStyle w:val="AERtextsize10"/>
                                  <w:rFonts w:eastAsia="Calibri"/>
                                </w:rPr>
                                <w:t>)</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504964" y="716158"/>
                            <a:ext cx="2470150" cy="666000"/>
                          </a:xfrm>
                          <a:prstGeom prst="rect">
                            <a:avLst/>
                          </a:prstGeom>
                          <a:gradFill rotWithShape="0">
                            <a:gsLst>
                              <a:gs pos="0">
                                <a:srgbClr val="C0504D"/>
                              </a:gs>
                              <a:gs pos="50000">
                                <a:srgbClr val="C0504D">
                                  <a:gamma/>
                                  <a:tint val="97647"/>
                                  <a:invGamma/>
                                </a:srgbClr>
                              </a:gs>
                              <a:gs pos="100000">
                                <a:srgbClr val="C0504D"/>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9E7EC8" w:rsidRPr="003B658B" w:rsidRDefault="009E7EC8" w:rsidP="007C4F8D">
                              <w:pPr>
                                <w:pStyle w:val="TableHeading-centred"/>
                                <w:rPr>
                                  <w:rStyle w:val="AERtextsize10"/>
                                  <w:rFonts w:eastAsia="Calibri"/>
                                </w:rPr>
                              </w:pPr>
                              <w:r w:rsidRPr="003B658B">
                                <w:rPr>
                                  <w:rStyle w:val="AERtextsize10"/>
                                  <w:rFonts w:eastAsia="Calibri"/>
                                </w:rPr>
                                <w:t>Regulatory depreciation (depreciation net of indexation applied to capital base)</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1504964" y="2890468"/>
                            <a:ext cx="2470150" cy="666000"/>
                          </a:xfrm>
                          <a:prstGeom prst="rect">
                            <a:avLst/>
                          </a:prstGeom>
                          <a:gradFill rotWithShape="0">
                            <a:gsLst>
                              <a:gs pos="0">
                                <a:srgbClr val="76923C"/>
                              </a:gs>
                              <a:gs pos="100000">
                                <a:srgbClr val="76923C">
                                  <a:gamma/>
                                  <a:shade val="97647"/>
                                  <a:invGamma/>
                                </a:srgbClr>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9E7EC8" w:rsidRPr="003B658B" w:rsidRDefault="009E7EC8" w:rsidP="007C4F8D">
                              <w:pPr>
                                <w:pStyle w:val="TableHeading-centred"/>
                                <w:rPr>
                                  <w:rStyle w:val="AERtextsize10"/>
                                  <w:rFonts w:eastAsia="Calibri"/>
                                </w:rPr>
                              </w:pPr>
                              <w:r w:rsidRPr="003B658B">
                                <w:rPr>
                                  <w:rStyle w:val="AERtextsize10"/>
                                  <w:rFonts w:eastAsia="Calibri"/>
                                </w:rPr>
                                <w:t>C</w:t>
                              </w:r>
                              <w:r>
                                <w:rPr>
                                  <w:rStyle w:val="AERtextsize10"/>
                                  <w:rFonts w:eastAsia="Calibri"/>
                                </w:rPr>
                                <w:t>orporate income tax</w:t>
                              </w:r>
                              <w:r>
                                <w:rPr>
                                  <w:rStyle w:val="AERtextsize10"/>
                                  <w:rFonts w:eastAsia="Calibri"/>
                                </w:rPr>
                                <w:br/>
                              </w:r>
                              <w:r w:rsidRPr="003B658B">
                                <w:rPr>
                                  <w:rStyle w:val="AERtextsize10"/>
                                  <w:rFonts w:eastAsia="Calibri"/>
                                </w:rPr>
                                <w:t>(net of value of imputation credits)</w:t>
                              </w:r>
                            </w:p>
                            <w:p w:rsidR="009E7EC8" w:rsidRPr="007F7192" w:rsidRDefault="009E7EC8" w:rsidP="007C4F8D">
                              <w:pPr>
                                <w:spacing w:after="200"/>
                                <w:rPr>
                                  <w:rStyle w:val="AERbody"/>
                                  <w:color w:val="FFFFFF"/>
                                </w:rPr>
                              </w:pPr>
                              <w:r w:rsidRPr="007F7192">
                                <w:rPr>
                                  <w:rStyle w:val="AERbody"/>
                                  <w:color w:val="FFFFFF"/>
                                </w:rPr>
                                <w:br/>
                              </w:r>
                            </w:p>
                          </w:txbxContent>
                        </wps:txbx>
                        <wps:bodyPr rot="0" vert="horz" wrap="square" lIns="91440" tIns="45720" rIns="91440" bIns="45720" anchor="t" anchorCtr="0" upright="1">
                          <a:noAutofit/>
                        </wps:bodyPr>
                      </wps:wsp>
                      <wps:wsp>
                        <wps:cNvPr id="11" name="Line 7"/>
                        <wps:cNvCnPr/>
                        <wps:spPr bwMode="auto">
                          <a:xfrm>
                            <a:off x="406528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wps:spPr bwMode="auto">
                          <a:xfrm>
                            <a:off x="4065284" y="3554768"/>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Line 9"/>
                        <wps:cNvCnPr/>
                        <wps:spPr bwMode="auto">
                          <a:xfrm>
                            <a:off x="4409618" y="0"/>
                            <a:ext cx="0" cy="35564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wps:spPr bwMode="auto">
                          <a:xfrm flipH="1">
                            <a:off x="1076974" y="0"/>
                            <a:ext cx="3448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wps:spPr bwMode="auto">
                          <a:xfrm flipH="1">
                            <a:off x="1076974" y="1379220"/>
                            <a:ext cx="34480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wps:spPr bwMode="auto">
                          <a:xfrm>
                            <a:off x="1076974" y="0"/>
                            <a:ext cx="0" cy="13792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13"/>
                        <wps:cNvSpPr txBox="1">
                          <a:spLocks noChangeArrowheads="1"/>
                        </wps:cNvSpPr>
                        <wps:spPr bwMode="auto">
                          <a:xfrm>
                            <a:off x="13349" y="407034"/>
                            <a:ext cx="1026795" cy="678815"/>
                          </a:xfrm>
                          <a:prstGeom prst="rect">
                            <a:avLst/>
                          </a:prstGeom>
                          <a:noFill/>
                          <a:ln w="9525">
                            <a:noFill/>
                            <a:miter lim="800000"/>
                            <a:headEnd/>
                            <a:tailEnd/>
                          </a:ln>
                        </wps:spPr>
                        <wps:txbx>
                          <w:txbxContent>
                            <w:p w:rsidR="009E7EC8" w:rsidRPr="005C48D3" w:rsidRDefault="009E7EC8" w:rsidP="007C4F8D">
                              <w:pPr>
                                <w:rPr>
                                  <w:rStyle w:val="AERtextsize10"/>
                                </w:rPr>
                              </w:pPr>
                              <w:r w:rsidRPr="005C48D3">
                                <w:rPr>
                                  <w:rStyle w:val="AERtextsize10"/>
                                </w:rPr>
                                <w:t>Capital costs</w:t>
                              </w:r>
                            </w:p>
                          </w:txbxContent>
                        </wps:txbx>
                        <wps:bodyPr rot="0" vert="horz" wrap="square" lIns="91440" tIns="45720" rIns="91440" bIns="45720" anchor="t" anchorCtr="0" upright="1">
                          <a:noAutofit/>
                        </wps:bodyPr>
                      </wps:wsp>
                      <wps:wsp>
                        <wps:cNvPr id="20" name="Text Box 14"/>
                        <wps:cNvSpPr txBox="1">
                          <a:spLocks noChangeArrowheads="1"/>
                        </wps:cNvSpPr>
                        <wps:spPr bwMode="auto">
                          <a:xfrm>
                            <a:off x="1510604" y="1442713"/>
                            <a:ext cx="2470150" cy="666000"/>
                          </a:xfrm>
                          <a:prstGeom prst="rect">
                            <a:avLst/>
                          </a:prstGeom>
                          <a:gradFill rotWithShape="0">
                            <a:gsLst>
                              <a:gs pos="0">
                                <a:srgbClr val="365F91"/>
                              </a:gs>
                              <a:gs pos="100000">
                                <a:srgbClr val="365F91"/>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9E7EC8" w:rsidRPr="005C48D3" w:rsidRDefault="009E7EC8" w:rsidP="007C4F8D">
                              <w:pPr>
                                <w:pStyle w:val="TableHeading-centred"/>
                                <w:rPr>
                                  <w:rStyle w:val="AERtextsize10"/>
                                  <w:rFonts w:eastAsia="Calibri"/>
                                </w:rPr>
                              </w:pPr>
                              <w:r w:rsidRPr="005C48D3">
                                <w:rPr>
                                  <w:rStyle w:val="AERtextsize10"/>
                                  <w:rFonts w:eastAsia="Calibri"/>
                                </w:rPr>
                                <w:t>Operating expenditure</w:t>
                              </w:r>
                              <w:r w:rsidRPr="005C48D3">
                                <w:rPr>
                                  <w:rStyle w:val="AERtextsize10"/>
                                  <w:rFonts w:eastAsia="Calibri"/>
                                </w:rPr>
                                <w:br/>
                                <w:t xml:space="preserve">(opex) </w:t>
                              </w:r>
                            </w:p>
                            <w:p w:rsidR="009E7EC8" w:rsidRPr="004414F4" w:rsidRDefault="009E7EC8" w:rsidP="007C4F8D">
                              <w:pPr>
                                <w:rPr>
                                  <w:color w:val="FFFFFF"/>
                                </w:rPr>
                              </w:pPr>
                            </w:p>
                          </w:txbxContent>
                        </wps:txbx>
                        <wps:bodyPr rot="0" vert="horz" wrap="square" lIns="91440" tIns="45720" rIns="91440" bIns="45720" anchor="t" anchorCtr="0" upright="1">
                          <a:noAutofit/>
                        </wps:bodyPr>
                      </wps:wsp>
                      <wps:wsp>
                        <wps:cNvPr id="21" name="Text Box 15"/>
                        <wps:cNvSpPr txBox="1">
                          <a:spLocks noChangeArrowheads="1"/>
                        </wps:cNvSpPr>
                        <wps:spPr bwMode="auto">
                          <a:xfrm>
                            <a:off x="1510605" y="2166559"/>
                            <a:ext cx="2470150" cy="666000"/>
                          </a:xfrm>
                          <a:prstGeom prst="rect">
                            <a:avLst/>
                          </a:prstGeom>
                          <a:gradFill rotWithShape="0">
                            <a:gsLst>
                              <a:gs pos="0">
                                <a:srgbClr val="548DD4"/>
                              </a:gs>
                              <a:gs pos="100000">
                                <a:srgbClr val="548DD4"/>
                              </a:gs>
                            </a:gsLst>
                            <a:lin ang="5400000" scaled="1"/>
                          </a:gradFill>
                          <a:ln w="9525">
                            <a:solidFill>
                              <a:schemeClr val="accent5">
                                <a:lumMod val="75000"/>
                                <a:lumOff val="25000"/>
                              </a:schemeClr>
                            </a:solidFill>
                            <a:miter lim="800000"/>
                            <a:headEnd/>
                            <a:tailEnd/>
                          </a:ln>
                          <a:effectLst>
                            <a:outerShdw dist="28398" dir="3806097" algn="ctr" rotWithShape="0">
                              <a:schemeClr val="bg1">
                                <a:lumMod val="50000"/>
                              </a:schemeClr>
                            </a:outerShdw>
                          </a:effectLst>
                        </wps:spPr>
                        <wps:txbx>
                          <w:txbxContent>
                            <w:p w:rsidR="009E7EC8" w:rsidRPr="005C48D3" w:rsidRDefault="009E7EC8" w:rsidP="007C4F8D">
                              <w:pPr>
                                <w:pStyle w:val="TableHeading-centred"/>
                                <w:rPr>
                                  <w:rStyle w:val="AERtextsize10"/>
                                  <w:rFonts w:eastAsia="Calibri"/>
                                </w:rPr>
                              </w:pPr>
                              <w:r w:rsidRPr="005C48D3">
                                <w:rPr>
                                  <w:rStyle w:val="AERtextsize10"/>
                                  <w:rFonts w:eastAsia="Calibri"/>
                                </w:rPr>
                                <w:t xml:space="preserve">Revenue adjustments </w:t>
                              </w:r>
                              <w:r w:rsidRPr="005C48D3">
                                <w:rPr>
                                  <w:rStyle w:val="AERtextsize10"/>
                                  <w:rFonts w:eastAsia="Calibri"/>
                                </w:rPr>
                                <w:br/>
                                <w:t>(increment or decrement)</w:t>
                              </w:r>
                            </w:p>
                          </w:txbxContent>
                        </wps:txbx>
                        <wps:bodyPr rot="0" vert="horz" wrap="square" lIns="91440" tIns="45720" rIns="91440" bIns="45720" anchor="t" anchorCtr="0" upright="1">
                          <a:noAutofit/>
                        </wps:bodyPr>
                      </wps:wsp>
                      <wps:wsp>
                        <wps:cNvPr id="22" name="Text Box 16"/>
                        <wps:cNvSpPr txBox="1">
                          <a:spLocks noChangeArrowheads="1"/>
                        </wps:cNvSpPr>
                        <wps:spPr bwMode="auto">
                          <a:xfrm>
                            <a:off x="4480574" y="1579783"/>
                            <a:ext cx="1044124" cy="567516"/>
                          </a:xfrm>
                          <a:prstGeom prst="rect">
                            <a:avLst/>
                          </a:prstGeom>
                          <a:noFill/>
                          <a:ln w="9525">
                            <a:noFill/>
                            <a:miter lim="800000"/>
                            <a:headEnd/>
                            <a:tailEnd/>
                          </a:ln>
                        </wps:spPr>
                        <wps:txbx>
                          <w:txbxContent>
                            <w:p w:rsidR="009E7EC8" w:rsidRDefault="009E7EC8" w:rsidP="007C4F8D">
                              <w:pPr>
                                <w:pStyle w:val="AERtabletextleft"/>
                              </w:pPr>
                              <w:r w:rsidRPr="005C48D3">
                                <w:rPr>
                                  <w:rStyle w:val="AERtextsize10"/>
                                  <w:rFonts w:eastAsia="Calibri"/>
                                </w:rPr>
                                <w:t>Total revenue</w:t>
                              </w:r>
                            </w:p>
                          </w:txbxContent>
                        </wps:txbx>
                        <wps:bodyPr rot="0" vert="horz" wrap="square" lIns="91440" tIns="45720" rIns="91440" bIns="45720" anchor="t" anchorCtr="0" upright="1">
                          <a:noAutofit/>
                        </wps:bodyPr>
                      </wps:wsp>
                    </wpc:wpc>
                  </a:graphicData>
                </a:graphic>
              </wp:inline>
            </w:drawing>
          </mc:Choice>
          <mc:Fallback>
            <w:pict>
              <v:group id="Canvas 23" o:spid="_x0000_s1026" editas="canvas" alt="Image outlining the bulding block model. The table's contents were described in the previous paragraph." style="width:439.5pt;height:282.85pt;mso-position-horizontal-relative:char;mso-position-vertical-relative:line" coordsize="55816,35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outlining the bulding block model. The table's contents were described in the previous paragraph." style="position:absolute;width:55816;height:3592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5049;width:24702;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1OMccA&#10;AADaAAAADwAAAGRycy9kb3ducmV2LnhtbESPzWvCQBTE70L/h+UVeim6scUPUlfRQvGjB4168PjI&#10;vibR7Ns0u9XUv74rFDwOM/MbZjRpTCnOVLvCsoJuJwJBnFpdcKZgv/toD0E4j6yxtEwKfsnBZPzQ&#10;GmGs7YUTOm99JgKEXYwKcu+rWEqX5mTQdWxFHLwvWxv0QdaZ1DVeAtyU8iWK+tJgwWEhx4rec0pP&#10;2x+j4LjuLlf6cz6IDv1kc30mfNWzb6WeHpvpGwhPjb+H/9sLraAHtyvhBsjx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NTjHHAAAA2gAAAA8AAAAAAAAAAAAAAAAAmAIAAGRy&#10;cy9kb3ducmV2LnhtbFBLBQYAAAAABAAEAPUAAACMAwAAAAA=&#10;" fillcolor="#c14e00 [3205]" strokecolor="#404040 [2424]">
                  <v:shadow on="t" color="#7f7f7f [1612]" offset="1pt"/>
                  <v:textbox>
                    <w:txbxContent>
                      <w:p w:rsidR="009E7EC8" w:rsidRPr="003B658B" w:rsidRDefault="009E7EC8" w:rsidP="007C4F8D">
                        <w:pPr>
                          <w:pStyle w:val="TableHeading-centred"/>
                          <w:rPr>
                            <w:rStyle w:val="AERtextsize10"/>
                            <w:rFonts w:eastAsia="Calibri"/>
                          </w:rPr>
                        </w:pPr>
                        <w:r w:rsidRPr="003B658B">
                          <w:rPr>
                            <w:rStyle w:val="AERtextsize10"/>
                            <w:rFonts w:eastAsia="Calibri"/>
                          </w:rPr>
                          <w:t>R</w:t>
                        </w:r>
                        <w:r>
                          <w:rPr>
                            <w:rStyle w:val="AERtextsize10"/>
                            <w:rFonts w:eastAsia="Calibri"/>
                          </w:rPr>
                          <w:t xml:space="preserve">eturn on </w:t>
                        </w:r>
                        <w:proofErr w:type="gramStart"/>
                        <w:r>
                          <w:rPr>
                            <w:rStyle w:val="AERtextsize10"/>
                            <w:rFonts w:eastAsia="Calibri"/>
                          </w:rPr>
                          <w:t>capital</w:t>
                        </w:r>
                        <w:proofErr w:type="gramEnd"/>
                        <w:r>
                          <w:rPr>
                            <w:rStyle w:val="AERtextsize10"/>
                            <w:rFonts w:eastAsia="Calibri"/>
                          </w:rPr>
                          <w:br/>
                        </w:r>
                        <w:r w:rsidRPr="003B658B">
                          <w:rPr>
                            <w:rStyle w:val="AERtextsize10"/>
                            <w:rFonts w:eastAsia="Calibri"/>
                          </w:rPr>
                          <w:t xml:space="preserve">(capital base × </w:t>
                        </w:r>
                        <w:r>
                          <w:rPr>
                            <w:rStyle w:val="AERtextsize10"/>
                            <w:rFonts w:eastAsia="Calibri"/>
                          </w:rPr>
                          <w:t>rate of return on capital</w:t>
                        </w:r>
                        <w:r w:rsidRPr="003B658B">
                          <w:rPr>
                            <w:rStyle w:val="AERtextsize10"/>
                            <w:rFonts w:eastAsia="Calibri"/>
                          </w:rPr>
                          <w:t>)</w:t>
                        </w:r>
                      </w:p>
                    </w:txbxContent>
                  </v:textbox>
                </v:shape>
                <v:shape id="Text Box 5" o:spid="_x0000_s1029" type="#_x0000_t202" style="position:absolute;left:15049;top:7161;width:24702;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xmg8IA&#10;AADaAAAADwAAAGRycy9kb3ducmV2LnhtbESPT4vCMBTE78J+h/AWvGlaEdFqLMuygrAH/x+8PZpn&#10;W7Z5KU20dT+9EQSPw8z8hlmknanEjRpXWlYQDyMQxJnVJecKjofVYArCeWSNlWVScCcH6fKjt8BE&#10;25Z3dNv7XAQIuwQVFN7XiZQuK8igG9qaOHgX2xj0QTa51A22AW4qOYqiiTRYclgosKbvgrK//dUo&#10;aGNzlubgfjc/0Uyfxtv7v92WSvU/u685CE+df4df7bVWMIHnlXA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GaDwgAAANoAAAAPAAAAAAAAAAAAAAAAAJgCAABkcnMvZG93&#10;bnJldi54bWxQSwUGAAAAAAQABAD1AAAAhwMAAAAA&#10;" fillcolor="#c0504d" strokecolor="#404040 [2424]">
                  <v:fill color2="#c15451" focus="50%" type="gradient"/>
                  <v:shadow on="t" color="#7f7f7f [1612]" offset="1pt"/>
                  <v:textbox>
                    <w:txbxContent>
                      <w:p w:rsidR="009E7EC8" w:rsidRPr="003B658B" w:rsidRDefault="009E7EC8" w:rsidP="007C4F8D">
                        <w:pPr>
                          <w:pStyle w:val="TableHeading-centred"/>
                          <w:rPr>
                            <w:rStyle w:val="AERtextsize10"/>
                            <w:rFonts w:eastAsia="Calibri"/>
                          </w:rPr>
                        </w:pPr>
                        <w:r w:rsidRPr="003B658B">
                          <w:rPr>
                            <w:rStyle w:val="AERtextsize10"/>
                            <w:rFonts w:eastAsia="Calibri"/>
                          </w:rPr>
                          <w:t>Regulatory depreciation (depreciation net of indexation applied to capital base)</w:t>
                        </w:r>
                      </w:p>
                    </w:txbxContent>
                  </v:textbox>
                </v:shape>
                <v:shape id="Text Box 7" o:spid="_x0000_s1030" type="#_x0000_t202" style="position:absolute;left:15049;top:28904;width:24702;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CGMQA&#10;AADaAAAADwAAAGRycy9kb3ducmV2LnhtbESPQWvCQBSE7wX/w/KE3nSjh1qjq4hoKdpDqwGvj+wz&#10;Ccm+DdnVRH+9Kwg9DjPzDTNfdqYSV2pcYVnBaBiBIE6tLjhTkBy3g08QziNrrCyTghs5WC56b3OM&#10;tW35j64Hn4kAYRejgtz7OpbSpTkZdENbEwfvbBuDPsgmk7rBNsBNJcdR9CENFhwWcqxpnVNaHi5G&#10;wS5KfveT6ea+TsrTT8unzaX8KpV673erGQhPnf8Pv9rfWsEEnlfCD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GghjEAAAA2gAAAA8AAAAAAAAAAAAAAAAAmAIAAGRycy9k&#10;b3ducmV2LnhtbFBLBQYAAAAABAAEAPUAAACJAwAAAAA=&#10;" fillcolor="#76923c" strokecolor="#404040 [2424]">
                  <v:fill color2="#738f3b" focus="100%" type="gradient"/>
                  <v:shadow on="t" color="#7f7f7f [1612]" offset="1pt"/>
                  <v:textbox>
                    <w:txbxContent>
                      <w:p w:rsidR="009E7EC8" w:rsidRPr="003B658B" w:rsidRDefault="009E7EC8" w:rsidP="007C4F8D">
                        <w:pPr>
                          <w:pStyle w:val="TableHeading-centred"/>
                          <w:rPr>
                            <w:rStyle w:val="AERtextsize10"/>
                            <w:rFonts w:eastAsia="Calibri"/>
                          </w:rPr>
                        </w:pPr>
                        <w:r w:rsidRPr="003B658B">
                          <w:rPr>
                            <w:rStyle w:val="AERtextsize10"/>
                            <w:rFonts w:eastAsia="Calibri"/>
                          </w:rPr>
                          <w:t>C</w:t>
                        </w:r>
                        <w:r>
                          <w:rPr>
                            <w:rStyle w:val="AERtextsize10"/>
                            <w:rFonts w:eastAsia="Calibri"/>
                          </w:rPr>
                          <w:t xml:space="preserve">orporate income </w:t>
                        </w:r>
                        <w:proofErr w:type="gramStart"/>
                        <w:r>
                          <w:rPr>
                            <w:rStyle w:val="AERtextsize10"/>
                            <w:rFonts w:eastAsia="Calibri"/>
                          </w:rPr>
                          <w:t>tax</w:t>
                        </w:r>
                        <w:proofErr w:type="gramEnd"/>
                        <w:r>
                          <w:rPr>
                            <w:rStyle w:val="AERtextsize10"/>
                            <w:rFonts w:eastAsia="Calibri"/>
                          </w:rPr>
                          <w:br/>
                        </w:r>
                        <w:r w:rsidRPr="003B658B">
                          <w:rPr>
                            <w:rStyle w:val="AERtextsize10"/>
                            <w:rFonts w:eastAsia="Calibri"/>
                          </w:rPr>
                          <w:t>(net of value of imputation credits)</w:t>
                        </w:r>
                      </w:p>
                      <w:p w:rsidR="009E7EC8" w:rsidRPr="007F7192" w:rsidRDefault="009E7EC8" w:rsidP="007C4F8D">
                        <w:pPr>
                          <w:spacing w:after="200"/>
                          <w:rPr>
                            <w:rStyle w:val="AERbody"/>
                            <w:color w:val="FFFFFF"/>
                          </w:rPr>
                        </w:pPr>
                        <w:r w:rsidRPr="007F7192">
                          <w:rPr>
                            <w:rStyle w:val="AERbody"/>
                            <w:color w:val="FFFFFF"/>
                          </w:rPr>
                          <w:br/>
                        </w:r>
                      </w:p>
                    </w:txbxContent>
                  </v:textbox>
                </v:shape>
                <v:line id="Line 7" o:spid="_x0000_s1031" style="position:absolute;visibility:visible;mso-wrap-style:square" from="40652,0" to="441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D08EAAADbAAAADwAAAGRycy9kb3ducmV2LnhtbERPzWoCMRC+C32HMAVvml0PYlejlKpQ&#10;8SC1PsC4GTerm8mSpLr69KZQ6G0+vt+ZLTrbiCv5UDtWkA8zEMSl0zVXCg7f68EERIjIGhvHpOBO&#10;ARbzl94MC+1u/EXXfaxECuFQoAITY1tIGUpDFsPQtcSJOzlvMSboK6k93lK4beQoy8bSYs2pwWBL&#10;H4bKy/7HKtj44/aSPyojj7zxq2a3fAv2rFT/tXufgojUxX/xn/tTp/k5/P6SDpD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EkPTwQAAANsAAAAPAAAAAAAAAAAAAAAA&#10;AKECAABkcnMvZG93bnJldi54bWxQSwUGAAAAAAQABAD5AAAAjwMAAAAA&#10;" strokeweight="1pt"/>
                <v:line id="Line 8" o:spid="_x0000_s1032" style="position:absolute;visibility:visible;mso-wrap-style:square" from="40652,35547" to="44100,35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line id="Line 9" o:spid="_x0000_s1033" style="position:absolute;visibility:visible;mso-wrap-style:square" from="44096,0" to="44096,35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x4P8IAAADbAAAADwAAAGRycy9kb3ducmV2LnhtbERPzWoCMRC+C32HMIXeNGsF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x4P8IAAADbAAAADwAAAAAAAAAAAAAA&#10;AAChAgAAZHJzL2Rvd25yZXYueG1sUEsFBgAAAAAEAAQA+QAAAJADAAAAAA==&#10;" strokeweight="1pt"/>
                <v:line id="Line 10" o:spid="_x0000_s1034" style="position:absolute;flip:x;visibility:visible;mso-wrap-style:square" from="10769,0" to="14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D9lsYAAADbAAAADwAAAGRycy9kb3ducmV2LnhtbESPT2vCQBDF74LfYRmhl9JsLCW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w/ZbGAAAA2wAAAA8AAAAAAAAA&#10;AAAAAAAAoQIAAGRycy9kb3ducmV2LnhtbFBLBQYAAAAABAAEAPkAAACUAwAAAAA=&#10;" strokeweight="1pt"/>
                <v:line id="Line 11" o:spid="_x0000_s1035" style="position:absolute;flip:x;visibility:visible;mso-wrap-style:square" from="10769,13792" to="14217,13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YDcYAAADbAAAADwAAAGRycy9kb3ducmV2LnhtbESPT2vCQBDF74LfYRmhl9JsLDS0MRsp&#10;QqEUPKgF9TZkp/nT7GzIrkn89l2h4G2G9+b93mTrybRioN7VlhUsoxgEcWF1zaWC78PH0ysI55E1&#10;tpZJwZUcrPP5LMNU25F3NOx9KUIIuxQVVN53qZSuqMigi2xHHLQf2xv0Ye1LqXscQ7hp5XMcJ9Jg&#10;zYFQYUebiorf/cUESLMpz9uGiuPbsfsak+XjeDpdlHpYTO8rEJ4mfzf/X3/qUP8Fbr+EAWT+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8WA3GAAAA2wAAAA8AAAAAAAAA&#10;AAAAAAAAoQIAAGRycy9kb3ducmV2LnhtbFBLBQYAAAAABAAEAPkAAACUAwAAAAA=&#10;" strokeweight="1pt"/>
                <v:line id="Line 12" o:spid="_x0000_s1036" style="position:absolute;visibility:visible;mso-wrap-style:square" from="10769,0" to="10769,1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jqTsQAAADbAAAADwAAAGRycy9kb3ducmV2LnhtbESPzW4CMQyE70i8Q2Sk3iBLD1VZCKjq&#10;j1TUQ8XPA5iNu9mycVZJCgtPXx+QuNma8cznxar3rTpRTE1gA9NJAYq4Crbh2sB+9zF+BpUyssU2&#10;MBm4UILVcjhYYGnDmTd02uZaSQinEg24nLtS61Q58pgmoSMW7SdEj1nWWGsb8SzhvtWPRfGkPTYs&#10;DQ47enVUHbd/3sA6Hr6O02vt9IHX8b39fpsl/2vMw6h/mYPK1Oe7+Xb9aQVfY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OpOxAAAANsAAAAPAAAAAAAAAAAA&#10;AAAAAKECAABkcnMvZG93bnJldi54bWxQSwUGAAAAAAQABAD5AAAAkgMAAAAA&#10;" strokeweight="1pt"/>
                <v:shape id="Text Box 13" o:spid="_x0000_s1037" type="#_x0000_t202" style="position:absolute;left:133;top:4070;width:10268;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9E7EC8" w:rsidRPr="005C48D3" w:rsidRDefault="009E7EC8" w:rsidP="007C4F8D">
                        <w:pPr>
                          <w:rPr>
                            <w:rStyle w:val="AERtextsize10"/>
                          </w:rPr>
                        </w:pPr>
                        <w:r w:rsidRPr="005C48D3">
                          <w:rPr>
                            <w:rStyle w:val="AERtextsize10"/>
                          </w:rPr>
                          <w:t>Capital costs</w:t>
                        </w:r>
                      </w:p>
                    </w:txbxContent>
                  </v:textbox>
                </v:shape>
                <v:shape id="Text Box 14" o:spid="_x0000_s1038" type="#_x0000_t202" style="position:absolute;left:15106;top:14427;width:24701;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c7cEA&#10;AADbAAAADwAAAGRycy9kb3ducmV2LnhtbERPyW7CMBC9V+o/WFOpt+KUqiwBg2glJA70wPIBQzzE&#10;EfE48hhI/x4fKvX49Pb5svetulGUJrCB90EBirgKtuHawPGwfpuAkoRssQ1MBn5JYLl4fppjacOd&#10;d3Tbp1rlEJYSDbiUulJrqRx5lEHoiDN3DtFjyjDW2ka853Df6mFRjLTHhnODw46+HVWX/dUbGMn4&#10;+vH59SPb5I6n9UqKON1ejHl96VczUIn69C/+c2+sgWFen7/kH6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knO3BAAAA2wAAAA8AAAAAAAAAAAAAAAAAmAIAAGRycy9kb3du&#10;cmV2LnhtbFBLBQYAAAAABAAEAPUAAACGAwAAAAA=&#10;" fillcolor="#365f91" strokecolor="#404040 [2424]">
                  <v:fill color2="#365f91" focus="100%" type="gradient"/>
                  <v:shadow on="t" color="#7f7f7f [1612]" offset="1pt"/>
                  <v:textbox>
                    <w:txbxContent>
                      <w:p w:rsidR="009E7EC8" w:rsidRPr="005C48D3" w:rsidRDefault="009E7EC8" w:rsidP="007C4F8D">
                        <w:pPr>
                          <w:pStyle w:val="TableHeading-centred"/>
                          <w:rPr>
                            <w:rStyle w:val="AERtextsize10"/>
                            <w:rFonts w:eastAsia="Calibri"/>
                          </w:rPr>
                        </w:pPr>
                        <w:r w:rsidRPr="005C48D3">
                          <w:rPr>
                            <w:rStyle w:val="AERtextsize10"/>
                            <w:rFonts w:eastAsia="Calibri"/>
                          </w:rPr>
                          <w:t xml:space="preserve">Operating </w:t>
                        </w:r>
                        <w:proofErr w:type="gramStart"/>
                        <w:r w:rsidRPr="005C48D3">
                          <w:rPr>
                            <w:rStyle w:val="AERtextsize10"/>
                            <w:rFonts w:eastAsia="Calibri"/>
                          </w:rPr>
                          <w:t>expenditure</w:t>
                        </w:r>
                        <w:proofErr w:type="gramEnd"/>
                        <w:r w:rsidRPr="005C48D3">
                          <w:rPr>
                            <w:rStyle w:val="AERtextsize10"/>
                            <w:rFonts w:eastAsia="Calibri"/>
                          </w:rPr>
                          <w:br/>
                          <w:t xml:space="preserve">(opex) </w:t>
                        </w:r>
                      </w:p>
                      <w:p w:rsidR="009E7EC8" w:rsidRPr="004414F4" w:rsidRDefault="009E7EC8" w:rsidP="007C4F8D">
                        <w:pPr>
                          <w:rPr>
                            <w:color w:val="FFFFFF"/>
                          </w:rPr>
                        </w:pPr>
                      </w:p>
                    </w:txbxContent>
                  </v:textbox>
                </v:shape>
                <v:shape id="Text Box 15" o:spid="_x0000_s1039" type="#_x0000_t202" style="position:absolute;left:15106;top:21665;width:24701;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b+2sIA&#10;AADbAAAADwAAAGRycy9kb3ducmV2LnhtbESPQWsCMRSE74X+h/AKvdXsLtjqahQpVLxWPbi3x+aZ&#10;LG5etkmq239vCoUeh5n5hlmuR9eLK4XYeVZQTgoQxK3XHRsFx8PHywxETMgae8+k4IcirFePD0us&#10;tb/xJ133yYgM4VijApvSUEsZW0sO48QPxNk7++AwZRmM1AFvGe56WRXFq3TYcV6wONC7pfay/3YK&#10;Tqac2rbsmkDbqvg6NOZtnjZKPT+NmwWIRGP6D/+1d1pBVcLvl/w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pv7awgAAANsAAAAPAAAAAAAAAAAAAAAAAJgCAABkcnMvZG93&#10;bnJldi54bWxQSwUGAAAAAAQABAD1AAAAhwMAAAAA&#10;" fillcolor="#548dd4" strokecolor="#404040 [2424]">
                  <v:fill color2="#548dd4" focus="100%" type="gradient"/>
                  <v:shadow on="t" color="#7f7f7f [1612]" offset="1pt"/>
                  <v:textbox>
                    <w:txbxContent>
                      <w:p w:rsidR="009E7EC8" w:rsidRPr="005C48D3" w:rsidRDefault="009E7EC8" w:rsidP="007C4F8D">
                        <w:pPr>
                          <w:pStyle w:val="TableHeading-centred"/>
                          <w:rPr>
                            <w:rStyle w:val="AERtextsize10"/>
                            <w:rFonts w:eastAsia="Calibri"/>
                          </w:rPr>
                        </w:pPr>
                        <w:r w:rsidRPr="005C48D3">
                          <w:rPr>
                            <w:rStyle w:val="AERtextsize10"/>
                            <w:rFonts w:eastAsia="Calibri"/>
                          </w:rPr>
                          <w:t xml:space="preserve">Revenue adjustments </w:t>
                        </w:r>
                        <w:r w:rsidRPr="005C48D3">
                          <w:rPr>
                            <w:rStyle w:val="AERtextsize10"/>
                            <w:rFonts w:eastAsia="Calibri"/>
                          </w:rPr>
                          <w:br/>
                          <w:t>(increment or decrement)</w:t>
                        </w:r>
                      </w:p>
                    </w:txbxContent>
                  </v:textbox>
                </v:shape>
                <v:shape id="Text Box 16" o:spid="_x0000_s1040" type="#_x0000_t202" style="position:absolute;left:44805;top:15797;width:10441;height:5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E7EC8" w:rsidRDefault="009E7EC8" w:rsidP="007C4F8D">
                        <w:pPr>
                          <w:pStyle w:val="AERtabletextleft"/>
                        </w:pPr>
                        <w:r w:rsidRPr="005C48D3">
                          <w:rPr>
                            <w:rStyle w:val="AERtextsize10"/>
                            <w:rFonts w:eastAsia="Calibri"/>
                          </w:rPr>
                          <w:t>Total revenue</w:t>
                        </w:r>
                      </w:p>
                    </w:txbxContent>
                  </v:textbox>
                </v:shape>
                <w10:anchorlock/>
              </v:group>
            </w:pict>
          </mc:Fallback>
        </mc:AlternateContent>
      </w:r>
    </w:p>
    <w:p w:rsidR="00A12632" w:rsidRPr="007C4B82" w:rsidRDefault="00A12632" w:rsidP="00A12632">
      <w:pPr>
        <w:pStyle w:val="AERtablesource"/>
      </w:pPr>
      <w:r>
        <w:t>Note:</w:t>
      </w:r>
      <w:r>
        <w:tab/>
        <w:t>There were no revenue adjustments arising from the current access arrangement period.</w:t>
      </w:r>
    </w:p>
    <w:p w:rsidR="005766DB" w:rsidRDefault="00434A75" w:rsidP="005766DB">
      <w:pPr>
        <w:pStyle w:val="Heading3"/>
      </w:pPr>
      <w:bookmarkStart w:id="43" w:name="_Toc433016425"/>
      <w:bookmarkStart w:id="44" w:name="_Toc436046177"/>
      <w:bookmarkStart w:id="45" w:name="_Toc451873623"/>
      <w:r>
        <w:t xml:space="preserve">Final </w:t>
      </w:r>
      <w:r w:rsidR="005766DB">
        <w:t>decision</w:t>
      </w:r>
      <w:bookmarkEnd w:id="43"/>
      <w:bookmarkEnd w:id="44"/>
      <w:bookmarkEnd w:id="45"/>
    </w:p>
    <w:p w:rsidR="005766DB" w:rsidRPr="008F5F1B" w:rsidRDefault="005766DB" w:rsidP="008F5F1B">
      <w:r w:rsidRPr="008F5F1B">
        <w:t xml:space="preserve">We do not approve APTNT's </w:t>
      </w:r>
      <w:r w:rsidR="00837A7D" w:rsidRPr="008F5F1B">
        <w:t xml:space="preserve">revised </w:t>
      </w:r>
      <w:r w:rsidRPr="008F5F1B">
        <w:t>proposed total revenue requirement (smoothed) of $1</w:t>
      </w:r>
      <w:r w:rsidR="00D3014C" w:rsidRPr="008F5F1B">
        <w:t>34.6</w:t>
      </w:r>
      <w:r w:rsidRPr="008F5F1B">
        <w:t xml:space="preserve"> million ($nominal) for reference services over the 2016–21 access arrangement period. </w:t>
      </w:r>
      <w:r w:rsidR="00572D15" w:rsidRPr="008F5F1B">
        <w:t xml:space="preserve">Our final decision on total revenue has been determined using the building block approach set out in rule 76 of the NGR. </w:t>
      </w:r>
      <w:r w:rsidRPr="008F5F1B">
        <w:t>Based on our assessment of the building block costs, we determine a total revenue requirement (smoothed) of $</w:t>
      </w:r>
      <w:r w:rsidR="00764C03">
        <w:t>112.8</w:t>
      </w:r>
      <w:r w:rsidR="006602A9">
        <w:t> </w:t>
      </w:r>
      <w:r w:rsidRPr="008F5F1B">
        <w:t>million ($nominal) for APTNT over the 2016–21 access arrangement period. This total smoothed revenue requirement is $</w:t>
      </w:r>
      <w:r w:rsidR="00764C03">
        <w:t>21.8</w:t>
      </w:r>
      <w:r w:rsidR="000C579E">
        <w:t xml:space="preserve"> </w:t>
      </w:r>
      <w:r w:rsidRPr="008F5F1B">
        <w:t xml:space="preserve">million (or </w:t>
      </w:r>
      <w:r w:rsidR="00764C03">
        <w:t>16.2</w:t>
      </w:r>
      <w:r w:rsidRPr="008F5F1B">
        <w:t xml:space="preserve"> per cent) lower than APTNT's</w:t>
      </w:r>
      <w:r w:rsidR="00572D15" w:rsidRPr="008F5F1B">
        <w:t xml:space="preserve"> revised</w:t>
      </w:r>
      <w:r w:rsidRPr="008F5F1B">
        <w:t xml:space="preserve"> proposal.</w:t>
      </w:r>
    </w:p>
    <w:p w:rsidR="005766DB" w:rsidRPr="00B83638" w:rsidRDefault="005766DB" w:rsidP="008F5F1B">
      <w:pPr>
        <w:rPr>
          <w:rStyle w:val="AERtexthighlight"/>
        </w:rPr>
      </w:pPr>
      <w:r w:rsidRPr="008F5F1B">
        <w:t xml:space="preserve">We do not approve APTNT's </w:t>
      </w:r>
      <w:r w:rsidR="00572D15" w:rsidRPr="008F5F1B">
        <w:t xml:space="preserve">revised </w:t>
      </w:r>
      <w:r w:rsidRPr="008F5F1B">
        <w:t xml:space="preserve">proposed 2016–21 tariff path, which </w:t>
      </w:r>
      <w:r w:rsidR="00F075FF">
        <w:t>would result in</w:t>
      </w:r>
      <w:r w:rsidRPr="008F5F1B">
        <w:t xml:space="preserve"> a real reduction of </w:t>
      </w:r>
      <w:r w:rsidR="00D3014C" w:rsidRPr="008F5F1B">
        <w:t xml:space="preserve">5.4 </w:t>
      </w:r>
      <w:r w:rsidRPr="008F5F1B">
        <w:t xml:space="preserve">per cent in 2016–17 </w:t>
      </w:r>
      <w:r w:rsidR="00D3014C" w:rsidRPr="008F5F1B">
        <w:t xml:space="preserve">followed by a 1.8 per cent real decrease in tariffs </w:t>
      </w:r>
      <w:r w:rsidR="00A25E51" w:rsidRPr="008F5F1B">
        <w:t xml:space="preserve">for each of </w:t>
      </w:r>
      <w:r w:rsidRPr="008F5F1B">
        <w:t>the remaining years of the 2016–21 access arrangement period.</w:t>
      </w:r>
      <w:r w:rsidRPr="00B83638">
        <w:rPr>
          <w:rStyle w:val="FootnoteReference"/>
        </w:rPr>
        <w:footnoteReference w:id="13"/>
      </w:r>
      <w:r w:rsidRPr="008F5F1B">
        <w:t xml:space="preserve"> As a result of our lower total revenue requirement and accepted demand forecast, our </w:t>
      </w:r>
      <w:r w:rsidR="00032B1A" w:rsidRPr="008F5F1B">
        <w:t xml:space="preserve">final </w:t>
      </w:r>
      <w:r w:rsidRPr="008F5F1B">
        <w:t xml:space="preserve">decision results in a real tariff decrease of </w:t>
      </w:r>
      <w:r w:rsidR="00734A35">
        <w:t>17.7</w:t>
      </w:r>
      <w:r w:rsidRPr="008F5F1B">
        <w:t xml:space="preserve"> per cent in 2016–17, and then further real decreases of </w:t>
      </w:r>
      <w:r w:rsidR="00A25E51" w:rsidRPr="008F5F1B">
        <w:t>3.4</w:t>
      </w:r>
      <w:r w:rsidRPr="008F5F1B">
        <w:t xml:space="preserve"> per cent for each subsequent year of the 2016–21 access arrangement period. </w:t>
      </w:r>
    </w:p>
    <w:p w:rsidR="005766DB" w:rsidRPr="00C5356A" w:rsidRDefault="005766DB" w:rsidP="00C5356A">
      <w:r w:rsidRPr="00C5356A">
        <w:fldChar w:fldCharType="begin"/>
      </w:r>
      <w:r w:rsidRPr="00C5356A">
        <w:instrText xml:space="preserve"> REF _Ref401586259 \h </w:instrText>
      </w:r>
      <w:r w:rsidR="00B83638" w:rsidRPr="00C5356A">
        <w:instrText xml:space="preserve"> \* MERGEFORMAT </w:instrText>
      </w:r>
      <w:r w:rsidRPr="00C5356A">
        <w:fldChar w:fldCharType="separate"/>
      </w:r>
      <w:r w:rsidR="009F7892">
        <w:t>Table 1</w:t>
      </w:r>
      <w:r w:rsidRPr="00C5356A">
        <w:fldChar w:fldCharType="end"/>
      </w:r>
      <w:r w:rsidRPr="00C5356A">
        <w:t xml:space="preserve"> sets out our </w:t>
      </w:r>
      <w:r w:rsidR="00032B1A" w:rsidRPr="00C5356A">
        <w:t xml:space="preserve">final </w:t>
      </w:r>
      <w:r w:rsidRPr="00C5356A">
        <w:t>decision on APTNT's revenue requirement by building block costs for each year of the 2016–21 access arrangement period, the total revenue after equalisation (smoothing) and the X factors for use in the tariff variation mechanism.</w:t>
      </w:r>
    </w:p>
    <w:p w:rsidR="005766DB" w:rsidRDefault="005766DB" w:rsidP="005766DB">
      <w:pPr>
        <w:pStyle w:val="Caption"/>
      </w:pPr>
      <w:bookmarkStart w:id="47" w:name="_Ref401586259"/>
      <w:bookmarkStart w:id="48" w:name="_Ref432772875"/>
      <w:r>
        <w:t xml:space="preserve">Table </w:t>
      </w:r>
      <w:r w:rsidRPr="005766DB">
        <w:fldChar w:fldCharType="begin"/>
      </w:r>
      <w:r>
        <w:instrText xml:space="preserve"> SEQ Table \* ARABIC </w:instrText>
      </w:r>
      <w:r w:rsidRPr="005766DB">
        <w:fldChar w:fldCharType="separate"/>
      </w:r>
      <w:r w:rsidR="009F7892">
        <w:rPr>
          <w:noProof/>
        </w:rPr>
        <w:t>1</w:t>
      </w:r>
      <w:r w:rsidRPr="005766DB">
        <w:fldChar w:fldCharType="end"/>
      </w:r>
      <w:bookmarkEnd w:id="47"/>
      <w:bookmarkEnd w:id="48"/>
      <w:r w:rsidRPr="007A5A6C">
        <w:tab/>
        <w:t xml:space="preserve">AER's </w:t>
      </w:r>
      <w:r w:rsidR="00032B1A">
        <w:t>final</w:t>
      </w:r>
      <w:r w:rsidR="00032B1A" w:rsidRPr="007A5A6C">
        <w:t xml:space="preserve"> </w:t>
      </w:r>
      <w:r w:rsidRPr="007A5A6C">
        <w:t xml:space="preserve">decision on </w:t>
      </w:r>
      <w:r>
        <w:t>APTNT</w:t>
      </w:r>
      <w:r w:rsidRPr="007A5A6C">
        <w:t>'s smoothed total revenue and X factors for the 201</w:t>
      </w:r>
      <w:r>
        <w:t>6</w:t>
      </w:r>
      <w:r w:rsidRPr="007A5A6C">
        <w:t>–2</w:t>
      </w:r>
      <w:r>
        <w:t>1</w:t>
      </w:r>
      <w:r w:rsidRPr="007A5A6C">
        <w:t xml:space="preserve"> access arrangement period ($million, nominal)</w:t>
      </w:r>
    </w:p>
    <w:tbl>
      <w:tblPr>
        <w:tblStyle w:val="AERtable-numbers"/>
        <w:tblW w:w="8701" w:type="dxa"/>
        <w:tblLayout w:type="fixed"/>
        <w:tblLook w:val="04A0" w:firstRow="1" w:lastRow="0" w:firstColumn="1" w:lastColumn="0" w:noHBand="0" w:noVBand="1"/>
      </w:tblPr>
      <w:tblGrid>
        <w:gridCol w:w="2809"/>
        <w:gridCol w:w="982"/>
        <w:gridCol w:w="982"/>
        <w:gridCol w:w="982"/>
        <w:gridCol w:w="982"/>
        <w:gridCol w:w="982"/>
        <w:gridCol w:w="982"/>
      </w:tblGrid>
      <w:tr w:rsidR="005766DB" w:rsidRPr="00F6794A" w:rsidTr="000B15BF">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809" w:type="dxa"/>
            <w:hideMark/>
          </w:tcPr>
          <w:p w:rsidR="005766DB" w:rsidRPr="005766DB" w:rsidRDefault="005766DB" w:rsidP="005766DB">
            <w:r w:rsidRPr="00F6794A">
              <w:t xml:space="preserve">Building </w:t>
            </w:r>
            <w:r w:rsidRPr="005766DB">
              <w:t>block</w:t>
            </w:r>
          </w:p>
        </w:tc>
        <w:tc>
          <w:tcPr>
            <w:tcW w:w="982" w:type="dxa"/>
            <w:hideMark/>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rsidRPr="00F6794A">
              <w:t>2016–17</w:t>
            </w:r>
          </w:p>
        </w:tc>
        <w:tc>
          <w:tcPr>
            <w:tcW w:w="982" w:type="dxa"/>
            <w:hideMark/>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rsidRPr="00F6794A">
              <w:t>2017–18</w:t>
            </w:r>
          </w:p>
        </w:tc>
        <w:tc>
          <w:tcPr>
            <w:tcW w:w="982" w:type="dxa"/>
            <w:hideMark/>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rsidRPr="00F6794A">
              <w:t>2018–19</w:t>
            </w:r>
          </w:p>
        </w:tc>
        <w:tc>
          <w:tcPr>
            <w:tcW w:w="982" w:type="dxa"/>
            <w:hideMark/>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rsidRPr="00F6794A">
              <w:t>2019–20</w:t>
            </w:r>
          </w:p>
        </w:tc>
        <w:tc>
          <w:tcPr>
            <w:tcW w:w="982" w:type="dxa"/>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rsidRPr="00F6794A">
              <w:t>2020–21</w:t>
            </w:r>
          </w:p>
        </w:tc>
        <w:tc>
          <w:tcPr>
            <w:tcW w:w="982" w:type="dxa"/>
            <w:hideMark/>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rsidRPr="00F6794A">
              <w:t>Total</w:t>
            </w:r>
          </w:p>
        </w:tc>
      </w:tr>
      <w:tr w:rsidR="00B665B2" w:rsidRPr="00F6794A" w:rsidTr="000B15BF">
        <w:trPr>
          <w:trHeight w:val="291"/>
        </w:trPr>
        <w:tc>
          <w:tcPr>
            <w:cnfStyle w:val="001000000000" w:firstRow="0" w:lastRow="0" w:firstColumn="1" w:lastColumn="0" w:oddVBand="0" w:evenVBand="0" w:oddHBand="0" w:evenHBand="0" w:firstRowFirstColumn="0" w:firstRowLastColumn="0" w:lastRowFirstColumn="0" w:lastRowLastColumn="0"/>
            <w:tcW w:w="2809" w:type="dxa"/>
            <w:hideMark/>
          </w:tcPr>
          <w:p w:rsidR="00B665B2" w:rsidRPr="00B665B2" w:rsidRDefault="00B665B2" w:rsidP="00B665B2">
            <w:r w:rsidRPr="00B665B2">
              <w:t>Return on capital</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7.2</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7.6</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7.7</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7.8</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7.9</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38.1</w:t>
            </w:r>
          </w:p>
        </w:tc>
      </w:tr>
      <w:tr w:rsidR="00B665B2" w:rsidRPr="00F6794A" w:rsidTr="000B15BF">
        <w:trPr>
          <w:cnfStyle w:val="000000010000" w:firstRow="0" w:lastRow="0" w:firstColumn="0" w:lastColumn="0" w:oddVBand="0" w:evenVBand="0" w:oddHBand="0" w:evenHBand="1"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809" w:type="dxa"/>
            <w:hideMark/>
          </w:tcPr>
          <w:p w:rsidR="00B665B2" w:rsidRPr="00B665B2" w:rsidRDefault="00B665B2" w:rsidP="00B665B2">
            <w:r w:rsidRPr="00B665B2">
              <w:t>Regulatory depreciation</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0.8</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0.9</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1.1</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1.3</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1.5</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5.7</w:t>
            </w:r>
          </w:p>
        </w:tc>
      </w:tr>
      <w:tr w:rsidR="00B665B2" w:rsidRPr="00F6794A" w:rsidTr="000B15BF">
        <w:trPr>
          <w:trHeight w:val="302"/>
        </w:trPr>
        <w:tc>
          <w:tcPr>
            <w:cnfStyle w:val="001000000000" w:firstRow="0" w:lastRow="0" w:firstColumn="1" w:lastColumn="0" w:oddVBand="0" w:evenVBand="0" w:oddHBand="0" w:evenHBand="0" w:firstRowFirstColumn="0" w:firstRowLastColumn="0" w:lastRowFirstColumn="0" w:lastRowLastColumn="0"/>
            <w:tcW w:w="2809" w:type="dxa"/>
            <w:hideMark/>
          </w:tcPr>
          <w:p w:rsidR="00B665B2" w:rsidRPr="00B665B2" w:rsidRDefault="00B665B2" w:rsidP="00B665B2">
            <w:r w:rsidRPr="00B665B2">
              <w:t>Operating expenditure</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12.3</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13.6</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14.9</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13.0</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13.9</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67.7</w:t>
            </w:r>
          </w:p>
        </w:tc>
      </w:tr>
      <w:tr w:rsidR="00B665B2" w:rsidRPr="00F6794A" w:rsidTr="000B15BF">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09" w:type="dxa"/>
            <w:hideMark/>
          </w:tcPr>
          <w:p w:rsidR="00B665B2" w:rsidRPr="00B665B2" w:rsidRDefault="00B665B2" w:rsidP="00B665B2">
            <w:r w:rsidRPr="00B665B2">
              <w:t>Corporate income tax</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0.3</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0.3</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0.3</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0.3</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0.3</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1.5</w:t>
            </w:r>
          </w:p>
        </w:tc>
      </w:tr>
      <w:tr w:rsidR="00B665B2" w:rsidRPr="00F6794A" w:rsidTr="000B15BF">
        <w:trPr>
          <w:trHeight w:val="259"/>
        </w:trPr>
        <w:tc>
          <w:tcPr>
            <w:cnfStyle w:val="001000000000" w:firstRow="0" w:lastRow="0" w:firstColumn="1" w:lastColumn="0" w:oddVBand="0" w:evenVBand="0" w:oddHBand="0" w:evenHBand="0" w:firstRowFirstColumn="0" w:firstRowLastColumn="0" w:lastRowFirstColumn="0" w:lastRowLastColumn="0"/>
            <w:tcW w:w="2809" w:type="dxa"/>
            <w:hideMark/>
          </w:tcPr>
          <w:p w:rsidR="00B665B2" w:rsidRPr="00B665B2" w:rsidRDefault="00B665B2" w:rsidP="00B665B2">
            <w:r w:rsidRPr="00B665B2">
              <w:t xml:space="preserve">Building block revenue – unsmoothed </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20.5</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22.4</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24.1</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22.5</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23.6</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113.1</w:t>
            </w:r>
          </w:p>
        </w:tc>
      </w:tr>
      <w:tr w:rsidR="00B665B2" w:rsidRPr="00F6794A" w:rsidTr="000B15BF">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809" w:type="dxa"/>
          </w:tcPr>
          <w:p w:rsidR="00B665B2" w:rsidRPr="00B665B2" w:rsidRDefault="00B665B2" w:rsidP="00B665B2">
            <w:pPr>
              <w:rPr>
                <w:rStyle w:val="Strong"/>
              </w:rPr>
            </w:pPr>
            <w:r w:rsidRPr="00B665B2">
              <w:rPr>
                <w:rStyle w:val="Strong"/>
              </w:rPr>
              <w:t xml:space="preserve">Building block revenue – smoothed </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22.2</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22.4</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22.5</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22.8</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22.9</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112.8</w:t>
            </w:r>
          </w:p>
        </w:tc>
      </w:tr>
      <w:tr w:rsidR="00B665B2" w:rsidRPr="00F6794A" w:rsidTr="000B15BF">
        <w:trPr>
          <w:trHeight w:val="270"/>
        </w:trPr>
        <w:tc>
          <w:tcPr>
            <w:cnfStyle w:val="001000000000" w:firstRow="0" w:lastRow="0" w:firstColumn="1" w:lastColumn="0" w:oddVBand="0" w:evenVBand="0" w:oddHBand="0" w:evenHBand="0" w:firstRowFirstColumn="0" w:firstRowLastColumn="0" w:lastRowFirstColumn="0" w:lastRowLastColumn="0"/>
            <w:tcW w:w="2809" w:type="dxa"/>
            <w:hideMark/>
          </w:tcPr>
          <w:p w:rsidR="00B665B2" w:rsidRPr="00B665B2" w:rsidRDefault="00B665B2" w:rsidP="00B665B2">
            <w:r w:rsidRPr="00B665B2">
              <w:t>X factor</w:t>
            </w:r>
            <w:r w:rsidRPr="00B665B2">
              <w:rPr>
                <w:rStyle w:val="AERsuperscript"/>
              </w:rPr>
              <w:t>a</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17.75%</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3.36%</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3.36%</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3.36%</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3.36%</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n/a</w:t>
            </w:r>
          </w:p>
        </w:tc>
      </w:tr>
      <w:tr w:rsidR="00B665B2" w:rsidRPr="00F6794A" w:rsidTr="000B15BF">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09" w:type="dxa"/>
            <w:hideMark/>
          </w:tcPr>
          <w:p w:rsidR="00B665B2" w:rsidRPr="00B665B2" w:rsidRDefault="00B665B2" w:rsidP="00B665B2">
            <w:r w:rsidRPr="00B665B2">
              <w:t>Inflation forecast</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2.39%</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2.39%</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2.39%</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2.39%</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2.39%</w:t>
            </w:r>
          </w:p>
        </w:tc>
        <w:tc>
          <w:tcPr>
            <w:tcW w:w="982" w:type="dxa"/>
          </w:tcPr>
          <w:p w:rsidR="00B665B2" w:rsidRPr="00B665B2" w:rsidRDefault="00B665B2" w:rsidP="00B665B2">
            <w:pPr>
              <w:cnfStyle w:val="000000010000" w:firstRow="0" w:lastRow="0" w:firstColumn="0" w:lastColumn="0" w:oddVBand="0" w:evenVBand="0" w:oddHBand="0" w:evenHBand="1" w:firstRowFirstColumn="0" w:firstRowLastColumn="0" w:lastRowFirstColumn="0" w:lastRowLastColumn="0"/>
            </w:pPr>
            <w:r w:rsidRPr="00B665B2">
              <w:t>  n/a</w:t>
            </w:r>
          </w:p>
        </w:tc>
      </w:tr>
      <w:tr w:rsidR="00B665B2" w:rsidRPr="00F6794A" w:rsidTr="000B15BF">
        <w:trPr>
          <w:trHeight w:val="406"/>
        </w:trPr>
        <w:tc>
          <w:tcPr>
            <w:cnfStyle w:val="001000000000" w:firstRow="0" w:lastRow="0" w:firstColumn="1" w:lastColumn="0" w:oddVBand="0" w:evenVBand="0" w:oddHBand="0" w:evenHBand="0" w:firstRowFirstColumn="0" w:firstRowLastColumn="0" w:lastRowFirstColumn="0" w:lastRowLastColumn="0"/>
            <w:tcW w:w="2809" w:type="dxa"/>
            <w:hideMark/>
          </w:tcPr>
          <w:p w:rsidR="00B665B2" w:rsidRPr="00B665B2" w:rsidRDefault="00B665B2" w:rsidP="00B665B2">
            <w:r w:rsidRPr="00B665B2">
              <w:t>Nominal price change</w:t>
            </w:r>
          </w:p>
        </w:tc>
        <w:tc>
          <w:tcPr>
            <w:tcW w:w="982" w:type="dxa"/>
          </w:tcPr>
          <w:p w:rsidR="00B665B2" w:rsidRPr="00B665B2" w:rsidRDefault="006602A9" w:rsidP="00B665B2">
            <w:pPr>
              <w:cnfStyle w:val="000000000000" w:firstRow="0" w:lastRow="0" w:firstColumn="0" w:lastColumn="0" w:oddVBand="0" w:evenVBand="0" w:oddHBand="0" w:evenHBand="0" w:firstRowFirstColumn="0" w:firstRowLastColumn="0" w:lastRowFirstColumn="0" w:lastRowLastColumn="0"/>
            </w:pPr>
            <w:r>
              <w:t>–</w:t>
            </w:r>
            <w:r w:rsidR="00B665B2" w:rsidRPr="00B665B2">
              <w:t>15.78%</w:t>
            </w:r>
          </w:p>
        </w:tc>
        <w:tc>
          <w:tcPr>
            <w:tcW w:w="982" w:type="dxa"/>
          </w:tcPr>
          <w:p w:rsidR="00B665B2" w:rsidRPr="00B665B2" w:rsidRDefault="006602A9" w:rsidP="00B665B2">
            <w:pPr>
              <w:cnfStyle w:val="000000000000" w:firstRow="0" w:lastRow="0" w:firstColumn="0" w:lastColumn="0" w:oddVBand="0" w:evenVBand="0" w:oddHBand="0" w:evenHBand="0" w:firstRowFirstColumn="0" w:firstRowLastColumn="0" w:lastRowFirstColumn="0" w:lastRowLastColumn="0"/>
            </w:pPr>
            <w:r>
              <w:t>–</w:t>
            </w:r>
            <w:r w:rsidR="00B665B2" w:rsidRPr="00B665B2">
              <w:t>1.05%</w:t>
            </w:r>
          </w:p>
        </w:tc>
        <w:tc>
          <w:tcPr>
            <w:tcW w:w="982" w:type="dxa"/>
          </w:tcPr>
          <w:p w:rsidR="00B665B2" w:rsidRPr="00B665B2" w:rsidRDefault="006602A9" w:rsidP="00B665B2">
            <w:pPr>
              <w:cnfStyle w:val="000000000000" w:firstRow="0" w:lastRow="0" w:firstColumn="0" w:lastColumn="0" w:oddVBand="0" w:evenVBand="0" w:oddHBand="0" w:evenHBand="0" w:firstRowFirstColumn="0" w:firstRowLastColumn="0" w:lastRowFirstColumn="0" w:lastRowLastColumn="0"/>
            </w:pPr>
            <w:r>
              <w:t>–</w:t>
            </w:r>
            <w:r w:rsidR="00B665B2" w:rsidRPr="00B665B2">
              <w:t>1.05%</w:t>
            </w:r>
          </w:p>
        </w:tc>
        <w:tc>
          <w:tcPr>
            <w:tcW w:w="982" w:type="dxa"/>
          </w:tcPr>
          <w:p w:rsidR="00B665B2" w:rsidRPr="00B665B2" w:rsidRDefault="006602A9" w:rsidP="00B665B2">
            <w:pPr>
              <w:cnfStyle w:val="000000000000" w:firstRow="0" w:lastRow="0" w:firstColumn="0" w:lastColumn="0" w:oddVBand="0" w:evenVBand="0" w:oddHBand="0" w:evenHBand="0" w:firstRowFirstColumn="0" w:firstRowLastColumn="0" w:lastRowFirstColumn="0" w:lastRowLastColumn="0"/>
            </w:pPr>
            <w:r>
              <w:t>–</w:t>
            </w:r>
            <w:r w:rsidR="00B665B2" w:rsidRPr="00B665B2">
              <w:t>1.05%</w:t>
            </w:r>
          </w:p>
        </w:tc>
        <w:tc>
          <w:tcPr>
            <w:tcW w:w="982" w:type="dxa"/>
          </w:tcPr>
          <w:p w:rsidR="00B665B2" w:rsidRPr="00B665B2" w:rsidRDefault="006602A9" w:rsidP="00B665B2">
            <w:pPr>
              <w:cnfStyle w:val="000000000000" w:firstRow="0" w:lastRow="0" w:firstColumn="0" w:lastColumn="0" w:oddVBand="0" w:evenVBand="0" w:oddHBand="0" w:evenHBand="0" w:firstRowFirstColumn="0" w:firstRowLastColumn="0" w:lastRowFirstColumn="0" w:lastRowLastColumn="0"/>
            </w:pPr>
            <w:r>
              <w:t>–</w:t>
            </w:r>
            <w:r w:rsidR="00B665B2" w:rsidRPr="00B665B2">
              <w:t>1.05%</w:t>
            </w:r>
          </w:p>
        </w:tc>
        <w:tc>
          <w:tcPr>
            <w:tcW w:w="982" w:type="dxa"/>
          </w:tcPr>
          <w:p w:rsidR="00B665B2" w:rsidRPr="00B665B2" w:rsidRDefault="00B665B2" w:rsidP="00B665B2">
            <w:pPr>
              <w:cnfStyle w:val="000000000000" w:firstRow="0" w:lastRow="0" w:firstColumn="0" w:lastColumn="0" w:oddVBand="0" w:evenVBand="0" w:oddHBand="0" w:evenHBand="0" w:firstRowFirstColumn="0" w:firstRowLastColumn="0" w:lastRowFirstColumn="0" w:lastRowLastColumn="0"/>
            </w:pPr>
            <w:r w:rsidRPr="00B665B2">
              <w:t>  n/a</w:t>
            </w:r>
          </w:p>
        </w:tc>
      </w:tr>
    </w:tbl>
    <w:p w:rsidR="005766DB" w:rsidRPr="00CB6E5B" w:rsidRDefault="005766DB" w:rsidP="005766DB">
      <w:pPr>
        <w:pStyle w:val="AERtablesource"/>
      </w:pPr>
      <w:r w:rsidRPr="005766DB">
        <w:rPr>
          <w:rFonts w:eastAsia="Calibri"/>
        </w:rPr>
        <w:t xml:space="preserve">Source: </w:t>
      </w:r>
      <w:r w:rsidRPr="005766DB">
        <w:rPr>
          <w:rFonts w:eastAsia="Calibri"/>
        </w:rPr>
        <w:tab/>
      </w:r>
      <w:r w:rsidRPr="00CB6E5B">
        <w:t>AER analysis</w:t>
      </w:r>
      <w:r>
        <w:t>.</w:t>
      </w:r>
    </w:p>
    <w:p w:rsidR="005766DB" w:rsidRPr="00B5370C" w:rsidRDefault="005766DB" w:rsidP="005766DB">
      <w:pPr>
        <w:pStyle w:val="AERtablesource"/>
      </w:pPr>
      <w:r w:rsidRPr="00CB6E5B">
        <w:t xml:space="preserve">n/a: </w:t>
      </w:r>
      <w:r w:rsidRPr="00CB6E5B">
        <w:tab/>
        <w:t>not applicable.</w:t>
      </w:r>
    </w:p>
    <w:p w:rsidR="005766DB" w:rsidRPr="00EF51EE" w:rsidRDefault="005766DB" w:rsidP="005766DB">
      <w:pPr>
        <w:pStyle w:val="AERtablesource"/>
      </w:pPr>
      <w:r>
        <w:t>(a)</w:t>
      </w:r>
      <w:r w:rsidRPr="00D2764A">
        <w:tab/>
        <w:t>Under the CPI</w:t>
      </w:r>
      <w:r>
        <w:t>–</w:t>
      </w:r>
      <w:r w:rsidRPr="00D2764A">
        <w:t xml:space="preserve">X form of control, a </w:t>
      </w:r>
      <w:r>
        <w:t>positive</w:t>
      </w:r>
      <w:r w:rsidRPr="00D2764A">
        <w:t xml:space="preserve"> X factor is a </w:t>
      </w:r>
      <w:r>
        <w:t xml:space="preserve">decrease </w:t>
      </w:r>
      <w:r w:rsidRPr="00D2764A">
        <w:t>in price (and therefore</w:t>
      </w:r>
      <w:r>
        <w:t xml:space="preserve"> in</w:t>
      </w:r>
      <w:r w:rsidRPr="00D2764A">
        <w:t xml:space="preserve"> revenue). </w:t>
      </w:r>
    </w:p>
    <w:p w:rsidR="005766DB" w:rsidRPr="00D2764A" w:rsidRDefault="005766DB" w:rsidP="005766DB">
      <w:pPr>
        <w:pStyle w:val="AERtablesource"/>
      </w:pPr>
      <w:r w:rsidRPr="00D2764A">
        <w:tab/>
      </w:r>
      <w:r>
        <w:t>The X factor for 2016–17 is indicative only</w:t>
      </w:r>
      <w:r w:rsidRPr="00D2764A">
        <w:t>.</w:t>
      </w:r>
      <w:r>
        <w:t xml:space="preserve"> The </w:t>
      </w:r>
      <w:r w:rsidR="00032B1A">
        <w:t xml:space="preserve">final </w:t>
      </w:r>
      <w:r>
        <w:t>decision establishes 2016–17 tariffs directly, rather than referencing a change from 2015–16 tariffs.</w:t>
      </w:r>
    </w:p>
    <w:p w:rsidR="005766DB" w:rsidRPr="00B5370C" w:rsidRDefault="005766DB" w:rsidP="005766DB">
      <w:pPr>
        <w:pStyle w:val="Heading3"/>
      </w:pPr>
      <w:bookmarkStart w:id="49" w:name="_Toc404599676"/>
      <w:bookmarkStart w:id="50" w:name="_Toc433016427"/>
      <w:bookmarkStart w:id="51" w:name="_Toc436046179"/>
      <w:bookmarkStart w:id="52" w:name="_Toc451873624"/>
      <w:r>
        <w:t>Revenue equalisation (smoothing) and t</w:t>
      </w:r>
      <w:r w:rsidRPr="00B5370C">
        <w:t>ariffs</w:t>
      </w:r>
      <w:bookmarkEnd w:id="49"/>
      <w:bookmarkEnd w:id="50"/>
      <w:bookmarkEnd w:id="51"/>
      <w:bookmarkEnd w:id="52"/>
    </w:p>
    <w:p w:rsidR="005766DB" w:rsidRPr="00B83638" w:rsidRDefault="00F075FF" w:rsidP="00E75001">
      <w:pPr>
        <w:rPr>
          <w:rStyle w:val="AERtexthighlight"/>
        </w:rPr>
      </w:pPr>
      <w:r>
        <w:t>O</w:t>
      </w:r>
      <w:r w:rsidR="005766DB" w:rsidRPr="00E75001">
        <w:t>ur assessment of APTNT’s total building block revenue (unsmoothed revenue)</w:t>
      </w:r>
      <w:r>
        <w:t xml:space="preserve"> yields a lumpy revenue profile. In order to smooth out reference tariffs</w:t>
      </w:r>
      <w:r w:rsidR="005766DB" w:rsidRPr="00E75001">
        <w:t xml:space="preserve">, we determine </w:t>
      </w:r>
      <w:r>
        <w:t>a</w:t>
      </w:r>
      <w:r w:rsidRPr="00E75001">
        <w:t xml:space="preserve"> </w:t>
      </w:r>
      <w:r w:rsidR="005766DB" w:rsidRPr="00E75001">
        <w:t>smoothed revenue profile across the 2016–21 access arrangement period. APTNT operates under an average tariff cap</w:t>
      </w:r>
      <w:r w:rsidR="00E75001">
        <w:t xml:space="preserve"> </w:t>
      </w:r>
      <w:r w:rsidR="005766DB" w:rsidRPr="00E75001">
        <w:t>as its tariff variation mechanism.</w:t>
      </w:r>
      <w:r w:rsidR="00E75001" w:rsidRPr="00B83638">
        <w:rPr>
          <w:rStyle w:val="FootnoteReference"/>
        </w:rPr>
        <w:footnoteReference w:id="14"/>
      </w:r>
      <w:r w:rsidR="005766DB" w:rsidRPr="00E75001">
        <w:t xml:space="preserve"> This means we determine the average tariff change each year such that the net present value (NPV) of unsmoothed and smoothed revenue across the entire period</w:t>
      </w:r>
      <w:r>
        <w:t xml:space="preserve"> is the same</w:t>
      </w:r>
      <w:r w:rsidR="005766DB" w:rsidRPr="00E75001">
        <w:t>. This average tariff change is labelled the 'X factor'. The mechanics of the tariff variation mechanism are addressed in attachment 11.</w:t>
      </w:r>
    </w:p>
    <w:p w:rsidR="005766DB" w:rsidRPr="00E75001" w:rsidRDefault="005766DB" w:rsidP="00E75001">
      <w:r w:rsidRPr="00E75001">
        <w:fldChar w:fldCharType="begin"/>
      </w:r>
      <w:r w:rsidRPr="00E75001">
        <w:instrText xml:space="preserve"> REF _Ref433892120 \h </w:instrText>
      </w:r>
      <w:r w:rsidR="00B83638" w:rsidRPr="00E75001">
        <w:instrText xml:space="preserve"> \* MERGEFORMAT </w:instrText>
      </w:r>
      <w:r w:rsidRPr="00E75001">
        <w:fldChar w:fldCharType="separate"/>
      </w:r>
      <w:r w:rsidR="009F7892">
        <w:t>Table 2</w:t>
      </w:r>
      <w:r w:rsidRPr="00E75001">
        <w:fldChar w:fldCharType="end"/>
      </w:r>
      <w:r w:rsidRPr="00E75001">
        <w:t xml:space="preserve"> presents our </w:t>
      </w:r>
      <w:r w:rsidR="00032B1A" w:rsidRPr="00E75001">
        <w:t xml:space="preserve">final </w:t>
      </w:r>
      <w:r w:rsidRPr="00E75001">
        <w:t xml:space="preserve">decision X factors, and compares them to APTNT’s </w:t>
      </w:r>
      <w:r w:rsidR="00B83638" w:rsidRPr="00E75001">
        <w:t xml:space="preserve">revised </w:t>
      </w:r>
      <w:r w:rsidRPr="00E75001">
        <w:t>proposal</w:t>
      </w:r>
      <w:r w:rsidR="008201D7">
        <w:t>, initial proposal and our draft decision</w:t>
      </w:r>
      <w:r w:rsidRPr="00E75001">
        <w:t>.</w:t>
      </w:r>
    </w:p>
    <w:p w:rsidR="005766DB" w:rsidRPr="00EF51EE" w:rsidRDefault="005766DB" w:rsidP="005766DB">
      <w:pPr>
        <w:pStyle w:val="Caption"/>
      </w:pPr>
      <w:bookmarkStart w:id="53" w:name="_Ref433892120"/>
      <w:r>
        <w:t xml:space="preserve">Table </w:t>
      </w:r>
      <w:r w:rsidRPr="005766DB">
        <w:fldChar w:fldCharType="begin"/>
      </w:r>
      <w:r>
        <w:instrText xml:space="preserve"> SEQ Table \* ARABIC </w:instrText>
      </w:r>
      <w:r w:rsidRPr="005766DB">
        <w:fldChar w:fldCharType="separate"/>
      </w:r>
      <w:r w:rsidR="009F7892">
        <w:rPr>
          <w:noProof/>
        </w:rPr>
        <w:t>2</w:t>
      </w:r>
      <w:r w:rsidRPr="005766DB">
        <w:fldChar w:fldCharType="end"/>
      </w:r>
      <w:bookmarkEnd w:id="53"/>
      <w:r w:rsidRPr="00EF51EE">
        <w:tab/>
      </w:r>
      <w:r>
        <w:t xml:space="preserve">Average tariff change across the access arrangement period (X factors) — comparison of APTNT's </w:t>
      </w:r>
      <w:r w:rsidR="00B83638">
        <w:t xml:space="preserve">revised </w:t>
      </w:r>
      <w:r>
        <w:t xml:space="preserve">proposal and AER's </w:t>
      </w:r>
      <w:r w:rsidR="00032B1A">
        <w:t>final</w:t>
      </w:r>
      <w:r w:rsidR="000B15BF">
        <w:t xml:space="preserve"> </w:t>
      </w:r>
      <w:r>
        <w:t>decision (per cent)</w:t>
      </w:r>
    </w:p>
    <w:tbl>
      <w:tblPr>
        <w:tblStyle w:val="AERtable-numbers"/>
        <w:tblW w:w="8649" w:type="dxa"/>
        <w:tblLook w:val="04A0" w:firstRow="1" w:lastRow="0" w:firstColumn="1" w:lastColumn="0" w:noHBand="0" w:noVBand="1"/>
      </w:tblPr>
      <w:tblGrid>
        <w:gridCol w:w="3263"/>
        <w:gridCol w:w="1086"/>
        <w:gridCol w:w="1075"/>
        <w:gridCol w:w="1075"/>
        <w:gridCol w:w="1075"/>
        <w:gridCol w:w="1075"/>
      </w:tblGrid>
      <w:tr w:rsidR="00952818" w:rsidRPr="00335999" w:rsidTr="00952818">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hideMark/>
          </w:tcPr>
          <w:p w:rsidR="00952818" w:rsidRPr="00335999" w:rsidRDefault="00952818" w:rsidP="00952818">
            <w:pPr>
              <w:rPr>
                <w:szCs w:val="16"/>
              </w:rPr>
            </w:pPr>
            <w:r w:rsidRPr="00335999">
              <w:rPr>
                <w:szCs w:val="16"/>
              </w:rPr>
              <w:t> </w:t>
            </w:r>
          </w:p>
        </w:tc>
        <w:tc>
          <w:tcPr>
            <w:tcW w:w="0" w:type="auto"/>
            <w:hideMark/>
          </w:tcPr>
          <w:p w:rsidR="00952818" w:rsidRPr="00335999" w:rsidRDefault="00952818" w:rsidP="00952818">
            <w:pPr>
              <w:cnfStyle w:val="100000000000" w:firstRow="1" w:lastRow="0" w:firstColumn="0" w:lastColumn="0" w:oddVBand="0" w:evenVBand="0" w:oddHBand="0" w:evenHBand="0" w:firstRowFirstColumn="0" w:firstRowLastColumn="0" w:lastRowFirstColumn="0" w:lastRowLastColumn="0"/>
              <w:rPr>
                <w:szCs w:val="16"/>
              </w:rPr>
            </w:pPr>
            <w:r w:rsidRPr="00335999">
              <w:rPr>
                <w:szCs w:val="16"/>
              </w:rPr>
              <w:t>2016–17</w:t>
            </w:r>
          </w:p>
        </w:tc>
        <w:tc>
          <w:tcPr>
            <w:tcW w:w="0" w:type="auto"/>
            <w:hideMark/>
          </w:tcPr>
          <w:p w:rsidR="00952818" w:rsidRPr="00335999" w:rsidRDefault="00952818" w:rsidP="00952818">
            <w:pPr>
              <w:cnfStyle w:val="100000000000" w:firstRow="1" w:lastRow="0" w:firstColumn="0" w:lastColumn="0" w:oddVBand="0" w:evenVBand="0" w:oddHBand="0" w:evenHBand="0" w:firstRowFirstColumn="0" w:firstRowLastColumn="0" w:lastRowFirstColumn="0" w:lastRowLastColumn="0"/>
              <w:rPr>
                <w:szCs w:val="16"/>
              </w:rPr>
            </w:pPr>
            <w:r w:rsidRPr="00335999">
              <w:rPr>
                <w:szCs w:val="16"/>
              </w:rPr>
              <w:t>2017–18</w:t>
            </w:r>
          </w:p>
        </w:tc>
        <w:tc>
          <w:tcPr>
            <w:tcW w:w="0" w:type="auto"/>
            <w:hideMark/>
          </w:tcPr>
          <w:p w:rsidR="00952818" w:rsidRPr="00335999" w:rsidRDefault="00952818" w:rsidP="00952818">
            <w:pPr>
              <w:cnfStyle w:val="100000000000" w:firstRow="1" w:lastRow="0" w:firstColumn="0" w:lastColumn="0" w:oddVBand="0" w:evenVBand="0" w:oddHBand="0" w:evenHBand="0" w:firstRowFirstColumn="0" w:firstRowLastColumn="0" w:lastRowFirstColumn="0" w:lastRowLastColumn="0"/>
              <w:rPr>
                <w:szCs w:val="16"/>
              </w:rPr>
            </w:pPr>
            <w:r w:rsidRPr="00335999">
              <w:rPr>
                <w:szCs w:val="16"/>
              </w:rPr>
              <w:t>2018–19</w:t>
            </w:r>
          </w:p>
        </w:tc>
        <w:tc>
          <w:tcPr>
            <w:tcW w:w="0" w:type="auto"/>
            <w:hideMark/>
          </w:tcPr>
          <w:p w:rsidR="00952818" w:rsidRPr="00335999" w:rsidRDefault="00952818" w:rsidP="00952818">
            <w:pPr>
              <w:cnfStyle w:val="100000000000" w:firstRow="1" w:lastRow="0" w:firstColumn="0" w:lastColumn="0" w:oddVBand="0" w:evenVBand="0" w:oddHBand="0" w:evenHBand="0" w:firstRowFirstColumn="0" w:firstRowLastColumn="0" w:lastRowFirstColumn="0" w:lastRowLastColumn="0"/>
              <w:rPr>
                <w:szCs w:val="16"/>
              </w:rPr>
            </w:pPr>
            <w:r w:rsidRPr="00335999">
              <w:rPr>
                <w:szCs w:val="16"/>
              </w:rPr>
              <w:t>2019–20</w:t>
            </w:r>
          </w:p>
        </w:tc>
        <w:tc>
          <w:tcPr>
            <w:tcW w:w="0" w:type="auto"/>
            <w:hideMark/>
          </w:tcPr>
          <w:p w:rsidR="00952818" w:rsidRPr="00335999" w:rsidRDefault="00952818" w:rsidP="00952818">
            <w:pPr>
              <w:cnfStyle w:val="100000000000" w:firstRow="1" w:lastRow="0" w:firstColumn="0" w:lastColumn="0" w:oddVBand="0" w:evenVBand="0" w:oddHBand="0" w:evenHBand="0" w:firstRowFirstColumn="0" w:firstRowLastColumn="0" w:lastRowFirstColumn="0" w:lastRowLastColumn="0"/>
              <w:rPr>
                <w:szCs w:val="16"/>
              </w:rPr>
            </w:pPr>
            <w:r w:rsidRPr="00335999">
              <w:rPr>
                <w:szCs w:val="16"/>
              </w:rPr>
              <w:t>2020–21</w:t>
            </w:r>
          </w:p>
        </w:tc>
      </w:tr>
      <w:tr w:rsidR="00952818" w:rsidRPr="00335999" w:rsidTr="00952818">
        <w:trPr>
          <w:trHeight w:val="299"/>
        </w:trPr>
        <w:tc>
          <w:tcPr>
            <w:cnfStyle w:val="001000000000" w:firstRow="0" w:lastRow="0" w:firstColumn="1" w:lastColumn="0" w:oddVBand="0" w:evenVBand="0" w:oddHBand="0" w:evenHBand="0" w:firstRowFirstColumn="0" w:firstRowLastColumn="0" w:lastRowFirstColumn="0" w:lastRowLastColumn="0"/>
            <w:tcW w:w="0" w:type="auto"/>
            <w:hideMark/>
          </w:tcPr>
          <w:p w:rsidR="00952818" w:rsidRPr="00335999" w:rsidRDefault="00952818" w:rsidP="00335999">
            <w:pPr>
              <w:rPr>
                <w:rStyle w:val="Strong"/>
                <w:szCs w:val="16"/>
              </w:rPr>
            </w:pPr>
            <w:r w:rsidRPr="00335999">
              <w:rPr>
                <w:rStyle w:val="Strong"/>
                <w:rFonts w:eastAsiaTheme="minorHAnsi" w:cstheme="minorBidi"/>
                <w:szCs w:val="16"/>
              </w:rPr>
              <w:t>Real price change (X factor)</w:t>
            </w:r>
          </w:p>
        </w:tc>
        <w:tc>
          <w:tcPr>
            <w:tcW w:w="0" w:type="auto"/>
            <w:hideMark/>
          </w:tcPr>
          <w:p w:rsidR="00952818" w:rsidRPr="00335999" w:rsidRDefault="00952818" w:rsidP="00952818">
            <w:pPr>
              <w:pStyle w:val="AERtabletextleft"/>
              <w:cnfStyle w:val="000000000000" w:firstRow="0" w:lastRow="0" w:firstColumn="0" w:lastColumn="0" w:oddVBand="0" w:evenVBand="0" w:oddHBand="0" w:evenHBand="0" w:firstRowFirstColumn="0" w:firstRowLastColumn="0" w:lastRowFirstColumn="0" w:lastRowLastColumn="0"/>
              <w:rPr>
                <w:rStyle w:val="AERtextsize8"/>
                <w:szCs w:val="16"/>
              </w:rPr>
            </w:pPr>
          </w:p>
        </w:tc>
        <w:tc>
          <w:tcPr>
            <w:tcW w:w="0" w:type="auto"/>
            <w:hideMark/>
          </w:tcPr>
          <w:p w:rsidR="00952818" w:rsidRPr="00335999" w:rsidRDefault="00952818" w:rsidP="00952818">
            <w:pPr>
              <w:pStyle w:val="AERtabletextleft"/>
              <w:cnfStyle w:val="000000000000" w:firstRow="0" w:lastRow="0" w:firstColumn="0" w:lastColumn="0" w:oddVBand="0" w:evenVBand="0" w:oddHBand="0" w:evenHBand="0" w:firstRowFirstColumn="0" w:firstRowLastColumn="0" w:lastRowFirstColumn="0" w:lastRowLastColumn="0"/>
              <w:rPr>
                <w:rStyle w:val="AERtextsize8"/>
                <w:szCs w:val="16"/>
              </w:rPr>
            </w:pPr>
          </w:p>
        </w:tc>
        <w:tc>
          <w:tcPr>
            <w:tcW w:w="0" w:type="auto"/>
            <w:hideMark/>
          </w:tcPr>
          <w:p w:rsidR="00952818" w:rsidRPr="00335999" w:rsidRDefault="00952818" w:rsidP="00952818">
            <w:pPr>
              <w:pStyle w:val="AERtabletextleft"/>
              <w:cnfStyle w:val="000000000000" w:firstRow="0" w:lastRow="0" w:firstColumn="0" w:lastColumn="0" w:oddVBand="0" w:evenVBand="0" w:oddHBand="0" w:evenHBand="0" w:firstRowFirstColumn="0" w:firstRowLastColumn="0" w:lastRowFirstColumn="0" w:lastRowLastColumn="0"/>
              <w:rPr>
                <w:rStyle w:val="AERtextsize8"/>
                <w:szCs w:val="16"/>
              </w:rPr>
            </w:pPr>
          </w:p>
        </w:tc>
        <w:tc>
          <w:tcPr>
            <w:tcW w:w="0" w:type="auto"/>
            <w:hideMark/>
          </w:tcPr>
          <w:p w:rsidR="00952818" w:rsidRPr="00335999" w:rsidRDefault="00952818" w:rsidP="00952818">
            <w:pPr>
              <w:pStyle w:val="AERtabletextleft"/>
              <w:cnfStyle w:val="000000000000" w:firstRow="0" w:lastRow="0" w:firstColumn="0" w:lastColumn="0" w:oddVBand="0" w:evenVBand="0" w:oddHBand="0" w:evenHBand="0" w:firstRowFirstColumn="0" w:firstRowLastColumn="0" w:lastRowFirstColumn="0" w:lastRowLastColumn="0"/>
              <w:rPr>
                <w:rStyle w:val="AERtextsize8"/>
                <w:szCs w:val="16"/>
              </w:rPr>
            </w:pPr>
          </w:p>
        </w:tc>
        <w:tc>
          <w:tcPr>
            <w:tcW w:w="0" w:type="auto"/>
            <w:hideMark/>
          </w:tcPr>
          <w:p w:rsidR="00952818" w:rsidRPr="00335999" w:rsidRDefault="00952818" w:rsidP="00952818">
            <w:pPr>
              <w:pStyle w:val="AERtabletextleft"/>
              <w:cnfStyle w:val="000000000000" w:firstRow="0" w:lastRow="0" w:firstColumn="0" w:lastColumn="0" w:oddVBand="0" w:evenVBand="0" w:oddHBand="0" w:evenHBand="0" w:firstRowFirstColumn="0" w:firstRowLastColumn="0" w:lastRowFirstColumn="0" w:lastRowLastColumn="0"/>
              <w:rPr>
                <w:rStyle w:val="AERtextsize8"/>
                <w:szCs w:val="16"/>
              </w:rPr>
            </w:pPr>
          </w:p>
        </w:tc>
      </w:tr>
      <w:tr w:rsidR="003D5C17" w:rsidRPr="00335999" w:rsidTr="00952818">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hideMark/>
          </w:tcPr>
          <w:p w:rsidR="003D5C17" w:rsidRPr="003D5C17" w:rsidRDefault="003D5C17" w:rsidP="003D5C17">
            <w:pPr>
              <w:pStyle w:val="AERtabletextleft"/>
              <w:rPr>
                <w:rStyle w:val="AERtextsize8"/>
              </w:rPr>
            </w:pPr>
            <w:r w:rsidRPr="003D5C17">
              <w:rPr>
                <w:rStyle w:val="AERtextsize8"/>
              </w:rPr>
              <w:t>APTNT proposal</w:t>
            </w:r>
            <w:r w:rsidRPr="003D5C17">
              <w:rPr>
                <w:rStyle w:val="AERsuperscript"/>
              </w:rPr>
              <w:t>a</w:t>
            </w: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r w:rsidRPr="003D5C17">
              <w:t>4.92%</w:t>
            </w: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r w:rsidRPr="003D5C17">
              <w:t>0.00%</w:t>
            </w: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r w:rsidRPr="003D5C17">
              <w:t>0.00%</w:t>
            </w: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r w:rsidRPr="003D5C17">
              <w:t>0.00%</w:t>
            </w: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r w:rsidRPr="003D5C17">
              <w:t>0.00%</w:t>
            </w:r>
          </w:p>
        </w:tc>
      </w:tr>
      <w:tr w:rsidR="003D5C17" w:rsidRPr="00335999" w:rsidTr="00952818">
        <w:trPr>
          <w:trHeight w:val="299"/>
        </w:trPr>
        <w:tc>
          <w:tcPr>
            <w:cnfStyle w:val="001000000000" w:firstRow="0" w:lastRow="0" w:firstColumn="1" w:lastColumn="0" w:oddVBand="0" w:evenVBand="0" w:oddHBand="0" w:evenHBand="0" w:firstRowFirstColumn="0" w:firstRowLastColumn="0" w:lastRowFirstColumn="0" w:lastRowLastColumn="0"/>
            <w:tcW w:w="0" w:type="auto"/>
            <w:hideMark/>
          </w:tcPr>
          <w:p w:rsidR="003D5C17" w:rsidRPr="003D5C17" w:rsidRDefault="003D5C17" w:rsidP="003D5C17">
            <w:pPr>
              <w:pStyle w:val="AERtabletextleft"/>
              <w:rPr>
                <w:rStyle w:val="AERtextsize8"/>
              </w:rPr>
            </w:pPr>
            <w:r w:rsidRPr="003D5C17">
              <w:rPr>
                <w:rStyle w:val="AERtextsize8"/>
              </w:rPr>
              <w:t>AER draft decision</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19.98%</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3.09%</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3.09%</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3.09%</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3.09%</w:t>
            </w:r>
          </w:p>
        </w:tc>
      </w:tr>
      <w:tr w:rsidR="003D5C17" w:rsidRPr="00335999" w:rsidTr="00952818">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hideMark/>
          </w:tcPr>
          <w:p w:rsidR="003D5C17" w:rsidRPr="003D5C17" w:rsidRDefault="003D5C17" w:rsidP="003D5C17">
            <w:pPr>
              <w:pStyle w:val="AERtabletextleft"/>
              <w:rPr>
                <w:rStyle w:val="AERtextsize8"/>
              </w:rPr>
            </w:pPr>
            <w:r w:rsidRPr="003D5C17">
              <w:rPr>
                <w:rStyle w:val="AERtextsize8"/>
              </w:rPr>
              <w:t>APTNT revised proposal</w:t>
            </w: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r w:rsidRPr="003D5C17">
              <w:t>5.36%</w:t>
            </w: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r w:rsidRPr="003D5C17">
              <w:t>1.77%</w:t>
            </w: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r w:rsidRPr="003D5C17">
              <w:t>1.77%</w:t>
            </w: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r w:rsidRPr="003D5C17">
              <w:t>1.77%</w:t>
            </w: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r w:rsidRPr="003D5C17">
              <w:t>1.77%</w:t>
            </w:r>
          </w:p>
        </w:tc>
      </w:tr>
      <w:tr w:rsidR="003D5C17" w:rsidRPr="00335999" w:rsidTr="00952818">
        <w:trPr>
          <w:trHeight w:val="299"/>
        </w:trPr>
        <w:tc>
          <w:tcPr>
            <w:cnfStyle w:val="001000000000" w:firstRow="0" w:lastRow="0" w:firstColumn="1" w:lastColumn="0" w:oddVBand="0" w:evenVBand="0" w:oddHBand="0" w:evenHBand="0" w:firstRowFirstColumn="0" w:firstRowLastColumn="0" w:lastRowFirstColumn="0" w:lastRowLastColumn="0"/>
            <w:tcW w:w="0" w:type="auto"/>
            <w:hideMark/>
          </w:tcPr>
          <w:p w:rsidR="003D5C17" w:rsidRPr="003D5C17" w:rsidRDefault="003D5C17" w:rsidP="003D5C17">
            <w:pPr>
              <w:pStyle w:val="AERtabletextleft"/>
              <w:rPr>
                <w:rStyle w:val="AERtextsize8"/>
              </w:rPr>
            </w:pPr>
            <w:r w:rsidRPr="003D5C17">
              <w:rPr>
                <w:rStyle w:val="AERtextsize8"/>
              </w:rPr>
              <w:t>AER final decision</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17.75%</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3.36%</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3.36%</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3.36%</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3.36%</w:t>
            </w:r>
          </w:p>
        </w:tc>
      </w:tr>
      <w:tr w:rsidR="003D5C17" w:rsidRPr="00335999" w:rsidTr="00952818">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hideMark/>
          </w:tcPr>
          <w:p w:rsidR="003D5C17" w:rsidRPr="00B97C1B" w:rsidRDefault="003D5C17" w:rsidP="003D5C17">
            <w:pPr>
              <w:rPr>
                <w:rStyle w:val="AERsuperscript"/>
              </w:rPr>
            </w:pPr>
            <w:r w:rsidRPr="003D5C17">
              <w:rPr>
                <w:rStyle w:val="Strong"/>
              </w:rPr>
              <w:t>Nominal price change (CPI–X)</w:t>
            </w:r>
            <w:r w:rsidR="00B97C1B" w:rsidRPr="00B97C1B">
              <w:rPr>
                <w:rStyle w:val="AERsuperscript"/>
              </w:rPr>
              <w:t>b</w:t>
            </w: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p>
        </w:tc>
        <w:tc>
          <w:tcPr>
            <w:tcW w:w="0" w:type="auto"/>
            <w:hideMark/>
          </w:tcPr>
          <w:p w:rsidR="003D5C17" w:rsidRPr="003D5C17" w:rsidRDefault="003D5C17" w:rsidP="003D5C17">
            <w:pPr>
              <w:cnfStyle w:val="000000010000" w:firstRow="0" w:lastRow="0" w:firstColumn="0" w:lastColumn="0" w:oddVBand="0" w:evenVBand="0" w:oddHBand="0" w:evenHBand="1" w:firstRowFirstColumn="0" w:firstRowLastColumn="0" w:lastRowFirstColumn="0" w:lastRowLastColumn="0"/>
            </w:pPr>
          </w:p>
        </w:tc>
      </w:tr>
      <w:tr w:rsidR="003D5C17" w:rsidRPr="00335999" w:rsidTr="00952818">
        <w:trPr>
          <w:trHeight w:val="299"/>
        </w:trPr>
        <w:tc>
          <w:tcPr>
            <w:cnfStyle w:val="001000000000" w:firstRow="0" w:lastRow="0" w:firstColumn="1" w:lastColumn="0" w:oddVBand="0" w:evenVBand="0" w:oddHBand="0" w:evenHBand="0" w:firstRowFirstColumn="0" w:firstRowLastColumn="0" w:lastRowFirstColumn="0" w:lastRowLastColumn="0"/>
            <w:tcW w:w="0" w:type="auto"/>
            <w:hideMark/>
          </w:tcPr>
          <w:p w:rsidR="003D5C17" w:rsidRPr="003D5C17" w:rsidRDefault="003D5C17" w:rsidP="003D5C17">
            <w:pPr>
              <w:pStyle w:val="AERtabletextleft"/>
              <w:rPr>
                <w:rStyle w:val="AERtextsize8"/>
              </w:rPr>
            </w:pPr>
            <w:r w:rsidRPr="003D5C17">
              <w:rPr>
                <w:rStyle w:val="AERtextsize8"/>
              </w:rPr>
              <w:t>APTNT proposal</w:t>
            </w:r>
          </w:p>
        </w:tc>
        <w:tc>
          <w:tcPr>
            <w:tcW w:w="0" w:type="auto"/>
            <w:hideMark/>
          </w:tcPr>
          <w:p w:rsidR="003D5C17" w:rsidRPr="003D5C17" w:rsidRDefault="006602A9" w:rsidP="003D5C17">
            <w:pPr>
              <w:cnfStyle w:val="000000000000" w:firstRow="0" w:lastRow="0" w:firstColumn="0" w:lastColumn="0" w:oddVBand="0" w:evenVBand="0" w:oddHBand="0" w:evenHBand="0" w:firstRowFirstColumn="0" w:firstRowLastColumn="0" w:lastRowFirstColumn="0" w:lastRowLastColumn="0"/>
            </w:pPr>
            <w:r>
              <w:t>–</w:t>
            </w:r>
            <w:r w:rsidR="003D5C17" w:rsidRPr="003D5C17">
              <w:t>2.65%</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2.39%</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2.39%</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2.39%</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2.39%</w:t>
            </w:r>
          </w:p>
        </w:tc>
      </w:tr>
      <w:tr w:rsidR="003D5C17" w:rsidRPr="00335999" w:rsidTr="00952818">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0" w:type="auto"/>
            <w:hideMark/>
          </w:tcPr>
          <w:p w:rsidR="003D5C17" w:rsidRPr="003D5C17" w:rsidRDefault="003D5C17" w:rsidP="003D5C17">
            <w:pPr>
              <w:pStyle w:val="AERtabletextleft"/>
              <w:rPr>
                <w:rStyle w:val="AERtextsize8"/>
              </w:rPr>
            </w:pPr>
            <w:r w:rsidRPr="003D5C17">
              <w:rPr>
                <w:rStyle w:val="AERtextsize8"/>
              </w:rPr>
              <w:t xml:space="preserve">AER draft decision </w:t>
            </w:r>
          </w:p>
        </w:tc>
        <w:tc>
          <w:tcPr>
            <w:tcW w:w="0" w:type="auto"/>
            <w:hideMark/>
          </w:tcPr>
          <w:p w:rsidR="003D5C17" w:rsidRPr="003D5C17" w:rsidRDefault="006602A9" w:rsidP="003D5C17">
            <w:pPr>
              <w:cnfStyle w:val="000000010000" w:firstRow="0" w:lastRow="0" w:firstColumn="0" w:lastColumn="0" w:oddVBand="0" w:evenVBand="0" w:oddHBand="0" w:evenHBand="1" w:firstRowFirstColumn="0" w:firstRowLastColumn="0" w:lastRowFirstColumn="0" w:lastRowLastColumn="0"/>
            </w:pPr>
            <w:r>
              <w:t>–</w:t>
            </w:r>
            <w:r w:rsidR="003D5C17" w:rsidRPr="003D5C17">
              <w:t>18.07%</w:t>
            </w:r>
          </w:p>
        </w:tc>
        <w:tc>
          <w:tcPr>
            <w:tcW w:w="0" w:type="auto"/>
            <w:hideMark/>
          </w:tcPr>
          <w:p w:rsidR="003D5C17" w:rsidRPr="003D5C17" w:rsidRDefault="006602A9" w:rsidP="003D5C17">
            <w:pPr>
              <w:cnfStyle w:val="000000010000" w:firstRow="0" w:lastRow="0" w:firstColumn="0" w:lastColumn="0" w:oddVBand="0" w:evenVBand="0" w:oddHBand="0" w:evenHBand="1" w:firstRowFirstColumn="0" w:firstRowLastColumn="0" w:lastRowFirstColumn="0" w:lastRowLastColumn="0"/>
            </w:pPr>
            <w:r>
              <w:t>–</w:t>
            </w:r>
            <w:r w:rsidR="003D5C17" w:rsidRPr="003D5C17">
              <w:t>0.77%</w:t>
            </w:r>
          </w:p>
        </w:tc>
        <w:tc>
          <w:tcPr>
            <w:tcW w:w="0" w:type="auto"/>
            <w:hideMark/>
          </w:tcPr>
          <w:p w:rsidR="003D5C17" w:rsidRPr="003D5C17" w:rsidRDefault="006602A9" w:rsidP="003D5C17">
            <w:pPr>
              <w:cnfStyle w:val="000000010000" w:firstRow="0" w:lastRow="0" w:firstColumn="0" w:lastColumn="0" w:oddVBand="0" w:evenVBand="0" w:oddHBand="0" w:evenHBand="1" w:firstRowFirstColumn="0" w:firstRowLastColumn="0" w:lastRowFirstColumn="0" w:lastRowLastColumn="0"/>
            </w:pPr>
            <w:r>
              <w:t>–</w:t>
            </w:r>
            <w:r w:rsidR="003D5C17" w:rsidRPr="003D5C17">
              <w:t>0.77%</w:t>
            </w:r>
          </w:p>
        </w:tc>
        <w:tc>
          <w:tcPr>
            <w:tcW w:w="0" w:type="auto"/>
            <w:hideMark/>
          </w:tcPr>
          <w:p w:rsidR="003D5C17" w:rsidRPr="003D5C17" w:rsidRDefault="006602A9" w:rsidP="003D5C17">
            <w:pPr>
              <w:cnfStyle w:val="000000010000" w:firstRow="0" w:lastRow="0" w:firstColumn="0" w:lastColumn="0" w:oddVBand="0" w:evenVBand="0" w:oddHBand="0" w:evenHBand="1" w:firstRowFirstColumn="0" w:firstRowLastColumn="0" w:lastRowFirstColumn="0" w:lastRowLastColumn="0"/>
            </w:pPr>
            <w:r>
              <w:t>–</w:t>
            </w:r>
            <w:r w:rsidR="003D5C17" w:rsidRPr="003D5C17">
              <w:t>0.77%</w:t>
            </w:r>
          </w:p>
        </w:tc>
        <w:tc>
          <w:tcPr>
            <w:tcW w:w="0" w:type="auto"/>
            <w:hideMark/>
          </w:tcPr>
          <w:p w:rsidR="003D5C17" w:rsidRPr="003D5C17" w:rsidRDefault="006602A9" w:rsidP="003D5C17">
            <w:pPr>
              <w:cnfStyle w:val="000000010000" w:firstRow="0" w:lastRow="0" w:firstColumn="0" w:lastColumn="0" w:oddVBand="0" w:evenVBand="0" w:oddHBand="0" w:evenHBand="1" w:firstRowFirstColumn="0" w:firstRowLastColumn="0" w:lastRowFirstColumn="0" w:lastRowLastColumn="0"/>
            </w:pPr>
            <w:r>
              <w:t>–</w:t>
            </w:r>
            <w:r w:rsidR="003D5C17" w:rsidRPr="003D5C17">
              <w:t>0.77%</w:t>
            </w:r>
          </w:p>
        </w:tc>
      </w:tr>
      <w:tr w:rsidR="003D5C17" w:rsidRPr="00335999" w:rsidTr="00952818">
        <w:trPr>
          <w:trHeight w:val="299"/>
        </w:trPr>
        <w:tc>
          <w:tcPr>
            <w:cnfStyle w:val="001000000000" w:firstRow="0" w:lastRow="0" w:firstColumn="1" w:lastColumn="0" w:oddVBand="0" w:evenVBand="0" w:oddHBand="0" w:evenHBand="0" w:firstRowFirstColumn="0" w:firstRowLastColumn="0" w:lastRowFirstColumn="0" w:lastRowLastColumn="0"/>
            <w:tcW w:w="0" w:type="auto"/>
            <w:hideMark/>
          </w:tcPr>
          <w:p w:rsidR="003D5C17" w:rsidRPr="003D5C17" w:rsidRDefault="003D5C17" w:rsidP="003D5C17">
            <w:pPr>
              <w:pStyle w:val="AERtabletextleft"/>
              <w:rPr>
                <w:rStyle w:val="AERtextsize8"/>
              </w:rPr>
            </w:pPr>
            <w:r w:rsidRPr="003D5C17">
              <w:rPr>
                <w:rStyle w:val="AERtextsize8"/>
              </w:rPr>
              <w:t>APTNT revised proposal</w:t>
            </w:r>
          </w:p>
        </w:tc>
        <w:tc>
          <w:tcPr>
            <w:tcW w:w="0" w:type="auto"/>
            <w:hideMark/>
          </w:tcPr>
          <w:p w:rsidR="003D5C17" w:rsidRPr="003D5C17" w:rsidRDefault="006602A9" w:rsidP="003D5C17">
            <w:pPr>
              <w:cnfStyle w:val="000000000000" w:firstRow="0" w:lastRow="0" w:firstColumn="0" w:lastColumn="0" w:oddVBand="0" w:evenVBand="0" w:oddHBand="0" w:evenHBand="0" w:firstRowFirstColumn="0" w:firstRowLastColumn="0" w:lastRowFirstColumn="0" w:lastRowLastColumn="0"/>
            </w:pPr>
            <w:r>
              <w:t>–</w:t>
            </w:r>
            <w:r w:rsidR="003D5C17" w:rsidRPr="003D5C17">
              <w:t>3.10%</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0.58%</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0.58%</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0.58%</w:t>
            </w:r>
          </w:p>
        </w:tc>
        <w:tc>
          <w:tcPr>
            <w:tcW w:w="0" w:type="auto"/>
            <w:hideMark/>
          </w:tcPr>
          <w:p w:rsidR="003D5C17" w:rsidRPr="003D5C17" w:rsidRDefault="003D5C17" w:rsidP="003D5C17">
            <w:pPr>
              <w:cnfStyle w:val="000000000000" w:firstRow="0" w:lastRow="0" w:firstColumn="0" w:lastColumn="0" w:oddVBand="0" w:evenVBand="0" w:oddHBand="0" w:evenHBand="0" w:firstRowFirstColumn="0" w:firstRowLastColumn="0" w:lastRowFirstColumn="0" w:lastRowLastColumn="0"/>
            </w:pPr>
            <w:r w:rsidRPr="003D5C17">
              <w:t>0.58%</w:t>
            </w:r>
          </w:p>
        </w:tc>
      </w:tr>
      <w:tr w:rsidR="003D5C17" w:rsidRPr="00335999" w:rsidTr="00952818">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0" w:type="auto"/>
            <w:hideMark/>
          </w:tcPr>
          <w:p w:rsidR="003D5C17" w:rsidRPr="003D5C17" w:rsidRDefault="003D5C17" w:rsidP="003D5C17">
            <w:pPr>
              <w:pStyle w:val="AERtabletextleft"/>
              <w:rPr>
                <w:rStyle w:val="AERtextsize8"/>
              </w:rPr>
            </w:pPr>
            <w:r w:rsidRPr="003D5C17">
              <w:rPr>
                <w:rStyle w:val="AERtextsize8"/>
              </w:rPr>
              <w:t>AER final decision</w:t>
            </w:r>
          </w:p>
        </w:tc>
        <w:tc>
          <w:tcPr>
            <w:tcW w:w="0" w:type="auto"/>
            <w:hideMark/>
          </w:tcPr>
          <w:p w:rsidR="003D5C17" w:rsidRPr="003D5C17" w:rsidRDefault="006602A9" w:rsidP="003D5C17">
            <w:pPr>
              <w:cnfStyle w:val="000000010000" w:firstRow="0" w:lastRow="0" w:firstColumn="0" w:lastColumn="0" w:oddVBand="0" w:evenVBand="0" w:oddHBand="0" w:evenHBand="1" w:firstRowFirstColumn="0" w:firstRowLastColumn="0" w:lastRowFirstColumn="0" w:lastRowLastColumn="0"/>
            </w:pPr>
            <w:r>
              <w:t>–</w:t>
            </w:r>
            <w:r w:rsidR="003D5C17" w:rsidRPr="003D5C17">
              <w:t>15.78%</w:t>
            </w:r>
          </w:p>
        </w:tc>
        <w:tc>
          <w:tcPr>
            <w:tcW w:w="0" w:type="auto"/>
            <w:hideMark/>
          </w:tcPr>
          <w:p w:rsidR="003D5C17" w:rsidRPr="003D5C17" w:rsidRDefault="006602A9" w:rsidP="003D5C17">
            <w:pPr>
              <w:cnfStyle w:val="000000010000" w:firstRow="0" w:lastRow="0" w:firstColumn="0" w:lastColumn="0" w:oddVBand="0" w:evenVBand="0" w:oddHBand="0" w:evenHBand="1" w:firstRowFirstColumn="0" w:firstRowLastColumn="0" w:lastRowFirstColumn="0" w:lastRowLastColumn="0"/>
            </w:pPr>
            <w:r>
              <w:t>–</w:t>
            </w:r>
            <w:r w:rsidR="003D5C17" w:rsidRPr="003D5C17">
              <w:t>1.05%</w:t>
            </w:r>
          </w:p>
        </w:tc>
        <w:tc>
          <w:tcPr>
            <w:tcW w:w="0" w:type="auto"/>
            <w:hideMark/>
          </w:tcPr>
          <w:p w:rsidR="003D5C17" w:rsidRPr="003D5C17" w:rsidRDefault="006602A9" w:rsidP="003D5C17">
            <w:pPr>
              <w:cnfStyle w:val="000000010000" w:firstRow="0" w:lastRow="0" w:firstColumn="0" w:lastColumn="0" w:oddVBand="0" w:evenVBand="0" w:oddHBand="0" w:evenHBand="1" w:firstRowFirstColumn="0" w:firstRowLastColumn="0" w:lastRowFirstColumn="0" w:lastRowLastColumn="0"/>
            </w:pPr>
            <w:r>
              <w:t>–</w:t>
            </w:r>
            <w:r w:rsidR="003D5C17" w:rsidRPr="003D5C17">
              <w:t>1.05%</w:t>
            </w:r>
          </w:p>
        </w:tc>
        <w:tc>
          <w:tcPr>
            <w:tcW w:w="0" w:type="auto"/>
            <w:hideMark/>
          </w:tcPr>
          <w:p w:rsidR="003D5C17" w:rsidRPr="003D5C17" w:rsidRDefault="006602A9" w:rsidP="003D5C17">
            <w:pPr>
              <w:cnfStyle w:val="000000010000" w:firstRow="0" w:lastRow="0" w:firstColumn="0" w:lastColumn="0" w:oddVBand="0" w:evenVBand="0" w:oddHBand="0" w:evenHBand="1" w:firstRowFirstColumn="0" w:firstRowLastColumn="0" w:lastRowFirstColumn="0" w:lastRowLastColumn="0"/>
            </w:pPr>
            <w:r>
              <w:t>–</w:t>
            </w:r>
            <w:r w:rsidR="003D5C17" w:rsidRPr="003D5C17">
              <w:t>1.05%</w:t>
            </w:r>
          </w:p>
        </w:tc>
        <w:tc>
          <w:tcPr>
            <w:tcW w:w="0" w:type="auto"/>
            <w:hideMark/>
          </w:tcPr>
          <w:p w:rsidR="003D5C17" w:rsidRPr="003D5C17" w:rsidRDefault="006602A9" w:rsidP="003D5C17">
            <w:pPr>
              <w:cnfStyle w:val="000000010000" w:firstRow="0" w:lastRow="0" w:firstColumn="0" w:lastColumn="0" w:oddVBand="0" w:evenVBand="0" w:oddHBand="0" w:evenHBand="1" w:firstRowFirstColumn="0" w:firstRowLastColumn="0" w:lastRowFirstColumn="0" w:lastRowLastColumn="0"/>
            </w:pPr>
            <w:r>
              <w:t>–</w:t>
            </w:r>
            <w:r w:rsidR="003D5C17" w:rsidRPr="003D5C17">
              <w:t>1.05%</w:t>
            </w:r>
          </w:p>
        </w:tc>
      </w:tr>
    </w:tbl>
    <w:p w:rsidR="005766DB" w:rsidRPr="005766DB" w:rsidRDefault="005766DB" w:rsidP="00E75001">
      <w:pPr>
        <w:pStyle w:val="AERtablesource"/>
      </w:pPr>
      <w:r w:rsidRPr="005766DB">
        <w:rPr>
          <w:rFonts w:eastAsia="Calibri"/>
        </w:rPr>
        <w:t xml:space="preserve">Source: </w:t>
      </w:r>
      <w:r w:rsidRPr="005766DB">
        <w:rPr>
          <w:rFonts w:eastAsia="Calibri"/>
        </w:rPr>
        <w:tab/>
      </w:r>
      <w:r w:rsidRPr="00E75001">
        <w:rPr>
          <w:rStyle w:val="AERtexthighlight"/>
          <w:rFonts w:eastAsia="Calibri"/>
          <w:shd w:val="clear" w:color="auto" w:fill="auto"/>
        </w:rPr>
        <w:t>APTNT,</w:t>
      </w:r>
      <w:r w:rsidR="00B610B3" w:rsidRPr="00E75001">
        <w:rPr>
          <w:rStyle w:val="AERtexthighlight"/>
          <w:rFonts w:eastAsia="Calibri"/>
          <w:shd w:val="clear" w:color="auto" w:fill="auto"/>
        </w:rPr>
        <w:t xml:space="preserve"> </w:t>
      </w:r>
      <w:r w:rsidR="00E75001" w:rsidRPr="00E75001">
        <w:rPr>
          <w:rStyle w:val="AERtextitalic"/>
          <w:rFonts w:eastAsia="Calibri"/>
        </w:rPr>
        <w:t>R</w:t>
      </w:r>
      <w:r w:rsidR="00B610B3" w:rsidRPr="00E75001">
        <w:rPr>
          <w:rStyle w:val="AERtextitalic"/>
          <w:rFonts w:eastAsia="Calibri"/>
        </w:rPr>
        <w:t>evised p</w:t>
      </w:r>
      <w:r w:rsidRPr="00E75001">
        <w:rPr>
          <w:rStyle w:val="AERtextitalic"/>
          <w:rFonts w:eastAsia="Calibri"/>
        </w:rPr>
        <w:t>roposed PTRM</w:t>
      </w:r>
      <w:r w:rsidRPr="00E75001">
        <w:rPr>
          <w:rStyle w:val="AERtexthighlight"/>
          <w:rFonts w:eastAsia="Calibri"/>
          <w:shd w:val="clear" w:color="auto" w:fill="auto"/>
        </w:rPr>
        <w:t xml:space="preserve">, </w:t>
      </w:r>
      <w:r w:rsidR="00B610B3" w:rsidRPr="00E75001">
        <w:rPr>
          <w:rStyle w:val="AERtexthighlight"/>
          <w:rFonts w:eastAsia="Calibri"/>
          <w:shd w:val="clear" w:color="auto" w:fill="auto"/>
        </w:rPr>
        <w:t>January</w:t>
      </w:r>
      <w:r w:rsidRPr="00E75001">
        <w:rPr>
          <w:rStyle w:val="AERtexthighlight"/>
          <w:rFonts w:eastAsia="Calibri"/>
          <w:shd w:val="clear" w:color="auto" w:fill="auto"/>
        </w:rPr>
        <w:t xml:space="preserve"> 201</w:t>
      </w:r>
      <w:r w:rsidR="00B610B3" w:rsidRPr="00E75001">
        <w:rPr>
          <w:rStyle w:val="AERtexthighlight"/>
          <w:rFonts w:eastAsia="Calibri"/>
          <w:shd w:val="clear" w:color="auto" w:fill="auto"/>
        </w:rPr>
        <w:t>6</w:t>
      </w:r>
      <w:r w:rsidRPr="005766DB">
        <w:rPr>
          <w:rFonts w:eastAsia="Calibri"/>
        </w:rPr>
        <w:t xml:space="preserve">; </w:t>
      </w:r>
      <w:r w:rsidRPr="005766DB">
        <w:t>AER analysis.</w:t>
      </w:r>
    </w:p>
    <w:p w:rsidR="00B97C1B" w:rsidRDefault="005766DB" w:rsidP="00B97C1B">
      <w:pPr>
        <w:pStyle w:val="AERtablesource"/>
        <w:rPr>
          <w:rStyle w:val="AERtexthighlight"/>
        </w:rPr>
      </w:pPr>
      <w:r>
        <w:t>(a)</w:t>
      </w:r>
      <w:r w:rsidRPr="00D2764A">
        <w:tab/>
      </w:r>
      <w:r w:rsidR="00952818" w:rsidRPr="00C009DB">
        <w:t xml:space="preserve">Under </w:t>
      </w:r>
      <w:r w:rsidR="00952818" w:rsidRPr="00952818">
        <w:t xml:space="preserve">the CPI–X form of control, a positive X factor is a decrease in price (and therefore in revenue). For example, an X factor of </w:t>
      </w:r>
      <w:r w:rsidR="00952818">
        <w:t>4.92</w:t>
      </w:r>
      <w:r w:rsidR="00952818" w:rsidRPr="00952818">
        <w:t xml:space="preserve"> per cent in 2016–17 means a real price decrease of </w:t>
      </w:r>
      <w:r w:rsidR="00952818">
        <w:t>4.92</w:t>
      </w:r>
      <w:r w:rsidR="00952818" w:rsidRPr="00952818">
        <w:t xml:space="preserve"> per cent that year. After consideration of inflation (assumed at </w:t>
      </w:r>
      <w:r w:rsidR="000F75B1">
        <w:t>2.39</w:t>
      </w:r>
      <w:r w:rsidR="00952818" w:rsidRPr="00952818">
        <w:t xml:space="preserve"> per cent) this becomes a nominal price </w:t>
      </w:r>
      <w:r w:rsidR="00952818">
        <w:t>decrease</w:t>
      </w:r>
      <w:r w:rsidR="00952818" w:rsidRPr="00952818">
        <w:t xml:space="preserve"> of </w:t>
      </w:r>
      <w:r w:rsidR="000F75B1">
        <w:t>2.65</w:t>
      </w:r>
      <w:r w:rsidR="00952818" w:rsidRPr="00952818">
        <w:t xml:space="preserve"> per cent.</w:t>
      </w:r>
      <w:r w:rsidR="00F73608">
        <w:t xml:space="preserve"> </w:t>
      </w:r>
      <w:r w:rsidRPr="00E75001">
        <w:rPr>
          <w:rStyle w:val="AERtexthighlight"/>
          <w:shd w:val="clear" w:color="auto" w:fill="auto"/>
        </w:rPr>
        <w:t xml:space="preserve">The X factor for 2016–17 is indicative only. The </w:t>
      </w:r>
      <w:r w:rsidR="00513106" w:rsidRPr="00E75001">
        <w:rPr>
          <w:rStyle w:val="AERtexthighlight"/>
          <w:shd w:val="clear" w:color="auto" w:fill="auto"/>
        </w:rPr>
        <w:t>final</w:t>
      </w:r>
      <w:r w:rsidRPr="00E75001">
        <w:rPr>
          <w:rStyle w:val="AERtexthighlight"/>
          <w:shd w:val="clear" w:color="auto" w:fill="auto"/>
        </w:rPr>
        <w:t xml:space="preserve"> decision establishes 2016–17 tariffs directly, rather than referencing a change from 2015–16 tariffs.</w:t>
      </w:r>
      <w:r w:rsidR="00B97C1B">
        <w:rPr>
          <w:rStyle w:val="AERtexthighlight"/>
        </w:rPr>
        <w:t xml:space="preserve"> </w:t>
      </w:r>
    </w:p>
    <w:p w:rsidR="00B97C1B" w:rsidRPr="00857186" w:rsidRDefault="00B97C1B" w:rsidP="006602A9">
      <w:pPr>
        <w:pStyle w:val="AERtablesource"/>
        <w:rPr>
          <w:rStyle w:val="AERtexthighlight"/>
          <w:shd w:val="clear" w:color="auto" w:fill="auto"/>
        </w:rPr>
      </w:pPr>
      <w:r w:rsidRPr="00857186">
        <w:rPr>
          <w:rStyle w:val="AERtexthighlight"/>
          <w:shd w:val="clear" w:color="auto" w:fill="auto"/>
        </w:rPr>
        <w:t>(b)</w:t>
      </w:r>
      <w:r w:rsidRPr="00857186">
        <w:rPr>
          <w:rStyle w:val="AERtexthighlight"/>
          <w:shd w:val="clear" w:color="auto" w:fill="auto"/>
        </w:rPr>
        <w:tab/>
        <w:t>Reflecting a</w:t>
      </w:r>
      <w:r w:rsidR="006602A9" w:rsidRPr="00857186">
        <w:rPr>
          <w:rStyle w:val="AERtexthighlight"/>
          <w:shd w:val="clear" w:color="auto" w:fill="auto"/>
        </w:rPr>
        <w:t>n inflation</w:t>
      </w:r>
      <w:r w:rsidRPr="00857186">
        <w:rPr>
          <w:rStyle w:val="AERtexthighlight"/>
          <w:shd w:val="clear" w:color="auto" w:fill="auto"/>
        </w:rPr>
        <w:t xml:space="preserve"> forecast of 2.39 per cent.</w:t>
      </w:r>
    </w:p>
    <w:p w:rsidR="005766DB" w:rsidRPr="00B83638" w:rsidRDefault="005766DB" w:rsidP="00E75001">
      <w:pPr>
        <w:rPr>
          <w:rStyle w:val="AERtexthighlight"/>
        </w:rPr>
      </w:pPr>
      <w:r w:rsidRPr="00E75001">
        <w:fldChar w:fldCharType="begin"/>
      </w:r>
      <w:r w:rsidRPr="00E75001">
        <w:instrText xml:space="preserve"> REF _Ref433965235 \h </w:instrText>
      </w:r>
      <w:r w:rsidR="00B83638" w:rsidRPr="00E75001">
        <w:instrText xml:space="preserve"> \* MERGEFORMAT </w:instrText>
      </w:r>
      <w:r w:rsidRPr="00E75001">
        <w:fldChar w:fldCharType="separate"/>
      </w:r>
      <w:r w:rsidR="009F7892">
        <w:t>Figure 6</w:t>
      </w:r>
      <w:r w:rsidRPr="00E75001">
        <w:fldChar w:fldCharType="end"/>
      </w:r>
      <w:r w:rsidRPr="00E75001">
        <w:t xml:space="preserve"> shows indicative tariff paths for APTNT's reference services across the 2011–21 period. It compares APTNT's proposed tariff path with that approved in the 2011–16 access arrangement, and with this </w:t>
      </w:r>
      <w:r w:rsidR="00032B1A" w:rsidRPr="00E75001">
        <w:t xml:space="preserve">final </w:t>
      </w:r>
      <w:r w:rsidRPr="00E75001">
        <w:t>decision.</w:t>
      </w:r>
      <w:r w:rsidRPr="00B83638">
        <w:rPr>
          <w:rStyle w:val="FootnoteReference"/>
        </w:rPr>
        <w:footnoteReference w:id="15"/>
      </w:r>
      <w:r w:rsidR="00572D15" w:rsidRPr="00E75001">
        <w:t xml:space="preserve"> </w:t>
      </w:r>
      <w:r w:rsidRPr="00E75001">
        <w:t>This provides a broad overall indication of the average movement across this period.</w:t>
      </w:r>
    </w:p>
    <w:p w:rsidR="005766DB" w:rsidRPr="00E75001" w:rsidRDefault="005766DB" w:rsidP="00E75001">
      <w:r w:rsidRPr="00E75001">
        <w:fldChar w:fldCharType="begin"/>
      </w:r>
      <w:r w:rsidRPr="00E75001">
        <w:instrText xml:space="preserve"> REF _Ref434403420 \h </w:instrText>
      </w:r>
      <w:r w:rsidR="00B83638" w:rsidRPr="00E75001">
        <w:instrText xml:space="preserve"> \* MERGEFORMAT </w:instrText>
      </w:r>
      <w:r w:rsidRPr="00E75001">
        <w:fldChar w:fldCharType="separate"/>
      </w:r>
      <w:r w:rsidR="009F7892">
        <w:t>Table 3</w:t>
      </w:r>
      <w:r w:rsidRPr="00E75001">
        <w:fldChar w:fldCharType="end"/>
      </w:r>
      <w:r w:rsidRPr="00E75001">
        <w:t xml:space="preserve"> shows the indicative tariffs for APTNT's reference services across the 2016–21 access arrangement period. It compares the proposed tariffs with those approved for this </w:t>
      </w:r>
      <w:r w:rsidR="00032B1A" w:rsidRPr="00E75001">
        <w:t xml:space="preserve">final </w:t>
      </w:r>
      <w:r w:rsidRPr="00E75001">
        <w:t>decision.</w:t>
      </w:r>
    </w:p>
    <w:p w:rsidR="005766DB" w:rsidRPr="0080422F" w:rsidRDefault="005766DB" w:rsidP="005766DB">
      <w:pPr>
        <w:pStyle w:val="Caption"/>
      </w:pPr>
      <w:bookmarkStart w:id="54" w:name="_Ref433965235"/>
      <w:r>
        <w:t xml:space="preserve">Figure </w:t>
      </w:r>
      <w:r w:rsidRPr="005766DB">
        <w:fldChar w:fldCharType="begin"/>
      </w:r>
      <w:r>
        <w:instrText xml:space="preserve"> SEQ Figure \* ARABIC </w:instrText>
      </w:r>
      <w:r w:rsidRPr="005766DB">
        <w:fldChar w:fldCharType="separate"/>
      </w:r>
      <w:r w:rsidR="009F7892">
        <w:rPr>
          <w:noProof/>
        </w:rPr>
        <w:t>6</w:t>
      </w:r>
      <w:r w:rsidRPr="005766DB">
        <w:fldChar w:fldCharType="end"/>
      </w:r>
      <w:bookmarkEnd w:id="54"/>
      <w:r w:rsidRPr="0080422F">
        <w:tab/>
        <w:t xml:space="preserve">Indicative reference tariff paths for </w:t>
      </w:r>
      <w:r>
        <w:t>APTNT</w:t>
      </w:r>
      <w:r w:rsidRPr="0080422F">
        <w:t>'s reference services from 201</w:t>
      </w:r>
      <w:r>
        <w:t>1</w:t>
      </w:r>
      <w:r w:rsidRPr="0080422F">
        <w:t xml:space="preserve"> to 202</w:t>
      </w:r>
      <w:r>
        <w:t>1</w:t>
      </w:r>
      <w:r w:rsidRPr="0080422F">
        <w:t xml:space="preserve"> (nominal index)</w:t>
      </w:r>
    </w:p>
    <w:p w:rsidR="003309B6" w:rsidRDefault="00D73CFC" w:rsidP="005766DB">
      <w:pPr>
        <w:pStyle w:val="AERtablesource"/>
        <w:rPr>
          <w:rFonts w:eastAsia="Calibri"/>
        </w:rPr>
      </w:pPr>
      <w:r w:rsidRPr="00D73CFC">
        <w:rPr>
          <w:rFonts w:eastAsia="Calibri"/>
          <w:noProof/>
          <w:lang w:eastAsia="en-AU"/>
        </w:rPr>
        <w:drawing>
          <wp:inline distT="0" distB="0" distL="0" distR="0" wp14:anchorId="3DE688B9" wp14:editId="5017EEAF">
            <wp:extent cx="5382895" cy="3404414"/>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404414"/>
                    </a:xfrm>
                    <a:prstGeom prst="rect">
                      <a:avLst/>
                    </a:prstGeom>
                    <a:noFill/>
                    <a:ln>
                      <a:noFill/>
                    </a:ln>
                  </pic:spPr>
                </pic:pic>
              </a:graphicData>
            </a:graphic>
          </wp:inline>
        </w:drawing>
      </w:r>
    </w:p>
    <w:p w:rsidR="005766DB" w:rsidRPr="005766DB" w:rsidRDefault="005766DB" w:rsidP="005766DB">
      <w:pPr>
        <w:pStyle w:val="AERtablesource"/>
        <w:rPr>
          <w:rFonts w:eastAsia="Calibri"/>
        </w:rPr>
      </w:pPr>
      <w:r w:rsidRPr="005766DB">
        <w:rPr>
          <w:rFonts w:eastAsia="Calibri"/>
        </w:rPr>
        <w:t xml:space="preserve">Source: </w:t>
      </w:r>
      <w:r w:rsidRPr="005766DB">
        <w:rPr>
          <w:rFonts w:eastAsia="Calibri"/>
        </w:rPr>
        <w:tab/>
      </w:r>
      <w:r w:rsidRPr="005766DB">
        <w:t xml:space="preserve">AER analysis. </w:t>
      </w:r>
    </w:p>
    <w:p w:rsidR="005766DB" w:rsidRPr="00EF51EE" w:rsidRDefault="005766DB" w:rsidP="005766DB">
      <w:pPr>
        <w:pStyle w:val="Caption"/>
      </w:pPr>
      <w:bookmarkStart w:id="55" w:name="_Ref434403420"/>
      <w:r>
        <w:t xml:space="preserve">Table </w:t>
      </w:r>
      <w:r w:rsidRPr="005766DB">
        <w:fldChar w:fldCharType="begin"/>
      </w:r>
      <w:r>
        <w:instrText xml:space="preserve"> SEQ Table \* ARABIC </w:instrText>
      </w:r>
      <w:r w:rsidRPr="005766DB">
        <w:fldChar w:fldCharType="separate"/>
      </w:r>
      <w:r w:rsidR="009F7892">
        <w:rPr>
          <w:noProof/>
        </w:rPr>
        <w:t>3</w:t>
      </w:r>
      <w:r w:rsidRPr="005766DB">
        <w:fldChar w:fldCharType="end"/>
      </w:r>
      <w:bookmarkEnd w:id="55"/>
      <w:r w:rsidRPr="00EF51EE">
        <w:tab/>
      </w:r>
      <w:r>
        <w:t xml:space="preserve">Indicative reference tariffs across the access arrangement period — comparison of APTNT's </w:t>
      </w:r>
      <w:r w:rsidR="00B83638">
        <w:t xml:space="preserve">revised </w:t>
      </w:r>
      <w:r>
        <w:t xml:space="preserve">proposal and AER's </w:t>
      </w:r>
      <w:r w:rsidR="00032B1A">
        <w:t xml:space="preserve">final </w:t>
      </w:r>
      <w:r>
        <w:t>decision ($/GJ)</w:t>
      </w:r>
    </w:p>
    <w:tbl>
      <w:tblPr>
        <w:tblStyle w:val="AERtable-numbers"/>
        <w:tblW w:w="8733" w:type="dxa"/>
        <w:tblLayout w:type="fixed"/>
        <w:tblLook w:val="04A0" w:firstRow="1" w:lastRow="0" w:firstColumn="1" w:lastColumn="0" w:noHBand="0" w:noVBand="1"/>
      </w:tblPr>
      <w:tblGrid>
        <w:gridCol w:w="2093"/>
        <w:gridCol w:w="1106"/>
        <w:gridCol w:w="1107"/>
        <w:gridCol w:w="1107"/>
        <w:gridCol w:w="1106"/>
        <w:gridCol w:w="1107"/>
        <w:gridCol w:w="1107"/>
      </w:tblGrid>
      <w:tr w:rsidR="005766DB" w:rsidRPr="00502306" w:rsidTr="00572D15">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093" w:type="dxa"/>
          </w:tcPr>
          <w:p w:rsidR="005766DB" w:rsidRPr="00502306" w:rsidRDefault="005766DB" w:rsidP="005766DB"/>
        </w:tc>
        <w:tc>
          <w:tcPr>
            <w:tcW w:w="1106" w:type="dxa"/>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t>2015–16</w:t>
            </w:r>
          </w:p>
        </w:tc>
        <w:tc>
          <w:tcPr>
            <w:tcW w:w="1107" w:type="dxa"/>
            <w:hideMark/>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rsidRPr="00502306">
              <w:t>2016–17</w:t>
            </w:r>
          </w:p>
        </w:tc>
        <w:tc>
          <w:tcPr>
            <w:tcW w:w="1107" w:type="dxa"/>
            <w:hideMark/>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rsidRPr="00502306">
              <w:t>2017–18</w:t>
            </w:r>
          </w:p>
        </w:tc>
        <w:tc>
          <w:tcPr>
            <w:tcW w:w="1106" w:type="dxa"/>
            <w:hideMark/>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rsidRPr="00502306">
              <w:t>2018–19</w:t>
            </w:r>
          </w:p>
        </w:tc>
        <w:tc>
          <w:tcPr>
            <w:tcW w:w="1107" w:type="dxa"/>
            <w:hideMark/>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rsidRPr="00502306">
              <w:t>2019–20</w:t>
            </w:r>
          </w:p>
        </w:tc>
        <w:tc>
          <w:tcPr>
            <w:tcW w:w="1107" w:type="dxa"/>
          </w:tcPr>
          <w:p w:rsidR="005766DB" w:rsidRPr="005766DB" w:rsidRDefault="005766DB" w:rsidP="005766DB">
            <w:pPr>
              <w:cnfStyle w:val="100000000000" w:firstRow="1" w:lastRow="0" w:firstColumn="0" w:lastColumn="0" w:oddVBand="0" w:evenVBand="0" w:oddHBand="0" w:evenHBand="0" w:firstRowFirstColumn="0" w:firstRowLastColumn="0" w:lastRowFirstColumn="0" w:lastRowLastColumn="0"/>
            </w:pPr>
            <w:r w:rsidRPr="00502306">
              <w:t>2020–21</w:t>
            </w:r>
          </w:p>
        </w:tc>
      </w:tr>
      <w:tr w:rsidR="005766DB" w:rsidRPr="00502306" w:rsidTr="00572D15">
        <w:trPr>
          <w:trHeight w:val="231"/>
        </w:trPr>
        <w:tc>
          <w:tcPr>
            <w:cnfStyle w:val="001000000000" w:firstRow="0" w:lastRow="0" w:firstColumn="1" w:lastColumn="0" w:oddVBand="0" w:evenVBand="0" w:oddHBand="0" w:evenHBand="0" w:firstRowFirstColumn="0" w:firstRowLastColumn="0" w:lastRowFirstColumn="0" w:lastRowLastColumn="0"/>
            <w:tcW w:w="2093" w:type="dxa"/>
          </w:tcPr>
          <w:p w:rsidR="005766DB" w:rsidRPr="005766DB" w:rsidRDefault="005766DB" w:rsidP="00032B1A">
            <w:pPr>
              <w:rPr>
                <w:rStyle w:val="Strong"/>
              </w:rPr>
            </w:pPr>
            <w:r w:rsidRPr="00EA48D8">
              <w:rPr>
                <w:rStyle w:val="Strong"/>
              </w:rPr>
              <w:t xml:space="preserve">AER </w:t>
            </w:r>
            <w:r w:rsidR="00032B1A">
              <w:rPr>
                <w:rStyle w:val="Strong"/>
              </w:rPr>
              <w:t>final</w:t>
            </w:r>
            <w:r w:rsidR="00032B1A" w:rsidRPr="005766DB">
              <w:rPr>
                <w:rStyle w:val="Strong"/>
              </w:rPr>
              <w:t xml:space="preserve"> </w:t>
            </w:r>
            <w:r w:rsidRPr="005766DB">
              <w:rPr>
                <w:rStyle w:val="Strong"/>
              </w:rPr>
              <w:t>decision</w:t>
            </w:r>
          </w:p>
        </w:tc>
        <w:tc>
          <w:tcPr>
            <w:tcW w:w="1106" w:type="dxa"/>
          </w:tcPr>
          <w:p w:rsidR="005766DB" w:rsidRPr="00EA48D8" w:rsidRDefault="005766DB" w:rsidP="005766DB">
            <w:pPr>
              <w:cnfStyle w:val="000000000000" w:firstRow="0" w:lastRow="0" w:firstColumn="0" w:lastColumn="0" w:oddVBand="0" w:evenVBand="0" w:oddHBand="0" w:evenHBand="0" w:firstRowFirstColumn="0" w:firstRowLastColumn="0" w:lastRowFirstColumn="0" w:lastRowLastColumn="0"/>
            </w:pPr>
          </w:p>
        </w:tc>
        <w:tc>
          <w:tcPr>
            <w:tcW w:w="1107" w:type="dxa"/>
          </w:tcPr>
          <w:p w:rsidR="005766DB" w:rsidRPr="005766DB" w:rsidRDefault="005766DB" w:rsidP="005766DB">
            <w:pPr>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107" w:type="dxa"/>
          </w:tcPr>
          <w:p w:rsidR="005766DB" w:rsidRPr="005766DB" w:rsidRDefault="005766DB" w:rsidP="005766DB">
            <w:pPr>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106" w:type="dxa"/>
          </w:tcPr>
          <w:p w:rsidR="005766DB" w:rsidRPr="005766DB" w:rsidRDefault="005766DB" w:rsidP="005766DB">
            <w:pPr>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107" w:type="dxa"/>
          </w:tcPr>
          <w:p w:rsidR="005766DB" w:rsidRPr="005766DB" w:rsidRDefault="005766DB" w:rsidP="005766DB">
            <w:pPr>
              <w:cnfStyle w:val="000000000000" w:firstRow="0" w:lastRow="0" w:firstColumn="0" w:lastColumn="0" w:oddVBand="0" w:evenVBand="0" w:oddHBand="0" w:evenHBand="0" w:firstRowFirstColumn="0" w:firstRowLastColumn="0" w:lastRowFirstColumn="0" w:lastRowLastColumn="0"/>
              <w:rPr>
                <w:rStyle w:val="Strong"/>
              </w:rPr>
            </w:pPr>
            <w:r w:rsidRPr="00EA48D8">
              <w:t> </w:t>
            </w:r>
          </w:p>
        </w:tc>
        <w:tc>
          <w:tcPr>
            <w:tcW w:w="1107" w:type="dxa"/>
          </w:tcPr>
          <w:p w:rsidR="005766DB" w:rsidRPr="005766DB" w:rsidRDefault="005766DB" w:rsidP="005766DB">
            <w:pPr>
              <w:cnfStyle w:val="000000000000" w:firstRow="0" w:lastRow="0" w:firstColumn="0" w:lastColumn="0" w:oddVBand="0" w:evenVBand="0" w:oddHBand="0" w:evenHBand="0" w:firstRowFirstColumn="0" w:firstRowLastColumn="0" w:lastRowFirstColumn="0" w:lastRowLastColumn="0"/>
              <w:rPr>
                <w:rStyle w:val="Strong"/>
              </w:rPr>
            </w:pPr>
            <w:r w:rsidRPr="00EA48D8">
              <w:t> </w:t>
            </w:r>
          </w:p>
        </w:tc>
      </w:tr>
      <w:tr w:rsidR="0051702A" w:rsidRPr="00502306" w:rsidTr="00857186">
        <w:trPr>
          <w:cnfStyle w:val="000000010000" w:firstRow="0" w:lastRow="0" w:firstColumn="0" w:lastColumn="0" w:oddVBand="0" w:evenVBand="0" w:oddHBand="0" w:evenHBand="1"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093" w:type="dxa"/>
          </w:tcPr>
          <w:p w:rsidR="0051702A" w:rsidRPr="0051702A" w:rsidRDefault="0051702A" w:rsidP="0051702A">
            <w:r w:rsidRPr="0051702A">
              <w:t>Reference tariff</w:t>
            </w:r>
          </w:p>
        </w:tc>
        <w:tc>
          <w:tcPr>
            <w:tcW w:w="1106" w:type="dxa"/>
          </w:tcPr>
          <w:p w:rsidR="0051702A" w:rsidRPr="0051702A" w:rsidRDefault="0051702A" w:rsidP="0051702A">
            <w:pPr>
              <w:cnfStyle w:val="000000010000" w:firstRow="0" w:lastRow="0" w:firstColumn="0" w:lastColumn="0" w:oddVBand="0" w:evenVBand="0" w:oddHBand="0" w:evenHBand="1" w:firstRowFirstColumn="0" w:firstRowLastColumn="0" w:lastRowFirstColumn="0" w:lastRowLastColumn="0"/>
            </w:pPr>
            <w:r w:rsidRPr="0051702A">
              <w:t>0.7076</w:t>
            </w:r>
            <w:r w:rsidRPr="0051702A">
              <w:rPr>
                <w:rStyle w:val="AERsuperscript"/>
              </w:rPr>
              <w:t>a</w:t>
            </w:r>
          </w:p>
        </w:tc>
        <w:tc>
          <w:tcPr>
            <w:tcW w:w="1107" w:type="dxa"/>
            <w:vAlign w:val="bottom"/>
          </w:tcPr>
          <w:p w:rsidR="0051702A" w:rsidRPr="0051702A" w:rsidRDefault="0051702A" w:rsidP="0051702A">
            <w:pPr>
              <w:cnfStyle w:val="000000010000" w:firstRow="0" w:lastRow="0" w:firstColumn="0" w:lastColumn="0" w:oddVBand="0" w:evenVBand="0" w:oddHBand="0" w:evenHBand="1" w:firstRowFirstColumn="0" w:firstRowLastColumn="0" w:lastRowFirstColumn="0" w:lastRowLastColumn="0"/>
            </w:pPr>
            <w:r w:rsidRPr="0051702A">
              <w:t xml:space="preserve">      0.5959 </w:t>
            </w:r>
          </w:p>
        </w:tc>
        <w:tc>
          <w:tcPr>
            <w:tcW w:w="1107" w:type="dxa"/>
            <w:vAlign w:val="bottom"/>
          </w:tcPr>
          <w:p w:rsidR="0051702A" w:rsidRPr="0051702A" w:rsidRDefault="0051702A" w:rsidP="0051702A">
            <w:pPr>
              <w:cnfStyle w:val="000000010000" w:firstRow="0" w:lastRow="0" w:firstColumn="0" w:lastColumn="0" w:oddVBand="0" w:evenVBand="0" w:oddHBand="0" w:evenHBand="1" w:firstRowFirstColumn="0" w:firstRowLastColumn="0" w:lastRowFirstColumn="0" w:lastRowLastColumn="0"/>
            </w:pPr>
            <w:r w:rsidRPr="0051702A">
              <w:t xml:space="preserve">      0.5897 </w:t>
            </w:r>
          </w:p>
        </w:tc>
        <w:tc>
          <w:tcPr>
            <w:tcW w:w="1106" w:type="dxa"/>
            <w:vAlign w:val="bottom"/>
          </w:tcPr>
          <w:p w:rsidR="0051702A" w:rsidRPr="0051702A" w:rsidRDefault="0051702A" w:rsidP="0051702A">
            <w:pPr>
              <w:cnfStyle w:val="000000010000" w:firstRow="0" w:lastRow="0" w:firstColumn="0" w:lastColumn="0" w:oddVBand="0" w:evenVBand="0" w:oddHBand="0" w:evenHBand="1" w:firstRowFirstColumn="0" w:firstRowLastColumn="0" w:lastRowFirstColumn="0" w:lastRowLastColumn="0"/>
            </w:pPr>
            <w:r w:rsidRPr="0051702A">
              <w:t xml:space="preserve">       0.5835 </w:t>
            </w:r>
          </w:p>
        </w:tc>
        <w:tc>
          <w:tcPr>
            <w:tcW w:w="1107" w:type="dxa"/>
            <w:vAlign w:val="bottom"/>
          </w:tcPr>
          <w:p w:rsidR="0051702A" w:rsidRPr="0051702A" w:rsidRDefault="0051702A" w:rsidP="0051702A">
            <w:pPr>
              <w:cnfStyle w:val="000000010000" w:firstRow="0" w:lastRow="0" w:firstColumn="0" w:lastColumn="0" w:oddVBand="0" w:evenVBand="0" w:oddHBand="0" w:evenHBand="1" w:firstRowFirstColumn="0" w:firstRowLastColumn="0" w:lastRowFirstColumn="0" w:lastRowLastColumn="0"/>
            </w:pPr>
            <w:r w:rsidRPr="0051702A">
              <w:t xml:space="preserve">       0.5774 </w:t>
            </w:r>
          </w:p>
        </w:tc>
        <w:tc>
          <w:tcPr>
            <w:tcW w:w="1107" w:type="dxa"/>
            <w:vAlign w:val="bottom"/>
          </w:tcPr>
          <w:p w:rsidR="0051702A" w:rsidRPr="0051702A" w:rsidRDefault="0051702A" w:rsidP="0051702A">
            <w:pPr>
              <w:cnfStyle w:val="000000010000" w:firstRow="0" w:lastRow="0" w:firstColumn="0" w:lastColumn="0" w:oddVBand="0" w:evenVBand="0" w:oddHBand="0" w:evenHBand="1" w:firstRowFirstColumn="0" w:firstRowLastColumn="0" w:lastRowFirstColumn="0" w:lastRowLastColumn="0"/>
            </w:pPr>
            <w:r w:rsidRPr="0051702A">
              <w:t xml:space="preserve">        0.5714 </w:t>
            </w:r>
          </w:p>
        </w:tc>
      </w:tr>
      <w:tr w:rsidR="00DF5F09" w:rsidRPr="00502306" w:rsidTr="00857186">
        <w:trPr>
          <w:trHeight w:val="262"/>
        </w:trPr>
        <w:tc>
          <w:tcPr>
            <w:cnfStyle w:val="001000000000" w:firstRow="0" w:lastRow="0" w:firstColumn="1" w:lastColumn="0" w:oddVBand="0" w:evenVBand="0" w:oddHBand="0" w:evenHBand="0" w:firstRowFirstColumn="0" w:firstRowLastColumn="0" w:lastRowFirstColumn="0" w:lastRowLastColumn="0"/>
            <w:tcW w:w="2093" w:type="dxa"/>
          </w:tcPr>
          <w:p w:rsidR="00DF5F09" w:rsidRPr="00DF5F09" w:rsidRDefault="00DF5F09" w:rsidP="00DF5F09">
            <w:r w:rsidRPr="00DF5F09">
              <w:t>Nominal change</w:t>
            </w:r>
            <w:r w:rsidR="00F07C56" w:rsidRPr="00857186">
              <w:rPr>
                <w:rStyle w:val="AERsuperscript"/>
              </w:rPr>
              <w:t>b</w:t>
            </w:r>
          </w:p>
        </w:tc>
        <w:tc>
          <w:tcPr>
            <w:tcW w:w="1106" w:type="dxa"/>
          </w:tcPr>
          <w:p w:rsidR="00DF5F09" w:rsidRPr="00DF5F09" w:rsidRDefault="00DF5F09" w:rsidP="00DF5F09">
            <w:pPr>
              <w:cnfStyle w:val="000000000000" w:firstRow="0" w:lastRow="0" w:firstColumn="0" w:lastColumn="0" w:oddVBand="0" w:evenVBand="0" w:oddHBand="0" w:evenHBand="0" w:firstRowFirstColumn="0" w:firstRowLastColumn="0" w:lastRowFirstColumn="0" w:lastRowLastColumn="0"/>
            </w:pPr>
          </w:p>
        </w:tc>
        <w:tc>
          <w:tcPr>
            <w:tcW w:w="1107" w:type="dxa"/>
            <w:vAlign w:val="bottom"/>
          </w:tcPr>
          <w:p w:rsidR="00DF5F09" w:rsidRPr="00DF5F09" w:rsidRDefault="006602A9" w:rsidP="00DF5F09">
            <w:pPr>
              <w:cnfStyle w:val="000000000000" w:firstRow="0" w:lastRow="0" w:firstColumn="0" w:lastColumn="0" w:oddVBand="0" w:evenVBand="0" w:oddHBand="0" w:evenHBand="0" w:firstRowFirstColumn="0" w:firstRowLastColumn="0" w:lastRowFirstColumn="0" w:lastRowLastColumn="0"/>
            </w:pPr>
            <w:r>
              <w:t>–</w:t>
            </w:r>
            <w:r w:rsidR="00DF5F09" w:rsidRPr="00DF5F09">
              <w:t>15.78%</w:t>
            </w:r>
          </w:p>
        </w:tc>
        <w:tc>
          <w:tcPr>
            <w:tcW w:w="1107" w:type="dxa"/>
            <w:vAlign w:val="bottom"/>
          </w:tcPr>
          <w:p w:rsidR="00DF5F09" w:rsidRPr="00DF5F09" w:rsidRDefault="006602A9" w:rsidP="00DF5F09">
            <w:pPr>
              <w:cnfStyle w:val="000000000000" w:firstRow="0" w:lastRow="0" w:firstColumn="0" w:lastColumn="0" w:oddVBand="0" w:evenVBand="0" w:oddHBand="0" w:evenHBand="0" w:firstRowFirstColumn="0" w:firstRowLastColumn="0" w:lastRowFirstColumn="0" w:lastRowLastColumn="0"/>
            </w:pPr>
            <w:r>
              <w:t>–</w:t>
            </w:r>
            <w:r w:rsidR="00DF5F09" w:rsidRPr="00DF5F09">
              <w:t>1.05%</w:t>
            </w:r>
          </w:p>
        </w:tc>
        <w:tc>
          <w:tcPr>
            <w:tcW w:w="1106" w:type="dxa"/>
            <w:vAlign w:val="bottom"/>
          </w:tcPr>
          <w:p w:rsidR="00DF5F09" w:rsidRPr="00DF5F09" w:rsidRDefault="006602A9" w:rsidP="00DF5F09">
            <w:pPr>
              <w:cnfStyle w:val="000000000000" w:firstRow="0" w:lastRow="0" w:firstColumn="0" w:lastColumn="0" w:oddVBand="0" w:evenVBand="0" w:oddHBand="0" w:evenHBand="0" w:firstRowFirstColumn="0" w:firstRowLastColumn="0" w:lastRowFirstColumn="0" w:lastRowLastColumn="0"/>
            </w:pPr>
            <w:r>
              <w:t>–</w:t>
            </w:r>
            <w:r w:rsidR="00DF5F09" w:rsidRPr="00DF5F09">
              <w:t>1.05%</w:t>
            </w:r>
          </w:p>
        </w:tc>
        <w:tc>
          <w:tcPr>
            <w:tcW w:w="1107" w:type="dxa"/>
            <w:vAlign w:val="bottom"/>
          </w:tcPr>
          <w:p w:rsidR="00DF5F09" w:rsidRPr="00DF5F09" w:rsidRDefault="006602A9" w:rsidP="00DF5F09">
            <w:pPr>
              <w:cnfStyle w:val="000000000000" w:firstRow="0" w:lastRow="0" w:firstColumn="0" w:lastColumn="0" w:oddVBand="0" w:evenVBand="0" w:oddHBand="0" w:evenHBand="0" w:firstRowFirstColumn="0" w:firstRowLastColumn="0" w:lastRowFirstColumn="0" w:lastRowLastColumn="0"/>
            </w:pPr>
            <w:r>
              <w:t>–</w:t>
            </w:r>
            <w:r w:rsidR="00DF5F09" w:rsidRPr="00DF5F09">
              <w:t>1.05%</w:t>
            </w:r>
          </w:p>
        </w:tc>
        <w:tc>
          <w:tcPr>
            <w:tcW w:w="1107" w:type="dxa"/>
            <w:vAlign w:val="bottom"/>
          </w:tcPr>
          <w:p w:rsidR="00DF5F09" w:rsidRPr="00DF5F09" w:rsidRDefault="006602A9" w:rsidP="00DF5F09">
            <w:pPr>
              <w:cnfStyle w:val="000000000000" w:firstRow="0" w:lastRow="0" w:firstColumn="0" w:lastColumn="0" w:oddVBand="0" w:evenVBand="0" w:oddHBand="0" w:evenHBand="0" w:firstRowFirstColumn="0" w:firstRowLastColumn="0" w:lastRowFirstColumn="0" w:lastRowLastColumn="0"/>
            </w:pPr>
            <w:r>
              <w:t>–</w:t>
            </w:r>
            <w:r w:rsidR="00DF5F09" w:rsidRPr="00DF5F09">
              <w:t>1.05%</w:t>
            </w:r>
          </w:p>
        </w:tc>
      </w:tr>
      <w:tr w:rsidR="005766DB" w:rsidRPr="00502306" w:rsidTr="00572D15">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2093" w:type="dxa"/>
          </w:tcPr>
          <w:p w:rsidR="005766DB" w:rsidRPr="005766DB" w:rsidRDefault="005766DB" w:rsidP="005766DB">
            <w:pPr>
              <w:rPr>
                <w:rStyle w:val="Strong"/>
              </w:rPr>
            </w:pPr>
            <w:r w:rsidRPr="00ED0852">
              <w:rPr>
                <w:rStyle w:val="Strong"/>
              </w:rPr>
              <w:t xml:space="preserve">APTNT </w:t>
            </w:r>
            <w:r w:rsidR="00B83638">
              <w:rPr>
                <w:rStyle w:val="Strong"/>
              </w:rPr>
              <w:t xml:space="preserve">revised </w:t>
            </w:r>
            <w:r w:rsidRPr="00ED0852">
              <w:rPr>
                <w:rStyle w:val="Strong"/>
              </w:rPr>
              <w:t>proposal</w:t>
            </w:r>
          </w:p>
        </w:tc>
        <w:tc>
          <w:tcPr>
            <w:tcW w:w="1106" w:type="dxa"/>
          </w:tcPr>
          <w:p w:rsidR="005766DB" w:rsidRPr="00AE04AD" w:rsidRDefault="005766DB" w:rsidP="00AE04AD">
            <w:pPr>
              <w:cnfStyle w:val="000000010000" w:firstRow="0" w:lastRow="0" w:firstColumn="0" w:lastColumn="0" w:oddVBand="0" w:evenVBand="0" w:oddHBand="0" w:evenHBand="1" w:firstRowFirstColumn="0" w:firstRowLastColumn="0" w:lastRowFirstColumn="0" w:lastRowLastColumn="0"/>
            </w:pPr>
            <w:r w:rsidRPr="00AE04AD">
              <w:t> </w:t>
            </w:r>
          </w:p>
        </w:tc>
        <w:tc>
          <w:tcPr>
            <w:tcW w:w="1107" w:type="dxa"/>
          </w:tcPr>
          <w:p w:rsidR="005766DB" w:rsidRPr="00AE04AD" w:rsidRDefault="005766DB" w:rsidP="00AE04AD">
            <w:pPr>
              <w:cnfStyle w:val="000000010000" w:firstRow="0" w:lastRow="0" w:firstColumn="0" w:lastColumn="0" w:oddVBand="0" w:evenVBand="0" w:oddHBand="0" w:evenHBand="1" w:firstRowFirstColumn="0" w:firstRowLastColumn="0" w:lastRowFirstColumn="0" w:lastRowLastColumn="0"/>
            </w:pPr>
            <w:r w:rsidRPr="00AE04AD">
              <w:t> </w:t>
            </w:r>
          </w:p>
        </w:tc>
        <w:tc>
          <w:tcPr>
            <w:tcW w:w="1107" w:type="dxa"/>
          </w:tcPr>
          <w:p w:rsidR="005766DB" w:rsidRPr="00AE04AD" w:rsidRDefault="005766DB" w:rsidP="00AE04AD">
            <w:pPr>
              <w:cnfStyle w:val="000000010000" w:firstRow="0" w:lastRow="0" w:firstColumn="0" w:lastColumn="0" w:oddVBand="0" w:evenVBand="0" w:oddHBand="0" w:evenHBand="1" w:firstRowFirstColumn="0" w:firstRowLastColumn="0" w:lastRowFirstColumn="0" w:lastRowLastColumn="0"/>
            </w:pPr>
            <w:r w:rsidRPr="00AE04AD">
              <w:t> </w:t>
            </w:r>
          </w:p>
        </w:tc>
        <w:tc>
          <w:tcPr>
            <w:tcW w:w="1106" w:type="dxa"/>
          </w:tcPr>
          <w:p w:rsidR="005766DB" w:rsidRPr="00AE04AD" w:rsidRDefault="005766DB" w:rsidP="00AE04AD">
            <w:pPr>
              <w:cnfStyle w:val="000000010000" w:firstRow="0" w:lastRow="0" w:firstColumn="0" w:lastColumn="0" w:oddVBand="0" w:evenVBand="0" w:oddHBand="0" w:evenHBand="1" w:firstRowFirstColumn="0" w:firstRowLastColumn="0" w:lastRowFirstColumn="0" w:lastRowLastColumn="0"/>
            </w:pPr>
            <w:r w:rsidRPr="00AE04AD">
              <w:t> </w:t>
            </w:r>
          </w:p>
        </w:tc>
        <w:tc>
          <w:tcPr>
            <w:tcW w:w="1107" w:type="dxa"/>
          </w:tcPr>
          <w:p w:rsidR="005766DB" w:rsidRPr="00AE04AD" w:rsidRDefault="005766DB" w:rsidP="00AE04AD">
            <w:pPr>
              <w:cnfStyle w:val="000000010000" w:firstRow="0" w:lastRow="0" w:firstColumn="0" w:lastColumn="0" w:oddVBand="0" w:evenVBand="0" w:oddHBand="0" w:evenHBand="1" w:firstRowFirstColumn="0" w:firstRowLastColumn="0" w:lastRowFirstColumn="0" w:lastRowLastColumn="0"/>
            </w:pPr>
            <w:r w:rsidRPr="00AE04AD">
              <w:t> </w:t>
            </w:r>
          </w:p>
        </w:tc>
        <w:tc>
          <w:tcPr>
            <w:tcW w:w="1107" w:type="dxa"/>
          </w:tcPr>
          <w:p w:rsidR="005766DB" w:rsidRPr="00AE04AD" w:rsidRDefault="005766DB" w:rsidP="00AE04AD">
            <w:pPr>
              <w:cnfStyle w:val="000000010000" w:firstRow="0" w:lastRow="0" w:firstColumn="0" w:lastColumn="0" w:oddVBand="0" w:evenVBand="0" w:oddHBand="0" w:evenHBand="1" w:firstRowFirstColumn="0" w:firstRowLastColumn="0" w:lastRowFirstColumn="0" w:lastRowLastColumn="0"/>
            </w:pPr>
            <w:r w:rsidRPr="00AE04AD">
              <w:t> </w:t>
            </w:r>
          </w:p>
        </w:tc>
      </w:tr>
      <w:tr w:rsidR="005766DB" w:rsidRPr="00502306" w:rsidTr="00572D15">
        <w:trPr>
          <w:trHeight w:val="83"/>
        </w:trPr>
        <w:tc>
          <w:tcPr>
            <w:cnfStyle w:val="001000000000" w:firstRow="0" w:lastRow="0" w:firstColumn="1" w:lastColumn="0" w:oddVBand="0" w:evenVBand="0" w:oddHBand="0" w:evenHBand="0" w:firstRowFirstColumn="0" w:firstRowLastColumn="0" w:lastRowFirstColumn="0" w:lastRowLastColumn="0"/>
            <w:tcW w:w="2093" w:type="dxa"/>
          </w:tcPr>
          <w:p w:rsidR="005766DB" w:rsidRPr="005766DB" w:rsidRDefault="005766DB" w:rsidP="005766DB">
            <w:r w:rsidRPr="00ED0852">
              <w:t>Reference tariff</w:t>
            </w:r>
          </w:p>
        </w:tc>
        <w:tc>
          <w:tcPr>
            <w:tcW w:w="1106" w:type="dxa"/>
          </w:tcPr>
          <w:p w:rsidR="005766DB" w:rsidRPr="00AE04AD" w:rsidRDefault="005766DB" w:rsidP="00AE04AD">
            <w:pPr>
              <w:cnfStyle w:val="000000000000" w:firstRow="0" w:lastRow="0" w:firstColumn="0" w:lastColumn="0" w:oddVBand="0" w:evenVBand="0" w:oddHBand="0" w:evenHBand="0" w:firstRowFirstColumn="0" w:firstRowLastColumn="0" w:lastRowFirstColumn="0" w:lastRowLastColumn="0"/>
            </w:pPr>
            <w:r w:rsidRPr="00AE04AD">
              <w:t>0.7076</w:t>
            </w:r>
            <w:r w:rsidR="003E1AD5" w:rsidRPr="003E1AD5">
              <w:rPr>
                <w:rStyle w:val="AERsuperscript"/>
              </w:rPr>
              <w:t>a</w:t>
            </w:r>
          </w:p>
        </w:tc>
        <w:tc>
          <w:tcPr>
            <w:tcW w:w="1107" w:type="dxa"/>
          </w:tcPr>
          <w:p w:rsidR="005766DB" w:rsidRPr="00AE04AD" w:rsidRDefault="005766DB" w:rsidP="00AE04AD">
            <w:pPr>
              <w:cnfStyle w:val="000000000000" w:firstRow="0" w:lastRow="0" w:firstColumn="0" w:lastColumn="0" w:oddVBand="0" w:evenVBand="0" w:oddHBand="0" w:evenHBand="0" w:firstRowFirstColumn="0" w:firstRowLastColumn="0" w:lastRowFirstColumn="0" w:lastRowLastColumn="0"/>
            </w:pPr>
            <w:r w:rsidRPr="00AE04AD">
              <w:t>0</w:t>
            </w:r>
            <w:r w:rsidR="00AE04AD" w:rsidRPr="00AE04AD">
              <w:t>.6864</w:t>
            </w:r>
          </w:p>
        </w:tc>
        <w:tc>
          <w:tcPr>
            <w:tcW w:w="1107" w:type="dxa"/>
          </w:tcPr>
          <w:p w:rsidR="005766DB" w:rsidRPr="00AE04AD" w:rsidRDefault="005766DB" w:rsidP="00AE04AD">
            <w:pPr>
              <w:cnfStyle w:val="000000000000" w:firstRow="0" w:lastRow="0" w:firstColumn="0" w:lastColumn="0" w:oddVBand="0" w:evenVBand="0" w:oddHBand="0" w:evenHBand="0" w:firstRowFirstColumn="0" w:firstRowLastColumn="0" w:lastRowFirstColumn="0" w:lastRowLastColumn="0"/>
            </w:pPr>
            <w:r w:rsidRPr="00AE04AD">
              <w:t>0.</w:t>
            </w:r>
            <w:r w:rsidR="00AE04AD" w:rsidRPr="00AE04AD">
              <w:t>6911</w:t>
            </w:r>
          </w:p>
        </w:tc>
        <w:tc>
          <w:tcPr>
            <w:tcW w:w="1106" w:type="dxa"/>
          </w:tcPr>
          <w:p w:rsidR="005766DB" w:rsidRPr="00AE04AD" w:rsidRDefault="005766DB" w:rsidP="00AE04AD">
            <w:pPr>
              <w:cnfStyle w:val="000000000000" w:firstRow="0" w:lastRow="0" w:firstColumn="0" w:lastColumn="0" w:oddVBand="0" w:evenVBand="0" w:oddHBand="0" w:evenHBand="0" w:firstRowFirstColumn="0" w:firstRowLastColumn="0" w:lastRowFirstColumn="0" w:lastRowLastColumn="0"/>
            </w:pPr>
            <w:r w:rsidRPr="00AE04AD">
              <w:t>0.</w:t>
            </w:r>
            <w:r w:rsidR="00AE04AD" w:rsidRPr="00AE04AD">
              <w:t>6959</w:t>
            </w:r>
          </w:p>
        </w:tc>
        <w:tc>
          <w:tcPr>
            <w:tcW w:w="1107" w:type="dxa"/>
          </w:tcPr>
          <w:p w:rsidR="005766DB" w:rsidRPr="00AE04AD" w:rsidRDefault="005766DB" w:rsidP="00AE04AD">
            <w:pPr>
              <w:cnfStyle w:val="000000000000" w:firstRow="0" w:lastRow="0" w:firstColumn="0" w:lastColumn="0" w:oddVBand="0" w:evenVBand="0" w:oddHBand="0" w:evenHBand="0" w:firstRowFirstColumn="0" w:firstRowLastColumn="0" w:lastRowFirstColumn="0" w:lastRowLastColumn="0"/>
            </w:pPr>
            <w:r w:rsidRPr="00AE04AD">
              <w:t>0.</w:t>
            </w:r>
            <w:r w:rsidR="00AE04AD" w:rsidRPr="00AE04AD">
              <w:t>7007</w:t>
            </w:r>
          </w:p>
        </w:tc>
        <w:tc>
          <w:tcPr>
            <w:tcW w:w="1107" w:type="dxa"/>
          </w:tcPr>
          <w:p w:rsidR="005766DB" w:rsidRPr="00AE04AD" w:rsidRDefault="005766DB" w:rsidP="00AE04AD">
            <w:pPr>
              <w:cnfStyle w:val="000000000000" w:firstRow="0" w:lastRow="0" w:firstColumn="0" w:lastColumn="0" w:oddVBand="0" w:evenVBand="0" w:oddHBand="0" w:evenHBand="0" w:firstRowFirstColumn="0" w:firstRowLastColumn="0" w:lastRowFirstColumn="0" w:lastRowLastColumn="0"/>
            </w:pPr>
            <w:r w:rsidRPr="00AE04AD">
              <w:t>0.</w:t>
            </w:r>
            <w:r w:rsidR="00AE04AD" w:rsidRPr="00AE04AD">
              <w:t>7055</w:t>
            </w:r>
          </w:p>
        </w:tc>
      </w:tr>
      <w:tr w:rsidR="005766DB" w:rsidRPr="00502306" w:rsidTr="00572D15">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2093" w:type="dxa"/>
          </w:tcPr>
          <w:p w:rsidR="005766DB" w:rsidRPr="005766DB" w:rsidRDefault="005766DB" w:rsidP="006602A9">
            <w:r w:rsidRPr="00ED0852">
              <w:t>Nominal change</w:t>
            </w:r>
            <w:r w:rsidR="001A0EE5" w:rsidRPr="00857186">
              <w:rPr>
                <w:rStyle w:val="AERsuperscript"/>
              </w:rPr>
              <w:t>c</w:t>
            </w:r>
          </w:p>
        </w:tc>
        <w:tc>
          <w:tcPr>
            <w:tcW w:w="1106" w:type="dxa"/>
          </w:tcPr>
          <w:p w:rsidR="005766DB" w:rsidRPr="00AE04AD" w:rsidRDefault="005766DB" w:rsidP="00AE04AD">
            <w:pPr>
              <w:cnfStyle w:val="000000010000" w:firstRow="0" w:lastRow="0" w:firstColumn="0" w:lastColumn="0" w:oddVBand="0" w:evenVBand="0" w:oddHBand="0" w:evenHBand="1" w:firstRowFirstColumn="0" w:firstRowLastColumn="0" w:lastRowFirstColumn="0" w:lastRowLastColumn="0"/>
            </w:pPr>
            <w:r w:rsidRPr="00AE04AD">
              <w:t> </w:t>
            </w:r>
          </w:p>
        </w:tc>
        <w:tc>
          <w:tcPr>
            <w:tcW w:w="1107" w:type="dxa"/>
          </w:tcPr>
          <w:p w:rsidR="005766DB" w:rsidRPr="00AE04AD" w:rsidRDefault="005766DB" w:rsidP="00AE04AD">
            <w:pPr>
              <w:cnfStyle w:val="000000010000" w:firstRow="0" w:lastRow="0" w:firstColumn="0" w:lastColumn="0" w:oddVBand="0" w:evenVBand="0" w:oddHBand="0" w:evenHBand="1" w:firstRowFirstColumn="0" w:firstRowLastColumn="0" w:lastRowFirstColumn="0" w:lastRowLastColumn="0"/>
            </w:pPr>
            <w:r w:rsidRPr="00AE04AD">
              <w:t>–2.</w:t>
            </w:r>
            <w:r w:rsidR="00AE04AD" w:rsidRPr="00AE04AD">
              <w:t>99</w:t>
            </w:r>
            <w:r w:rsidRPr="00AE04AD">
              <w:t>%</w:t>
            </w:r>
          </w:p>
        </w:tc>
        <w:tc>
          <w:tcPr>
            <w:tcW w:w="1107" w:type="dxa"/>
          </w:tcPr>
          <w:p w:rsidR="005766DB" w:rsidRPr="00AE04AD" w:rsidRDefault="00AE04AD" w:rsidP="00AE04AD">
            <w:pPr>
              <w:cnfStyle w:val="000000010000" w:firstRow="0" w:lastRow="0" w:firstColumn="0" w:lastColumn="0" w:oddVBand="0" w:evenVBand="0" w:oddHBand="0" w:evenHBand="1" w:firstRowFirstColumn="0" w:firstRowLastColumn="0" w:lastRowFirstColumn="0" w:lastRowLastColumn="0"/>
            </w:pPr>
            <w:r w:rsidRPr="00AE04AD">
              <w:t>0.69</w:t>
            </w:r>
            <w:r w:rsidR="005766DB" w:rsidRPr="00AE04AD">
              <w:t>%</w:t>
            </w:r>
          </w:p>
        </w:tc>
        <w:tc>
          <w:tcPr>
            <w:tcW w:w="1106" w:type="dxa"/>
          </w:tcPr>
          <w:p w:rsidR="005766DB" w:rsidRPr="00AE04AD" w:rsidRDefault="00AE04AD" w:rsidP="00AE04AD">
            <w:pPr>
              <w:cnfStyle w:val="000000010000" w:firstRow="0" w:lastRow="0" w:firstColumn="0" w:lastColumn="0" w:oddVBand="0" w:evenVBand="0" w:oddHBand="0" w:evenHBand="1" w:firstRowFirstColumn="0" w:firstRowLastColumn="0" w:lastRowFirstColumn="0" w:lastRowLastColumn="0"/>
            </w:pPr>
            <w:r w:rsidRPr="00AE04AD">
              <w:t>0.69%</w:t>
            </w:r>
          </w:p>
        </w:tc>
        <w:tc>
          <w:tcPr>
            <w:tcW w:w="1107" w:type="dxa"/>
          </w:tcPr>
          <w:p w:rsidR="005766DB" w:rsidRPr="00AE04AD" w:rsidRDefault="00AE04AD" w:rsidP="00AE04AD">
            <w:pPr>
              <w:cnfStyle w:val="000000010000" w:firstRow="0" w:lastRow="0" w:firstColumn="0" w:lastColumn="0" w:oddVBand="0" w:evenVBand="0" w:oddHBand="0" w:evenHBand="1" w:firstRowFirstColumn="0" w:firstRowLastColumn="0" w:lastRowFirstColumn="0" w:lastRowLastColumn="0"/>
            </w:pPr>
            <w:r w:rsidRPr="00AE04AD">
              <w:t>0.69%</w:t>
            </w:r>
          </w:p>
        </w:tc>
        <w:tc>
          <w:tcPr>
            <w:tcW w:w="1107" w:type="dxa"/>
          </w:tcPr>
          <w:p w:rsidR="005766DB" w:rsidRPr="00AE04AD" w:rsidRDefault="00AE04AD" w:rsidP="00AE04AD">
            <w:pPr>
              <w:cnfStyle w:val="000000010000" w:firstRow="0" w:lastRow="0" w:firstColumn="0" w:lastColumn="0" w:oddVBand="0" w:evenVBand="0" w:oddHBand="0" w:evenHBand="1" w:firstRowFirstColumn="0" w:firstRowLastColumn="0" w:lastRowFirstColumn="0" w:lastRowLastColumn="0"/>
            </w:pPr>
            <w:r w:rsidRPr="00AE04AD">
              <w:t>0.69%</w:t>
            </w:r>
          </w:p>
        </w:tc>
      </w:tr>
    </w:tbl>
    <w:p w:rsidR="005766DB" w:rsidRDefault="005766DB" w:rsidP="00E4223F">
      <w:pPr>
        <w:pStyle w:val="AERtablesource"/>
      </w:pPr>
      <w:r w:rsidRPr="005766DB">
        <w:rPr>
          <w:rFonts w:eastAsia="Calibri"/>
        </w:rPr>
        <w:t xml:space="preserve">Source: </w:t>
      </w:r>
      <w:r w:rsidRPr="005766DB">
        <w:rPr>
          <w:rFonts w:eastAsia="Calibri"/>
        </w:rPr>
        <w:tab/>
      </w:r>
      <w:r w:rsidRPr="00E4223F">
        <w:rPr>
          <w:rStyle w:val="AERtexthighlight"/>
          <w:rFonts w:eastAsia="Calibri"/>
          <w:shd w:val="clear" w:color="auto" w:fill="auto"/>
        </w:rPr>
        <w:t xml:space="preserve">APTNT, </w:t>
      </w:r>
      <w:r w:rsidR="00E4223F" w:rsidRPr="00E4223F">
        <w:rPr>
          <w:rStyle w:val="AERtextitalic"/>
          <w:rFonts w:eastAsia="Calibri"/>
        </w:rPr>
        <w:t>Revised p</w:t>
      </w:r>
      <w:r w:rsidRPr="00E4223F">
        <w:rPr>
          <w:rStyle w:val="AERtextitalic"/>
          <w:rFonts w:eastAsia="Calibri"/>
        </w:rPr>
        <w:t>roposed PTRM</w:t>
      </w:r>
      <w:r w:rsidRPr="00E4223F">
        <w:rPr>
          <w:rStyle w:val="AERtexthighlight"/>
          <w:rFonts w:eastAsia="Calibri"/>
          <w:shd w:val="clear" w:color="auto" w:fill="auto"/>
        </w:rPr>
        <w:t xml:space="preserve">, </w:t>
      </w:r>
      <w:r w:rsidR="00E916F5" w:rsidRPr="00E4223F">
        <w:rPr>
          <w:rStyle w:val="AERtexthighlight"/>
          <w:rFonts w:eastAsia="Calibri"/>
          <w:shd w:val="clear" w:color="auto" w:fill="auto"/>
        </w:rPr>
        <w:t>January 2016</w:t>
      </w:r>
      <w:r w:rsidRPr="00E4223F">
        <w:rPr>
          <w:rFonts w:eastAsia="Calibri"/>
        </w:rPr>
        <w:t xml:space="preserve">; </w:t>
      </w:r>
      <w:r w:rsidRPr="00E4223F">
        <w:t>AER</w:t>
      </w:r>
      <w:r w:rsidRPr="00EF51EE">
        <w:t xml:space="preserve"> analysis</w:t>
      </w:r>
      <w:r>
        <w:t>.</w:t>
      </w:r>
    </w:p>
    <w:p w:rsidR="00B97C1B" w:rsidRDefault="005766DB" w:rsidP="005766DB">
      <w:pPr>
        <w:pStyle w:val="AERtablesource"/>
      </w:pPr>
      <w:r>
        <w:t>(a)</w:t>
      </w:r>
      <w:r>
        <w:tab/>
      </w:r>
      <w:r w:rsidRPr="005766DB">
        <w:t xml:space="preserve">Approved reference tariff for 2015–16 (see: AER, </w:t>
      </w:r>
      <w:r w:rsidRPr="005766DB">
        <w:rPr>
          <w:rStyle w:val="AERtextitalic"/>
        </w:rPr>
        <w:t>Approval letter: Amadeus Pipeline annual tariff variation 2015–16</w:t>
      </w:r>
      <w:r w:rsidRPr="005766DB">
        <w:t>, 20 May 2015).</w:t>
      </w:r>
      <w:r w:rsidR="00B97C1B">
        <w:t xml:space="preserve"> </w:t>
      </w:r>
    </w:p>
    <w:p w:rsidR="001A0EE5" w:rsidRPr="00E17A92" w:rsidRDefault="00B97C1B" w:rsidP="006602A9">
      <w:pPr>
        <w:pStyle w:val="AERtablesource"/>
        <w:rPr>
          <w:rStyle w:val="AERtexthighlight"/>
          <w:shd w:val="clear" w:color="auto" w:fill="auto"/>
        </w:rPr>
      </w:pPr>
      <w:r w:rsidRPr="006602A9">
        <w:rPr>
          <w:rStyle w:val="AERtexthighlight"/>
          <w:shd w:val="clear" w:color="auto" w:fill="auto"/>
        </w:rPr>
        <w:t>(</w:t>
      </w:r>
      <w:r w:rsidRPr="00291E32">
        <w:rPr>
          <w:rStyle w:val="AERtexthighlight"/>
          <w:shd w:val="clear" w:color="auto" w:fill="auto"/>
        </w:rPr>
        <w:t>b)</w:t>
      </w:r>
      <w:r w:rsidRPr="00291E32">
        <w:rPr>
          <w:rStyle w:val="AERtexthighlight"/>
          <w:shd w:val="clear" w:color="auto" w:fill="auto"/>
        </w:rPr>
        <w:tab/>
        <w:t>Reflecting a</w:t>
      </w:r>
      <w:r w:rsidR="006602A9" w:rsidRPr="009D1838">
        <w:rPr>
          <w:rStyle w:val="AERtexthighlight"/>
          <w:shd w:val="clear" w:color="auto" w:fill="auto"/>
        </w:rPr>
        <w:t>n inflation</w:t>
      </w:r>
      <w:r w:rsidRPr="00291E32">
        <w:rPr>
          <w:rStyle w:val="AERtexthighlight"/>
          <w:shd w:val="clear" w:color="auto" w:fill="auto"/>
        </w:rPr>
        <w:t xml:space="preserve"> forecast of 2.39 per cent.</w:t>
      </w:r>
      <w:r w:rsidR="001A0EE5" w:rsidRPr="009D1838">
        <w:rPr>
          <w:rStyle w:val="AERtexthighlight"/>
          <w:shd w:val="clear" w:color="auto" w:fill="auto"/>
        </w:rPr>
        <w:t xml:space="preserve"> </w:t>
      </w:r>
    </w:p>
    <w:p w:rsidR="005766DB" w:rsidRPr="001A0EE5" w:rsidRDefault="001A0EE5" w:rsidP="001A0EE5">
      <w:pPr>
        <w:pStyle w:val="AERtablesource"/>
        <w:rPr>
          <w:rStyle w:val="AERtexthighlight"/>
          <w:shd w:val="clear" w:color="auto" w:fill="auto"/>
        </w:rPr>
      </w:pPr>
      <w:r w:rsidRPr="001A0EE5">
        <w:rPr>
          <w:rStyle w:val="AERtexthighlight"/>
          <w:shd w:val="clear" w:color="auto" w:fill="auto"/>
        </w:rPr>
        <w:t>(c)</w:t>
      </w:r>
      <w:r w:rsidRPr="001A0EE5">
        <w:rPr>
          <w:rStyle w:val="AERtexthighlight"/>
          <w:shd w:val="clear" w:color="auto" w:fill="auto"/>
        </w:rPr>
        <w:tab/>
        <w:t>Reflecting APTNT's revised proposed CPI forecast of 2.5 per cent.</w:t>
      </w:r>
    </w:p>
    <w:p w:rsidR="005766DB" w:rsidRPr="00B83638" w:rsidRDefault="00F075FF" w:rsidP="00F075FF">
      <w:pPr>
        <w:rPr>
          <w:rStyle w:val="AERtexthighlight"/>
        </w:rPr>
      </w:pPr>
      <w:r>
        <w:t xml:space="preserve">The tariff path in </w:t>
      </w:r>
      <w:r w:rsidR="005766DB" w:rsidRPr="00E4223F">
        <w:t xml:space="preserve">APTNT’s </w:t>
      </w:r>
      <w:r w:rsidR="00572D15" w:rsidRPr="00E4223F">
        <w:t xml:space="preserve">revised </w:t>
      </w:r>
      <w:r w:rsidR="005766DB" w:rsidRPr="00E4223F">
        <w:t>propos</w:t>
      </w:r>
      <w:r>
        <w:t xml:space="preserve">al was </w:t>
      </w:r>
      <w:r w:rsidR="005766DB" w:rsidRPr="00E4223F">
        <w:t xml:space="preserve">a decrease of </w:t>
      </w:r>
      <w:r w:rsidR="00C902BB" w:rsidRPr="00E4223F">
        <w:t>3.0</w:t>
      </w:r>
      <w:r w:rsidR="005766DB" w:rsidRPr="00E4223F">
        <w:t xml:space="preserve"> per cent in tariffs (in nominal terms) in 2016–17, followed by an increase of </w:t>
      </w:r>
      <w:r w:rsidR="00C902BB" w:rsidRPr="00E4223F">
        <w:t>0.7</w:t>
      </w:r>
      <w:r w:rsidR="005766DB" w:rsidRPr="00E4223F">
        <w:t xml:space="preserve"> per cent for each subsequent year of the 2016–21 access arrangement period. </w:t>
      </w:r>
      <w:r>
        <w:t>Because o</w:t>
      </w:r>
      <w:r w:rsidR="005766DB" w:rsidRPr="00E4223F">
        <w:t xml:space="preserve">ur </w:t>
      </w:r>
      <w:r w:rsidR="00513106" w:rsidRPr="00E4223F">
        <w:t>final</w:t>
      </w:r>
      <w:r w:rsidR="005766DB" w:rsidRPr="00E4223F">
        <w:t xml:space="preserve"> decision provides for lower total smoothed </w:t>
      </w:r>
      <w:r>
        <w:t xml:space="preserve">and unsmoothed </w:t>
      </w:r>
      <w:r w:rsidR="005766DB" w:rsidRPr="00E4223F">
        <w:t xml:space="preserve">revenue than APTNT's </w:t>
      </w:r>
      <w:r w:rsidR="00572D15" w:rsidRPr="00E4223F">
        <w:t xml:space="preserve">revised </w:t>
      </w:r>
      <w:r w:rsidR="005766DB" w:rsidRPr="00E4223F">
        <w:t xml:space="preserve">proposal, a decrease to the tariff path is required over the 2016–21 access arrangement period to reflect the </w:t>
      </w:r>
      <w:r>
        <w:t>change in revenue from</w:t>
      </w:r>
      <w:r w:rsidR="005766DB" w:rsidRPr="00E4223F">
        <w:t xml:space="preserve"> the 2011–16 access arrangement period. Our </w:t>
      </w:r>
      <w:r w:rsidR="00513106" w:rsidRPr="00F075FF">
        <w:t>final</w:t>
      </w:r>
      <w:r w:rsidR="005766DB" w:rsidRPr="00857186">
        <w:t xml:space="preserve"> </w:t>
      </w:r>
      <w:r w:rsidR="005766DB" w:rsidRPr="00F075FF">
        <w:t>d</w:t>
      </w:r>
      <w:r w:rsidR="005766DB" w:rsidRPr="00E4223F">
        <w:t xml:space="preserve">ecision tariff path </w:t>
      </w:r>
      <w:r>
        <w:t xml:space="preserve">therefore </w:t>
      </w:r>
      <w:r w:rsidR="005766DB" w:rsidRPr="00E4223F">
        <w:t xml:space="preserve">shows a decrease of </w:t>
      </w:r>
      <w:r w:rsidR="001A0EE5">
        <w:t>15.8</w:t>
      </w:r>
      <w:r w:rsidR="00C902BB" w:rsidRPr="00E4223F">
        <w:t xml:space="preserve"> </w:t>
      </w:r>
      <w:r w:rsidR="005766DB" w:rsidRPr="00E4223F">
        <w:t xml:space="preserve">per cent in tariffs (in nominal terms) in 2016–17 and a further decrease of </w:t>
      </w:r>
      <w:r w:rsidR="001A0EE5">
        <w:t>1.0</w:t>
      </w:r>
      <w:r w:rsidR="00C902BB" w:rsidRPr="00E4223F">
        <w:t xml:space="preserve"> </w:t>
      </w:r>
      <w:r w:rsidR="005766DB" w:rsidRPr="00E4223F">
        <w:t>per cent for each subsequent year of the 2016–</w:t>
      </w:r>
      <w:r w:rsidR="00B83638" w:rsidRPr="00E4223F">
        <w:t>21</w:t>
      </w:r>
      <w:r w:rsidR="005766DB" w:rsidRPr="00E4223F">
        <w:t xml:space="preserve"> access arrangement period.</w:t>
      </w:r>
    </w:p>
    <w:p w:rsidR="005766DB" w:rsidRPr="00E4223F" w:rsidRDefault="005766DB" w:rsidP="00E4223F">
      <w:r w:rsidRPr="00E4223F">
        <w:t xml:space="preserve">In </w:t>
      </w:r>
      <w:r w:rsidR="00F075FF">
        <w:t>determining an appropriate</w:t>
      </w:r>
      <w:r w:rsidRPr="00E4223F">
        <w:t xml:space="preserve"> smoothing profile for this </w:t>
      </w:r>
      <w:r w:rsidR="000B15BF" w:rsidRPr="00E4223F">
        <w:t xml:space="preserve">final </w:t>
      </w:r>
      <w:r w:rsidRPr="00E4223F">
        <w:t>decision we have balanced a number of competing objectives:</w:t>
      </w:r>
    </w:p>
    <w:p w:rsidR="005766DB" w:rsidRPr="00E4223F" w:rsidRDefault="005766DB" w:rsidP="00E4223F">
      <w:pPr>
        <w:pStyle w:val="AERbulletlistfirststyle"/>
      </w:pPr>
      <w:r w:rsidRPr="00E4223F">
        <w:t xml:space="preserve">Equalising (in NPV terms) unsmoothed and smoothed revenue </w:t>
      </w:r>
    </w:p>
    <w:p w:rsidR="005766DB" w:rsidRPr="00E4223F" w:rsidRDefault="005766DB" w:rsidP="00E4223F">
      <w:pPr>
        <w:pStyle w:val="AERbulletlistfirststyle"/>
      </w:pPr>
      <w:r w:rsidRPr="00E4223F">
        <w:t>Providing price signals</w:t>
      </w:r>
      <w:r w:rsidR="00F075FF">
        <w:t xml:space="preserve"> through reference tariffs</w:t>
      </w:r>
      <w:r w:rsidRPr="00E4223F">
        <w:t xml:space="preserve"> that reflect the underlying efficient costs</w:t>
      </w:r>
    </w:p>
    <w:p w:rsidR="005766DB" w:rsidRPr="00E4223F" w:rsidRDefault="005766DB" w:rsidP="00E4223F">
      <w:pPr>
        <w:pStyle w:val="AERbulletlistfirststyle"/>
      </w:pPr>
      <w:r w:rsidRPr="00E4223F">
        <w:t>Minimising variability in tariffs in 2015–16 and within the 2016–21 access arrangement period</w:t>
      </w:r>
    </w:p>
    <w:p w:rsidR="005766DB" w:rsidRPr="00E4223F" w:rsidRDefault="005766DB" w:rsidP="00E4223F">
      <w:pPr>
        <w:pStyle w:val="AERbulletlistfirststyle"/>
      </w:pPr>
      <w:r w:rsidRPr="00E4223F">
        <w:t>Minimising the likelihood of variability in tariffs at the start of the 2021–26 access arrangement period.</w:t>
      </w:r>
    </w:p>
    <w:p w:rsidR="005766DB" w:rsidRPr="00E4223F" w:rsidRDefault="005766DB" w:rsidP="00E4223F">
      <w:r w:rsidRPr="00E4223F">
        <w:t>Each of these points is discussed in turn.</w:t>
      </w:r>
    </w:p>
    <w:p w:rsidR="005766DB" w:rsidRPr="00B83638" w:rsidRDefault="005766DB" w:rsidP="00E4223F">
      <w:pPr>
        <w:rPr>
          <w:rStyle w:val="AERtexthighlight"/>
        </w:rPr>
      </w:pPr>
      <w:r w:rsidRPr="00E4223F">
        <w:t xml:space="preserve">First, we are satisfied that our </w:t>
      </w:r>
      <w:r w:rsidR="000B15BF" w:rsidRPr="00E4223F">
        <w:t xml:space="preserve">final </w:t>
      </w:r>
      <w:r w:rsidRPr="00E4223F">
        <w:t>decision tariff path for APTNT's 2016–21 access arrangement period achieves revenue equalisation as required by rule 92(2) of the NGR.</w:t>
      </w:r>
      <w:r w:rsidRPr="00B83638">
        <w:rPr>
          <w:rStyle w:val="FootnoteReference"/>
        </w:rPr>
        <w:footnoteReference w:id="16"/>
      </w:r>
      <w:r w:rsidRPr="00E4223F">
        <w:t xml:space="preserve"> As set out above, we have made substantial reductions to the unsmoothed revenue proposed by APTNT.  Accordingly, we set the tariff path so that it adjusts the smoothed revenue downward to better reflect the unsmoothed building block costs. </w:t>
      </w:r>
    </w:p>
    <w:p w:rsidR="005766DB" w:rsidRPr="00B83638" w:rsidRDefault="005766DB" w:rsidP="00E4223F">
      <w:pPr>
        <w:rPr>
          <w:rStyle w:val="AERtexthighlight"/>
        </w:rPr>
      </w:pPr>
      <w:r w:rsidRPr="00E4223F">
        <w:t>Second, but closely related to the first point, our smoothing allows closer alignment of tariffs and costs. This aids the achievement of the NGO and the revenue and pricing principles, including through providing a price signal that facilitates efficient use of natural gas services.</w:t>
      </w:r>
      <w:r w:rsidRPr="00B83638">
        <w:rPr>
          <w:rStyle w:val="FootnoteReference"/>
        </w:rPr>
        <w:footnoteReference w:id="17"/>
      </w:r>
      <w:r w:rsidRPr="00E4223F">
        <w:t xml:space="preserve"> Our </w:t>
      </w:r>
      <w:r w:rsidR="000B15BF" w:rsidRPr="00E4223F">
        <w:t xml:space="preserve">final </w:t>
      </w:r>
      <w:r w:rsidRPr="00E4223F">
        <w:t>decision tariff path shows a large decrease in the first year of the 2016–21 access arrangement period reflecting the lower unsmoothed building block costs.</w:t>
      </w:r>
      <w:r w:rsidRPr="00B83638">
        <w:rPr>
          <w:rStyle w:val="AERtexthighlight"/>
        </w:rPr>
        <w:t xml:space="preserve"> </w:t>
      </w:r>
    </w:p>
    <w:p w:rsidR="005766DB" w:rsidRPr="00E4223F" w:rsidRDefault="005766DB" w:rsidP="00E4223F">
      <w:r w:rsidRPr="00E4223F">
        <w:t xml:space="preserve">Third, in setting the tariff path, we aim to minimise tariff volatility in 2015–16 and within the 2016–21 access arrangement period. Our chosen tariff path reflects this objective, but also reflects the consideration we must give to other competing objectives. For instance, setting a flat tariff path from 2015–16 would better minimise within-period volatility, but would not achieve revenue equalisation. </w:t>
      </w:r>
    </w:p>
    <w:p w:rsidR="005766DB" w:rsidRPr="00E4223F" w:rsidRDefault="005766DB" w:rsidP="00E4223F">
      <w:r w:rsidRPr="00E4223F">
        <w:t xml:space="preserve">Fourth, in setting the tariff path, we also aim to minimise the likelihood of tariff volatility between this access arrangement period and the next. We do not know what APTNT's efficient costs will be in 2021–22, or across the 2021–26 access arrangement period more generally. The unsmoothed building block costs for 2020–21 (the last year of the 2016–21 access arrangement period) are the best available proxy. Hence, this objective requires minimising the divergence between the smoothed and unsmoothed revenues for the last year of the access arrangement period—for APTNT, this is 2020–21. If there were no significant changes in forecast costs from 2020–21 to 2021–22, this final year divergence gives us an estimate of the size of the tariff change at the start of the 2021–26 access arrangement period. For this </w:t>
      </w:r>
      <w:r w:rsidR="000B15BF" w:rsidRPr="00E4223F">
        <w:t xml:space="preserve">final </w:t>
      </w:r>
      <w:r w:rsidRPr="00E4223F">
        <w:t>decision, this final year divergence is 3 per cent, which is consistent with our usual target. We note that if there are significant changes in costs at the start of the 2021–26 access arrangement period, this might increase or decrease the required tariff change at that time.</w:t>
      </w:r>
    </w:p>
    <w:p w:rsidR="005766DB" w:rsidRPr="00E4223F" w:rsidRDefault="005766DB" w:rsidP="00E4223F">
      <w:r w:rsidRPr="00E4223F">
        <w:t xml:space="preserve">We are satisfied that our </w:t>
      </w:r>
      <w:r w:rsidR="000B15BF" w:rsidRPr="00E4223F">
        <w:t xml:space="preserve">final </w:t>
      </w:r>
      <w:r w:rsidRPr="00E4223F">
        <w:t xml:space="preserve">decision tariff path reflects our balanced consideration of these competing objectives. </w:t>
      </w:r>
    </w:p>
    <w:p w:rsidR="005766DB" w:rsidRDefault="005766DB" w:rsidP="005766DB">
      <w:pPr>
        <w:pStyle w:val="Heading1"/>
      </w:pPr>
      <w:bookmarkStart w:id="56" w:name="_Ref435706840"/>
      <w:bookmarkStart w:id="57" w:name="_Toc436046180"/>
      <w:bookmarkStart w:id="58" w:name="_Toc451873625"/>
      <w:r>
        <w:t>Key elements of decision on APTNT’s revenue</w:t>
      </w:r>
      <w:bookmarkEnd w:id="37"/>
      <w:bookmarkEnd w:id="38"/>
      <w:bookmarkEnd w:id="56"/>
      <w:bookmarkEnd w:id="57"/>
      <w:bookmarkEnd w:id="58"/>
    </w:p>
    <w:p w:rsidR="005766DB" w:rsidRDefault="005766DB" w:rsidP="005766DB">
      <w:r>
        <w:t>The components of our decision include the building blocks we use to determine the revenue APTNT may recover from its customers.</w:t>
      </w:r>
    </w:p>
    <w:p w:rsidR="005766DB" w:rsidRDefault="005766DB" w:rsidP="005766DB">
      <w:r>
        <w:t>In setting our overall total revenue requirement for APTNT of $</w:t>
      </w:r>
      <w:r w:rsidR="00281E05">
        <w:t>113.1</w:t>
      </w:r>
      <w:r>
        <w:t xml:space="preserve"> million ($nominal, unsmoothed) for the 2016–21 access arrangement period we:</w:t>
      </w:r>
    </w:p>
    <w:p w:rsidR="005766DB" w:rsidRDefault="005766DB" w:rsidP="005766DB">
      <w:pPr>
        <w:pStyle w:val="AERbulletlistfirststyle"/>
      </w:pPr>
      <w:r>
        <w:t>apply relevant tests under the NGR, the assessment methods and tools developed as part of our Better Regulation guidelines.</w:t>
      </w:r>
      <w:r>
        <w:rPr>
          <w:rStyle w:val="FootnoteReference"/>
        </w:rPr>
        <w:footnoteReference w:id="18"/>
      </w:r>
      <w:r>
        <w:t xml:space="preserve"> We considered information provided by APTNT, consultants and stakeholder submissions.</w:t>
      </w:r>
    </w:p>
    <w:p w:rsidR="005766DB" w:rsidRDefault="005766DB" w:rsidP="005766DB">
      <w:pPr>
        <w:pStyle w:val="AERbulletlistfirststyle"/>
      </w:pPr>
      <w:r>
        <w:t xml:space="preserve">consider our overall revenue decision against section 23 of the NGL, including the individual components and relationships we discuss in section </w:t>
      </w:r>
      <w:r>
        <w:fldChar w:fldCharType="begin"/>
      </w:r>
      <w:r>
        <w:instrText xml:space="preserve"> REF _Ref433965644 \r \h </w:instrText>
      </w:r>
      <w:r>
        <w:fldChar w:fldCharType="separate"/>
      </w:r>
      <w:r w:rsidR="009F7892">
        <w:t>7</w:t>
      </w:r>
      <w:r>
        <w:fldChar w:fldCharType="end"/>
      </w:r>
      <w:r>
        <w:t>.</w:t>
      </w:r>
    </w:p>
    <w:p w:rsidR="005766DB" w:rsidRDefault="005766DB" w:rsidP="005766DB">
      <w:r>
        <w:t xml:space="preserve">The following section summarises our decision by building block and provides a summary of our reasons and analysis. The attachments to this </w:t>
      </w:r>
      <w:r w:rsidR="000B15BF">
        <w:t xml:space="preserve">final </w:t>
      </w:r>
      <w:r>
        <w:t>decision provide the detailed explanation of our analysis and findings.</w:t>
      </w:r>
    </w:p>
    <w:p w:rsidR="005766DB" w:rsidRDefault="005766DB" w:rsidP="005766DB">
      <w:pPr>
        <w:pStyle w:val="Heading2"/>
      </w:pPr>
      <w:bookmarkStart w:id="59" w:name="_Toc430002789"/>
      <w:bookmarkStart w:id="60" w:name="_Ref433617846"/>
      <w:bookmarkStart w:id="61" w:name="_Toc436046181"/>
      <w:bookmarkStart w:id="62" w:name="_Ref449527447"/>
      <w:bookmarkStart w:id="63" w:name="_Toc451873626"/>
      <w:r>
        <w:t>Capital base</w:t>
      </w:r>
      <w:bookmarkEnd w:id="59"/>
      <w:bookmarkEnd w:id="60"/>
      <w:bookmarkEnd w:id="61"/>
      <w:bookmarkEnd w:id="62"/>
      <w:bookmarkEnd w:id="63"/>
    </w:p>
    <w:p w:rsidR="005766DB" w:rsidRDefault="005766DB" w:rsidP="005766DB">
      <w:r>
        <w:t>We are</w:t>
      </w:r>
      <w:r w:rsidRPr="00B61433">
        <w:t xml:space="preserve"> required to make a decision on </w:t>
      </w:r>
      <w:r>
        <w:t>APTNT's</w:t>
      </w:r>
      <w:r w:rsidRPr="00B61433">
        <w:t xml:space="preserve"> opening</w:t>
      </w:r>
      <w:r>
        <w:t xml:space="preserve"> capital base as at 1 July 2016 for the 2016–21 access arrangement period. We are also required to make a decision</w:t>
      </w:r>
      <w:r w:rsidRPr="00B61433">
        <w:t xml:space="preserve"> </w:t>
      </w:r>
      <w:r>
        <w:t>on APTNT's projected capital base for</w:t>
      </w:r>
      <w:r w:rsidRPr="00B61433">
        <w:t xml:space="preserve"> the </w:t>
      </w:r>
      <w:r>
        <w:t>2016–21 access arrangement period.</w:t>
      </w:r>
      <w:r w:rsidRPr="00B61433">
        <w:t xml:space="preserve"> </w:t>
      </w:r>
    </w:p>
    <w:p w:rsidR="005766DB" w:rsidRPr="00255314" w:rsidRDefault="005766DB" w:rsidP="005766DB">
      <w:r>
        <w:t xml:space="preserve">The capital base roll forward accounts for the value of APTNT's regulated assets over the access arrangement period. </w:t>
      </w:r>
      <w:r w:rsidRPr="00255314">
        <w:t xml:space="preserve">The </w:t>
      </w:r>
      <w:r>
        <w:t>level of the capital base</w:t>
      </w:r>
      <w:r w:rsidRPr="00255314">
        <w:t xml:space="preserve"> </w:t>
      </w:r>
      <w:r>
        <w:t xml:space="preserve">substantially impacts the service provider's revenue and the price that users ultimately pay. It </w:t>
      </w:r>
      <w:r w:rsidRPr="00255314">
        <w:t>is an input into the determination of the return on capital and depreciation (return of capital).</w:t>
      </w:r>
      <w:r w:rsidRPr="00255314">
        <w:rPr>
          <w:rStyle w:val="FootnoteReference"/>
        </w:rPr>
        <w:footnoteReference w:id="19"/>
      </w:r>
      <w:r w:rsidRPr="00255314">
        <w:t xml:space="preserve"> Other things being equal, a higher </w:t>
      </w:r>
      <w:r>
        <w:t>capital base</w:t>
      </w:r>
      <w:r w:rsidRPr="00255314">
        <w:t xml:space="preserve"> increases both the return on capital and depreciation allowances</w:t>
      </w:r>
      <w:r>
        <w:t>. In turn, it increases the service provider's revenue, and prices for its services</w:t>
      </w:r>
      <w:r w:rsidRPr="00255314">
        <w:t>.</w:t>
      </w:r>
    </w:p>
    <w:p w:rsidR="00EB65C6" w:rsidRDefault="00EF562B" w:rsidP="00EB65C6">
      <w:bookmarkStart w:id="64" w:name="_Toc430002790"/>
      <w:bookmarkStart w:id="65" w:name="_Ref433367669"/>
      <w:bookmarkStart w:id="66" w:name="_Ref433619827"/>
      <w:r>
        <w:t>We determine an opening capital base value of $</w:t>
      </w:r>
      <w:r w:rsidR="00EB65C6">
        <w:t>11</w:t>
      </w:r>
      <w:r w:rsidR="004D68DC">
        <w:t>5.8</w:t>
      </w:r>
      <w:r>
        <w:t xml:space="preserve"> million ($nominal) as at 1 July 2016 for APTNT. </w:t>
      </w:r>
      <w:r w:rsidR="00EB65C6">
        <w:t>This amount is $</w:t>
      </w:r>
      <w:r w:rsidR="004D68DC">
        <w:t>3.7</w:t>
      </w:r>
      <w:r w:rsidR="00EB65C6">
        <w:t xml:space="preserve"> million (or </w:t>
      </w:r>
      <w:r w:rsidR="004D68DC">
        <w:t>3.1</w:t>
      </w:r>
      <w:r w:rsidR="00EB65C6">
        <w:t xml:space="preserve"> per cent) lower than APTNT's revised value of $119.5 million. This is because:</w:t>
      </w:r>
    </w:p>
    <w:p w:rsidR="00EB65C6" w:rsidRDefault="00EB65C6" w:rsidP="00EB65C6">
      <w:pPr>
        <w:pStyle w:val="AERbulletlistfirststyle"/>
      </w:pPr>
      <w:r>
        <w:t>We updated the inflation input for 2015–16 using actual March 2015 consumer price index (CPI) published by the Australian Bureau of Statistics.</w:t>
      </w:r>
      <w:r>
        <w:rPr>
          <w:rStyle w:val="FootnoteReference"/>
        </w:rPr>
        <w:footnoteReference w:id="20"/>
      </w:r>
    </w:p>
    <w:p w:rsidR="00EB65C6" w:rsidRDefault="00EB65C6" w:rsidP="00EB65C6">
      <w:pPr>
        <w:pStyle w:val="AERbulletlistfirststyle"/>
      </w:pPr>
      <w:r>
        <w:t>We amended the conforming capex estimate for 2015–16.</w:t>
      </w:r>
    </w:p>
    <w:p w:rsidR="00EF562B" w:rsidRPr="000D15C2" w:rsidRDefault="00EF562B" w:rsidP="00EB65C6">
      <w:r>
        <w:fldChar w:fldCharType="begin"/>
      </w:r>
      <w:r>
        <w:instrText xml:space="preserve"> REF _Ref447526356 \h </w:instrText>
      </w:r>
      <w:r>
        <w:fldChar w:fldCharType="separate"/>
      </w:r>
      <w:r w:rsidR="009F7892">
        <w:t xml:space="preserve">Table </w:t>
      </w:r>
      <w:r w:rsidR="009F7892">
        <w:rPr>
          <w:noProof/>
        </w:rPr>
        <w:t>4</w:t>
      </w:r>
      <w:r>
        <w:fldChar w:fldCharType="end"/>
      </w:r>
      <w:r>
        <w:t xml:space="preserve"> </w:t>
      </w:r>
      <w:r w:rsidRPr="00F73C2D">
        <w:t xml:space="preserve">summarises </w:t>
      </w:r>
      <w:r>
        <w:t>our</w:t>
      </w:r>
      <w:r w:rsidRPr="00F73C2D">
        <w:t xml:space="preserve"> </w:t>
      </w:r>
      <w:r>
        <w:t>final</w:t>
      </w:r>
      <w:r w:rsidRPr="00F73C2D">
        <w:t xml:space="preserve"> dec</w:t>
      </w:r>
      <w:r>
        <w:t>ision on the roll forward of APTNT's</w:t>
      </w:r>
      <w:r w:rsidRPr="00F73C2D">
        <w:t xml:space="preserve"> capital base during the </w:t>
      </w:r>
      <w:r>
        <w:t>2011–16</w:t>
      </w:r>
      <w:r w:rsidRPr="00F73C2D">
        <w:t xml:space="preserve"> access arrangement period. </w:t>
      </w:r>
    </w:p>
    <w:p w:rsidR="00EF562B" w:rsidRDefault="00EF562B" w:rsidP="00EF562B">
      <w:pPr>
        <w:pStyle w:val="Caption"/>
      </w:pPr>
      <w:bookmarkStart w:id="67" w:name="_Ref447526356"/>
      <w:bookmarkStart w:id="68" w:name="_Ref328756976"/>
      <w:r>
        <w:t xml:space="preserve">Table </w:t>
      </w:r>
      <w:fldSimple w:instr=" SEQ Table \* ARABIC ">
        <w:r w:rsidR="009F7892">
          <w:rPr>
            <w:noProof/>
          </w:rPr>
          <w:t>4</w:t>
        </w:r>
      </w:fldSimple>
      <w:bookmarkEnd w:id="67"/>
      <w:r>
        <w:tab/>
        <w:t>AER's final decision on APTNT's capital base roll forward for the 2011–16 access arrangement period ($million, nominal)</w:t>
      </w:r>
    </w:p>
    <w:tbl>
      <w:tblPr>
        <w:tblStyle w:val="AERtable-numbers"/>
        <w:tblW w:w="8727" w:type="dxa"/>
        <w:tblLayout w:type="fixed"/>
        <w:tblLook w:val="04A0" w:firstRow="1" w:lastRow="0" w:firstColumn="1" w:lastColumn="0" w:noHBand="0" w:noVBand="1"/>
      </w:tblPr>
      <w:tblGrid>
        <w:gridCol w:w="3652"/>
        <w:gridCol w:w="1015"/>
        <w:gridCol w:w="1015"/>
        <w:gridCol w:w="1015"/>
        <w:gridCol w:w="1015"/>
        <w:gridCol w:w="1015"/>
      </w:tblGrid>
      <w:tr w:rsidR="005F31CE" w:rsidRPr="007F00CD" w:rsidTr="00937196">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3652" w:type="dxa"/>
            <w:noWrap/>
          </w:tcPr>
          <w:p w:rsidR="005F31CE" w:rsidRPr="007F00CD" w:rsidRDefault="005F31CE" w:rsidP="005F31CE"/>
        </w:tc>
        <w:tc>
          <w:tcPr>
            <w:tcW w:w="1015" w:type="dxa"/>
            <w:noWrap/>
          </w:tcPr>
          <w:p w:rsidR="005F31CE" w:rsidRPr="005F31CE" w:rsidRDefault="005F31CE" w:rsidP="005F31CE">
            <w:pPr>
              <w:cnfStyle w:val="100000000000" w:firstRow="1" w:lastRow="0" w:firstColumn="0" w:lastColumn="0" w:oddVBand="0" w:evenVBand="0" w:oddHBand="0" w:evenHBand="0" w:firstRowFirstColumn="0" w:firstRowLastColumn="0" w:lastRowFirstColumn="0" w:lastRowLastColumn="0"/>
            </w:pPr>
            <w:r w:rsidRPr="007F00CD">
              <w:t>2011–12</w:t>
            </w:r>
          </w:p>
        </w:tc>
        <w:tc>
          <w:tcPr>
            <w:tcW w:w="1015" w:type="dxa"/>
            <w:noWrap/>
          </w:tcPr>
          <w:p w:rsidR="005F31CE" w:rsidRPr="005F31CE" w:rsidRDefault="005F31CE" w:rsidP="005F31CE">
            <w:pPr>
              <w:cnfStyle w:val="100000000000" w:firstRow="1" w:lastRow="0" w:firstColumn="0" w:lastColumn="0" w:oddVBand="0" w:evenVBand="0" w:oddHBand="0" w:evenHBand="0" w:firstRowFirstColumn="0" w:firstRowLastColumn="0" w:lastRowFirstColumn="0" w:lastRowLastColumn="0"/>
            </w:pPr>
            <w:r w:rsidRPr="007F00CD">
              <w:t>2012–13</w:t>
            </w:r>
          </w:p>
        </w:tc>
        <w:tc>
          <w:tcPr>
            <w:tcW w:w="1015" w:type="dxa"/>
            <w:noWrap/>
          </w:tcPr>
          <w:p w:rsidR="005F31CE" w:rsidRPr="005F31CE" w:rsidRDefault="005F31CE" w:rsidP="005F31CE">
            <w:pPr>
              <w:cnfStyle w:val="100000000000" w:firstRow="1" w:lastRow="0" w:firstColumn="0" w:lastColumn="0" w:oddVBand="0" w:evenVBand="0" w:oddHBand="0" w:evenHBand="0" w:firstRowFirstColumn="0" w:firstRowLastColumn="0" w:lastRowFirstColumn="0" w:lastRowLastColumn="0"/>
            </w:pPr>
            <w:r w:rsidRPr="007F00CD">
              <w:t>2013–14</w:t>
            </w:r>
          </w:p>
        </w:tc>
        <w:tc>
          <w:tcPr>
            <w:tcW w:w="1015" w:type="dxa"/>
            <w:noWrap/>
          </w:tcPr>
          <w:p w:rsidR="005F31CE" w:rsidRPr="005F31CE" w:rsidRDefault="005F31CE" w:rsidP="005F31CE">
            <w:pPr>
              <w:cnfStyle w:val="100000000000" w:firstRow="1" w:lastRow="0" w:firstColumn="0" w:lastColumn="0" w:oddVBand="0" w:evenVBand="0" w:oddHBand="0" w:evenHBand="0" w:firstRowFirstColumn="0" w:firstRowLastColumn="0" w:lastRowFirstColumn="0" w:lastRowLastColumn="0"/>
            </w:pPr>
            <w:r w:rsidRPr="007F00CD">
              <w:t>2014–15</w:t>
            </w:r>
          </w:p>
        </w:tc>
        <w:tc>
          <w:tcPr>
            <w:tcW w:w="1015" w:type="dxa"/>
            <w:noWrap/>
          </w:tcPr>
          <w:p w:rsidR="005F31CE" w:rsidRPr="005F31CE" w:rsidRDefault="005F31CE" w:rsidP="005F31CE">
            <w:pPr>
              <w:cnfStyle w:val="100000000000" w:firstRow="1" w:lastRow="0" w:firstColumn="0" w:lastColumn="0" w:oddVBand="0" w:evenVBand="0" w:oddHBand="0" w:evenHBand="0" w:firstRowFirstColumn="0" w:firstRowLastColumn="0" w:lastRowFirstColumn="0" w:lastRowLastColumn="0"/>
            </w:pPr>
            <w:r w:rsidRPr="007F00CD">
              <w:t>2015–16</w:t>
            </w:r>
          </w:p>
        </w:tc>
      </w:tr>
      <w:tr w:rsidR="004D68DC" w:rsidRPr="007F00CD" w:rsidTr="00937196">
        <w:trPr>
          <w:trHeight w:val="377"/>
        </w:trPr>
        <w:tc>
          <w:tcPr>
            <w:cnfStyle w:val="001000000000" w:firstRow="0" w:lastRow="0" w:firstColumn="1" w:lastColumn="0" w:oddVBand="0" w:evenVBand="0" w:oddHBand="0" w:evenHBand="0" w:firstRowFirstColumn="0" w:firstRowLastColumn="0" w:lastRowFirstColumn="0" w:lastRowLastColumn="0"/>
            <w:tcW w:w="3652" w:type="dxa"/>
            <w:noWrap/>
          </w:tcPr>
          <w:p w:rsidR="004D68DC" w:rsidRPr="004D68DC" w:rsidRDefault="004D68DC" w:rsidP="004D68DC">
            <w:r w:rsidRPr="004D68DC">
              <w:t>Opening capital base</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92.1</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92.7</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106.1</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107.6</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107.4</w:t>
            </w:r>
          </w:p>
        </w:tc>
      </w:tr>
      <w:tr w:rsidR="004D68DC" w:rsidRPr="007F00CD" w:rsidTr="00937196">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652" w:type="dxa"/>
            <w:noWrap/>
          </w:tcPr>
          <w:p w:rsidR="004D68DC" w:rsidRPr="004D68DC" w:rsidRDefault="004D68DC" w:rsidP="004D68DC">
            <w:r w:rsidRPr="004D68DC">
              <w:t>Net capex</w:t>
            </w:r>
          </w:p>
        </w:tc>
        <w:tc>
          <w:tcPr>
            <w:tcW w:w="1015" w:type="dxa"/>
            <w:noWrap/>
          </w:tcPr>
          <w:p w:rsidR="004D68DC" w:rsidRPr="004D68DC" w:rsidRDefault="004D68DC" w:rsidP="004D68DC">
            <w:pPr>
              <w:cnfStyle w:val="000000010000" w:firstRow="0" w:lastRow="0" w:firstColumn="0" w:lastColumn="0" w:oddVBand="0" w:evenVBand="0" w:oddHBand="0" w:evenHBand="1" w:firstRowFirstColumn="0" w:firstRowLastColumn="0" w:lastRowFirstColumn="0" w:lastRowLastColumn="0"/>
            </w:pPr>
            <w:r w:rsidRPr="004D68DC">
              <w:t>4.3</w:t>
            </w:r>
          </w:p>
        </w:tc>
        <w:tc>
          <w:tcPr>
            <w:tcW w:w="1015" w:type="dxa"/>
            <w:noWrap/>
          </w:tcPr>
          <w:p w:rsidR="004D68DC" w:rsidRPr="004D68DC" w:rsidRDefault="004D68DC" w:rsidP="004D68DC">
            <w:pPr>
              <w:cnfStyle w:val="000000010000" w:firstRow="0" w:lastRow="0" w:firstColumn="0" w:lastColumn="0" w:oddVBand="0" w:evenVBand="0" w:oddHBand="0" w:evenHBand="1" w:firstRowFirstColumn="0" w:firstRowLastColumn="0" w:lastRowFirstColumn="0" w:lastRowLastColumn="0"/>
            </w:pPr>
            <w:r w:rsidRPr="004D68DC">
              <w:t>16.5</w:t>
            </w:r>
          </w:p>
        </w:tc>
        <w:tc>
          <w:tcPr>
            <w:tcW w:w="1015" w:type="dxa"/>
            <w:noWrap/>
          </w:tcPr>
          <w:p w:rsidR="004D68DC" w:rsidRPr="004D68DC" w:rsidRDefault="004D68DC" w:rsidP="004D68DC">
            <w:pPr>
              <w:cnfStyle w:val="000000010000" w:firstRow="0" w:lastRow="0" w:firstColumn="0" w:lastColumn="0" w:oddVBand="0" w:evenVBand="0" w:oddHBand="0" w:evenHBand="1" w:firstRowFirstColumn="0" w:firstRowLastColumn="0" w:lastRowFirstColumn="0" w:lastRowLastColumn="0"/>
            </w:pPr>
            <w:r w:rsidRPr="004D68DC">
              <w:t>4.0</w:t>
            </w:r>
          </w:p>
        </w:tc>
        <w:tc>
          <w:tcPr>
            <w:tcW w:w="1015" w:type="dxa"/>
            <w:noWrap/>
          </w:tcPr>
          <w:p w:rsidR="004D68DC" w:rsidRPr="004D68DC" w:rsidRDefault="004D68DC" w:rsidP="004D68DC">
            <w:pPr>
              <w:cnfStyle w:val="000000010000" w:firstRow="0" w:lastRow="0" w:firstColumn="0" w:lastColumn="0" w:oddVBand="0" w:evenVBand="0" w:oddHBand="0" w:evenHBand="1" w:firstRowFirstColumn="0" w:firstRowLastColumn="0" w:lastRowFirstColumn="0" w:lastRowLastColumn="0"/>
            </w:pPr>
            <w:r w:rsidRPr="004D68DC">
              <w:t>4.2</w:t>
            </w:r>
          </w:p>
        </w:tc>
        <w:tc>
          <w:tcPr>
            <w:tcW w:w="1015" w:type="dxa"/>
            <w:noWrap/>
          </w:tcPr>
          <w:p w:rsidR="004D68DC" w:rsidRPr="004D68DC" w:rsidRDefault="004D68DC" w:rsidP="004D68DC">
            <w:pPr>
              <w:cnfStyle w:val="000000010000" w:firstRow="0" w:lastRow="0" w:firstColumn="0" w:lastColumn="0" w:oddVBand="0" w:evenVBand="0" w:oddHBand="0" w:evenHBand="1" w:firstRowFirstColumn="0" w:firstRowLastColumn="0" w:lastRowFirstColumn="0" w:lastRowLastColumn="0"/>
            </w:pPr>
            <w:r w:rsidRPr="004D68DC">
              <w:t>13.1</w:t>
            </w:r>
          </w:p>
        </w:tc>
      </w:tr>
      <w:tr w:rsidR="004D68DC" w:rsidRPr="007F00CD" w:rsidTr="00937196">
        <w:trPr>
          <w:trHeight w:val="375"/>
        </w:trPr>
        <w:tc>
          <w:tcPr>
            <w:cnfStyle w:val="001000000000" w:firstRow="0" w:lastRow="0" w:firstColumn="1" w:lastColumn="0" w:oddVBand="0" w:evenVBand="0" w:oddHBand="0" w:evenHBand="0" w:firstRowFirstColumn="0" w:firstRowLastColumn="0" w:lastRowFirstColumn="0" w:lastRowLastColumn="0"/>
            <w:tcW w:w="3652" w:type="dxa"/>
            <w:noWrap/>
          </w:tcPr>
          <w:p w:rsidR="004D68DC" w:rsidRPr="004D68DC" w:rsidRDefault="004D68DC" w:rsidP="004D68DC">
            <w:r w:rsidRPr="004D68DC">
              <w:t>Indexation of capital base</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1.5</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2.3</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3.1</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1.4</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1.4</w:t>
            </w:r>
          </w:p>
        </w:tc>
      </w:tr>
      <w:tr w:rsidR="004D68DC" w:rsidRPr="007F00CD" w:rsidTr="00937196">
        <w:trPr>
          <w:cnfStyle w:val="000000010000" w:firstRow="0" w:lastRow="0" w:firstColumn="0" w:lastColumn="0" w:oddVBand="0" w:evenVBand="0" w:oddHBand="0" w:evenHBand="1"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652" w:type="dxa"/>
            <w:noWrap/>
          </w:tcPr>
          <w:p w:rsidR="004D68DC" w:rsidRPr="004D68DC" w:rsidRDefault="004D68DC" w:rsidP="004D68DC">
            <w:r w:rsidRPr="004D68DC">
              <w:t>Depreciation</w:t>
            </w:r>
          </w:p>
        </w:tc>
        <w:tc>
          <w:tcPr>
            <w:tcW w:w="1015" w:type="dxa"/>
            <w:noWrap/>
          </w:tcPr>
          <w:p w:rsidR="004D68DC" w:rsidRPr="004D68DC" w:rsidRDefault="009D1838" w:rsidP="004D68DC">
            <w:pPr>
              <w:cnfStyle w:val="000000010000" w:firstRow="0" w:lastRow="0" w:firstColumn="0" w:lastColumn="0" w:oddVBand="0" w:evenVBand="0" w:oddHBand="0" w:evenHBand="1" w:firstRowFirstColumn="0" w:firstRowLastColumn="0" w:lastRowFirstColumn="0" w:lastRowLastColumn="0"/>
            </w:pPr>
            <w:r>
              <w:t>–</w:t>
            </w:r>
            <w:r w:rsidR="004D68DC" w:rsidRPr="004D68DC">
              <w:t>5.1</w:t>
            </w:r>
          </w:p>
        </w:tc>
        <w:tc>
          <w:tcPr>
            <w:tcW w:w="1015" w:type="dxa"/>
            <w:noWrap/>
          </w:tcPr>
          <w:p w:rsidR="004D68DC" w:rsidRPr="004D68DC" w:rsidRDefault="009D1838" w:rsidP="004D68DC">
            <w:pPr>
              <w:cnfStyle w:val="000000010000" w:firstRow="0" w:lastRow="0" w:firstColumn="0" w:lastColumn="0" w:oddVBand="0" w:evenVBand="0" w:oddHBand="0" w:evenHBand="1" w:firstRowFirstColumn="0" w:firstRowLastColumn="0" w:lastRowFirstColumn="0" w:lastRowLastColumn="0"/>
            </w:pPr>
            <w:r>
              <w:t>–</w:t>
            </w:r>
            <w:r w:rsidR="004D68DC" w:rsidRPr="004D68DC">
              <w:t>5.4</w:t>
            </w:r>
          </w:p>
        </w:tc>
        <w:tc>
          <w:tcPr>
            <w:tcW w:w="1015" w:type="dxa"/>
            <w:noWrap/>
          </w:tcPr>
          <w:p w:rsidR="004D68DC" w:rsidRPr="004D68DC" w:rsidRDefault="009D1838" w:rsidP="004D68DC">
            <w:pPr>
              <w:cnfStyle w:val="000000010000" w:firstRow="0" w:lastRow="0" w:firstColumn="0" w:lastColumn="0" w:oddVBand="0" w:evenVBand="0" w:oddHBand="0" w:evenHBand="1" w:firstRowFirstColumn="0" w:firstRowLastColumn="0" w:lastRowFirstColumn="0" w:lastRowLastColumn="0"/>
            </w:pPr>
            <w:r>
              <w:t>–</w:t>
            </w:r>
            <w:r w:rsidR="004D68DC" w:rsidRPr="004D68DC">
              <w:t>5.6</w:t>
            </w:r>
          </w:p>
        </w:tc>
        <w:tc>
          <w:tcPr>
            <w:tcW w:w="1015" w:type="dxa"/>
            <w:noWrap/>
          </w:tcPr>
          <w:p w:rsidR="004D68DC" w:rsidRPr="004D68DC" w:rsidRDefault="009D1838" w:rsidP="004D68DC">
            <w:pPr>
              <w:cnfStyle w:val="000000010000" w:firstRow="0" w:lastRow="0" w:firstColumn="0" w:lastColumn="0" w:oddVBand="0" w:evenVBand="0" w:oddHBand="0" w:evenHBand="1" w:firstRowFirstColumn="0" w:firstRowLastColumn="0" w:lastRowFirstColumn="0" w:lastRowLastColumn="0"/>
            </w:pPr>
            <w:r>
              <w:t>–</w:t>
            </w:r>
            <w:r w:rsidR="004D68DC" w:rsidRPr="004D68DC">
              <w:t>5.9</w:t>
            </w:r>
          </w:p>
        </w:tc>
        <w:tc>
          <w:tcPr>
            <w:tcW w:w="1015" w:type="dxa"/>
            <w:noWrap/>
          </w:tcPr>
          <w:p w:rsidR="004D68DC" w:rsidRPr="004D68DC" w:rsidRDefault="009D1838" w:rsidP="004D68DC">
            <w:pPr>
              <w:cnfStyle w:val="000000010000" w:firstRow="0" w:lastRow="0" w:firstColumn="0" w:lastColumn="0" w:oddVBand="0" w:evenVBand="0" w:oddHBand="0" w:evenHBand="1" w:firstRowFirstColumn="0" w:firstRowLastColumn="0" w:lastRowFirstColumn="0" w:lastRowLastColumn="0"/>
            </w:pPr>
            <w:r>
              <w:t>–</w:t>
            </w:r>
            <w:r w:rsidR="004D68DC" w:rsidRPr="004D68DC">
              <w:t>3.4</w:t>
            </w:r>
          </w:p>
        </w:tc>
      </w:tr>
      <w:tr w:rsidR="004D68DC" w:rsidRPr="007F00CD" w:rsidTr="00937196">
        <w:trPr>
          <w:trHeight w:val="411"/>
        </w:trPr>
        <w:tc>
          <w:tcPr>
            <w:cnfStyle w:val="001000000000" w:firstRow="0" w:lastRow="0" w:firstColumn="1" w:lastColumn="0" w:oddVBand="0" w:evenVBand="0" w:oddHBand="0" w:evenHBand="0" w:firstRowFirstColumn="0" w:firstRowLastColumn="0" w:lastRowFirstColumn="0" w:lastRowLastColumn="0"/>
            <w:tcW w:w="3652" w:type="dxa"/>
            <w:noWrap/>
          </w:tcPr>
          <w:p w:rsidR="004D68DC" w:rsidRPr="004D68DC" w:rsidRDefault="004D68DC" w:rsidP="004D68DC">
            <w:r w:rsidRPr="004D68DC">
              <w:t xml:space="preserve">Closing capital base </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92.7</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106.1</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107.6</w:t>
            </w:r>
          </w:p>
        </w:tc>
        <w:tc>
          <w:tcPr>
            <w:tcW w:w="1015" w:type="dxa"/>
            <w:noWrap/>
          </w:tcPr>
          <w:p w:rsidR="004D68DC" w:rsidRPr="004D68DC" w:rsidRDefault="004D68DC" w:rsidP="004D68DC">
            <w:pPr>
              <w:cnfStyle w:val="000000000000" w:firstRow="0" w:lastRow="0" w:firstColumn="0" w:lastColumn="0" w:oddVBand="0" w:evenVBand="0" w:oddHBand="0" w:evenHBand="0" w:firstRowFirstColumn="0" w:firstRowLastColumn="0" w:lastRowFirstColumn="0" w:lastRowLastColumn="0"/>
            </w:pPr>
            <w:r w:rsidRPr="004D68DC">
              <w:t>107.4</w:t>
            </w:r>
          </w:p>
        </w:tc>
        <w:tc>
          <w:tcPr>
            <w:tcW w:w="1015" w:type="dxa"/>
            <w:noWrap/>
          </w:tcPr>
          <w:p w:rsidR="004D68DC" w:rsidRPr="00B43815" w:rsidRDefault="00B43815" w:rsidP="00B43815">
            <w:pPr>
              <w:cnfStyle w:val="000000000000" w:firstRow="0" w:lastRow="0" w:firstColumn="0" w:lastColumn="0" w:oddVBand="0" w:evenVBand="0" w:oddHBand="0" w:evenHBand="0" w:firstRowFirstColumn="0" w:firstRowLastColumn="0" w:lastRowFirstColumn="0" w:lastRowLastColumn="0"/>
            </w:pPr>
            <w:r w:rsidRPr="00857186">
              <w:t>118.5</w:t>
            </w:r>
          </w:p>
        </w:tc>
      </w:tr>
      <w:tr w:rsidR="005F31CE" w:rsidRPr="007F00CD" w:rsidTr="00937196">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652" w:type="dxa"/>
            <w:noWrap/>
          </w:tcPr>
          <w:p w:rsidR="005F31CE" w:rsidRPr="005F31CE" w:rsidRDefault="005F31CE" w:rsidP="005F31CE">
            <w:r w:rsidRPr="007F00CD">
              <w:t>Adjustment for difference between estimated and actual capital expenditure in 2010–11</w:t>
            </w:r>
            <w:r w:rsidRPr="00A12632">
              <w:rPr>
                <w:rStyle w:val="AERsuperscript"/>
              </w:rPr>
              <w:t>a</w:t>
            </w:r>
          </w:p>
        </w:tc>
        <w:tc>
          <w:tcPr>
            <w:tcW w:w="1015" w:type="dxa"/>
            <w:noWrap/>
          </w:tcPr>
          <w:p w:rsidR="005F31CE" w:rsidRPr="007F00CD" w:rsidRDefault="005F31CE" w:rsidP="005F31CE">
            <w:pPr>
              <w:cnfStyle w:val="000000010000" w:firstRow="0" w:lastRow="0" w:firstColumn="0" w:lastColumn="0" w:oddVBand="0" w:evenVBand="0" w:oddHBand="0" w:evenHBand="1" w:firstRowFirstColumn="0" w:firstRowLastColumn="0" w:lastRowFirstColumn="0" w:lastRowLastColumn="0"/>
            </w:pPr>
          </w:p>
        </w:tc>
        <w:tc>
          <w:tcPr>
            <w:tcW w:w="1015" w:type="dxa"/>
            <w:noWrap/>
          </w:tcPr>
          <w:p w:rsidR="005F31CE" w:rsidRPr="007F00CD" w:rsidRDefault="005F31CE" w:rsidP="005F31CE">
            <w:pPr>
              <w:cnfStyle w:val="000000010000" w:firstRow="0" w:lastRow="0" w:firstColumn="0" w:lastColumn="0" w:oddVBand="0" w:evenVBand="0" w:oddHBand="0" w:evenHBand="1" w:firstRowFirstColumn="0" w:firstRowLastColumn="0" w:lastRowFirstColumn="0" w:lastRowLastColumn="0"/>
            </w:pPr>
          </w:p>
        </w:tc>
        <w:tc>
          <w:tcPr>
            <w:tcW w:w="1015" w:type="dxa"/>
            <w:noWrap/>
          </w:tcPr>
          <w:p w:rsidR="005F31CE" w:rsidRPr="007F00CD" w:rsidRDefault="005F31CE" w:rsidP="005F31CE">
            <w:pPr>
              <w:cnfStyle w:val="000000010000" w:firstRow="0" w:lastRow="0" w:firstColumn="0" w:lastColumn="0" w:oddVBand="0" w:evenVBand="0" w:oddHBand="0" w:evenHBand="1" w:firstRowFirstColumn="0" w:firstRowLastColumn="0" w:lastRowFirstColumn="0" w:lastRowLastColumn="0"/>
            </w:pPr>
          </w:p>
        </w:tc>
        <w:tc>
          <w:tcPr>
            <w:tcW w:w="1015" w:type="dxa"/>
            <w:noWrap/>
          </w:tcPr>
          <w:p w:rsidR="005F31CE" w:rsidRPr="007F00CD" w:rsidRDefault="005F31CE" w:rsidP="005F31CE">
            <w:pPr>
              <w:cnfStyle w:val="000000010000" w:firstRow="0" w:lastRow="0" w:firstColumn="0" w:lastColumn="0" w:oddVBand="0" w:evenVBand="0" w:oddHBand="0" w:evenHBand="1" w:firstRowFirstColumn="0" w:firstRowLastColumn="0" w:lastRowFirstColumn="0" w:lastRowLastColumn="0"/>
            </w:pPr>
          </w:p>
        </w:tc>
        <w:tc>
          <w:tcPr>
            <w:tcW w:w="1015" w:type="dxa"/>
            <w:noWrap/>
          </w:tcPr>
          <w:p w:rsidR="005F31CE" w:rsidRPr="005F31CE" w:rsidRDefault="005F31CE" w:rsidP="005F31CE">
            <w:pPr>
              <w:cnfStyle w:val="000000010000" w:firstRow="0" w:lastRow="0" w:firstColumn="0" w:lastColumn="0" w:oddVBand="0" w:evenVBand="0" w:oddHBand="0" w:evenHBand="1" w:firstRowFirstColumn="0" w:firstRowLastColumn="0" w:lastRowFirstColumn="0" w:lastRowLastColumn="0"/>
            </w:pPr>
            <w:r w:rsidRPr="007F00CD">
              <w:t>–2.7</w:t>
            </w:r>
          </w:p>
        </w:tc>
      </w:tr>
      <w:tr w:rsidR="005F31CE" w:rsidRPr="007F00CD" w:rsidTr="00937196">
        <w:trPr>
          <w:trHeight w:val="290"/>
        </w:trPr>
        <w:tc>
          <w:tcPr>
            <w:cnfStyle w:val="001000000000" w:firstRow="0" w:lastRow="0" w:firstColumn="1" w:lastColumn="0" w:oddVBand="0" w:evenVBand="0" w:oddHBand="0" w:evenHBand="0" w:firstRowFirstColumn="0" w:firstRowLastColumn="0" w:lastRowFirstColumn="0" w:lastRowLastColumn="0"/>
            <w:tcW w:w="3652" w:type="dxa"/>
            <w:noWrap/>
          </w:tcPr>
          <w:p w:rsidR="005F31CE" w:rsidRPr="005F31CE" w:rsidRDefault="005F31CE" w:rsidP="005F31CE">
            <w:pPr>
              <w:rPr>
                <w:rStyle w:val="Strong"/>
              </w:rPr>
            </w:pPr>
            <w:r w:rsidRPr="007F00CD">
              <w:rPr>
                <w:rStyle w:val="Strong"/>
              </w:rPr>
              <w:t>Opening capital base at 1 July 2016</w:t>
            </w:r>
          </w:p>
        </w:tc>
        <w:tc>
          <w:tcPr>
            <w:tcW w:w="1015" w:type="dxa"/>
            <w:noWrap/>
          </w:tcPr>
          <w:p w:rsidR="005F31CE" w:rsidRPr="005F31CE" w:rsidRDefault="005F31CE" w:rsidP="005F31CE">
            <w:pPr>
              <w:cnfStyle w:val="000000000000" w:firstRow="0" w:lastRow="0" w:firstColumn="0" w:lastColumn="0" w:oddVBand="0" w:evenVBand="0" w:oddHBand="0" w:evenHBand="0" w:firstRowFirstColumn="0" w:firstRowLastColumn="0" w:lastRowFirstColumn="0" w:lastRowLastColumn="0"/>
              <w:rPr>
                <w:rStyle w:val="Strong"/>
              </w:rPr>
            </w:pPr>
            <w:r w:rsidRPr="007F00CD">
              <w:rPr>
                <w:rStyle w:val="Strong"/>
              </w:rPr>
              <w:t> </w:t>
            </w:r>
          </w:p>
        </w:tc>
        <w:tc>
          <w:tcPr>
            <w:tcW w:w="1015" w:type="dxa"/>
            <w:noWrap/>
          </w:tcPr>
          <w:p w:rsidR="005F31CE" w:rsidRPr="005F31CE" w:rsidRDefault="005F31CE" w:rsidP="005F31CE">
            <w:pPr>
              <w:cnfStyle w:val="000000000000" w:firstRow="0" w:lastRow="0" w:firstColumn="0" w:lastColumn="0" w:oddVBand="0" w:evenVBand="0" w:oddHBand="0" w:evenHBand="0" w:firstRowFirstColumn="0" w:firstRowLastColumn="0" w:lastRowFirstColumn="0" w:lastRowLastColumn="0"/>
              <w:rPr>
                <w:rStyle w:val="Strong"/>
              </w:rPr>
            </w:pPr>
            <w:r w:rsidRPr="007F00CD">
              <w:rPr>
                <w:rStyle w:val="Strong"/>
              </w:rPr>
              <w:t> </w:t>
            </w:r>
          </w:p>
        </w:tc>
        <w:tc>
          <w:tcPr>
            <w:tcW w:w="1015" w:type="dxa"/>
            <w:noWrap/>
          </w:tcPr>
          <w:p w:rsidR="005F31CE" w:rsidRPr="005F31CE" w:rsidRDefault="005F31CE" w:rsidP="005F31CE">
            <w:pPr>
              <w:cnfStyle w:val="000000000000" w:firstRow="0" w:lastRow="0" w:firstColumn="0" w:lastColumn="0" w:oddVBand="0" w:evenVBand="0" w:oddHBand="0" w:evenHBand="0" w:firstRowFirstColumn="0" w:firstRowLastColumn="0" w:lastRowFirstColumn="0" w:lastRowLastColumn="0"/>
              <w:rPr>
                <w:rStyle w:val="Strong"/>
              </w:rPr>
            </w:pPr>
            <w:r w:rsidRPr="007F00CD">
              <w:rPr>
                <w:rStyle w:val="Strong"/>
              </w:rPr>
              <w:t> </w:t>
            </w:r>
          </w:p>
        </w:tc>
        <w:tc>
          <w:tcPr>
            <w:tcW w:w="1015" w:type="dxa"/>
            <w:noWrap/>
          </w:tcPr>
          <w:p w:rsidR="005F31CE" w:rsidRPr="005F31CE" w:rsidRDefault="005F31CE" w:rsidP="005F31CE">
            <w:pPr>
              <w:cnfStyle w:val="000000000000" w:firstRow="0" w:lastRow="0" w:firstColumn="0" w:lastColumn="0" w:oddVBand="0" w:evenVBand="0" w:oddHBand="0" w:evenHBand="0" w:firstRowFirstColumn="0" w:firstRowLastColumn="0" w:lastRowFirstColumn="0" w:lastRowLastColumn="0"/>
              <w:rPr>
                <w:rStyle w:val="Strong"/>
              </w:rPr>
            </w:pPr>
            <w:r w:rsidRPr="007F00CD">
              <w:rPr>
                <w:rStyle w:val="Strong"/>
              </w:rPr>
              <w:t> </w:t>
            </w:r>
          </w:p>
        </w:tc>
        <w:tc>
          <w:tcPr>
            <w:tcW w:w="1015" w:type="dxa"/>
            <w:noWrap/>
          </w:tcPr>
          <w:p w:rsidR="005F31CE" w:rsidRPr="005F31CE" w:rsidRDefault="00281E05" w:rsidP="005F31C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115.8</w:t>
            </w:r>
          </w:p>
        </w:tc>
      </w:tr>
    </w:tbl>
    <w:bookmarkEnd w:id="68"/>
    <w:p w:rsidR="00EF562B" w:rsidRPr="00EF562B" w:rsidRDefault="00EF562B" w:rsidP="00EF562B">
      <w:pPr>
        <w:pStyle w:val="AERtablesource"/>
        <w:rPr>
          <w:rStyle w:val="AERtextsize8"/>
          <w:rFonts w:eastAsia="Calibri"/>
        </w:rPr>
      </w:pPr>
      <w:r w:rsidRPr="00EF562B">
        <w:rPr>
          <w:rStyle w:val="AERtextsize8"/>
          <w:rFonts w:eastAsia="Calibri"/>
        </w:rPr>
        <w:t xml:space="preserve">Source: </w:t>
      </w:r>
      <w:r w:rsidRPr="00EF562B">
        <w:rPr>
          <w:rStyle w:val="AERtextsize8"/>
          <w:rFonts w:eastAsia="Calibri"/>
        </w:rPr>
        <w:tab/>
        <w:t xml:space="preserve">AER analysis. </w:t>
      </w:r>
    </w:p>
    <w:p w:rsidR="00EF562B" w:rsidRPr="00EF562B" w:rsidRDefault="00EF562B" w:rsidP="00EF562B">
      <w:pPr>
        <w:pStyle w:val="AERtablesource"/>
        <w:rPr>
          <w:rStyle w:val="AERtextsize8"/>
          <w:rFonts w:eastAsia="Calibri"/>
        </w:rPr>
      </w:pPr>
      <w:r w:rsidRPr="00EF562B">
        <w:rPr>
          <w:rStyle w:val="AERtextsize8"/>
          <w:rFonts w:eastAsia="Calibri"/>
        </w:rPr>
        <w:t xml:space="preserve">(a) </w:t>
      </w:r>
      <w:r w:rsidRPr="00EF562B">
        <w:rPr>
          <w:rStyle w:val="AERtextsize8"/>
          <w:rFonts w:eastAsia="Calibri"/>
        </w:rPr>
        <w:tab/>
        <w:t>Comprising the difference between the actual and estimated capex for 2010–11 and the return on that difference.</w:t>
      </w:r>
    </w:p>
    <w:p w:rsidR="00CF79C7" w:rsidRPr="005970EA" w:rsidRDefault="00EF562B" w:rsidP="00CF79C7">
      <w:bookmarkStart w:id="69" w:name="_Ref398891994"/>
      <w:r>
        <w:t>We determine a closing capital base of $</w:t>
      </w:r>
      <w:r w:rsidR="005F6F7F">
        <w:t>128.2</w:t>
      </w:r>
      <w:r w:rsidR="00CB0BD7">
        <w:t xml:space="preserve"> </w:t>
      </w:r>
      <w:r>
        <w:t>million ($nominal) as at 30 June 2021. This is $</w:t>
      </w:r>
      <w:r w:rsidR="005F6F7F">
        <w:t>18.2</w:t>
      </w:r>
      <w:r>
        <w:t xml:space="preserve"> million (or </w:t>
      </w:r>
      <w:r w:rsidR="005F6F7F">
        <w:t>12.4</w:t>
      </w:r>
      <w:r>
        <w:t xml:space="preserve"> per cent) lower than APTNT's revised proposal of $1</w:t>
      </w:r>
      <w:r w:rsidR="004D68DC">
        <w:t>46.4</w:t>
      </w:r>
      <w:r>
        <w:t xml:space="preserve"> million. </w:t>
      </w:r>
      <w:r w:rsidR="00CF79C7" w:rsidRPr="005970EA">
        <w:t xml:space="preserve">This </w:t>
      </w:r>
      <w:r w:rsidR="00746B94">
        <w:t xml:space="preserve">difference </w:t>
      </w:r>
      <w:r w:rsidR="00CF79C7" w:rsidRPr="005970EA">
        <w:t xml:space="preserve">results from our </w:t>
      </w:r>
      <w:r w:rsidR="00CF79C7">
        <w:t>final</w:t>
      </w:r>
      <w:r w:rsidR="00CF79C7" w:rsidRPr="005970EA">
        <w:t xml:space="preserve"> decision on </w:t>
      </w:r>
      <w:r w:rsidR="00746B94">
        <w:t>other elements of APTNT's revised proposal, which have</w:t>
      </w:r>
      <w:r w:rsidR="00CF79C7" w:rsidRPr="005970EA">
        <w:t>:</w:t>
      </w:r>
    </w:p>
    <w:p w:rsidR="00CF79C7" w:rsidRPr="005970EA" w:rsidRDefault="00746B94" w:rsidP="00CF79C7">
      <w:pPr>
        <w:pStyle w:val="AERbulletlistfirststyle"/>
        <w:rPr>
          <w:rStyle w:val="AERbody"/>
        </w:rPr>
      </w:pPr>
      <w:r>
        <w:rPr>
          <w:rStyle w:val="AERbody"/>
        </w:rPr>
        <w:t>r</w:t>
      </w:r>
      <w:r w:rsidR="00CF79C7" w:rsidRPr="005970EA">
        <w:rPr>
          <w:rStyle w:val="AERbody"/>
        </w:rPr>
        <w:t xml:space="preserve">educed APTNT's </w:t>
      </w:r>
      <w:r w:rsidR="00CF79C7">
        <w:rPr>
          <w:rStyle w:val="AERbody"/>
        </w:rPr>
        <w:t xml:space="preserve">proposed </w:t>
      </w:r>
      <w:r w:rsidR="00CF79C7" w:rsidRPr="005970EA">
        <w:rPr>
          <w:rStyle w:val="AERbody"/>
        </w:rPr>
        <w:t xml:space="preserve">opening capital base as at 1 July 2016 </w:t>
      </w:r>
      <w:r w:rsidR="00CF79C7">
        <w:rPr>
          <w:rStyle w:val="AERbody"/>
        </w:rPr>
        <w:t>by</w:t>
      </w:r>
      <w:r w:rsidR="00CF79C7" w:rsidRPr="005970EA">
        <w:rPr>
          <w:rStyle w:val="AERbody"/>
        </w:rPr>
        <w:t xml:space="preserve"> $</w:t>
      </w:r>
      <w:r w:rsidR="004D68DC">
        <w:rPr>
          <w:rStyle w:val="AERbody"/>
        </w:rPr>
        <w:t>3.7</w:t>
      </w:r>
      <w:r w:rsidR="00CF79C7" w:rsidRPr="005970EA">
        <w:rPr>
          <w:rStyle w:val="AERbody"/>
        </w:rPr>
        <w:t xml:space="preserve"> million ($nominal)</w:t>
      </w:r>
      <w:r w:rsidR="00CF79C7">
        <w:rPr>
          <w:rStyle w:val="AERbody"/>
        </w:rPr>
        <w:t xml:space="preserve"> or </w:t>
      </w:r>
      <w:r w:rsidR="004D68DC">
        <w:rPr>
          <w:rStyle w:val="AERbody"/>
        </w:rPr>
        <w:t>3.1</w:t>
      </w:r>
      <w:r w:rsidR="00CF79C7">
        <w:rPr>
          <w:rStyle w:val="AERbody"/>
        </w:rPr>
        <w:t xml:space="preserve"> per cent, as </w:t>
      </w:r>
      <w:r w:rsidR="00D23F48">
        <w:rPr>
          <w:rStyle w:val="AERbody"/>
        </w:rPr>
        <w:t xml:space="preserve">we </w:t>
      </w:r>
      <w:r w:rsidR="00CF79C7">
        <w:rPr>
          <w:rStyle w:val="AERbody"/>
        </w:rPr>
        <w:t>discussed above</w:t>
      </w:r>
    </w:p>
    <w:p w:rsidR="00CF79C7" w:rsidRPr="005970EA" w:rsidRDefault="00D23F48" w:rsidP="00CF79C7">
      <w:pPr>
        <w:pStyle w:val="AERbulletlistfirststyle"/>
        <w:rPr>
          <w:rStyle w:val="AERbody"/>
        </w:rPr>
      </w:pPr>
      <w:r>
        <w:rPr>
          <w:rStyle w:val="AERbody"/>
        </w:rPr>
        <w:t>r</w:t>
      </w:r>
      <w:r w:rsidR="00CF79C7" w:rsidRPr="005970EA">
        <w:rPr>
          <w:rStyle w:val="AERbody"/>
        </w:rPr>
        <w:t xml:space="preserve">educed APTNT's proposed forecast net capex </w:t>
      </w:r>
      <w:r>
        <w:rPr>
          <w:rStyle w:val="AERbody"/>
        </w:rPr>
        <w:t xml:space="preserve">for the 2016–21 access arrangement period </w:t>
      </w:r>
      <w:r w:rsidR="00CF79C7" w:rsidRPr="005970EA">
        <w:rPr>
          <w:rStyle w:val="AERbody"/>
        </w:rPr>
        <w:t>by $</w:t>
      </w:r>
      <w:r w:rsidR="00E22E86">
        <w:rPr>
          <w:rStyle w:val="AERbody"/>
        </w:rPr>
        <w:t>1</w:t>
      </w:r>
      <w:r w:rsidR="009D1838">
        <w:rPr>
          <w:rStyle w:val="AERbody"/>
        </w:rPr>
        <w:t>3.1</w:t>
      </w:r>
      <w:r w:rsidR="00CF79C7" w:rsidRPr="005970EA">
        <w:rPr>
          <w:rStyle w:val="AERbody"/>
        </w:rPr>
        <w:t xml:space="preserve"> million ($</w:t>
      </w:r>
      <w:r w:rsidR="009D1838">
        <w:rPr>
          <w:rStyle w:val="AERbody"/>
        </w:rPr>
        <w:t>nominal</w:t>
      </w:r>
      <w:r w:rsidR="00CF79C7" w:rsidRPr="005970EA">
        <w:rPr>
          <w:rStyle w:val="AERbody"/>
        </w:rPr>
        <w:t xml:space="preserve">) or </w:t>
      </w:r>
      <w:r w:rsidR="004214B8">
        <w:rPr>
          <w:rStyle w:val="AERbody"/>
        </w:rPr>
        <w:t xml:space="preserve">42.1 </w:t>
      </w:r>
      <w:r w:rsidR="00CF79C7" w:rsidRPr="005970EA">
        <w:rPr>
          <w:rStyle w:val="AERbody"/>
        </w:rPr>
        <w:t xml:space="preserve">per cent </w:t>
      </w:r>
    </w:p>
    <w:p w:rsidR="009D1838" w:rsidRDefault="00E22E86" w:rsidP="00CF79C7">
      <w:pPr>
        <w:pStyle w:val="AERbulletlistfirststyle"/>
        <w:rPr>
          <w:rStyle w:val="AERbody"/>
        </w:rPr>
      </w:pPr>
      <w:r>
        <w:rPr>
          <w:rStyle w:val="AERbody"/>
        </w:rPr>
        <w:t>increased</w:t>
      </w:r>
      <w:r w:rsidR="00CF79C7" w:rsidRPr="005970EA">
        <w:rPr>
          <w:rStyle w:val="AERbody"/>
        </w:rPr>
        <w:t xml:space="preserve"> APTNT's proposed forecast </w:t>
      </w:r>
      <w:r w:rsidR="009D1838">
        <w:rPr>
          <w:rStyle w:val="AERbody"/>
        </w:rPr>
        <w:t>straight-line</w:t>
      </w:r>
      <w:r w:rsidR="00CF79C7">
        <w:rPr>
          <w:rStyle w:val="AERbody"/>
        </w:rPr>
        <w:t xml:space="preserve"> </w:t>
      </w:r>
      <w:r w:rsidR="00CF79C7" w:rsidRPr="005970EA">
        <w:rPr>
          <w:rStyle w:val="AERbody"/>
        </w:rPr>
        <w:t xml:space="preserve">depreciation </w:t>
      </w:r>
      <w:r w:rsidR="00D23F48">
        <w:rPr>
          <w:rStyle w:val="AERbody"/>
        </w:rPr>
        <w:t xml:space="preserve">for the 2016–21 access arrangement period </w:t>
      </w:r>
      <w:r w:rsidR="00CF79C7" w:rsidRPr="005970EA">
        <w:rPr>
          <w:rStyle w:val="AERbody"/>
        </w:rPr>
        <w:t>by $</w:t>
      </w:r>
      <w:r w:rsidR="005F6F7F">
        <w:rPr>
          <w:rStyle w:val="AERbody"/>
        </w:rPr>
        <w:t>1.</w:t>
      </w:r>
      <w:r w:rsidR="009D1838">
        <w:rPr>
          <w:rStyle w:val="AERbody"/>
        </w:rPr>
        <w:t>1</w:t>
      </w:r>
      <w:r w:rsidR="00CF79C7">
        <w:rPr>
          <w:rStyle w:val="AERbody"/>
        </w:rPr>
        <w:t> </w:t>
      </w:r>
      <w:r w:rsidR="00CF79C7" w:rsidRPr="005970EA">
        <w:rPr>
          <w:rStyle w:val="AERbody"/>
        </w:rPr>
        <w:t xml:space="preserve">million ($nominal) or </w:t>
      </w:r>
      <w:r w:rsidR="009D1838">
        <w:rPr>
          <w:rStyle w:val="AERbody"/>
        </w:rPr>
        <w:t>5.1</w:t>
      </w:r>
      <w:r w:rsidR="00CF79C7" w:rsidRPr="005970EA">
        <w:rPr>
          <w:rStyle w:val="AERbody"/>
        </w:rPr>
        <w:t xml:space="preserve"> per cent</w:t>
      </w:r>
    </w:p>
    <w:p w:rsidR="00CF79C7" w:rsidRDefault="00FC7286" w:rsidP="00CF79C7">
      <w:pPr>
        <w:pStyle w:val="AERbulletlistfirststyle"/>
        <w:rPr>
          <w:rStyle w:val="AERbody"/>
        </w:rPr>
      </w:pPr>
      <w:r>
        <w:rPr>
          <w:rStyle w:val="AERbody"/>
        </w:rPr>
        <w:t xml:space="preserve">reduced </w:t>
      </w:r>
      <w:r w:rsidR="009D1838">
        <w:rPr>
          <w:rStyle w:val="AERbody"/>
        </w:rPr>
        <w:t>APTNT's proposed forecast inflation to 2.39 per cent per annum for the 2016–21 access arrangement period from 2.5 per cent per annum.</w:t>
      </w:r>
      <w:r w:rsidR="009D1838" w:rsidRPr="00C850B7">
        <w:rPr>
          <w:rStyle w:val="AERbody"/>
        </w:rPr>
        <w:t xml:space="preserve"> </w:t>
      </w:r>
      <w:r w:rsidR="009D1838">
        <w:rPr>
          <w:rStyle w:val="AERbody"/>
        </w:rPr>
        <w:t xml:space="preserve">This results in a decrease to the indexation of the capital base component over the 2016–21 access arrangement period by </w:t>
      </w:r>
      <w:r w:rsidR="009D1838" w:rsidRPr="009656AB">
        <w:rPr>
          <w:rStyle w:val="AERbody"/>
        </w:rPr>
        <w:t>$</w:t>
      </w:r>
      <w:r w:rsidR="009D1838">
        <w:rPr>
          <w:rStyle w:val="AERbody"/>
        </w:rPr>
        <w:t>2.</w:t>
      </w:r>
      <w:r w:rsidR="004214B8">
        <w:rPr>
          <w:rStyle w:val="AERbody"/>
        </w:rPr>
        <w:t>5</w:t>
      </w:r>
      <w:r w:rsidR="009D1838" w:rsidRPr="009656AB">
        <w:rPr>
          <w:rStyle w:val="AERbody"/>
        </w:rPr>
        <w:t xml:space="preserve"> million ($nominal) or </w:t>
      </w:r>
      <w:r w:rsidR="009D1838">
        <w:rPr>
          <w:rStyle w:val="AERbody"/>
        </w:rPr>
        <w:t>1</w:t>
      </w:r>
      <w:r w:rsidR="004214B8">
        <w:rPr>
          <w:rStyle w:val="AERbody"/>
        </w:rPr>
        <w:t>4</w:t>
      </w:r>
      <w:r w:rsidR="009D1838">
        <w:rPr>
          <w:rStyle w:val="AERbody"/>
        </w:rPr>
        <w:t>.</w:t>
      </w:r>
      <w:r w:rsidR="004214B8">
        <w:rPr>
          <w:rStyle w:val="AERbody"/>
        </w:rPr>
        <w:t xml:space="preserve">5 </w:t>
      </w:r>
      <w:r w:rsidR="009D1838" w:rsidRPr="009656AB">
        <w:rPr>
          <w:rStyle w:val="AERbody"/>
        </w:rPr>
        <w:t>per cent</w:t>
      </w:r>
      <w:r w:rsidR="00CF79C7" w:rsidRPr="005970EA">
        <w:rPr>
          <w:rStyle w:val="AERbody"/>
        </w:rPr>
        <w:t xml:space="preserve">. </w:t>
      </w:r>
    </w:p>
    <w:p w:rsidR="00EF562B" w:rsidRPr="000D15C2" w:rsidRDefault="00EF562B" w:rsidP="00CF79C7">
      <w:pPr>
        <w:rPr>
          <w:rStyle w:val="AERbody"/>
        </w:rPr>
      </w:pPr>
      <w:r>
        <w:fldChar w:fldCharType="begin"/>
      </w:r>
      <w:r>
        <w:instrText xml:space="preserve"> REF _Ref447526385 \h </w:instrText>
      </w:r>
      <w:r>
        <w:fldChar w:fldCharType="separate"/>
      </w:r>
      <w:r w:rsidR="009F7892">
        <w:t xml:space="preserve">Table </w:t>
      </w:r>
      <w:r w:rsidR="009F7892">
        <w:rPr>
          <w:noProof/>
        </w:rPr>
        <w:t>5</w:t>
      </w:r>
      <w:r>
        <w:fldChar w:fldCharType="end"/>
      </w:r>
      <w:r>
        <w:t xml:space="preserve"> </w:t>
      </w:r>
      <w:r w:rsidRPr="000D15C2">
        <w:rPr>
          <w:rStyle w:val="AERbody"/>
        </w:rPr>
        <w:t>sets out the projected roll forward of the capital base during the 2016–21 access arrangement period.</w:t>
      </w:r>
    </w:p>
    <w:p w:rsidR="00EF562B" w:rsidRPr="00D94A48" w:rsidRDefault="00EF562B" w:rsidP="00857186">
      <w:pPr>
        <w:pStyle w:val="Caption"/>
      </w:pPr>
      <w:bookmarkStart w:id="70" w:name="_Ref447526385"/>
      <w:bookmarkEnd w:id="69"/>
      <w:r>
        <w:t xml:space="preserve">Table </w:t>
      </w:r>
      <w:fldSimple w:instr=" SEQ Table \* ARABIC ">
        <w:r w:rsidR="009F7892">
          <w:rPr>
            <w:noProof/>
          </w:rPr>
          <w:t>5</w:t>
        </w:r>
      </w:fldSimple>
      <w:bookmarkEnd w:id="70"/>
      <w:r>
        <w:tab/>
      </w:r>
      <w:r w:rsidRPr="00D94A48">
        <w:t xml:space="preserve">AER's </w:t>
      </w:r>
      <w:r>
        <w:t>final</w:t>
      </w:r>
      <w:r w:rsidRPr="00D94A48">
        <w:t xml:space="preserve"> decision on projected capital base roll forward for the </w:t>
      </w:r>
      <w:r>
        <w:t>2016–21</w:t>
      </w:r>
      <w:r w:rsidRPr="00D94A48">
        <w:t xml:space="preserve"> access arrangement period ($million, nominal)</w:t>
      </w:r>
      <w:bookmarkStart w:id="71" w:name="_Ref328757042"/>
    </w:p>
    <w:tbl>
      <w:tblPr>
        <w:tblStyle w:val="AERtable-numbers"/>
        <w:tblW w:w="8755" w:type="dxa"/>
        <w:tblLayout w:type="fixed"/>
        <w:tblLook w:val="04A0" w:firstRow="1" w:lastRow="0" w:firstColumn="1" w:lastColumn="0" w:noHBand="0" w:noVBand="1"/>
      </w:tblPr>
      <w:tblGrid>
        <w:gridCol w:w="2802"/>
        <w:gridCol w:w="1190"/>
        <w:gridCol w:w="1191"/>
        <w:gridCol w:w="1190"/>
        <w:gridCol w:w="1191"/>
        <w:gridCol w:w="1191"/>
      </w:tblGrid>
      <w:tr w:rsidR="00EF562B" w:rsidRPr="007F00CD" w:rsidTr="00DE6C1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02" w:type="dxa"/>
            <w:noWrap/>
          </w:tcPr>
          <w:p w:rsidR="00EF562B" w:rsidRPr="007F00CD" w:rsidRDefault="00EF562B" w:rsidP="00857186">
            <w:pPr>
              <w:keepNext/>
            </w:pPr>
          </w:p>
        </w:tc>
        <w:tc>
          <w:tcPr>
            <w:tcW w:w="1190" w:type="dxa"/>
            <w:noWrap/>
          </w:tcPr>
          <w:p w:rsidR="00EF562B" w:rsidRPr="00EF562B" w:rsidRDefault="00EF562B" w:rsidP="00857186">
            <w:pPr>
              <w:keepNext/>
              <w:cnfStyle w:val="100000000000" w:firstRow="1" w:lastRow="0" w:firstColumn="0" w:lastColumn="0" w:oddVBand="0" w:evenVBand="0" w:oddHBand="0" w:evenHBand="0" w:firstRowFirstColumn="0" w:firstRowLastColumn="0" w:lastRowFirstColumn="0" w:lastRowLastColumn="0"/>
            </w:pPr>
            <w:r w:rsidRPr="007F00CD">
              <w:t>2016–17</w:t>
            </w:r>
          </w:p>
        </w:tc>
        <w:tc>
          <w:tcPr>
            <w:tcW w:w="1191" w:type="dxa"/>
            <w:noWrap/>
          </w:tcPr>
          <w:p w:rsidR="00EF562B" w:rsidRPr="00EF562B" w:rsidRDefault="00EF562B" w:rsidP="00857186">
            <w:pPr>
              <w:keepNext/>
              <w:cnfStyle w:val="100000000000" w:firstRow="1" w:lastRow="0" w:firstColumn="0" w:lastColumn="0" w:oddVBand="0" w:evenVBand="0" w:oddHBand="0" w:evenHBand="0" w:firstRowFirstColumn="0" w:firstRowLastColumn="0" w:lastRowFirstColumn="0" w:lastRowLastColumn="0"/>
            </w:pPr>
            <w:r w:rsidRPr="007F00CD">
              <w:t>2017–18</w:t>
            </w:r>
          </w:p>
        </w:tc>
        <w:tc>
          <w:tcPr>
            <w:tcW w:w="1190" w:type="dxa"/>
            <w:noWrap/>
          </w:tcPr>
          <w:p w:rsidR="00EF562B" w:rsidRPr="00EF562B" w:rsidRDefault="00EF562B" w:rsidP="00857186">
            <w:pPr>
              <w:keepNext/>
              <w:cnfStyle w:val="100000000000" w:firstRow="1" w:lastRow="0" w:firstColumn="0" w:lastColumn="0" w:oddVBand="0" w:evenVBand="0" w:oddHBand="0" w:evenHBand="0" w:firstRowFirstColumn="0" w:firstRowLastColumn="0" w:lastRowFirstColumn="0" w:lastRowLastColumn="0"/>
            </w:pPr>
            <w:r w:rsidRPr="007F00CD">
              <w:t>2018–19</w:t>
            </w:r>
          </w:p>
        </w:tc>
        <w:tc>
          <w:tcPr>
            <w:tcW w:w="1191" w:type="dxa"/>
            <w:noWrap/>
          </w:tcPr>
          <w:p w:rsidR="00EF562B" w:rsidRPr="00EF562B" w:rsidRDefault="00EF562B" w:rsidP="00857186">
            <w:pPr>
              <w:keepNext/>
              <w:cnfStyle w:val="100000000000" w:firstRow="1" w:lastRow="0" w:firstColumn="0" w:lastColumn="0" w:oddVBand="0" w:evenVBand="0" w:oddHBand="0" w:evenHBand="0" w:firstRowFirstColumn="0" w:firstRowLastColumn="0" w:lastRowFirstColumn="0" w:lastRowLastColumn="0"/>
            </w:pPr>
            <w:r w:rsidRPr="007F00CD">
              <w:t>2019–20</w:t>
            </w:r>
          </w:p>
        </w:tc>
        <w:tc>
          <w:tcPr>
            <w:tcW w:w="1191" w:type="dxa"/>
            <w:noWrap/>
          </w:tcPr>
          <w:p w:rsidR="00EF562B" w:rsidRPr="00EF562B" w:rsidRDefault="00EF562B" w:rsidP="00857186">
            <w:pPr>
              <w:keepNext/>
              <w:cnfStyle w:val="100000000000" w:firstRow="1" w:lastRow="0" w:firstColumn="0" w:lastColumn="0" w:oddVBand="0" w:evenVBand="0" w:oddHBand="0" w:evenHBand="0" w:firstRowFirstColumn="0" w:firstRowLastColumn="0" w:lastRowFirstColumn="0" w:lastRowLastColumn="0"/>
            </w:pPr>
            <w:r w:rsidRPr="007F00CD">
              <w:t>2020–21</w:t>
            </w:r>
          </w:p>
        </w:tc>
      </w:tr>
      <w:tr w:rsidR="005F6F7F" w:rsidRPr="007F00CD" w:rsidTr="0003290C">
        <w:trPr>
          <w:trHeight w:val="349"/>
        </w:trPr>
        <w:tc>
          <w:tcPr>
            <w:cnfStyle w:val="001000000000" w:firstRow="0" w:lastRow="0" w:firstColumn="1" w:lastColumn="0" w:oddVBand="0" w:evenVBand="0" w:oddHBand="0" w:evenHBand="0" w:firstRowFirstColumn="0" w:firstRowLastColumn="0" w:lastRowFirstColumn="0" w:lastRowLastColumn="0"/>
            <w:tcW w:w="2802" w:type="dxa"/>
            <w:noWrap/>
          </w:tcPr>
          <w:p w:rsidR="005F6F7F" w:rsidRPr="005F6F7F" w:rsidRDefault="005F6F7F" w:rsidP="00857186">
            <w:pPr>
              <w:keepNext/>
            </w:pPr>
            <w:r w:rsidRPr="005F6F7F">
              <w:t>Opening capital base</w:t>
            </w:r>
          </w:p>
        </w:tc>
        <w:tc>
          <w:tcPr>
            <w:tcW w:w="1190"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115.8</w:t>
            </w:r>
          </w:p>
        </w:tc>
        <w:tc>
          <w:tcPr>
            <w:tcW w:w="1191"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123.0</w:t>
            </w:r>
          </w:p>
        </w:tc>
        <w:tc>
          <w:tcPr>
            <w:tcW w:w="1190"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124.7</w:t>
            </w:r>
          </w:p>
        </w:tc>
        <w:tc>
          <w:tcPr>
            <w:tcW w:w="1191"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126.0</w:t>
            </w:r>
          </w:p>
        </w:tc>
        <w:tc>
          <w:tcPr>
            <w:tcW w:w="1191"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127.1</w:t>
            </w:r>
          </w:p>
        </w:tc>
      </w:tr>
      <w:tr w:rsidR="005F6F7F" w:rsidRPr="007F00CD" w:rsidTr="0003290C">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802" w:type="dxa"/>
            <w:noWrap/>
          </w:tcPr>
          <w:p w:rsidR="005F6F7F" w:rsidRPr="005F6F7F" w:rsidRDefault="005F6F7F" w:rsidP="00857186">
            <w:pPr>
              <w:keepNext/>
            </w:pPr>
            <w:r w:rsidRPr="005F6F7F">
              <w:t xml:space="preserve">Net capex </w:t>
            </w:r>
          </w:p>
        </w:tc>
        <w:tc>
          <w:tcPr>
            <w:tcW w:w="1190" w:type="dxa"/>
            <w:noWrap/>
          </w:tcPr>
          <w:p w:rsidR="005F6F7F" w:rsidRPr="005F6F7F" w:rsidRDefault="005F6F7F" w:rsidP="00857186">
            <w:pPr>
              <w:keepNext/>
              <w:cnfStyle w:val="000000010000" w:firstRow="0" w:lastRow="0" w:firstColumn="0" w:lastColumn="0" w:oddVBand="0" w:evenVBand="0" w:oddHBand="0" w:evenHBand="1" w:firstRowFirstColumn="0" w:firstRowLastColumn="0" w:lastRowFirstColumn="0" w:lastRowLastColumn="0"/>
            </w:pPr>
            <w:r w:rsidRPr="005F6F7F">
              <w:t>7.9</w:t>
            </w:r>
          </w:p>
        </w:tc>
        <w:tc>
          <w:tcPr>
            <w:tcW w:w="1191" w:type="dxa"/>
            <w:noWrap/>
          </w:tcPr>
          <w:p w:rsidR="005F6F7F" w:rsidRPr="005F6F7F" w:rsidRDefault="005F6F7F" w:rsidP="00857186">
            <w:pPr>
              <w:keepNext/>
              <w:cnfStyle w:val="000000010000" w:firstRow="0" w:lastRow="0" w:firstColumn="0" w:lastColumn="0" w:oddVBand="0" w:evenVBand="0" w:oddHBand="0" w:evenHBand="1" w:firstRowFirstColumn="0" w:firstRowLastColumn="0" w:lastRowFirstColumn="0" w:lastRowLastColumn="0"/>
            </w:pPr>
            <w:r w:rsidRPr="005F6F7F">
              <w:t>2.7</w:t>
            </w:r>
          </w:p>
        </w:tc>
        <w:tc>
          <w:tcPr>
            <w:tcW w:w="1190" w:type="dxa"/>
            <w:noWrap/>
          </w:tcPr>
          <w:p w:rsidR="005F6F7F" w:rsidRPr="005F6F7F" w:rsidRDefault="005F6F7F" w:rsidP="00857186">
            <w:pPr>
              <w:keepNext/>
              <w:cnfStyle w:val="000000010000" w:firstRow="0" w:lastRow="0" w:firstColumn="0" w:lastColumn="0" w:oddVBand="0" w:evenVBand="0" w:oddHBand="0" w:evenHBand="1" w:firstRowFirstColumn="0" w:firstRowLastColumn="0" w:lastRowFirstColumn="0" w:lastRowLastColumn="0"/>
            </w:pPr>
            <w:r w:rsidRPr="005F6F7F">
              <w:t>2.4</w:t>
            </w:r>
          </w:p>
        </w:tc>
        <w:tc>
          <w:tcPr>
            <w:tcW w:w="1191" w:type="dxa"/>
            <w:noWrap/>
          </w:tcPr>
          <w:p w:rsidR="005F6F7F" w:rsidRPr="005F6F7F" w:rsidRDefault="005F6F7F" w:rsidP="00857186">
            <w:pPr>
              <w:keepNext/>
              <w:cnfStyle w:val="000000010000" w:firstRow="0" w:lastRow="0" w:firstColumn="0" w:lastColumn="0" w:oddVBand="0" w:evenVBand="0" w:oddHBand="0" w:evenHBand="1" w:firstRowFirstColumn="0" w:firstRowLastColumn="0" w:lastRowFirstColumn="0" w:lastRowLastColumn="0"/>
            </w:pPr>
            <w:r w:rsidRPr="005F6F7F">
              <w:t>2.5</w:t>
            </w:r>
          </w:p>
        </w:tc>
        <w:tc>
          <w:tcPr>
            <w:tcW w:w="1191" w:type="dxa"/>
            <w:noWrap/>
          </w:tcPr>
          <w:p w:rsidR="005F6F7F" w:rsidRPr="005F6F7F" w:rsidRDefault="005F6F7F" w:rsidP="00857186">
            <w:pPr>
              <w:keepNext/>
              <w:cnfStyle w:val="000000010000" w:firstRow="0" w:lastRow="0" w:firstColumn="0" w:lastColumn="0" w:oddVBand="0" w:evenVBand="0" w:oddHBand="0" w:evenHBand="1" w:firstRowFirstColumn="0" w:firstRowLastColumn="0" w:lastRowFirstColumn="0" w:lastRowLastColumn="0"/>
            </w:pPr>
            <w:r w:rsidRPr="005F6F7F">
              <w:t>2.6</w:t>
            </w:r>
          </w:p>
        </w:tc>
      </w:tr>
      <w:tr w:rsidR="005F6F7F" w:rsidRPr="007F00CD" w:rsidTr="0003290C">
        <w:trPr>
          <w:trHeight w:val="418"/>
        </w:trPr>
        <w:tc>
          <w:tcPr>
            <w:cnfStyle w:val="001000000000" w:firstRow="0" w:lastRow="0" w:firstColumn="1" w:lastColumn="0" w:oddVBand="0" w:evenVBand="0" w:oddHBand="0" w:evenHBand="0" w:firstRowFirstColumn="0" w:firstRowLastColumn="0" w:lastRowFirstColumn="0" w:lastRowLastColumn="0"/>
            <w:tcW w:w="2802" w:type="dxa"/>
            <w:noWrap/>
          </w:tcPr>
          <w:p w:rsidR="005F6F7F" w:rsidRPr="005F6F7F" w:rsidRDefault="005F6F7F" w:rsidP="00857186">
            <w:pPr>
              <w:keepNext/>
            </w:pPr>
            <w:r w:rsidRPr="005F6F7F">
              <w:t>Indexation of capital base</w:t>
            </w:r>
          </w:p>
        </w:tc>
        <w:tc>
          <w:tcPr>
            <w:tcW w:w="1190"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2.8</w:t>
            </w:r>
          </w:p>
        </w:tc>
        <w:tc>
          <w:tcPr>
            <w:tcW w:w="1191"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2.9</w:t>
            </w:r>
          </w:p>
        </w:tc>
        <w:tc>
          <w:tcPr>
            <w:tcW w:w="1190"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3.0</w:t>
            </w:r>
          </w:p>
        </w:tc>
        <w:tc>
          <w:tcPr>
            <w:tcW w:w="1191"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3.0</w:t>
            </w:r>
          </w:p>
        </w:tc>
        <w:tc>
          <w:tcPr>
            <w:tcW w:w="1191"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3.0</w:t>
            </w:r>
          </w:p>
        </w:tc>
      </w:tr>
      <w:tr w:rsidR="005F6F7F" w:rsidRPr="007F00CD" w:rsidTr="0003290C">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802" w:type="dxa"/>
            <w:noWrap/>
          </w:tcPr>
          <w:p w:rsidR="005F6F7F" w:rsidRPr="005F6F7F" w:rsidRDefault="005F6F7F" w:rsidP="00857186">
            <w:pPr>
              <w:keepNext/>
            </w:pPr>
            <w:r w:rsidRPr="005F6F7F">
              <w:t>Depreciation</w:t>
            </w:r>
          </w:p>
        </w:tc>
        <w:tc>
          <w:tcPr>
            <w:tcW w:w="1190" w:type="dxa"/>
            <w:noWrap/>
          </w:tcPr>
          <w:p w:rsidR="005F6F7F" w:rsidRPr="005F6F7F" w:rsidRDefault="00291E32" w:rsidP="00857186">
            <w:pPr>
              <w:keepNext/>
              <w:cnfStyle w:val="000000010000" w:firstRow="0" w:lastRow="0" w:firstColumn="0" w:lastColumn="0" w:oddVBand="0" w:evenVBand="0" w:oddHBand="0" w:evenHBand="1" w:firstRowFirstColumn="0" w:firstRowLastColumn="0" w:lastRowFirstColumn="0" w:lastRowLastColumn="0"/>
            </w:pPr>
            <w:r>
              <w:t>–</w:t>
            </w:r>
            <w:r w:rsidR="005F6F7F" w:rsidRPr="005F6F7F">
              <w:t>3.5</w:t>
            </w:r>
          </w:p>
        </w:tc>
        <w:tc>
          <w:tcPr>
            <w:tcW w:w="1191" w:type="dxa"/>
            <w:noWrap/>
          </w:tcPr>
          <w:p w:rsidR="005F6F7F" w:rsidRPr="005F6F7F" w:rsidRDefault="00291E32" w:rsidP="00857186">
            <w:pPr>
              <w:keepNext/>
              <w:cnfStyle w:val="000000010000" w:firstRow="0" w:lastRow="0" w:firstColumn="0" w:lastColumn="0" w:oddVBand="0" w:evenVBand="0" w:oddHBand="0" w:evenHBand="1" w:firstRowFirstColumn="0" w:firstRowLastColumn="0" w:lastRowFirstColumn="0" w:lastRowLastColumn="0"/>
            </w:pPr>
            <w:r>
              <w:t>–</w:t>
            </w:r>
            <w:r w:rsidR="005F6F7F" w:rsidRPr="005F6F7F">
              <w:t>3.9</w:t>
            </w:r>
          </w:p>
        </w:tc>
        <w:tc>
          <w:tcPr>
            <w:tcW w:w="1190" w:type="dxa"/>
            <w:noWrap/>
          </w:tcPr>
          <w:p w:rsidR="005F6F7F" w:rsidRPr="005F6F7F" w:rsidRDefault="00291E32" w:rsidP="00857186">
            <w:pPr>
              <w:keepNext/>
              <w:cnfStyle w:val="000000010000" w:firstRow="0" w:lastRow="0" w:firstColumn="0" w:lastColumn="0" w:oddVBand="0" w:evenVBand="0" w:oddHBand="0" w:evenHBand="1" w:firstRowFirstColumn="0" w:firstRowLastColumn="0" w:lastRowFirstColumn="0" w:lastRowLastColumn="0"/>
            </w:pPr>
            <w:r>
              <w:t>–</w:t>
            </w:r>
            <w:r w:rsidR="005F6F7F" w:rsidRPr="005F6F7F">
              <w:t>4.1</w:t>
            </w:r>
          </w:p>
        </w:tc>
        <w:tc>
          <w:tcPr>
            <w:tcW w:w="1191" w:type="dxa"/>
            <w:noWrap/>
          </w:tcPr>
          <w:p w:rsidR="005F6F7F" w:rsidRPr="005F6F7F" w:rsidRDefault="00291E32" w:rsidP="00857186">
            <w:pPr>
              <w:keepNext/>
              <w:cnfStyle w:val="000000010000" w:firstRow="0" w:lastRow="0" w:firstColumn="0" w:lastColumn="0" w:oddVBand="0" w:evenVBand="0" w:oddHBand="0" w:evenHBand="1" w:firstRowFirstColumn="0" w:firstRowLastColumn="0" w:lastRowFirstColumn="0" w:lastRowLastColumn="0"/>
            </w:pPr>
            <w:r>
              <w:t>–</w:t>
            </w:r>
            <w:r w:rsidR="005F6F7F" w:rsidRPr="005F6F7F">
              <w:t>4.3</w:t>
            </w:r>
          </w:p>
        </w:tc>
        <w:tc>
          <w:tcPr>
            <w:tcW w:w="1191" w:type="dxa"/>
            <w:noWrap/>
          </w:tcPr>
          <w:p w:rsidR="005F6F7F" w:rsidRPr="005F6F7F" w:rsidRDefault="00291E32" w:rsidP="00857186">
            <w:pPr>
              <w:keepNext/>
              <w:cnfStyle w:val="000000010000" w:firstRow="0" w:lastRow="0" w:firstColumn="0" w:lastColumn="0" w:oddVBand="0" w:evenVBand="0" w:oddHBand="0" w:evenHBand="1" w:firstRowFirstColumn="0" w:firstRowLastColumn="0" w:lastRowFirstColumn="0" w:lastRowLastColumn="0"/>
            </w:pPr>
            <w:r>
              <w:t>–</w:t>
            </w:r>
            <w:r w:rsidR="005F6F7F" w:rsidRPr="005F6F7F">
              <w:t>4.6</w:t>
            </w:r>
          </w:p>
        </w:tc>
      </w:tr>
      <w:tr w:rsidR="005F6F7F" w:rsidRPr="007F00CD" w:rsidTr="0003290C">
        <w:trPr>
          <w:trHeight w:val="422"/>
        </w:trPr>
        <w:tc>
          <w:tcPr>
            <w:cnfStyle w:val="001000000000" w:firstRow="0" w:lastRow="0" w:firstColumn="1" w:lastColumn="0" w:oddVBand="0" w:evenVBand="0" w:oddHBand="0" w:evenHBand="0" w:firstRowFirstColumn="0" w:firstRowLastColumn="0" w:lastRowFirstColumn="0" w:lastRowLastColumn="0"/>
            <w:tcW w:w="2802" w:type="dxa"/>
            <w:noWrap/>
          </w:tcPr>
          <w:p w:rsidR="005F6F7F" w:rsidRPr="005F6F7F" w:rsidRDefault="005F6F7F" w:rsidP="00857186">
            <w:pPr>
              <w:keepNext/>
            </w:pPr>
            <w:r w:rsidRPr="005F6F7F">
              <w:t>Closing capital base</w:t>
            </w:r>
          </w:p>
        </w:tc>
        <w:tc>
          <w:tcPr>
            <w:tcW w:w="1190"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123.0</w:t>
            </w:r>
          </w:p>
        </w:tc>
        <w:tc>
          <w:tcPr>
            <w:tcW w:w="1191"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124.7</w:t>
            </w:r>
          </w:p>
        </w:tc>
        <w:tc>
          <w:tcPr>
            <w:tcW w:w="1190"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126.0</w:t>
            </w:r>
          </w:p>
        </w:tc>
        <w:tc>
          <w:tcPr>
            <w:tcW w:w="1191"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127.1</w:t>
            </w:r>
          </w:p>
        </w:tc>
        <w:tc>
          <w:tcPr>
            <w:tcW w:w="1191" w:type="dxa"/>
            <w:noWrap/>
          </w:tcPr>
          <w:p w:rsidR="005F6F7F" w:rsidRPr="005F6F7F" w:rsidRDefault="005F6F7F" w:rsidP="00857186">
            <w:pPr>
              <w:keepNext/>
              <w:cnfStyle w:val="000000000000" w:firstRow="0" w:lastRow="0" w:firstColumn="0" w:lastColumn="0" w:oddVBand="0" w:evenVBand="0" w:oddHBand="0" w:evenHBand="0" w:firstRowFirstColumn="0" w:firstRowLastColumn="0" w:lastRowFirstColumn="0" w:lastRowLastColumn="0"/>
            </w:pPr>
            <w:r w:rsidRPr="005F6F7F">
              <w:t>128.2</w:t>
            </w:r>
          </w:p>
        </w:tc>
      </w:tr>
    </w:tbl>
    <w:bookmarkEnd w:id="71"/>
    <w:p w:rsidR="00EF562B" w:rsidRDefault="00EF562B" w:rsidP="00857186">
      <w:pPr>
        <w:pStyle w:val="AERtablesource"/>
        <w:keepNext/>
        <w:rPr>
          <w:rFonts w:eastAsia="Calibri"/>
        </w:rPr>
      </w:pPr>
      <w:r w:rsidRPr="00EF562B">
        <w:rPr>
          <w:rFonts w:eastAsia="Calibri"/>
        </w:rPr>
        <w:t xml:space="preserve">Source: </w:t>
      </w:r>
      <w:r w:rsidRPr="00EF562B">
        <w:rPr>
          <w:rFonts w:eastAsia="Calibri"/>
        </w:rPr>
        <w:tab/>
        <w:t>AER analysis.</w:t>
      </w:r>
    </w:p>
    <w:p w:rsidR="00291E32" w:rsidRDefault="00291E32" w:rsidP="00857186">
      <w:r>
        <w:fldChar w:fldCharType="begin"/>
      </w:r>
      <w:r>
        <w:instrText xml:space="preserve"> REF _Ref450729317 \h </w:instrText>
      </w:r>
      <w:r>
        <w:fldChar w:fldCharType="separate"/>
      </w:r>
      <w:r w:rsidR="009F7892">
        <w:t xml:space="preserve">Figure </w:t>
      </w:r>
      <w:r w:rsidR="009F7892">
        <w:rPr>
          <w:noProof/>
        </w:rPr>
        <w:t>7</w:t>
      </w:r>
      <w:r>
        <w:fldChar w:fldCharType="end"/>
      </w:r>
      <w:r>
        <w:t xml:space="preserve"> compares our final decision on APTNT's forecast capital base </w:t>
      </w:r>
      <w:r w:rsidRPr="00291E32">
        <w:t xml:space="preserve">to </w:t>
      </w:r>
      <w:r>
        <w:t>APTNT's</w:t>
      </w:r>
      <w:r w:rsidRPr="00291E32">
        <w:t xml:space="preserve"> revised proposal and actual </w:t>
      </w:r>
      <w:r w:rsidR="00286299">
        <w:t>capital base</w:t>
      </w:r>
      <w:r w:rsidRPr="00291E32">
        <w:t xml:space="preserve"> in real dollar terms.</w:t>
      </w:r>
    </w:p>
    <w:p w:rsidR="00943523" w:rsidRDefault="006602A9" w:rsidP="00857186">
      <w:pPr>
        <w:pStyle w:val="Caption"/>
      </w:pPr>
      <w:bookmarkStart w:id="72" w:name="_Ref450729317"/>
      <w:r>
        <w:t xml:space="preserve">Figure </w:t>
      </w:r>
      <w:fldSimple w:instr=" SEQ Figure \* ARABIC ">
        <w:r w:rsidR="009F7892">
          <w:rPr>
            <w:noProof/>
          </w:rPr>
          <w:t>7</w:t>
        </w:r>
      </w:fldSimple>
      <w:bookmarkEnd w:id="72"/>
      <w:r>
        <w:tab/>
      </w:r>
      <w:r w:rsidR="00304860">
        <w:t>APTNT's actual capital base, revised proposed forecast capital base and AER final decision forecast capital base ($ million, 2015–16)</w:t>
      </w:r>
    </w:p>
    <w:p w:rsidR="00D73CFC" w:rsidRDefault="00D73CFC" w:rsidP="00857186">
      <w:r w:rsidRPr="00D73CFC">
        <w:rPr>
          <w:noProof/>
          <w:lang w:eastAsia="en-AU"/>
        </w:rPr>
        <w:drawing>
          <wp:inline distT="0" distB="0" distL="0" distR="0" wp14:anchorId="412C825F" wp14:editId="63924556">
            <wp:extent cx="5382895" cy="323892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38925"/>
                    </a:xfrm>
                    <a:prstGeom prst="rect">
                      <a:avLst/>
                    </a:prstGeom>
                    <a:noFill/>
                    <a:ln>
                      <a:noFill/>
                    </a:ln>
                  </pic:spPr>
                </pic:pic>
              </a:graphicData>
            </a:graphic>
          </wp:inline>
        </w:drawing>
      </w:r>
    </w:p>
    <w:p w:rsidR="00304860" w:rsidRPr="00857186" w:rsidRDefault="00304860" w:rsidP="00857186">
      <w:pPr>
        <w:pStyle w:val="AERtablesource"/>
        <w:rPr>
          <w:rFonts w:eastAsiaTheme="minorHAnsi"/>
        </w:rPr>
      </w:pPr>
      <w:r>
        <w:t>Source:</w:t>
      </w:r>
      <w:r>
        <w:tab/>
        <w:t>AER analysis</w:t>
      </w:r>
      <w:r w:rsidR="006602A9">
        <w:t>.</w:t>
      </w:r>
    </w:p>
    <w:p w:rsidR="005766DB" w:rsidRDefault="005766DB" w:rsidP="00857186">
      <w:pPr>
        <w:pStyle w:val="Heading2"/>
        <w:keepNext/>
      </w:pPr>
      <w:bookmarkStart w:id="73" w:name="_Toc436046182"/>
      <w:bookmarkStart w:id="74" w:name="_Ref437605154"/>
      <w:bookmarkStart w:id="75" w:name="_Ref449527434"/>
      <w:bookmarkStart w:id="76" w:name="_Ref450818139"/>
      <w:bookmarkStart w:id="77" w:name="_Toc451873627"/>
      <w:r>
        <w:t>Rate of return (return on capital)</w:t>
      </w:r>
      <w:bookmarkEnd w:id="64"/>
      <w:bookmarkEnd w:id="65"/>
      <w:bookmarkEnd w:id="66"/>
      <w:bookmarkEnd w:id="73"/>
      <w:bookmarkEnd w:id="74"/>
      <w:bookmarkEnd w:id="75"/>
      <w:bookmarkEnd w:id="76"/>
      <w:bookmarkEnd w:id="77"/>
    </w:p>
    <w:p w:rsidR="00950501" w:rsidRDefault="00950501" w:rsidP="00857186">
      <w:pPr>
        <w:keepNext/>
      </w:pPr>
      <w:r w:rsidRPr="00796C00">
        <w:t xml:space="preserve">The allowed rate of return provides a service provider a return on capital to service the interest on its loans and give a return on equity to investors. The return on capital building block is calculated as a product of the rate of return and the value of the </w:t>
      </w:r>
      <w:r>
        <w:t>capital base</w:t>
      </w:r>
      <w:r w:rsidRPr="00796C00">
        <w:t xml:space="preserve">. </w:t>
      </w:r>
    </w:p>
    <w:p w:rsidR="00950501" w:rsidRDefault="00950501" w:rsidP="00950501">
      <w:pPr>
        <w:numPr>
          <w:ilvl w:val="0"/>
          <w:numId w:val="24"/>
        </w:numPr>
      </w:pPr>
      <w:r>
        <w:t xml:space="preserve">We are satisfied that the allowed rate of return of 6.18 per cent (nominal vanilla) we determined </w:t>
      </w:r>
      <w:r w:rsidR="007D0458">
        <w:t xml:space="preserve">contributes to the NGO and </w:t>
      </w:r>
      <w:r>
        <w:t xml:space="preserve">achieves the </w:t>
      </w:r>
      <w:r w:rsidRPr="00E75E61">
        <w:t xml:space="preserve">allowed </w:t>
      </w:r>
      <w:r>
        <w:t>rate of return objective</w:t>
      </w:r>
      <w:r w:rsidR="009B533B">
        <w:t xml:space="preserve"> set out in the NGR</w:t>
      </w:r>
      <w:r>
        <w:t>.</w:t>
      </w:r>
      <w:r>
        <w:rPr>
          <w:rStyle w:val="FootnoteReference"/>
        </w:rPr>
        <w:footnoteReference w:id="21"/>
      </w:r>
      <w:r>
        <w:t xml:space="preserve"> That is, we are satisfied that this allowed rate of return is commensurate with the efficient financing costs of a benchmark efficient entity with a similar degree of risk as that which applies to APTNT in providing reference services.</w:t>
      </w:r>
      <w:r>
        <w:rPr>
          <w:rStyle w:val="FootnoteReference"/>
        </w:rPr>
        <w:footnoteReference w:id="22"/>
      </w:r>
    </w:p>
    <w:p w:rsidR="00950501" w:rsidRDefault="00950501" w:rsidP="00950501">
      <w:pPr>
        <w:numPr>
          <w:ilvl w:val="0"/>
          <w:numId w:val="24"/>
        </w:numPr>
      </w:pPr>
      <w:r>
        <w:t>This allowed rate of return will apply to APTNT for the 2016</w:t>
      </w:r>
      <w:r w:rsidRPr="00A7742C">
        <w:t>–</w:t>
      </w:r>
      <w:r>
        <w:t xml:space="preserve">17 regulatory year. A different rate of return will apply to APTNT </w:t>
      </w:r>
      <w:r w:rsidR="009B533B">
        <w:t>in each</w:t>
      </w:r>
      <w:r>
        <w:t xml:space="preserve"> remaining regulatory year of the 2016–21 access arrangement period. This is because we will update the return on debt component of the rate of return each year to partially reflect prevailing debt market conditions in each year. We discuss this annual update further below. </w:t>
      </w:r>
    </w:p>
    <w:p w:rsidR="000E3E98" w:rsidRDefault="000E3E98" w:rsidP="000E3E98">
      <w:pPr>
        <w:pStyle w:val="ListParagraph"/>
        <w:numPr>
          <w:ilvl w:val="0"/>
          <w:numId w:val="24"/>
        </w:numPr>
      </w:pPr>
      <w:r w:rsidRPr="000E3E98">
        <w:t xml:space="preserve">In its initial and revised proposals APTNT proposed that we depart from the rate of return guideline (the Guideline) and our draft decision on the allowed rate of return for APTNT.  APTNT provided further information in support of its revised proposal, which included a change in methodology to the calculation of return on debt. </w:t>
      </w:r>
      <w:r>
        <w:t xml:space="preserve">The Australian Competition Tribunal (the Tribunal) also recently reviewed several </w:t>
      </w:r>
      <w:r w:rsidR="00F90501">
        <w:t xml:space="preserve">of the </w:t>
      </w:r>
      <w:r>
        <w:t xml:space="preserve">aspects of our approach to estimating the rate of return that have been contested in </w:t>
      </w:r>
      <w:r w:rsidR="00F90501">
        <w:t>our assessment of APTNT's proposal</w:t>
      </w:r>
      <w:r>
        <w:t>. While it upheld a number of these, it found error in other aspects of our approach and remitted these matters back to us. On 24 March 2016, we applied to the Federal Court for judicial review of these aspects of the Tribunal's decision.</w:t>
      </w:r>
    </w:p>
    <w:p w:rsidR="000E3E98" w:rsidRPr="000E3E98" w:rsidRDefault="000E3E98" w:rsidP="000E3E98">
      <w:pPr>
        <w:pStyle w:val="ListParagraph"/>
        <w:numPr>
          <w:ilvl w:val="0"/>
          <w:numId w:val="24"/>
        </w:numPr>
      </w:pPr>
      <w:r>
        <w:t xml:space="preserve">With respect to the current decision before us, we have considered the information provided by APTNT </w:t>
      </w:r>
      <w:r w:rsidR="00F90501">
        <w:t xml:space="preserve">as well as </w:t>
      </w:r>
      <w:r>
        <w:t>submissions from other stakeholders on APTNT's revised proposal. However, w</w:t>
      </w:r>
      <w:r w:rsidRPr="000E3E98">
        <w:t>e are not satisfied that a change in our approach would produce an allowed rate of return that better achieves the allowed rate of return objective.  Our reasons are highlighted below and explained in further detail in Attachment 3 to this decision.</w:t>
      </w:r>
    </w:p>
    <w:p w:rsidR="000E3E98" w:rsidRDefault="000E3E98" w:rsidP="000E3E98">
      <w:pPr>
        <w:numPr>
          <w:ilvl w:val="0"/>
          <w:numId w:val="24"/>
        </w:numPr>
      </w:pPr>
      <w:r>
        <w:t>We agree with the following aspects of APTNT's revised rate of return proposal:</w:t>
      </w:r>
    </w:p>
    <w:p w:rsidR="000E3E98" w:rsidRPr="00950501" w:rsidRDefault="000E3E98" w:rsidP="000E3E98">
      <w:pPr>
        <w:pStyle w:val="AERbulletlistfirststyle"/>
      </w:pPr>
      <w:r>
        <w:t>adopting a weighted average of the return on equity and return on debt (WACC)</w:t>
      </w:r>
      <w:r w:rsidRPr="00950501">
        <w:t xml:space="preserve"> determined on a nominal vanilla basis (as required by the </w:t>
      </w:r>
      <w:r>
        <w:t>NGR</w:t>
      </w:r>
      <w:r w:rsidRPr="00950501">
        <w:t>)</w:t>
      </w:r>
    </w:p>
    <w:p w:rsidR="000E3E98" w:rsidRPr="00950501" w:rsidRDefault="000E3E98" w:rsidP="000E3E98">
      <w:pPr>
        <w:pStyle w:val="AERbulletlistfirststyle"/>
      </w:pPr>
      <w:r>
        <w:t>adopting a 60</w:t>
      </w:r>
      <w:r w:rsidRPr="00950501">
        <w:t xml:space="preserve"> per cent gearing ratio</w:t>
      </w:r>
    </w:p>
    <w:p w:rsidR="000E3E98" w:rsidRPr="00950501" w:rsidRDefault="000E3E98" w:rsidP="000E3E98">
      <w:pPr>
        <w:pStyle w:val="AERbulletlistfirststyle"/>
      </w:pPr>
      <w:r>
        <w:t>adopting a 10 year term for the return on debt</w:t>
      </w:r>
    </w:p>
    <w:p w:rsidR="000E3E98" w:rsidRPr="00950501" w:rsidRDefault="000E3E98" w:rsidP="000E3E98">
      <w:pPr>
        <w:pStyle w:val="AERbulletlistfirststyle"/>
      </w:pPr>
      <w:r>
        <w:t>estimating the return on debt by reference to a third party data series</w:t>
      </w:r>
    </w:p>
    <w:p w:rsidR="000E3E98" w:rsidRPr="00950501" w:rsidRDefault="000E3E98" w:rsidP="000E3E98">
      <w:pPr>
        <w:pStyle w:val="AERbulletlistfirststyle"/>
      </w:pPr>
      <w:r>
        <w:t xml:space="preserve">estimating the risk free rate using nominal Commonwealth government securities averaged over 20 business days as close as practical to the commencement of the </w:t>
      </w:r>
      <w:r w:rsidRPr="00950501">
        <w:t>access arrangement period.</w:t>
      </w:r>
    </w:p>
    <w:p w:rsidR="000E3E98" w:rsidRPr="00950501" w:rsidRDefault="000E3E98" w:rsidP="000E3E98">
      <w:pPr>
        <w:pStyle w:val="AERbulletlistfirststyle"/>
      </w:pPr>
      <w:r>
        <w:t>accepting our approach to extrapolating the return on debt where necessary</w:t>
      </w:r>
      <w:r w:rsidR="00725F3E">
        <w:t>.</w:t>
      </w:r>
    </w:p>
    <w:p w:rsidR="00950501" w:rsidRPr="009E54A9" w:rsidRDefault="000E3E98" w:rsidP="00950501">
      <w:r>
        <w:t>However, w</w:t>
      </w:r>
      <w:r w:rsidR="00950501">
        <w:t>e are not satisfied that APTNT's proposed (indicative) 8.58 per cent rate of return for the 2016–17 regulatory year has been determined such that it achieves the allowed rate of return objective.</w:t>
      </w:r>
      <w:r w:rsidR="00950501">
        <w:rPr>
          <w:rStyle w:val="FootnoteReference"/>
        </w:rPr>
        <w:footnoteReference w:id="23"/>
      </w:r>
      <w:r w:rsidR="00950501">
        <w:t xml:space="preserve"> </w:t>
      </w:r>
    </w:p>
    <w:p w:rsidR="00950501" w:rsidRDefault="00950501" w:rsidP="00950501">
      <w:pPr>
        <w:numPr>
          <w:ilvl w:val="0"/>
          <w:numId w:val="24"/>
        </w:numPr>
      </w:pPr>
      <w:r>
        <w:t>Our allowed rate of return is a weighted average of our return on equity and return on debt estimates (WACC)</w:t>
      </w:r>
      <w:r w:rsidRPr="008E2B69">
        <w:t xml:space="preserve"> </w:t>
      </w:r>
      <w:r>
        <w:t>determined on a nominal vanilla basis that is consistent with our estimate of the value of imputation credits.</w:t>
      </w:r>
      <w:r>
        <w:rPr>
          <w:rStyle w:val="FootnoteReference"/>
        </w:rPr>
        <w:footnoteReference w:id="24"/>
      </w:r>
      <w:r>
        <w:t xml:space="preserve"> Also, in arriving at our decision we have taken into account the revenue and pricing principles (RPPs) </w:t>
      </w:r>
      <w:r w:rsidR="009B533B">
        <w:t xml:space="preserve">as set out in the NGL </w:t>
      </w:r>
      <w:r>
        <w:t>and are also satisfied that our decision will or is likely to contribute to the achievement of the NGO.</w:t>
      </w:r>
      <w:r>
        <w:rPr>
          <w:rStyle w:val="FootnoteReference"/>
        </w:rPr>
        <w:footnoteReference w:id="25"/>
      </w:r>
      <w:r>
        <w:t xml:space="preserve"> Our rate of return and APTNT's proposed rate of return </w:t>
      </w:r>
      <w:r w:rsidR="009B533B">
        <w:t xml:space="preserve">are </w:t>
      </w:r>
      <w:r>
        <w:t xml:space="preserve">set out in </w:t>
      </w:r>
      <w:r>
        <w:fldChar w:fldCharType="begin"/>
      </w:r>
      <w:r>
        <w:instrText xml:space="preserve"> REF _Ref449594652 \h </w:instrText>
      </w:r>
      <w:r>
        <w:fldChar w:fldCharType="separate"/>
      </w:r>
      <w:r w:rsidR="009F7892">
        <w:t xml:space="preserve">Table </w:t>
      </w:r>
      <w:r w:rsidR="009F7892">
        <w:rPr>
          <w:noProof/>
        </w:rPr>
        <w:t>6</w:t>
      </w:r>
      <w:r>
        <w:fldChar w:fldCharType="end"/>
      </w:r>
      <w:r>
        <w:t>.</w:t>
      </w:r>
    </w:p>
    <w:p w:rsidR="00950501" w:rsidRDefault="00950501" w:rsidP="00950501">
      <w:pPr>
        <w:pStyle w:val="Caption"/>
      </w:pPr>
      <w:bookmarkStart w:id="78" w:name="_Ref449594652"/>
      <w:r>
        <w:t xml:space="preserve">Table </w:t>
      </w:r>
      <w:fldSimple w:instr=" SEQ Table \* ARABIC ">
        <w:r w:rsidR="009F7892">
          <w:rPr>
            <w:noProof/>
          </w:rPr>
          <w:t>6</w:t>
        </w:r>
      </w:fldSimple>
      <w:bookmarkEnd w:id="78"/>
      <w:r>
        <w:tab/>
        <w:t>Final decision on APTNT's rate of return (% nominal)</w:t>
      </w:r>
    </w:p>
    <w:tbl>
      <w:tblPr>
        <w:tblStyle w:val="AERtable-text0"/>
        <w:tblW w:w="5000" w:type="pct"/>
        <w:tblLook w:val="04A0" w:firstRow="1" w:lastRow="0" w:firstColumn="1" w:lastColumn="0" w:noHBand="0" w:noVBand="1"/>
      </w:tblPr>
      <w:tblGrid>
        <w:gridCol w:w="1953"/>
        <w:gridCol w:w="1841"/>
        <w:gridCol w:w="1700"/>
        <w:gridCol w:w="1280"/>
        <w:gridCol w:w="1919"/>
      </w:tblGrid>
      <w:tr w:rsidR="00DE6C18" w:rsidRPr="00DE6C18" w:rsidTr="00DE6C18">
        <w:trPr>
          <w:cnfStyle w:val="100000000000" w:firstRow="1" w:lastRow="0" w:firstColumn="0" w:lastColumn="0" w:oddVBand="0" w:evenVBand="0" w:oddHBand="0" w:evenHBand="0" w:firstRowFirstColumn="0" w:firstRowLastColumn="0" w:lastRowFirstColumn="0" w:lastRowLastColumn="0"/>
          <w:tblHeader/>
        </w:trPr>
        <w:tc>
          <w:tcPr>
            <w:tcW w:w="1123" w:type="pct"/>
          </w:tcPr>
          <w:p w:rsidR="00950501" w:rsidRPr="00950501" w:rsidRDefault="00950501" w:rsidP="00DE6C18">
            <w:pPr>
              <w:keepNext/>
              <w:numPr>
                <w:ilvl w:val="0"/>
                <w:numId w:val="23"/>
              </w:numPr>
              <w:rPr>
                <w:szCs w:val="16"/>
              </w:rPr>
            </w:pPr>
          </w:p>
        </w:tc>
        <w:tc>
          <w:tcPr>
            <w:tcW w:w="1059" w:type="pct"/>
          </w:tcPr>
          <w:p w:rsidR="00950501" w:rsidRPr="00DE6C18" w:rsidRDefault="00950501" w:rsidP="00DE6C18">
            <w:pPr>
              <w:pStyle w:val="AERtabletextright"/>
              <w:keepNext/>
              <w:jc w:val="center"/>
              <w:rPr>
                <w:sz w:val="16"/>
                <w:szCs w:val="16"/>
              </w:rPr>
            </w:pPr>
            <w:r w:rsidRPr="00DE6C18">
              <w:rPr>
                <w:sz w:val="16"/>
                <w:szCs w:val="16"/>
              </w:rPr>
              <w:t xml:space="preserve">Previous access arrangement </w:t>
            </w:r>
            <w:r>
              <w:rPr>
                <w:sz w:val="16"/>
                <w:szCs w:val="16"/>
              </w:rPr>
              <w:t xml:space="preserve">    </w:t>
            </w:r>
            <w:r w:rsidRPr="00DE6C18">
              <w:rPr>
                <w:sz w:val="16"/>
                <w:szCs w:val="16"/>
              </w:rPr>
              <w:t>(2011–16)</w:t>
            </w:r>
          </w:p>
        </w:tc>
        <w:tc>
          <w:tcPr>
            <w:tcW w:w="978" w:type="pct"/>
          </w:tcPr>
          <w:p w:rsidR="00950501" w:rsidRPr="00DE6C18" w:rsidRDefault="00950501" w:rsidP="00DE6C18">
            <w:pPr>
              <w:pStyle w:val="AERtabletextright"/>
              <w:keepNext/>
              <w:jc w:val="center"/>
              <w:rPr>
                <w:sz w:val="16"/>
                <w:szCs w:val="16"/>
              </w:rPr>
            </w:pPr>
            <w:r w:rsidRPr="00DE6C18">
              <w:rPr>
                <w:sz w:val="16"/>
                <w:szCs w:val="16"/>
              </w:rPr>
              <w:t>APTNT revised proposal (2016–17)</w:t>
            </w:r>
          </w:p>
        </w:tc>
        <w:tc>
          <w:tcPr>
            <w:tcW w:w="736" w:type="pct"/>
          </w:tcPr>
          <w:p w:rsidR="00950501" w:rsidRPr="00DE6C18" w:rsidRDefault="00950501" w:rsidP="00DE6C18">
            <w:pPr>
              <w:pStyle w:val="AERtabletextright"/>
              <w:keepNext/>
              <w:jc w:val="center"/>
              <w:rPr>
                <w:sz w:val="16"/>
                <w:szCs w:val="16"/>
              </w:rPr>
            </w:pPr>
            <w:r w:rsidRPr="00DE6C18">
              <w:rPr>
                <w:sz w:val="16"/>
                <w:szCs w:val="16"/>
              </w:rPr>
              <w:t>AER final decision (2016–17)</w:t>
            </w:r>
          </w:p>
        </w:tc>
        <w:tc>
          <w:tcPr>
            <w:tcW w:w="1104" w:type="pct"/>
          </w:tcPr>
          <w:p w:rsidR="00950501" w:rsidRPr="00DE6C18" w:rsidRDefault="00950501" w:rsidP="00DE6C18">
            <w:pPr>
              <w:pStyle w:val="AERtabletextright"/>
              <w:keepNext/>
              <w:jc w:val="center"/>
              <w:rPr>
                <w:sz w:val="16"/>
                <w:szCs w:val="16"/>
              </w:rPr>
            </w:pPr>
            <w:r w:rsidRPr="00DE6C18">
              <w:rPr>
                <w:sz w:val="16"/>
                <w:szCs w:val="16"/>
              </w:rPr>
              <w:t>Allowed return over 2016–21 period</w:t>
            </w:r>
          </w:p>
        </w:tc>
      </w:tr>
      <w:tr w:rsidR="00950501" w:rsidRPr="00DE6C18" w:rsidTr="009835A9">
        <w:tc>
          <w:tcPr>
            <w:tcW w:w="1123" w:type="pct"/>
          </w:tcPr>
          <w:p w:rsidR="00950501" w:rsidRPr="00DE6C18" w:rsidRDefault="00950501" w:rsidP="00DE6C18">
            <w:pPr>
              <w:pStyle w:val="AERtabletextleft"/>
              <w:keepNext/>
              <w:rPr>
                <w:sz w:val="16"/>
                <w:szCs w:val="16"/>
              </w:rPr>
            </w:pPr>
            <w:r w:rsidRPr="00DE6C18">
              <w:rPr>
                <w:sz w:val="16"/>
                <w:szCs w:val="16"/>
              </w:rPr>
              <w:t xml:space="preserve">Return on equity    (nominal post–tax) </w:t>
            </w:r>
          </w:p>
        </w:tc>
        <w:tc>
          <w:tcPr>
            <w:tcW w:w="1059" w:type="pct"/>
          </w:tcPr>
          <w:p w:rsidR="00950501" w:rsidRPr="00DE6C18" w:rsidRDefault="00950501" w:rsidP="00DE6C18">
            <w:pPr>
              <w:pStyle w:val="Tabletext"/>
              <w:keepNext/>
              <w:rPr>
                <w:sz w:val="16"/>
                <w:szCs w:val="16"/>
              </w:rPr>
            </w:pPr>
            <w:r w:rsidRPr="00DE6C18">
              <w:rPr>
                <w:sz w:val="16"/>
                <w:szCs w:val="16"/>
              </w:rPr>
              <w:t>10.33</w:t>
            </w:r>
          </w:p>
        </w:tc>
        <w:tc>
          <w:tcPr>
            <w:tcW w:w="978" w:type="pct"/>
          </w:tcPr>
          <w:p w:rsidR="00950501" w:rsidRPr="00DE6C18" w:rsidRDefault="00950501" w:rsidP="006A2306">
            <w:pPr>
              <w:pStyle w:val="Tabletext"/>
              <w:keepNext/>
              <w:rPr>
                <w:sz w:val="16"/>
                <w:szCs w:val="16"/>
              </w:rPr>
            </w:pPr>
            <w:r w:rsidRPr="00DE6C18">
              <w:rPr>
                <w:sz w:val="16"/>
                <w:szCs w:val="16"/>
              </w:rPr>
              <w:t>9.6</w:t>
            </w:r>
          </w:p>
        </w:tc>
        <w:tc>
          <w:tcPr>
            <w:tcW w:w="736" w:type="pct"/>
          </w:tcPr>
          <w:p w:rsidR="00950501" w:rsidRPr="00DE6C18" w:rsidRDefault="00950501" w:rsidP="00DE6C18">
            <w:pPr>
              <w:pStyle w:val="Tabletext"/>
              <w:keepNext/>
              <w:rPr>
                <w:sz w:val="16"/>
                <w:szCs w:val="16"/>
              </w:rPr>
            </w:pPr>
            <w:r w:rsidRPr="00DE6C18">
              <w:rPr>
                <w:sz w:val="16"/>
                <w:szCs w:val="16"/>
              </w:rPr>
              <w:t>7.1</w:t>
            </w:r>
          </w:p>
        </w:tc>
        <w:tc>
          <w:tcPr>
            <w:tcW w:w="1104" w:type="pct"/>
          </w:tcPr>
          <w:p w:rsidR="00950501" w:rsidRPr="00DE6C18" w:rsidRDefault="00950501" w:rsidP="00DE6C18">
            <w:pPr>
              <w:pStyle w:val="Tabletext"/>
              <w:keepNext/>
              <w:rPr>
                <w:sz w:val="16"/>
                <w:szCs w:val="16"/>
              </w:rPr>
            </w:pPr>
            <w:r w:rsidRPr="00DE6C18">
              <w:rPr>
                <w:sz w:val="16"/>
                <w:szCs w:val="16"/>
              </w:rPr>
              <w:t>Constant (7.1%)</w:t>
            </w:r>
          </w:p>
        </w:tc>
      </w:tr>
      <w:tr w:rsidR="00DE6C18" w:rsidRPr="00DE6C18" w:rsidTr="009835A9">
        <w:trPr>
          <w:cnfStyle w:val="000000010000" w:firstRow="0" w:lastRow="0" w:firstColumn="0" w:lastColumn="0" w:oddVBand="0" w:evenVBand="0" w:oddHBand="0" w:evenHBand="1" w:firstRowFirstColumn="0" w:firstRowLastColumn="0" w:lastRowFirstColumn="0" w:lastRowLastColumn="0"/>
        </w:trPr>
        <w:tc>
          <w:tcPr>
            <w:tcW w:w="1123" w:type="pct"/>
          </w:tcPr>
          <w:p w:rsidR="00950501" w:rsidRPr="00DE6C18" w:rsidRDefault="00950501" w:rsidP="00DE6C18">
            <w:pPr>
              <w:pStyle w:val="AERtabletextleft"/>
              <w:keepNext/>
              <w:rPr>
                <w:sz w:val="16"/>
                <w:szCs w:val="16"/>
              </w:rPr>
            </w:pPr>
            <w:r w:rsidRPr="00DE6C18">
              <w:rPr>
                <w:sz w:val="16"/>
                <w:szCs w:val="16"/>
              </w:rPr>
              <w:t>Return on debt      (nominal pre–tax)</w:t>
            </w:r>
          </w:p>
        </w:tc>
        <w:tc>
          <w:tcPr>
            <w:tcW w:w="1059" w:type="pct"/>
          </w:tcPr>
          <w:p w:rsidR="00950501" w:rsidRPr="00DE6C18" w:rsidRDefault="00950501" w:rsidP="00DE6C18">
            <w:pPr>
              <w:pStyle w:val="Tabletext"/>
              <w:keepNext/>
              <w:rPr>
                <w:sz w:val="16"/>
                <w:szCs w:val="16"/>
              </w:rPr>
            </w:pPr>
            <w:r w:rsidRPr="00DE6C18">
              <w:rPr>
                <w:sz w:val="16"/>
                <w:szCs w:val="16"/>
              </w:rPr>
              <w:t>9.33</w:t>
            </w:r>
          </w:p>
        </w:tc>
        <w:tc>
          <w:tcPr>
            <w:tcW w:w="978" w:type="pct"/>
          </w:tcPr>
          <w:p w:rsidR="00950501" w:rsidRPr="00DE6C18" w:rsidRDefault="00950501" w:rsidP="00DE6C18">
            <w:pPr>
              <w:pStyle w:val="Tabletext"/>
              <w:keepNext/>
              <w:rPr>
                <w:sz w:val="16"/>
                <w:szCs w:val="16"/>
              </w:rPr>
            </w:pPr>
            <w:r w:rsidRPr="00DE6C18">
              <w:rPr>
                <w:sz w:val="16"/>
                <w:szCs w:val="16"/>
              </w:rPr>
              <w:t>7.9</w:t>
            </w:r>
          </w:p>
        </w:tc>
        <w:tc>
          <w:tcPr>
            <w:tcW w:w="736" w:type="pct"/>
          </w:tcPr>
          <w:p w:rsidR="00950501" w:rsidRPr="00DE6C18" w:rsidRDefault="00950501" w:rsidP="00DE6C18">
            <w:pPr>
              <w:pStyle w:val="Tabletext"/>
              <w:keepNext/>
              <w:rPr>
                <w:sz w:val="16"/>
                <w:szCs w:val="16"/>
              </w:rPr>
            </w:pPr>
            <w:r w:rsidRPr="00DE6C18">
              <w:rPr>
                <w:sz w:val="16"/>
                <w:szCs w:val="16"/>
              </w:rPr>
              <w:t>5.56</w:t>
            </w:r>
          </w:p>
        </w:tc>
        <w:tc>
          <w:tcPr>
            <w:tcW w:w="1104" w:type="pct"/>
          </w:tcPr>
          <w:p w:rsidR="00950501" w:rsidRPr="00DE6C18" w:rsidRDefault="00950501" w:rsidP="00DE6C18">
            <w:pPr>
              <w:pStyle w:val="Tabletext"/>
              <w:keepNext/>
              <w:rPr>
                <w:sz w:val="16"/>
                <w:szCs w:val="16"/>
              </w:rPr>
            </w:pPr>
            <w:r w:rsidRPr="00DE6C18">
              <w:rPr>
                <w:sz w:val="16"/>
                <w:szCs w:val="16"/>
              </w:rPr>
              <w:t>Updated annually</w:t>
            </w:r>
          </w:p>
        </w:tc>
      </w:tr>
      <w:tr w:rsidR="00950501" w:rsidRPr="00DE6C18" w:rsidTr="009835A9">
        <w:tc>
          <w:tcPr>
            <w:tcW w:w="1123" w:type="pct"/>
          </w:tcPr>
          <w:p w:rsidR="00950501" w:rsidRPr="00DE6C18" w:rsidRDefault="00950501" w:rsidP="00DE6C18">
            <w:pPr>
              <w:pStyle w:val="AERtabletextleft"/>
              <w:keepNext/>
              <w:rPr>
                <w:sz w:val="16"/>
                <w:szCs w:val="16"/>
              </w:rPr>
            </w:pPr>
            <w:r w:rsidRPr="00DE6C18">
              <w:rPr>
                <w:sz w:val="16"/>
                <w:szCs w:val="16"/>
              </w:rPr>
              <w:t>Gearing</w:t>
            </w:r>
          </w:p>
        </w:tc>
        <w:tc>
          <w:tcPr>
            <w:tcW w:w="1059" w:type="pct"/>
          </w:tcPr>
          <w:p w:rsidR="00950501" w:rsidRPr="00DE6C18" w:rsidRDefault="00950501" w:rsidP="00DE6C18">
            <w:pPr>
              <w:pStyle w:val="Tabletext"/>
              <w:keepNext/>
              <w:rPr>
                <w:sz w:val="16"/>
                <w:szCs w:val="16"/>
              </w:rPr>
            </w:pPr>
            <w:r w:rsidRPr="00DE6C18">
              <w:rPr>
                <w:sz w:val="16"/>
                <w:szCs w:val="16"/>
              </w:rPr>
              <w:t>60</w:t>
            </w:r>
          </w:p>
        </w:tc>
        <w:tc>
          <w:tcPr>
            <w:tcW w:w="978" w:type="pct"/>
          </w:tcPr>
          <w:p w:rsidR="00950501" w:rsidRPr="00DE6C18" w:rsidRDefault="00950501" w:rsidP="00DE6C18">
            <w:pPr>
              <w:pStyle w:val="Tabletext"/>
              <w:keepNext/>
              <w:rPr>
                <w:sz w:val="16"/>
                <w:szCs w:val="16"/>
              </w:rPr>
            </w:pPr>
            <w:r w:rsidRPr="00DE6C18">
              <w:rPr>
                <w:sz w:val="16"/>
                <w:szCs w:val="16"/>
              </w:rPr>
              <w:t>60</w:t>
            </w:r>
          </w:p>
        </w:tc>
        <w:tc>
          <w:tcPr>
            <w:tcW w:w="736" w:type="pct"/>
          </w:tcPr>
          <w:p w:rsidR="00950501" w:rsidRPr="00DE6C18" w:rsidRDefault="00950501" w:rsidP="00DE6C18">
            <w:pPr>
              <w:pStyle w:val="Tabletext"/>
              <w:keepNext/>
              <w:rPr>
                <w:sz w:val="16"/>
                <w:szCs w:val="16"/>
              </w:rPr>
            </w:pPr>
            <w:r w:rsidRPr="00DE6C18">
              <w:rPr>
                <w:sz w:val="16"/>
                <w:szCs w:val="16"/>
              </w:rPr>
              <w:t>60</w:t>
            </w:r>
          </w:p>
        </w:tc>
        <w:tc>
          <w:tcPr>
            <w:tcW w:w="1104" w:type="pct"/>
          </w:tcPr>
          <w:p w:rsidR="00950501" w:rsidRPr="00DE6C18" w:rsidRDefault="00950501" w:rsidP="00DE6C18">
            <w:pPr>
              <w:pStyle w:val="Tabletext"/>
              <w:keepNext/>
              <w:rPr>
                <w:sz w:val="16"/>
                <w:szCs w:val="16"/>
              </w:rPr>
            </w:pPr>
            <w:r w:rsidRPr="00DE6C18">
              <w:rPr>
                <w:sz w:val="16"/>
                <w:szCs w:val="16"/>
              </w:rPr>
              <w:t>Constant</w:t>
            </w:r>
            <w:r w:rsidR="00F74FD5">
              <w:t xml:space="preserve"> </w:t>
            </w:r>
            <w:r w:rsidRPr="00DE6C18">
              <w:rPr>
                <w:sz w:val="16"/>
                <w:szCs w:val="16"/>
              </w:rPr>
              <w:t>(60%)</w:t>
            </w:r>
          </w:p>
        </w:tc>
      </w:tr>
      <w:tr w:rsidR="00DE6C18" w:rsidRPr="00DE6C18" w:rsidTr="009835A9">
        <w:trPr>
          <w:cnfStyle w:val="000000010000" w:firstRow="0" w:lastRow="0" w:firstColumn="0" w:lastColumn="0" w:oddVBand="0" w:evenVBand="0" w:oddHBand="0" w:evenHBand="1" w:firstRowFirstColumn="0" w:firstRowLastColumn="0" w:lastRowFirstColumn="0" w:lastRowLastColumn="0"/>
        </w:trPr>
        <w:tc>
          <w:tcPr>
            <w:tcW w:w="1123" w:type="pct"/>
          </w:tcPr>
          <w:p w:rsidR="00950501" w:rsidRPr="00DE6C18" w:rsidRDefault="00950501" w:rsidP="00DE6C18">
            <w:pPr>
              <w:pStyle w:val="AERtabletextleft"/>
              <w:keepNext/>
              <w:rPr>
                <w:sz w:val="16"/>
                <w:szCs w:val="16"/>
              </w:rPr>
            </w:pPr>
            <w:r w:rsidRPr="00DE6C18">
              <w:rPr>
                <w:sz w:val="16"/>
                <w:szCs w:val="16"/>
              </w:rPr>
              <w:t>Nominal vanilla WACC</w:t>
            </w:r>
          </w:p>
        </w:tc>
        <w:tc>
          <w:tcPr>
            <w:tcW w:w="1059" w:type="pct"/>
          </w:tcPr>
          <w:p w:rsidR="00950501" w:rsidRPr="00DE6C18" w:rsidRDefault="00950501" w:rsidP="00DE6C18">
            <w:pPr>
              <w:pStyle w:val="Tabletext"/>
              <w:keepNext/>
              <w:rPr>
                <w:sz w:val="16"/>
                <w:szCs w:val="16"/>
              </w:rPr>
            </w:pPr>
            <w:r w:rsidRPr="00DE6C18">
              <w:rPr>
                <w:sz w:val="16"/>
                <w:szCs w:val="16"/>
              </w:rPr>
              <w:t>9.73</w:t>
            </w:r>
          </w:p>
        </w:tc>
        <w:tc>
          <w:tcPr>
            <w:tcW w:w="978" w:type="pct"/>
          </w:tcPr>
          <w:p w:rsidR="00950501" w:rsidRPr="00DE6C18" w:rsidRDefault="00950501" w:rsidP="00DE6C18">
            <w:pPr>
              <w:pStyle w:val="Tabletext"/>
              <w:keepNext/>
              <w:rPr>
                <w:sz w:val="16"/>
                <w:szCs w:val="16"/>
              </w:rPr>
            </w:pPr>
            <w:r w:rsidRPr="00DE6C18">
              <w:rPr>
                <w:sz w:val="16"/>
                <w:szCs w:val="16"/>
              </w:rPr>
              <w:t>8.58</w:t>
            </w:r>
          </w:p>
        </w:tc>
        <w:tc>
          <w:tcPr>
            <w:tcW w:w="736" w:type="pct"/>
          </w:tcPr>
          <w:p w:rsidR="00950501" w:rsidRPr="00DE6C18" w:rsidRDefault="00950501" w:rsidP="00DE6C18">
            <w:pPr>
              <w:pStyle w:val="Tabletext"/>
              <w:keepNext/>
              <w:rPr>
                <w:sz w:val="16"/>
                <w:szCs w:val="16"/>
              </w:rPr>
            </w:pPr>
            <w:r w:rsidRPr="00DE6C18">
              <w:rPr>
                <w:sz w:val="16"/>
                <w:szCs w:val="16"/>
              </w:rPr>
              <w:t>6.18</w:t>
            </w:r>
          </w:p>
        </w:tc>
        <w:tc>
          <w:tcPr>
            <w:tcW w:w="1104" w:type="pct"/>
          </w:tcPr>
          <w:p w:rsidR="00950501" w:rsidRPr="00DE6C18" w:rsidRDefault="00950501" w:rsidP="00DE6C18">
            <w:pPr>
              <w:pStyle w:val="Tabletext"/>
              <w:keepNext/>
              <w:rPr>
                <w:sz w:val="16"/>
                <w:szCs w:val="16"/>
              </w:rPr>
            </w:pPr>
            <w:r w:rsidRPr="00DE6C18">
              <w:rPr>
                <w:sz w:val="16"/>
                <w:szCs w:val="16"/>
              </w:rPr>
              <w:t>Updated annually for return on debt</w:t>
            </w:r>
          </w:p>
        </w:tc>
      </w:tr>
      <w:tr w:rsidR="00950501" w:rsidRPr="00DE6C18" w:rsidTr="009835A9">
        <w:trPr>
          <w:trHeight w:val="597"/>
        </w:trPr>
        <w:tc>
          <w:tcPr>
            <w:tcW w:w="1123" w:type="pct"/>
          </w:tcPr>
          <w:p w:rsidR="00950501" w:rsidRPr="00DE6C18" w:rsidRDefault="00950501" w:rsidP="00DE6C18">
            <w:pPr>
              <w:pStyle w:val="AERtabletextleft"/>
              <w:keepNext/>
              <w:rPr>
                <w:sz w:val="16"/>
                <w:szCs w:val="16"/>
              </w:rPr>
            </w:pPr>
            <w:r w:rsidRPr="00DE6C18">
              <w:rPr>
                <w:sz w:val="16"/>
                <w:szCs w:val="16"/>
              </w:rPr>
              <w:t>Forecast inflation</w:t>
            </w:r>
          </w:p>
        </w:tc>
        <w:tc>
          <w:tcPr>
            <w:tcW w:w="1059" w:type="pct"/>
          </w:tcPr>
          <w:p w:rsidR="00950501" w:rsidRPr="00DE6C18" w:rsidRDefault="00950501" w:rsidP="00DE6C18">
            <w:pPr>
              <w:pStyle w:val="Tabletext"/>
              <w:keepNext/>
              <w:rPr>
                <w:sz w:val="16"/>
                <w:szCs w:val="16"/>
              </w:rPr>
            </w:pPr>
            <w:r w:rsidRPr="00DE6C18">
              <w:rPr>
                <w:sz w:val="16"/>
                <w:szCs w:val="16"/>
              </w:rPr>
              <w:t>2.55</w:t>
            </w:r>
          </w:p>
        </w:tc>
        <w:tc>
          <w:tcPr>
            <w:tcW w:w="978" w:type="pct"/>
          </w:tcPr>
          <w:p w:rsidR="00950501" w:rsidRPr="00DE6C18" w:rsidRDefault="00950501" w:rsidP="00DE6C18">
            <w:pPr>
              <w:pStyle w:val="Tabletext"/>
              <w:keepNext/>
              <w:rPr>
                <w:sz w:val="16"/>
                <w:szCs w:val="16"/>
              </w:rPr>
            </w:pPr>
            <w:r w:rsidRPr="00DE6C18">
              <w:rPr>
                <w:sz w:val="16"/>
                <w:szCs w:val="16"/>
              </w:rPr>
              <w:t>2.5</w:t>
            </w:r>
          </w:p>
        </w:tc>
        <w:tc>
          <w:tcPr>
            <w:tcW w:w="736" w:type="pct"/>
          </w:tcPr>
          <w:p w:rsidR="00950501" w:rsidRPr="00F74FD5" w:rsidRDefault="00950501" w:rsidP="00857186">
            <w:r w:rsidRPr="00725F3E">
              <w:t>2.</w:t>
            </w:r>
            <w:r w:rsidR="00725F3E" w:rsidRPr="00725F3E">
              <w:t>39</w:t>
            </w:r>
          </w:p>
        </w:tc>
        <w:tc>
          <w:tcPr>
            <w:tcW w:w="1104" w:type="pct"/>
          </w:tcPr>
          <w:p w:rsidR="00950501" w:rsidRPr="00F74FD5" w:rsidRDefault="00950501" w:rsidP="00857186">
            <w:r w:rsidRPr="00F74FD5">
              <w:t>Constant (2.</w:t>
            </w:r>
            <w:r w:rsidR="00725F3E" w:rsidRPr="00F74FD5">
              <w:t>39</w:t>
            </w:r>
            <w:r w:rsidRPr="00F74FD5">
              <w:t>%)</w:t>
            </w:r>
          </w:p>
        </w:tc>
      </w:tr>
    </w:tbl>
    <w:p w:rsidR="00950501" w:rsidRDefault="00950501" w:rsidP="00DE6C18">
      <w:pPr>
        <w:pStyle w:val="AERtablesource"/>
        <w:keepNext/>
      </w:pPr>
      <w:r>
        <w:t>Source:</w:t>
      </w:r>
      <w:r>
        <w:tab/>
        <w:t xml:space="preserve">AER analysis; APTNT, </w:t>
      </w:r>
      <w:r w:rsidRPr="004A1F6F">
        <w:rPr>
          <w:rStyle w:val="AERtextitalic"/>
        </w:rPr>
        <w:t>2016 to 2020 revised regulatory proposal</w:t>
      </w:r>
      <w:r>
        <w:t xml:space="preserve">, 6 January 2016; APTNT, </w:t>
      </w:r>
      <w:r w:rsidRPr="0071672B">
        <w:rPr>
          <w:rStyle w:val="AERtextitalic"/>
        </w:rPr>
        <w:t>Amadeus Gas Pipeline: Access arrangement information effective August 2011–June 2016</w:t>
      </w:r>
      <w:r>
        <w:t>, July 2011.</w:t>
      </w:r>
    </w:p>
    <w:p w:rsidR="000E3E98" w:rsidRDefault="00950501" w:rsidP="000E3E98">
      <w:pPr>
        <w:numPr>
          <w:ilvl w:val="0"/>
          <w:numId w:val="24"/>
        </w:numPr>
      </w:pPr>
      <w:r>
        <w:t xml:space="preserve">Our return on equity estimate is 7.1 per cent. </w:t>
      </w:r>
      <w:r w:rsidR="009B533B">
        <w:t xml:space="preserve">Consistent with the Guideline, the return on equity remains constant over the access arrangement period. </w:t>
      </w:r>
      <w:r w:rsidR="000E3E98">
        <w:t xml:space="preserve">Our return on equity point estimate and the parameter inputs are set out in </w:t>
      </w:r>
      <w:r w:rsidR="002C5BAE">
        <w:fldChar w:fldCharType="begin"/>
      </w:r>
      <w:r w:rsidR="002C5BAE">
        <w:instrText xml:space="preserve"> REF _Ref451519110 \h </w:instrText>
      </w:r>
      <w:r w:rsidR="002C5BAE">
        <w:fldChar w:fldCharType="separate"/>
      </w:r>
      <w:r w:rsidR="009F7892">
        <w:t xml:space="preserve">Table </w:t>
      </w:r>
      <w:r w:rsidR="009F7892">
        <w:rPr>
          <w:noProof/>
        </w:rPr>
        <w:t>7</w:t>
      </w:r>
      <w:r w:rsidR="002C5BAE">
        <w:fldChar w:fldCharType="end"/>
      </w:r>
      <w:r w:rsidR="000E3E98">
        <w:t xml:space="preserve">. APTNT proposed departing from the approach in the Guideline. </w:t>
      </w:r>
      <w:r w:rsidR="000E3E98" w:rsidRPr="00185E39">
        <w:t xml:space="preserve">We are not satisfied </w:t>
      </w:r>
      <w:r w:rsidR="000E3E98">
        <w:t xml:space="preserve">that doing so </w:t>
      </w:r>
      <w:r w:rsidR="000E3E98" w:rsidRPr="00185E39">
        <w:t>would result in an outcome that better achieves the allowed rate of return objective.</w:t>
      </w:r>
      <w:r w:rsidR="000E3E98" w:rsidRPr="00185E39">
        <w:rPr>
          <w:rStyle w:val="FootnoteReference"/>
        </w:rPr>
        <w:footnoteReference w:id="26"/>
      </w:r>
      <w:r w:rsidR="000E3E98" w:rsidRPr="00185E39">
        <w:t xml:space="preserve"> We do not agree with </w:t>
      </w:r>
      <w:r w:rsidR="000E3E98">
        <w:t xml:space="preserve">APTNT that </w:t>
      </w:r>
      <w:r w:rsidR="009E7EC8">
        <w:t xml:space="preserve">the </w:t>
      </w:r>
      <w:r w:rsidR="000E3E98">
        <w:t>method</w:t>
      </w:r>
      <w:r w:rsidR="009E7EC8">
        <w:t xml:space="preserve"> we</w:t>
      </w:r>
      <w:r w:rsidR="000E3E98">
        <w:t xml:space="preserve"> applied in the draft decision will result in a return on equity which is inconsistent with the allowed rate of return objective.</w:t>
      </w:r>
      <w:r w:rsidR="000E3E98">
        <w:rPr>
          <w:rStyle w:val="FootnoteReference"/>
        </w:rPr>
        <w:footnoteReference w:id="27"/>
      </w:r>
      <w:r w:rsidR="000E3E98">
        <w:t xml:space="preserve"> </w:t>
      </w:r>
      <w:r w:rsidR="000E3E98" w:rsidRPr="00185E39">
        <w:t xml:space="preserve">Our </w:t>
      </w:r>
      <w:r w:rsidR="000E3E98">
        <w:t xml:space="preserve">return on equity draft decision and this final decision </w:t>
      </w:r>
      <w:r w:rsidR="000E3E98" w:rsidRPr="00185E39">
        <w:t xml:space="preserve">is largely consistent with the </w:t>
      </w:r>
      <w:r w:rsidR="000E3E98">
        <w:t xml:space="preserve">views in the </w:t>
      </w:r>
      <w:r w:rsidR="000E3E98" w:rsidRPr="00185E39">
        <w:t>Guideline</w:t>
      </w:r>
      <w:r w:rsidR="000E3E98">
        <w:t>.</w:t>
      </w:r>
      <w:r w:rsidR="000E3E98" w:rsidRPr="00796C00">
        <w:t xml:space="preserve"> </w:t>
      </w:r>
    </w:p>
    <w:p w:rsidR="000E3E98" w:rsidRDefault="000E3E98" w:rsidP="000E3E98">
      <w:pPr>
        <w:pStyle w:val="Caption"/>
      </w:pPr>
      <w:bookmarkStart w:id="79" w:name="_Ref451519110"/>
      <w:r>
        <w:t xml:space="preserve">Table </w:t>
      </w:r>
      <w:r w:rsidRPr="000E3E98">
        <w:fldChar w:fldCharType="begin"/>
      </w:r>
      <w:r>
        <w:instrText xml:space="preserve"> SEQ Table \* ARABIC </w:instrText>
      </w:r>
      <w:r w:rsidRPr="000E3E98">
        <w:fldChar w:fldCharType="separate"/>
      </w:r>
      <w:r w:rsidR="009F7892">
        <w:rPr>
          <w:noProof/>
        </w:rPr>
        <w:t>7</w:t>
      </w:r>
      <w:r w:rsidRPr="000E3E98">
        <w:fldChar w:fldCharType="end"/>
      </w:r>
      <w:bookmarkEnd w:id="79"/>
      <w:r>
        <w:tab/>
        <w:t>Final decision on APTNT's return on equity (nominal)</w:t>
      </w:r>
    </w:p>
    <w:tbl>
      <w:tblPr>
        <w:tblStyle w:val="AERtable-numbers"/>
        <w:tblW w:w="5000" w:type="pct"/>
        <w:jc w:val="center"/>
        <w:tblLook w:val="04A0" w:firstRow="1" w:lastRow="0" w:firstColumn="1" w:lastColumn="0" w:noHBand="0" w:noVBand="1"/>
      </w:tblPr>
      <w:tblGrid>
        <w:gridCol w:w="2173"/>
        <w:gridCol w:w="2046"/>
        <w:gridCol w:w="2410"/>
        <w:gridCol w:w="2064"/>
      </w:tblGrid>
      <w:tr w:rsidR="000E3E98" w:rsidRPr="00950501" w:rsidTr="0031750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0" w:type="pct"/>
          </w:tcPr>
          <w:p w:rsidR="000E3E98" w:rsidRPr="000E3E98" w:rsidRDefault="000E3E98" w:rsidP="000E3E98">
            <w:pPr>
              <w:numPr>
                <w:ilvl w:val="0"/>
                <w:numId w:val="23"/>
              </w:numPr>
            </w:pPr>
          </w:p>
        </w:tc>
        <w:tc>
          <w:tcPr>
            <w:tcW w:w="1177" w:type="pct"/>
          </w:tcPr>
          <w:p w:rsidR="000E3E98" w:rsidRPr="000E3E98" w:rsidRDefault="000E3E98" w:rsidP="000E3E98">
            <w:pPr>
              <w:pStyle w:val="AERtabletextright"/>
              <w:cnfStyle w:val="100000000000" w:firstRow="1" w:lastRow="0" w:firstColumn="0" w:lastColumn="0" w:oddVBand="0" w:evenVBand="0" w:oddHBand="0" w:evenHBand="0" w:firstRowFirstColumn="0" w:firstRowLastColumn="0" w:lastRowFirstColumn="0" w:lastRowLastColumn="0"/>
            </w:pPr>
            <w:r w:rsidRPr="000E3E98">
              <w:t>AER previous decision (2011–16)</w:t>
            </w:r>
          </w:p>
        </w:tc>
        <w:tc>
          <w:tcPr>
            <w:tcW w:w="1386" w:type="pct"/>
          </w:tcPr>
          <w:p w:rsidR="000E3E98" w:rsidRPr="000E3E98" w:rsidRDefault="000E3E98" w:rsidP="000E3E98">
            <w:pPr>
              <w:pStyle w:val="AERtabletextright"/>
              <w:cnfStyle w:val="100000000000" w:firstRow="1" w:lastRow="0" w:firstColumn="0" w:lastColumn="0" w:oddVBand="0" w:evenVBand="0" w:oddHBand="0" w:evenHBand="0" w:firstRowFirstColumn="0" w:firstRowLastColumn="0" w:lastRowFirstColumn="0" w:lastRowLastColumn="0"/>
            </w:pPr>
            <w:r w:rsidRPr="000E3E98">
              <w:t>APTNT revised proposal (2016-21)</w:t>
            </w:r>
          </w:p>
        </w:tc>
        <w:tc>
          <w:tcPr>
            <w:tcW w:w="1187" w:type="pct"/>
          </w:tcPr>
          <w:p w:rsidR="000E3E98" w:rsidRPr="000E3E98" w:rsidRDefault="000E3E98" w:rsidP="000E3E98">
            <w:pPr>
              <w:pStyle w:val="AERtabletextright"/>
              <w:cnfStyle w:val="100000000000" w:firstRow="1" w:lastRow="0" w:firstColumn="0" w:lastColumn="0" w:oddVBand="0" w:evenVBand="0" w:oddHBand="0" w:evenHBand="0" w:firstRowFirstColumn="0" w:firstRowLastColumn="0" w:lastRowFirstColumn="0" w:lastRowLastColumn="0"/>
            </w:pPr>
            <w:r w:rsidRPr="000E3E98">
              <w:t>AER final decision (2016–21)</w:t>
            </w:r>
          </w:p>
        </w:tc>
      </w:tr>
      <w:tr w:rsidR="000E3E98" w:rsidRPr="00F74FD5" w:rsidTr="0031750C">
        <w:trPr>
          <w:jc w:val="center"/>
        </w:trPr>
        <w:tc>
          <w:tcPr>
            <w:cnfStyle w:val="001000000000" w:firstRow="0" w:lastRow="0" w:firstColumn="1" w:lastColumn="0" w:oddVBand="0" w:evenVBand="0" w:oddHBand="0" w:evenHBand="0" w:firstRowFirstColumn="0" w:firstRowLastColumn="0" w:lastRowFirstColumn="0" w:lastRowLastColumn="0"/>
            <w:tcW w:w="1250" w:type="pct"/>
          </w:tcPr>
          <w:p w:rsidR="000E3E98" w:rsidRPr="005702A9" w:rsidRDefault="000E3E98" w:rsidP="00857186">
            <w:r w:rsidRPr="00F74FD5">
              <w:t xml:space="preserve">Nominal risk free rate </w:t>
            </w:r>
            <w:r w:rsidRPr="005702A9">
              <w:t>(return on equity only)</w:t>
            </w:r>
          </w:p>
        </w:tc>
        <w:tc>
          <w:tcPr>
            <w:tcW w:w="1177" w:type="pct"/>
          </w:tcPr>
          <w:p w:rsidR="000E3E98" w:rsidRPr="005702A9" w:rsidRDefault="000E3E98" w:rsidP="00857186">
            <w:pPr>
              <w:cnfStyle w:val="000000000000" w:firstRow="0" w:lastRow="0" w:firstColumn="0" w:lastColumn="0" w:oddVBand="0" w:evenVBand="0" w:oddHBand="0" w:evenHBand="0" w:firstRowFirstColumn="0" w:firstRowLastColumn="0" w:lastRowFirstColumn="0" w:lastRowLastColumn="0"/>
            </w:pPr>
            <w:r w:rsidRPr="005702A9">
              <w:t>5.53%</w:t>
            </w:r>
          </w:p>
        </w:tc>
        <w:tc>
          <w:tcPr>
            <w:tcW w:w="1386" w:type="pct"/>
          </w:tcPr>
          <w:p w:rsidR="000E3E98" w:rsidRPr="00857186" w:rsidRDefault="000E3E98" w:rsidP="00857186">
            <w:pPr>
              <w:cnfStyle w:val="000000000000" w:firstRow="0" w:lastRow="0" w:firstColumn="0" w:lastColumn="0" w:oddVBand="0" w:evenVBand="0" w:oddHBand="0" w:evenHBand="0" w:firstRowFirstColumn="0" w:firstRowLastColumn="0" w:lastRowFirstColumn="0" w:lastRowLastColumn="0"/>
            </w:pPr>
            <w:r w:rsidRPr="005702A9">
              <w:t>2.92%*</w:t>
            </w:r>
          </w:p>
        </w:tc>
        <w:tc>
          <w:tcPr>
            <w:tcW w:w="1187" w:type="pct"/>
          </w:tcPr>
          <w:p w:rsidR="000E3E98" w:rsidRPr="00857186" w:rsidRDefault="000E3E98" w:rsidP="00857186">
            <w:pPr>
              <w:cnfStyle w:val="000000000000" w:firstRow="0" w:lastRow="0" w:firstColumn="0" w:lastColumn="0" w:oddVBand="0" w:evenVBand="0" w:oddHBand="0" w:evenHBand="0" w:firstRowFirstColumn="0" w:firstRowLastColumn="0" w:lastRowFirstColumn="0" w:lastRowLastColumn="0"/>
            </w:pPr>
            <w:r w:rsidRPr="00F74FD5">
              <w:t>2.57%</w:t>
            </w:r>
            <w:r w:rsidRPr="005702A9">
              <w:t>**</w:t>
            </w:r>
          </w:p>
        </w:tc>
      </w:tr>
      <w:tr w:rsidR="000E3E98" w:rsidRPr="00F74FD5" w:rsidTr="0031750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tcPr>
          <w:p w:rsidR="000E3E98" w:rsidRPr="005702A9" w:rsidRDefault="000E3E98" w:rsidP="00857186">
            <w:r w:rsidRPr="00F74FD5">
              <w:t xml:space="preserve">Equity risk premium </w:t>
            </w:r>
          </w:p>
        </w:tc>
        <w:tc>
          <w:tcPr>
            <w:tcW w:w="1177" w:type="pct"/>
          </w:tcPr>
          <w:p w:rsidR="000E3E98" w:rsidRPr="005702A9" w:rsidRDefault="000E3E98" w:rsidP="00857186">
            <w:pPr>
              <w:cnfStyle w:val="000000010000" w:firstRow="0" w:lastRow="0" w:firstColumn="0" w:lastColumn="0" w:oddVBand="0" w:evenVBand="0" w:oddHBand="0" w:evenHBand="1" w:firstRowFirstColumn="0" w:firstRowLastColumn="0" w:lastRowFirstColumn="0" w:lastRowLastColumn="0"/>
            </w:pPr>
            <w:r w:rsidRPr="005702A9">
              <w:t>4.8%</w:t>
            </w:r>
          </w:p>
        </w:tc>
        <w:tc>
          <w:tcPr>
            <w:tcW w:w="1386" w:type="pct"/>
          </w:tcPr>
          <w:p w:rsidR="000E3E98" w:rsidRPr="005702A9" w:rsidRDefault="000E3E98" w:rsidP="00857186">
            <w:pPr>
              <w:cnfStyle w:val="000000010000" w:firstRow="0" w:lastRow="0" w:firstColumn="0" w:lastColumn="0" w:oddVBand="0" w:evenVBand="0" w:oddHBand="0" w:evenHBand="1" w:firstRowFirstColumn="0" w:firstRowLastColumn="0" w:lastRowFirstColumn="0" w:lastRowLastColumn="0"/>
            </w:pPr>
            <w:r w:rsidRPr="005702A9">
              <w:t>6.68%</w:t>
            </w:r>
          </w:p>
        </w:tc>
        <w:tc>
          <w:tcPr>
            <w:tcW w:w="1187" w:type="pct"/>
          </w:tcPr>
          <w:p w:rsidR="000E3E98" w:rsidRPr="005702A9" w:rsidRDefault="000E3E98" w:rsidP="00857186">
            <w:pPr>
              <w:cnfStyle w:val="000000010000" w:firstRow="0" w:lastRow="0" w:firstColumn="0" w:lastColumn="0" w:oddVBand="0" w:evenVBand="0" w:oddHBand="0" w:evenHBand="1" w:firstRowFirstColumn="0" w:firstRowLastColumn="0" w:lastRowFirstColumn="0" w:lastRowLastColumn="0"/>
            </w:pPr>
            <w:r w:rsidRPr="005702A9">
              <w:t>4.55%</w:t>
            </w:r>
          </w:p>
        </w:tc>
      </w:tr>
      <w:tr w:rsidR="000E3E98" w:rsidRPr="00F74FD5" w:rsidTr="0031750C">
        <w:trPr>
          <w:jc w:val="center"/>
        </w:trPr>
        <w:tc>
          <w:tcPr>
            <w:cnfStyle w:val="001000000000" w:firstRow="0" w:lastRow="0" w:firstColumn="1" w:lastColumn="0" w:oddVBand="0" w:evenVBand="0" w:oddHBand="0" w:evenHBand="0" w:firstRowFirstColumn="0" w:firstRowLastColumn="0" w:lastRowFirstColumn="0" w:lastRowLastColumn="0"/>
            <w:tcW w:w="1250" w:type="pct"/>
          </w:tcPr>
          <w:p w:rsidR="000E3E98" w:rsidRPr="005702A9" w:rsidRDefault="000E3E98" w:rsidP="00857186">
            <w:r w:rsidRPr="00F74FD5">
              <w:t>MRP</w:t>
            </w:r>
          </w:p>
        </w:tc>
        <w:tc>
          <w:tcPr>
            <w:tcW w:w="1177" w:type="pct"/>
          </w:tcPr>
          <w:p w:rsidR="000E3E98" w:rsidRPr="005702A9" w:rsidRDefault="000E3E98" w:rsidP="00857186">
            <w:pPr>
              <w:cnfStyle w:val="000000000000" w:firstRow="0" w:lastRow="0" w:firstColumn="0" w:lastColumn="0" w:oddVBand="0" w:evenVBand="0" w:oddHBand="0" w:evenHBand="0" w:firstRowFirstColumn="0" w:firstRowLastColumn="0" w:lastRowFirstColumn="0" w:lastRowLastColumn="0"/>
            </w:pPr>
            <w:r w:rsidRPr="005702A9">
              <w:t>6.0%</w:t>
            </w:r>
          </w:p>
        </w:tc>
        <w:tc>
          <w:tcPr>
            <w:tcW w:w="1386" w:type="pct"/>
          </w:tcPr>
          <w:p w:rsidR="000E3E98" w:rsidRPr="005702A9" w:rsidRDefault="000E3E98" w:rsidP="00857186">
            <w:pPr>
              <w:cnfStyle w:val="000000000000" w:firstRow="0" w:lastRow="0" w:firstColumn="0" w:lastColumn="0" w:oddVBand="0" w:evenVBand="0" w:oddHBand="0" w:evenHBand="0" w:firstRowFirstColumn="0" w:firstRowLastColumn="0" w:lastRowFirstColumn="0" w:lastRowLastColumn="0"/>
            </w:pPr>
            <w:r w:rsidRPr="005702A9">
              <w:t>7.48–8.58%</w:t>
            </w:r>
          </w:p>
        </w:tc>
        <w:tc>
          <w:tcPr>
            <w:tcW w:w="1187" w:type="pct"/>
          </w:tcPr>
          <w:p w:rsidR="000E3E98" w:rsidRPr="005702A9" w:rsidRDefault="000E3E98" w:rsidP="00857186">
            <w:pPr>
              <w:cnfStyle w:val="000000000000" w:firstRow="0" w:lastRow="0" w:firstColumn="0" w:lastColumn="0" w:oddVBand="0" w:evenVBand="0" w:oddHBand="0" w:evenHBand="0" w:firstRowFirstColumn="0" w:firstRowLastColumn="0" w:lastRowFirstColumn="0" w:lastRowLastColumn="0"/>
            </w:pPr>
            <w:r w:rsidRPr="005702A9">
              <w:t>6.50%</w:t>
            </w:r>
          </w:p>
        </w:tc>
      </w:tr>
      <w:tr w:rsidR="000E3E98" w:rsidRPr="00F74FD5" w:rsidTr="0031750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0" w:type="pct"/>
          </w:tcPr>
          <w:p w:rsidR="000E3E98" w:rsidRPr="005702A9" w:rsidRDefault="000E3E98" w:rsidP="00857186">
            <w:r w:rsidRPr="00F74FD5">
              <w:t>Equity beta</w:t>
            </w:r>
          </w:p>
        </w:tc>
        <w:tc>
          <w:tcPr>
            <w:tcW w:w="1177" w:type="pct"/>
          </w:tcPr>
          <w:p w:rsidR="000E3E98" w:rsidRPr="005702A9" w:rsidRDefault="000E3E98" w:rsidP="00857186">
            <w:pPr>
              <w:cnfStyle w:val="000000010000" w:firstRow="0" w:lastRow="0" w:firstColumn="0" w:lastColumn="0" w:oddVBand="0" w:evenVBand="0" w:oddHBand="0" w:evenHBand="1" w:firstRowFirstColumn="0" w:firstRowLastColumn="0" w:lastRowFirstColumn="0" w:lastRowLastColumn="0"/>
            </w:pPr>
            <w:r w:rsidRPr="005702A9">
              <w:t>0.8</w:t>
            </w:r>
          </w:p>
        </w:tc>
        <w:tc>
          <w:tcPr>
            <w:tcW w:w="1386" w:type="pct"/>
          </w:tcPr>
          <w:p w:rsidR="000E3E98" w:rsidRPr="005702A9" w:rsidRDefault="000E3E98" w:rsidP="00857186">
            <w:pPr>
              <w:cnfStyle w:val="000000010000" w:firstRow="0" w:lastRow="0" w:firstColumn="0" w:lastColumn="0" w:oddVBand="0" w:evenVBand="0" w:oddHBand="0" w:evenHBand="1" w:firstRowFirstColumn="0" w:firstRowLastColumn="0" w:lastRowFirstColumn="0" w:lastRowLastColumn="0"/>
            </w:pPr>
            <w:r w:rsidRPr="005702A9">
              <w:t>0.8</w:t>
            </w:r>
          </w:p>
        </w:tc>
        <w:tc>
          <w:tcPr>
            <w:tcW w:w="1187" w:type="pct"/>
          </w:tcPr>
          <w:p w:rsidR="000E3E98" w:rsidRPr="005702A9" w:rsidRDefault="000E3E98" w:rsidP="00857186">
            <w:pPr>
              <w:cnfStyle w:val="000000010000" w:firstRow="0" w:lastRow="0" w:firstColumn="0" w:lastColumn="0" w:oddVBand="0" w:evenVBand="0" w:oddHBand="0" w:evenHBand="1" w:firstRowFirstColumn="0" w:firstRowLastColumn="0" w:lastRowFirstColumn="0" w:lastRowLastColumn="0"/>
            </w:pPr>
            <w:r w:rsidRPr="005702A9">
              <w:t>0.7</w:t>
            </w:r>
          </w:p>
        </w:tc>
      </w:tr>
      <w:tr w:rsidR="000E3E98" w:rsidRPr="00F74FD5" w:rsidTr="0031750C">
        <w:trPr>
          <w:jc w:val="center"/>
        </w:trPr>
        <w:tc>
          <w:tcPr>
            <w:cnfStyle w:val="001000000000" w:firstRow="0" w:lastRow="0" w:firstColumn="1" w:lastColumn="0" w:oddVBand="0" w:evenVBand="0" w:oddHBand="0" w:evenHBand="0" w:firstRowFirstColumn="0" w:firstRowLastColumn="0" w:lastRowFirstColumn="0" w:lastRowLastColumn="0"/>
            <w:tcW w:w="1250" w:type="pct"/>
          </w:tcPr>
          <w:p w:rsidR="000E3E98" w:rsidRPr="005702A9" w:rsidRDefault="000E3E98" w:rsidP="00857186">
            <w:r w:rsidRPr="00F74FD5">
              <w:t xml:space="preserve">Nominal post–tax return on equity </w:t>
            </w:r>
          </w:p>
        </w:tc>
        <w:tc>
          <w:tcPr>
            <w:tcW w:w="1177" w:type="pct"/>
          </w:tcPr>
          <w:p w:rsidR="000E3E98" w:rsidRPr="005702A9" w:rsidRDefault="000E3E98" w:rsidP="00857186">
            <w:pPr>
              <w:cnfStyle w:val="000000000000" w:firstRow="0" w:lastRow="0" w:firstColumn="0" w:lastColumn="0" w:oddVBand="0" w:evenVBand="0" w:oddHBand="0" w:evenHBand="0" w:firstRowFirstColumn="0" w:firstRowLastColumn="0" w:lastRowFirstColumn="0" w:lastRowLastColumn="0"/>
            </w:pPr>
            <w:r w:rsidRPr="005702A9">
              <w:t>10.33%</w:t>
            </w:r>
          </w:p>
        </w:tc>
        <w:tc>
          <w:tcPr>
            <w:tcW w:w="1386" w:type="pct"/>
          </w:tcPr>
          <w:p w:rsidR="000E3E98" w:rsidRPr="005702A9" w:rsidRDefault="000E3E98" w:rsidP="00857186">
            <w:pPr>
              <w:cnfStyle w:val="000000000000" w:firstRow="0" w:lastRow="0" w:firstColumn="0" w:lastColumn="0" w:oddVBand="0" w:evenVBand="0" w:oddHBand="0" w:evenHBand="0" w:firstRowFirstColumn="0" w:firstRowLastColumn="0" w:lastRowFirstColumn="0" w:lastRowLastColumn="0"/>
            </w:pPr>
            <w:r w:rsidRPr="005702A9">
              <w:t>9.6%</w:t>
            </w:r>
          </w:p>
        </w:tc>
        <w:tc>
          <w:tcPr>
            <w:tcW w:w="1187" w:type="pct"/>
          </w:tcPr>
          <w:p w:rsidR="000E3E98" w:rsidRPr="005702A9" w:rsidRDefault="000E3E98" w:rsidP="00857186">
            <w:pPr>
              <w:cnfStyle w:val="000000000000" w:firstRow="0" w:lastRow="0" w:firstColumn="0" w:lastColumn="0" w:oddVBand="0" w:evenVBand="0" w:oddHBand="0" w:evenHBand="0" w:firstRowFirstColumn="0" w:firstRowLastColumn="0" w:lastRowFirstColumn="0" w:lastRowLastColumn="0"/>
            </w:pPr>
            <w:r w:rsidRPr="005702A9">
              <w:t>7.1%</w:t>
            </w:r>
          </w:p>
        </w:tc>
      </w:tr>
    </w:tbl>
    <w:p w:rsidR="000E3E98" w:rsidRPr="000E3E98" w:rsidRDefault="000E3E98" w:rsidP="000E3E98">
      <w:pPr>
        <w:pStyle w:val="AERtablesource"/>
      </w:pPr>
      <w:r>
        <w:t>Source:</w:t>
      </w:r>
      <w:r>
        <w:tab/>
        <w:t xml:space="preserve">AER analysis; APTNT, </w:t>
      </w:r>
      <w:r w:rsidRPr="000E3E98">
        <w:rPr>
          <w:rStyle w:val="AERtextitalic"/>
        </w:rPr>
        <w:t>Amadeus Gas Pipeline access arrangement information</w:t>
      </w:r>
      <w:r w:rsidRPr="000E3E98">
        <w:t>, January 2016; APTNT, Amadeus Gas Pipeline access arrangement information effective August 2011–June 2016, July 2011.</w:t>
      </w:r>
    </w:p>
    <w:p w:rsidR="000E3E98" w:rsidRDefault="000E3E98" w:rsidP="00857186">
      <w:pPr>
        <w:pStyle w:val="AERtablesource"/>
      </w:pPr>
      <w:r>
        <w:t>*</w:t>
      </w:r>
      <w:r>
        <w:tab/>
        <w:t>Calculated with a placeholder averaging period of 2 November 2015 to 30 November 2015</w:t>
      </w:r>
      <w:r w:rsidR="009E7EC8">
        <w:t>.</w:t>
      </w:r>
    </w:p>
    <w:p w:rsidR="000E3E98" w:rsidRDefault="000E3E98" w:rsidP="00857186">
      <w:pPr>
        <w:pStyle w:val="AERtablesource"/>
      </w:pPr>
      <w:r>
        <w:t>**</w:t>
      </w:r>
      <w:r>
        <w:tab/>
        <w:t>Calculated with an averaging period of 20 business days to 24 March 2016 agreed upon in advance of its commencement.</w:t>
      </w:r>
    </w:p>
    <w:p w:rsidR="00950501" w:rsidRDefault="000E3E98" w:rsidP="00950501">
      <w:r>
        <w:t>Our</w:t>
      </w:r>
      <w:r w:rsidR="009B533B">
        <w:t xml:space="preserve"> </w:t>
      </w:r>
      <w:r w:rsidR="00950501">
        <w:t xml:space="preserve">return on debt estimate for the 2016–17 regulatory year is 5.56 per cent. This estimate will change each year as we partially update the return on debt to reflect prevailing interest rates over APTNT's debt averaging period in each year. Our return on debt estimate for future regulatory years will be determined in accordance with the methodology and formulae we have specified in this decision. As a result of updating the return on debt each year, the overall rate of return and </w:t>
      </w:r>
      <w:r w:rsidR="009B533B">
        <w:t xml:space="preserve">consequently </w:t>
      </w:r>
      <w:r w:rsidR="00950501">
        <w:t>APTNT's revenue will also be updated.</w:t>
      </w:r>
    </w:p>
    <w:p w:rsidR="00950501" w:rsidRDefault="00950501" w:rsidP="000E3E98">
      <w:pPr>
        <w:numPr>
          <w:ilvl w:val="0"/>
          <w:numId w:val="24"/>
        </w:numPr>
      </w:pPr>
      <w:r>
        <w:t>Consistent with our draft decision, we agree there should be a transition from the on-the-day approach to the trailing averaging approach. However, we disagree with the hybrid form of transition proposed in APTNT's (initial) access arrangement proposal.</w:t>
      </w:r>
      <w:r>
        <w:rPr>
          <w:rStyle w:val="FootnoteReference"/>
        </w:rPr>
        <w:footnoteReference w:id="28"/>
      </w:r>
      <w:r>
        <w:t xml:space="preserve"> In its revised proposal, APTNT departed from its initial position to apply a transition to the trailing averaging approach.</w:t>
      </w:r>
      <w:r>
        <w:rPr>
          <w:rStyle w:val="FootnoteReference"/>
        </w:rPr>
        <w:footnoteReference w:id="29"/>
      </w:r>
      <w:r>
        <w:t xml:space="preserve"> It now proposes to not apply a transition (that is, to immediately move to a trailing average approach).We </w:t>
      </w:r>
      <w:r w:rsidR="000E3E98">
        <w:t xml:space="preserve">also </w:t>
      </w:r>
      <w:r>
        <w:t xml:space="preserve">disagree with APTNT on this </w:t>
      </w:r>
      <w:r w:rsidR="000E3E98">
        <w:t>approach</w:t>
      </w:r>
      <w:r>
        <w:t>.</w:t>
      </w:r>
    </w:p>
    <w:p w:rsidR="00950501" w:rsidRDefault="00950501" w:rsidP="00950501">
      <w:pPr>
        <w:numPr>
          <w:ilvl w:val="0"/>
          <w:numId w:val="24"/>
        </w:numPr>
      </w:pPr>
      <w:r>
        <w:t xml:space="preserve">Consistent with our draft decision, we apply a transition to </w:t>
      </w:r>
      <w:r w:rsidRPr="00F64C8A">
        <w:t xml:space="preserve">both the base rate and debt risk premium </w:t>
      </w:r>
      <w:r>
        <w:t xml:space="preserve">components of the return on debt as per the Guideline. </w:t>
      </w:r>
    </w:p>
    <w:p w:rsidR="00950501" w:rsidRPr="007A24FB" w:rsidRDefault="00950501" w:rsidP="00950501">
      <w:r w:rsidRPr="001F2362">
        <w:rPr>
          <w:rStyle w:val="AERbody"/>
        </w:rPr>
        <w:t>Our final decision on the return on debt approach is to</w:t>
      </w:r>
      <w:r>
        <w:t>:</w:t>
      </w:r>
    </w:p>
    <w:p w:rsidR="00950501" w:rsidRPr="00950501" w:rsidRDefault="00950501" w:rsidP="00950501">
      <w:pPr>
        <w:pStyle w:val="AERbulletlistfirststyle"/>
      </w:pPr>
      <w:r>
        <w:t>estimate</w:t>
      </w:r>
      <w:r w:rsidRPr="00950501">
        <w:t xml:space="preserve"> an on-the-day rate (that is, based on prevailing market conditions) in the first regulatory year (2016–17) of the 2016–21 access arrangement period, and</w:t>
      </w:r>
    </w:p>
    <w:p w:rsidR="00950501" w:rsidRPr="00950501" w:rsidRDefault="00950501" w:rsidP="00950501">
      <w:pPr>
        <w:pStyle w:val="AERbulletlistfirststyle"/>
      </w:pPr>
      <w:r>
        <w:t>gradually transition</w:t>
      </w:r>
      <w:r w:rsidRPr="00950501">
        <w:t xml:space="preserve"> this rate into a trailing average approach (that is, a moving historical average) over 10 years.</w:t>
      </w:r>
      <w:r w:rsidRPr="00950501">
        <w:rPr>
          <w:rStyle w:val="FootnoteReference"/>
        </w:rPr>
        <w:footnoteReference w:id="30"/>
      </w:r>
    </w:p>
    <w:p w:rsidR="005766DB" w:rsidRDefault="005766DB" w:rsidP="005766DB">
      <w:pPr>
        <w:pStyle w:val="Heading2"/>
      </w:pPr>
      <w:bookmarkStart w:id="80" w:name="_Toc430002791"/>
      <w:bookmarkStart w:id="81" w:name="_Ref433619978"/>
      <w:bookmarkStart w:id="82" w:name="_Toc436046183"/>
      <w:bookmarkStart w:id="83" w:name="_Toc451873628"/>
      <w:r>
        <w:t>Value of imputation credits (gamma)</w:t>
      </w:r>
      <w:bookmarkEnd w:id="80"/>
      <w:bookmarkEnd w:id="81"/>
      <w:bookmarkEnd w:id="82"/>
      <w:bookmarkEnd w:id="83"/>
    </w:p>
    <w:p w:rsidR="00325B48" w:rsidRDefault="00325B48" w:rsidP="00325B48">
      <w:pPr>
        <w:numPr>
          <w:ilvl w:val="0"/>
          <w:numId w:val="24"/>
        </w:numPr>
      </w:pP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31"/>
      </w:r>
      <w:r w:rsidRPr="00A3318E">
        <w:t xml:space="preserve"> </w:t>
      </w:r>
      <w:r>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w:t>
      </w:r>
      <w:r>
        <w:t xml:space="preserve">valuable to investors and are </w:t>
      </w:r>
      <w:r w:rsidRPr="00A3318E">
        <w:t xml:space="preserve">a benefit to investors in addition to any cash dividend or capital gains </w:t>
      </w:r>
      <w:r>
        <w:t xml:space="preserve">they receive </w:t>
      </w:r>
      <w:r w:rsidRPr="00A3318E">
        <w:t>from owning shares.</w:t>
      </w:r>
    </w:p>
    <w:p w:rsidR="00325B48" w:rsidRPr="00E356F9" w:rsidRDefault="00325B48" w:rsidP="00325B48">
      <w:pPr>
        <w:numPr>
          <w:ilvl w:val="0"/>
          <w:numId w:val="24"/>
        </w:numPr>
      </w:pPr>
      <w:r>
        <w:t>However, the estimation of the return on equity does not take imputation credits into account.</w:t>
      </w:r>
      <w:r>
        <w:rPr>
          <w:rStyle w:val="FootnoteReference"/>
        </w:rPr>
        <w:footnoteReference w:id="32"/>
      </w:r>
      <w:r>
        <w:t xml:space="preserve"> Therefore, an adjustment for the value of imputation credits is required. This adjustment could take the form of a decrease in the estimated return on equity itself. An alternative but equivalent form of adjustment, which is employed under the NGR, is via the revenue granted to a service provider to cover its expected tax liability. Specifically, the 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3"/>
      </w:r>
      <w:r>
        <w:t xml:space="preserve"> This form of adjustment recognises that it is the payment of corporate tax which is the source of the imputation credit return to investors.</w:t>
      </w:r>
    </w:p>
    <w:p w:rsidR="00325B48" w:rsidRDefault="00325B48" w:rsidP="00325B48">
      <w:pPr>
        <w:numPr>
          <w:ilvl w:val="0"/>
          <w:numId w:val="24"/>
        </w:numPr>
      </w:pPr>
      <w:r>
        <w:t>W</w:t>
      </w:r>
      <w:r w:rsidRPr="001243BA">
        <w:t>e adopt a value of imputation credits of 0.4</w:t>
      </w:r>
      <w:r>
        <w:t xml:space="preserve"> for this decision, based on our conceptual approach and a wide range of relevant evidence</w:t>
      </w:r>
      <w:r w:rsidRPr="001243BA">
        <w:t>.</w:t>
      </w:r>
      <w:r>
        <w:t xml:space="preserve"> </w:t>
      </w:r>
      <w:r w:rsidRPr="001243BA">
        <w:t>Estimating the value of imputation credits is a complex and imprecise task</w:t>
      </w:r>
      <w:r>
        <w:t>, and as such, requires the use of regulatory judgement</w:t>
      </w:r>
      <w:r w:rsidRPr="001243BA">
        <w:t>. There is no consensus among experts on the appropriate value or estimation techniques to use.</w:t>
      </w:r>
      <w:r w:rsidRPr="00876008">
        <w:rPr>
          <w:rStyle w:val="FootnoteReference"/>
        </w:rPr>
        <w:t xml:space="preserve"> </w:t>
      </w:r>
      <w:r w:rsidRPr="001243BA">
        <w:t>Conceptually, the value of imputation credits must be between 0 and 1, and the range of expert views on the value of imputation credits is almost this wide.</w:t>
      </w:r>
    </w:p>
    <w:p w:rsidR="00325B48" w:rsidRPr="001243BA" w:rsidRDefault="00325B48" w:rsidP="00325B48">
      <w:pPr>
        <w:numPr>
          <w:ilvl w:val="0"/>
          <w:numId w:val="24"/>
        </w:numPr>
      </w:pPr>
      <w:r w:rsidRPr="001243BA">
        <w:t xml:space="preserve">We do not accept </w:t>
      </w:r>
      <w:r>
        <w:t>APTNT's</w:t>
      </w:r>
      <w:r w:rsidRPr="001243BA">
        <w:t xml:space="preserve"> proposed value of imputation credits of 0.25.</w:t>
      </w:r>
      <w:r>
        <w:rPr>
          <w:rStyle w:val="FootnoteReference"/>
        </w:rPr>
        <w:footnoteReference w:id="34"/>
      </w:r>
      <w:r w:rsidRPr="001243BA">
        <w:t xml:space="preserve"> </w:t>
      </w:r>
      <w:r>
        <w:t>We assessed its reasoning in its revised proposal, and respond in detail in Attachment 4.</w:t>
      </w:r>
      <w:r w:rsidRPr="002B5C63">
        <w:rPr>
          <w:rStyle w:val="AERbody"/>
        </w:rPr>
        <w:t xml:space="preserve"> </w:t>
      </w:r>
      <w:r>
        <w:rPr>
          <w:rStyle w:val="AERbody"/>
        </w:rPr>
        <w:t>After</w:t>
      </w:r>
      <w:r w:rsidRPr="005942A6">
        <w:rPr>
          <w:rStyle w:val="AERbody"/>
        </w:rPr>
        <w:t xml:space="preserve"> </w:t>
      </w:r>
      <w:r>
        <w:t>APTNT</w:t>
      </w:r>
      <w:r w:rsidRPr="001243BA">
        <w:t xml:space="preserve"> </w:t>
      </w:r>
      <w:r w:rsidRPr="005942A6">
        <w:rPr>
          <w:rStyle w:val="AERbody"/>
        </w:rPr>
        <w:t xml:space="preserve">submitted </w:t>
      </w:r>
      <w:r>
        <w:rPr>
          <w:rStyle w:val="AERbody"/>
        </w:rPr>
        <w:t>its</w:t>
      </w:r>
      <w:r w:rsidRPr="005942A6">
        <w:rPr>
          <w:rStyle w:val="AERbody"/>
        </w:rPr>
        <w:t xml:space="preserve"> revised proposal, a number of service providers made late submissions.</w:t>
      </w:r>
      <w:r>
        <w:rPr>
          <w:rStyle w:val="FootnoteReference"/>
        </w:rPr>
        <w:footnoteReference w:id="35"/>
      </w:r>
      <w:r w:rsidRPr="005942A6">
        <w:rPr>
          <w:rStyle w:val="AERbody"/>
        </w:rPr>
        <w:t xml:space="preserve"> These late submissions asked us to take into account a range of issues identified in the recent Australian Competition Tribunal (the Tribunal) decisions for ActewAGL Distribution, Ausgrid, Endeavour Energy, Essential Energy and Jemena Gas Networks.</w:t>
      </w:r>
      <w:r w:rsidRPr="005942A6">
        <w:rPr>
          <w:rStyle w:val="FootnoteReference"/>
        </w:rPr>
        <w:footnoteReference w:id="36"/>
      </w:r>
      <w:r w:rsidRPr="002B5C63">
        <w:t xml:space="preserve"> </w:t>
      </w:r>
      <w:r w:rsidRPr="002B5C63">
        <w:rPr>
          <w:rStyle w:val="AERbody"/>
        </w:rPr>
        <w:t>We have considered these submissions as fully as possible in the</w:t>
      </w:r>
      <w:r>
        <w:rPr>
          <w:rStyle w:val="AERbody"/>
        </w:rPr>
        <w:t xml:space="preserve"> limited</w:t>
      </w:r>
      <w:r w:rsidRPr="002B5C63">
        <w:rPr>
          <w:rStyle w:val="AERbody"/>
        </w:rPr>
        <w:t xml:space="preserve"> time permitted</w:t>
      </w:r>
      <w:r>
        <w:rPr>
          <w:rStyle w:val="AERbody"/>
        </w:rPr>
        <w:t>, and we set out our response in Attachment 4</w:t>
      </w:r>
      <w:r w:rsidRPr="002B5C63">
        <w:rPr>
          <w:rStyle w:val="AERbody"/>
        </w:rPr>
        <w:t>. We also sought expert advice from Dr Martin Lally (Lally)</w:t>
      </w:r>
      <w:r>
        <w:rPr>
          <w:rStyle w:val="AERbody"/>
        </w:rPr>
        <w:t>, in response to the issues raised in these submissions.</w:t>
      </w:r>
      <w:r>
        <w:rPr>
          <w:rStyle w:val="FootnoteReference"/>
        </w:rPr>
        <w:footnoteReference w:id="37"/>
      </w:r>
    </w:p>
    <w:p w:rsidR="00325B48" w:rsidRDefault="00325B48" w:rsidP="00325B48">
      <w:pPr>
        <w:numPr>
          <w:ilvl w:val="0"/>
          <w:numId w:val="24"/>
        </w:numPr>
      </w:pPr>
      <w:r>
        <w:t>In light of the above, i</w:t>
      </w:r>
      <w:r w:rsidRPr="001243BA">
        <w:t>n coming to a value of imputation credits of 0.4</w:t>
      </w:r>
      <w:r>
        <w:t>:</w:t>
      </w:r>
    </w:p>
    <w:p w:rsidR="00325B48" w:rsidRDefault="00325B48" w:rsidP="00325B48">
      <w:pPr>
        <w:pStyle w:val="AERbulletlistfirststyle"/>
      </w:pPr>
      <w:r>
        <w:t xml:space="preserve">We </w:t>
      </w:r>
      <w:r w:rsidRPr="00133451">
        <w:t>adopt a conceptual approach consistent with the Officer framework, which we consider best promotes the objecti</w:t>
      </w:r>
      <w:r>
        <w:t xml:space="preserve">ves and requirements of the </w:t>
      </w:r>
      <w:r w:rsidRPr="00133451">
        <w:t>NGR. We consider this conceptual approach allows for the value of imputation credits to be estimated on a consistent basis with the allowed rate of return and allowed revenues under th</w:t>
      </w:r>
      <w:r>
        <w:t xml:space="preserve">e post-tax framework in the </w:t>
      </w:r>
      <w:r w:rsidRPr="00133451">
        <w:t>NGR</w:t>
      </w:r>
      <w:r>
        <w:t>.</w:t>
      </w:r>
      <w:r>
        <w:rPr>
          <w:rStyle w:val="FootnoteReference"/>
        </w:rPr>
        <w:footnoteReference w:id="38"/>
      </w:r>
      <w:r>
        <w:t xml:space="preserve"> </w:t>
      </w:r>
    </w:p>
    <w:p w:rsidR="00325B48" w:rsidRDefault="00325B48" w:rsidP="00325B48">
      <w:pPr>
        <w:pStyle w:val="AERbulletlistfirststyle"/>
      </w:pPr>
      <w:r w:rsidRPr="002A5955">
        <w:t>We use the widely accepted approach of estimating the value of imputation credits as the product of two sub-parameters: the 'distribution rate' and the 'utilisation</w:t>
      </w:r>
      <w:r>
        <w:t xml:space="preserve"> rate'. We use a wide range of relevant evidence to estimate these parameters, having regard to expert advice on each source of relevant evidence.</w:t>
      </w:r>
    </w:p>
    <w:p w:rsidR="00325B48" w:rsidRDefault="00325B48" w:rsidP="00325B48">
      <w:pPr>
        <w:pStyle w:val="AERbulletlistfirststyle"/>
      </w:pPr>
      <w:r w:rsidRPr="002A5955">
        <w:tab/>
        <w:t>Overall, the evidence suggests a range of estimates for the value of imputation credits might be reasonable. With regard to the merits of the evidence before us, we choose a value of imputation credits of 0.4 from within a range of 0.3 to 0.5.</w:t>
      </w:r>
    </w:p>
    <w:p w:rsidR="00325B48" w:rsidRDefault="00325B48" w:rsidP="00325B48">
      <w:pPr>
        <w:pStyle w:val="AERbulletlistfirststyle"/>
      </w:pPr>
      <w:r>
        <w:t>Lally's latest advice</w:t>
      </w:r>
      <w:r w:rsidRPr="001D505C">
        <w:t xml:space="preserve"> recommended </w:t>
      </w:r>
      <w:r>
        <w:t xml:space="preserve">a value of imputation credits </w:t>
      </w:r>
      <w:r w:rsidR="009D143B">
        <w:t>of at least</w:t>
      </w:r>
      <w:r w:rsidRPr="001D505C">
        <w:t xml:space="preserve"> 0.5. This is higher than the estimate of 0.4 we adopt in this decision. We maintain our approach and final estimate because we consider it me</w:t>
      </w:r>
      <w:r>
        <w:t xml:space="preserve">ets the requirements of the </w:t>
      </w:r>
      <w:r w:rsidRPr="001D505C">
        <w:t xml:space="preserve">NGR, taking into account the importance of regulatory certainty and predictability. </w:t>
      </w:r>
    </w:p>
    <w:p w:rsidR="00930A2F" w:rsidRDefault="00325B48" w:rsidP="00325B48">
      <w:pPr>
        <w:numPr>
          <w:ilvl w:val="0"/>
          <w:numId w:val="24"/>
        </w:numPr>
      </w:pPr>
      <w:r>
        <w:t>We elaborate on our reasons for this decision in Attachment 4.</w:t>
      </w:r>
      <w:r w:rsidR="00930A2F">
        <w:t xml:space="preserve"> </w:t>
      </w:r>
    </w:p>
    <w:p w:rsidR="005766DB" w:rsidRPr="005766DB" w:rsidRDefault="005766DB" w:rsidP="005766DB">
      <w:pPr>
        <w:pStyle w:val="Heading2"/>
      </w:pPr>
      <w:bookmarkStart w:id="84" w:name="_Toc430002792"/>
      <w:bookmarkStart w:id="85" w:name="_Ref433367629"/>
      <w:bookmarkStart w:id="86" w:name="_Ref434386292"/>
      <w:bookmarkStart w:id="87" w:name="_Ref435797241"/>
      <w:bookmarkStart w:id="88" w:name="_Toc436046184"/>
      <w:bookmarkStart w:id="89" w:name="_Toc451873629"/>
      <w:r>
        <w:t>Regulatory depreciation (return of capital)</w:t>
      </w:r>
      <w:bookmarkEnd w:id="84"/>
      <w:bookmarkEnd w:id="85"/>
      <w:bookmarkEnd w:id="86"/>
      <w:bookmarkEnd w:id="87"/>
      <w:bookmarkEnd w:id="88"/>
      <w:bookmarkEnd w:id="89"/>
    </w:p>
    <w:p w:rsidR="005766DB" w:rsidRPr="005766DB" w:rsidRDefault="005766DB" w:rsidP="005766DB">
      <w:r>
        <w:t>R</w:t>
      </w:r>
      <w:r w:rsidRPr="005766DB">
        <w:t>egulatory depreciation is a component of the annual building block revenue requirement.</w:t>
      </w:r>
      <w:r w:rsidRPr="005766DB">
        <w:rPr>
          <w:rStyle w:val="FootnoteReference"/>
        </w:rPr>
        <w:footnoteReference w:id="39"/>
      </w:r>
      <w:r w:rsidRPr="005766DB">
        <w:t xml:space="preserve"> When determining the total revenue for APTNT, we must decide on the depreciation for the projected capital base (otherwise referred to as ‘return of capital’).</w:t>
      </w:r>
      <w:r w:rsidRPr="005766DB">
        <w:rPr>
          <w:rStyle w:val="FootnoteReference"/>
        </w:rPr>
        <w:footnoteReference w:id="40"/>
      </w:r>
      <w:r w:rsidRPr="005766DB">
        <w:t xml:space="preserve"> Regulatory depreciation is used to model the nominal asset values over the 2016–21 access arrangement period and the depreciation forecast in the total revenue requirement.</w:t>
      </w:r>
      <w:r w:rsidRPr="005766DB">
        <w:rPr>
          <w:rStyle w:val="FootnoteReference"/>
        </w:rPr>
        <w:footnoteReference w:id="41"/>
      </w:r>
      <w:r w:rsidRPr="005766DB">
        <w:t xml:space="preserve"> </w:t>
      </w:r>
    </w:p>
    <w:p w:rsidR="005766DB" w:rsidRPr="00D57689" w:rsidRDefault="00565E7E" w:rsidP="005766DB">
      <w:r>
        <w:t>A</w:t>
      </w:r>
      <w:r w:rsidR="005766DB" w:rsidRPr="00D57689">
        <w:t xml:space="preserve"> </w:t>
      </w:r>
      <w:r w:rsidR="005766DB">
        <w:t>service provider</w:t>
      </w:r>
      <w:r w:rsidR="005766DB" w:rsidRPr="00D57689">
        <w:t xml:space="preserve"> can only recover the capex it has incurred on assets once. The depreciation </w:t>
      </w:r>
      <w:r w:rsidR="005766DB">
        <w:t>forecast</w:t>
      </w:r>
      <w:r w:rsidR="005766DB" w:rsidRPr="00D57689">
        <w:t xml:space="preserve"> reflects how quickly the </w:t>
      </w:r>
      <w:r w:rsidR="005766DB">
        <w:t>capital base</w:t>
      </w:r>
      <w:r w:rsidR="005766DB" w:rsidRPr="00D57689">
        <w:t xml:space="preserve"> is being recovered</w:t>
      </w:r>
      <w:r w:rsidR="005766DB">
        <w:t>,</w:t>
      </w:r>
      <w:r w:rsidR="005766DB" w:rsidRPr="00D57689">
        <w:t xml:space="preserve"> and is based on the remaining and standard </w:t>
      </w:r>
      <w:r w:rsidR="005766DB">
        <w:t>asset</w:t>
      </w:r>
      <w:r w:rsidR="005766DB" w:rsidRPr="00D57689">
        <w:t xml:space="preserve"> lives used in the depreciation calculation. Higher (or quicker) depreciation leads to higher revenues over the </w:t>
      </w:r>
      <w:r w:rsidR="005766DB">
        <w:t>access arrangement</w:t>
      </w:r>
      <w:r w:rsidR="005766DB" w:rsidRPr="00D57689">
        <w:t xml:space="preserve"> period. It also causes the </w:t>
      </w:r>
      <w:r w:rsidR="005766DB">
        <w:t xml:space="preserve">capital base </w:t>
      </w:r>
      <w:r w:rsidR="005766DB" w:rsidRPr="00D57689">
        <w:t xml:space="preserve">to reduce more quickly (assuming no further capex). This reduces the return on capital </w:t>
      </w:r>
      <w:r w:rsidR="005766DB">
        <w:t>building block</w:t>
      </w:r>
      <w:r w:rsidR="005766DB" w:rsidRPr="00D57689">
        <w:t xml:space="preserve">, although this impact is usually </w:t>
      </w:r>
      <w:r w:rsidR="005766DB">
        <w:t>less than that of</w:t>
      </w:r>
      <w:r w:rsidR="005766DB" w:rsidRPr="00D57689">
        <w:t xml:space="preserve"> the increased depreciation </w:t>
      </w:r>
      <w:r w:rsidR="005766DB">
        <w:t>forecast</w:t>
      </w:r>
      <w:r w:rsidR="005766DB" w:rsidRPr="00D57689">
        <w:t xml:space="preserve">. </w:t>
      </w:r>
    </w:p>
    <w:p w:rsidR="005766DB" w:rsidRDefault="005766DB" w:rsidP="005766DB">
      <w:r w:rsidRPr="005766DB">
        <w:t xml:space="preserve">In </w:t>
      </w:r>
      <w:r w:rsidR="00565E7E">
        <w:t>coming to</w:t>
      </w:r>
      <w:r w:rsidR="00565E7E" w:rsidRPr="005766DB">
        <w:t xml:space="preserve"> </w:t>
      </w:r>
      <w:r w:rsidRPr="005766DB">
        <w:t>a decision on the proposed depreciation schedule, we assess the compliance of the proposed depreciation schedule with the depreciation criteria set out in the NG</w:t>
      </w:r>
      <w:r w:rsidRPr="005766DB">
        <w:rPr>
          <w:rStyle w:val="AERbody"/>
        </w:rPr>
        <w:t>R.</w:t>
      </w:r>
      <w:r w:rsidRPr="005766DB">
        <w:rPr>
          <w:rStyle w:val="FootnoteReference"/>
        </w:rPr>
        <w:footnoteReference w:id="42"/>
      </w:r>
      <w:r w:rsidRPr="005766DB">
        <w:rPr>
          <w:rStyle w:val="AERbody"/>
        </w:rPr>
        <w:t xml:space="preserve"> </w:t>
      </w:r>
      <w:r>
        <w:t>We</w:t>
      </w:r>
      <w:r w:rsidRPr="00471C48">
        <w:t xml:space="preserve"> must also take into account the NGO and the </w:t>
      </w:r>
      <w:r w:rsidR="009E7EC8">
        <w:t>RPPs</w:t>
      </w:r>
      <w:r w:rsidRPr="00471C48">
        <w:t>.</w:t>
      </w:r>
      <w:r w:rsidRPr="00471C48">
        <w:rPr>
          <w:rStyle w:val="FootnoteReference"/>
        </w:rPr>
        <w:footnoteReference w:id="43"/>
      </w:r>
      <w:r>
        <w:t xml:space="preserve"> If a proposed depreciation schedule complies with the NGR, we must approve it.</w:t>
      </w:r>
    </w:p>
    <w:p w:rsidR="002D44A9" w:rsidRDefault="002D44A9" w:rsidP="002D44A9">
      <w:r>
        <w:t xml:space="preserve">Our final decision on APTNT's regulatory depreciation allowance is </w:t>
      </w:r>
      <w:r w:rsidR="00D23F48">
        <w:t>$</w:t>
      </w:r>
      <w:r w:rsidR="00976160">
        <w:t>5.7</w:t>
      </w:r>
      <w:r w:rsidR="00D23F48">
        <w:t xml:space="preserve"> million ($nominal) over the 2016–21 access arrangement period as </w:t>
      </w:r>
      <w:r>
        <w:t xml:space="preserve">set out in </w:t>
      </w:r>
      <w:r w:rsidR="00F93324">
        <w:fldChar w:fldCharType="begin"/>
      </w:r>
      <w:r w:rsidR="00F93324">
        <w:instrText xml:space="preserve"> REF _Ref447527703 \h </w:instrText>
      </w:r>
      <w:r w:rsidR="00F93324">
        <w:fldChar w:fldCharType="separate"/>
      </w:r>
      <w:r w:rsidR="009F7892">
        <w:t xml:space="preserve">Table </w:t>
      </w:r>
      <w:r w:rsidR="009F7892">
        <w:rPr>
          <w:noProof/>
        </w:rPr>
        <w:t>8</w:t>
      </w:r>
      <w:r w:rsidR="00F93324">
        <w:fldChar w:fldCharType="end"/>
      </w:r>
      <w:r w:rsidR="00F93324">
        <w:t>.</w:t>
      </w:r>
    </w:p>
    <w:p w:rsidR="002D44A9" w:rsidRPr="001D3081" w:rsidRDefault="002D44A9" w:rsidP="002D44A9">
      <w:pPr>
        <w:pStyle w:val="Caption"/>
      </w:pPr>
      <w:bookmarkStart w:id="90" w:name="_Ref447527703"/>
      <w:r>
        <w:t xml:space="preserve">Table </w:t>
      </w:r>
      <w:fldSimple w:instr=" SEQ Table \* ARABIC ">
        <w:r w:rsidR="009F7892">
          <w:rPr>
            <w:noProof/>
          </w:rPr>
          <w:t>8</w:t>
        </w:r>
      </w:fldSimple>
      <w:bookmarkEnd w:id="90"/>
      <w:r w:rsidRPr="001D3081">
        <w:tab/>
        <w:t xml:space="preserve">AER’s </w:t>
      </w:r>
      <w:r>
        <w:t>final</w:t>
      </w:r>
      <w:r w:rsidRPr="001D3081">
        <w:t xml:space="preserve"> decision on APTNT’s regulatory depreciation allowance for the 2016–21 access arrangement period ($million,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2D44A9" w:rsidRPr="00A575B0" w:rsidTr="0003290C">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2D44A9" w:rsidRPr="00A575B0" w:rsidRDefault="002D44A9" w:rsidP="002D44A9"/>
        </w:tc>
        <w:tc>
          <w:tcPr>
            <w:tcW w:w="1031" w:type="dxa"/>
            <w:noWrap/>
          </w:tcPr>
          <w:p w:rsidR="002D44A9" w:rsidRPr="002D44A9" w:rsidRDefault="002D44A9" w:rsidP="002D44A9">
            <w:pPr>
              <w:cnfStyle w:val="100000000000" w:firstRow="1" w:lastRow="0" w:firstColumn="0" w:lastColumn="0" w:oddVBand="0" w:evenVBand="0" w:oddHBand="0" w:evenHBand="0" w:firstRowFirstColumn="0" w:firstRowLastColumn="0" w:lastRowFirstColumn="0" w:lastRowLastColumn="0"/>
            </w:pPr>
            <w:r w:rsidRPr="00A575B0">
              <w:t>2016–17</w:t>
            </w:r>
          </w:p>
        </w:tc>
        <w:tc>
          <w:tcPr>
            <w:tcW w:w="1031" w:type="dxa"/>
            <w:noWrap/>
          </w:tcPr>
          <w:p w:rsidR="002D44A9" w:rsidRPr="002D44A9" w:rsidRDefault="002D44A9" w:rsidP="002D44A9">
            <w:pPr>
              <w:cnfStyle w:val="100000000000" w:firstRow="1" w:lastRow="0" w:firstColumn="0" w:lastColumn="0" w:oddVBand="0" w:evenVBand="0" w:oddHBand="0" w:evenHBand="0" w:firstRowFirstColumn="0" w:firstRowLastColumn="0" w:lastRowFirstColumn="0" w:lastRowLastColumn="0"/>
            </w:pPr>
            <w:r w:rsidRPr="00A575B0">
              <w:t>2017–18</w:t>
            </w:r>
          </w:p>
        </w:tc>
        <w:tc>
          <w:tcPr>
            <w:tcW w:w="1031" w:type="dxa"/>
            <w:noWrap/>
          </w:tcPr>
          <w:p w:rsidR="002D44A9" w:rsidRPr="002D44A9" w:rsidRDefault="002D44A9" w:rsidP="002D44A9">
            <w:pPr>
              <w:cnfStyle w:val="100000000000" w:firstRow="1" w:lastRow="0" w:firstColumn="0" w:lastColumn="0" w:oddVBand="0" w:evenVBand="0" w:oddHBand="0" w:evenHBand="0" w:firstRowFirstColumn="0" w:firstRowLastColumn="0" w:lastRowFirstColumn="0" w:lastRowLastColumn="0"/>
            </w:pPr>
            <w:r w:rsidRPr="005B4094">
              <w:t>2018–19</w:t>
            </w:r>
          </w:p>
        </w:tc>
        <w:tc>
          <w:tcPr>
            <w:tcW w:w="1031" w:type="dxa"/>
            <w:noWrap/>
          </w:tcPr>
          <w:p w:rsidR="002D44A9" w:rsidRPr="002D44A9" w:rsidRDefault="002D44A9" w:rsidP="002D44A9">
            <w:pPr>
              <w:cnfStyle w:val="100000000000" w:firstRow="1" w:lastRow="0" w:firstColumn="0" w:lastColumn="0" w:oddVBand="0" w:evenVBand="0" w:oddHBand="0" w:evenHBand="0" w:firstRowFirstColumn="0" w:firstRowLastColumn="0" w:lastRowFirstColumn="0" w:lastRowLastColumn="0"/>
            </w:pPr>
            <w:r w:rsidRPr="005B4094">
              <w:t>2019–20</w:t>
            </w:r>
          </w:p>
        </w:tc>
        <w:tc>
          <w:tcPr>
            <w:tcW w:w="1031" w:type="dxa"/>
            <w:noWrap/>
          </w:tcPr>
          <w:p w:rsidR="002D44A9" w:rsidRPr="002D44A9" w:rsidRDefault="002D44A9" w:rsidP="002D44A9">
            <w:pPr>
              <w:cnfStyle w:val="100000000000" w:firstRow="1" w:lastRow="0" w:firstColumn="0" w:lastColumn="0" w:oddVBand="0" w:evenVBand="0" w:oddHBand="0" w:evenHBand="0" w:firstRowFirstColumn="0" w:firstRowLastColumn="0" w:lastRowFirstColumn="0" w:lastRowLastColumn="0"/>
            </w:pPr>
            <w:r w:rsidRPr="00F77C82">
              <w:t>2020–21</w:t>
            </w:r>
          </w:p>
        </w:tc>
        <w:tc>
          <w:tcPr>
            <w:tcW w:w="1031" w:type="dxa"/>
          </w:tcPr>
          <w:p w:rsidR="002D44A9" w:rsidRPr="002D44A9" w:rsidRDefault="002D44A9" w:rsidP="002D44A9">
            <w:pPr>
              <w:cnfStyle w:val="100000000000" w:firstRow="1" w:lastRow="0" w:firstColumn="0" w:lastColumn="0" w:oddVBand="0" w:evenVBand="0" w:oddHBand="0" w:evenHBand="0" w:firstRowFirstColumn="0" w:firstRowLastColumn="0" w:lastRowFirstColumn="0" w:lastRowLastColumn="0"/>
            </w:pPr>
            <w:r w:rsidRPr="00F77C82">
              <w:t>Total</w:t>
            </w:r>
          </w:p>
        </w:tc>
      </w:tr>
      <w:tr w:rsidR="00976160" w:rsidRPr="009603F9" w:rsidTr="0003290C">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976160" w:rsidRPr="00976160" w:rsidRDefault="00976160" w:rsidP="00976160">
            <w:r w:rsidRPr="00976160">
              <w:t>Straight-line depreciation</w:t>
            </w:r>
          </w:p>
        </w:tc>
        <w:tc>
          <w:tcPr>
            <w:tcW w:w="1031" w:type="dxa"/>
            <w:noWrap/>
          </w:tcPr>
          <w:p w:rsidR="00976160" w:rsidRPr="00976160" w:rsidRDefault="00976160" w:rsidP="00976160">
            <w:pPr>
              <w:cnfStyle w:val="000000000000" w:firstRow="0" w:lastRow="0" w:firstColumn="0" w:lastColumn="0" w:oddVBand="0" w:evenVBand="0" w:oddHBand="0" w:evenHBand="0" w:firstRowFirstColumn="0" w:firstRowLastColumn="0" w:lastRowFirstColumn="0" w:lastRowLastColumn="0"/>
            </w:pPr>
            <w:r w:rsidRPr="00976160">
              <w:t>3.5</w:t>
            </w:r>
          </w:p>
        </w:tc>
        <w:tc>
          <w:tcPr>
            <w:tcW w:w="1031" w:type="dxa"/>
            <w:noWrap/>
          </w:tcPr>
          <w:p w:rsidR="00976160" w:rsidRPr="00976160" w:rsidRDefault="00976160" w:rsidP="00976160">
            <w:pPr>
              <w:cnfStyle w:val="000000000000" w:firstRow="0" w:lastRow="0" w:firstColumn="0" w:lastColumn="0" w:oddVBand="0" w:evenVBand="0" w:oddHBand="0" w:evenHBand="0" w:firstRowFirstColumn="0" w:firstRowLastColumn="0" w:lastRowFirstColumn="0" w:lastRowLastColumn="0"/>
            </w:pPr>
            <w:r w:rsidRPr="00976160">
              <w:t>3.9</w:t>
            </w:r>
          </w:p>
        </w:tc>
        <w:tc>
          <w:tcPr>
            <w:tcW w:w="1031" w:type="dxa"/>
            <w:noWrap/>
          </w:tcPr>
          <w:p w:rsidR="00976160" w:rsidRPr="00976160" w:rsidRDefault="00976160" w:rsidP="00976160">
            <w:pPr>
              <w:cnfStyle w:val="000000000000" w:firstRow="0" w:lastRow="0" w:firstColumn="0" w:lastColumn="0" w:oddVBand="0" w:evenVBand="0" w:oddHBand="0" w:evenHBand="0" w:firstRowFirstColumn="0" w:firstRowLastColumn="0" w:lastRowFirstColumn="0" w:lastRowLastColumn="0"/>
            </w:pPr>
            <w:r w:rsidRPr="00976160">
              <w:t>4.1</w:t>
            </w:r>
          </w:p>
        </w:tc>
        <w:tc>
          <w:tcPr>
            <w:tcW w:w="1031" w:type="dxa"/>
            <w:noWrap/>
          </w:tcPr>
          <w:p w:rsidR="00976160" w:rsidRPr="00976160" w:rsidRDefault="00976160" w:rsidP="00976160">
            <w:pPr>
              <w:cnfStyle w:val="000000000000" w:firstRow="0" w:lastRow="0" w:firstColumn="0" w:lastColumn="0" w:oddVBand="0" w:evenVBand="0" w:oddHBand="0" w:evenHBand="0" w:firstRowFirstColumn="0" w:firstRowLastColumn="0" w:lastRowFirstColumn="0" w:lastRowLastColumn="0"/>
            </w:pPr>
            <w:r w:rsidRPr="00976160">
              <w:t>4.3</w:t>
            </w:r>
          </w:p>
        </w:tc>
        <w:tc>
          <w:tcPr>
            <w:tcW w:w="1031" w:type="dxa"/>
            <w:noWrap/>
          </w:tcPr>
          <w:p w:rsidR="00976160" w:rsidRPr="00976160" w:rsidRDefault="00976160" w:rsidP="00976160">
            <w:pPr>
              <w:cnfStyle w:val="000000000000" w:firstRow="0" w:lastRow="0" w:firstColumn="0" w:lastColumn="0" w:oddVBand="0" w:evenVBand="0" w:oddHBand="0" w:evenHBand="0" w:firstRowFirstColumn="0" w:firstRowLastColumn="0" w:lastRowFirstColumn="0" w:lastRowLastColumn="0"/>
            </w:pPr>
            <w:r w:rsidRPr="00976160">
              <w:t>4.6</w:t>
            </w:r>
          </w:p>
        </w:tc>
        <w:tc>
          <w:tcPr>
            <w:tcW w:w="1031" w:type="dxa"/>
          </w:tcPr>
          <w:p w:rsidR="00976160" w:rsidRPr="00976160" w:rsidRDefault="00976160" w:rsidP="00976160">
            <w:pPr>
              <w:cnfStyle w:val="000000000000" w:firstRow="0" w:lastRow="0" w:firstColumn="0" w:lastColumn="0" w:oddVBand="0" w:evenVBand="0" w:oddHBand="0" w:evenHBand="0" w:firstRowFirstColumn="0" w:firstRowLastColumn="0" w:lastRowFirstColumn="0" w:lastRowLastColumn="0"/>
            </w:pPr>
            <w:r w:rsidRPr="00976160">
              <w:t>20.4</w:t>
            </w:r>
          </w:p>
        </w:tc>
      </w:tr>
      <w:tr w:rsidR="00976160" w:rsidRPr="009603F9" w:rsidTr="0003290C">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976160" w:rsidRPr="00976160" w:rsidRDefault="00976160" w:rsidP="00976160">
            <w:r w:rsidRPr="00976160">
              <w:rPr>
                <w:rStyle w:val="AERtextitalic"/>
              </w:rPr>
              <w:t>Less:</w:t>
            </w:r>
            <w:r w:rsidRPr="00976160">
              <w:t xml:space="preserve"> indexation on capital base </w:t>
            </w:r>
          </w:p>
        </w:tc>
        <w:tc>
          <w:tcPr>
            <w:tcW w:w="1031" w:type="dxa"/>
            <w:noWrap/>
          </w:tcPr>
          <w:p w:rsidR="00976160" w:rsidRPr="00976160" w:rsidRDefault="00976160" w:rsidP="00976160">
            <w:pPr>
              <w:cnfStyle w:val="000000010000" w:firstRow="0" w:lastRow="0" w:firstColumn="0" w:lastColumn="0" w:oddVBand="0" w:evenVBand="0" w:oddHBand="0" w:evenHBand="1" w:firstRowFirstColumn="0" w:firstRowLastColumn="0" w:lastRowFirstColumn="0" w:lastRowLastColumn="0"/>
            </w:pPr>
            <w:r w:rsidRPr="00976160">
              <w:t>2.8</w:t>
            </w:r>
          </w:p>
        </w:tc>
        <w:tc>
          <w:tcPr>
            <w:tcW w:w="1031" w:type="dxa"/>
            <w:noWrap/>
          </w:tcPr>
          <w:p w:rsidR="00976160" w:rsidRPr="00976160" w:rsidRDefault="00976160" w:rsidP="00976160">
            <w:pPr>
              <w:cnfStyle w:val="000000010000" w:firstRow="0" w:lastRow="0" w:firstColumn="0" w:lastColumn="0" w:oddVBand="0" w:evenVBand="0" w:oddHBand="0" w:evenHBand="1" w:firstRowFirstColumn="0" w:firstRowLastColumn="0" w:lastRowFirstColumn="0" w:lastRowLastColumn="0"/>
            </w:pPr>
            <w:r w:rsidRPr="00976160">
              <w:t>2.9</w:t>
            </w:r>
          </w:p>
        </w:tc>
        <w:tc>
          <w:tcPr>
            <w:tcW w:w="1031" w:type="dxa"/>
            <w:noWrap/>
          </w:tcPr>
          <w:p w:rsidR="00976160" w:rsidRPr="00976160" w:rsidRDefault="00976160" w:rsidP="00976160">
            <w:pPr>
              <w:cnfStyle w:val="000000010000" w:firstRow="0" w:lastRow="0" w:firstColumn="0" w:lastColumn="0" w:oddVBand="0" w:evenVBand="0" w:oddHBand="0" w:evenHBand="1" w:firstRowFirstColumn="0" w:firstRowLastColumn="0" w:lastRowFirstColumn="0" w:lastRowLastColumn="0"/>
            </w:pPr>
            <w:r w:rsidRPr="00976160">
              <w:t>3.0</w:t>
            </w:r>
          </w:p>
        </w:tc>
        <w:tc>
          <w:tcPr>
            <w:tcW w:w="1031" w:type="dxa"/>
            <w:noWrap/>
          </w:tcPr>
          <w:p w:rsidR="00976160" w:rsidRPr="00976160" w:rsidRDefault="00976160" w:rsidP="00976160">
            <w:pPr>
              <w:cnfStyle w:val="000000010000" w:firstRow="0" w:lastRow="0" w:firstColumn="0" w:lastColumn="0" w:oddVBand="0" w:evenVBand="0" w:oddHBand="0" w:evenHBand="1" w:firstRowFirstColumn="0" w:firstRowLastColumn="0" w:lastRowFirstColumn="0" w:lastRowLastColumn="0"/>
            </w:pPr>
            <w:r w:rsidRPr="00976160">
              <w:t>3.0</w:t>
            </w:r>
          </w:p>
        </w:tc>
        <w:tc>
          <w:tcPr>
            <w:tcW w:w="1031" w:type="dxa"/>
            <w:noWrap/>
          </w:tcPr>
          <w:p w:rsidR="00976160" w:rsidRPr="00976160" w:rsidRDefault="00976160" w:rsidP="00976160">
            <w:pPr>
              <w:cnfStyle w:val="000000010000" w:firstRow="0" w:lastRow="0" w:firstColumn="0" w:lastColumn="0" w:oddVBand="0" w:evenVBand="0" w:oddHBand="0" w:evenHBand="1" w:firstRowFirstColumn="0" w:firstRowLastColumn="0" w:lastRowFirstColumn="0" w:lastRowLastColumn="0"/>
            </w:pPr>
            <w:r w:rsidRPr="00976160">
              <w:t>3.0</w:t>
            </w:r>
          </w:p>
        </w:tc>
        <w:tc>
          <w:tcPr>
            <w:tcW w:w="1031" w:type="dxa"/>
          </w:tcPr>
          <w:p w:rsidR="00976160" w:rsidRPr="00976160" w:rsidRDefault="00976160" w:rsidP="00976160">
            <w:pPr>
              <w:cnfStyle w:val="000000010000" w:firstRow="0" w:lastRow="0" w:firstColumn="0" w:lastColumn="0" w:oddVBand="0" w:evenVBand="0" w:oddHBand="0" w:evenHBand="1" w:firstRowFirstColumn="0" w:firstRowLastColumn="0" w:lastRowFirstColumn="0" w:lastRowLastColumn="0"/>
            </w:pPr>
            <w:r w:rsidRPr="00976160">
              <w:t>14.7</w:t>
            </w:r>
          </w:p>
        </w:tc>
      </w:tr>
      <w:tr w:rsidR="00976160" w:rsidRPr="00E17A92" w:rsidTr="0003290C">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976160" w:rsidRPr="0099198D" w:rsidRDefault="00976160" w:rsidP="00976160">
            <w:pPr>
              <w:rPr>
                <w:rStyle w:val="Bold"/>
              </w:rPr>
            </w:pPr>
            <w:r w:rsidRPr="0099198D">
              <w:rPr>
                <w:rStyle w:val="Bold"/>
              </w:rPr>
              <w:t>Regulatory depreciation</w:t>
            </w:r>
          </w:p>
        </w:tc>
        <w:tc>
          <w:tcPr>
            <w:tcW w:w="1031" w:type="dxa"/>
            <w:noWrap/>
          </w:tcPr>
          <w:p w:rsidR="00976160" w:rsidRPr="0099198D" w:rsidRDefault="00976160" w:rsidP="00976160">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0.8</w:t>
            </w:r>
          </w:p>
        </w:tc>
        <w:tc>
          <w:tcPr>
            <w:tcW w:w="1031" w:type="dxa"/>
            <w:noWrap/>
          </w:tcPr>
          <w:p w:rsidR="00976160" w:rsidRPr="0099198D" w:rsidRDefault="00976160" w:rsidP="00976160">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0.9</w:t>
            </w:r>
          </w:p>
        </w:tc>
        <w:tc>
          <w:tcPr>
            <w:tcW w:w="1031" w:type="dxa"/>
            <w:noWrap/>
          </w:tcPr>
          <w:p w:rsidR="00976160" w:rsidRPr="0099198D" w:rsidRDefault="00976160" w:rsidP="00976160">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1.1</w:t>
            </w:r>
          </w:p>
        </w:tc>
        <w:tc>
          <w:tcPr>
            <w:tcW w:w="1031" w:type="dxa"/>
            <w:noWrap/>
          </w:tcPr>
          <w:p w:rsidR="00976160" w:rsidRPr="0099198D" w:rsidRDefault="00976160" w:rsidP="00976160">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1.3</w:t>
            </w:r>
          </w:p>
        </w:tc>
        <w:tc>
          <w:tcPr>
            <w:tcW w:w="1031" w:type="dxa"/>
            <w:noWrap/>
          </w:tcPr>
          <w:p w:rsidR="00976160" w:rsidRPr="0099198D" w:rsidRDefault="00976160" w:rsidP="00976160">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1.5</w:t>
            </w:r>
          </w:p>
        </w:tc>
        <w:tc>
          <w:tcPr>
            <w:tcW w:w="1031" w:type="dxa"/>
          </w:tcPr>
          <w:p w:rsidR="00976160" w:rsidRPr="0099198D" w:rsidRDefault="00976160" w:rsidP="00976160">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5.7</w:t>
            </w:r>
          </w:p>
        </w:tc>
      </w:tr>
    </w:tbl>
    <w:p w:rsidR="002D44A9" w:rsidRPr="00D1561D" w:rsidRDefault="002D44A9" w:rsidP="002D44A9">
      <w:pPr>
        <w:pStyle w:val="AERtablesource"/>
      </w:pPr>
      <w:r>
        <w:t xml:space="preserve">Source: </w:t>
      </w:r>
      <w:r>
        <w:tab/>
        <w:t xml:space="preserve">AER analysis. </w:t>
      </w:r>
    </w:p>
    <w:p w:rsidR="0075123D" w:rsidRDefault="00123574" w:rsidP="00123574">
      <w:bookmarkStart w:id="91" w:name="_Toc430002793"/>
      <w:bookmarkStart w:id="92" w:name="_Ref433367036"/>
      <w:bookmarkStart w:id="93" w:name="_Ref433367606"/>
      <w:bookmarkStart w:id="94" w:name="_Ref433617819"/>
      <w:bookmarkStart w:id="95" w:name="_Ref433619834"/>
      <w:bookmarkStart w:id="96" w:name="_Ref433619862"/>
      <w:bookmarkStart w:id="97" w:name="_Ref435797234"/>
      <w:bookmarkStart w:id="98" w:name="_Toc436046185"/>
      <w:r>
        <w:t>Our final decision on APTNT's regulatory depreciation allowance is a</w:t>
      </w:r>
      <w:r w:rsidR="00467179">
        <w:t>n</w:t>
      </w:r>
      <w:r>
        <w:t xml:space="preserve"> </w:t>
      </w:r>
      <w:r w:rsidR="00467179">
        <w:t>increase</w:t>
      </w:r>
      <w:r>
        <w:t xml:space="preserve"> of $</w:t>
      </w:r>
      <w:r w:rsidR="00976160">
        <w:t>1.4</w:t>
      </w:r>
      <w:r>
        <w:t xml:space="preserve"> million ($nominal) or </w:t>
      </w:r>
      <w:r w:rsidR="00976160">
        <w:t>33.0</w:t>
      </w:r>
      <w:r>
        <w:t xml:space="preserve"> per cent to APTNT's revised proposal. This </w:t>
      </w:r>
      <w:r w:rsidR="00015515">
        <w:t>increase</w:t>
      </w:r>
      <w:r>
        <w:t xml:space="preserve"> is mainly because of our final decision</w:t>
      </w:r>
      <w:r w:rsidR="0075123D">
        <w:t>s on other components of APTNT's revised proposal</w:t>
      </w:r>
      <w:r>
        <w:t xml:space="preserve"> </w:t>
      </w:r>
      <w:r w:rsidR="0075123D">
        <w:t>which affect the calculation of the regulatory depreciation allowance.</w:t>
      </w:r>
      <w:r w:rsidR="0075123D">
        <w:rPr>
          <w:rStyle w:val="FootnoteReference"/>
        </w:rPr>
        <w:footnoteReference w:id="44"/>
      </w:r>
      <w:r w:rsidR="0075123D">
        <w:t xml:space="preserve"> These include:</w:t>
      </w:r>
    </w:p>
    <w:p w:rsidR="0075123D" w:rsidRDefault="0075123D" w:rsidP="001C7921">
      <w:pPr>
        <w:pStyle w:val="AERbulletlistfirststyle"/>
      </w:pPr>
      <w:r>
        <w:t>a reduction to APTNT's revised opening capital base as at 1 July 2016 of $</w:t>
      </w:r>
      <w:r w:rsidR="002A041E">
        <w:t>3.7</w:t>
      </w:r>
      <w:r w:rsidR="00E17A92">
        <w:t> </w:t>
      </w:r>
      <w:r>
        <w:t xml:space="preserve">million ($nominal) or </w:t>
      </w:r>
      <w:r w:rsidR="002A041E">
        <w:t>3.1</w:t>
      </w:r>
      <w:r>
        <w:t xml:space="preserve"> per cent</w:t>
      </w:r>
      <w:r w:rsidR="00015515">
        <w:t>.</w:t>
      </w:r>
    </w:p>
    <w:p w:rsidR="00123574" w:rsidRDefault="0075123D" w:rsidP="001C7921">
      <w:pPr>
        <w:pStyle w:val="AERbulletlistfirststyle"/>
      </w:pPr>
      <w:r>
        <w:t>a reduction to</w:t>
      </w:r>
      <w:r w:rsidR="00123574">
        <w:t xml:space="preserve"> APTNT's </w:t>
      </w:r>
      <w:r w:rsidR="00E17A92">
        <w:t xml:space="preserve">revised </w:t>
      </w:r>
      <w:r w:rsidR="00123574">
        <w:t>forecast net capex of $</w:t>
      </w:r>
      <w:r w:rsidR="00467179">
        <w:t>1</w:t>
      </w:r>
      <w:r w:rsidR="00E17A92">
        <w:t>3.1</w:t>
      </w:r>
      <w:r w:rsidR="00123574">
        <w:t xml:space="preserve"> million ($</w:t>
      </w:r>
      <w:r w:rsidR="00E17A92">
        <w:t>nominal</w:t>
      </w:r>
      <w:r w:rsidR="00123574">
        <w:t xml:space="preserve">) or </w:t>
      </w:r>
      <w:r w:rsidR="0071642F">
        <w:t>42.1</w:t>
      </w:r>
      <w:r w:rsidR="00123574">
        <w:t xml:space="preserve"> per cent</w:t>
      </w:r>
      <w:r>
        <w:t>.</w:t>
      </w:r>
      <w:r w:rsidR="00123574">
        <w:t xml:space="preserve"> </w:t>
      </w:r>
    </w:p>
    <w:p w:rsidR="000D4856" w:rsidRDefault="000D4856" w:rsidP="001C7921">
      <w:pPr>
        <w:pStyle w:val="AERbulletlistfirststyle"/>
      </w:pPr>
      <w:r>
        <w:t xml:space="preserve">a reduction to </w:t>
      </w:r>
      <w:r w:rsidR="00E17A92">
        <w:t>APTNP's</w:t>
      </w:r>
      <w:r>
        <w:t xml:space="preserve"> </w:t>
      </w:r>
      <w:r w:rsidR="00E17A92">
        <w:t xml:space="preserve">revised </w:t>
      </w:r>
      <w:r>
        <w:t xml:space="preserve">forecast inflation from 2.5 per cent </w:t>
      </w:r>
      <w:r w:rsidR="00E17A92">
        <w:t xml:space="preserve">per annum </w:t>
      </w:r>
      <w:r>
        <w:t>to 2.39 per cent</w:t>
      </w:r>
      <w:r w:rsidR="00E17A92">
        <w:t xml:space="preserve"> per annum</w:t>
      </w:r>
      <w:r>
        <w:t>.</w:t>
      </w:r>
      <w:r w:rsidR="00E17A92">
        <w:t xml:space="preserve"> </w:t>
      </w:r>
      <w:r w:rsidR="00E17A92">
        <w:rPr>
          <w:rStyle w:val="AERbody"/>
        </w:rPr>
        <w:t xml:space="preserve">This results in a decrease to the indexation of the capital base component over the 2016–21 access arrangement period by </w:t>
      </w:r>
      <w:r w:rsidR="00E17A92" w:rsidRPr="009656AB">
        <w:rPr>
          <w:rStyle w:val="AERbody"/>
        </w:rPr>
        <w:t>$</w:t>
      </w:r>
      <w:r w:rsidR="00E17A92">
        <w:rPr>
          <w:rStyle w:val="AERbody"/>
        </w:rPr>
        <w:t>2.</w:t>
      </w:r>
      <w:r w:rsidR="000D2E75">
        <w:rPr>
          <w:rStyle w:val="AERbody"/>
        </w:rPr>
        <w:t>5</w:t>
      </w:r>
      <w:r w:rsidR="00E17A92" w:rsidRPr="009656AB">
        <w:rPr>
          <w:rStyle w:val="AERbody"/>
        </w:rPr>
        <w:t xml:space="preserve"> million ($nominal) or </w:t>
      </w:r>
      <w:r w:rsidR="000D2E75">
        <w:rPr>
          <w:rStyle w:val="AERbody"/>
        </w:rPr>
        <w:t>14.5</w:t>
      </w:r>
      <w:r w:rsidR="00E17A92">
        <w:rPr>
          <w:rStyle w:val="AERbody"/>
        </w:rPr>
        <w:t xml:space="preserve"> </w:t>
      </w:r>
      <w:r w:rsidR="00E17A92" w:rsidRPr="009656AB">
        <w:rPr>
          <w:rStyle w:val="AERbody"/>
        </w:rPr>
        <w:t>per cent</w:t>
      </w:r>
      <w:r w:rsidR="00E17A92">
        <w:rPr>
          <w:rStyle w:val="AERbody"/>
        </w:rPr>
        <w:t>, causing a net increase in the regulatory depreciation allowance.</w:t>
      </w:r>
    </w:p>
    <w:p w:rsidR="00123574" w:rsidRDefault="00123574" w:rsidP="00123574">
      <w:r>
        <w:t xml:space="preserve">Consistent with our draft decision, we accept APTNT's revised proposed standard asset lives for its asset classes. We also accept APTNT's proposed weighted average method to calculate the revised remaining asset lives as at 1 July 2016. However, we have updated APTNT's remaining asset lives as at 1 July 2016 to reflect the </w:t>
      </w:r>
      <w:r w:rsidR="0075123D">
        <w:t>amended</w:t>
      </w:r>
      <w:r>
        <w:t xml:space="preserve"> capital base</w:t>
      </w:r>
      <w:r w:rsidR="0075123D">
        <w:t xml:space="preserve"> roll forward for the 2011–16 access arrangement period.</w:t>
      </w:r>
    </w:p>
    <w:p w:rsidR="005766DB" w:rsidRPr="005766DB" w:rsidRDefault="005766DB" w:rsidP="005766DB">
      <w:pPr>
        <w:pStyle w:val="Heading2"/>
      </w:pPr>
      <w:bookmarkStart w:id="99" w:name="_Ref449527455"/>
      <w:bookmarkStart w:id="100" w:name="_Toc451873630"/>
      <w:r>
        <w:t>Capital expenditure</w:t>
      </w:r>
      <w:bookmarkEnd w:id="91"/>
      <w:bookmarkEnd w:id="92"/>
      <w:bookmarkEnd w:id="93"/>
      <w:bookmarkEnd w:id="94"/>
      <w:bookmarkEnd w:id="95"/>
      <w:bookmarkEnd w:id="96"/>
      <w:bookmarkEnd w:id="97"/>
      <w:bookmarkEnd w:id="98"/>
      <w:bookmarkEnd w:id="99"/>
      <w:bookmarkEnd w:id="100"/>
    </w:p>
    <w:p w:rsidR="005766DB" w:rsidRDefault="005766DB" w:rsidP="005766DB">
      <w:r w:rsidRPr="00B94B4D">
        <w:t xml:space="preserve">Capital expenditure (capex) refers to the capital expenses incurred in the provision of </w:t>
      </w:r>
      <w:r>
        <w:t>pipeline</w:t>
      </w:r>
      <w:r w:rsidRPr="00B94B4D">
        <w:t xml:space="preserve"> services. The return on and of forecast capex for </w:t>
      </w:r>
      <w:r>
        <w:t>reference</w:t>
      </w:r>
      <w:r w:rsidRPr="00B94B4D">
        <w:t xml:space="preserve"> services are two of the building blocks we use to determine a service provider's total revenue requirement.</w:t>
      </w:r>
    </w:p>
    <w:p w:rsidR="00423B76" w:rsidRDefault="005766DB" w:rsidP="005766DB">
      <w:r w:rsidRPr="00F745EE">
        <w:t xml:space="preserve">We must make two decisions regarding </w:t>
      </w:r>
      <w:r>
        <w:t>APTNT’s</w:t>
      </w:r>
      <w:r w:rsidRPr="00F745EE">
        <w:t xml:space="preserve"> capex. First, we are required to assess past </w:t>
      </w:r>
      <w:r>
        <w:t>capex</w:t>
      </w:r>
      <w:r w:rsidRPr="00F745EE">
        <w:t xml:space="preserve"> and determine whether it meets the criteria set out in the NGR to be added to the </w:t>
      </w:r>
      <w:r w:rsidR="00B22213">
        <w:t xml:space="preserve">opening </w:t>
      </w:r>
      <w:r w:rsidRPr="00F745EE">
        <w:t>capital base.</w:t>
      </w:r>
      <w:r w:rsidRPr="00F745EE">
        <w:rPr>
          <w:rStyle w:val="FootnoteReference"/>
        </w:rPr>
        <w:footnoteReference w:id="45"/>
      </w:r>
      <w:r w:rsidRPr="00F745EE">
        <w:t xml:space="preserve"> Where capex meets these criteria, it is referred to as "conforming</w:t>
      </w:r>
      <w:r>
        <w:t xml:space="preserve"> capex</w:t>
      </w:r>
      <w:r w:rsidRPr="00F745EE">
        <w:t>".</w:t>
      </w:r>
      <w:r w:rsidRPr="00F745EE">
        <w:rPr>
          <w:rStyle w:val="FootnoteReference"/>
        </w:rPr>
        <w:footnoteReference w:id="46"/>
      </w:r>
      <w:r w:rsidRPr="00F745EE">
        <w:t xml:space="preserve"> Secondly, we are required to assess </w:t>
      </w:r>
      <w:r>
        <w:t xml:space="preserve">APTNT’s </w:t>
      </w:r>
      <w:r w:rsidRPr="00F745EE">
        <w:t>forecast of required capex for the 201</w:t>
      </w:r>
      <w:r>
        <w:t>6–</w:t>
      </w:r>
      <w:r w:rsidRPr="00F745EE">
        <w:t>2</w:t>
      </w:r>
      <w:r>
        <w:t>1</w:t>
      </w:r>
      <w:r w:rsidRPr="00F745EE">
        <w:t xml:space="preserve"> </w:t>
      </w:r>
      <w:r>
        <w:t>access arrangement period to determine whether it is conforming capex</w:t>
      </w:r>
      <w:r w:rsidRPr="00F745EE">
        <w:t xml:space="preserve">. </w:t>
      </w:r>
    </w:p>
    <w:p w:rsidR="00423B76" w:rsidRDefault="00423B76" w:rsidP="00423B76">
      <w:r>
        <w:t xml:space="preserve">Our final decision </w:t>
      </w:r>
      <w:r w:rsidRPr="00EE386B">
        <w:t>approve</w:t>
      </w:r>
      <w:r>
        <w:t>s</w:t>
      </w:r>
      <w:r w:rsidRPr="00EE386B">
        <w:t xml:space="preserve"> </w:t>
      </w:r>
      <w:r>
        <w:t>$42.</w:t>
      </w:r>
      <w:r w:rsidR="003B6F4C">
        <w:t>1</w:t>
      </w:r>
      <w:r>
        <w:t xml:space="preserve"> million ($2015–16) of </w:t>
      </w:r>
      <w:r w:rsidRPr="00F021D4">
        <w:t>APTNT’s</w:t>
      </w:r>
      <w:r>
        <w:t xml:space="preserve"> proposed </w:t>
      </w:r>
      <w:r w:rsidRPr="00EE386B">
        <w:t>total net capex</w:t>
      </w:r>
      <w:r>
        <w:t xml:space="preserve"> of $</w:t>
      </w:r>
      <w:r w:rsidRPr="00E145C1">
        <w:t>44.</w:t>
      </w:r>
      <w:r w:rsidR="003B6F4C">
        <w:t>4</w:t>
      </w:r>
      <w:r>
        <w:t xml:space="preserve"> million ($2015-16)</w:t>
      </w:r>
      <w:r w:rsidRPr="00EE386B">
        <w:t xml:space="preserve"> for </w:t>
      </w:r>
      <w:r>
        <w:t>the 2011–16</w:t>
      </w:r>
      <w:r w:rsidRPr="00EE386B">
        <w:t xml:space="preserve"> </w:t>
      </w:r>
      <w:r>
        <w:t xml:space="preserve">access arrangement period </w:t>
      </w:r>
      <w:r w:rsidRPr="00EE386B">
        <w:t>as conforming capex</w:t>
      </w:r>
      <w:r w:rsidR="00FF5136">
        <w:t>, based on updated information provided by APTNT after the submission of its revised proposal</w:t>
      </w:r>
      <w:r w:rsidRPr="00EE386B">
        <w:t>.</w:t>
      </w:r>
      <w:r>
        <w:t xml:space="preserve"> This amount will be rolled into APTNT's opening capital base as at 1 July 2016. </w:t>
      </w:r>
    </w:p>
    <w:p w:rsidR="00423B76" w:rsidRDefault="00423B76" w:rsidP="005766DB">
      <w:r>
        <w:t xml:space="preserve">Our final decision </w:t>
      </w:r>
      <w:r w:rsidRPr="00DF7171">
        <w:t>approve</w:t>
      </w:r>
      <w:r>
        <w:t>s</w:t>
      </w:r>
      <w:r w:rsidRPr="00DF7171">
        <w:t xml:space="preserve"> $</w:t>
      </w:r>
      <w:r w:rsidR="003B6F4C">
        <w:t>16.8</w:t>
      </w:r>
      <w:r w:rsidRPr="00DF7171">
        <w:t xml:space="preserve"> million</w:t>
      </w:r>
      <w:r w:rsidRPr="00A9129F">
        <w:t xml:space="preserve"> ($2015–16) of APTNT’s proposed $</w:t>
      </w:r>
      <w:r w:rsidR="003B6F4C">
        <w:t>29.0</w:t>
      </w:r>
      <w:r w:rsidRPr="00A9129F">
        <w:t xml:space="preserve"> million ($2015–16) total net </w:t>
      </w:r>
      <w:r>
        <w:t xml:space="preserve">forecast </w:t>
      </w:r>
      <w:r w:rsidRPr="00A9129F">
        <w:t>capex for 2016–21</w:t>
      </w:r>
      <w:r>
        <w:t>. This is a reduction of $</w:t>
      </w:r>
      <w:r w:rsidR="003B6F4C">
        <w:t>12.2</w:t>
      </w:r>
      <w:r>
        <w:t xml:space="preserve"> million (or </w:t>
      </w:r>
      <w:r w:rsidR="003B6F4C">
        <w:t>42</w:t>
      </w:r>
      <w:r w:rsidR="00F955E0">
        <w:t xml:space="preserve"> </w:t>
      </w:r>
      <w:r>
        <w:t>per cent) from the total capex forecast in APTNT's revised proposal.</w:t>
      </w:r>
    </w:p>
    <w:p w:rsidR="00423B76" w:rsidRPr="00A4447D" w:rsidRDefault="00423B76" w:rsidP="00423B76">
      <w:pPr>
        <w:numPr>
          <w:ilvl w:val="0"/>
          <w:numId w:val="24"/>
        </w:numPr>
      </w:pPr>
      <w:r>
        <w:fldChar w:fldCharType="begin"/>
      </w:r>
      <w:r>
        <w:instrText xml:space="preserve"> REF _Ref447118532 \h </w:instrText>
      </w:r>
      <w:r>
        <w:fldChar w:fldCharType="separate"/>
      </w:r>
      <w:r w:rsidR="009F7892">
        <w:t xml:space="preserve">Table </w:t>
      </w:r>
      <w:r w:rsidR="009F7892">
        <w:rPr>
          <w:noProof/>
        </w:rPr>
        <w:t>9</w:t>
      </w:r>
      <w:r>
        <w:fldChar w:fldCharType="end"/>
      </w:r>
      <w:r>
        <w:t xml:space="preserve"> compares </w:t>
      </w:r>
      <w:r w:rsidRPr="009774A6">
        <w:t xml:space="preserve">APTNT's proposed capex </w:t>
      </w:r>
      <w:r>
        <w:t>with that approved in our final decision</w:t>
      </w:r>
      <w:r w:rsidRPr="009774A6">
        <w:t>.</w:t>
      </w:r>
    </w:p>
    <w:p w:rsidR="0061056C" w:rsidRPr="00333A31" w:rsidRDefault="00423B76" w:rsidP="009F7892">
      <w:pPr>
        <w:pStyle w:val="Caption"/>
      </w:pPr>
      <w:bookmarkStart w:id="101" w:name="_Ref447118532"/>
      <w:r>
        <w:t xml:space="preserve">Table </w:t>
      </w:r>
      <w:fldSimple w:instr=" SEQ Table \* ARABIC ">
        <w:r w:rsidR="009F7892">
          <w:rPr>
            <w:noProof/>
          </w:rPr>
          <w:t>9</w:t>
        </w:r>
      </w:fldSimple>
      <w:bookmarkEnd w:id="101"/>
      <w:r>
        <w:tab/>
      </w:r>
      <w:r w:rsidR="0061056C" w:rsidRPr="00A4447D">
        <w:t xml:space="preserve">Comparison of AER approved and </w:t>
      </w:r>
      <w:r w:rsidR="0061056C">
        <w:t xml:space="preserve">APTNT’s revised </w:t>
      </w:r>
      <w:r w:rsidR="0061056C" w:rsidRPr="00A4447D">
        <w:t xml:space="preserve">proposed capital expenditure over the </w:t>
      </w:r>
      <w:r w:rsidR="0061056C">
        <w:t>2016–21</w:t>
      </w:r>
      <w:r w:rsidR="0061056C" w:rsidRPr="00A4447D">
        <w:t xml:space="preserve"> access arrangement period ($million, 201</w:t>
      </w:r>
      <w:r w:rsidR="0061056C">
        <w:t>5–16</w:t>
      </w:r>
      <w:r w:rsidR="0061056C" w:rsidRPr="00A4447D">
        <w:t>)</w:t>
      </w:r>
    </w:p>
    <w:tbl>
      <w:tblPr>
        <w:tblStyle w:val="AERtable-numbers"/>
        <w:tblW w:w="5000" w:type="pct"/>
        <w:tblLook w:val="04A0" w:firstRow="1" w:lastRow="0" w:firstColumn="1" w:lastColumn="0" w:noHBand="0" w:noVBand="1"/>
      </w:tblPr>
      <w:tblGrid>
        <w:gridCol w:w="2669"/>
        <w:gridCol w:w="1507"/>
        <w:gridCol w:w="1507"/>
        <w:gridCol w:w="1506"/>
        <w:gridCol w:w="1504"/>
      </w:tblGrid>
      <w:tr w:rsidR="0061056C" w:rsidRPr="006F2F85" w:rsidTr="00D82621">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35" w:type="pct"/>
            <w:hideMark/>
          </w:tcPr>
          <w:p w:rsidR="0061056C" w:rsidRPr="0061056C" w:rsidRDefault="0061056C" w:rsidP="009F7892">
            <w:pPr>
              <w:keepNext/>
            </w:pPr>
            <w:r w:rsidRPr="006F2F85">
              <w:t> Category</w:t>
            </w:r>
          </w:p>
        </w:tc>
        <w:tc>
          <w:tcPr>
            <w:tcW w:w="867" w:type="pct"/>
            <w:hideMark/>
          </w:tcPr>
          <w:p w:rsidR="0061056C" w:rsidRPr="0061056C" w:rsidRDefault="0061056C" w:rsidP="009F7892">
            <w:pPr>
              <w:keepNext/>
              <w:cnfStyle w:val="100000000000" w:firstRow="1" w:lastRow="0" w:firstColumn="0" w:lastColumn="0" w:oddVBand="0" w:evenVBand="0" w:oddHBand="0" w:evenHBand="0" w:firstRowFirstColumn="0" w:firstRowLastColumn="0" w:lastRowFirstColumn="0" w:lastRowLastColumn="0"/>
            </w:pPr>
            <w:r w:rsidRPr="006F2F85">
              <w:t>Proposed</w:t>
            </w:r>
          </w:p>
        </w:tc>
        <w:tc>
          <w:tcPr>
            <w:tcW w:w="867" w:type="pct"/>
            <w:hideMark/>
          </w:tcPr>
          <w:p w:rsidR="0061056C" w:rsidRPr="0061056C" w:rsidRDefault="0061056C" w:rsidP="009F7892">
            <w:pPr>
              <w:keepNext/>
              <w:cnfStyle w:val="100000000000" w:firstRow="1" w:lastRow="0" w:firstColumn="0" w:lastColumn="0" w:oddVBand="0" w:evenVBand="0" w:oddHBand="0" w:evenHBand="0" w:firstRowFirstColumn="0" w:firstRowLastColumn="0" w:lastRowFirstColumn="0" w:lastRowLastColumn="0"/>
            </w:pPr>
            <w:r w:rsidRPr="006F2F85">
              <w:t>Approved</w:t>
            </w:r>
            <w:r w:rsidRPr="0061056C">
              <w:rPr>
                <w:rStyle w:val="AERsuperscript"/>
              </w:rPr>
              <w:t>(a)</w:t>
            </w:r>
          </w:p>
        </w:tc>
        <w:tc>
          <w:tcPr>
            <w:tcW w:w="866" w:type="pct"/>
          </w:tcPr>
          <w:p w:rsidR="0061056C" w:rsidRPr="0061056C" w:rsidRDefault="0061056C" w:rsidP="009F7892">
            <w:pPr>
              <w:keepNext/>
              <w:cnfStyle w:val="100000000000" w:firstRow="1" w:lastRow="0" w:firstColumn="0" w:lastColumn="0" w:oddVBand="0" w:evenVBand="0" w:oddHBand="0" w:evenHBand="0" w:firstRowFirstColumn="0" w:firstRowLastColumn="0" w:lastRowFirstColumn="0" w:lastRowLastColumn="0"/>
            </w:pPr>
            <w:r w:rsidRPr="006F2F85">
              <w:t>Difference ($millions)</w:t>
            </w:r>
          </w:p>
        </w:tc>
        <w:tc>
          <w:tcPr>
            <w:tcW w:w="865" w:type="pct"/>
          </w:tcPr>
          <w:p w:rsidR="0061056C" w:rsidRPr="0061056C" w:rsidRDefault="0061056C" w:rsidP="009F7892">
            <w:pPr>
              <w:keepNext/>
              <w:cnfStyle w:val="100000000000" w:firstRow="1" w:lastRow="0" w:firstColumn="0" w:lastColumn="0" w:oddVBand="0" w:evenVBand="0" w:oddHBand="0" w:evenHBand="0" w:firstRowFirstColumn="0" w:firstRowLastColumn="0" w:lastRowFirstColumn="0" w:lastRowLastColumn="0"/>
            </w:pPr>
            <w:r w:rsidRPr="006F2F85">
              <w:t>Difference (%)</w:t>
            </w:r>
          </w:p>
        </w:tc>
      </w:tr>
      <w:tr w:rsidR="0061056C" w:rsidRPr="006F2F85" w:rsidTr="00D82621">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61056C" w:rsidRPr="0061056C" w:rsidRDefault="0061056C" w:rsidP="009F7892">
            <w:pPr>
              <w:keepNext/>
            </w:pPr>
            <w:r w:rsidRPr="006F2F85">
              <w:t xml:space="preserve">Expansion </w:t>
            </w:r>
          </w:p>
        </w:tc>
        <w:tc>
          <w:tcPr>
            <w:tcW w:w="867"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w:t>
            </w:r>
          </w:p>
        </w:tc>
        <w:tc>
          <w:tcPr>
            <w:tcW w:w="867"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w:t>
            </w:r>
          </w:p>
        </w:tc>
        <w:tc>
          <w:tcPr>
            <w:tcW w:w="866"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w:t>
            </w:r>
          </w:p>
        </w:tc>
        <w:tc>
          <w:tcPr>
            <w:tcW w:w="865"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w:t>
            </w:r>
          </w:p>
        </w:tc>
      </w:tr>
      <w:tr w:rsidR="0061056C" w:rsidRPr="006F2F85" w:rsidTr="00D8262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61056C" w:rsidRPr="0061056C" w:rsidRDefault="0061056C" w:rsidP="009F7892">
            <w:pPr>
              <w:keepNext/>
            </w:pPr>
            <w:r w:rsidRPr="006F2F85">
              <w:t xml:space="preserve">Replacement </w:t>
            </w:r>
          </w:p>
        </w:tc>
        <w:tc>
          <w:tcPr>
            <w:tcW w:w="867" w:type="pct"/>
          </w:tcPr>
          <w:p w:rsidR="0061056C" w:rsidRPr="0061056C" w:rsidRDefault="0061056C" w:rsidP="009F7892">
            <w:pPr>
              <w:keepNext/>
              <w:cnfStyle w:val="000000010000" w:firstRow="0" w:lastRow="0" w:firstColumn="0" w:lastColumn="0" w:oddVBand="0" w:evenVBand="0" w:oddHBand="0" w:evenHBand="1" w:firstRowFirstColumn="0" w:firstRowLastColumn="0" w:lastRowFirstColumn="0" w:lastRowLastColumn="0"/>
            </w:pPr>
            <w:r w:rsidRPr="006F2F85">
              <w:t>21.0</w:t>
            </w:r>
          </w:p>
        </w:tc>
        <w:tc>
          <w:tcPr>
            <w:tcW w:w="867" w:type="pct"/>
          </w:tcPr>
          <w:p w:rsidR="0061056C" w:rsidRPr="0061056C" w:rsidRDefault="0061056C" w:rsidP="009F7892">
            <w:pPr>
              <w:keepNext/>
              <w:cnfStyle w:val="000000010000" w:firstRow="0" w:lastRow="0" w:firstColumn="0" w:lastColumn="0" w:oddVBand="0" w:evenVBand="0" w:oddHBand="0" w:evenHBand="1" w:firstRowFirstColumn="0" w:firstRowLastColumn="0" w:lastRowFirstColumn="0" w:lastRowLastColumn="0"/>
            </w:pPr>
            <w:r w:rsidRPr="006F2F85">
              <w:t>8.</w:t>
            </w:r>
            <w:r w:rsidRPr="0061056C">
              <w:t>6</w:t>
            </w:r>
          </w:p>
        </w:tc>
        <w:tc>
          <w:tcPr>
            <w:tcW w:w="866" w:type="pct"/>
          </w:tcPr>
          <w:p w:rsidR="0061056C" w:rsidRPr="0061056C" w:rsidRDefault="0061056C" w:rsidP="009F7892">
            <w:pPr>
              <w:keepNext/>
              <w:cnfStyle w:val="000000010000" w:firstRow="0" w:lastRow="0" w:firstColumn="0" w:lastColumn="0" w:oddVBand="0" w:evenVBand="0" w:oddHBand="0" w:evenHBand="1" w:firstRowFirstColumn="0" w:firstRowLastColumn="0" w:lastRowFirstColumn="0" w:lastRowLastColumn="0"/>
            </w:pPr>
            <w:r w:rsidRPr="006F2F85">
              <w:t>-</w:t>
            </w:r>
            <w:r w:rsidRPr="0061056C">
              <w:t>12.3</w:t>
            </w:r>
          </w:p>
        </w:tc>
        <w:tc>
          <w:tcPr>
            <w:tcW w:w="865" w:type="pct"/>
          </w:tcPr>
          <w:p w:rsidR="0061056C" w:rsidRPr="0061056C" w:rsidRDefault="0061056C" w:rsidP="009F7892">
            <w:pPr>
              <w:keepNext/>
              <w:cnfStyle w:val="000000010000" w:firstRow="0" w:lastRow="0" w:firstColumn="0" w:lastColumn="0" w:oddVBand="0" w:evenVBand="0" w:oddHBand="0" w:evenHBand="1" w:firstRowFirstColumn="0" w:firstRowLastColumn="0" w:lastRowFirstColumn="0" w:lastRowLastColumn="0"/>
            </w:pPr>
            <w:r w:rsidRPr="006F2F85">
              <w:t>-59.0</w:t>
            </w:r>
            <w:r w:rsidRPr="0061056C">
              <w:t>%</w:t>
            </w:r>
          </w:p>
        </w:tc>
      </w:tr>
      <w:tr w:rsidR="0061056C" w:rsidRPr="006F2F85" w:rsidTr="00D82621">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61056C" w:rsidRPr="0061056C" w:rsidRDefault="0061056C" w:rsidP="009F7892">
            <w:pPr>
              <w:keepNext/>
            </w:pPr>
            <w:r w:rsidRPr="006F2F85">
              <w:t>Non-system</w:t>
            </w:r>
          </w:p>
        </w:tc>
        <w:tc>
          <w:tcPr>
            <w:tcW w:w="867"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8.7</w:t>
            </w:r>
          </w:p>
        </w:tc>
        <w:tc>
          <w:tcPr>
            <w:tcW w:w="867"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8.</w:t>
            </w:r>
            <w:r w:rsidRPr="0061056C">
              <w:t>8</w:t>
            </w:r>
          </w:p>
        </w:tc>
        <w:tc>
          <w:tcPr>
            <w:tcW w:w="866"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0.1</w:t>
            </w:r>
          </w:p>
        </w:tc>
        <w:tc>
          <w:tcPr>
            <w:tcW w:w="865"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2.0%</w:t>
            </w:r>
          </w:p>
        </w:tc>
      </w:tr>
      <w:tr w:rsidR="0061056C" w:rsidRPr="0099198D" w:rsidTr="00D8262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61056C" w:rsidRPr="0099198D" w:rsidRDefault="0061056C" w:rsidP="009F7892">
            <w:pPr>
              <w:keepNext/>
              <w:rPr>
                <w:rStyle w:val="Strong"/>
              </w:rPr>
            </w:pPr>
            <w:r w:rsidRPr="0099198D">
              <w:rPr>
                <w:rStyle w:val="Strong"/>
              </w:rPr>
              <w:t>GROSS TOTAL CAPITAL EXPENDITURE</w:t>
            </w:r>
          </w:p>
        </w:tc>
        <w:tc>
          <w:tcPr>
            <w:tcW w:w="867" w:type="pct"/>
          </w:tcPr>
          <w:p w:rsidR="0061056C" w:rsidRPr="0099198D" w:rsidRDefault="0061056C" w:rsidP="009F7892">
            <w:pPr>
              <w:keepNext/>
              <w:cnfStyle w:val="000000010000" w:firstRow="0" w:lastRow="0" w:firstColumn="0" w:lastColumn="0" w:oddVBand="0" w:evenVBand="0" w:oddHBand="0" w:evenHBand="1" w:firstRowFirstColumn="0" w:firstRowLastColumn="0" w:lastRowFirstColumn="0" w:lastRowLastColumn="0"/>
              <w:rPr>
                <w:rStyle w:val="Strong"/>
              </w:rPr>
            </w:pPr>
            <w:r w:rsidRPr="0099198D">
              <w:rPr>
                <w:rStyle w:val="Strong"/>
              </w:rPr>
              <w:t>29.7</w:t>
            </w:r>
          </w:p>
        </w:tc>
        <w:tc>
          <w:tcPr>
            <w:tcW w:w="867" w:type="pct"/>
          </w:tcPr>
          <w:p w:rsidR="0061056C" w:rsidRPr="0099198D" w:rsidRDefault="0061056C" w:rsidP="009F7892">
            <w:pPr>
              <w:keepNext/>
              <w:cnfStyle w:val="000000010000" w:firstRow="0" w:lastRow="0" w:firstColumn="0" w:lastColumn="0" w:oddVBand="0" w:evenVBand="0" w:oddHBand="0" w:evenHBand="1" w:firstRowFirstColumn="0" w:firstRowLastColumn="0" w:lastRowFirstColumn="0" w:lastRowLastColumn="0"/>
              <w:rPr>
                <w:rStyle w:val="Strong"/>
              </w:rPr>
            </w:pPr>
            <w:r w:rsidRPr="0099198D">
              <w:rPr>
                <w:rStyle w:val="Strong"/>
              </w:rPr>
              <w:t>17.4</w:t>
            </w:r>
          </w:p>
        </w:tc>
        <w:tc>
          <w:tcPr>
            <w:tcW w:w="866" w:type="pct"/>
          </w:tcPr>
          <w:p w:rsidR="0061056C" w:rsidRPr="0099198D" w:rsidRDefault="0061056C" w:rsidP="009F7892">
            <w:pPr>
              <w:keepNext/>
              <w:cnfStyle w:val="000000010000" w:firstRow="0" w:lastRow="0" w:firstColumn="0" w:lastColumn="0" w:oddVBand="0" w:evenVBand="0" w:oddHBand="0" w:evenHBand="1" w:firstRowFirstColumn="0" w:firstRowLastColumn="0" w:lastRowFirstColumn="0" w:lastRowLastColumn="0"/>
              <w:rPr>
                <w:rStyle w:val="Strong"/>
              </w:rPr>
            </w:pPr>
            <w:r w:rsidRPr="0099198D">
              <w:rPr>
                <w:rStyle w:val="Strong"/>
              </w:rPr>
              <w:t>-12.3</w:t>
            </w:r>
          </w:p>
        </w:tc>
        <w:tc>
          <w:tcPr>
            <w:tcW w:w="865" w:type="pct"/>
          </w:tcPr>
          <w:p w:rsidR="0061056C" w:rsidRPr="0099198D" w:rsidRDefault="0061056C" w:rsidP="009F7892">
            <w:pPr>
              <w:keepNext/>
              <w:cnfStyle w:val="000000010000" w:firstRow="0" w:lastRow="0" w:firstColumn="0" w:lastColumn="0" w:oddVBand="0" w:evenVBand="0" w:oddHBand="0" w:evenHBand="1" w:firstRowFirstColumn="0" w:firstRowLastColumn="0" w:lastRowFirstColumn="0" w:lastRowLastColumn="0"/>
              <w:rPr>
                <w:rStyle w:val="Strong"/>
              </w:rPr>
            </w:pPr>
            <w:r w:rsidRPr="0099198D">
              <w:rPr>
                <w:rStyle w:val="Strong"/>
              </w:rPr>
              <w:t>-41.2%</w:t>
            </w:r>
          </w:p>
        </w:tc>
      </w:tr>
      <w:tr w:rsidR="0061056C" w:rsidRPr="006F2F85" w:rsidTr="00D82621">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61056C" w:rsidRPr="0061056C" w:rsidRDefault="0061056C" w:rsidP="009F7892">
            <w:pPr>
              <w:keepNext/>
            </w:pPr>
            <w:r w:rsidRPr="006F2F85">
              <w:t>Contributions</w:t>
            </w:r>
          </w:p>
        </w:tc>
        <w:tc>
          <w:tcPr>
            <w:tcW w:w="867"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w:t>
            </w:r>
          </w:p>
        </w:tc>
        <w:tc>
          <w:tcPr>
            <w:tcW w:w="867"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w:t>
            </w:r>
          </w:p>
        </w:tc>
        <w:tc>
          <w:tcPr>
            <w:tcW w:w="866"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w:t>
            </w:r>
          </w:p>
        </w:tc>
        <w:tc>
          <w:tcPr>
            <w:tcW w:w="865" w:type="pct"/>
          </w:tcPr>
          <w:p w:rsidR="0061056C" w:rsidRPr="0061056C" w:rsidRDefault="0061056C" w:rsidP="009F7892">
            <w:pPr>
              <w:keepNext/>
              <w:cnfStyle w:val="000000000000" w:firstRow="0" w:lastRow="0" w:firstColumn="0" w:lastColumn="0" w:oddVBand="0" w:evenVBand="0" w:oddHBand="0" w:evenHBand="0" w:firstRowFirstColumn="0" w:firstRowLastColumn="0" w:lastRowFirstColumn="0" w:lastRowLastColumn="0"/>
            </w:pPr>
            <w:r w:rsidRPr="006F2F85">
              <w:t>-</w:t>
            </w:r>
          </w:p>
        </w:tc>
      </w:tr>
      <w:tr w:rsidR="0061056C" w:rsidRPr="006F2F85" w:rsidTr="00D8262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61056C" w:rsidRPr="0061056C" w:rsidRDefault="0061056C" w:rsidP="009F7892">
            <w:pPr>
              <w:keepNext/>
            </w:pPr>
            <w:r w:rsidRPr="006F2F85">
              <w:t>Asset disposals</w:t>
            </w:r>
          </w:p>
        </w:tc>
        <w:tc>
          <w:tcPr>
            <w:tcW w:w="867" w:type="pct"/>
          </w:tcPr>
          <w:p w:rsidR="0061056C" w:rsidRPr="0061056C" w:rsidRDefault="0061056C" w:rsidP="009F7892">
            <w:pPr>
              <w:keepNext/>
              <w:cnfStyle w:val="000000010000" w:firstRow="0" w:lastRow="0" w:firstColumn="0" w:lastColumn="0" w:oddVBand="0" w:evenVBand="0" w:oddHBand="0" w:evenHBand="1" w:firstRowFirstColumn="0" w:firstRowLastColumn="0" w:lastRowFirstColumn="0" w:lastRowLastColumn="0"/>
            </w:pPr>
            <w:r w:rsidRPr="006F2F85">
              <w:t>0.7</w:t>
            </w:r>
          </w:p>
        </w:tc>
        <w:tc>
          <w:tcPr>
            <w:tcW w:w="867" w:type="pct"/>
          </w:tcPr>
          <w:p w:rsidR="0061056C" w:rsidRPr="0061056C" w:rsidRDefault="0061056C" w:rsidP="009F7892">
            <w:pPr>
              <w:keepNext/>
              <w:cnfStyle w:val="000000010000" w:firstRow="0" w:lastRow="0" w:firstColumn="0" w:lastColumn="0" w:oddVBand="0" w:evenVBand="0" w:oddHBand="0" w:evenHBand="1" w:firstRowFirstColumn="0" w:firstRowLastColumn="0" w:lastRowFirstColumn="0" w:lastRowLastColumn="0"/>
            </w:pPr>
            <w:r w:rsidRPr="006F2F85">
              <w:t>0.7</w:t>
            </w:r>
          </w:p>
        </w:tc>
        <w:tc>
          <w:tcPr>
            <w:tcW w:w="866" w:type="pct"/>
          </w:tcPr>
          <w:p w:rsidR="0061056C" w:rsidRPr="0061056C" w:rsidRDefault="0061056C" w:rsidP="009F7892">
            <w:pPr>
              <w:keepNext/>
              <w:cnfStyle w:val="000000010000" w:firstRow="0" w:lastRow="0" w:firstColumn="0" w:lastColumn="0" w:oddVBand="0" w:evenVBand="0" w:oddHBand="0" w:evenHBand="1" w:firstRowFirstColumn="0" w:firstRowLastColumn="0" w:lastRowFirstColumn="0" w:lastRowLastColumn="0"/>
            </w:pPr>
            <w:r w:rsidRPr="006F2F85">
              <w:t>-</w:t>
            </w:r>
          </w:p>
        </w:tc>
        <w:tc>
          <w:tcPr>
            <w:tcW w:w="865" w:type="pct"/>
          </w:tcPr>
          <w:p w:rsidR="0061056C" w:rsidRPr="0061056C" w:rsidRDefault="0061056C" w:rsidP="009F7892">
            <w:pPr>
              <w:keepNext/>
              <w:cnfStyle w:val="000000010000" w:firstRow="0" w:lastRow="0" w:firstColumn="0" w:lastColumn="0" w:oddVBand="0" w:evenVBand="0" w:oddHBand="0" w:evenHBand="1" w:firstRowFirstColumn="0" w:firstRowLastColumn="0" w:lastRowFirstColumn="0" w:lastRowLastColumn="0"/>
            </w:pPr>
            <w:r w:rsidRPr="006F2F85">
              <w:t>-</w:t>
            </w:r>
          </w:p>
        </w:tc>
      </w:tr>
      <w:tr w:rsidR="0061056C" w:rsidRPr="0099198D" w:rsidTr="00D82621">
        <w:trPr>
          <w:trHeight w:val="300"/>
        </w:trPr>
        <w:tc>
          <w:tcPr>
            <w:cnfStyle w:val="001000000000" w:firstRow="0" w:lastRow="0" w:firstColumn="1" w:lastColumn="0" w:oddVBand="0" w:evenVBand="0" w:oddHBand="0" w:evenHBand="0" w:firstRowFirstColumn="0" w:firstRowLastColumn="0" w:lastRowFirstColumn="0" w:lastRowLastColumn="0"/>
            <w:tcW w:w="1535" w:type="pct"/>
            <w:hideMark/>
          </w:tcPr>
          <w:p w:rsidR="0061056C" w:rsidRPr="0099198D" w:rsidRDefault="0061056C" w:rsidP="009F7892">
            <w:pPr>
              <w:keepNext/>
              <w:rPr>
                <w:rStyle w:val="Strong"/>
              </w:rPr>
            </w:pPr>
            <w:r w:rsidRPr="0099198D">
              <w:rPr>
                <w:rStyle w:val="Strong"/>
              </w:rPr>
              <w:t>NET TOTAL CAPITAL EXPENDITURE</w:t>
            </w:r>
          </w:p>
        </w:tc>
        <w:tc>
          <w:tcPr>
            <w:tcW w:w="867" w:type="pct"/>
          </w:tcPr>
          <w:p w:rsidR="0061056C" w:rsidRPr="0099198D" w:rsidRDefault="0061056C" w:rsidP="009F7892">
            <w:pPr>
              <w:keepNext/>
              <w:cnfStyle w:val="000000000000" w:firstRow="0" w:lastRow="0" w:firstColumn="0" w:lastColumn="0" w:oddVBand="0" w:evenVBand="0" w:oddHBand="0" w:evenHBand="0" w:firstRowFirstColumn="0" w:firstRowLastColumn="0" w:lastRowFirstColumn="0" w:lastRowLastColumn="0"/>
              <w:rPr>
                <w:rStyle w:val="Strong"/>
              </w:rPr>
            </w:pPr>
            <w:r w:rsidRPr="0099198D">
              <w:rPr>
                <w:rStyle w:val="Strong"/>
              </w:rPr>
              <w:t>29.0</w:t>
            </w:r>
          </w:p>
        </w:tc>
        <w:tc>
          <w:tcPr>
            <w:tcW w:w="867" w:type="pct"/>
          </w:tcPr>
          <w:p w:rsidR="0061056C" w:rsidRPr="0099198D" w:rsidRDefault="0061056C" w:rsidP="009F7892">
            <w:pPr>
              <w:keepNext/>
              <w:cnfStyle w:val="000000000000" w:firstRow="0" w:lastRow="0" w:firstColumn="0" w:lastColumn="0" w:oddVBand="0" w:evenVBand="0" w:oddHBand="0" w:evenHBand="0" w:firstRowFirstColumn="0" w:firstRowLastColumn="0" w:lastRowFirstColumn="0" w:lastRowLastColumn="0"/>
              <w:rPr>
                <w:rStyle w:val="Strong"/>
              </w:rPr>
            </w:pPr>
            <w:r w:rsidRPr="0099198D">
              <w:rPr>
                <w:rStyle w:val="Strong"/>
              </w:rPr>
              <w:t>16.8</w:t>
            </w:r>
          </w:p>
        </w:tc>
        <w:tc>
          <w:tcPr>
            <w:tcW w:w="866" w:type="pct"/>
          </w:tcPr>
          <w:p w:rsidR="0061056C" w:rsidRPr="0099198D" w:rsidRDefault="0061056C" w:rsidP="009F7892">
            <w:pPr>
              <w:keepNext/>
              <w:cnfStyle w:val="000000000000" w:firstRow="0" w:lastRow="0" w:firstColumn="0" w:lastColumn="0" w:oddVBand="0" w:evenVBand="0" w:oddHBand="0" w:evenHBand="0" w:firstRowFirstColumn="0" w:firstRowLastColumn="0" w:lastRowFirstColumn="0" w:lastRowLastColumn="0"/>
              <w:rPr>
                <w:rStyle w:val="Strong"/>
              </w:rPr>
            </w:pPr>
            <w:r w:rsidRPr="0099198D">
              <w:rPr>
                <w:rStyle w:val="Strong"/>
              </w:rPr>
              <w:t>-12.2</w:t>
            </w:r>
          </w:p>
        </w:tc>
        <w:tc>
          <w:tcPr>
            <w:tcW w:w="865" w:type="pct"/>
          </w:tcPr>
          <w:p w:rsidR="0061056C" w:rsidRPr="0099198D" w:rsidRDefault="0061056C" w:rsidP="009F7892">
            <w:pPr>
              <w:keepNext/>
              <w:cnfStyle w:val="000000000000" w:firstRow="0" w:lastRow="0" w:firstColumn="0" w:lastColumn="0" w:oddVBand="0" w:evenVBand="0" w:oddHBand="0" w:evenHBand="0" w:firstRowFirstColumn="0" w:firstRowLastColumn="0" w:lastRowFirstColumn="0" w:lastRowLastColumn="0"/>
              <w:rPr>
                <w:rStyle w:val="Strong"/>
              </w:rPr>
            </w:pPr>
            <w:r w:rsidRPr="0099198D">
              <w:rPr>
                <w:rStyle w:val="Strong"/>
              </w:rPr>
              <w:t>-42.1%</w:t>
            </w:r>
          </w:p>
        </w:tc>
      </w:tr>
    </w:tbl>
    <w:p w:rsidR="0061056C" w:rsidRDefault="0061056C" w:rsidP="009F7892">
      <w:pPr>
        <w:pStyle w:val="AERtablesource"/>
        <w:keepNext/>
      </w:pPr>
      <w:r w:rsidRPr="00DE44F6">
        <w:t>Source:</w:t>
      </w:r>
      <w:r w:rsidRPr="00DE44F6">
        <w:tab/>
        <w:t>AER analysis.</w:t>
      </w:r>
    </w:p>
    <w:p w:rsidR="00423B76" w:rsidRPr="006D6533" w:rsidRDefault="0061056C" w:rsidP="009F7892">
      <w:pPr>
        <w:pStyle w:val="AERtablesource"/>
        <w:keepNext/>
      </w:pPr>
      <w:r w:rsidRPr="006D6533">
        <w:t>Note:</w:t>
      </w:r>
      <w:r w:rsidRPr="006D6533">
        <w:tab/>
        <w:t>(a) Including AER labour escalation adjustments.</w:t>
      </w:r>
    </w:p>
    <w:p w:rsidR="00DD1A31" w:rsidRDefault="00DD1A31" w:rsidP="00DD1A31">
      <w:r>
        <w:fldChar w:fldCharType="begin"/>
      </w:r>
      <w:r>
        <w:instrText xml:space="preserve"> REF _Ref433624462 \h </w:instrText>
      </w:r>
      <w:r>
        <w:fldChar w:fldCharType="separate"/>
      </w:r>
      <w:r w:rsidR="009F7892">
        <w:t xml:space="preserve">Figure </w:t>
      </w:r>
      <w:r w:rsidR="009F7892">
        <w:rPr>
          <w:noProof/>
        </w:rPr>
        <w:t>8</w:t>
      </w:r>
      <w:r>
        <w:fldChar w:fldCharType="end"/>
      </w:r>
      <w:r>
        <w:t xml:space="preserve"> compares APTNT’s actual/estimated capex for the current access arrangement period and its forecast capex for 2016–21 to our final decision on conforming capex.</w:t>
      </w:r>
    </w:p>
    <w:p w:rsidR="00DD1A31" w:rsidRDefault="00DD1A31" w:rsidP="00B10EAB">
      <w:pPr>
        <w:pStyle w:val="Caption"/>
      </w:pPr>
      <w:bookmarkStart w:id="102" w:name="_Ref433624462"/>
      <w:r>
        <w:t xml:space="preserve">Figure </w:t>
      </w:r>
      <w:r w:rsidRPr="005766DB">
        <w:fldChar w:fldCharType="begin"/>
      </w:r>
      <w:r>
        <w:instrText xml:space="preserve"> SEQ Figure \* ARABIC </w:instrText>
      </w:r>
      <w:r w:rsidRPr="005766DB">
        <w:fldChar w:fldCharType="separate"/>
      </w:r>
      <w:r w:rsidR="009F7892">
        <w:rPr>
          <w:noProof/>
        </w:rPr>
        <w:t>8</w:t>
      </w:r>
      <w:r w:rsidRPr="005766DB">
        <w:fldChar w:fldCharType="end"/>
      </w:r>
      <w:bookmarkEnd w:id="102"/>
      <w:r>
        <w:tab/>
        <w:t>APTNT actual, estimated and forecast capex and AER final decision conforming capex ($2015-16)</w:t>
      </w:r>
    </w:p>
    <w:p w:rsidR="0047131E" w:rsidRPr="0047131E" w:rsidRDefault="00E421D7" w:rsidP="00B10EAB">
      <w:pPr>
        <w:keepNext/>
      </w:pPr>
      <w:r w:rsidRPr="00E421D7">
        <w:rPr>
          <w:noProof/>
          <w:lang w:eastAsia="en-AU"/>
        </w:rPr>
        <w:drawing>
          <wp:inline distT="0" distB="0" distL="0" distR="0" wp14:anchorId="7D7AD160" wp14:editId="6BBF479C">
            <wp:extent cx="5292620" cy="3308255"/>
            <wp:effectExtent l="0" t="0" r="381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92070" cy="3307911"/>
                    </a:xfrm>
                    <a:prstGeom prst="rect">
                      <a:avLst/>
                    </a:prstGeom>
                    <a:noFill/>
                    <a:ln>
                      <a:noFill/>
                    </a:ln>
                  </pic:spPr>
                </pic:pic>
              </a:graphicData>
            </a:graphic>
          </wp:inline>
        </w:drawing>
      </w:r>
    </w:p>
    <w:p w:rsidR="00DD1A31" w:rsidRDefault="00DD1A31" w:rsidP="00B10EAB">
      <w:pPr>
        <w:pStyle w:val="AERtablesource"/>
        <w:keepNext/>
      </w:pPr>
      <w:r>
        <w:t>Source:</w:t>
      </w:r>
      <w:r w:rsidRPr="005766DB">
        <w:t xml:space="preserve"> </w:t>
      </w:r>
      <w:r w:rsidR="0061056C">
        <w:tab/>
      </w:r>
      <w:r w:rsidRPr="005766DB">
        <w:t xml:space="preserve">AER analysis; APTNT, </w:t>
      </w:r>
      <w:r w:rsidRPr="00DE6C18">
        <w:rPr>
          <w:rStyle w:val="Emphasis"/>
        </w:rPr>
        <w:t>Attachment B-6 Supporting model – Capital expenditure</w:t>
      </w:r>
      <w:r w:rsidRPr="005766DB">
        <w:t>, August 2015</w:t>
      </w:r>
      <w:r w:rsidR="0047131E">
        <w:t xml:space="preserve"> and </w:t>
      </w:r>
      <w:r w:rsidR="0047131E" w:rsidRPr="00DE6C18">
        <w:rPr>
          <w:rStyle w:val="Emphasis"/>
        </w:rPr>
        <w:t>Amadeus Gas Pipeline Access Arrangement Revised Proposal - B6 Capex model - 2016 AER labour escalators</w:t>
      </w:r>
      <w:r w:rsidR="00052B21">
        <w:t>,</w:t>
      </w:r>
      <w:r w:rsidR="0047131E" w:rsidRPr="0047131E">
        <w:t xml:space="preserve"> January 2016</w:t>
      </w:r>
      <w:r w:rsidRPr="005766DB">
        <w:t>.</w:t>
      </w:r>
    </w:p>
    <w:p w:rsidR="003B6F4C" w:rsidRDefault="003B6F4C" w:rsidP="003B6F4C">
      <w:r>
        <w:t>The differences between the total net capex approved in our final decision and that in APTNT's revised proposal is largely attributable to forecast expenditure on two projects:</w:t>
      </w:r>
    </w:p>
    <w:p w:rsidR="003B6F4C" w:rsidRDefault="003B6F4C" w:rsidP="002D60DF">
      <w:pPr>
        <w:pStyle w:val="AERbulletlistfirststyle"/>
      </w:pPr>
      <w:r>
        <w:t>Belowground station pipework recoating project—</w:t>
      </w:r>
      <w:r w:rsidR="00B10EAB" w:rsidRPr="003B6F4C">
        <w:t>this</w:t>
      </w:r>
      <w:r w:rsidRPr="003B6F4C">
        <w:t xml:space="preserve"> project spans both the current and forecast access arrangement periods, and is now approximately 60 per cent complete.</w:t>
      </w:r>
      <w:r>
        <w:t xml:space="preserve"> </w:t>
      </w:r>
      <w:r w:rsidR="002D60DF">
        <w:t xml:space="preserve">After submitting its revised access arrangement proposal, APTNT </w:t>
      </w:r>
      <w:r w:rsidR="00FF5136">
        <w:t>provided an updated (lower)</w:t>
      </w:r>
      <w:r w:rsidR="002D60DF">
        <w:t xml:space="preserve"> estimate of likely costs for this project. Our final decision reflects this updated information</w:t>
      </w:r>
      <w:r w:rsidR="00FF5136">
        <w:t>. T</w:t>
      </w:r>
      <w:r w:rsidRPr="003B6F4C">
        <w:t xml:space="preserve">he majority of </w:t>
      </w:r>
      <w:r w:rsidR="002D60DF">
        <w:t xml:space="preserve">the approved </w:t>
      </w:r>
      <w:r w:rsidRPr="003B6F4C">
        <w:t xml:space="preserve">expenditure </w:t>
      </w:r>
      <w:r w:rsidR="002D60DF">
        <w:t>for this project ($7.3 million) is</w:t>
      </w:r>
      <w:r w:rsidRPr="003B6F4C">
        <w:t xml:space="preserve"> reflected in the approved conforming capex in the 2011</w:t>
      </w:r>
      <w:r w:rsidR="007C3FD7">
        <w:t>–</w:t>
      </w:r>
      <w:r w:rsidRPr="003B6F4C">
        <w:t>16 access arrangement period.</w:t>
      </w:r>
      <w:r w:rsidR="002D60DF">
        <w:t xml:space="preserve"> The remaining $1.8 million has been included in our total capex forecast for 2016–21. </w:t>
      </w:r>
    </w:p>
    <w:p w:rsidR="002D60DF" w:rsidRDefault="002D60DF" w:rsidP="002D60DF">
      <w:pPr>
        <w:pStyle w:val="AERbulletlistfirststyle"/>
      </w:pPr>
      <w:r>
        <w:t>Channel Island spurline piggability project—APTNT include</w:t>
      </w:r>
      <w:r w:rsidR="00FF5136">
        <w:t>d</w:t>
      </w:r>
      <w:r>
        <w:t xml:space="preserve"> forecast capex of $10.8 million for this project in its total capex forecast for 2016–21. However, we are not </w:t>
      </w:r>
      <w:r w:rsidR="00B94B78">
        <w:t>satisfied that APTNT's forecast capex for this project would be incurred by a prudent operator acting efficiently, in accordance with accepted good industry practice, to achieve the lowest sustainable cost of providing services.</w:t>
      </w:r>
      <w:r w:rsidR="00B94B78">
        <w:rPr>
          <w:rStyle w:val="FootnoteReference"/>
        </w:rPr>
        <w:footnoteReference w:id="47"/>
      </w:r>
      <w:r w:rsidR="00B94B78">
        <w:t xml:space="preserve"> Our approved forecast of total net capex for 2016–21 therefore does not incorporate APTNT's forecast expenditure for this project.</w:t>
      </w:r>
    </w:p>
    <w:p w:rsidR="00565E7E" w:rsidRPr="003B6F4C" w:rsidRDefault="00565E7E" w:rsidP="0099198D">
      <w:r>
        <w:t>The reasons for our decision are set out in Attachment 6 to this final decision.</w:t>
      </w:r>
    </w:p>
    <w:p w:rsidR="005766DB" w:rsidRPr="005766DB" w:rsidRDefault="005766DB" w:rsidP="005766DB">
      <w:pPr>
        <w:pStyle w:val="Heading2"/>
      </w:pPr>
      <w:bookmarkStart w:id="103" w:name="_Toc430002794"/>
      <w:bookmarkStart w:id="104" w:name="_Ref433619841"/>
      <w:bookmarkStart w:id="105" w:name="_Ref434340255"/>
      <w:bookmarkStart w:id="106" w:name="_Toc436046186"/>
      <w:bookmarkStart w:id="107" w:name="_Toc451873631"/>
      <w:r>
        <w:t>Operating expenditure</w:t>
      </w:r>
      <w:bookmarkEnd w:id="103"/>
      <w:bookmarkEnd w:id="104"/>
      <w:bookmarkEnd w:id="105"/>
      <w:bookmarkEnd w:id="106"/>
      <w:bookmarkEnd w:id="107"/>
    </w:p>
    <w:p w:rsidR="00047473" w:rsidRDefault="00047473" w:rsidP="00047473">
      <w:r>
        <w:t xml:space="preserve">In our draft decision, we accepted APTNT's proposed opex forecast of $62.8 million ($2015–16), which was consistent with the estimate derived from our revealed cost (base-step-trend) forecasting methodology. APTNT </w:t>
      </w:r>
      <w:r w:rsidR="005D2244">
        <w:t>did not revise</w:t>
      </w:r>
      <w:r>
        <w:t xml:space="preserve"> its opex forecast in its revised proposal.</w:t>
      </w:r>
    </w:p>
    <w:p w:rsidR="00047473" w:rsidRDefault="00047473" w:rsidP="00047473">
      <w:r>
        <w:t xml:space="preserve">We </w:t>
      </w:r>
      <w:r w:rsidR="005D2244">
        <w:t xml:space="preserve">did </w:t>
      </w:r>
      <w:r>
        <w:t>no</w:t>
      </w:r>
      <w:r w:rsidR="005D2244">
        <w:t>t receive any</w:t>
      </w:r>
      <w:r>
        <w:t xml:space="preserve"> specific submissions on APTNT's forecast opex. Our review has not identified any new information</w:t>
      </w:r>
      <w:r w:rsidRPr="00DF7C79">
        <w:t xml:space="preserve"> which impact</w:t>
      </w:r>
      <w:r>
        <w:t>s</w:t>
      </w:r>
      <w:r w:rsidRPr="00DF7C79">
        <w:t xml:space="preserve"> upon our reasoning as set out in the draft decision</w:t>
      </w:r>
      <w:r w:rsidRPr="005F428D">
        <w:t>.</w:t>
      </w:r>
    </w:p>
    <w:p w:rsidR="0061622C" w:rsidRDefault="005D2244" w:rsidP="0061622C">
      <w:r>
        <w:t>For the reasons set out in our draft decision, w</w:t>
      </w:r>
      <w:r w:rsidR="0061622C">
        <w:t>e therefore accept APTNT’s total forecast opex of $62.8 million ($</w:t>
      </w:r>
      <w:r w:rsidR="0061622C" w:rsidRPr="005766DB">
        <w:t xml:space="preserve">2015–16) for the 2016–21 access arrangement period. </w:t>
      </w:r>
    </w:p>
    <w:p w:rsidR="005766DB" w:rsidRPr="005766DB" w:rsidRDefault="005766DB" w:rsidP="00047473">
      <w:r w:rsidRPr="005766DB">
        <w:fldChar w:fldCharType="begin"/>
      </w:r>
      <w:r w:rsidRPr="005766DB">
        <w:instrText xml:space="preserve"> REF _Ref433287431 \h </w:instrText>
      </w:r>
      <w:r w:rsidRPr="005766DB">
        <w:fldChar w:fldCharType="separate"/>
      </w:r>
      <w:r w:rsidR="009F7892">
        <w:t xml:space="preserve">Table </w:t>
      </w:r>
      <w:r w:rsidR="009F7892">
        <w:rPr>
          <w:noProof/>
        </w:rPr>
        <w:t>10</w:t>
      </w:r>
      <w:r w:rsidRPr="005766DB">
        <w:fldChar w:fldCharType="end"/>
      </w:r>
      <w:r w:rsidRPr="005766DB">
        <w:t xml:space="preserve"> shows our approved opex forecast.</w:t>
      </w:r>
      <w:r w:rsidRPr="005766DB">
        <w:rPr>
          <w:rStyle w:val="FootnoteReference"/>
        </w:rPr>
        <w:footnoteReference w:id="48"/>
      </w:r>
    </w:p>
    <w:p w:rsidR="005766DB" w:rsidRDefault="005766DB" w:rsidP="005766DB">
      <w:pPr>
        <w:pStyle w:val="Caption"/>
      </w:pPr>
      <w:bookmarkStart w:id="108" w:name="_Ref433287431"/>
      <w:r>
        <w:t xml:space="preserve">Table </w:t>
      </w:r>
      <w:r w:rsidRPr="005766DB">
        <w:fldChar w:fldCharType="begin"/>
      </w:r>
      <w:r>
        <w:instrText xml:space="preserve"> SEQ Table \* ARABIC </w:instrText>
      </w:r>
      <w:r w:rsidRPr="005766DB">
        <w:fldChar w:fldCharType="separate"/>
      </w:r>
      <w:r w:rsidR="009F7892">
        <w:rPr>
          <w:noProof/>
        </w:rPr>
        <w:t>10</w:t>
      </w:r>
      <w:r w:rsidRPr="005766DB">
        <w:fldChar w:fldCharType="end"/>
      </w:r>
      <w:bookmarkEnd w:id="108"/>
      <w:r>
        <w:tab/>
      </w:r>
      <w:bookmarkStart w:id="109" w:name="_Ref388280805"/>
      <w:r>
        <w:t xml:space="preserve">AER </w:t>
      </w:r>
      <w:r w:rsidR="000B15BF">
        <w:t xml:space="preserve">final </w:t>
      </w:r>
      <w:r>
        <w:t>decision on total opex—APTNT ($million, 2015–16)</w:t>
      </w:r>
      <w:bookmarkEnd w:id="109"/>
    </w:p>
    <w:tbl>
      <w:tblPr>
        <w:tblStyle w:val="AERtable-numbers"/>
        <w:tblW w:w="0" w:type="auto"/>
        <w:tblLook w:val="04A0" w:firstRow="1" w:lastRow="0" w:firstColumn="1" w:lastColumn="0" w:noHBand="0" w:noVBand="1"/>
      </w:tblPr>
      <w:tblGrid>
        <w:gridCol w:w="1497"/>
        <w:gridCol w:w="1217"/>
        <w:gridCol w:w="1217"/>
        <w:gridCol w:w="1217"/>
        <w:gridCol w:w="1217"/>
        <w:gridCol w:w="1111"/>
        <w:gridCol w:w="1111"/>
      </w:tblGrid>
      <w:tr w:rsidR="00047473" w:rsidRPr="00B10EAB" w:rsidTr="00047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tcPr>
          <w:p w:rsidR="00047473" w:rsidRPr="00B10EAB" w:rsidRDefault="00047473" w:rsidP="00047473">
            <w:pPr>
              <w:pStyle w:val="AERtabletextleft"/>
              <w:rPr>
                <w:sz w:val="16"/>
                <w:szCs w:val="16"/>
              </w:rPr>
            </w:pPr>
          </w:p>
        </w:tc>
        <w:tc>
          <w:tcPr>
            <w:tcW w:w="1217" w:type="dxa"/>
          </w:tcPr>
          <w:p w:rsidR="00047473" w:rsidRPr="00B10EAB" w:rsidRDefault="00047473" w:rsidP="00047473">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B10EAB">
              <w:rPr>
                <w:sz w:val="16"/>
                <w:szCs w:val="16"/>
              </w:rPr>
              <w:t>2016–17</w:t>
            </w:r>
          </w:p>
        </w:tc>
        <w:tc>
          <w:tcPr>
            <w:tcW w:w="1217" w:type="dxa"/>
          </w:tcPr>
          <w:p w:rsidR="00047473" w:rsidRPr="00B10EAB" w:rsidRDefault="00047473" w:rsidP="00047473">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B10EAB">
              <w:rPr>
                <w:sz w:val="16"/>
                <w:szCs w:val="16"/>
              </w:rPr>
              <w:t>2017–18</w:t>
            </w:r>
          </w:p>
        </w:tc>
        <w:tc>
          <w:tcPr>
            <w:tcW w:w="1217" w:type="dxa"/>
          </w:tcPr>
          <w:p w:rsidR="00047473" w:rsidRPr="00B10EAB" w:rsidRDefault="00047473" w:rsidP="00047473">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B10EAB">
              <w:rPr>
                <w:sz w:val="16"/>
                <w:szCs w:val="16"/>
              </w:rPr>
              <w:t>2018–19</w:t>
            </w:r>
          </w:p>
        </w:tc>
        <w:tc>
          <w:tcPr>
            <w:tcW w:w="1217" w:type="dxa"/>
          </w:tcPr>
          <w:p w:rsidR="00047473" w:rsidRPr="00B10EAB" w:rsidRDefault="00047473" w:rsidP="00047473">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B10EAB">
              <w:rPr>
                <w:sz w:val="16"/>
                <w:szCs w:val="16"/>
              </w:rPr>
              <w:t>2019–20</w:t>
            </w:r>
          </w:p>
        </w:tc>
        <w:tc>
          <w:tcPr>
            <w:tcW w:w="1111" w:type="dxa"/>
          </w:tcPr>
          <w:p w:rsidR="00047473" w:rsidRPr="00B10EAB" w:rsidRDefault="00047473" w:rsidP="00047473">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B10EAB">
              <w:rPr>
                <w:sz w:val="16"/>
                <w:szCs w:val="16"/>
              </w:rPr>
              <w:t>2020–21</w:t>
            </w:r>
          </w:p>
        </w:tc>
        <w:tc>
          <w:tcPr>
            <w:tcW w:w="1111" w:type="dxa"/>
          </w:tcPr>
          <w:p w:rsidR="00047473" w:rsidRPr="00B10EAB" w:rsidRDefault="00047473" w:rsidP="00047473">
            <w:pPr>
              <w:pStyle w:val="AERtabletextleft"/>
              <w:cnfStyle w:val="100000000000" w:firstRow="1" w:lastRow="0" w:firstColumn="0" w:lastColumn="0" w:oddVBand="0" w:evenVBand="0" w:oddHBand="0" w:evenHBand="0" w:firstRowFirstColumn="0" w:firstRowLastColumn="0" w:lastRowFirstColumn="0" w:lastRowLastColumn="0"/>
              <w:rPr>
                <w:sz w:val="16"/>
                <w:szCs w:val="16"/>
              </w:rPr>
            </w:pPr>
            <w:r w:rsidRPr="00B10EAB">
              <w:rPr>
                <w:sz w:val="16"/>
                <w:szCs w:val="16"/>
              </w:rPr>
              <w:t>Total</w:t>
            </w:r>
          </w:p>
        </w:tc>
      </w:tr>
      <w:tr w:rsidR="00047473" w:rsidRPr="00B10EAB" w:rsidTr="00047473">
        <w:tc>
          <w:tcPr>
            <w:cnfStyle w:val="001000000000" w:firstRow="0" w:lastRow="0" w:firstColumn="1" w:lastColumn="0" w:oddVBand="0" w:evenVBand="0" w:oddHBand="0" w:evenHBand="0" w:firstRowFirstColumn="0" w:firstRowLastColumn="0" w:lastRowFirstColumn="0" w:lastRowLastColumn="0"/>
            <w:tcW w:w="1497" w:type="dxa"/>
          </w:tcPr>
          <w:p w:rsidR="00047473" w:rsidRPr="00B10EAB" w:rsidRDefault="00047473" w:rsidP="00047473">
            <w:pPr>
              <w:pStyle w:val="AERtabletextleft"/>
              <w:rPr>
                <w:sz w:val="16"/>
                <w:szCs w:val="16"/>
              </w:rPr>
            </w:pPr>
            <w:r w:rsidRPr="00B10EAB">
              <w:rPr>
                <w:sz w:val="16"/>
                <w:szCs w:val="16"/>
              </w:rPr>
              <w:t>APTNT's proposal</w:t>
            </w:r>
          </w:p>
        </w:tc>
        <w:tc>
          <w:tcPr>
            <w:tcW w:w="1217"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11.9</w:t>
            </w:r>
          </w:p>
        </w:tc>
        <w:tc>
          <w:tcPr>
            <w:tcW w:w="1217"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12.9</w:t>
            </w:r>
          </w:p>
        </w:tc>
        <w:tc>
          <w:tcPr>
            <w:tcW w:w="1217"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13.9</w:t>
            </w:r>
          </w:p>
        </w:tc>
        <w:tc>
          <w:tcPr>
            <w:tcW w:w="1217"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11.8</w:t>
            </w:r>
          </w:p>
        </w:tc>
        <w:tc>
          <w:tcPr>
            <w:tcW w:w="1111"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12.3</w:t>
            </w:r>
          </w:p>
        </w:tc>
        <w:tc>
          <w:tcPr>
            <w:tcW w:w="1111"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62.8</w:t>
            </w:r>
          </w:p>
        </w:tc>
      </w:tr>
      <w:tr w:rsidR="00047473" w:rsidRPr="00B10EAB" w:rsidTr="000474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dxa"/>
          </w:tcPr>
          <w:p w:rsidR="00047473" w:rsidRPr="00B10EAB" w:rsidRDefault="00047473" w:rsidP="00047473">
            <w:pPr>
              <w:pStyle w:val="AERtabletextleft"/>
              <w:rPr>
                <w:sz w:val="16"/>
                <w:szCs w:val="16"/>
              </w:rPr>
            </w:pPr>
            <w:r w:rsidRPr="00B10EAB">
              <w:rPr>
                <w:sz w:val="16"/>
                <w:szCs w:val="16"/>
              </w:rPr>
              <w:t>AER decision</w:t>
            </w:r>
          </w:p>
        </w:tc>
        <w:tc>
          <w:tcPr>
            <w:tcW w:w="1217" w:type="dxa"/>
          </w:tcPr>
          <w:p w:rsidR="00047473" w:rsidRPr="00B10EAB" w:rsidRDefault="00047473" w:rsidP="0004747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B10EAB">
              <w:rPr>
                <w:sz w:val="16"/>
                <w:szCs w:val="16"/>
              </w:rPr>
              <w:t>11.9</w:t>
            </w:r>
          </w:p>
        </w:tc>
        <w:tc>
          <w:tcPr>
            <w:tcW w:w="1217" w:type="dxa"/>
          </w:tcPr>
          <w:p w:rsidR="00047473" w:rsidRPr="00B10EAB" w:rsidRDefault="00047473" w:rsidP="0004747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B10EAB">
              <w:rPr>
                <w:sz w:val="16"/>
                <w:szCs w:val="16"/>
              </w:rPr>
              <w:t>12.9</w:t>
            </w:r>
          </w:p>
        </w:tc>
        <w:tc>
          <w:tcPr>
            <w:tcW w:w="1217" w:type="dxa"/>
          </w:tcPr>
          <w:p w:rsidR="00047473" w:rsidRPr="00B10EAB" w:rsidRDefault="00047473" w:rsidP="0004747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B10EAB">
              <w:rPr>
                <w:sz w:val="16"/>
                <w:szCs w:val="16"/>
              </w:rPr>
              <w:t>13.9</w:t>
            </w:r>
          </w:p>
        </w:tc>
        <w:tc>
          <w:tcPr>
            <w:tcW w:w="1217" w:type="dxa"/>
          </w:tcPr>
          <w:p w:rsidR="00047473" w:rsidRPr="00B10EAB" w:rsidRDefault="00047473" w:rsidP="0004747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B10EAB">
              <w:rPr>
                <w:sz w:val="16"/>
                <w:szCs w:val="16"/>
              </w:rPr>
              <w:t>11.8</w:t>
            </w:r>
          </w:p>
        </w:tc>
        <w:tc>
          <w:tcPr>
            <w:tcW w:w="1111" w:type="dxa"/>
          </w:tcPr>
          <w:p w:rsidR="00047473" w:rsidRPr="00B10EAB" w:rsidRDefault="00047473" w:rsidP="0004747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B10EAB">
              <w:rPr>
                <w:sz w:val="16"/>
                <w:szCs w:val="16"/>
              </w:rPr>
              <w:t>12.3</w:t>
            </w:r>
          </w:p>
        </w:tc>
        <w:tc>
          <w:tcPr>
            <w:tcW w:w="1111" w:type="dxa"/>
          </w:tcPr>
          <w:p w:rsidR="00047473" w:rsidRPr="00B10EAB" w:rsidRDefault="00047473" w:rsidP="00047473">
            <w:pPr>
              <w:pStyle w:val="AERtabletextleft"/>
              <w:cnfStyle w:val="000000010000" w:firstRow="0" w:lastRow="0" w:firstColumn="0" w:lastColumn="0" w:oddVBand="0" w:evenVBand="0" w:oddHBand="0" w:evenHBand="1" w:firstRowFirstColumn="0" w:firstRowLastColumn="0" w:lastRowFirstColumn="0" w:lastRowLastColumn="0"/>
              <w:rPr>
                <w:sz w:val="16"/>
                <w:szCs w:val="16"/>
              </w:rPr>
            </w:pPr>
            <w:r w:rsidRPr="00B10EAB">
              <w:rPr>
                <w:sz w:val="16"/>
                <w:szCs w:val="16"/>
              </w:rPr>
              <w:t>62.8</w:t>
            </w:r>
          </w:p>
        </w:tc>
      </w:tr>
      <w:tr w:rsidR="00047473" w:rsidRPr="00B10EAB" w:rsidTr="00047473">
        <w:tc>
          <w:tcPr>
            <w:cnfStyle w:val="001000000000" w:firstRow="0" w:lastRow="0" w:firstColumn="1" w:lastColumn="0" w:oddVBand="0" w:evenVBand="0" w:oddHBand="0" w:evenHBand="0" w:firstRowFirstColumn="0" w:firstRowLastColumn="0" w:lastRowFirstColumn="0" w:lastRowLastColumn="0"/>
            <w:tcW w:w="1497" w:type="dxa"/>
          </w:tcPr>
          <w:p w:rsidR="00047473" w:rsidRPr="00B10EAB" w:rsidRDefault="00047473" w:rsidP="00047473">
            <w:pPr>
              <w:pStyle w:val="AERtabletextleft"/>
              <w:rPr>
                <w:sz w:val="16"/>
                <w:szCs w:val="16"/>
              </w:rPr>
            </w:pPr>
            <w:r w:rsidRPr="00B10EAB">
              <w:rPr>
                <w:sz w:val="16"/>
                <w:szCs w:val="16"/>
              </w:rPr>
              <w:t>Difference</w:t>
            </w:r>
          </w:p>
        </w:tc>
        <w:tc>
          <w:tcPr>
            <w:tcW w:w="1217"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w:t>
            </w:r>
          </w:p>
        </w:tc>
        <w:tc>
          <w:tcPr>
            <w:tcW w:w="1217"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w:t>
            </w:r>
          </w:p>
        </w:tc>
        <w:tc>
          <w:tcPr>
            <w:tcW w:w="1217"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w:t>
            </w:r>
          </w:p>
        </w:tc>
        <w:tc>
          <w:tcPr>
            <w:tcW w:w="1217"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w:t>
            </w:r>
          </w:p>
        </w:tc>
        <w:tc>
          <w:tcPr>
            <w:tcW w:w="1111"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w:t>
            </w:r>
          </w:p>
        </w:tc>
        <w:tc>
          <w:tcPr>
            <w:tcW w:w="1111" w:type="dxa"/>
          </w:tcPr>
          <w:p w:rsidR="00047473" w:rsidRPr="00B10EAB" w:rsidRDefault="00047473" w:rsidP="00047473">
            <w:pPr>
              <w:pStyle w:val="AERtabletextleft"/>
              <w:cnfStyle w:val="000000000000" w:firstRow="0" w:lastRow="0" w:firstColumn="0" w:lastColumn="0" w:oddVBand="0" w:evenVBand="0" w:oddHBand="0" w:evenHBand="0" w:firstRowFirstColumn="0" w:firstRowLastColumn="0" w:lastRowFirstColumn="0" w:lastRowLastColumn="0"/>
              <w:rPr>
                <w:sz w:val="16"/>
                <w:szCs w:val="16"/>
              </w:rPr>
            </w:pPr>
            <w:r w:rsidRPr="00B10EAB">
              <w:rPr>
                <w:sz w:val="16"/>
                <w:szCs w:val="16"/>
              </w:rPr>
              <w:t>–</w:t>
            </w:r>
          </w:p>
        </w:tc>
      </w:tr>
    </w:tbl>
    <w:p w:rsidR="00047473" w:rsidRDefault="005766DB" w:rsidP="005766DB">
      <w:pPr>
        <w:pStyle w:val="AERtablesource"/>
      </w:pPr>
      <w:r w:rsidRPr="00B47806">
        <w:t>Source:</w:t>
      </w:r>
      <w:r w:rsidRPr="00B47806">
        <w:tab/>
      </w:r>
      <w:r w:rsidR="00047473" w:rsidRPr="00AF64A0">
        <w:t xml:space="preserve">APTNT, </w:t>
      </w:r>
      <w:r w:rsidR="00047473" w:rsidRPr="0065109C">
        <w:rPr>
          <w:rStyle w:val="AERtextitalic"/>
        </w:rPr>
        <w:t>Access arrangement revised proposal, 2016</w:t>
      </w:r>
      <w:r w:rsidR="00047473">
        <w:rPr>
          <w:rStyle w:val="AERtextitalic"/>
        </w:rPr>
        <w:t>–</w:t>
      </w:r>
      <w:r w:rsidR="00047473" w:rsidRPr="0065109C">
        <w:rPr>
          <w:rStyle w:val="AERtextitalic"/>
        </w:rPr>
        <w:t>21 Access arrangement information</w:t>
      </w:r>
      <w:r w:rsidR="00047473" w:rsidRPr="00AF64A0">
        <w:t xml:space="preserve">, </w:t>
      </w:r>
      <w:r w:rsidR="00047473">
        <w:t>January</w:t>
      </w:r>
      <w:r w:rsidR="00047473" w:rsidRPr="00AF64A0">
        <w:t xml:space="preserve"> 201</w:t>
      </w:r>
      <w:r w:rsidR="00047473">
        <w:t>6, p. 17</w:t>
      </w:r>
      <w:r w:rsidR="00047473" w:rsidRPr="00AF64A0">
        <w:t>; AER analysis.</w:t>
      </w:r>
    </w:p>
    <w:p w:rsidR="005766DB" w:rsidRPr="005766DB" w:rsidRDefault="00047473" w:rsidP="005766DB">
      <w:pPr>
        <w:pStyle w:val="AERtablesource"/>
      </w:pPr>
      <w:r>
        <w:t>Note:</w:t>
      </w:r>
      <w:r>
        <w:tab/>
        <w:t>Excludes debt raising costs.</w:t>
      </w:r>
    </w:p>
    <w:p w:rsidR="005766DB" w:rsidRDefault="0061622C" w:rsidP="005766DB">
      <w:r>
        <w:t xml:space="preserve">Our final decision </w:t>
      </w:r>
      <w:r w:rsidR="005766DB">
        <w:t xml:space="preserve">allows an eight per cent real increase from APTNT’s actual opex in the current access arrangement period. APTNT underspent relative to its opex forecast in 2011–16. Savings—associated with integration into the APA Group structure, and efficiencies associated with business wide initiatives such as consolidation of engineering and finance resources—are reflected in the base year from which opex for 2016–21 has been forecast. However, these </w:t>
      </w:r>
      <w:r w:rsidR="00F974F3">
        <w:t xml:space="preserve">savings </w:t>
      </w:r>
      <w:r w:rsidR="005766DB">
        <w:t>are offset by increase</w:t>
      </w:r>
      <w:r w:rsidR="00F974F3">
        <w:t>s in forecast opex</w:t>
      </w:r>
      <w:r w:rsidR="005766DB">
        <w:t xml:space="preserve"> </w:t>
      </w:r>
      <w:r w:rsidR="00F974F3">
        <w:t>due to</w:t>
      </w:r>
      <w:r w:rsidR="005766DB">
        <w:t>:</w:t>
      </w:r>
    </w:p>
    <w:p w:rsidR="005766DB" w:rsidRDefault="005766DB" w:rsidP="005766DB">
      <w:pPr>
        <w:pStyle w:val="AERbulletlistfirststyle"/>
      </w:pPr>
      <w:r>
        <w:t>Forecast changes in labour costs (but no real price changes to materials)</w:t>
      </w:r>
    </w:p>
    <w:p w:rsidR="005766DB" w:rsidRDefault="005766DB" w:rsidP="005766DB">
      <w:pPr>
        <w:pStyle w:val="AERbulletlistfirststyle"/>
      </w:pPr>
      <w:r>
        <w:t>Pigging costs, including for delays and deferrals to the pigging schedule from the current access arrangement period to 2016–21.</w:t>
      </w:r>
    </w:p>
    <w:p w:rsidR="005766DB" w:rsidRDefault="005766DB" w:rsidP="005766DB">
      <w:r>
        <w:fldChar w:fldCharType="begin"/>
      </w:r>
      <w:r>
        <w:instrText xml:space="preserve"> REF _Ref433287448 \h </w:instrText>
      </w:r>
      <w:r>
        <w:fldChar w:fldCharType="separate"/>
      </w:r>
      <w:r w:rsidR="009F7892">
        <w:t xml:space="preserve">Figure </w:t>
      </w:r>
      <w:r w:rsidR="009F7892">
        <w:rPr>
          <w:noProof/>
        </w:rPr>
        <w:t>9</w:t>
      </w:r>
      <w:r>
        <w:fldChar w:fldCharType="end"/>
      </w:r>
      <w:r>
        <w:t xml:space="preserve"> compares forecast opex for the 2016–21 period to APTNT’s allowed and actual opex in 2011–16.</w:t>
      </w:r>
    </w:p>
    <w:p w:rsidR="005766DB" w:rsidRDefault="005766DB" w:rsidP="005766DB">
      <w:pPr>
        <w:pStyle w:val="Caption"/>
      </w:pPr>
      <w:bookmarkStart w:id="110" w:name="_Ref433287448"/>
      <w:r>
        <w:t xml:space="preserve">Figure </w:t>
      </w:r>
      <w:r w:rsidRPr="005766DB">
        <w:fldChar w:fldCharType="begin"/>
      </w:r>
      <w:r>
        <w:instrText xml:space="preserve"> SEQ Figure \* ARABIC </w:instrText>
      </w:r>
      <w:r w:rsidRPr="005766DB">
        <w:fldChar w:fldCharType="separate"/>
      </w:r>
      <w:r w:rsidR="009F7892">
        <w:rPr>
          <w:noProof/>
        </w:rPr>
        <w:t>9</w:t>
      </w:r>
      <w:r w:rsidRPr="005766DB">
        <w:fldChar w:fldCharType="end"/>
      </w:r>
      <w:bookmarkEnd w:id="110"/>
      <w:r>
        <w:tab/>
        <w:t>APTNT’s historical and forecast opex ($million, 2015–16)</w:t>
      </w:r>
    </w:p>
    <w:p w:rsidR="003657D2" w:rsidRDefault="003657D2" w:rsidP="005766DB">
      <w:pPr>
        <w:pStyle w:val="AERtablesource"/>
      </w:pPr>
      <w:r w:rsidRPr="003657D2">
        <w:rPr>
          <w:noProof/>
          <w:lang w:eastAsia="en-AU"/>
        </w:rPr>
        <w:drawing>
          <wp:inline distT="0" distB="0" distL="0" distR="0" wp14:anchorId="242B0F8E" wp14:editId="23007302">
            <wp:extent cx="5365115" cy="3477895"/>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65115" cy="3477895"/>
                    </a:xfrm>
                    <a:prstGeom prst="rect">
                      <a:avLst/>
                    </a:prstGeom>
                    <a:noFill/>
                    <a:ln>
                      <a:noFill/>
                    </a:ln>
                  </pic:spPr>
                </pic:pic>
              </a:graphicData>
            </a:graphic>
          </wp:inline>
        </w:drawing>
      </w:r>
    </w:p>
    <w:p w:rsidR="005766DB" w:rsidRDefault="005766DB" w:rsidP="00FE2476">
      <w:pPr>
        <w:pStyle w:val="FootnoteText"/>
      </w:pPr>
      <w:r>
        <w:t xml:space="preserve">Source: </w:t>
      </w:r>
      <w:r>
        <w:tab/>
        <w:t xml:space="preserve">APTNT, </w:t>
      </w:r>
      <w:r w:rsidRPr="003657D2">
        <w:rPr>
          <w:rStyle w:val="Emphasis"/>
        </w:rPr>
        <w:t>RIN response</w:t>
      </w:r>
      <w:r>
        <w:t>, August 2015</w:t>
      </w:r>
      <w:r w:rsidR="003657D2">
        <w:t xml:space="preserve">, APTNT, </w:t>
      </w:r>
      <w:r w:rsidR="00FE2476" w:rsidRPr="009F6EC7">
        <w:rPr>
          <w:rStyle w:val="AERtextitalic"/>
        </w:rPr>
        <w:t>Amadeus Gas Pipeline access arrangement revision proposal</w:t>
      </w:r>
      <w:r w:rsidR="00FE2476">
        <w:rPr>
          <w:rStyle w:val="AERtextitalic"/>
        </w:rPr>
        <w:t xml:space="preserve">, Post tax revenue model, </w:t>
      </w:r>
      <w:r w:rsidR="00FE2476" w:rsidRPr="00FE2476">
        <w:rPr>
          <w:rStyle w:val="AERtextitalic"/>
          <w:i w:val="0"/>
        </w:rPr>
        <w:t>January 2016</w:t>
      </w:r>
      <w:r w:rsidR="00FE2476">
        <w:rPr>
          <w:rStyle w:val="AERtextitalic"/>
        </w:rPr>
        <w:t>.</w:t>
      </w:r>
    </w:p>
    <w:p w:rsidR="003657D2" w:rsidRDefault="003657D2" w:rsidP="003657D2">
      <w:pPr>
        <w:pStyle w:val="Source"/>
      </w:pPr>
      <w:r>
        <w:t>Note:</w:t>
      </w:r>
      <w:r>
        <w:tab/>
        <w:t>Excludes debt raising costs.</w:t>
      </w:r>
    </w:p>
    <w:p w:rsidR="005766DB" w:rsidRPr="005766DB" w:rsidRDefault="005766DB" w:rsidP="0099198D">
      <w:pPr>
        <w:pStyle w:val="Heading2"/>
        <w:keepNext/>
      </w:pPr>
      <w:bookmarkStart w:id="111" w:name="_Toc448995525"/>
      <w:bookmarkStart w:id="112" w:name="_Toc430002796"/>
      <w:bookmarkStart w:id="113" w:name="_Toc436046187"/>
      <w:bookmarkStart w:id="114" w:name="_Toc451873632"/>
      <w:bookmarkEnd w:id="111"/>
      <w:r>
        <w:t>Corporate income tax</w:t>
      </w:r>
      <w:bookmarkEnd w:id="112"/>
      <w:bookmarkEnd w:id="113"/>
      <w:bookmarkEnd w:id="114"/>
    </w:p>
    <w:p w:rsidR="00565E7E" w:rsidRDefault="00565E7E" w:rsidP="0099198D">
      <w:pPr>
        <w:keepNext/>
      </w:pPr>
      <w:r>
        <w:t>The NGR require us to make a decision on the estimated cost of corporate income tax for APTNT's 2016–21 access arrangement period.</w:t>
      </w:r>
      <w:r w:rsidRPr="00FD50DB">
        <w:rPr>
          <w:rStyle w:val="FootnoteReference"/>
        </w:rPr>
        <w:footnoteReference w:id="49"/>
      </w:r>
      <w:r>
        <w:t xml:space="preserve"> The estimated cost of corporate income tax contributes to our determination of the total revenue requirements for APTNT over the 2016–21 access arrangement period. It provides for APTNT to recover the costs associated with the estimated corporate income tax payable during the period.</w:t>
      </w:r>
    </w:p>
    <w:p w:rsidR="00632F64" w:rsidRDefault="00632F64" w:rsidP="00632F64">
      <w:r w:rsidRPr="00407443">
        <w:t xml:space="preserve">Our </w:t>
      </w:r>
      <w:r>
        <w:rPr>
          <w:rStyle w:val="AERbody"/>
        </w:rPr>
        <w:t>final</w:t>
      </w:r>
      <w:r w:rsidRPr="002616BC">
        <w:rPr>
          <w:rStyle w:val="AERbody"/>
        </w:rPr>
        <w:t xml:space="preserve"> decision </w:t>
      </w:r>
      <w:r w:rsidR="00C63A35">
        <w:rPr>
          <w:rStyle w:val="AERbody"/>
        </w:rPr>
        <w:t>includes an estimated cost of</w:t>
      </w:r>
      <w:r w:rsidRPr="002616BC">
        <w:rPr>
          <w:rStyle w:val="AERbody"/>
        </w:rPr>
        <w:t xml:space="preserve"> corporate income tax allowance </w:t>
      </w:r>
      <w:r w:rsidR="00C63A35">
        <w:rPr>
          <w:rStyle w:val="AERbody"/>
        </w:rPr>
        <w:t>of</w:t>
      </w:r>
      <w:r w:rsidR="00C63A35" w:rsidRPr="002616BC">
        <w:rPr>
          <w:rStyle w:val="AERbody"/>
        </w:rPr>
        <w:t xml:space="preserve"> </w:t>
      </w:r>
      <w:r w:rsidRPr="002616BC">
        <w:rPr>
          <w:rStyle w:val="AERbody"/>
        </w:rPr>
        <w:t>$</w:t>
      </w:r>
      <w:r w:rsidR="009530CE">
        <w:rPr>
          <w:rStyle w:val="AERbody"/>
        </w:rPr>
        <w:t>1.5</w:t>
      </w:r>
      <w:r w:rsidRPr="002616BC">
        <w:rPr>
          <w:rStyle w:val="AERbody"/>
        </w:rPr>
        <w:t xml:space="preserve"> million ($nominal)</w:t>
      </w:r>
      <w:r w:rsidR="00C63A35">
        <w:rPr>
          <w:rStyle w:val="AERbody"/>
        </w:rPr>
        <w:t xml:space="preserve"> for APTNT over the 2016–21 access arrangement period</w:t>
      </w:r>
      <w:r w:rsidRPr="002616BC">
        <w:rPr>
          <w:rStyle w:val="AERbody"/>
        </w:rPr>
        <w:t xml:space="preserve"> </w:t>
      </w:r>
      <w:r>
        <w:rPr>
          <w:rStyle w:val="AERbody"/>
        </w:rPr>
        <w:t xml:space="preserve">as shown in </w:t>
      </w:r>
      <w:r>
        <w:rPr>
          <w:rStyle w:val="AERbody"/>
        </w:rPr>
        <w:fldChar w:fldCharType="begin"/>
      </w:r>
      <w:r>
        <w:rPr>
          <w:rStyle w:val="AERbody"/>
        </w:rPr>
        <w:instrText xml:space="preserve"> REF _Ref447528264 \h </w:instrText>
      </w:r>
      <w:r>
        <w:rPr>
          <w:rStyle w:val="AERbody"/>
        </w:rPr>
      </w:r>
      <w:r>
        <w:rPr>
          <w:rStyle w:val="AERbody"/>
        </w:rPr>
        <w:fldChar w:fldCharType="separate"/>
      </w:r>
      <w:r w:rsidR="009F7892">
        <w:t xml:space="preserve">Table </w:t>
      </w:r>
      <w:r w:rsidR="009F7892">
        <w:rPr>
          <w:noProof/>
        </w:rPr>
        <w:t>11</w:t>
      </w:r>
      <w:r>
        <w:rPr>
          <w:rStyle w:val="AERbody"/>
        </w:rPr>
        <w:fldChar w:fldCharType="end"/>
      </w:r>
      <w:r>
        <w:rPr>
          <w:rStyle w:val="AERbody"/>
        </w:rPr>
        <w:t>. This</w:t>
      </w:r>
      <w:r w:rsidRPr="002616BC">
        <w:rPr>
          <w:rStyle w:val="AERbody"/>
        </w:rPr>
        <w:t xml:space="preserve"> is a reduction of $</w:t>
      </w:r>
      <w:r w:rsidR="009530CE">
        <w:rPr>
          <w:rStyle w:val="AERbody"/>
        </w:rPr>
        <w:t>1.8</w:t>
      </w:r>
      <w:r w:rsidRPr="002616BC">
        <w:rPr>
          <w:rStyle w:val="AERbody"/>
        </w:rPr>
        <w:t xml:space="preserve"> million or </w:t>
      </w:r>
      <w:r w:rsidR="009530CE">
        <w:rPr>
          <w:rStyle w:val="AERbody"/>
        </w:rPr>
        <w:t>53.8</w:t>
      </w:r>
      <w:r w:rsidRPr="002616BC">
        <w:rPr>
          <w:rStyle w:val="AERbody"/>
        </w:rPr>
        <w:t xml:space="preserve"> per cent</w:t>
      </w:r>
      <w:r w:rsidRPr="00407443">
        <w:t xml:space="preserve"> f</w:t>
      </w:r>
      <w:r w:rsidR="00C63A35">
        <w:t>rom</w:t>
      </w:r>
      <w:r w:rsidRPr="00407443">
        <w:t xml:space="preserve"> </w:t>
      </w:r>
      <w:r>
        <w:t>APTNT’</w:t>
      </w:r>
      <w:r w:rsidRPr="00407443">
        <w:t xml:space="preserve">s </w:t>
      </w:r>
      <w:r>
        <w:t xml:space="preserve">revised </w:t>
      </w:r>
      <w:r w:rsidRPr="00407443">
        <w:t>proposal.</w:t>
      </w:r>
      <w:r>
        <w:t xml:space="preserve"> </w:t>
      </w:r>
    </w:p>
    <w:p w:rsidR="00632F64" w:rsidRPr="00807DCF" w:rsidRDefault="00632F64" w:rsidP="00632F64">
      <w:pPr>
        <w:pStyle w:val="Caption"/>
      </w:pPr>
      <w:bookmarkStart w:id="115" w:name="_Ref447528264"/>
      <w:bookmarkStart w:id="116" w:name="_Ref442449184"/>
      <w:r>
        <w:t xml:space="preserve">Table </w:t>
      </w:r>
      <w:fldSimple w:instr=" SEQ Table \* ARABIC ">
        <w:r w:rsidR="009F7892">
          <w:rPr>
            <w:noProof/>
          </w:rPr>
          <w:t>11</w:t>
        </w:r>
      </w:fldSimple>
      <w:bookmarkEnd w:id="115"/>
      <w:r w:rsidRPr="00807DCF">
        <w:tab/>
        <w:t xml:space="preserve">AER’s </w:t>
      </w:r>
      <w:r>
        <w:t>final</w:t>
      </w:r>
      <w:r w:rsidRPr="00807DCF">
        <w:t xml:space="preserve"> decision on corporate income tax allowance for APTNT ($million, nominal)</w:t>
      </w:r>
      <w:bookmarkEnd w:id="116"/>
      <w:r w:rsidRPr="00807DCF">
        <w:t xml:space="preserve">  </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632F64" w:rsidRPr="00077B2C" w:rsidTr="00AC207A">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632F64" w:rsidRPr="000F0FA4" w:rsidRDefault="00632F64" w:rsidP="00632F64"/>
        </w:tc>
        <w:tc>
          <w:tcPr>
            <w:tcW w:w="933" w:type="dxa"/>
          </w:tcPr>
          <w:p w:rsidR="00632F64" w:rsidRPr="00632F64" w:rsidRDefault="00632F64" w:rsidP="00632F64">
            <w:pPr>
              <w:cnfStyle w:val="100000000000" w:firstRow="1" w:lastRow="0" w:firstColumn="0" w:lastColumn="0" w:oddVBand="0" w:evenVBand="0" w:oddHBand="0" w:evenHBand="0" w:firstRowFirstColumn="0" w:firstRowLastColumn="0" w:lastRowFirstColumn="0" w:lastRowLastColumn="0"/>
            </w:pPr>
            <w:r w:rsidRPr="000F0FA4">
              <w:t>2016–17</w:t>
            </w:r>
          </w:p>
        </w:tc>
        <w:tc>
          <w:tcPr>
            <w:tcW w:w="934" w:type="dxa"/>
          </w:tcPr>
          <w:p w:rsidR="00632F64" w:rsidRPr="00632F64" w:rsidRDefault="00632F64" w:rsidP="00632F64">
            <w:pPr>
              <w:cnfStyle w:val="100000000000" w:firstRow="1" w:lastRow="0" w:firstColumn="0" w:lastColumn="0" w:oddVBand="0" w:evenVBand="0" w:oddHBand="0" w:evenHBand="0" w:firstRowFirstColumn="0" w:firstRowLastColumn="0" w:lastRowFirstColumn="0" w:lastRowLastColumn="0"/>
            </w:pPr>
            <w:r w:rsidRPr="000F0FA4">
              <w:t>2017–18</w:t>
            </w:r>
          </w:p>
        </w:tc>
        <w:tc>
          <w:tcPr>
            <w:tcW w:w="934" w:type="dxa"/>
          </w:tcPr>
          <w:p w:rsidR="00632F64" w:rsidRPr="00632F64" w:rsidRDefault="00632F64" w:rsidP="00632F64">
            <w:pPr>
              <w:cnfStyle w:val="100000000000" w:firstRow="1" w:lastRow="0" w:firstColumn="0" w:lastColumn="0" w:oddVBand="0" w:evenVBand="0" w:oddHBand="0" w:evenHBand="0" w:firstRowFirstColumn="0" w:firstRowLastColumn="0" w:lastRowFirstColumn="0" w:lastRowLastColumn="0"/>
            </w:pPr>
            <w:r w:rsidRPr="000F0FA4">
              <w:t>2018–19</w:t>
            </w:r>
          </w:p>
        </w:tc>
        <w:tc>
          <w:tcPr>
            <w:tcW w:w="934" w:type="dxa"/>
          </w:tcPr>
          <w:p w:rsidR="00632F64" w:rsidRPr="00632F64" w:rsidRDefault="00632F64" w:rsidP="00632F64">
            <w:pPr>
              <w:cnfStyle w:val="100000000000" w:firstRow="1" w:lastRow="0" w:firstColumn="0" w:lastColumn="0" w:oddVBand="0" w:evenVBand="0" w:oddHBand="0" w:evenHBand="0" w:firstRowFirstColumn="0" w:firstRowLastColumn="0" w:lastRowFirstColumn="0" w:lastRowLastColumn="0"/>
            </w:pPr>
            <w:r w:rsidRPr="000F0FA4">
              <w:t>2019–20</w:t>
            </w:r>
          </w:p>
        </w:tc>
        <w:tc>
          <w:tcPr>
            <w:tcW w:w="934" w:type="dxa"/>
          </w:tcPr>
          <w:p w:rsidR="00632F64" w:rsidRPr="00632F64" w:rsidRDefault="00632F64" w:rsidP="00632F64">
            <w:pPr>
              <w:cnfStyle w:val="100000000000" w:firstRow="1" w:lastRow="0" w:firstColumn="0" w:lastColumn="0" w:oddVBand="0" w:evenVBand="0" w:oddHBand="0" w:evenHBand="0" w:firstRowFirstColumn="0" w:firstRowLastColumn="0" w:lastRowFirstColumn="0" w:lastRowLastColumn="0"/>
            </w:pPr>
            <w:r w:rsidRPr="000F0FA4">
              <w:t>2020–21</w:t>
            </w:r>
          </w:p>
        </w:tc>
        <w:tc>
          <w:tcPr>
            <w:tcW w:w="934" w:type="dxa"/>
          </w:tcPr>
          <w:p w:rsidR="00632F64" w:rsidRPr="00632F64" w:rsidRDefault="00632F64" w:rsidP="00632F64">
            <w:pPr>
              <w:cnfStyle w:val="100000000000" w:firstRow="1" w:lastRow="0" w:firstColumn="0" w:lastColumn="0" w:oddVBand="0" w:evenVBand="0" w:oddHBand="0" w:evenHBand="0" w:firstRowFirstColumn="0" w:firstRowLastColumn="0" w:lastRowFirstColumn="0" w:lastRowLastColumn="0"/>
            </w:pPr>
            <w:r w:rsidRPr="000F0FA4">
              <w:t>Total</w:t>
            </w:r>
          </w:p>
        </w:tc>
      </w:tr>
      <w:tr w:rsidR="009530CE" w:rsidRPr="00077B2C" w:rsidTr="009530CE">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9530CE" w:rsidRPr="009530CE" w:rsidRDefault="009530CE" w:rsidP="009530CE">
            <w:r w:rsidRPr="009530CE">
              <w:t>Tax payable</w:t>
            </w:r>
          </w:p>
        </w:tc>
        <w:tc>
          <w:tcPr>
            <w:tcW w:w="933" w:type="dxa"/>
            <w:vAlign w:val="bottom"/>
          </w:tcPr>
          <w:p w:rsidR="009530CE" w:rsidRPr="009530CE" w:rsidRDefault="009530CE" w:rsidP="009530CE">
            <w:pPr>
              <w:cnfStyle w:val="000000000000" w:firstRow="0" w:lastRow="0" w:firstColumn="0" w:lastColumn="0" w:oddVBand="0" w:evenVBand="0" w:oddHBand="0" w:evenHBand="0" w:firstRowFirstColumn="0" w:firstRowLastColumn="0" w:lastRowFirstColumn="0" w:lastRowLastColumn="0"/>
            </w:pPr>
            <w:r w:rsidRPr="009530CE">
              <w:t>0.5</w:t>
            </w:r>
          </w:p>
        </w:tc>
        <w:tc>
          <w:tcPr>
            <w:tcW w:w="934" w:type="dxa"/>
            <w:vAlign w:val="bottom"/>
          </w:tcPr>
          <w:p w:rsidR="009530CE" w:rsidRPr="009530CE" w:rsidRDefault="009530CE" w:rsidP="009530CE">
            <w:pPr>
              <w:cnfStyle w:val="000000000000" w:firstRow="0" w:lastRow="0" w:firstColumn="0" w:lastColumn="0" w:oddVBand="0" w:evenVBand="0" w:oddHBand="0" w:evenHBand="0" w:firstRowFirstColumn="0" w:firstRowLastColumn="0" w:lastRowFirstColumn="0" w:lastRowLastColumn="0"/>
            </w:pPr>
            <w:r w:rsidRPr="009530CE">
              <w:t>0.5</w:t>
            </w:r>
          </w:p>
        </w:tc>
        <w:tc>
          <w:tcPr>
            <w:tcW w:w="934" w:type="dxa"/>
            <w:vAlign w:val="bottom"/>
          </w:tcPr>
          <w:p w:rsidR="009530CE" w:rsidRPr="009530CE" w:rsidRDefault="009530CE" w:rsidP="009530CE">
            <w:pPr>
              <w:cnfStyle w:val="000000000000" w:firstRow="0" w:lastRow="0" w:firstColumn="0" w:lastColumn="0" w:oddVBand="0" w:evenVBand="0" w:oddHBand="0" w:evenHBand="0" w:firstRowFirstColumn="0" w:firstRowLastColumn="0" w:lastRowFirstColumn="0" w:lastRowLastColumn="0"/>
            </w:pPr>
            <w:r w:rsidRPr="009530CE">
              <w:t>0.5</w:t>
            </w:r>
          </w:p>
        </w:tc>
        <w:tc>
          <w:tcPr>
            <w:tcW w:w="934" w:type="dxa"/>
            <w:vAlign w:val="bottom"/>
          </w:tcPr>
          <w:p w:rsidR="009530CE" w:rsidRPr="009530CE" w:rsidRDefault="009530CE" w:rsidP="009530CE">
            <w:pPr>
              <w:cnfStyle w:val="000000000000" w:firstRow="0" w:lastRow="0" w:firstColumn="0" w:lastColumn="0" w:oddVBand="0" w:evenVBand="0" w:oddHBand="0" w:evenHBand="0" w:firstRowFirstColumn="0" w:firstRowLastColumn="0" w:lastRowFirstColumn="0" w:lastRowLastColumn="0"/>
            </w:pPr>
            <w:r w:rsidRPr="009530CE">
              <w:t>0.5</w:t>
            </w:r>
          </w:p>
        </w:tc>
        <w:tc>
          <w:tcPr>
            <w:tcW w:w="934" w:type="dxa"/>
            <w:vAlign w:val="bottom"/>
          </w:tcPr>
          <w:p w:rsidR="009530CE" w:rsidRPr="009530CE" w:rsidRDefault="009530CE" w:rsidP="009530CE">
            <w:pPr>
              <w:cnfStyle w:val="000000000000" w:firstRow="0" w:lastRow="0" w:firstColumn="0" w:lastColumn="0" w:oddVBand="0" w:evenVBand="0" w:oddHBand="0" w:evenHBand="0" w:firstRowFirstColumn="0" w:firstRowLastColumn="0" w:lastRowFirstColumn="0" w:lastRowLastColumn="0"/>
            </w:pPr>
            <w:r w:rsidRPr="009530CE">
              <w:t>0.6</w:t>
            </w:r>
          </w:p>
        </w:tc>
        <w:tc>
          <w:tcPr>
            <w:tcW w:w="934" w:type="dxa"/>
            <w:vAlign w:val="bottom"/>
          </w:tcPr>
          <w:p w:rsidR="009530CE" w:rsidRPr="009530CE" w:rsidRDefault="009530CE" w:rsidP="009530CE">
            <w:pPr>
              <w:cnfStyle w:val="000000000000" w:firstRow="0" w:lastRow="0" w:firstColumn="0" w:lastColumn="0" w:oddVBand="0" w:evenVBand="0" w:oddHBand="0" w:evenHBand="0" w:firstRowFirstColumn="0" w:firstRowLastColumn="0" w:lastRowFirstColumn="0" w:lastRowLastColumn="0"/>
            </w:pPr>
            <w:r w:rsidRPr="009530CE">
              <w:t>2.6</w:t>
            </w:r>
          </w:p>
        </w:tc>
      </w:tr>
      <w:tr w:rsidR="009530CE" w:rsidRPr="00077B2C" w:rsidTr="00AC207A">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9530CE" w:rsidRPr="009530CE" w:rsidRDefault="009530CE" w:rsidP="009530CE">
            <w:r w:rsidRPr="009530CE">
              <w:rPr>
                <w:rStyle w:val="AERtextitalic"/>
              </w:rPr>
              <w:t>Less</w:t>
            </w:r>
            <w:r w:rsidRPr="009530CE">
              <w:t>: value of imputation credits</w:t>
            </w:r>
          </w:p>
        </w:tc>
        <w:tc>
          <w:tcPr>
            <w:tcW w:w="933" w:type="dxa"/>
          </w:tcPr>
          <w:p w:rsidR="009530CE" w:rsidRPr="009530CE" w:rsidRDefault="009530CE" w:rsidP="009530CE">
            <w:pPr>
              <w:cnfStyle w:val="000000010000" w:firstRow="0" w:lastRow="0" w:firstColumn="0" w:lastColumn="0" w:oddVBand="0" w:evenVBand="0" w:oddHBand="0" w:evenHBand="1" w:firstRowFirstColumn="0" w:firstRowLastColumn="0" w:lastRowFirstColumn="0" w:lastRowLastColumn="0"/>
            </w:pPr>
            <w:r w:rsidRPr="009530CE">
              <w:t>0.2</w:t>
            </w:r>
          </w:p>
        </w:tc>
        <w:tc>
          <w:tcPr>
            <w:tcW w:w="934" w:type="dxa"/>
          </w:tcPr>
          <w:p w:rsidR="009530CE" w:rsidRPr="009530CE" w:rsidRDefault="009530CE" w:rsidP="009530CE">
            <w:pPr>
              <w:cnfStyle w:val="000000010000" w:firstRow="0" w:lastRow="0" w:firstColumn="0" w:lastColumn="0" w:oddVBand="0" w:evenVBand="0" w:oddHBand="0" w:evenHBand="1" w:firstRowFirstColumn="0" w:firstRowLastColumn="0" w:lastRowFirstColumn="0" w:lastRowLastColumn="0"/>
            </w:pPr>
            <w:r w:rsidRPr="009530CE">
              <w:t>0.2</w:t>
            </w:r>
          </w:p>
        </w:tc>
        <w:tc>
          <w:tcPr>
            <w:tcW w:w="934" w:type="dxa"/>
          </w:tcPr>
          <w:p w:rsidR="009530CE" w:rsidRPr="009530CE" w:rsidRDefault="009530CE" w:rsidP="009530CE">
            <w:pPr>
              <w:cnfStyle w:val="000000010000" w:firstRow="0" w:lastRow="0" w:firstColumn="0" w:lastColumn="0" w:oddVBand="0" w:evenVBand="0" w:oddHBand="0" w:evenHBand="1" w:firstRowFirstColumn="0" w:firstRowLastColumn="0" w:lastRowFirstColumn="0" w:lastRowLastColumn="0"/>
            </w:pPr>
            <w:r w:rsidRPr="009530CE">
              <w:t>0.2</w:t>
            </w:r>
          </w:p>
        </w:tc>
        <w:tc>
          <w:tcPr>
            <w:tcW w:w="934" w:type="dxa"/>
          </w:tcPr>
          <w:p w:rsidR="009530CE" w:rsidRPr="009530CE" w:rsidRDefault="009530CE" w:rsidP="009530CE">
            <w:pPr>
              <w:cnfStyle w:val="000000010000" w:firstRow="0" w:lastRow="0" w:firstColumn="0" w:lastColumn="0" w:oddVBand="0" w:evenVBand="0" w:oddHBand="0" w:evenHBand="1" w:firstRowFirstColumn="0" w:firstRowLastColumn="0" w:lastRowFirstColumn="0" w:lastRowLastColumn="0"/>
            </w:pPr>
            <w:r w:rsidRPr="009530CE">
              <w:t>0.2</w:t>
            </w:r>
          </w:p>
        </w:tc>
        <w:tc>
          <w:tcPr>
            <w:tcW w:w="934" w:type="dxa"/>
          </w:tcPr>
          <w:p w:rsidR="009530CE" w:rsidRPr="009530CE" w:rsidRDefault="009530CE" w:rsidP="009530CE">
            <w:pPr>
              <w:cnfStyle w:val="000000010000" w:firstRow="0" w:lastRow="0" w:firstColumn="0" w:lastColumn="0" w:oddVBand="0" w:evenVBand="0" w:oddHBand="0" w:evenHBand="1" w:firstRowFirstColumn="0" w:firstRowLastColumn="0" w:lastRowFirstColumn="0" w:lastRowLastColumn="0"/>
            </w:pPr>
            <w:r w:rsidRPr="009530CE">
              <w:t>0.2</w:t>
            </w:r>
          </w:p>
        </w:tc>
        <w:tc>
          <w:tcPr>
            <w:tcW w:w="934" w:type="dxa"/>
          </w:tcPr>
          <w:p w:rsidR="009530CE" w:rsidRPr="009530CE" w:rsidRDefault="009530CE" w:rsidP="009530CE">
            <w:pPr>
              <w:cnfStyle w:val="000000010000" w:firstRow="0" w:lastRow="0" w:firstColumn="0" w:lastColumn="0" w:oddVBand="0" w:evenVBand="0" w:oddHBand="0" w:evenHBand="1" w:firstRowFirstColumn="0" w:firstRowLastColumn="0" w:lastRowFirstColumn="0" w:lastRowLastColumn="0"/>
            </w:pPr>
            <w:r w:rsidRPr="009530CE">
              <w:t>1.0</w:t>
            </w:r>
          </w:p>
        </w:tc>
      </w:tr>
      <w:tr w:rsidR="009530CE" w:rsidRPr="00E17A92" w:rsidTr="00AC207A">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9530CE" w:rsidRPr="0099198D" w:rsidRDefault="009530CE" w:rsidP="009530CE">
            <w:pPr>
              <w:rPr>
                <w:rStyle w:val="Bold"/>
              </w:rPr>
            </w:pPr>
            <w:r w:rsidRPr="0099198D">
              <w:rPr>
                <w:rStyle w:val="Bold"/>
              </w:rPr>
              <w:t>Net corporate income tax allowance</w:t>
            </w:r>
          </w:p>
        </w:tc>
        <w:tc>
          <w:tcPr>
            <w:tcW w:w="933" w:type="dxa"/>
          </w:tcPr>
          <w:p w:rsidR="009530CE" w:rsidRPr="0099198D" w:rsidRDefault="009530CE" w:rsidP="009530CE">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0.3</w:t>
            </w:r>
          </w:p>
        </w:tc>
        <w:tc>
          <w:tcPr>
            <w:tcW w:w="934" w:type="dxa"/>
          </w:tcPr>
          <w:p w:rsidR="009530CE" w:rsidRPr="0099198D" w:rsidRDefault="009530CE" w:rsidP="009530CE">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0.3</w:t>
            </w:r>
          </w:p>
        </w:tc>
        <w:tc>
          <w:tcPr>
            <w:tcW w:w="934" w:type="dxa"/>
          </w:tcPr>
          <w:p w:rsidR="009530CE" w:rsidRPr="0099198D" w:rsidRDefault="009530CE" w:rsidP="009530CE">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0.3</w:t>
            </w:r>
          </w:p>
        </w:tc>
        <w:tc>
          <w:tcPr>
            <w:tcW w:w="934" w:type="dxa"/>
          </w:tcPr>
          <w:p w:rsidR="009530CE" w:rsidRPr="0099198D" w:rsidRDefault="009530CE" w:rsidP="009530CE">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0.3</w:t>
            </w:r>
          </w:p>
        </w:tc>
        <w:tc>
          <w:tcPr>
            <w:tcW w:w="934" w:type="dxa"/>
          </w:tcPr>
          <w:p w:rsidR="009530CE" w:rsidRPr="0099198D" w:rsidRDefault="009530CE" w:rsidP="009530CE">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0.3</w:t>
            </w:r>
          </w:p>
        </w:tc>
        <w:tc>
          <w:tcPr>
            <w:tcW w:w="934" w:type="dxa"/>
          </w:tcPr>
          <w:p w:rsidR="009530CE" w:rsidRPr="0099198D" w:rsidRDefault="009530CE" w:rsidP="009530CE">
            <w:pPr>
              <w:cnfStyle w:val="000000000000" w:firstRow="0" w:lastRow="0" w:firstColumn="0" w:lastColumn="0" w:oddVBand="0" w:evenVBand="0" w:oddHBand="0" w:evenHBand="0" w:firstRowFirstColumn="0" w:firstRowLastColumn="0" w:lastRowFirstColumn="0" w:lastRowLastColumn="0"/>
              <w:rPr>
                <w:rStyle w:val="Bold"/>
              </w:rPr>
            </w:pPr>
            <w:r w:rsidRPr="0099198D">
              <w:rPr>
                <w:rStyle w:val="Bold"/>
              </w:rPr>
              <w:t>1.5</w:t>
            </w:r>
          </w:p>
        </w:tc>
      </w:tr>
    </w:tbl>
    <w:p w:rsidR="00632F64" w:rsidRDefault="00632F64" w:rsidP="00632F64">
      <w:pPr>
        <w:pStyle w:val="AERtablesource"/>
      </w:pPr>
      <w:r w:rsidRPr="00FD50DB">
        <w:t xml:space="preserve">Source: </w:t>
      </w:r>
      <w:r w:rsidRPr="00FD50DB">
        <w:tab/>
        <w:t>AER analysis.</w:t>
      </w:r>
    </w:p>
    <w:p w:rsidR="00632F64" w:rsidRDefault="00632F64" w:rsidP="00632F64">
      <w:r>
        <w:t>Consistent with our draft decision, w</w:t>
      </w:r>
      <w:r w:rsidRPr="00407443">
        <w:t xml:space="preserve">e accept </w:t>
      </w:r>
      <w:r>
        <w:t>APTNT</w:t>
      </w:r>
      <w:r w:rsidRPr="00407443">
        <w:t xml:space="preserve">’s proposed </w:t>
      </w:r>
      <w:r>
        <w:t>approach</w:t>
      </w:r>
      <w:r w:rsidRPr="00407443">
        <w:t xml:space="preserve"> for calculating the</w:t>
      </w:r>
      <w:r>
        <w:t xml:space="preserve"> </w:t>
      </w:r>
      <w:r w:rsidR="00C63A35">
        <w:t xml:space="preserve">cost of </w:t>
      </w:r>
      <w:r>
        <w:t xml:space="preserve">corporate income tax </w:t>
      </w:r>
      <w:r w:rsidR="00C63A35">
        <w:t>for the 2016–21 access arrangement period</w:t>
      </w:r>
      <w:r>
        <w:t>. In accepting the approach</w:t>
      </w:r>
      <w:r w:rsidR="00C63A35">
        <w:t>, however,</w:t>
      </w:r>
      <w:r>
        <w:t xml:space="preserve"> we have </w:t>
      </w:r>
      <w:r w:rsidR="00C63A35">
        <w:t>adjusted</w:t>
      </w:r>
      <w:r>
        <w:t xml:space="preserve"> </w:t>
      </w:r>
      <w:r w:rsidR="00565E7E">
        <w:t xml:space="preserve">a number of </w:t>
      </w:r>
      <w:r>
        <w:t xml:space="preserve">inputs </w:t>
      </w:r>
      <w:r w:rsidR="00C63A35">
        <w:t>in</w:t>
      </w:r>
      <w:r>
        <w:t xml:space="preserve"> APTNT's revised proposed PTRM for calculating the cost of corporate income tax. These </w:t>
      </w:r>
      <w:r w:rsidR="00C63A35">
        <w:t>adjustments,</w:t>
      </w:r>
      <w:r w:rsidR="008D6735">
        <w:t xml:space="preserve"> which </w:t>
      </w:r>
      <w:r w:rsidR="00C63A35">
        <w:t xml:space="preserve">reflect </w:t>
      </w:r>
      <w:r w:rsidR="008D6735">
        <w:t>our final decision</w:t>
      </w:r>
      <w:r w:rsidR="00C63A35">
        <w:t>s on other elements of</w:t>
      </w:r>
      <w:r w:rsidR="008D6735">
        <w:t xml:space="preserve"> APTNT's revised proposal, include</w:t>
      </w:r>
      <w:r>
        <w:t>:</w:t>
      </w:r>
    </w:p>
    <w:p w:rsidR="00632F64" w:rsidRDefault="008D6735" w:rsidP="00632F64">
      <w:pPr>
        <w:pStyle w:val="AERbulletlistfirststyle"/>
      </w:pPr>
      <w:r>
        <w:t>c</w:t>
      </w:r>
      <w:r w:rsidR="00632F64">
        <w:t>hanging the value of gamma to 0.4 from 0.25.</w:t>
      </w:r>
    </w:p>
    <w:p w:rsidR="00632F64" w:rsidRDefault="008D6735" w:rsidP="00632F64">
      <w:pPr>
        <w:pStyle w:val="AERbulletlistfirststyle"/>
      </w:pPr>
      <w:r>
        <w:t>c</w:t>
      </w:r>
      <w:r w:rsidR="00632F64">
        <w:t>hanges to other building block components including the rate of return on capital</w:t>
      </w:r>
      <w:r w:rsidR="00C63A35">
        <w:t xml:space="preserve"> and</w:t>
      </w:r>
      <w:r w:rsidR="00632F64">
        <w:t xml:space="preserve"> forecast capex that impact total revenues and therefore also impact the forecast </w:t>
      </w:r>
      <w:r w:rsidR="00C63A35">
        <w:t xml:space="preserve">cost of </w:t>
      </w:r>
      <w:r w:rsidR="00632F64">
        <w:t>corporate income tax.</w:t>
      </w:r>
      <w:r w:rsidR="00632F64">
        <w:rPr>
          <w:rStyle w:val="FootnoteReference"/>
        </w:rPr>
        <w:footnoteReference w:id="50"/>
      </w:r>
    </w:p>
    <w:p w:rsidR="005766DB" w:rsidRDefault="005766DB" w:rsidP="005766DB">
      <w:pPr>
        <w:pStyle w:val="Heading1"/>
      </w:pPr>
      <w:bookmarkStart w:id="117" w:name="_Ref433643781"/>
      <w:bookmarkStart w:id="118" w:name="_Toc436046188"/>
      <w:bookmarkStart w:id="119" w:name="_Toc451873633"/>
      <w:r>
        <w:t>Demand, reference tariffs and incentive schemes</w:t>
      </w:r>
      <w:bookmarkEnd w:id="117"/>
      <w:bookmarkEnd w:id="118"/>
      <w:bookmarkEnd w:id="119"/>
    </w:p>
    <w:p w:rsidR="00047473" w:rsidRDefault="00047473" w:rsidP="00C93E45">
      <w:pPr>
        <w:pStyle w:val="Heading2"/>
      </w:pPr>
      <w:bookmarkStart w:id="120" w:name="_Toc451873634"/>
      <w:r>
        <w:t>Demand</w:t>
      </w:r>
      <w:bookmarkEnd w:id="120"/>
    </w:p>
    <w:p w:rsidR="004A212A" w:rsidRDefault="004A212A" w:rsidP="004A212A">
      <w:r>
        <w:t xml:space="preserve">Demand is an important input to the derivation of APTNT’s reference tariffs. In simple terms, tariff prices are determined by </w:t>
      </w:r>
      <w:r w:rsidR="00377CD1">
        <w:t xml:space="preserve">dividing </w:t>
      </w:r>
      <w:r>
        <w:t>cost</w:t>
      </w:r>
      <w:r w:rsidR="00565E7E">
        <w:t xml:space="preserve"> (as reflected in forecast revenue)</w:t>
      </w:r>
      <w:r>
        <w:t xml:space="preserve"> by total demand (GJ/day), such that an increase in forecast demand has the effect of reducing the tariff price and vice versa. </w:t>
      </w:r>
    </w:p>
    <w:p w:rsidR="004A212A" w:rsidRDefault="004A212A" w:rsidP="004A212A">
      <w:r>
        <w:t>Demand forecasts</w:t>
      </w:r>
      <w:r w:rsidR="00377CD1">
        <w:t xml:space="preserve"> can</w:t>
      </w:r>
      <w:r>
        <w:t xml:space="preserve"> also affect capex and opex linked to increased network capacity. However, APTNT has not proposed to increase the capacity of the AGP during the access arrangement period.</w:t>
      </w:r>
    </w:p>
    <w:p w:rsidR="004A212A" w:rsidRPr="001A3C58" w:rsidRDefault="004A212A" w:rsidP="004A212A">
      <w:r w:rsidRPr="001A3C58">
        <w:t>In our draft decision we accepted APTNT's proposed demand and pipeline utilisation forecasts on the basis that:</w:t>
      </w:r>
      <w:r>
        <w:rPr>
          <w:rStyle w:val="FootnoteReference"/>
        </w:rPr>
        <w:footnoteReference w:id="51"/>
      </w:r>
    </w:p>
    <w:p w:rsidR="004A212A" w:rsidRPr="001A3C58" w:rsidRDefault="004A212A" w:rsidP="004A212A">
      <w:pPr>
        <w:pStyle w:val="AERbulletlistfirststyle"/>
      </w:pPr>
      <w:r w:rsidRPr="001A3C58">
        <w:t>we considered that the demand forecast methodology and assumptions adopted by APTNT were arrived at on a reasonable basis in accordance with the NGR</w:t>
      </w:r>
    </w:p>
    <w:p w:rsidR="004A212A" w:rsidRPr="001A3C58" w:rsidRDefault="004A212A" w:rsidP="004A212A">
      <w:pPr>
        <w:pStyle w:val="AERbulletlistfirststyle"/>
      </w:pPr>
      <w:r w:rsidRPr="001A3C58">
        <w:t xml:space="preserve">we were satisfied that the information in </w:t>
      </w:r>
      <w:r w:rsidR="00377CD1">
        <w:t>APTNT's proposal</w:t>
      </w:r>
      <w:r w:rsidRPr="001A3C58">
        <w:t xml:space="preserve"> satisfied the requirements of the NGR in relation to minimum, maximum and average demand from the earlier access arrangement period and forecast pipeline capacity and utilisation over the 2016</w:t>
      </w:r>
      <w:r w:rsidR="00377CD1">
        <w:t>–</w:t>
      </w:r>
      <w:r w:rsidRPr="001A3C58">
        <w:t>21 access arrangement period</w:t>
      </w:r>
    </w:p>
    <w:p w:rsidR="004A212A" w:rsidRDefault="004A212A" w:rsidP="004A212A">
      <w:pPr>
        <w:pStyle w:val="AERbulletlistfirststyle"/>
      </w:pPr>
      <w:r w:rsidRPr="001A3C58">
        <w:t xml:space="preserve">we were satisfied that APTNT’s forecast user numbers for the 2016–21 access arrangement period </w:t>
      </w:r>
      <w:r w:rsidR="00377CD1">
        <w:t>were</w:t>
      </w:r>
      <w:r w:rsidRPr="001A3C58">
        <w:t xml:space="preserve"> arrived at on a reasonable basis.</w:t>
      </w:r>
    </w:p>
    <w:p w:rsidR="004A212A" w:rsidRPr="001A3C58" w:rsidRDefault="00CB45F2" w:rsidP="004A212A">
      <w:r>
        <w:t>W</w:t>
      </w:r>
      <w:r w:rsidR="004A212A">
        <w:t>e have not identified any new information</w:t>
      </w:r>
      <w:r w:rsidR="004A212A" w:rsidRPr="00DF7C79">
        <w:t xml:space="preserve"> which impact</w:t>
      </w:r>
      <w:r w:rsidR="004A212A">
        <w:t>s</w:t>
      </w:r>
      <w:r w:rsidR="004A212A" w:rsidRPr="00DF7C79">
        <w:t xml:space="preserve"> upon our reasoning as set out in the draft decision</w:t>
      </w:r>
      <w:r>
        <w:t>. W</w:t>
      </w:r>
      <w:r w:rsidR="004A212A">
        <w:t>e</w:t>
      </w:r>
      <w:r w:rsidR="004A212A" w:rsidRPr="001A3C58">
        <w:t xml:space="preserve"> </w:t>
      </w:r>
      <w:r>
        <w:t>remain</w:t>
      </w:r>
      <w:r w:rsidR="004A212A" w:rsidRPr="001A3C58">
        <w:t xml:space="preserve"> satisfied that APTNT’s demand forecasts</w:t>
      </w:r>
      <w:r w:rsidR="004A212A">
        <w:t xml:space="preserve">, including </w:t>
      </w:r>
      <w:r>
        <w:t xml:space="preserve">its </w:t>
      </w:r>
      <w:r w:rsidR="004A212A" w:rsidRPr="001A3C58">
        <w:t>forecast</w:t>
      </w:r>
      <w:r w:rsidR="004A212A">
        <w:t>s</w:t>
      </w:r>
      <w:r w:rsidR="004A212A" w:rsidRPr="001A3C58">
        <w:t xml:space="preserve"> for capacity utilisation</w:t>
      </w:r>
      <w:r w:rsidR="004A212A">
        <w:t>,</w:t>
      </w:r>
      <w:r w:rsidR="004A212A" w:rsidRPr="001A3C58">
        <w:t xml:space="preserve"> </w:t>
      </w:r>
      <w:r>
        <w:t>have been</w:t>
      </w:r>
      <w:r w:rsidR="004A212A" w:rsidRPr="001A3C58">
        <w:t xml:space="preserve"> arrived at on a reasonable basis. As such we consider that APTNT’s demand forecasts represent the best estimate possible in the circumstances.</w:t>
      </w:r>
      <w:r w:rsidR="004A212A" w:rsidRPr="001A3C58">
        <w:rPr>
          <w:rStyle w:val="FootnoteReference"/>
        </w:rPr>
        <w:footnoteReference w:id="52"/>
      </w:r>
      <w:r w:rsidR="004A212A" w:rsidRPr="001A3C58">
        <w:t xml:space="preserve"> </w:t>
      </w:r>
    </w:p>
    <w:p w:rsidR="004A212A" w:rsidRDefault="004A212A" w:rsidP="004A212A">
      <w:r>
        <w:t xml:space="preserve">The Power and Water Corporation (PWC) submitted that the firm capacity of the AGP will materially increase with the connection of the </w:t>
      </w:r>
      <w:r w:rsidR="00B10EAB">
        <w:t>Northern Gas Pipeline (NGP)</w:t>
      </w:r>
      <w:r>
        <w:t xml:space="preserve"> to the AGP.</w:t>
      </w:r>
      <w:r>
        <w:rPr>
          <w:rStyle w:val="FootnoteReference"/>
        </w:rPr>
        <w:footnoteReference w:id="53"/>
      </w:r>
      <w:r>
        <w:t xml:space="preserve"> PWC also challenged APTNT's view that the reference tariff will be unaffected by the </w:t>
      </w:r>
      <w:r w:rsidR="00B10EAB">
        <w:t>NGP</w:t>
      </w:r>
      <w:r>
        <w:t xml:space="preserve">, particularly </w:t>
      </w:r>
      <w:r w:rsidR="00CB45F2">
        <w:t>if</w:t>
      </w:r>
      <w:r>
        <w:t xml:space="preserve"> existing AGP capacity is reallocated from PWC to new </w:t>
      </w:r>
      <w:r w:rsidR="00B10EAB">
        <w:t>NGP</w:t>
      </w:r>
      <w:r>
        <w:t xml:space="preserve"> users.</w:t>
      </w:r>
      <w:r>
        <w:rPr>
          <w:rStyle w:val="FootnoteReference"/>
        </w:rPr>
        <w:footnoteReference w:id="54"/>
      </w:r>
      <w:r>
        <w:t xml:space="preserve"> </w:t>
      </w:r>
    </w:p>
    <w:p w:rsidR="004A212A" w:rsidRDefault="004A212A" w:rsidP="004A212A">
      <w:r>
        <w:t xml:space="preserve">We maintain our view that </w:t>
      </w:r>
      <w:r w:rsidRPr="00F91F55">
        <w:t xml:space="preserve">the </w:t>
      </w:r>
      <w:r>
        <w:t xml:space="preserve">connection of the </w:t>
      </w:r>
      <w:r w:rsidR="00B10EAB">
        <w:t>NGP</w:t>
      </w:r>
      <w:r w:rsidRPr="00F91F55">
        <w:t xml:space="preserve"> to the AGP may impa</w:t>
      </w:r>
      <w:r>
        <w:t>ct on future demand on the AGP and</w:t>
      </w:r>
      <w:r w:rsidR="00457335">
        <w:t>,</w:t>
      </w:r>
      <w:r>
        <w:t xml:space="preserve"> as a result</w:t>
      </w:r>
      <w:r w:rsidR="00457335">
        <w:t>,</w:t>
      </w:r>
      <w:r>
        <w:t xml:space="preserve"> the reference tariff. </w:t>
      </w:r>
      <w:r w:rsidR="006A466C">
        <w:t>T</w:t>
      </w:r>
      <w:r>
        <w:t xml:space="preserve">o address this uncertainty we have </w:t>
      </w:r>
      <w:r w:rsidR="006A466C">
        <w:t>made</w:t>
      </w:r>
      <w:r>
        <w:t xml:space="preserve"> provision for an early review of the access arrangement if this becomes necessary (discussed </w:t>
      </w:r>
      <w:r w:rsidR="00CB45F2">
        <w:t xml:space="preserve">in section </w:t>
      </w:r>
      <w:r w:rsidR="00CB45F2">
        <w:fldChar w:fldCharType="begin"/>
      </w:r>
      <w:r w:rsidR="00CB45F2">
        <w:instrText xml:space="preserve"> REF _Ref447203287 \r \h </w:instrText>
      </w:r>
      <w:r w:rsidR="00CB45F2">
        <w:fldChar w:fldCharType="separate"/>
      </w:r>
      <w:r w:rsidR="009F7892">
        <w:t>6</w:t>
      </w:r>
      <w:r w:rsidR="00CB45F2">
        <w:fldChar w:fldCharType="end"/>
      </w:r>
      <w:r w:rsidR="00CB45F2">
        <w:t xml:space="preserve"> </w:t>
      </w:r>
      <w:r>
        <w:t>below).</w:t>
      </w:r>
    </w:p>
    <w:p w:rsidR="004A212A" w:rsidRDefault="006A466C" w:rsidP="00C075B9">
      <w:pPr>
        <w:pStyle w:val="Heading2"/>
      </w:pPr>
      <w:bookmarkStart w:id="121" w:name="_Toc451873635"/>
      <w:r>
        <w:t>Services covered by the access arrangement</w:t>
      </w:r>
      <w:bookmarkEnd w:id="121"/>
    </w:p>
    <w:p w:rsidR="00C075B9" w:rsidRDefault="00C075B9" w:rsidP="00C075B9">
      <w:r>
        <w:t>We accept the reference service APTNT proposes to offer on its network over the 2016–21 access arrangement period. As we concluded in our draft decision, we</w:t>
      </w:r>
      <w:r w:rsidRPr="00763152">
        <w:t xml:space="preserve"> </w:t>
      </w:r>
      <w:r>
        <w:t>consider</w:t>
      </w:r>
      <w:r w:rsidRPr="00763152">
        <w:t xml:space="preserve"> </w:t>
      </w:r>
      <w:r>
        <w:t>APT</w:t>
      </w:r>
      <w:r w:rsidRPr="00763152">
        <w:t>NT’s proposed reference service (the firm service) will be sought by a significant part of the market.</w:t>
      </w:r>
      <w:r>
        <w:rPr>
          <w:rStyle w:val="FootnoteReference"/>
        </w:rPr>
        <w:footnoteReference w:id="55"/>
      </w:r>
      <w:r>
        <w:t xml:space="preserve"> Therefore it must be covered by the access arrangement.</w:t>
      </w:r>
    </w:p>
    <w:p w:rsidR="00C075B9" w:rsidRPr="0005595B" w:rsidRDefault="00C075B9" w:rsidP="00C075B9">
      <w:r>
        <w:t>We also accept that the following services are not</w:t>
      </w:r>
      <w:r w:rsidRPr="0005595B">
        <w:t xml:space="preserve"> likely to be sought by a significant part of the market</w:t>
      </w:r>
      <w:r w:rsidR="00CB45F2">
        <w:t>,</w:t>
      </w:r>
      <w:r w:rsidRPr="0005595B">
        <w:t xml:space="preserve"> and</w:t>
      </w:r>
      <w:r>
        <w:t xml:space="preserve"> therefore</w:t>
      </w:r>
      <w:r w:rsidRPr="0005595B">
        <w:t xml:space="preserve"> should not be s</w:t>
      </w:r>
      <w:r>
        <w:t>pecified as a reference service</w:t>
      </w:r>
      <w:r w:rsidRPr="0005595B">
        <w:t xml:space="preserve">: </w:t>
      </w:r>
    </w:p>
    <w:p w:rsidR="00C075B9" w:rsidRPr="0005595B" w:rsidRDefault="00C075B9" w:rsidP="00C075B9">
      <w:pPr>
        <w:pStyle w:val="AERbulletlistfirststyle"/>
      </w:pPr>
      <w:r w:rsidRPr="0005595B">
        <w:t>interruptible service—a gas transport service from any receipt point to any delivery point on the AGP, where APTNT is entitled to cease (or interrupt) the receipt of gas from, or delivery of gas to, the user when:</w:t>
      </w:r>
    </w:p>
    <w:p w:rsidR="00C075B9" w:rsidRPr="0005595B" w:rsidRDefault="00C075B9" w:rsidP="00C075B9">
      <w:pPr>
        <w:pStyle w:val="AERbulletlistsecondstyle"/>
      </w:pPr>
      <w:r w:rsidRPr="0005595B">
        <w:t xml:space="preserve">the pipeline capacity is constrained/curtailed, or </w:t>
      </w:r>
    </w:p>
    <w:p w:rsidR="00C075B9" w:rsidRPr="0005595B" w:rsidRDefault="00C075B9" w:rsidP="00C075B9">
      <w:pPr>
        <w:pStyle w:val="AERbulletlistsecondstyle"/>
      </w:pPr>
      <w:r w:rsidRPr="0005595B">
        <w:t>to meet the capacity requirements of other users of the firm service</w:t>
      </w:r>
    </w:p>
    <w:p w:rsidR="00C075B9" w:rsidRPr="0005595B" w:rsidRDefault="00C075B9" w:rsidP="00C075B9">
      <w:pPr>
        <w:pStyle w:val="AERbulletlistfirststyle"/>
      </w:pPr>
      <w:r w:rsidRPr="0005595B">
        <w:t>negotiated service—a service negotiated to meet the needs of a user which differ from those of the firm or interruptible service, including potential as available services.</w:t>
      </w:r>
      <w:r>
        <w:rPr>
          <w:rStyle w:val="FootnoteReference"/>
        </w:rPr>
        <w:footnoteReference w:id="56"/>
      </w:r>
    </w:p>
    <w:p w:rsidR="006A466C" w:rsidRDefault="00C075B9" w:rsidP="004A212A">
      <w:r>
        <w:t>This decision is consistent with our draft decision and APTNT's revised proposal.</w:t>
      </w:r>
    </w:p>
    <w:p w:rsidR="00047473" w:rsidRDefault="00C93E45" w:rsidP="00C60EF9">
      <w:pPr>
        <w:pStyle w:val="Heading2"/>
      </w:pPr>
      <w:bookmarkStart w:id="122" w:name="_Toc451873636"/>
      <w:r>
        <w:t>Reference tariffs and reference tariff variation mechanism</w:t>
      </w:r>
      <w:bookmarkEnd w:id="122"/>
    </w:p>
    <w:p w:rsidR="00757889" w:rsidRDefault="00757889" w:rsidP="00757889">
      <w:r>
        <w:t>Service providers are required under the NGR to specify a reference tariff for each reference service.</w:t>
      </w:r>
      <w:r>
        <w:rPr>
          <w:rStyle w:val="FootnoteReference"/>
        </w:rPr>
        <w:footnoteReference w:id="57"/>
      </w:r>
      <w:r w:rsidR="00BE7C24">
        <w:t xml:space="preserve"> Reference tariffs are updated annually in accordance with the reference tariff variation mechanism.</w:t>
      </w:r>
    </w:p>
    <w:p w:rsidR="00757889" w:rsidRDefault="00757889" w:rsidP="00757889">
      <w:r w:rsidRPr="00A60C08">
        <w:t xml:space="preserve">As </w:t>
      </w:r>
      <w:r w:rsidR="00CB45F2">
        <w:t>in</w:t>
      </w:r>
      <w:r w:rsidRPr="00A60C08">
        <w:t xml:space="preserve"> our draft decision, </w:t>
      </w:r>
      <w:r>
        <w:t>our final decision accepts</w:t>
      </w:r>
      <w:r w:rsidRPr="003B42C9">
        <w:t xml:space="preserve"> APTNT’s proposed structure of reference tariffs for the 2016–21 access arrangement period.</w:t>
      </w:r>
      <w:r>
        <w:rPr>
          <w:rStyle w:val="FootnoteReference"/>
        </w:rPr>
        <w:footnoteReference w:id="58"/>
      </w:r>
      <w:r w:rsidRPr="003B42C9">
        <w:t xml:space="preserve"> We are satisfied the proposed structure of the reference tariffs complies with the requirements of the NGR.</w:t>
      </w:r>
      <w:r>
        <w:rPr>
          <w:rStyle w:val="FootnoteReference"/>
        </w:rPr>
        <w:footnoteReference w:id="59"/>
      </w:r>
      <w:r w:rsidR="00F67680">
        <w:t xml:space="preserve"> </w:t>
      </w:r>
      <w:r w:rsidR="00BE7C24">
        <w:t>T</w:t>
      </w:r>
      <w:r>
        <w:t xml:space="preserve">he quantum of the proposed reference tariffs </w:t>
      </w:r>
      <w:r w:rsidR="00F67680">
        <w:t>has been</w:t>
      </w:r>
      <w:r>
        <w:t xml:space="preserve"> amended to reflect </w:t>
      </w:r>
      <w:r w:rsidR="00BE7C24">
        <w:t xml:space="preserve">the difference between </w:t>
      </w:r>
      <w:r>
        <w:t xml:space="preserve">our final decision </w:t>
      </w:r>
      <w:r w:rsidR="00F67680">
        <w:t xml:space="preserve">on APTNT's forecast </w:t>
      </w:r>
      <w:r>
        <w:t xml:space="preserve">revenue </w:t>
      </w:r>
      <w:r w:rsidR="00F67680">
        <w:t>requirement</w:t>
      </w:r>
      <w:r w:rsidR="00BE7C24">
        <w:t xml:space="preserve"> and that in APTNT's revised proposal (discussed </w:t>
      </w:r>
      <w:r w:rsidR="00A12632">
        <w:t xml:space="preserve">in section </w:t>
      </w:r>
      <w:r w:rsidR="00A12632">
        <w:fldChar w:fldCharType="begin"/>
      </w:r>
      <w:r w:rsidR="00A12632">
        <w:instrText xml:space="preserve"> REF _Ref451774939 \r \h </w:instrText>
      </w:r>
      <w:r w:rsidR="00A12632">
        <w:fldChar w:fldCharType="separate"/>
      </w:r>
      <w:r w:rsidR="00A12632">
        <w:t>3</w:t>
      </w:r>
      <w:r w:rsidR="00A12632">
        <w:fldChar w:fldCharType="end"/>
      </w:r>
      <w:r w:rsidR="00BE7C24">
        <w:t>)</w:t>
      </w:r>
      <w:r>
        <w:t>.</w:t>
      </w:r>
    </w:p>
    <w:p w:rsidR="00CC26E1" w:rsidRDefault="00F67680" w:rsidP="00B961FC">
      <w:r>
        <w:t xml:space="preserve">However, we have not fully accepted </w:t>
      </w:r>
      <w:r w:rsidR="00BE7C24">
        <w:t>the</w:t>
      </w:r>
      <w:r>
        <w:t xml:space="preserve"> reference tariff variation mechanism</w:t>
      </w:r>
      <w:r w:rsidR="00B961FC">
        <w:t xml:space="preserve"> in APTNT's revised proposal. </w:t>
      </w:r>
      <w:r w:rsidR="00CC26E1">
        <w:t>APTNT accepted our draft decision reference tariff variation mechanism</w:t>
      </w:r>
      <w:r w:rsidR="003D32CA">
        <w:t>,</w:t>
      </w:r>
      <w:r w:rsidR="00CC26E1">
        <w:rPr>
          <w:rStyle w:val="FootnoteReference"/>
        </w:rPr>
        <w:footnoteReference w:id="60"/>
      </w:r>
      <w:r w:rsidR="00CC26E1">
        <w:t xml:space="preserve"> </w:t>
      </w:r>
      <w:r w:rsidR="003D32CA">
        <w:t>but</w:t>
      </w:r>
      <w:r w:rsidR="00CC26E1">
        <w:t xml:space="preserve"> proposed a number revisions to our draft decision p</w:t>
      </w:r>
      <w:r w:rsidR="00CC26E1" w:rsidRPr="00AC4F5A">
        <w:t>ass through factor formula</w:t>
      </w:r>
      <w:r w:rsidR="00CC26E1">
        <w:t>.</w:t>
      </w:r>
      <w:r w:rsidR="00CC26E1">
        <w:rPr>
          <w:rStyle w:val="FootnoteReference"/>
        </w:rPr>
        <w:footnoteReference w:id="61"/>
      </w:r>
    </w:p>
    <w:p w:rsidR="00CC26E1" w:rsidRDefault="00CC26E1" w:rsidP="00CC26E1">
      <w:r>
        <w:t xml:space="preserve">We generally accept APTNT's proposed </w:t>
      </w:r>
      <w:r w:rsidRPr="00F76A65">
        <w:t>revisions to the access arrangement due to the inclusion of the pass through adjustment factor</w:t>
      </w:r>
      <w:r>
        <w:t xml:space="preserve">. </w:t>
      </w:r>
      <w:r w:rsidRPr="00DF42B7">
        <w:t xml:space="preserve">We agree that the </w:t>
      </w:r>
      <w:r>
        <w:t xml:space="preserve">revisions will </w:t>
      </w:r>
      <w:r w:rsidRPr="00DF42B7">
        <w:t>provi</w:t>
      </w:r>
      <w:r>
        <w:t xml:space="preserve">de </w:t>
      </w:r>
      <w:r w:rsidRPr="00DF42B7">
        <w:t xml:space="preserve">transparency on the </w:t>
      </w:r>
      <w:r>
        <w:t>application of the pass through adjustment factor and consistent use of terms within the access arrangement.</w:t>
      </w:r>
    </w:p>
    <w:p w:rsidR="00CC26E1" w:rsidRDefault="00CC26E1" w:rsidP="00CC26E1">
      <w:r>
        <w:t>However, we do not agree with APTNT's proposed change</w:t>
      </w:r>
      <w:r w:rsidR="00E95CCC">
        <w:t>s</w:t>
      </w:r>
      <w:r>
        <w:t xml:space="preserve"> to the </w:t>
      </w:r>
      <w:r w:rsidR="00E95CCC">
        <w:t xml:space="preserve">annual </w:t>
      </w:r>
      <w:r>
        <w:t>tariff notification</w:t>
      </w:r>
      <w:r w:rsidRPr="00125CE0">
        <w:t xml:space="preserve"> </w:t>
      </w:r>
      <w:r w:rsidR="00E95CCC">
        <w:t>period</w:t>
      </w:r>
      <w:r>
        <w:t xml:space="preserve">. </w:t>
      </w:r>
    </w:p>
    <w:p w:rsidR="00711358" w:rsidRDefault="00711358" w:rsidP="00711358">
      <w:r>
        <w:t>While we accept the proposed revisions to the pass through adjustment factor, we do not accept APTNT's proposed change to</w:t>
      </w:r>
      <w:r w:rsidRPr="00654274">
        <w:t xml:space="preserve"> the tariff notification to be made at least 30 business days before the date of implementation.</w:t>
      </w:r>
      <w:r>
        <w:rPr>
          <w:rStyle w:val="FootnoteReference"/>
        </w:rPr>
        <w:footnoteReference w:id="62"/>
      </w:r>
      <w:r>
        <w:t xml:space="preserve"> </w:t>
      </w:r>
      <w:r w:rsidR="0026555E">
        <w:t xml:space="preserve">This proposal was made in response to questions we put to APTNT </w:t>
      </w:r>
      <w:r>
        <w:t xml:space="preserve">regarding its </w:t>
      </w:r>
      <w:r w:rsidR="0026555E">
        <w:t>intended</w:t>
      </w:r>
      <w:r>
        <w:t xml:space="preserve"> revisions to the access arrangement.</w:t>
      </w:r>
      <w:r>
        <w:rPr>
          <w:rStyle w:val="FootnoteReference"/>
        </w:rPr>
        <w:footnoteReference w:id="63"/>
      </w:r>
    </w:p>
    <w:p w:rsidR="00711358" w:rsidRDefault="00711358" w:rsidP="00711358">
      <w:r>
        <w:t xml:space="preserve">We note APTNT initially proposed to make the tariff notification </w:t>
      </w:r>
      <w:r w:rsidR="00A12632">
        <w:t xml:space="preserve">that </w:t>
      </w:r>
      <w:r>
        <w:t>it submits to the AER for approval 50 days before its implementation a draft notification.</w:t>
      </w:r>
      <w:r>
        <w:rPr>
          <w:rStyle w:val="FootnoteReference"/>
        </w:rPr>
        <w:footnoteReference w:id="64"/>
      </w:r>
      <w:r>
        <w:t xml:space="preserve"> APTNT proposed this as a draft because a key input—the Australian Bureau of Statistics (ABS) March quarter consumer price index—is not available until after this time. It proposed that a subsequent updated tariff notification would be provided once the March quarter CPI became available. Such practice has been undertaken in the current access arrangement period.</w:t>
      </w:r>
    </w:p>
    <w:p w:rsidR="00711358" w:rsidRDefault="00711358" w:rsidP="00711358">
      <w:r>
        <w:t>We consider</w:t>
      </w:r>
      <w:r w:rsidRPr="0058235C">
        <w:t xml:space="preserve"> this</w:t>
      </w:r>
      <w:r>
        <w:t xml:space="preserve"> process</w:t>
      </w:r>
      <w:r w:rsidRPr="0058235C">
        <w:t xml:space="preserve"> is administratively inefficient. </w:t>
      </w:r>
      <w:r>
        <w:t>W</w:t>
      </w:r>
      <w:r w:rsidRPr="0058235C">
        <w:t>e are now adopting a December quarter CPI in place of</w:t>
      </w:r>
      <w:r>
        <w:t xml:space="preserve"> the</w:t>
      </w:r>
      <w:r w:rsidRPr="0058235C">
        <w:t xml:space="preserve"> March quarter, meaning that a 50 business day</w:t>
      </w:r>
      <w:r w:rsidR="00A81694">
        <w:t xml:space="preserve"> timeline is now workable with a single submission</w:t>
      </w:r>
      <w:r w:rsidRPr="0058235C">
        <w:t>.</w:t>
      </w:r>
      <w:r>
        <w:rPr>
          <w:rStyle w:val="FootnoteReference"/>
        </w:rPr>
        <w:footnoteReference w:id="65"/>
      </w:r>
      <w:r w:rsidRPr="0058235C">
        <w:t xml:space="preserve"> Only one tariff variation will now be required. We note this approach is consistent with the timing of CPI escalation for other gas distribution networks such as ActewAGL and Jemena Gas Networks (New South Wales).</w:t>
      </w:r>
      <w:r w:rsidR="0026555E">
        <w:t xml:space="preserve"> APTNT's suggestion of a 30 business day timeline reflects the date on which March quarter CPI becomes available. As March quarter CPI is no longer used, the provision for late submission of tariff notifications is no longer required.</w:t>
      </w:r>
    </w:p>
    <w:p w:rsidR="002E22E6" w:rsidRDefault="002E22E6" w:rsidP="002E22E6">
      <w:r>
        <w:t xml:space="preserve">We have also made changes to the </w:t>
      </w:r>
      <w:r w:rsidRPr="00185A84">
        <w:t>pass through adjustment factor</w:t>
      </w:r>
      <w:r>
        <w:t xml:space="preserve"> formula in our draft decision. These changes are required so that our final decision pass through formula is consistent with APTNT's </w:t>
      </w:r>
      <w:r w:rsidRPr="00CA6C73">
        <w:t>reference tariff variation mechanism</w:t>
      </w:r>
      <w:r>
        <w:t xml:space="preserve"> and satisfies rule </w:t>
      </w:r>
      <w:r w:rsidRPr="00CA6C73">
        <w:t>92(2) in regards to equalisation of the present values</w:t>
      </w:r>
      <w:r>
        <w:t>.</w:t>
      </w:r>
    </w:p>
    <w:p w:rsidR="00BE7C24" w:rsidRDefault="00B961FC" w:rsidP="00B961FC">
      <w:r>
        <w:t>In addition, while w</w:t>
      </w:r>
      <w:r w:rsidR="00BE7C24">
        <w:t xml:space="preserve">e approve the seven pass through events in APTNT's revised access arrangement proposal, </w:t>
      </w:r>
      <w:r>
        <w:t>we have in most</w:t>
      </w:r>
      <w:r w:rsidR="00BE7C24">
        <w:t xml:space="preserve"> cases amended the definitions proposed by APTNT.</w:t>
      </w:r>
    </w:p>
    <w:p w:rsidR="00C93E45" w:rsidRDefault="00C93E45" w:rsidP="00C60EF9">
      <w:pPr>
        <w:pStyle w:val="Heading2"/>
      </w:pPr>
      <w:bookmarkStart w:id="123" w:name="_Toc451873637"/>
      <w:r>
        <w:t>Incentive schemes</w:t>
      </w:r>
      <w:bookmarkEnd w:id="123"/>
    </w:p>
    <w:p w:rsidR="00C93E45" w:rsidRPr="00C93E45" w:rsidRDefault="00C93E45" w:rsidP="00C60EF9">
      <w:r>
        <w:t xml:space="preserve">A full access arrangement may include (or we may require it to include) one or more incentive mechanisms to encourage efficiency in the provision of services by the service provider.  </w:t>
      </w:r>
    </w:p>
    <w:p w:rsidR="00C93E45" w:rsidRPr="00803FCD" w:rsidRDefault="00C93E45" w:rsidP="00C93E45">
      <w:r w:rsidRPr="00253185">
        <w:t xml:space="preserve">Our </w:t>
      </w:r>
      <w:r>
        <w:t>final</w:t>
      </w:r>
      <w:r w:rsidRPr="00253185">
        <w:t xml:space="preserve"> decision is to apply an </w:t>
      </w:r>
      <w:r>
        <w:t xml:space="preserve">opex </w:t>
      </w:r>
      <w:r w:rsidRPr="00253185">
        <w:t>efficiency carryover mechanism</w:t>
      </w:r>
      <w:r w:rsidR="00CB45F2">
        <w:t xml:space="preserve"> (ECM)</w:t>
      </w:r>
      <w:r w:rsidRPr="00253185">
        <w:t xml:space="preserve"> to APTNT in the 2016–21 access arrangement period.</w:t>
      </w:r>
      <w:r w:rsidR="00A70833">
        <w:t xml:space="preserve"> </w:t>
      </w:r>
      <w:r w:rsidR="005B309B">
        <w:t>The ECM we approve is</w:t>
      </w:r>
      <w:r w:rsidR="00290F4F">
        <w:t xml:space="preserve"> the same mechanism included in our draft decision. </w:t>
      </w:r>
    </w:p>
    <w:p w:rsidR="00C93E45" w:rsidRDefault="00C93E45" w:rsidP="00C93E45">
      <w:r>
        <w:t xml:space="preserve">APTNT did not agree with </w:t>
      </w:r>
      <w:r w:rsidR="00C60EF9">
        <w:t>our</w:t>
      </w:r>
      <w:r>
        <w:t xml:space="preserve"> draft decision to apply an </w:t>
      </w:r>
      <w:r w:rsidR="00CB45F2">
        <w:t>ECM</w:t>
      </w:r>
      <w:r>
        <w:t xml:space="preserve"> on the grounds that the existing long term contract </w:t>
      </w:r>
      <w:r w:rsidR="00CB45F2">
        <w:t xml:space="preserve">for services </w:t>
      </w:r>
      <w:r>
        <w:t xml:space="preserve">already imposed incentives on it to improve its ongoing efficiency. APTNT argued </w:t>
      </w:r>
      <w:r w:rsidR="002352B2">
        <w:t>the application of the ECM would introduce a regulatory burden without offsetting benefits</w:t>
      </w:r>
      <w:r>
        <w:t>.</w:t>
      </w:r>
    </w:p>
    <w:p w:rsidR="00F974F3" w:rsidRDefault="00F974F3" w:rsidP="002352B2">
      <w:r>
        <w:t>We consider that benefits will accrue from the application of an ECM in the long term.</w:t>
      </w:r>
      <w:r w:rsidR="006064A3">
        <w:t xml:space="preserve"> </w:t>
      </w:r>
      <w:r>
        <w:t>In a regulatory framework that includes an ECM, cost shifting to inflate base year opex is penalised through negative carryover amounts. In such an environment, the efficiency of base year opex to be used for forecasting opex in future periods is a less intrusive top-down process, reducing regulatory burden in future years.</w:t>
      </w:r>
    </w:p>
    <w:p w:rsidR="009F7892" w:rsidRDefault="002352B2" w:rsidP="002352B2">
      <w:r>
        <w:t xml:space="preserve">We have established APTNT's opex for the next access arrangement period using our top-down revealed cost methodology. The ECM is intrinsically linked to this methodology. This is because the ECM provides us with greater confidence that the base year is efficient and can be used to forecast opex for a future access arrangement period. It also provides confidence that a service provider has a continuous incentive to make efficiency gains. For these reasons we consider it is necessary to apply an ECM to APTNT in the </w:t>
      </w:r>
      <w:r w:rsidRPr="00253185">
        <w:t>2016</w:t>
      </w:r>
      <w:r>
        <w:t>–</w:t>
      </w:r>
      <w:r w:rsidRPr="00253185">
        <w:t xml:space="preserve">21 </w:t>
      </w:r>
      <w:r>
        <w:t>period.</w:t>
      </w:r>
    </w:p>
    <w:p w:rsidR="002352B2" w:rsidRDefault="002352B2" w:rsidP="002352B2">
      <w:r>
        <w:t xml:space="preserve">We are also confident that the costs likely to be incurred due to the application of an ECM will be negligible. This is because the information used to calculate efficiency carryover amounts is already captured by APTNT. Any </w:t>
      </w:r>
      <w:r w:rsidR="00F974F3">
        <w:t xml:space="preserve">marginal </w:t>
      </w:r>
      <w:r>
        <w:t>increase in the regulatory burden facing APTNT is likely to be offset by the savings arising from the use of a non-intrusive top-down assessment of opex by us and APTNT in future regulatory periods.</w:t>
      </w:r>
    </w:p>
    <w:p w:rsidR="002352B2" w:rsidRDefault="003D5EE0" w:rsidP="002352B2">
      <w:r>
        <w:t>APTNT</w:t>
      </w:r>
      <w:r w:rsidR="00A70833">
        <w:t xml:space="preserve"> </w:t>
      </w:r>
      <w:r w:rsidR="00F974F3">
        <w:t xml:space="preserve">also </w:t>
      </w:r>
      <w:r>
        <w:t xml:space="preserve">considered our draft decision did not adequately address the impact of the </w:t>
      </w:r>
      <w:r w:rsidR="00B10EAB">
        <w:t>NGP</w:t>
      </w:r>
      <w:r w:rsidR="000F3151">
        <w:t xml:space="preserve"> </w:t>
      </w:r>
      <w:r>
        <w:t xml:space="preserve">trigger event occurring. </w:t>
      </w:r>
      <w:r w:rsidR="00A70833">
        <w:t xml:space="preserve">The </w:t>
      </w:r>
      <w:r w:rsidR="00EB179B">
        <w:t xml:space="preserve">trigger event </w:t>
      </w:r>
      <w:r w:rsidR="00A70833">
        <w:t xml:space="preserve">we added (discussed </w:t>
      </w:r>
      <w:r w:rsidR="00290F4F">
        <w:t xml:space="preserve">further </w:t>
      </w:r>
      <w:r w:rsidR="00A70833">
        <w:t>in section</w:t>
      </w:r>
      <w:r w:rsidR="00F974F3">
        <w:t> </w:t>
      </w:r>
      <w:r w:rsidR="00A70833">
        <w:fldChar w:fldCharType="begin"/>
      </w:r>
      <w:r w:rsidR="00A70833">
        <w:instrText xml:space="preserve"> REF _Ref447203688 \r \h </w:instrText>
      </w:r>
      <w:r w:rsidR="00A70833">
        <w:fldChar w:fldCharType="separate"/>
      </w:r>
      <w:r w:rsidR="009F7892">
        <w:t>6</w:t>
      </w:r>
      <w:r w:rsidR="00A70833">
        <w:fldChar w:fldCharType="end"/>
      </w:r>
      <w:r w:rsidR="00A70833">
        <w:t xml:space="preserve">) </w:t>
      </w:r>
      <w:r w:rsidR="00EB179B">
        <w:t>recognise</w:t>
      </w:r>
      <w:r w:rsidR="00A70833">
        <w:t>d</w:t>
      </w:r>
      <w:r w:rsidR="00EB179B">
        <w:t xml:space="preserve"> the uncertainty around the timing and potential impact of the </w:t>
      </w:r>
      <w:r w:rsidR="00B10EAB">
        <w:t>connection of the NGP</w:t>
      </w:r>
      <w:r w:rsidR="000F3151">
        <w:t xml:space="preserve"> </w:t>
      </w:r>
      <w:r w:rsidR="00A70833">
        <w:t xml:space="preserve">and </w:t>
      </w:r>
      <w:r w:rsidR="00AA0606">
        <w:t>AGP</w:t>
      </w:r>
      <w:r w:rsidR="00B10EAB">
        <w:t>,</w:t>
      </w:r>
      <w:r w:rsidR="000F3151">
        <w:t xml:space="preserve"> </w:t>
      </w:r>
      <w:r w:rsidR="00A70833">
        <w:t xml:space="preserve">and that an access arrangement period less than five years may result. </w:t>
      </w:r>
      <w:r w:rsidR="00C93E45">
        <w:t xml:space="preserve">The </w:t>
      </w:r>
      <w:r w:rsidR="00AB49E9">
        <w:t>approved ECM</w:t>
      </w:r>
      <w:r w:rsidR="00C93E45" w:rsidRPr="00C93E45">
        <w:t xml:space="preserve"> </w:t>
      </w:r>
      <w:r w:rsidR="00A70833">
        <w:t xml:space="preserve">for the next period </w:t>
      </w:r>
      <w:r w:rsidR="00C93E45" w:rsidRPr="00C93E45">
        <w:t xml:space="preserve">allows the </w:t>
      </w:r>
      <w:r w:rsidR="00290F4F">
        <w:t xml:space="preserve">final </w:t>
      </w:r>
      <w:r w:rsidR="00C93E45" w:rsidRPr="00C93E45">
        <w:t>carryover amount</w:t>
      </w:r>
      <w:r w:rsidR="00290F4F">
        <w:t>s</w:t>
      </w:r>
      <w:r w:rsidR="00C93E45" w:rsidRPr="00C93E45">
        <w:t xml:space="preserve"> </w:t>
      </w:r>
      <w:r w:rsidR="00A70833">
        <w:t xml:space="preserve">to take </w:t>
      </w:r>
      <w:r w:rsidR="00F974F3">
        <w:t xml:space="preserve">into account </w:t>
      </w:r>
      <w:r w:rsidR="00290F4F">
        <w:t>any change</w:t>
      </w:r>
      <w:r w:rsidR="00A70833">
        <w:t xml:space="preserve"> </w:t>
      </w:r>
      <w:r w:rsidR="00C93E45" w:rsidRPr="00C93E45">
        <w:t xml:space="preserve">in the length of the </w:t>
      </w:r>
      <w:r w:rsidR="00290F4F">
        <w:t>access arrangement</w:t>
      </w:r>
      <w:r w:rsidR="00A70833">
        <w:t xml:space="preserve">. </w:t>
      </w:r>
      <w:r w:rsidR="00F974F3">
        <w:t xml:space="preserve">The mechanism </w:t>
      </w:r>
      <w:r w:rsidR="00A70833">
        <w:t xml:space="preserve">also excludes any opex associated with the new pipeline interconnection. </w:t>
      </w:r>
      <w:r w:rsidR="002352B2">
        <w:t>For these reasons we remain satisfied that the ECM approved in this final decision is compatible with the trigger for early review.</w:t>
      </w:r>
    </w:p>
    <w:p w:rsidR="00C93E45" w:rsidRPr="00C93E45" w:rsidRDefault="00C93E45" w:rsidP="00C60EF9"/>
    <w:p w:rsidR="005766DB" w:rsidRDefault="005766DB" w:rsidP="005766DB">
      <w:pPr>
        <w:pStyle w:val="Heading1"/>
      </w:pPr>
      <w:bookmarkStart w:id="124" w:name="_Toc430002798"/>
      <w:bookmarkStart w:id="125" w:name="_Ref433643795"/>
      <w:bookmarkStart w:id="126" w:name="_Ref433793594"/>
      <w:bookmarkStart w:id="127" w:name="_Toc436046194"/>
      <w:bookmarkStart w:id="128" w:name="_Ref447203287"/>
      <w:bookmarkStart w:id="129" w:name="_Ref447203688"/>
      <w:bookmarkStart w:id="130" w:name="_Ref448390023"/>
      <w:bookmarkStart w:id="131" w:name="_Toc451873638"/>
      <w:r>
        <w:t>Non-tariff components</w:t>
      </w:r>
      <w:bookmarkEnd w:id="124"/>
      <w:bookmarkEnd w:id="125"/>
      <w:bookmarkEnd w:id="126"/>
      <w:bookmarkEnd w:id="127"/>
      <w:bookmarkEnd w:id="128"/>
      <w:bookmarkEnd w:id="129"/>
      <w:bookmarkEnd w:id="130"/>
      <w:bookmarkEnd w:id="131"/>
    </w:p>
    <w:p w:rsidR="001F5A37" w:rsidRDefault="001F5A37" w:rsidP="005766DB">
      <w:r>
        <w:t>With limited exceptions, our final decision accepts the non-tariff components of APTNT's revised proposal.</w:t>
      </w:r>
    </w:p>
    <w:p w:rsidR="003F7A2D" w:rsidRDefault="003F7A2D" w:rsidP="005766DB">
      <w:r>
        <w:t xml:space="preserve">APTNT's revised proposal incorporated the majority of the revisions we required to the terms and conditions on which it will provide its reference service. Where it did not do so, it sought to address the concerns we had raised with its preferred drafting. As a result, we are now satisfied with </w:t>
      </w:r>
      <w:r w:rsidR="0043179D">
        <w:t xml:space="preserve">all but one of </w:t>
      </w:r>
      <w:r>
        <w:t>APTNT's proposed terms and conditions.</w:t>
      </w:r>
      <w:r w:rsidR="0043179D">
        <w:t xml:space="preserve"> W</w:t>
      </w:r>
      <w:r>
        <w:t>e remain of the view that the current, 10 per cent cap on APTNT's own liability over the life of an agree</w:t>
      </w:r>
      <w:r w:rsidR="006977D3">
        <w:t>ment is sufficient to protect its interests without the addition of its proposed 2.5 per cent annual cap, and have not approved this additional constraint.</w:t>
      </w:r>
      <w:r w:rsidR="0043179D">
        <w:t xml:space="preserve"> This is consistent with our draft decision.</w:t>
      </w:r>
    </w:p>
    <w:p w:rsidR="00D63319" w:rsidRDefault="00D63319" w:rsidP="00D63319">
      <w:r>
        <w:t>APTNT's revised proposal restated without revision its original proposals on the following components of its access arrangement:</w:t>
      </w:r>
    </w:p>
    <w:p w:rsidR="00D63319" w:rsidRPr="00391042" w:rsidRDefault="00D63319" w:rsidP="00D63319">
      <w:pPr>
        <w:pStyle w:val="AERbulletlistfirststyle"/>
      </w:pPr>
      <w:r w:rsidRPr="00391042">
        <w:t>queuing</w:t>
      </w:r>
      <w:r>
        <w:t xml:space="preserve"> requirements</w:t>
      </w:r>
      <w:r w:rsidRPr="00391042">
        <w:t xml:space="preserve"> </w:t>
      </w:r>
    </w:p>
    <w:p w:rsidR="00D63319" w:rsidRPr="00391042" w:rsidRDefault="00D63319" w:rsidP="00D63319">
      <w:pPr>
        <w:pStyle w:val="AERbulletlistfirststyle"/>
      </w:pPr>
      <w:r w:rsidRPr="00391042">
        <w:t>exten</w:t>
      </w:r>
      <w:r>
        <w:t>sion and expansion requirements</w:t>
      </w:r>
      <w:r>
        <w:rPr>
          <w:rStyle w:val="FootnoteReference"/>
        </w:rPr>
        <w:footnoteReference w:id="66"/>
      </w:r>
    </w:p>
    <w:p w:rsidR="00D63319" w:rsidRPr="00391042" w:rsidRDefault="00D63319" w:rsidP="00D63319">
      <w:pPr>
        <w:pStyle w:val="AERbulletlistfirststyle"/>
      </w:pPr>
      <w:r w:rsidRPr="00391042">
        <w:t xml:space="preserve">capacity trading requirements </w:t>
      </w:r>
    </w:p>
    <w:p w:rsidR="00D63319" w:rsidRPr="00391042" w:rsidRDefault="00D63319" w:rsidP="00D63319">
      <w:pPr>
        <w:pStyle w:val="AERbulletlistfirststyle"/>
      </w:pPr>
      <w:r w:rsidRPr="00391042">
        <w:t>changing receipt and delivery points</w:t>
      </w:r>
      <w:r>
        <w:t>.</w:t>
      </w:r>
    </w:p>
    <w:p w:rsidR="00D63319" w:rsidRPr="00546678" w:rsidRDefault="00D63319" w:rsidP="00D63319">
      <w:r>
        <w:t>These were approved in our draft decision, and we maintain our decision to approve the</w:t>
      </w:r>
      <w:r w:rsidR="007F0A65">
        <w:t>m</w:t>
      </w:r>
      <w:r>
        <w:t xml:space="preserve"> in this final decision.</w:t>
      </w:r>
    </w:p>
    <w:p w:rsidR="00A54C16" w:rsidRDefault="00D63319" w:rsidP="00A54C16">
      <w:r>
        <w:t xml:space="preserve">APTNT's revised proposal also </w:t>
      </w:r>
      <w:r w:rsidR="00A54C16">
        <w:t xml:space="preserve">incorporated the amendments we required to its review submission and revisions commencement dates, specifying a single, fixed date for each. However, our draft decision also required APTNT to amend its access arrangement to </w:t>
      </w:r>
      <w:r w:rsidR="00603204">
        <w:t>include provision</w:t>
      </w:r>
      <w:r w:rsidR="00585D43">
        <w:t xml:space="preserve"> </w:t>
      </w:r>
      <w:r w:rsidR="00603204">
        <w:t xml:space="preserve">for the </w:t>
      </w:r>
      <w:r w:rsidR="00585D43">
        <w:t>review</w:t>
      </w:r>
      <w:r w:rsidR="00603204">
        <w:t xml:space="preserve"> to take place earlier than planned</w:t>
      </w:r>
      <w:r w:rsidR="00585D43">
        <w:t xml:space="preserve"> should this be required when the </w:t>
      </w:r>
      <w:r w:rsidR="00B10EAB">
        <w:t>NGP</w:t>
      </w:r>
      <w:r w:rsidR="00585D43">
        <w:t xml:space="preserve"> and the AGP are connected</w:t>
      </w:r>
      <w:r w:rsidR="00A54C16">
        <w:t>:</w:t>
      </w:r>
      <w:r w:rsidR="00A54C16">
        <w:rPr>
          <w:rStyle w:val="FootnoteReference"/>
        </w:rPr>
        <w:footnoteReference w:id="67"/>
      </w:r>
    </w:p>
    <w:p w:rsidR="00A54C16" w:rsidRDefault="00A54C16" w:rsidP="005B309B">
      <w:pPr>
        <w:pStyle w:val="AERquote"/>
      </w:pPr>
      <w:r>
        <w:t>The Review Submission Date will be accelerated under Rule 51 on written notification by the AER that one of the following events has occurred:</w:t>
      </w:r>
    </w:p>
    <w:p w:rsidR="00A54C16" w:rsidRDefault="00A54C16" w:rsidP="005B309B">
      <w:pPr>
        <w:pStyle w:val="AERquote"/>
      </w:pPr>
      <w:r>
        <w:t>(a) the interconnection of another pipeline with the Pipeline; or</w:t>
      </w:r>
    </w:p>
    <w:p w:rsidR="00A54C16" w:rsidRDefault="00A54C16" w:rsidP="005B309B">
      <w:pPr>
        <w:pStyle w:val="AERquote"/>
      </w:pPr>
      <w:r>
        <w:t>(b) the introduction of a significant new source of gas supply to one or more of the markets to which gas is delivered from the pipeline;</w:t>
      </w:r>
    </w:p>
    <w:p w:rsidR="00A54C16" w:rsidRDefault="00A54C16" w:rsidP="005B309B">
      <w:pPr>
        <w:pStyle w:val="AERquote"/>
      </w:pPr>
      <w:r>
        <w:t>that substantially changes the types of Services that are likely to be sought by the market or has a substantial effect on the volume and/or direction of flow of natural gas through all or part of the Pipeline.</w:t>
      </w:r>
    </w:p>
    <w:p w:rsidR="00A54C16" w:rsidRDefault="00A54C16" w:rsidP="005B309B">
      <w:pPr>
        <w:pStyle w:val="AERquote"/>
      </w:pPr>
      <w:r>
        <w:t>Such notice will not be given within 18 months of the Review Submission Date in this clause 1.6.</w:t>
      </w:r>
    </w:p>
    <w:p w:rsidR="00A54C16" w:rsidRDefault="00A54C16" w:rsidP="003E5C6F">
      <w:r>
        <w:t>APTNT's revised proposal included an alternative trigger that:</w:t>
      </w:r>
    </w:p>
    <w:p w:rsidR="00A54C16" w:rsidRDefault="00A54C16" w:rsidP="003E5C6F">
      <w:pPr>
        <w:pStyle w:val="AERbulletlistfirststyle"/>
      </w:pPr>
      <w:r>
        <w:t>narrowed the trigger event so that it was limited to a change in the types of services provided, and did not take into account changes in  the volume and/or direction of flow of natural gas through the AGP</w:t>
      </w:r>
    </w:p>
    <w:p w:rsidR="00A54C16" w:rsidRDefault="00A54C16" w:rsidP="003E5C6F">
      <w:pPr>
        <w:pStyle w:val="AERbulletlistfirststyle"/>
      </w:pPr>
      <w:r>
        <w:t>added constraints on the operation of the trigger and any early review to:</w:t>
      </w:r>
    </w:p>
    <w:p w:rsidR="00A54C16" w:rsidRDefault="00A54C16" w:rsidP="003E5C6F">
      <w:pPr>
        <w:pStyle w:val="AERbulletlistsecondstyle"/>
      </w:pPr>
      <w:r>
        <w:t xml:space="preserve">explicitly require consultation on whether a trigger had occurred, and </w:t>
      </w:r>
    </w:p>
    <w:p w:rsidR="00A54C16" w:rsidRDefault="00A54C16" w:rsidP="003E5C6F">
      <w:pPr>
        <w:pStyle w:val="AERbulletlistsecondstyle"/>
      </w:pPr>
      <w:r>
        <w:t>fix minimum time for APTNT to prepare an access arrangement revision proposal.</w:t>
      </w:r>
    </w:p>
    <w:p w:rsidR="00A54C16" w:rsidRPr="00A54C16" w:rsidRDefault="00A54C16" w:rsidP="003E5C6F">
      <w:r w:rsidRPr="00A54C16">
        <w:t xml:space="preserve">We consider the trigger specified in our draft decision is the preferable alternative to that proposed by APTNT to deal with the </w:t>
      </w:r>
      <w:r w:rsidR="00603204">
        <w:t xml:space="preserve">potential implications </w:t>
      </w:r>
      <w:r w:rsidRPr="00A54C16">
        <w:t xml:space="preserve">of interconnection. The approved access arrangement is drafted accordingly. We take this view because we consider the impact of an interconnection is uncertain in relation to both the types of services that may be demanded and the volumes of gas that may be transported.  </w:t>
      </w:r>
    </w:p>
    <w:p w:rsidR="005766DB" w:rsidRPr="009C06AC" w:rsidRDefault="009C06AC" w:rsidP="003E5C6F">
      <w:pPr>
        <w:pStyle w:val="ListContinue"/>
        <w:ind w:left="0"/>
      </w:pPr>
      <w:r>
        <w:t>We accept in principle APTNT's proposal that its access arrangement explicitly include a requirement</w:t>
      </w:r>
      <w:r w:rsidR="00603204">
        <w:t xml:space="preserve"> for consultation before the trigger is activated and the review of its access arrangement brought forward. We </w:t>
      </w:r>
      <w:r>
        <w:t xml:space="preserve">have amended the drafting of this provision to make it clear that the nature of that consultation will be determined by </w:t>
      </w:r>
      <w:r w:rsidR="00585D43">
        <w:t>us as the responsible regulator</w:t>
      </w:r>
      <w:r>
        <w:t xml:space="preserve">, </w:t>
      </w:r>
      <w:r w:rsidR="00585D43">
        <w:t xml:space="preserve">and </w:t>
      </w:r>
      <w:r>
        <w:t>not</w:t>
      </w:r>
      <w:r w:rsidR="00585D43">
        <w:t xml:space="preserve"> by</w:t>
      </w:r>
      <w:r>
        <w:t xml:space="preserve"> APTNT. However we </w:t>
      </w:r>
      <w:r w:rsidR="007F0A65">
        <w:t>remain of the view that</w:t>
      </w:r>
      <w:r>
        <w:t xml:space="preserve"> the process and timeframe </w:t>
      </w:r>
      <w:r w:rsidRPr="009C06AC">
        <w:t>allowed for APTNT to prepare for a</w:t>
      </w:r>
      <w:r w:rsidR="007F0A65">
        <w:t xml:space="preserve">n early </w:t>
      </w:r>
      <w:r w:rsidRPr="009C06AC">
        <w:t>review is most appropriately determined when a trigger event occurs</w:t>
      </w:r>
      <w:r>
        <w:t xml:space="preserve"> </w:t>
      </w:r>
      <w:r w:rsidR="007F0A65">
        <w:t xml:space="preserve">(for example, </w:t>
      </w:r>
      <w:r w:rsidR="00081EAF">
        <w:t>with regard to our</w:t>
      </w:r>
      <w:r w:rsidR="007F0A65">
        <w:t xml:space="preserve"> consultation with APTNT on the Regulatory Information Notice</w:t>
      </w:r>
      <w:r w:rsidR="003F7A2D">
        <w:t xml:space="preserve"> for the review</w:t>
      </w:r>
      <w:r w:rsidR="007F0A65">
        <w:t xml:space="preserve">) </w:t>
      </w:r>
      <w:r>
        <w:t>and have not accepted this proposed revision.</w:t>
      </w:r>
    </w:p>
    <w:p w:rsidR="005766DB" w:rsidRDefault="005766DB" w:rsidP="005766DB">
      <w:pPr>
        <w:pStyle w:val="Heading1"/>
      </w:pPr>
      <w:bookmarkStart w:id="132" w:name="_Toc430002799"/>
      <w:bookmarkStart w:id="133" w:name="_Ref433643803"/>
      <w:bookmarkStart w:id="134" w:name="_Ref433965644"/>
      <w:bookmarkStart w:id="135" w:name="_Ref433967599"/>
      <w:bookmarkStart w:id="136" w:name="_Toc436046196"/>
      <w:bookmarkStart w:id="137" w:name="_Toc451873639"/>
      <w:r>
        <w:t>Understanding the NGO</w:t>
      </w:r>
      <w:bookmarkEnd w:id="132"/>
      <w:bookmarkEnd w:id="133"/>
      <w:bookmarkEnd w:id="134"/>
      <w:bookmarkEnd w:id="135"/>
      <w:bookmarkEnd w:id="136"/>
      <w:bookmarkEnd w:id="137"/>
    </w:p>
    <w:p w:rsidR="005766DB" w:rsidRDefault="005766DB" w:rsidP="005766DB">
      <w:pPr>
        <w:numPr>
          <w:ilvl w:val="0"/>
          <w:numId w:val="24"/>
        </w:numPr>
      </w:pPr>
      <w:r w:rsidRPr="006C7462">
        <w:t>The N</w:t>
      </w:r>
      <w:r>
        <w:t>G</w:t>
      </w:r>
      <w:r w:rsidRPr="006C7462">
        <w:t xml:space="preserve">O is the central feature of the </w:t>
      </w:r>
      <w:r>
        <w:t>regulatory</w:t>
      </w:r>
      <w:r w:rsidRPr="006C7462">
        <w:t xml:space="preserve"> framework. The N</w:t>
      </w:r>
      <w:r>
        <w:t>G</w:t>
      </w:r>
      <w:r w:rsidRPr="006C7462">
        <w:t>O is</w:t>
      </w:r>
    </w:p>
    <w:p w:rsidR="005766DB" w:rsidRDefault="005766DB" w:rsidP="005766DB">
      <w:pPr>
        <w:pStyle w:val="AERquoteindent2"/>
      </w:pPr>
      <w:r w:rsidRPr="006C7462">
        <w:t xml:space="preserve">to promote efficient investment in, and efficient operation and use of, </w:t>
      </w:r>
      <w:r>
        <w:t xml:space="preserve">natural gas </w:t>
      </w:r>
      <w:r w:rsidRPr="006C7462">
        <w:t xml:space="preserve">services for the long term interests of consumers of </w:t>
      </w:r>
      <w:r>
        <w:t>natural gas</w:t>
      </w:r>
      <w:r w:rsidRPr="006C7462">
        <w:t xml:space="preserve"> with respect to</w:t>
      </w:r>
      <w:r w:rsidRPr="00C5352F">
        <w:t xml:space="preserve"> </w:t>
      </w:r>
      <w:r w:rsidRPr="006C7462">
        <w:t xml:space="preserve">price, quality, safety, reliability and security of supply of </w:t>
      </w:r>
      <w:r>
        <w:t>natural gas.</w:t>
      </w:r>
      <w:r w:rsidRPr="00932612">
        <w:rPr>
          <w:rStyle w:val="FootnoteReference"/>
        </w:rPr>
        <w:t xml:space="preserve"> </w:t>
      </w:r>
      <w:r w:rsidRPr="006C7462">
        <w:rPr>
          <w:rStyle w:val="FootnoteReference"/>
        </w:rPr>
        <w:footnoteReference w:id="68"/>
      </w:r>
      <w:r w:rsidRPr="006C7462">
        <w:t xml:space="preserve">  </w:t>
      </w:r>
    </w:p>
    <w:p w:rsidR="005766DB" w:rsidRPr="006C7462" w:rsidRDefault="005766DB" w:rsidP="005766DB">
      <w:pPr>
        <w:pStyle w:val="ListParagraph"/>
        <w:numPr>
          <w:ilvl w:val="0"/>
          <w:numId w:val="24"/>
        </w:numPr>
      </w:pPr>
      <w:r w:rsidRPr="006C7462">
        <w:t>Energy Ministers have provided us with</w:t>
      </w:r>
      <w:r>
        <w:t xml:space="preserve"> a substantial body of explanatory material</w:t>
      </w:r>
      <w:r w:rsidRPr="006C7462">
        <w:t xml:space="preserve"> that guides our </w:t>
      </w:r>
      <w:r>
        <w:t>understanding of the NG</w:t>
      </w:r>
      <w:r w:rsidRPr="006C7462">
        <w:t>O.</w:t>
      </w:r>
      <w:r w:rsidRPr="006C7462">
        <w:rPr>
          <w:rStyle w:val="FootnoteReference"/>
        </w:rPr>
        <w:footnoteReference w:id="69"/>
      </w:r>
      <w:r>
        <w:t xml:space="preserve"> </w:t>
      </w:r>
      <w:r w:rsidRPr="006C7462">
        <w:t>The long term interests of consumers are no</w:t>
      </w:r>
      <w:r>
        <w:t>t delivered by any one of the NG</w:t>
      </w:r>
      <w:r w:rsidRPr="006C7462">
        <w:t>O's factors in isolation, but rather by balancing them</w:t>
      </w:r>
      <w:r>
        <w:t xml:space="preserve"> in reaching a regulatory decision</w:t>
      </w:r>
      <w:r w:rsidRPr="006C7462">
        <w:t>.</w:t>
      </w:r>
      <w:r w:rsidRPr="006C7462">
        <w:rPr>
          <w:rStyle w:val="FootnoteReference"/>
        </w:rPr>
        <w:footnoteReference w:id="70"/>
      </w:r>
    </w:p>
    <w:p w:rsidR="005766DB" w:rsidRPr="00F853E0" w:rsidRDefault="005766DB" w:rsidP="005766DB">
      <w:r w:rsidRPr="006C7462">
        <w:t>In general, we consider that we will achieve this balance and, therefore, contrib</w:t>
      </w:r>
      <w:r>
        <w:t>ute to the achievement of the NG</w:t>
      </w:r>
      <w:r w:rsidRPr="006C7462">
        <w:t>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71"/>
      </w:r>
      <w:r>
        <w:t xml:space="preserve"> </w:t>
      </w:r>
      <w:r w:rsidRPr="00F853E0">
        <w:t xml:space="preserve">We have also considered the quality and reliability of services provided to consumers. For example, the opex allowance and pass through mechanism approved in this </w:t>
      </w:r>
      <w:r w:rsidR="00513106">
        <w:t>final</w:t>
      </w:r>
      <w:r w:rsidRPr="00F853E0">
        <w:t xml:space="preserve"> decision </w:t>
      </w:r>
      <w:r w:rsidR="00052B21">
        <w:t>have</w:t>
      </w:r>
      <w:r w:rsidR="00052B21" w:rsidRPr="00F853E0">
        <w:t xml:space="preserve"> </w:t>
      </w:r>
      <w:r w:rsidRPr="00F853E0">
        <w:t>been set so that APTNT can meet existing and new regulatory requirements. Our approved capex forecast includes expenditure to replace assets that are aged or in unacceptable condition.</w:t>
      </w:r>
    </w:p>
    <w:p w:rsidR="005766DB" w:rsidRDefault="005766DB" w:rsidP="005766DB">
      <w:pPr>
        <w:pStyle w:val="ListParagraph"/>
        <w:numPr>
          <w:ilvl w:val="0"/>
          <w:numId w:val="24"/>
        </w:numPr>
      </w:pPr>
      <w:r w:rsidRPr="006C7462">
        <w:t xml:space="preserve">The nature of decisions </w:t>
      </w:r>
      <w:r>
        <w:t>under the NGR</w:t>
      </w:r>
      <w:r w:rsidRPr="006C7462">
        <w:t xml:space="preserve"> is such that there may be a range of economically efficient decisions, with different implications for the long term interests of consumers.</w:t>
      </w:r>
      <w:r w:rsidRPr="006C7462">
        <w:rPr>
          <w:rStyle w:val="FootnoteReference"/>
        </w:rPr>
        <w:footnoteReference w:id="72"/>
      </w:r>
      <w:r w:rsidRPr="006C7462">
        <w:t xml:space="preserve"> At the same time, however, there are a range of outcomes tha</w:t>
      </w:r>
      <w:r>
        <w:t>t are unlikely to advance the NG</w:t>
      </w:r>
      <w:r w:rsidRPr="006C7462">
        <w:t>O</w:t>
      </w:r>
      <w:r>
        <w:t>, or advance the NGO</w:t>
      </w:r>
      <w:r w:rsidRPr="006C7462">
        <w:t xml:space="preserve"> to </w:t>
      </w:r>
      <w:r>
        <w:t>the degree that others would</w:t>
      </w:r>
      <w:r w:rsidRPr="006C7462">
        <w:t xml:space="preserve">. </w:t>
      </w:r>
    </w:p>
    <w:p w:rsidR="005766DB" w:rsidRDefault="005766DB" w:rsidP="005766DB">
      <w:pPr>
        <w:pStyle w:val="ListParagraph"/>
        <w:numPr>
          <w:ilvl w:val="0"/>
          <w:numId w:val="24"/>
        </w:numPr>
      </w:pPr>
      <w:r w:rsidRPr="006C7462">
        <w:t>For example</w:t>
      </w:r>
      <w:r>
        <w:t>, we do not consider that the NG</w:t>
      </w:r>
      <w:r w:rsidRPr="006C7462">
        <w:t>O would be advanced if allowed revenues encourage overinvestment and result in prices so high that consumers are unwilling or unable to efficiently use the network.</w:t>
      </w:r>
      <w:r w:rsidRPr="006C7462">
        <w:rPr>
          <w:rStyle w:val="FootnoteReference"/>
        </w:rPr>
        <w:footnoteReference w:id="73"/>
      </w:r>
      <w:r w:rsidRPr="006C7462">
        <w:t xml:space="preserve"> This could have significant longer term pricing implications for those consumers who continue to use network services.</w:t>
      </w:r>
    </w:p>
    <w:p w:rsidR="005766DB" w:rsidRDefault="005766DB" w:rsidP="005766DB">
      <w:pPr>
        <w:pStyle w:val="ListParagraph"/>
        <w:numPr>
          <w:ilvl w:val="0"/>
          <w:numId w:val="24"/>
        </w:numPr>
      </w:pPr>
      <w:r w:rsidRPr="006C7462">
        <w:t>Eq</w:t>
      </w:r>
      <w:r>
        <w:t>ually, we do not consider the NG</w:t>
      </w:r>
      <w:r w:rsidRPr="006C7462">
        <w:t xml:space="preserv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74"/>
      </w:r>
      <w:r w:rsidRPr="006C7462">
        <w:t xml:space="preserve"> </w:t>
      </w:r>
      <w:r>
        <w:t>and</w:t>
      </w:r>
      <w:r w:rsidRPr="006C7462">
        <w:t xml:space="preserve"> </w:t>
      </w:r>
      <w:r>
        <w:t>could</w:t>
      </w:r>
      <w:r w:rsidRPr="006C7462">
        <w:t xml:space="preserve"> have adverse consequences for safety, security and reliability of the network. </w:t>
      </w:r>
    </w:p>
    <w:p w:rsidR="005766DB" w:rsidRPr="003B504B" w:rsidRDefault="005766DB" w:rsidP="005766DB">
      <w:r w:rsidRPr="006C7462">
        <w:t>The N</w:t>
      </w:r>
      <w:r>
        <w:t>G</w:t>
      </w:r>
      <w:r w:rsidRPr="006C7462">
        <w:t>L also includes the revenue and pricing principles (RPP), which support the N</w:t>
      </w:r>
      <w:r>
        <w:t>G</w:t>
      </w:r>
      <w:r w:rsidRPr="006C7462">
        <w:t>O.</w:t>
      </w:r>
      <w:r w:rsidRPr="006C7462">
        <w:rPr>
          <w:rStyle w:val="FootnoteReference"/>
        </w:rPr>
        <w:footnoteReference w:id="75"/>
      </w:r>
      <w:r w:rsidRPr="006C7462">
        <w:t xml:space="preserve"> As the N</w:t>
      </w:r>
      <w:r>
        <w:t>G</w:t>
      </w:r>
      <w:r w:rsidRPr="006C7462">
        <w:t>L requires,</w:t>
      </w:r>
      <w:r w:rsidRPr="006C7462">
        <w:rPr>
          <w:rStyle w:val="FootnoteReference"/>
        </w:rPr>
        <w:footnoteReference w:id="76"/>
      </w:r>
      <w:r w:rsidRPr="006C7462">
        <w:t xml:space="preserve"> we have taken the RPPs into account throughout our analysis. The RPPs are: </w:t>
      </w:r>
    </w:p>
    <w:p w:rsidR="005766DB" w:rsidRPr="00AF78C7" w:rsidRDefault="005766DB" w:rsidP="005766DB">
      <w:pPr>
        <w:pStyle w:val="AERquote"/>
      </w:pPr>
      <w:bookmarkStart w:id="138" w:name="id3d9e0c67_2587_487c_84b5_232488295210_a"/>
      <w:r w:rsidRPr="00AF78C7">
        <w:t xml:space="preserve">A service provider should be provided with a reasonable opportunity to recover at least the efficient costs the </w:t>
      </w:r>
      <w:r>
        <w:t>service provider</w:t>
      </w:r>
      <w:r w:rsidRPr="00AF78C7">
        <w:t xml:space="preserve"> incurs in—</w:t>
      </w:r>
      <w:bookmarkEnd w:id="138"/>
    </w:p>
    <w:p w:rsidR="005766DB" w:rsidRPr="00AF78C7" w:rsidRDefault="005766DB" w:rsidP="005766DB">
      <w:pPr>
        <w:pStyle w:val="AERquotebullet1"/>
      </w:pPr>
      <w:r w:rsidRPr="00AF78C7">
        <w:t xml:space="preserve">providing </w:t>
      </w:r>
      <w:r>
        <w:t>reference</w:t>
      </w:r>
      <w:r w:rsidRPr="00AF78C7">
        <w:t xml:space="preserve"> services; and</w:t>
      </w:r>
    </w:p>
    <w:p w:rsidR="005766DB" w:rsidRPr="00AF78C7" w:rsidRDefault="005766DB" w:rsidP="005766DB">
      <w:pPr>
        <w:pStyle w:val="AERquotebullet1"/>
      </w:pPr>
      <w:bookmarkStart w:id="139" w:name="id39d95c28_3773_4662_b32f_fead85a8dc26_0"/>
      <w:r w:rsidRPr="00AF78C7">
        <w:t>complying with a regulatory obligation or requirement or making a regulatory payment.</w:t>
      </w:r>
      <w:bookmarkEnd w:id="139"/>
    </w:p>
    <w:p w:rsidR="005766DB" w:rsidRPr="00AF78C7" w:rsidRDefault="005766DB" w:rsidP="005766DB">
      <w:pPr>
        <w:pStyle w:val="AERquote"/>
      </w:pPr>
      <w:r w:rsidRPr="00AF78C7">
        <w:t xml:space="preserve">A service provider should be provided with effective incentives in order to promote economic efficiency with respect to </w:t>
      </w:r>
      <w:r>
        <w:t>reference</w:t>
      </w:r>
      <w:r w:rsidRPr="00AF78C7">
        <w:t xml:space="preserve"> services the </w:t>
      </w:r>
      <w:r>
        <w:t>service provider</w:t>
      </w:r>
      <w:r w:rsidRPr="00AF78C7">
        <w:t xml:space="preserve"> provides. The economic efficiency that should be promoted includes—</w:t>
      </w:r>
    </w:p>
    <w:p w:rsidR="005766DB" w:rsidRPr="00AF78C7" w:rsidRDefault="005766DB" w:rsidP="005766DB">
      <w:pPr>
        <w:pStyle w:val="AERquotebullet1"/>
      </w:pPr>
      <w:r w:rsidRPr="00AF78C7">
        <w:t>efficient investment in</w:t>
      </w:r>
      <w:r>
        <w:t>, or in connection with, a pipeline</w:t>
      </w:r>
      <w:r w:rsidRPr="00AF78C7">
        <w:t xml:space="preserve"> with which the </w:t>
      </w:r>
      <w:r>
        <w:t>service provider</w:t>
      </w:r>
      <w:r w:rsidRPr="00AF78C7">
        <w:t xml:space="preserve"> provides </w:t>
      </w:r>
      <w:r>
        <w:t>reference</w:t>
      </w:r>
      <w:r w:rsidRPr="00AF78C7">
        <w:t xml:space="preserve"> services; and</w:t>
      </w:r>
    </w:p>
    <w:p w:rsidR="005766DB" w:rsidRPr="003B504B" w:rsidRDefault="005766DB" w:rsidP="005766DB">
      <w:pPr>
        <w:pStyle w:val="AERquotebullet1"/>
      </w:pPr>
      <w:r w:rsidRPr="00AF78C7">
        <w:t xml:space="preserve">the efficient provision of </w:t>
      </w:r>
      <w:r>
        <w:t>pipeline</w:t>
      </w:r>
      <w:r w:rsidRPr="00AF78C7">
        <w:t xml:space="preserve"> services; and</w:t>
      </w:r>
    </w:p>
    <w:p w:rsidR="005766DB" w:rsidRPr="00AF78C7" w:rsidRDefault="005766DB" w:rsidP="005766DB">
      <w:pPr>
        <w:pStyle w:val="AERquotebullet1"/>
      </w:pPr>
      <w:r w:rsidRPr="00AF78C7">
        <w:t xml:space="preserve">the efficient use of the </w:t>
      </w:r>
      <w:r>
        <w:t>pipeline</w:t>
      </w:r>
      <w:r w:rsidRPr="00AF78C7">
        <w:t>.</w:t>
      </w:r>
    </w:p>
    <w:p w:rsidR="005766DB" w:rsidRPr="00AF78C7" w:rsidRDefault="005766DB" w:rsidP="005766DB">
      <w:pPr>
        <w:pStyle w:val="AERquote"/>
      </w:pPr>
      <w:r w:rsidRPr="00AF78C7">
        <w:t xml:space="preserve">Regard should be had to the </w:t>
      </w:r>
      <w:r>
        <w:t>capital</w:t>
      </w:r>
      <w:r w:rsidRPr="00AF78C7">
        <w:t xml:space="preserve"> base with respect to a </w:t>
      </w:r>
      <w:r>
        <w:t>pipeline</w:t>
      </w:r>
      <w:r w:rsidRPr="00AF78C7">
        <w:t xml:space="preserve"> adopted—</w:t>
      </w:r>
    </w:p>
    <w:p w:rsidR="005766DB" w:rsidRPr="00AF78C7" w:rsidRDefault="005766DB" w:rsidP="005766DB">
      <w:pPr>
        <w:pStyle w:val="AERquotebullet1"/>
      </w:pPr>
      <w:r w:rsidRPr="00AF78C7">
        <w:t>in any previous—</w:t>
      </w:r>
    </w:p>
    <w:p w:rsidR="005766DB" w:rsidRPr="005766DB" w:rsidRDefault="005766DB" w:rsidP="00A12632">
      <w:pPr>
        <w:pStyle w:val="AERquotebullet1"/>
        <w:numPr>
          <w:ilvl w:val="1"/>
          <w:numId w:val="22"/>
        </w:numPr>
      </w:pPr>
      <w:r>
        <w:t>full access arrangement</w:t>
      </w:r>
      <w:r w:rsidRPr="005766DB">
        <w:t>; or</w:t>
      </w:r>
    </w:p>
    <w:p w:rsidR="005766DB" w:rsidRPr="005766DB" w:rsidRDefault="005766DB" w:rsidP="00A12632">
      <w:pPr>
        <w:pStyle w:val="AERquotebullet1"/>
        <w:numPr>
          <w:ilvl w:val="1"/>
          <w:numId w:val="22"/>
        </w:numPr>
      </w:pPr>
      <w:r>
        <w:t>decision of a relevant regulator under section 2 of the Gas Code</w:t>
      </w:r>
      <w:r w:rsidRPr="005766DB">
        <w:t>; or</w:t>
      </w:r>
    </w:p>
    <w:p w:rsidR="005766DB" w:rsidRPr="00AF78C7" w:rsidRDefault="005766DB" w:rsidP="005766DB">
      <w:pPr>
        <w:pStyle w:val="AERquotebullet1"/>
      </w:pPr>
      <w:r w:rsidRPr="00AF78C7">
        <w:t>in the Rules.</w:t>
      </w:r>
    </w:p>
    <w:p w:rsidR="005766DB" w:rsidRPr="00AF78C7" w:rsidRDefault="005766DB" w:rsidP="005766DB">
      <w:pPr>
        <w:pStyle w:val="AERquote"/>
      </w:pPr>
      <w:r>
        <w:t>A reference tariff</w:t>
      </w:r>
      <w:r w:rsidRPr="00AF78C7">
        <w:t xml:space="preserve"> should allow for a return commensurate with the regulatory and commercial risks involved in providing the </w:t>
      </w:r>
      <w:r>
        <w:t>reference</w:t>
      </w:r>
      <w:r w:rsidRPr="00AF78C7">
        <w:t xml:space="preserve"> service to which that </w:t>
      </w:r>
      <w:r>
        <w:t>tariff</w:t>
      </w:r>
      <w:r w:rsidRPr="00AF78C7">
        <w:t xml:space="preserve"> relates.</w:t>
      </w:r>
    </w:p>
    <w:p w:rsidR="005766DB" w:rsidRPr="00AF78C7" w:rsidRDefault="005766DB" w:rsidP="005766DB">
      <w:pPr>
        <w:pStyle w:val="AERquote"/>
      </w:pPr>
      <w:r w:rsidRPr="00AF78C7">
        <w:t>Regard should be had to the economic costs and risks of the potential for under and over investment by a service provider in</w:t>
      </w:r>
      <w:r>
        <w:t xml:space="preserve"> a pipeline</w:t>
      </w:r>
      <w:r w:rsidRPr="00AF78C7">
        <w:t xml:space="preserve"> with which the </w:t>
      </w:r>
      <w:r>
        <w:t>service provider</w:t>
      </w:r>
      <w:r w:rsidRPr="00AF78C7">
        <w:t xml:space="preserve"> provides </w:t>
      </w:r>
      <w:r>
        <w:t>pipeline</w:t>
      </w:r>
      <w:r w:rsidRPr="00AF78C7">
        <w:t xml:space="preserve"> services.</w:t>
      </w:r>
    </w:p>
    <w:p w:rsidR="005766DB" w:rsidRDefault="005766DB" w:rsidP="005766DB">
      <w:pPr>
        <w:pStyle w:val="AERquote"/>
      </w:pPr>
      <w:r w:rsidRPr="006C7462">
        <w:t xml:space="preserve">Regard should be had to the economic costs and risks of the potential for under and over utilisation of a </w:t>
      </w:r>
      <w:r>
        <w:t>pipeline</w:t>
      </w:r>
      <w:r w:rsidRPr="006C7462">
        <w:t xml:space="preserve"> with which a service provider provides </w:t>
      </w:r>
      <w:r>
        <w:t>pipeline</w:t>
      </w:r>
      <w:r w:rsidRPr="006C7462">
        <w:t xml:space="preserve"> services. </w:t>
      </w:r>
    </w:p>
    <w:p w:rsidR="005766DB" w:rsidRDefault="005766DB" w:rsidP="005766DB">
      <w:pPr>
        <w:numPr>
          <w:ilvl w:val="0"/>
          <w:numId w:val="24"/>
        </w:numPr>
      </w:pPr>
      <w:r>
        <w:t>Consistent with Energy Ministers' views, we set the amount of revenue that service providers can recover from customers to balance all of the elements of the NGO and consider each of the RPPs.</w:t>
      </w:r>
      <w:r>
        <w:rPr>
          <w:rStyle w:val="FootnoteReference"/>
        </w:rPr>
        <w:footnoteReference w:id="77"/>
      </w:r>
      <w:r>
        <w:t xml:space="preserve"> For example:</w:t>
      </w:r>
    </w:p>
    <w:p w:rsidR="005766DB" w:rsidRPr="00A35C7A" w:rsidRDefault="005766DB" w:rsidP="005766DB">
      <w:pPr>
        <w:pStyle w:val="AERbulletlistfirststyle"/>
      </w:pPr>
      <w:r w:rsidRPr="00232478">
        <w:t xml:space="preserve">In determining forecast opex and capex that reasonably reflects the opex and capex </w:t>
      </w:r>
      <w:r w:rsidRPr="00A06587">
        <w:t xml:space="preserve">criteria, we take into account the revenue and pricing principle that we should provide </w:t>
      </w:r>
      <w:r>
        <w:t>APTNT</w:t>
      </w:r>
      <w:r w:rsidRPr="00E90ACB">
        <w:t xml:space="preserve"> with a reasonable opportunity to recover at least efficient costs. (Refer to </w:t>
      </w:r>
      <w:r w:rsidR="0099198D">
        <w:t>A</w:t>
      </w:r>
      <w:r w:rsidRPr="00E90ACB">
        <w:t>ttachment 6</w:t>
      </w:r>
      <w:r w:rsidR="0099198D">
        <w:t>–capex</w:t>
      </w:r>
      <w:r w:rsidRPr="00E90ACB">
        <w:t xml:space="preserve"> and </w:t>
      </w:r>
      <w:r w:rsidR="0099198D">
        <w:t>Attachment 7–</w:t>
      </w:r>
      <w:r w:rsidRPr="00E90ACB">
        <w:t>opex).</w:t>
      </w:r>
      <w:r w:rsidRPr="00A35C7A">
        <w:t xml:space="preserve"> </w:t>
      </w:r>
    </w:p>
    <w:p w:rsidR="005766DB" w:rsidRPr="00A35C7A" w:rsidRDefault="005766DB" w:rsidP="005766DB">
      <w:pPr>
        <w:pStyle w:val="AERbulletlistfirststyle"/>
      </w:pPr>
      <w:r w:rsidRPr="00A35C7A">
        <w:t xml:space="preserve">We take into account the economic costs and risks of the potential for under and over investment by a service provider in our assessment </w:t>
      </w:r>
      <w:r>
        <w:t>of APTNT’s</w:t>
      </w:r>
      <w:r w:rsidRPr="00E90ACB">
        <w:t xml:space="preserve"> forecast </w:t>
      </w:r>
      <w:r>
        <w:t>capex and opex</w:t>
      </w:r>
      <w:r w:rsidRPr="00E90ACB">
        <w:t xml:space="preserve"> proposals</w:t>
      </w:r>
      <w:r w:rsidRPr="00A35C7A">
        <w:t xml:space="preserve">. (Refer to </w:t>
      </w:r>
      <w:r w:rsidR="0099198D">
        <w:t>A</w:t>
      </w:r>
      <w:r w:rsidRPr="00A35C7A">
        <w:t>ttachment 6</w:t>
      </w:r>
      <w:r w:rsidR="0099198D">
        <w:t>–capex</w:t>
      </w:r>
      <w:r w:rsidRPr="00A35C7A">
        <w:t xml:space="preserve"> and </w:t>
      </w:r>
      <w:r w:rsidR="0099198D">
        <w:t>Attachment 7–</w:t>
      </w:r>
      <w:r w:rsidRPr="00A35C7A">
        <w:t>opex).</w:t>
      </w:r>
    </w:p>
    <w:p w:rsidR="005766DB" w:rsidRPr="00A35C7A" w:rsidRDefault="005766DB" w:rsidP="005766DB">
      <w:pPr>
        <w:pStyle w:val="AERbulletlistfirststyle"/>
      </w:pPr>
      <w:r w:rsidRPr="00A35C7A">
        <w:t xml:space="preserve">We consider the economic costs and risks of the potential for under and over utilisation of </w:t>
      </w:r>
      <w:r>
        <w:t>APTNT’s network</w:t>
      </w:r>
      <w:r w:rsidRPr="00E90ACB">
        <w:t xml:space="preserve"> in our </w:t>
      </w:r>
      <w:r>
        <w:t xml:space="preserve">decisions on </w:t>
      </w:r>
      <w:r w:rsidRPr="00E90ACB">
        <w:t xml:space="preserve">demand forecasting and </w:t>
      </w:r>
      <w:r>
        <w:t xml:space="preserve">forecast </w:t>
      </w:r>
      <w:r w:rsidRPr="00E90ACB">
        <w:t xml:space="preserve">augmentation </w:t>
      </w:r>
      <w:r>
        <w:t>capex</w:t>
      </w:r>
      <w:r w:rsidRPr="00E90ACB">
        <w:t xml:space="preserve"> </w:t>
      </w:r>
      <w:r w:rsidRPr="00A35C7A">
        <w:t xml:space="preserve">(Refer to </w:t>
      </w:r>
      <w:r w:rsidR="0099198D">
        <w:t>A</w:t>
      </w:r>
      <w:r w:rsidRPr="00A35C7A">
        <w:t>ttachment 6</w:t>
      </w:r>
      <w:r w:rsidR="0099198D">
        <w:t>–capex</w:t>
      </w:r>
      <w:r w:rsidRPr="00A35C7A">
        <w:t xml:space="preserve"> and </w:t>
      </w:r>
      <w:r w:rsidR="0099198D">
        <w:t>Attachment 13–</w:t>
      </w:r>
      <w:r w:rsidRPr="00A35C7A">
        <w:t>demand).</w:t>
      </w:r>
    </w:p>
    <w:p w:rsidR="005766DB" w:rsidRPr="00E90ACB" w:rsidRDefault="005766DB" w:rsidP="005766DB">
      <w:pPr>
        <w:pStyle w:val="AERbulletlistfirststyle"/>
      </w:pPr>
      <w:r w:rsidRPr="00A35C7A">
        <w:t xml:space="preserve">Our </w:t>
      </w:r>
      <w:r>
        <w:t>introduction of</w:t>
      </w:r>
      <w:r w:rsidRPr="00A35C7A">
        <w:t xml:space="preserve"> the </w:t>
      </w:r>
      <w:r w:rsidRPr="00C10631">
        <w:t>e</w:t>
      </w:r>
      <w:r w:rsidRPr="00D46ABC">
        <w:t xml:space="preserve">fficiency carryover mechanism in this </w:t>
      </w:r>
      <w:r>
        <w:t>decision</w:t>
      </w:r>
      <w:r w:rsidRPr="00D46ABC">
        <w:t xml:space="preserve"> provides </w:t>
      </w:r>
      <w:r>
        <w:t>APTNT</w:t>
      </w:r>
      <w:r w:rsidRPr="00E90ACB">
        <w:t xml:space="preserve"> with effective incentives which we consider will promote economic efficiency with respect to the </w:t>
      </w:r>
      <w:r w:rsidRPr="00A35C7A">
        <w:t xml:space="preserve">reference service that </w:t>
      </w:r>
      <w:r>
        <w:t>APTNT</w:t>
      </w:r>
      <w:r w:rsidRPr="00C10631">
        <w:t xml:space="preserve"> </w:t>
      </w:r>
      <w:r w:rsidRPr="00D46ABC">
        <w:t xml:space="preserve">provides throughout the access arrangement period. (Refer to </w:t>
      </w:r>
      <w:r w:rsidR="0099198D">
        <w:t>A</w:t>
      </w:r>
      <w:r w:rsidRPr="00D46ABC">
        <w:t>ttachment 9</w:t>
      </w:r>
      <w:r w:rsidR="0099198D">
        <w:t>–efficiency carryover mechanism</w:t>
      </w:r>
      <w:r w:rsidRPr="00E90ACB">
        <w:t xml:space="preserve">). </w:t>
      </w:r>
    </w:p>
    <w:p w:rsidR="005766DB" w:rsidRPr="00D46ABC" w:rsidRDefault="005766DB" w:rsidP="005766DB">
      <w:pPr>
        <w:pStyle w:val="AERbulletlistfirststyle"/>
      </w:pPr>
      <w:r w:rsidRPr="00E90ACB">
        <w:t xml:space="preserve">We have determined </w:t>
      </w:r>
      <w:r>
        <w:t>APTNT’s</w:t>
      </w:r>
      <w:r w:rsidRPr="00E90ACB">
        <w:t xml:space="preserve"> opening capital base</w:t>
      </w:r>
      <w:r w:rsidRPr="00D42A60">
        <w:t xml:space="preserve"> taking into account the c</w:t>
      </w:r>
      <w:r w:rsidRPr="00886FD6">
        <w:t>apital</w:t>
      </w:r>
      <w:r w:rsidRPr="00A35C7A">
        <w:t xml:space="preserve"> adopted in the previous </w:t>
      </w:r>
      <w:r>
        <w:t>access arrangement</w:t>
      </w:r>
      <w:r w:rsidRPr="00A35C7A">
        <w:t xml:space="preserve">. (Refer to </w:t>
      </w:r>
      <w:r w:rsidR="0099198D">
        <w:t>A</w:t>
      </w:r>
      <w:r w:rsidRPr="00A35C7A">
        <w:t>ttachment 2</w:t>
      </w:r>
      <w:r w:rsidR="0099198D">
        <w:t>–</w:t>
      </w:r>
      <w:r w:rsidRPr="00A35C7A">
        <w:t>capital</w:t>
      </w:r>
      <w:r w:rsidRPr="00C10631">
        <w:t xml:space="preserve"> base).</w:t>
      </w:r>
    </w:p>
    <w:p w:rsidR="005766DB" w:rsidRPr="00D46ABC" w:rsidRDefault="005766DB" w:rsidP="005766DB">
      <w:pPr>
        <w:pStyle w:val="AERbulletlistfirststyle"/>
      </w:pPr>
      <w:r w:rsidRPr="00D46ABC">
        <w:t>The allowed rate of return objective reflects the revenue and pricing principle in s.</w:t>
      </w:r>
      <w:r>
        <w:t xml:space="preserve"> </w:t>
      </w:r>
      <w:r w:rsidRPr="00D46ABC">
        <w:t xml:space="preserve">24(5). We have determined a rate of return that we consider will provide </w:t>
      </w:r>
      <w:r>
        <w:t>APTNT</w:t>
      </w:r>
      <w:r w:rsidRPr="00E90ACB">
        <w:t xml:space="preserve"> </w:t>
      </w:r>
      <w:r w:rsidRPr="00A35C7A">
        <w:t xml:space="preserve">with a return commensurate with the regulatory and commercial risks involved in providing pipeline services. </w:t>
      </w:r>
      <w:r w:rsidRPr="00C10631">
        <w:t xml:space="preserve">(Refer to </w:t>
      </w:r>
      <w:r w:rsidR="0099198D">
        <w:t>A</w:t>
      </w:r>
      <w:r w:rsidRPr="00C10631">
        <w:t>ttachment 3</w:t>
      </w:r>
      <w:r w:rsidR="0099198D">
        <w:t>–</w:t>
      </w:r>
      <w:r w:rsidRPr="00C10631">
        <w:t>rate of return).</w:t>
      </w:r>
    </w:p>
    <w:p w:rsidR="005766DB" w:rsidRPr="00A35C7A" w:rsidRDefault="005766DB" w:rsidP="005766DB">
      <w:pPr>
        <w:pStyle w:val="AERbulletlistfirststyle"/>
      </w:pPr>
      <w:r w:rsidRPr="00D46ABC">
        <w:t xml:space="preserve">Our financing determinations provide </w:t>
      </w:r>
      <w:r>
        <w:t>APTNT</w:t>
      </w:r>
      <w:r w:rsidRPr="00E90ACB">
        <w:t xml:space="preserve"> </w:t>
      </w:r>
      <w:r w:rsidRPr="00D42A60">
        <w:t>with a reasonable opportunity to recover at least the</w:t>
      </w:r>
      <w:r w:rsidRPr="00A35C7A">
        <w:t xml:space="preserve"> efficient costs of accessing debt and capital. (Refer to </w:t>
      </w:r>
      <w:r w:rsidR="0099198D">
        <w:t>A</w:t>
      </w:r>
      <w:r w:rsidRPr="00A35C7A">
        <w:t>ttachment 3</w:t>
      </w:r>
      <w:r w:rsidR="0099198D">
        <w:t>–</w:t>
      </w:r>
      <w:r w:rsidRPr="00A35C7A">
        <w:t>rate of return).</w:t>
      </w:r>
    </w:p>
    <w:p w:rsidR="005766DB" w:rsidRPr="001B46C8" w:rsidRDefault="005766DB" w:rsidP="005766DB">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Some of these decisions include:</w:t>
      </w:r>
    </w:p>
    <w:p w:rsidR="005766DB" w:rsidRPr="00A06587" w:rsidRDefault="005766DB" w:rsidP="005766DB">
      <w:pPr>
        <w:pStyle w:val="AERbulletlistfirststyle"/>
        <w:rPr>
          <w:rStyle w:val="AERbody"/>
        </w:rPr>
      </w:pPr>
      <w:r w:rsidRPr="00A06587">
        <w:rPr>
          <w:rStyle w:val="AERbody"/>
        </w:rPr>
        <w:t>selecting at the top of the range for the equity beta</w:t>
      </w:r>
    </w:p>
    <w:p w:rsidR="005766DB" w:rsidRPr="00E90ACB" w:rsidRDefault="005766DB" w:rsidP="005766DB">
      <w:pPr>
        <w:pStyle w:val="AERbulletlistfirststyle"/>
        <w:rPr>
          <w:rStyle w:val="AERbody"/>
        </w:rPr>
      </w:pPr>
      <w:r w:rsidRPr="00E90ACB">
        <w:rPr>
          <w:rStyle w:val="AERbody"/>
        </w:rPr>
        <w:t>setting the return on debt by reference to data for a BBB broad band credit rating, when the benchmark is BBB+</w:t>
      </w:r>
    </w:p>
    <w:p w:rsidR="005766DB" w:rsidRPr="001B46C8" w:rsidRDefault="005766DB" w:rsidP="005766DB">
      <w:pPr>
        <w:pStyle w:val="AERbulletlistfirststyle"/>
        <w:rPr>
          <w:rStyle w:val="AERbody"/>
        </w:rPr>
      </w:pPr>
      <w:r w:rsidRPr="00E90ACB">
        <w:rPr>
          <w:rStyle w:val="AERbody"/>
        </w:rPr>
        <w:t>the cash flow</w:t>
      </w:r>
      <w:r w:rsidRPr="001B46C8">
        <w:rPr>
          <w:rStyle w:val="AERbody"/>
        </w:rPr>
        <w:t xml:space="preserve"> timing assumptions in the post-tax revenue model. </w:t>
      </w:r>
    </w:p>
    <w:p w:rsidR="005766DB" w:rsidRDefault="005766DB" w:rsidP="005766DB">
      <w:pPr>
        <w:rPr>
          <w:rStyle w:val="AERbody"/>
        </w:rPr>
      </w:pPr>
      <w:r>
        <w:t>We</w:t>
      </w:r>
      <w:r w:rsidRPr="00A34B93">
        <w:t xml:space="preserve"> take into account the RPPs when exercising discretion </w:t>
      </w:r>
      <w:r>
        <w:t xml:space="preserve">about an appropriate estimate. </w:t>
      </w:r>
      <w:r w:rsidRPr="00A34B93">
        <w:t>This requires 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overcompensation or overinvestment.</w:t>
      </w:r>
      <w:r>
        <w:t xml:space="preserve"> However, we are</w:t>
      </w:r>
      <w:r w:rsidRPr="00A34B93">
        <w:t xml:space="preserve"> also conscious of the risk of introducing an inherent bias towards higher amounts where estimates throughout the different components of the </w:t>
      </w:r>
      <w:r>
        <w:t>forecast revenue requirement</w:t>
      </w:r>
      <w:r w:rsidRPr="00A34B93">
        <w:t xml:space="preserve"> are each set too conservatively.</w:t>
      </w:r>
      <w:r>
        <w:rPr>
          <w:rStyle w:val="FootnoteReference"/>
        </w:rPr>
        <w:footnoteReference w:id="78"/>
      </w:r>
      <w:r w:rsidRPr="00A34B93">
        <w:t xml:space="preserve"> The legislative framework recognises the complexity of this task by providing </w:t>
      </w:r>
      <w:r>
        <w:t>us</w:t>
      </w:r>
      <w:r w:rsidRPr="00A34B93">
        <w:t xml:space="preserve"> with significant discretion in many aspects of the decision-making process to make judgements on these matters.</w:t>
      </w:r>
    </w:p>
    <w:p w:rsidR="005766DB" w:rsidRDefault="005766DB" w:rsidP="005766DB">
      <w:pPr>
        <w:numPr>
          <w:ilvl w:val="0"/>
          <w:numId w:val="24"/>
        </w:numPr>
      </w:pPr>
      <w:r>
        <w:t>Part 9</w:t>
      </w:r>
      <w:r w:rsidRPr="00892ECD">
        <w:t xml:space="preserve"> of the N</w:t>
      </w:r>
      <w:r>
        <w:t>G</w:t>
      </w:r>
      <w:r w:rsidRPr="00892ECD">
        <w:t xml:space="preserve">R provides </w:t>
      </w:r>
      <w:r>
        <w:t xml:space="preserve">specifically for the </w:t>
      </w:r>
      <w:r w:rsidRPr="00892ECD">
        <w:t xml:space="preserve">economic regulation of </w:t>
      </w:r>
      <w:r>
        <w:t>covered pipelines. It includes detailed rules about the individual components of our decisions. These are intended to contribute to the achievement of the NGO</w:t>
      </w:r>
      <w:r w:rsidRPr="00715EF7">
        <w:t>.</w:t>
      </w:r>
    </w:p>
    <w:p w:rsidR="005766DB" w:rsidRDefault="005766DB" w:rsidP="005766DB">
      <w:pPr>
        <w:pStyle w:val="Heading2"/>
      </w:pPr>
      <w:bookmarkStart w:id="140" w:name="_Toc404154709"/>
      <w:bookmarkStart w:id="141" w:name="_Toc430002800"/>
      <w:bookmarkStart w:id="142" w:name="_Toc430002970"/>
      <w:bookmarkStart w:id="143" w:name="_Toc436046197"/>
      <w:bookmarkStart w:id="144" w:name="_Toc451873640"/>
      <w:bookmarkEnd w:id="140"/>
      <w:r>
        <w:t>Achieving the NGO to the greatest degree</w:t>
      </w:r>
      <w:bookmarkEnd w:id="141"/>
      <w:bookmarkEnd w:id="142"/>
      <w:bookmarkEnd w:id="143"/>
      <w:bookmarkEnd w:id="144"/>
    </w:p>
    <w:p w:rsidR="005766DB" w:rsidRDefault="005766DB" w:rsidP="005766DB">
      <w:pPr>
        <w:numPr>
          <w:ilvl w:val="0"/>
          <w:numId w:val="24"/>
        </w:numPr>
      </w:pPr>
      <w:bookmarkStart w:id="145" w:name="_Toc409422588"/>
      <w:bookmarkStart w:id="146" w:name="_Ref409431158"/>
      <w:bookmarkStart w:id="147" w:name="_Toc411428071"/>
      <w:r w:rsidRPr="00C362C1">
        <w:t>A</w:t>
      </w:r>
      <w:r>
        <w:t>n access arrangement decision is</w:t>
      </w:r>
      <w:r w:rsidRPr="00C362C1">
        <w:t xml:space="preserve"> complex and must be considered as such.</w:t>
      </w:r>
      <w:r>
        <w:t xml:space="preserve"> In most instances, the provisions of the NGR do not point to a single answer, either for our decision as a whole or in respect of particular components. They require us to exercise our regulatory judgment. For example, Part 9 of the NGR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plausible point estimates. </w:t>
      </w:r>
    </w:p>
    <w:p w:rsidR="005766DB" w:rsidRDefault="005766DB" w:rsidP="005766DB">
      <w:pPr>
        <w:numPr>
          <w:ilvl w:val="0"/>
          <w:numId w:val="24"/>
        </w:numPr>
      </w:pPr>
      <w:r>
        <w:t xml:space="preserve">When the components of our decision are considered together, this means there will almost always be several potential, overall decisions. More than one of these may contribute to the achievement of the NGO. Where this is the case, our role is to make an overall decision that we are satisfied contributes to the achievement of the NGO to the </w:t>
      </w:r>
      <w:r w:rsidRPr="00366D90">
        <w:rPr>
          <w:rStyle w:val="AERtextitalic"/>
        </w:rPr>
        <w:t>greatest</w:t>
      </w:r>
      <w:r>
        <w:t xml:space="preserve"> degree.</w:t>
      </w:r>
      <w:r>
        <w:rPr>
          <w:rStyle w:val="FootnoteReference"/>
        </w:rPr>
        <w:footnoteReference w:id="79"/>
      </w:r>
      <w:r>
        <w:t xml:space="preserve"> </w:t>
      </w:r>
    </w:p>
    <w:p w:rsidR="005766DB" w:rsidRDefault="005766DB" w:rsidP="005766DB">
      <w:pPr>
        <w:numPr>
          <w:ilvl w:val="0"/>
          <w:numId w:val="24"/>
        </w:numPr>
      </w:pPr>
      <w:r>
        <w:t xml:space="preserve">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NGO, we have selected what we are satisfied would result in an overall decision that contributes to the achievement of the NGO to the greatest degree. </w:t>
      </w:r>
    </w:p>
    <w:p w:rsidR="005766DB" w:rsidRDefault="005766DB" w:rsidP="005766DB">
      <w:r>
        <w:t xml:space="preserve">Also, in coming to this </w:t>
      </w:r>
      <w:r w:rsidR="00513106">
        <w:t>final</w:t>
      </w:r>
      <w:r>
        <w:t xml:space="preserve"> decision we have considered APTNT’s proposal. We have examined each of the building block components of the forecast revenue requirement, and the incentive mechanisms that should apply across the next access arrangement period. We have considered submissions we received in regard to APTNT’s proposal. We have conducted our own analysis and engaged expert consultants to help us better understand if and how APTNT’s proposal contributes to the achievement of the NGO. We have also considered how the individual components of our decision relate to each other, the impact that particular components of our decision have on others, and have described these interrelationships in this </w:t>
      </w:r>
      <w:r w:rsidR="00513106">
        <w:t>final</w:t>
      </w:r>
      <w:r>
        <w:t xml:space="preserve"> decision. We have had regard to and weighed up all of the information assembled before us in making this </w:t>
      </w:r>
      <w:r w:rsidR="00513106">
        <w:t>final</w:t>
      </w:r>
      <w:r>
        <w:t xml:space="preserve"> decision, and have made as much of this information publicly available as practicable for the purposes of consultation.</w:t>
      </w:r>
    </w:p>
    <w:p w:rsidR="005766DB" w:rsidRPr="00366D90" w:rsidRDefault="005766DB" w:rsidP="005766DB">
      <w:r>
        <w:t xml:space="preserve">Therefore, we are satisfied that among the options before us, our </w:t>
      </w:r>
      <w:r w:rsidR="00513106">
        <w:t>final</w:t>
      </w:r>
      <w:r>
        <w:t xml:space="preserve"> decision on APTNT’s access arrangement for the 2016–21 access arrangement period contributes to achieving the NGO to the greatest degree.</w:t>
      </w:r>
    </w:p>
    <w:p w:rsidR="005766DB" w:rsidRDefault="005766DB" w:rsidP="005766DB">
      <w:pPr>
        <w:pStyle w:val="Heading3"/>
      </w:pPr>
      <w:bookmarkStart w:id="148" w:name="_Toc430002801"/>
      <w:bookmarkStart w:id="149" w:name="_Toc430002971"/>
      <w:bookmarkStart w:id="150" w:name="_Toc436046198"/>
      <w:bookmarkStart w:id="151" w:name="_Toc451873641"/>
      <w:bookmarkEnd w:id="145"/>
      <w:bookmarkEnd w:id="146"/>
      <w:bookmarkEnd w:id="147"/>
      <w:r>
        <w:t>Interrelationships between individual components</w:t>
      </w:r>
      <w:bookmarkEnd w:id="148"/>
      <w:bookmarkEnd w:id="149"/>
      <w:bookmarkEnd w:id="150"/>
      <w:bookmarkEnd w:id="151"/>
    </w:p>
    <w:p w:rsidR="005766DB" w:rsidRPr="00C362C1" w:rsidRDefault="005766DB" w:rsidP="005766DB">
      <w:r w:rsidRPr="009D2C84">
        <w:t xml:space="preserve">Considering </w:t>
      </w:r>
      <w:r>
        <w:t>individual</w:t>
      </w:r>
      <w:r w:rsidRPr="009D2C84">
        <w:t xml:space="preserve"> components in isolation ignores the importance of interrelationships between components </w:t>
      </w:r>
      <w:r>
        <w:t xml:space="preserve">of the overall decision, </w:t>
      </w:r>
      <w:r w:rsidRPr="009D2C84">
        <w:t>and would not contribute to the achievement of the N</w:t>
      </w:r>
      <w:r>
        <w:t>G</w:t>
      </w:r>
      <w:r w:rsidRPr="009D2C84">
        <w:t>O. As outlined by Energy Ministers, considering the elements in isolation has resulted in regulatory failures in the past.</w:t>
      </w:r>
      <w:r w:rsidRPr="009D2C84">
        <w:rPr>
          <w:rStyle w:val="FootnoteReference"/>
        </w:rPr>
        <w:footnoteReference w:id="80"/>
      </w:r>
      <w:r w:rsidRPr="009D2C84">
        <w:t xml:space="preserve"> Interrelationships can take various forms, including:</w:t>
      </w:r>
    </w:p>
    <w:p w:rsidR="005766DB" w:rsidRPr="00C362C1" w:rsidRDefault="005766DB" w:rsidP="005766DB">
      <w:pPr>
        <w:pStyle w:val="AERbulletlistfirststyle"/>
      </w:pPr>
      <w:r w:rsidRPr="00C362C1">
        <w:t xml:space="preserve">underlying drivers and context which are likely to affect many constituent components of our decision. For example, forecast demand affects the </w:t>
      </w:r>
      <w:r>
        <w:t xml:space="preserve">forecasts of </w:t>
      </w:r>
      <w:r w:rsidRPr="00C362C1">
        <w:t xml:space="preserve">efficient levels of capex and opex in the </w:t>
      </w:r>
      <w:r>
        <w:t>access</w:t>
      </w:r>
      <w:r w:rsidRPr="00C362C1">
        <w:t xml:space="preserve"> </w:t>
      </w:r>
      <w:r>
        <w:t xml:space="preserve">arrangement </w:t>
      </w:r>
      <w:r w:rsidRPr="00C362C1">
        <w:t xml:space="preserve">period </w:t>
      </w:r>
      <w:r>
        <w:t>(see attachment</w:t>
      </w:r>
      <w:r w:rsidR="009F7892">
        <w:t>s</w:t>
      </w:r>
      <w:r>
        <w:t xml:space="preserve"> 6, 7 and 13)</w:t>
      </w:r>
      <w:r w:rsidRPr="00C362C1">
        <w:t>.</w:t>
      </w:r>
    </w:p>
    <w:p w:rsidR="005766DB" w:rsidRPr="00C362C1" w:rsidRDefault="005766DB" w:rsidP="005766DB">
      <w:pPr>
        <w:pStyle w:val="AERbulletlistfirststyle"/>
      </w:pPr>
      <w:r w:rsidRPr="00C362C1">
        <w:t xml:space="preserve">direct mathematical links between different components of a decision. For example, the </w:t>
      </w:r>
      <w:r>
        <w:t>value of imputation credits (gamma)</w:t>
      </w:r>
      <w:r w:rsidRPr="00C362C1">
        <w:t xml:space="preserve"> has an impact on the appropriate tax allowance; the benchmark efficient entity's debt to equity ratio has a direct effect on the cost of equity, the cost of debt, and the overall vanilla rate of return</w:t>
      </w:r>
      <w:r>
        <w:t xml:space="preserve"> (see attachments 3, 4 and 8)</w:t>
      </w:r>
      <w:r w:rsidRPr="00C362C1">
        <w:t>.</w:t>
      </w:r>
    </w:p>
    <w:p w:rsidR="005766DB" w:rsidRPr="00C362C1" w:rsidRDefault="005766DB" w:rsidP="005766DB">
      <w:pPr>
        <w:pStyle w:val="AERbulletlistfirststyle"/>
      </w:pPr>
      <w:r w:rsidRPr="00C362C1">
        <w:t>trade-offs between different components of revenue. For example, undertaking a particular capex project may affect the need for opex and vice versa</w:t>
      </w:r>
      <w:r>
        <w:t xml:space="preserve"> (see attachments 6 and 7)</w:t>
      </w:r>
      <w:r w:rsidRPr="00C362C1">
        <w:t>.</w:t>
      </w:r>
    </w:p>
    <w:p w:rsidR="005766DB" w:rsidRPr="00C362C1" w:rsidRDefault="005766DB" w:rsidP="005766DB">
      <w:pPr>
        <w:pStyle w:val="AERbulletlistfirststyle"/>
      </w:pPr>
      <w:r w:rsidRPr="00C362C1">
        <w:t xml:space="preserve">trade-offs between forecast and actual regulatory measures. The reasons for one part of a proposal may have impacts on other parts of a proposal. For example, </w:t>
      </w:r>
      <w:r>
        <w:t xml:space="preserve">completion of forecast </w:t>
      </w:r>
      <w:r w:rsidRPr="00C362C1">
        <w:t>augmentation</w:t>
      </w:r>
      <w:r>
        <w:t xml:space="preserve"> (capex)</w:t>
      </w:r>
      <w:r w:rsidRPr="00C362C1">
        <w:t xml:space="preserve"> to the network </w:t>
      </w:r>
      <w:r>
        <w:t xml:space="preserve">will </w:t>
      </w:r>
      <w:r w:rsidRPr="00C362C1">
        <w:t xml:space="preserve">mean the </w:t>
      </w:r>
      <w:r>
        <w:t>service provider</w:t>
      </w:r>
      <w:r w:rsidRPr="00C362C1">
        <w:t xml:space="preserve"> has more assets to maintain</w:t>
      </w:r>
      <w:r>
        <w:t>,</w:t>
      </w:r>
      <w:r w:rsidRPr="00C362C1">
        <w:t xml:space="preserve"> leading to higher opex requirements</w:t>
      </w:r>
      <w:r>
        <w:t xml:space="preserve"> (see attachments 6 and 7)</w:t>
      </w:r>
      <w:r w:rsidRPr="00C362C1">
        <w:t>.</w:t>
      </w:r>
    </w:p>
    <w:p w:rsidR="005766DB" w:rsidRPr="00C362C1" w:rsidRDefault="005766DB" w:rsidP="005766DB">
      <w:pPr>
        <w:pStyle w:val="AERbulletlistfirststyle"/>
      </w:pPr>
      <w:r w:rsidRPr="00C362C1">
        <w:t xml:space="preserve">the </w:t>
      </w:r>
      <w:r>
        <w:t>service provider</w:t>
      </w:r>
      <w:r w:rsidRPr="00C362C1">
        <w:t xml:space="preserve">'s </w:t>
      </w:r>
      <w:r>
        <w:t xml:space="preserve">approach </w:t>
      </w:r>
      <w:r w:rsidRPr="00C362C1">
        <w:t xml:space="preserve">to managing its network. The </w:t>
      </w:r>
      <w:r>
        <w:t>service provider</w:t>
      </w:r>
      <w:r w:rsidRPr="00C362C1">
        <w:t>'s governance arrangements and its approach to risk management will influence most aspects of the proposal, including capex/opex trade-offs</w:t>
      </w:r>
      <w:r>
        <w:t xml:space="preserve"> (see attachments 6 and 7)</w:t>
      </w:r>
      <w:r w:rsidRPr="00C362C1">
        <w:t>.</w:t>
      </w:r>
    </w:p>
    <w:p w:rsidR="005766DB" w:rsidRPr="006C7462" w:rsidRDefault="005766DB" w:rsidP="005766DB">
      <w:r w:rsidRPr="009D2C84">
        <w:t>We have considered interrelationships</w:t>
      </w:r>
      <w:r>
        <w:t>, including those above,</w:t>
      </w:r>
      <w:r w:rsidRPr="009D2C84">
        <w:t xml:space="preserve"> in our analysis of the </w:t>
      </w:r>
      <w:r>
        <w:t>individual</w:t>
      </w:r>
      <w:r w:rsidRPr="009D2C84">
        <w:t xml:space="preserve"> components of our decision. </w:t>
      </w:r>
      <w:r>
        <w:t>These considerations are explored in the relevant attachments</w:t>
      </w:r>
      <w:r w:rsidRPr="009D2C84">
        <w:t>.</w:t>
      </w:r>
    </w:p>
    <w:p w:rsidR="005766DB" w:rsidRPr="005766DB" w:rsidRDefault="005766DB" w:rsidP="005766DB">
      <w:pPr>
        <w:pStyle w:val="Heading7"/>
      </w:pPr>
      <w:bookmarkStart w:id="152" w:name="_Toc430002805"/>
      <w:bookmarkStart w:id="153" w:name="_Ref433793731"/>
      <w:bookmarkStart w:id="154" w:name="_Ref450145902"/>
      <w:bookmarkStart w:id="155" w:name="_Toc451873642"/>
      <w:r>
        <w:t>List of submissions</w:t>
      </w:r>
      <w:bookmarkEnd w:id="152"/>
      <w:bookmarkEnd w:id="153"/>
      <w:bookmarkEnd w:id="154"/>
      <w:bookmarkEnd w:id="155"/>
    </w:p>
    <w:tbl>
      <w:tblPr>
        <w:tblStyle w:val="AERtable-text0"/>
        <w:tblW w:w="0" w:type="auto"/>
        <w:tblLook w:val="04A0" w:firstRow="1" w:lastRow="0" w:firstColumn="1" w:lastColumn="0" w:noHBand="0" w:noVBand="1"/>
      </w:tblPr>
      <w:tblGrid>
        <w:gridCol w:w="6487"/>
        <w:gridCol w:w="2206"/>
      </w:tblGrid>
      <w:tr w:rsidR="005766DB" w:rsidTr="000B15BF">
        <w:trPr>
          <w:cnfStyle w:val="100000000000" w:firstRow="1" w:lastRow="0" w:firstColumn="0" w:lastColumn="0" w:oddVBand="0" w:evenVBand="0" w:oddHBand="0" w:evenHBand="0" w:firstRowFirstColumn="0" w:firstRowLastColumn="0" w:lastRowFirstColumn="0" w:lastRowLastColumn="0"/>
        </w:trPr>
        <w:tc>
          <w:tcPr>
            <w:tcW w:w="6487" w:type="dxa"/>
          </w:tcPr>
          <w:p w:rsidR="005766DB" w:rsidRPr="005766DB" w:rsidRDefault="005766DB" w:rsidP="005766DB">
            <w:r>
              <w:t>Submission from</w:t>
            </w:r>
          </w:p>
        </w:tc>
        <w:tc>
          <w:tcPr>
            <w:tcW w:w="2206" w:type="dxa"/>
          </w:tcPr>
          <w:p w:rsidR="005766DB" w:rsidRPr="005766DB" w:rsidRDefault="005766DB" w:rsidP="005766DB">
            <w:r>
              <w:t>Date received</w:t>
            </w:r>
          </w:p>
        </w:tc>
      </w:tr>
      <w:tr w:rsidR="005766DB" w:rsidTr="000B15BF">
        <w:tc>
          <w:tcPr>
            <w:tcW w:w="6487" w:type="dxa"/>
          </w:tcPr>
          <w:p w:rsidR="005766DB" w:rsidRPr="005766DB" w:rsidRDefault="001F5A37" w:rsidP="005766DB">
            <w:r>
              <w:t>Power and Water Corporation</w:t>
            </w:r>
          </w:p>
        </w:tc>
        <w:tc>
          <w:tcPr>
            <w:tcW w:w="2206" w:type="dxa"/>
          </w:tcPr>
          <w:p w:rsidR="005766DB" w:rsidRPr="005766DB" w:rsidRDefault="001F5A37" w:rsidP="005766DB">
            <w:r>
              <w:t>4 February 2016</w:t>
            </w:r>
          </w:p>
        </w:tc>
      </w:tr>
      <w:tr w:rsidR="005766DB" w:rsidTr="000B15BF">
        <w:trPr>
          <w:cnfStyle w:val="000000010000" w:firstRow="0" w:lastRow="0" w:firstColumn="0" w:lastColumn="0" w:oddVBand="0" w:evenVBand="0" w:oddHBand="0" w:evenHBand="1" w:firstRowFirstColumn="0" w:firstRowLastColumn="0" w:lastRowFirstColumn="0" w:lastRowLastColumn="0"/>
        </w:trPr>
        <w:tc>
          <w:tcPr>
            <w:tcW w:w="6487" w:type="dxa"/>
          </w:tcPr>
          <w:p w:rsidR="005766DB" w:rsidRPr="005766DB" w:rsidRDefault="001F5A37" w:rsidP="005766DB">
            <w:r>
              <w:t>Territory Generation</w:t>
            </w:r>
          </w:p>
        </w:tc>
        <w:tc>
          <w:tcPr>
            <w:tcW w:w="2206" w:type="dxa"/>
          </w:tcPr>
          <w:p w:rsidR="005766DB" w:rsidRPr="005766DB" w:rsidRDefault="001F5A37" w:rsidP="005766DB">
            <w:r>
              <w:t>4 February 2016</w:t>
            </w:r>
          </w:p>
        </w:tc>
      </w:tr>
      <w:tr w:rsidR="001F5A37" w:rsidTr="000B15BF">
        <w:tc>
          <w:tcPr>
            <w:tcW w:w="6487" w:type="dxa"/>
          </w:tcPr>
          <w:p w:rsidR="001F5A37" w:rsidRDefault="001F5A37" w:rsidP="005766DB">
            <w:r>
              <w:t>ActewAGL Distribution</w:t>
            </w:r>
          </w:p>
        </w:tc>
        <w:tc>
          <w:tcPr>
            <w:tcW w:w="2206" w:type="dxa"/>
          </w:tcPr>
          <w:p w:rsidR="001F5A37" w:rsidDel="001F5A37" w:rsidRDefault="001F5A37" w:rsidP="005766DB">
            <w:r>
              <w:t>4 February 2016</w:t>
            </w:r>
          </w:p>
        </w:tc>
      </w:tr>
    </w:tbl>
    <w:p w:rsidR="00A2303E" w:rsidRPr="001F5A37" w:rsidRDefault="00A2303E" w:rsidP="001F5A37"/>
    <w:p w:rsidR="009835A9" w:rsidRPr="001F5A37" w:rsidRDefault="009835A9"/>
    <w:sectPr w:rsidR="009835A9" w:rsidRPr="001F5A37" w:rsidSect="000B79FF">
      <w:headerReference w:type="even" r:id="rId20"/>
      <w:footerReference w:type="even" r:id="rId21"/>
      <w:footerReference w:type="default" r:id="rId22"/>
      <w:headerReference w:type="first" r:id="rId23"/>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C8" w:rsidRPr="00290C63" w:rsidRDefault="009E7EC8" w:rsidP="00290C63">
      <w:r>
        <w:separator/>
      </w:r>
    </w:p>
    <w:p w:rsidR="009E7EC8" w:rsidRDefault="009E7EC8"/>
  </w:endnote>
  <w:endnote w:type="continuationSeparator" w:id="0">
    <w:p w:rsidR="009E7EC8" w:rsidRPr="00290C63" w:rsidRDefault="009E7EC8" w:rsidP="00290C63">
      <w:r>
        <w:continuationSeparator/>
      </w:r>
    </w:p>
    <w:p w:rsidR="009E7EC8" w:rsidRDefault="009E7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C8" w:rsidRDefault="009E7EC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9E7EC8" w:rsidRDefault="009E7EC8">
    <w:pPr>
      <w:pStyle w:val="Footer"/>
    </w:pPr>
  </w:p>
  <w:p w:rsidR="009E7EC8" w:rsidRDefault="009E7EC8">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9E7EC8" w:rsidRPr="00CA52A2" w:rsidRDefault="009E7EC8" w:rsidP="00CA52A2">
        <w:pPr>
          <w:pStyle w:val="Footer"/>
        </w:pPr>
        <w:r w:rsidRPr="00CA52A2">
          <w:fldChar w:fldCharType="begin"/>
        </w:r>
        <w:r>
          <w:instrText xml:space="preserve"> PAGE   \* MERGEFORMAT </w:instrText>
        </w:r>
        <w:r w:rsidRPr="00CA52A2">
          <w:fldChar w:fldCharType="separate"/>
        </w:r>
        <w:r w:rsidR="006A6E05">
          <w:rPr>
            <w:noProof/>
          </w:rPr>
          <w:t>16</w:t>
        </w:r>
        <w:r w:rsidRPr="00CA52A2">
          <w:fldChar w:fldCharType="end"/>
        </w:r>
        <w:r w:rsidRPr="00CA52A2">
          <w:t xml:space="preserve">          </w:t>
        </w:r>
        <w:r>
          <w:t xml:space="preserve">Overview </w:t>
        </w:r>
        <w:r w:rsidRPr="00CA52A2">
          <w:t xml:space="preserve">| </w:t>
        </w:r>
        <w:r>
          <w:t>Final decision: Amadeus Gas Pipeline Access Arrangement 2016</w:t>
        </w:r>
        <w:r w:rsidRPr="00CA52A2">
          <w:t>–</w:t>
        </w:r>
        <w:r>
          <w:t>21</w:t>
        </w:r>
      </w:p>
    </w:sdtContent>
  </w:sdt>
  <w:p w:rsidR="009E7EC8" w:rsidRDefault="009E7EC8">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C8" w:rsidRPr="00290C63" w:rsidRDefault="009E7EC8" w:rsidP="00290C63">
      <w:r>
        <w:separator/>
      </w:r>
    </w:p>
    <w:p w:rsidR="009E7EC8" w:rsidRDefault="009E7EC8"/>
  </w:footnote>
  <w:footnote w:type="continuationSeparator" w:id="0">
    <w:p w:rsidR="009E7EC8" w:rsidRPr="00290C63" w:rsidRDefault="009E7EC8" w:rsidP="00290C63">
      <w:r>
        <w:continuationSeparator/>
      </w:r>
    </w:p>
    <w:p w:rsidR="009E7EC8" w:rsidRDefault="009E7EC8"/>
  </w:footnote>
  <w:footnote w:id="1">
    <w:p w:rsidR="009E7EC8" w:rsidRDefault="009E7EC8" w:rsidP="005766DB">
      <w:pPr>
        <w:pStyle w:val="FootnoteText"/>
      </w:pPr>
      <w:r>
        <w:rPr>
          <w:rStyle w:val="FootnoteReference"/>
        </w:rPr>
        <w:footnoteRef/>
      </w:r>
      <w:r>
        <w:t xml:space="preserve"> </w:t>
      </w:r>
      <w:r>
        <w:tab/>
        <w:t>Pipeline 'coverage' under the NGL determines the level of regulation that applies to a particular pipeline or network. The AGP is a covered pipeline. Under section 132 of the NGL, APTNT (as the service provider for the AGP), must therefore submit for our approval an access arrangement for the services it provides through the AGP.</w:t>
      </w:r>
    </w:p>
  </w:footnote>
  <w:footnote w:id="2">
    <w:p w:rsidR="009E7EC8" w:rsidRDefault="009E7EC8" w:rsidP="005766DB">
      <w:pPr>
        <w:pStyle w:val="FootnoteText"/>
      </w:pPr>
      <w:r>
        <w:rPr>
          <w:rStyle w:val="FootnoteReference"/>
        </w:rPr>
        <w:footnoteRef/>
      </w:r>
      <w:r>
        <w:t xml:space="preserve"> </w:t>
      </w:r>
      <w:r>
        <w:tab/>
        <w:t>NGL, s. 23.</w:t>
      </w:r>
    </w:p>
  </w:footnote>
  <w:footnote w:id="3">
    <w:p w:rsidR="009E7EC8" w:rsidRDefault="009E7EC8">
      <w:pPr>
        <w:pStyle w:val="FootnoteText"/>
      </w:pPr>
      <w:r>
        <w:rPr>
          <w:rStyle w:val="FootnoteReference"/>
        </w:rPr>
        <w:footnoteRef/>
      </w:r>
      <w:r>
        <w:t xml:space="preserve"> </w:t>
      </w:r>
      <w:r>
        <w:tab/>
      </w:r>
      <w:hyperlink r:id="rId1" w:history="1">
        <w:r w:rsidRPr="000F5266">
          <w:rPr>
            <w:rStyle w:val="Hyperlink"/>
            <w:sz w:val="16"/>
          </w:rPr>
          <w:t>http://www.aer.gov.au/networks-pipelines/determinations-access-arrangements/amadeus-gas-pipeline-access-arrangement-2016-21/revised-proposal</w:t>
        </w:r>
      </w:hyperlink>
      <w:r>
        <w:t xml:space="preserve"> </w:t>
      </w:r>
    </w:p>
  </w:footnote>
  <w:footnote w:id="4">
    <w:p w:rsidR="009E7EC8" w:rsidRDefault="009E7EC8" w:rsidP="000C089C">
      <w:pPr>
        <w:pStyle w:val="FootnoteText"/>
      </w:pPr>
      <w:r>
        <w:rPr>
          <w:rStyle w:val="FootnoteReference"/>
        </w:rPr>
        <w:footnoteRef/>
      </w:r>
      <w:r>
        <w:t xml:space="preserve"> </w:t>
      </w:r>
      <w:r>
        <w:tab/>
        <w:t>NGR, r. 41(2).</w:t>
      </w:r>
    </w:p>
  </w:footnote>
  <w:footnote w:id="5">
    <w:p w:rsidR="009E7EC8" w:rsidRDefault="009E7EC8" w:rsidP="000C089C">
      <w:pPr>
        <w:pStyle w:val="FootnoteText"/>
      </w:pPr>
      <w:r>
        <w:rPr>
          <w:rStyle w:val="FootnoteReference"/>
        </w:rPr>
        <w:footnoteRef/>
      </w:r>
      <w:r>
        <w:t xml:space="preserve"> </w:t>
      </w:r>
      <w:r>
        <w:tab/>
        <w:t>Rule 64(2) provides that the AER's proposal for an access arrangement or revisions is to be formulated with regard to (a) the matters the Law requires an access arrangement to include, (b) the service provider's access arrangement proposal, and (c) the AER's reasons for refusing to approve that proposal.</w:t>
      </w:r>
    </w:p>
  </w:footnote>
  <w:footnote w:id="6">
    <w:p w:rsidR="009E7EC8" w:rsidRDefault="009E7EC8">
      <w:pPr>
        <w:pStyle w:val="FootnoteText"/>
      </w:pPr>
      <w:r>
        <w:rPr>
          <w:rStyle w:val="FootnoteReference"/>
        </w:rPr>
        <w:footnoteRef/>
      </w:r>
      <w:r>
        <w:t xml:space="preserve"> </w:t>
      </w:r>
      <w:r>
        <w:tab/>
      </w:r>
      <w:r w:rsidRPr="00A37FB3">
        <w:t>In real terms</w:t>
      </w:r>
      <w:r>
        <w:t xml:space="preserve"> ($2015</w:t>
      </w:r>
      <w:r w:rsidRPr="00A37FB3">
        <w:t>–1</w:t>
      </w:r>
      <w:r>
        <w:t>6</w:t>
      </w:r>
      <w:r w:rsidRPr="00A37FB3">
        <w:t>), total revenue for 2016–21 is $</w:t>
      </w:r>
      <w:r>
        <w:t>46.5</w:t>
      </w:r>
      <w:r w:rsidRPr="00A37FB3">
        <w:t xml:space="preserve"> million ($201</w:t>
      </w:r>
      <w:r>
        <w:t>5</w:t>
      </w:r>
      <w:r w:rsidRPr="00A37FB3">
        <w:t>–1</w:t>
      </w:r>
      <w:r>
        <w:t>6</w:t>
      </w:r>
      <w:r w:rsidRPr="00A37FB3">
        <w:t xml:space="preserve">) or </w:t>
      </w:r>
      <w:r>
        <w:t>30.7</w:t>
      </w:r>
      <w:r w:rsidRPr="00A37FB3">
        <w:t xml:space="preserve"> per cent less than we approved for 201</w:t>
      </w:r>
      <w:r>
        <w:t>1</w:t>
      </w:r>
      <w:r w:rsidRPr="00A37FB3">
        <w:t>–1</w:t>
      </w:r>
      <w:r>
        <w:t>6</w:t>
      </w:r>
      <w:r w:rsidRPr="00A37FB3">
        <w:t>.</w:t>
      </w:r>
    </w:p>
  </w:footnote>
  <w:footnote w:id="7">
    <w:p w:rsidR="009E7EC8" w:rsidRDefault="009E7EC8" w:rsidP="00CE0A29">
      <w:pPr>
        <w:pStyle w:val="FootnoteText"/>
      </w:pPr>
      <w:r>
        <w:rPr>
          <w:rStyle w:val="FootnoteReference"/>
        </w:rPr>
        <w:footnoteRef/>
      </w:r>
      <w:r>
        <w:t xml:space="preserve"> </w:t>
      </w:r>
      <w:r>
        <w:tab/>
        <w:t xml:space="preserve">APTNT, </w:t>
      </w:r>
      <w:r w:rsidRPr="005531AD">
        <w:rPr>
          <w:rStyle w:val="AERtextitalic"/>
        </w:rPr>
        <w:t>Amadeus Gas Pipeline Access Arrangement Revision Proposal: Submission</w:t>
      </w:r>
      <w:r>
        <w:t xml:space="preserve"> (August 2015), p. 5.</w:t>
      </w:r>
    </w:p>
  </w:footnote>
  <w:footnote w:id="8">
    <w:p w:rsidR="009E7EC8" w:rsidRDefault="009E7EC8">
      <w:pPr>
        <w:pStyle w:val="FootnoteText"/>
      </w:pPr>
      <w:r>
        <w:rPr>
          <w:rStyle w:val="FootnoteReference"/>
        </w:rPr>
        <w:footnoteRef/>
      </w:r>
      <w:r>
        <w:t xml:space="preserve"> </w:t>
      </w:r>
      <w:r>
        <w:tab/>
        <w:t>NGR, r. 51.</w:t>
      </w:r>
    </w:p>
  </w:footnote>
  <w:footnote w:id="9">
    <w:p w:rsidR="009E7EC8" w:rsidRDefault="009E7EC8">
      <w:pPr>
        <w:pStyle w:val="FootnoteText"/>
      </w:pPr>
      <w:r>
        <w:rPr>
          <w:rStyle w:val="FootnoteReference"/>
        </w:rPr>
        <w:footnoteRef/>
      </w:r>
      <w:r>
        <w:t xml:space="preserve"> </w:t>
      </w:r>
      <w:r>
        <w:tab/>
        <w:t>NGR, r. 51(1)(a).</w:t>
      </w:r>
    </w:p>
  </w:footnote>
  <w:footnote w:id="10">
    <w:p w:rsidR="009E7EC8" w:rsidRDefault="009E7EC8" w:rsidP="005766DB">
      <w:pPr>
        <w:pStyle w:val="FootnoteText"/>
      </w:pPr>
      <w:r>
        <w:rPr>
          <w:rStyle w:val="FootnoteReference"/>
        </w:rPr>
        <w:footnoteRef/>
      </w:r>
      <w:r>
        <w:t xml:space="preserve"> </w:t>
      </w:r>
      <w:r>
        <w:tab/>
        <w:t>Where actual demand across the 2016–21 access arrangement period varies from the demand forecast in the access arrangement, APTNT's actual revenue will vary from the revenue allowance determined in our decision. In general, if actual demand is above forecast demand, APTNT's actual revenue will be above forecast revenue, and vice versa.</w:t>
      </w:r>
    </w:p>
  </w:footnote>
  <w:footnote w:id="11">
    <w:p w:rsidR="009E7EC8" w:rsidRPr="00E13EB2" w:rsidRDefault="009E7EC8" w:rsidP="003D32CA">
      <w:pPr>
        <w:pStyle w:val="FootnoteText"/>
      </w:pPr>
      <w:r>
        <w:rPr>
          <w:rStyle w:val="FootnoteReference"/>
        </w:rPr>
        <w:footnoteRef/>
      </w:r>
      <w:r>
        <w:tab/>
        <w:t xml:space="preserve">AER, </w:t>
      </w:r>
      <w:r w:rsidRPr="0039389B">
        <w:rPr>
          <w:i/>
        </w:rPr>
        <w:t>APTNT resp</w:t>
      </w:r>
      <w:r>
        <w:rPr>
          <w:i/>
        </w:rPr>
        <w:t>onse to information request No.</w:t>
      </w:r>
      <w:r w:rsidRPr="0039389B">
        <w:rPr>
          <w:i/>
        </w:rPr>
        <w:t>12</w:t>
      </w:r>
      <w:r>
        <w:t xml:space="preserve"> </w:t>
      </w:r>
      <w:r>
        <w:rPr>
          <w:rStyle w:val="AERtextsize8"/>
        </w:rPr>
        <w:t>[email to AER]</w:t>
      </w:r>
      <w:r>
        <w:rPr>
          <w:i/>
        </w:rPr>
        <w:t>,</w:t>
      </w:r>
      <w:r>
        <w:t xml:space="preserve"> 7 October 2015; APTNT, </w:t>
      </w:r>
      <w:r>
        <w:rPr>
          <w:i/>
        </w:rPr>
        <w:t xml:space="preserve">Amadeus Gas Pipeline access arrangement revision proposal submission, </w:t>
      </w:r>
      <w:r>
        <w:t>August 2015.</w:t>
      </w:r>
    </w:p>
  </w:footnote>
  <w:footnote w:id="12">
    <w:p w:rsidR="009E7EC8" w:rsidRDefault="009E7EC8" w:rsidP="005766DB">
      <w:pPr>
        <w:pStyle w:val="FootnoteText"/>
      </w:pPr>
      <w:r>
        <w:rPr>
          <w:rStyle w:val="FootnoteReference"/>
        </w:rPr>
        <w:footnoteRef/>
      </w:r>
      <w:r>
        <w:t xml:space="preserve"> </w:t>
      </w:r>
      <w:r>
        <w:tab/>
        <w:t>NGR, r. 76.</w:t>
      </w:r>
    </w:p>
  </w:footnote>
  <w:footnote w:id="13">
    <w:p w:rsidR="009E7EC8" w:rsidRDefault="009E7EC8" w:rsidP="005766DB">
      <w:pPr>
        <w:pStyle w:val="FootnoteText"/>
      </w:pPr>
      <w:bookmarkStart w:id="46" w:name="_GoBack"/>
      <w:bookmarkEnd w:id="46"/>
      <w:r>
        <w:rPr>
          <w:rStyle w:val="FootnoteReference"/>
        </w:rPr>
        <w:footnoteRef/>
      </w:r>
      <w:r>
        <w:t xml:space="preserve"> </w:t>
      </w:r>
      <w:r>
        <w:tab/>
        <w:t>APTNT</w:t>
      </w:r>
      <w:r w:rsidRPr="002D4706">
        <w:t xml:space="preserve">, </w:t>
      </w:r>
      <w:r>
        <w:rPr>
          <w:rStyle w:val="AERtextitalic"/>
        </w:rPr>
        <w:t xml:space="preserve">Amadeus Gas Pipeline access arrangement revision proposal, response to draft decision submission, </w:t>
      </w:r>
      <w:r>
        <w:t xml:space="preserve">January </w:t>
      </w:r>
      <w:r w:rsidRPr="002D4706">
        <w:t xml:space="preserve"> 201</w:t>
      </w:r>
      <w:r>
        <w:t>6</w:t>
      </w:r>
      <w:r w:rsidRPr="002D4706">
        <w:t>, p.</w:t>
      </w:r>
      <w:r>
        <w:t xml:space="preserve"> 104.</w:t>
      </w:r>
    </w:p>
  </w:footnote>
  <w:footnote w:id="14">
    <w:p w:rsidR="009E7EC8" w:rsidRDefault="009E7EC8" w:rsidP="00E75001">
      <w:pPr>
        <w:pStyle w:val="FootnoteText"/>
      </w:pPr>
      <w:r>
        <w:rPr>
          <w:rStyle w:val="FootnoteReference"/>
        </w:rPr>
        <w:footnoteRef/>
      </w:r>
      <w:r>
        <w:t xml:space="preserve"> </w:t>
      </w:r>
      <w:r>
        <w:tab/>
        <w:t xml:space="preserve">An average tariff cap is where the total revenue is divided by forecast energy capacity to establish the average tariff. For 2016–17 the established average tariff becomes the reference tariff which forms the starting point for adjusting the price path under the CPI–X tariff variation mechanism. </w:t>
      </w:r>
    </w:p>
    <w:p w:rsidR="009E7EC8" w:rsidRDefault="009E7EC8" w:rsidP="00E75001">
      <w:pPr>
        <w:pStyle w:val="FootnoteText"/>
      </w:pPr>
    </w:p>
  </w:footnote>
  <w:footnote w:id="15">
    <w:p w:rsidR="009E7EC8" w:rsidRDefault="009E7EC8" w:rsidP="005766DB">
      <w:pPr>
        <w:pStyle w:val="FootnoteText"/>
      </w:pPr>
      <w:r>
        <w:rPr>
          <w:rStyle w:val="FootnoteReference"/>
        </w:rPr>
        <w:footnoteRef/>
      </w:r>
      <w:r>
        <w:t xml:space="preserve"> </w:t>
      </w:r>
      <w:r>
        <w:tab/>
        <w:t>The tariff path for 2011–21 uses actual inflation figures for 2011–15, and estimated inflation for 2015–21.</w:t>
      </w:r>
    </w:p>
  </w:footnote>
  <w:footnote w:id="16">
    <w:p w:rsidR="009E7EC8" w:rsidRDefault="009E7EC8" w:rsidP="005766DB">
      <w:pPr>
        <w:pStyle w:val="FootnoteText"/>
      </w:pPr>
      <w:r>
        <w:rPr>
          <w:rStyle w:val="FootnoteReference"/>
        </w:rPr>
        <w:footnoteRef/>
      </w:r>
      <w:r>
        <w:t xml:space="preserve"> </w:t>
      </w:r>
      <w:r>
        <w:tab/>
        <w:t>The revenue equalisation occurs in NPV terms, discounting the yearly cash flows at the rate of return to reflect the time value of money.</w:t>
      </w:r>
    </w:p>
  </w:footnote>
  <w:footnote w:id="17">
    <w:p w:rsidR="009E7EC8" w:rsidRDefault="009E7EC8" w:rsidP="005766DB">
      <w:pPr>
        <w:pStyle w:val="FootnoteText"/>
      </w:pPr>
      <w:r>
        <w:rPr>
          <w:rStyle w:val="FootnoteReference"/>
        </w:rPr>
        <w:footnoteRef/>
      </w:r>
      <w:r>
        <w:t xml:space="preserve"> </w:t>
      </w:r>
      <w:r>
        <w:tab/>
        <w:t>NGL, ss. 23, 24.</w:t>
      </w:r>
    </w:p>
  </w:footnote>
  <w:footnote w:id="18">
    <w:p w:rsidR="009E7EC8" w:rsidRDefault="009E7EC8" w:rsidP="005766DB">
      <w:pPr>
        <w:pStyle w:val="FootnoteText"/>
      </w:pPr>
      <w:r>
        <w:rPr>
          <w:rStyle w:val="FootnoteReference"/>
        </w:rPr>
        <w:footnoteRef/>
      </w:r>
      <w:r>
        <w:t xml:space="preserve"> </w:t>
      </w:r>
      <w:r>
        <w:tab/>
      </w:r>
      <w:hyperlink r:id="rId2" w:history="1">
        <w:r w:rsidRPr="00316325">
          <w:rPr>
            <w:rStyle w:val="Hyperlink"/>
            <w:sz w:val="16"/>
          </w:rPr>
          <w:t>http://www.aer.gov.au/networks-pipelines/better-regulation</w:t>
        </w:r>
      </w:hyperlink>
      <w:r>
        <w:t>.</w:t>
      </w:r>
    </w:p>
  </w:footnote>
  <w:footnote w:id="19">
    <w:p w:rsidR="009E7EC8" w:rsidRDefault="009E7EC8" w:rsidP="005766DB">
      <w:pPr>
        <w:pStyle w:val="FootnoteText"/>
      </w:pPr>
      <w:r>
        <w:rPr>
          <w:rStyle w:val="FootnoteReference"/>
        </w:rPr>
        <w:footnoteRef/>
      </w:r>
      <w:r>
        <w:t xml:space="preserve"> </w:t>
      </w:r>
      <w:r>
        <w:tab/>
      </w:r>
      <w:r w:rsidRPr="008D04DA">
        <w:t xml:space="preserve">The size of the </w:t>
      </w:r>
      <w:r>
        <w:t>capital base</w:t>
      </w:r>
      <w:r w:rsidRPr="008D04DA">
        <w:t xml:space="preserve"> also impacts the </w:t>
      </w:r>
      <w:r>
        <w:t xml:space="preserve">benchmark </w:t>
      </w:r>
      <w:r w:rsidRPr="008D04DA">
        <w:t>debt raising cost allowance. However, this amount is usually relatively small and therefore not a significant determinant of revenues overall.</w:t>
      </w:r>
    </w:p>
  </w:footnote>
  <w:footnote w:id="20">
    <w:p w:rsidR="009E7EC8" w:rsidRDefault="009E7EC8" w:rsidP="00EB65C6">
      <w:pPr>
        <w:pStyle w:val="FootnoteText"/>
      </w:pPr>
      <w:r>
        <w:rPr>
          <w:rStyle w:val="FootnoteReference"/>
        </w:rPr>
        <w:footnoteRef/>
      </w:r>
      <w:r>
        <w:t xml:space="preserve"> </w:t>
      </w:r>
      <w:r>
        <w:tab/>
      </w:r>
      <w:r w:rsidRPr="00863383">
        <w:t>The March quarter CPI is used as a proxy for the June financial year in the 201</w:t>
      </w:r>
      <w:r>
        <w:t>1</w:t>
      </w:r>
      <w:r w:rsidRPr="00863383">
        <w:t>–1</w:t>
      </w:r>
      <w:r>
        <w:t>6</w:t>
      </w:r>
      <w:r w:rsidRPr="00863383">
        <w:t xml:space="preserve"> </w:t>
      </w:r>
      <w:r>
        <w:t>access arrangement</w:t>
      </w:r>
      <w:r w:rsidRPr="00863383">
        <w:t xml:space="preserve"> period. </w:t>
      </w:r>
    </w:p>
  </w:footnote>
  <w:footnote w:id="21">
    <w:p w:rsidR="009E7EC8" w:rsidRDefault="009E7EC8" w:rsidP="00950501">
      <w:pPr>
        <w:pStyle w:val="FootnoteText"/>
      </w:pPr>
      <w:r>
        <w:rPr>
          <w:rStyle w:val="FootnoteReference"/>
        </w:rPr>
        <w:footnoteRef/>
      </w:r>
      <w:r>
        <w:t xml:space="preserve"> </w:t>
      </w:r>
      <w:r>
        <w:tab/>
        <w:t>NGR, r. 87(2).</w:t>
      </w:r>
    </w:p>
  </w:footnote>
  <w:footnote w:id="22">
    <w:p w:rsidR="009E7EC8" w:rsidRDefault="009E7EC8" w:rsidP="00950501">
      <w:pPr>
        <w:pStyle w:val="FootnoteText"/>
      </w:pPr>
      <w:r>
        <w:rPr>
          <w:rStyle w:val="FootnoteReference"/>
        </w:rPr>
        <w:footnoteRef/>
      </w:r>
      <w:r>
        <w:t xml:space="preserve"> </w:t>
      </w:r>
      <w:r>
        <w:tab/>
        <w:t>NGR, r. 87(3).</w:t>
      </w:r>
    </w:p>
  </w:footnote>
  <w:footnote w:id="23">
    <w:p w:rsidR="009E7EC8" w:rsidRDefault="009E7EC8" w:rsidP="00950501">
      <w:pPr>
        <w:pStyle w:val="FootnoteText"/>
      </w:pPr>
      <w:r>
        <w:rPr>
          <w:rStyle w:val="FootnoteReference"/>
        </w:rPr>
        <w:footnoteRef/>
      </w:r>
      <w:r>
        <w:t xml:space="preserve"> </w:t>
      </w:r>
      <w:r>
        <w:tab/>
        <w:t xml:space="preserve">APTNT, </w:t>
      </w:r>
      <w:r>
        <w:rPr>
          <w:rStyle w:val="AERtextitalic"/>
        </w:rPr>
        <w:t>Amadeus Gas Pipeline Access Arrangement Information</w:t>
      </w:r>
      <w:r w:rsidRPr="0071672B">
        <w:rPr>
          <w:rStyle w:val="AERtextitalic"/>
          <w:i w:val="0"/>
        </w:rPr>
        <w:t>, January 2016, p. 26</w:t>
      </w:r>
      <w:r>
        <w:t>.</w:t>
      </w:r>
    </w:p>
  </w:footnote>
  <w:footnote w:id="24">
    <w:p w:rsidR="009E7EC8" w:rsidRDefault="009E7EC8" w:rsidP="00950501">
      <w:pPr>
        <w:pStyle w:val="FootnoteText"/>
      </w:pPr>
      <w:r>
        <w:rPr>
          <w:rStyle w:val="FootnoteReference"/>
        </w:rPr>
        <w:footnoteRef/>
      </w:r>
      <w:r>
        <w:t xml:space="preserve"> </w:t>
      </w:r>
      <w:r>
        <w:tab/>
        <w:t>NGR, r. 87(4).</w:t>
      </w:r>
    </w:p>
  </w:footnote>
  <w:footnote w:id="25">
    <w:p w:rsidR="009E7EC8" w:rsidRDefault="009E7EC8" w:rsidP="00950501">
      <w:pPr>
        <w:pStyle w:val="FootnoteText"/>
        <w:tabs>
          <w:tab w:val="left" w:pos="3015"/>
        </w:tabs>
      </w:pPr>
      <w:r>
        <w:rPr>
          <w:rStyle w:val="FootnoteReference"/>
        </w:rPr>
        <w:footnoteRef/>
      </w:r>
      <w:r>
        <w:t xml:space="preserve"> </w:t>
      </w:r>
      <w:r>
        <w:tab/>
      </w:r>
      <w:r w:rsidRPr="00195DAA">
        <w:t>NGL</w:t>
      </w:r>
      <w:r>
        <w:t>,</w:t>
      </w:r>
      <w:r w:rsidRPr="00195DAA">
        <w:t xml:space="preserve"> s. 28</w:t>
      </w:r>
      <w:r>
        <w:t>.</w:t>
      </w:r>
    </w:p>
  </w:footnote>
  <w:footnote w:id="26">
    <w:p w:rsidR="009E7EC8" w:rsidRDefault="009E7EC8" w:rsidP="000E3E98">
      <w:pPr>
        <w:pStyle w:val="FootnoteText"/>
      </w:pPr>
      <w:r>
        <w:rPr>
          <w:rStyle w:val="FootnoteReference"/>
        </w:rPr>
        <w:footnoteRef/>
      </w:r>
      <w:r>
        <w:t xml:space="preserve"> </w:t>
      </w:r>
      <w:r>
        <w:tab/>
        <w:t>NGR, r. 87(6).</w:t>
      </w:r>
    </w:p>
  </w:footnote>
  <w:footnote w:id="27">
    <w:p w:rsidR="009E7EC8" w:rsidRDefault="009E7EC8" w:rsidP="000E3E98">
      <w:pPr>
        <w:pStyle w:val="FootnoteText"/>
      </w:pPr>
      <w:r>
        <w:rPr>
          <w:rStyle w:val="FootnoteReference"/>
        </w:rPr>
        <w:footnoteRef/>
      </w:r>
      <w:r>
        <w:t xml:space="preserve"> </w:t>
      </w:r>
      <w:r>
        <w:tab/>
        <w:t xml:space="preserve">APTNT, </w:t>
      </w:r>
      <w:r>
        <w:rPr>
          <w:rStyle w:val="AERtextitalic"/>
        </w:rPr>
        <w:t>Amadeus Gas Pipeline: Access arrangement information</w:t>
      </w:r>
      <w:r>
        <w:t>, January 2016, p. 26.</w:t>
      </w:r>
    </w:p>
  </w:footnote>
  <w:footnote w:id="28">
    <w:p w:rsidR="009E7EC8" w:rsidRDefault="009E7EC8" w:rsidP="00950501">
      <w:pPr>
        <w:pStyle w:val="FootnoteText"/>
      </w:pPr>
      <w:r>
        <w:rPr>
          <w:rStyle w:val="FootnoteReference"/>
        </w:rPr>
        <w:footnoteRef/>
      </w:r>
      <w:r>
        <w:t xml:space="preserve"> </w:t>
      </w:r>
      <w:r>
        <w:tab/>
        <w:t xml:space="preserve">APTNT, </w:t>
      </w:r>
      <w:r w:rsidRPr="0071672B">
        <w:rPr>
          <w:rStyle w:val="AERtextitalic"/>
        </w:rPr>
        <w:t>Amadeus Gas Pipeline: Access arrangement revision proposal submission</w:t>
      </w:r>
      <w:r>
        <w:t>, August 2015, p. 137.</w:t>
      </w:r>
    </w:p>
  </w:footnote>
  <w:footnote w:id="29">
    <w:p w:rsidR="009E7EC8" w:rsidRDefault="009E7EC8" w:rsidP="00950501">
      <w:pPr>
        <w:pStyle w:val="FootnoteText"/>
      </w:pPr>
      <w:r>
        <w:rPr>
          <w:rStyle w:val="FootnoteReference"/>
        </w:rPr>
        <w:footnoteRef/>
      </w:r>
      <w:r>
        <w:t xml:space="preserve"> </w:t>
      </w:r>
      <w:r>
        <w:tab/>
        <w:t xml:space="preserve">APTNT, </w:t>
      </w:r>
      <w:r>
        <w:rPr>
          <w:rStyle w:val="AERtextitalic"/>
        </w:rPr>
        <w:t>Amadeus Gas Pipeline: Access arrangement information</w:t>
      </w:r>
      <w:r>
        <w:t>, January 2016, p. 24.</w:t>
      </w:r>
    </w:p>
  </w:footnote>
  <w:footnote w:id="30">
    <w:p w:rsidR="009E7EC8" w:rsidRDefault="009E7EC8" w:rsidP="00950501">
      <w:pPr>
        <w:pStyle w:val="FootnoteText"/>
      </w:pPr>
      <w:r>
        <w:rPr>
          <w:rStyle w:val="FootnoteReference"/>
        </w:rPr>
        <w:footnoteRef/>
      </w:r>
      <w:r>
        <w:t xml:space="preserve">     This final decision determines the return on debt methodology for the 2016–21 access arrangement period. This period covers the first five years of the 10 year transition period. This decision also sets out our intended return on debt methodology for the remaining five years. However, we do not have the power to determine in this decision the return on debt methodology for those years. Under the NER, the return on debt methodology must be determined in future decisions that relate to that period.</w:t>
      </w:r>
    </w:p>
  </w:footnote>
  <w:footnote w:id="31">
    <w:p w:rsidR="00325B48" w:rsidRDefault="00325B48" w:rsidP="00325B48">
      <w:pPr>
        <w:pStyle w:val="FootnoteText"/>
      </w:pPr>
      <w:r>
        <w:rPr>
          <w:rStyle w:val="FootnoteReference"/>
        </w:rPr>
        <w:footnoteRef/>
      </w:r>
      <w:r>
        <w:t xml:space="preserve"> </w:t>
      </w:r>
      <w:r>
        <w:tab/>
      </w:r>
      <w:r w:rsidRPr="00890E69">
        <w:rPr>
          <w:rStyle w:val="AERtextitalic"/>
        </w:rPr>
        <w:t>Income Tax Assessment Act 1997</w:t>
      </w:r>
      <w:r>
        <w:t>, parts 3–6.</w:t>
      </w:r>
    </w:p>
  </w:footnote>
  <w:footnote w:id="32">
    <w:p w:rsidR="00325B48" w:rsidRDefault="00325B48" w:rsidP="00325B48">
      <w:pPr>
        <w:pStyle w:val="FootnoteText"/>
      </w:pPr>
      <w:r>
        <w:rPr>
          <w:rStyle w:val="FootnoteReference"/>
        </w:rPr>
        <w:footnoteRef/>
      </w:r>
      <w:r>
        <w:t xml:space="preserve"> </w:t>
      </w:r>
      <w:r>
        <w:tab/>
        <w:t xml:space="preserve">While the return on equity is not reduced to take into account the value of imputation credits, we note our estimate of the MRP does consider the value we use for imputation credits to ensure it reflects the value to investors in the domestic Australian market inclusive of credits. </w:t>
      </w:r>
    </w:p>
  </w:footnote>
  <w:footnote w:id="33">
    <w:p w:rsidR="00325B48" w:rsidRDefault="00325B48" w:rsidP="00325B48">
      <w:pPr>
        <w:pStyle w:val="FootnoteText"/>
      </w:pPr>
      <w:r>
        <w:rPr>
          <w:rStyle w:val="FootnoteReference"/>
        </w:rPr>
        <w:footnoteRef/>
      </w:r>
      <w:r>
        <w:t xml:space="preserve"> </w:t>
      </w:r>
      <w:r>
        <w:tab/>
        <w:t>NGR, rr. 76(c), 87A.</w:t>
      </w:r>
    </w:p>
  </w:footnote>
  <w:footnote w:id="34">
    <w:p w:rsidR="00325B48" w:rsidRDefault="00325B48" w:rsidP="00325B48">
      <w:pPr>
        <w:pStyle w:val="FootnoteText"/>
      </w:pPr>
      <w:r>
        <w:rPr>
          <w:rStyle w:val="FootnoteReference"/>
        </w:rPr>
        <w:footnoteRef/>
      </w:r>
      <w:r>
        <w:t xml:space="preserve"> </w:t>
      </w:r>
      <w:r>
        <w:tab/>
        <w:t xml:space="preserve">APTNT, </w:t>
      </w:r>
      <w:r w:rsidRPr="00BC0F43">
        <w:rPr>
          <w:rStyle w:val="AERtextitalic"/>
        </w:rPr>
        <w:t xml:space="preserve">Revised access arrangement proposal: </w:t>
      </w:r>
      <w:r>
        <w:rPr>
          <w:rStyle w:val="AERtextitalic"/>
        </w:rPr>
        <w:t>Response to draft decision—Submission</w:t>
      </w:r>
      <w:r>
        <w:t>, January 2016, pp. 89–94.</w:t>
      </w:r>
    </w:p>
  </w:footnote>
  <w:footnote w:id="35">
    <w:p w:rsidR="00325B48" w:rsidRDefault="00325B48" w:rsidP="00325B48">
      <w:pPr>
        <w:pStyle w:val="FootnoteText"/>
      </w:pPr>
      <w:r>
        <w:rPr>
          <w:rStyle w:val="FootnoteReference"/>
        </w:rPr>
        <w:footnoteRef/>
      </w:r>
      <w:r>
        <w:t xml:space="preserve"> </w:t>
      </w:r>
      <w:r>
        <w:tab/>
      </w:r>
      <w:r w:rsidRPr="009524C9">
        <w:rPr>
          <w:rStyle w:val="AERtextitalic"/>
        </w:rPr>
        <w:t>United Energy,</w:t>
      </w:r>
      <w:r w:rsidRPr="00325B48">
        <w:t xml:space="preserve"> </w:t>
      </w:r>
      <w:r w:rsidRPr="005942A6">
        <w:rPr>
          <w:rStyle w:val="AERtextitalic"/>
        </w:rPr>
        <w:t>Submission on AER preliminary determination - Submission on gamma</w:t>
      </w:r>
      <w:r w:rsidRPr="00325B48">
        <w:t xml:space="preserve">, 26 April 2016; CitiPower/Powercor, </w:t>
      </w:r>
      <w:r w:rsidRPr="005942A6">
        <w:rPr>
          <w:rStyle w:val="AERtextitalic"/>
        </w:rPr>
        <w:t>Submission on implications of recent Australian Competition Tribunal Decision</w:t>
      </w:r>
      <w:r w:rsidRPr="00325B48">
        <w:t>, 18 April 2016; ActewAGL,</w:t>
      </w:r>
      <w:r w:rsidRPr="005942A6">
        <w:rPr>
          <w:rStyle w:val="AERtextitalic"/>
        </w:rPr>
        <w:t xml:space="preserve"> Implication of recent Tribunal decisions for final decision and updates to the allowed rate of return and forecast inflation estimate</w:t>
      </w:r>
      <w:r w:rsidRPr="00325B48">
        <w:t>, 12 May 2016.</w:t>
      </w:r>
    </w:p>
  </w:footnote>
  <w:footnote w:id="36">
    <w:p w:rsidR="00325B48" w:rsidRDefault="00325B48" w:rsidP="00325B48">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37">
    <w:p w:rsidR="00325B48" w:rsidRDefault="00325B48" w:rsidP="00325B48">
      <w:pPr>
        <w:pStyle w:val="FootnoteText"/>
      </w:pPr>
      <w:r>
        <w:rPr>
          <w:rStyle w:val="FootnoteReference"/>
        </w:rPr>
        <w:footnoteRef/>
      </w:r>
      <w:r>
        <w:t xml:space="preserve"> </w:t>
      </w:r>
      <w:r>
        <w:tab/>
      </w:r>
      <w:r w:rsidRPr="0060763E">
        <w:t xml:space="preserve">Lally, </w:t>
      </w:r>
      <w:r w:rsidRPr="0060763E">
        <w:rPr>
          <w:rStyle w:val="AERtextitalic"/>
        </w:rPr>
        <w:t>Gamma and the ACT Decision</w:t>
      </w:r>
      <w:r w:rsidRPr="0060763E">
        <w:t>, May 2016</w:t>
      </w:r>
      <w:r>
        <w:t>.</w:t>
      </w:r>
    </w:p>
  </w:footnote>
  <w:footnote w:id="38">
    <w:p w:rsidR="00325B48" w:rsidRDefault="00325B48" w:rsidP="00325B48">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39">
    <w:p w:rsidR="009E7EC8" w:rsidRDefault="009E7EC8" w:rsidP="005766DB">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40">
    <w:p w:rsidR="009E7EC8" w:rsidRDefault="009E7EC8" w:rsidP="005766DB">
      <w:pPr>
        <w:pStyle w:val="FootnoteText"/>
      </w:pPr>
      <w:r>
        <w:rPr>
          <w:rStyle w:val="FootnoteReference"/>
        </w:rPr>
        <w:footnoteRef/>
      </w:r>
      <w:r>
        <w:t xml:space="preserve"> </w:t>
      </w:r>
      <w:r>
        <w:tab/>
        <w:t>NGR, r. 76(b).</w:t>
      </w:r>
    </w:p>
  </w:footnote>
  <w:footnote w:id="41">
    <w:p w:rsidR="009E7EC8" w:rsidRDefault="009E7EC8" w:rsidP="005766DB">
      <w:pPr>
        <w:pStyle w:val="FootnoteText"/>
      </w:pPr>
      <w:r>
        <w:rPr>
          <w:rStyle w:val="FootnoteReference"/>
        </w:rPr>
        <w:footnoteRef/>
      </w:r>
      <w:r>
        <w:t xml:space="preserve"> </w:t>
      </w:r>
      <w:r>
        <w:tab/>
        <w:t>Regulatory depreciation is the net total</w:t>
      </w:r>
      <w:r w:rsidRPr="003A447F">
        <w:t xml:space="preserve"> of the straight-line depreciation (negative) and the annual inflation indexation (positive) on the projected capital base</w:t>
      </w:r>
      <w:r>
        <w:t>.</w:t>
      </w:r>
    </w:p>
  </w:footnote>
  <w:footnote w:id="42">
    <w:p w:rsidR="009E7EC8" w:rsidRDefault="009E7EC8" w:rsidP="005766DB">
      <w:pPr>
        <w:pStyle w:val="FootnoteText"/>
      </w:pPr>
      <w:r>
        <w:rPr>
          <w:rStyle w:val="FootnoteReference"/>
        </w:rPr>
        <w:footnoteRef/>
      </w:r>
      <w:r>
        <w:t xml:space="preserve"> </w:t>
      </w:r>
      <w:r>
        <w:tab/>
        <w:t>NGR, r. 89.</w:t>
      </w:r>
    </w:p>
  </w:footnote>
  <w:footnote w:id="43">
    <w:p w:rsidR="009E7EC8" w:rsidRDefault="009E7EC8" w:rsidP="005766DB">
      <w:pPr>
        <w:pStyle w:val="FootnoteText"/>
      </w:pPr>
      <w:r>
        <w:rPr>
          <w:rStyle w:val="FootnoteReference"/>
        </w:rPr>
        <w:footnoteRef/>
      </w:r>
      <w:r>
        <w:t xml:space="preserve"> </w:t>
      </w:r>
      <w:r>
        <w:tab/>
        <w:t>NGL, s</w:t>
      </w:r>
      <w:r w:rsidRPr="006127F2">
        <w:rPr>
          <w:rFonts w:eastAsia="Calibri"/>
        </w:rPr>
        <w:t xml:space="preserve"> 28; NGR r. 100(1). The NGO is set out in NGL, s. 23. The revenue and pricing principles are set out in NGL, s.</w:t>
      </w:r>
      <w:r>
        <w:rPr>
          <w:rFonts w:eastAsia="Calibri"/>
        </w:rPr>
        <w:t> </w:t>
      </w:r>
      <w:r w:rsidRPr="006127F2">
        <w:rPr>
          <w:rFonts w:eastAsia="Calibri"/>
        </w:rPr>
        <w:t>24.</w:t>
      </w:r>
    </w:p>
  </w:footnote>
  <w:footnote w:id="44">
    <w:p w:rsidR="009E7EC8" w:rsidRDefault="009E7EC8">
      <w:pPr>
        <w:pStyle w:val="FootnoteText"/>
      </w:pPr>
      <w:r>
        <w:rPr>
          <w:rStyle w:val="FootnoteReference"/>
        </w:rPr>
        <w:footnoteRef/>
      </w:r>
      <w:r>
        <w:t xml:space="preserve"> </w:t>
      </w:r>
      <w:r>
        <w:tab/>
        <w:t>NGR, rr. 88–90.</w:t>
      </w:r>
    </w:p>
  </w:footnote>
  <w:footnote w:id="45">
    <w:p w:rsidR="009E7EC8" w:rsidRDefault="009E7EC8" w:rsidP="005766DB">
      <w:pPr>
        <w:pStyle w:val="FootnoteText"/>
      </w:pPr>
      <w:r>
        <w:rPr>
          <w:rStyle w:val="FootnoteReference"/>
        </w:rPr>
        <w:footnoteRef/>
      </w:r>
      <w:r>
        <w:t xml:space="preserve"> </w:t>
      </w:r>
      <w:r>
        <w:tab/>
        <w:t>NGR, r. 77(2)(b).</w:t>
      </w:r>
    </w:p>
  </w:footnote>
  <w:footnote w:id="46">
    <w:p w:rsidR="009E7EC8" w:rsidRDefault="009E7EC8" w:rsidP="005766DB">
      <w:pPr>
        <w:pStyle w:val="FootnoteText"/>
      </w:pPr>
      <w:r>
        <w:rPr>
          <w:rStyle w:val="FootnoteReference"/>
        </w:rPr>
        <w:footnoteRef/>
      </w:r>
      <w:r>
        <w:t xml:space="preserve"> </w:t>
      </w:r>
      <w:r>
        <w:tab/>
        <w:t>NGR, r. 79.</w:t>
      </w:r>
    </w:p>
  </w:footnote>
  <w:footnote w:id="47">
    <w:p w:rsidR="009E7EC8" w:rsidRDefault="009E7EC8">
      <w:pPr>
        <w:pStyle w:val="FootnoteText"/>
      </w:pPr>
      <w:r>
        <w:rPr>
          <w:rStyle w:val="FootnoteReference"/>
        </w:rPr>
        <w:footnoteRef/>
      </w:r>
      <w:r>
        <w:t xml:space="preserve"> </w:t>
      </w:r>
      <w:r>
        <w:tab/>
        <w:t>NGR, r. 79(1)(a).</w:t>
      </w:r>
    </w:p>
  </w:footnote>
  <w:footnote w:id="48">
    <w:p w:rsidR="009E7EC8" w:rsidRDefault="009E7EC8" w:rsidP="005766DB">
      <w:pPr>
        <w:pStyle w:val="FootnoteText"/>
      </w:pPr>
      <w:r>
        <w:rPr>
          <w:rStyle w:val="FootnoteReference"/>
        </w:rPr>
        <w:footnoteRef/>
      </w:r>
      <w:r>
        <w:t xml:space="preserve"> </w:t>
      </w:r>
      <w:r>
        <w:tab/>
        <w:t>NGR, r. 91.</w:t>
      </w:r>
    </w:p>
  </w:footnote>
  <w:footnote w:id="49">
    <w:p w:rsidR="009E7EC8" w:rsidRDefault="009E7EC8" w:rsidP="00565E7E">
      <w:pPr>
        <w:pStyle w:val="FootnoteText"/>
      </w:pPr>
      <w:r>
        <w:rPr>
          <w:rStyle w:val="FootnoteReference"/>
        </w:rPr>
        <w:footnoteRef/>
      </w:r>
      <w:r>
        <w:t xml:space="preserve"> </w:t>
      </w:r>
      <w:r>
        <w:tab/>
        <w:t>NGR, r. 76(c).</w:t>
      </w:r>
    </w:p>
  </w:footnote>
  <w:footnote w:id="50">
    <w:p w:rsidR="009E7EC8" w:rsidRDefault="009E7EC8" w:rsidP="00632F64">
      <w:pPr>
        <w:pStyle w:val="FootnoteText"/>
      </w:pPr>
      <w:r>
        <w:rPr>
          <w:rStyle w:val="FootnoteReference"/>
        </w:rPr>
        <w:footnoteRef/>
      </w:r>
      <w:r>
        <w:tab/>
        <w:t>NGR, r. 87A.</w:t>
      </w:r>
    </w:p>
  </w:footnote>
  <w:footnote w:id="51">
    <w:p w:rsidR="009E7EC8" w:rsidRDefault="009E7EC8" w:rsidP="004A212A">
      <w:pPr>
        <w:pStyle w:val="FootnoteText"/>
      </w:pPr>
      <w:r>
        <w:rPr>
          <w:rStyle w:val="FootnoteReference"/>
        </w:rPr>
        <w:footnoteRef/>
      </w:r>
      <w:r>
        <w:t xml:space="preserve"> </w:t>
      </w:r>
      <w:r>
        <w:tab/>
      </w:r>
      <w:r w:rsidRPr="00BD5868">
        <w:t xml:space="preserve">AER, Draft Decision, </w:t>
      </w:r>
      <w:r w:rsidRPr="00BD5868">
        <w:rPr>
          <w:rStyle w:val="AERtextitalic"/>
        </w:rPr>
        <w:t>Amadeus Gas Pipeline Access Arrang</w:t>
      </w:r>
      <w:r>
        <w:rPr>
          <w:rStyle w:val="AERtextitalic"/>
        </w:rPr>
        <w:t>ement 2016 to 2021, Attachment 13</w:t>
      </w:r>
      <w:r w:rsidRPr="00BD5868">
        <w:rPr>
          <w:rStyle w:val="AERtextitalic"/>
        </w:rPr>
        <w:t xml:space="preserve"> - </w:t>
      </w:r>
      <w:r>
        <w:rPr>
          <w:rStyle w:val="AERtextitalic"/>
        </w:rPr>
        <w:t>Demand</w:t>
      </w:r>
      <w:r>
        <w:t>, November 2015</w:t>
      </w:r>
      <w:r w:rsidR="007A4DA7">
        <w:t>.</w:t>
      </w:r>
    </w:p>
  </w:footnote>
  <w:footnote w:id="52">
    <w:p w:rsidR="009E7EC8" w:rsidRDefault="009E7EC8" w:rsidP="004A212A">
      <w:pPr>
        <w:pStyle w:val="FootnoteText"/>
      </w:pPr>
      <w:r>
        <w:rPr>
          <w:rStyle w:val="FootnoteReference"/>
        </w:rPr>
        <w:footnoteRef/>
      </w:r>
      <w:r>
        <w:t xml:space="preserve"> </w:t>
      </w:r>
      <w:r>
        <w:tab/>
        <w:t>NGR, r. 74(2)</w:t>
      </w:r>
      <w:r w:rsidR="007A4DA7">
        <w:t>.</w:t>
      </w:r>
    </w:p>
  </w:footnote>
  <w:footnote w:id="53">
    <w:p w:rsidR="009E7EC8" w:rsidRDefault="009E7EC8" w:rsidP="004A212A">
      <w:pPr>
        <w:pStyle w:val="FootnoteText"/>
      </w:pPr>
      <w:r>
        <w:rPr>
          <w:rStyle w:val="FootnoteReference"/>
        </w:rPr>
        <w:footnoteRef/>
      </w:r>
      <w:r>
        <w:t xml:space="preserve"> </w:t>
      </w:r>
      <w:r>
        <w:tab/>
        <w:t xml:space="preserve">Power and Water Corporation, </w:t>
      </w:r>
      <w:r>
        <w:rPr>
          <w:rStyle w:val="AERtextitalic"/>
        </w:rPr>
        <w:t>S</w:t>
      </w:r>
      <w:r w:rsidRPr="00553CFA">
        <w:rPr>
          <w:rStyle w:val="AERtextitalic"/>
        </w:rPr>
        <w:t>ubmission to Amadeus Gas Pipeline Access Arrangement 2016-21</w:t>
      </w:r>
      <w:r>
        <w:t>, 4 February 2016, p.2</w:t>
      </w:r>
      <w:r w:rsidR="007A4DA7">
        <w:t>.</w:t>
      </w:r>
    </w:p>
  </w:footnote>
  <w:footnote w:id="54">
    <w:p w:rsidR="009E7EC8" w:rsidRDefault="009E7EC8" w:rsidP="004A212A">
      <w:pPr>
        <w:pStyle w:val="FootnoteText"/>
      </w:pPr>
      <w:r>
        <w:rPr>
          <w:rStyle w:val="FootnoteReference"/>
        </w:rPr>
        <w:footnoteRef/>
      </w:r>
      <w:r>
        <w:t xml:space="preserve"> </w:t>
      </w:r>
      <w:r>
        <w:tab/>
        <w:t xml:space="preserve">Power and Water Corporation, </w:t>
      </w:r>
      <w:r>
        <w:rPr>
          <w:rStyle w:val="AERtextitalic"/>
        </w:rPr>
        <w:t>S</w:t>
      </w:r>
      <w:r w:rsidRPr="00553CFA">
        <w:rPr>
          <w:rStyle w:val="AERtextitalic"/>
        </w:rPr>
        <w:t>ubmission to Amadeus Gas Pipeline Access Arrangement 2016-21</w:t>
      </w:r>
      <w:r>
        <w:t>, 4 February 2016, p.2</w:t>
      </w:r>
      <w:r w:rsidR="007A4DA7">
        <w:t>.</w:t>
      </w:r>
    </w:p>
  </w:footnote>
  <w:footnote w:id="55">
    <w:p w:rsidR="009E7EC8" w:rsidRDefault="009E7EC8" w:rsidP="00C075B9">
      <w:pPr>
        <w:pStyle w:val="FootnoteText"/>
      </w:pPr>
      <w:r>
        <w:rPr>
          <w:rStyle w:val="FootnoteReference"/>
        </w:rPr>
        <w:footnoteRef/>
      </w:r>
      <w:r>
        <w:t xml:space="preserve"> </w:t>
      </w:r>
      <w:r>
        <w:tab/>
      </w:r>
      <w:r w:rsidRPr="00763152">
        <w:t>NGR, r. 101(2).</w:t>
      </w:r>
    </w:p>
  </w:footnote>
  <w:footnote w:id="56">
    <w:p w:rsidR="009E7EC8" w:rsidRDefault="009E7EC8" w:rsidP="00C075B9">
      <w:pPr>
        <w:pStyle w:val="FootnoteText"/>
      </w:pPr>
      <w:r>
        <w:rPr>
          <w:rStyle w:val="FootnoteReference"/>
        </w:rPr>
        <w:footnoteRef/>
      </w:r>
      <w:r>
        <w:t xml:space="preserve"> </w:t>
      </w:r>
      <w:r>
        <w:tab/>
      </w:r>
      <w:r w:rsidRPr="00763152">
        <w:t xml:space="preserve">APTNT, </w:t>
      </w:r>
      <w:r w:rsidRPr="00763152">
        <w:rPr>
          <w:rStyle w:val="AERtextitalic"/>
        </w:rPr>
        <w:t>Amadeus Gas Pipeline access arrangement revision proposal submission</w:t>
      </w:r>
      <w:r w:rsidRPr="00763152">
        <w:t>, August 2015, p. 23.</w:t>
      </w:r>
    </w:p>
  </w:footnote>
  <w:footnote w:id="57">
    <w:p w:rsidR="009E7EC8" w:rsidRDefault="009E7EC8" w:rsidP="00757889">
      <w:pPr>
        <w:pStyle w:val="FootnoteText"/>
      </w:pPr>
      <w:r>
        <w:rPr>
          <w:rStyle w:val="FootnoteReference"/>
        </w:rPr>
        <w:footnoteRef/>
      </w:r>
      <w:r>
        <w:t xml:space="preserve"> </w:t>
      </w:r>
      <w:r>
        <w:tab/>
        <w:t>NGR, r. 48(1)(d)(i).</w:t>
      </w:r>
    </w:p>
  </w:footnote>
  <w:footnote w:id="58">
    <w:p w:rsidR="009E7EC8" w:rsidRDefault="009E7EC8" w:rsidP="00757889">
      <w:pPr>
        <w:pStyle w:val="FootnoteText"/>
      </w:pPr>
      <w:r>
        <w:rPr>
          <w:rStyle w:val="FootnoteReference"/>
        </w:rPr>
        <w:footnoteRef/>
      </w:r>
      <w:r>
        <w:t xml:space="preserve"> </w:t>
      </w:r>
      <w:r>
        <w:tab/>
        <w:t xml:space="preserve">AER, </w:t>
      </w:r>
      <w:r w:rsidRPr="00FF3253">
        <w:rPr>
          <w:rStyle w:val="AERtextitalic"/>
        </w:rPr>
        <w:t>Draft decision: Amadeus Gas Pipeline access arrangement 2016 to 2021: Attachment 1</w:t>
      </w:r>
      <w:r>
        <w:rPr>
          <w:rStyle w:val="AERtextitalic"/>
        </w:rPr>
        <w:t>0</w:t>
      </w:r>
      <w:r w:rsidRPr="00FF3253">
        <w:rPr>
          <w:rStyle w:val="AERtextitalic"/>
        </w:rPr>
        <w:t>–</w:t>
      </w:r>
      <w:r>
        <w:rPr>
          <w:rStyle w:val="AERtextitalic"/>
        </w:rPr>
        <w:t>Reference tariff setting</w:t>
      </w:r>
      <w:r>
        <w:t>, November 2015, p. 6.</w:t>
      </w:r>
    </w:p>
  </w:footnote>
  <w:footnote w:id="59">
    <w:p w:rsidR="009E7EC8" w:rsidRDefault="009E7EC8" w:rsidP="00757889">
      <w:pPr>
        <w:pStyle w:val="FootnoteText"/>
      </w:pPr>
      <w:r>
        <w:rPr>
          <w:rStyle w:val="FootnoteReference"/>
        </w:rPr>
        <w:footnoteRef/>
      </w:r>
      <w:r>
        <w:t xml:space="preserve"> </w:t>
      </w:r>
      <w:r>
        <w:tab/>
        <w:t>NGR, rr. 93, 94.</w:t>
      </w:r>
    </w:p>
  </w:footnote>
  <w:footnote w:id="60">
    <w:p w:rsidR="009E7EC8" w:rsidRDefault="009E7EC8" w:rsidP="00CC26E1">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pp. 104–108</w:t>
      </w:r>
      <w:r w:rsidRPr="00346DC5">
        <w:t>.</w:t>
      </w:r>
    </w:p>
  </w:footnote>
  <w:footnote w:id="61">
    <w:p w:rsidR="009E7EC8" w:rsidRDefault="009E7EC8" w:rsidP="00CC26E1">
      <w:pPr>
        <w:pStyle w:val="FootnoteText"/>
      </w:pPr>
      <w:r>
        <w:rPr>
          <w:rStyle w:val="FootnoteReference"/>
        </w:rPr>
        <w:footnoteRef/>
      </w:r>
      <w:r>
        <w:t xml:space="preserve"> </w:t>
      </w:r>
      <w:r>
        <w:tab/>
        <w:t xml:space="preserve">APTNT, </w:t>
      </w:r>
      <w:r w:rsidRPr="002F2408">
        <w:rPr>
          <w:rStyle w:val="AERtextitalic"/>
        </w:rPr>
        <w:t>Amadeus Gas Pipeline access arrangement revised proposal: Response to draft decision submission</w:t>
      </w:r>
      <w:r w:rsidRPr="00346DC5">
        <w:t>,</w:t>
      </w:r>
      <w:r>
        <w:t xml:space="preserve"> J</w:t>
      </w:r>
      <w:r w:rsidRPr="00346DC5">
        <w:t>anuary</w:t>
      </w:r>
      <w:r>
        <w:t> 2016, pp. 107–108</w:t>
      </w:r>
      <w:r w:rsidRPr="00346DC5">
        <w:t>.</w:t>
      </w:r>
    </w:p>
  </w:footnote>
  <w:footnote w:id="62">
    <w:p w:rsidR="009E7EC8" w:rsidRDefault="009E7EC8" w:rsidP="00711358">
      <w:pPr>
        <w:pStyle w:val="FootnoteText"/>
      </w:pPr>
      <w:r>
        <w:rPr>
          <w:rStyle w:val="FootnoteReference"/>
        </w:rPr>
        <w:footnoteRef/>
      </w:r>
      <w:r>
        <w:t xml:space="preserve"> </w:t>
      </w:r>
      <w:r>
        <w:tab/>
        <w:t xml:space="preserve">APTNT, </w:t>
      </w:r>
      <w:r w:rsidRPr="00125CE0">
        <w:rPr>
          <w:rStyle w:val="AERtextitalic"/>
        </w:rPr>
        <w:t>RE: 040316 AER Information request - AER Amadeus 014 - Tariff Variation Mechanism</w:t>
      </w:r>
      <w:r>
        <w:rPr>
          <w:rStyle w:val="AERtextitalic"/>
        </w:rPr>
        <w:t xml:space="preserve"> </w:t>
      </w:r>
      <w:r>
        <w:rPr>
          <w:rStyle w:val="AERtextsize8"/>
        </w:rPr>
        <w:t>[email to AER]</w:t>
      </w:r>
      <w:r>
        <w:t>, 24 March 2016.</w:t>
      </w:r>
    </w:p>
  </w:footnote>
  <w:footnote w:id="63">
    <w:p w:rsidR="009E7EC8" w:rsidRDefault="009E7EC8" w:rsidP="00711358">
      <w:pPr>
        <w:pStyle w:val="FootnoteText"/>
      </w:pPr>
      <w:r>
        <w:rPr>
          <w:rStyle w:val="FootnoteReference"/>
        </w:rPr>
        <w:footnoteRef/>
      </w:r>
      <w:r>
        <w:t xml:space="preserve"> </w:t>
      </w:r>
      <w:r>
        <w:tab/>
        <w:t xml:space="preserve">APTNT, </w:t>
      </w:r>
      <w:r w:rsidRPr="00125CE0">
        <w:rPr>
          <w:rStyle w:val="AERtextitalic"/>
        </w:rPr>
        <w:t>RE: 040316 AER Information request - AER Amadeus 014 - Tariff Variation Mechanism</w:t>
      </w:r>
      <w:r>
        <w:rPr>
          <w:rStyle w:val="AERtextitalic"/>
        </w:rPr>
        <w:t xml:space="preserve"> </w:t>
      </w:r>
      <w:r w:rsidRPr="00DE6C18">
        <w:rPr>
          <w:rStyle w:val="AERtextsize8"/>
        </w:rPr>
        <w:t>[email to AER]</w:t>
      </w:r>
      <w:r>
        <w:t>, 24 March 2016.</w:t>
      </w:r>
    </w:p>
  </w:footnote>
  <w:footnote w:id="64">
    <w:p w:rsidR="009E7EC8" w:rsidRDefault="009E7EC8" w:rsidP="00711358">
      <w:pPr>
        <w:pStyle w:val="FootnoteText"/>
      </w:pPr>
      <w:r>
        <w:rPr>
          <w:rStyle w:val="FootnoteReference"/>
        </w:rPr>
        <w:footnoteRef/>
      </w:r>
      <w:r>
        <w:t xml:space="preserve"> </w:t>
      </w:r>
      <w:r>
        <w:tab/>
        <w:t xml:space="preserve">APTNT, </w:t>
      </w:r>
      <w:r w:rsidRPr="00AC167B">
        <w:rPr>
          <w:rStyle w:val="AERtextitalic"/>
        </w:rPr>
        <w:t>Access arrangement for the Amadeus Gas Pipeline: 1 July 2016 to 30 June 2021</w:t>
      </w:r>
      <w:r>
        <w:t xml:space="preserve">, August 2015, cl. 4.7.2; APTNT, </w:t>
      </w:r>
      <w:r w:rsidRPr="006F337C">
        <w:rPr>
          <w:rStyle w:val="AERtextitalic"/>
        </w:rPr>
        <w:t>Amadeus Gas Pipeline access arrangement revision proposal submission</w:t>
      </w:r>
      <w:r w:rsidRPr="001F71BE">
        <w:t xml:space="preserve">, </w:t>
      </w:r>
      <w:r>
        <w:t>August 2015, p. 173.</w:t>
      </w:r>
    </w:p>
  </w:footnote>
  <w:footnote w:id="65">
    <w:p w:rsidR="009E7EC8" w:rsidRDefault="009E7EC8" w:rsidP="00711358">
      <w:pPr>
        <w:pStyle w:val="FootnoteText"/>
      </w:pPr>
      <w:r>
        <w:rPr>
          <w:rStyle w:val="FootnoteReference"/>
        </w:rPr>
        <w:footnoteRef/>
      </w:r>
      <w:r>
        <w:t xml:space="preserve"> </w:t>
      </w:r>
      <w:r>
        <w:tab/>
      </w:r>
      <w:r w:rsidRPr="0058235C">
        <w:t>As the same timing of CPI escalation will be used for the RAB roll forward at t</w:t>
      </w:r>
      <w:r>
        <w:t>he next regulatory reset for APTNT</w:t>
      </w:r>
      <w:r w:rsidRPr="0058235C">
        <w:t xml:space="preserve"> in 2021, this change will allow us to update the actual CPI for RAB roll forward purposes well before the publication date of the AER's decision at the next reset. We note that there will be an overlapping issue of the March quarter CPI when the transition to the December quarter CPI occurs (this will occur in the 2017–18 tariff variation proposal). This is because the CPI for the March quarter 2</w:t>
      </w:r>
      <w:r>
        <w:t>017</w:t>
      </w:r>
      <w:r w:rsidRPr="0058235C">
        <w:t xml:space="preserve"> will be reflected in both 2016–17 and 2017–18 prices. However, we consider this is only a transitional issue and will not have a material impact on the </w:t>
      </w:r>
      <w:r>
        <w:t>APTNT's tariffs</w:t>
      </w:r>
      <w:r w:rsidRPr="0058235C">
        <w:t xml:space="preserve"> or revenue.</w:t>
      </w:r>
    </w:p>
  </w:footnote>
  <w:footnote w:id="66">
    <w:p w:rsidR="009E7EC8" w:rsidRDefault="009E7EC8" w:rsidP="00D63319">
      <w:pPr>
        <w:pStyle w:val="FootnoteText"/>
      </w:pPr>
      <w:r>
        <w:rPr>
          <w:rStyle w:val="FootnoteReference"/>
        </w:rPr>
        <w:footnoteRef/>
      </w:r>
      <w:r>
        <w:t xml:space="preserve"> </w:t>
      </w:r>
      <w:r>
        <w:tab/>
        <w:t xml:space="preserve">A significant factor in approving the extensions and expansions policy is the fact that, under the approved revision and commencement clause, the interconnection of the NGP will trigger a full review of the access arrangement. The relationship between these issues is discussed in our draft decision - </w:t>
      </w:r>
      <w:r w:rsidRPr="0022127C">
        <w:t xml:space="preserve">AER, </w:t>
      </w:r>
      <w:r w:rsidRPr="001C1CF3">
        <w:rPr>
          <w:rStyle w:val="AERtextitalic"/>
        </w:rPr>
        <w:t>Draft Decision, Amadeus Gas Pipeline Access Arrangement 2016 - 2021, Attachment 12 - Non-tariff components</w:t>
      </w:r>
      <w:r w:rsidRPr="0022127C">
        <w:t>, November 2015</w:t>
      </w:r>
      <w:r>
        <w:t>,  pp. 26.</w:t>
      </w:r>
    </w:p>
  </w:footnote>
  <w:footnote w:id="67">
    <w:p w:rsidR="009E7EC8" w:rsidRDefault="009E7EC8" w:rsidP="00A54C16">
      <w:pPr>
        <w:pStyle w:val="FootnoteText"/>
      </w:pPr>
      <w:r>
        <w:rPr>
          <w:rStyle w:val="FootnoteReference"/>
        </w:rPr>
        <w:footnoteRef/>
      </w:r>
      <w:r>
        <w:t xml:space="preserve"> </w:t>
      </w:r>
      <w:r>
        <w:tab/>
      </w:r>
      <w:r w:rsidRPr="00184EB3">
        <w:t xml:space="preserve">AER, </w:t>
      </w:r>
      <w:r w:rsidRPr="001C1CF3">
        <w:rPr>
          <w:rStyle w:val="AERtextitalic"/>
        </w:rPr>
        <w:t>Draft Decision, Amadeus Gas Pipeline Access Arrangement 2016 - 2021, Attachment 12 - Non-tariff components</w:t>
      </w:r>
      <w:r w:rsidRPr="00184EB3">
        <w:t>, November 2015</w:t>
      </w:r>
      <w:r>
        <w:t xml:space="preserve">, pp. 12-18 to 12-28.  </w:t>
      </w:r>
    </w:p>
  </w:footnote>
  <w:footnote w:id="68">
    <w:p w:rsidR="009E7EC8" w:rsidRDefault="009E7EC8" w:rsidP="005766DB">
      <w:pPr>
        <w:pStyle w:val="FootnoteText"/>
      </w:pPr>
      <w:r>
        <w:rPr>
          <w:rStyle w:val="FootnoteReference"/>
        </w:rPr>
        <w:footnoteRef/>
      </w:r>
      <w:r>
        <w:t xml:space="preserve"> </w:t>
      </w:r>
      <w:r>
        <w:tab/>
        <w:t>NGL, s. 23.</w:t>
      </w:r>
    </w:p>
  </w:footnote>
  <w:footnote w:id="69">
    <w:p w:rsidR="009E7EC8" w:rsidRDefault="009E7EC8" w:rsidP="005766DB">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9E7EC8" w:rsidRDefault="009E7EC8" w:rsidP="005766DB">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9E7EC8" w:rsidRDefault="009E7EC8" w:rsidP="005766DB">
      <w:pPr>
        <w:pStyle w:val="FootnoteText"/>
      </w:pPr>
      <w:r>
        <w:tab/>
        <w:t xml:space="preserve">Hansard, </w:t>
      </w:r>
      <w:r w:rsidRPr="00A12D0C">
        <w:rPr>
          <w:rStyle w:val="AERtextitalic"/>
        </w:rPr>
        <w:t>SA House of Assembly</w:t>
      </w:r>
      <w:r>
        <w:t>, 26 September 2013, pp. 7171</w:t>
      </w:r>
      <w:r>
        <w:rPr>
          <w:rFonts w:cs="Gautami"/>
        </w:rPr>
        <w:t>–</w:t>
      </w:r>
      <w:r>
        <w:t>7176.</w:t>
      </w:r>
    </w:p>
  </w:footnote>
  <w:footnote w:id="70">
    <w:p w:rsidR="009E7EC8" w:rsidRDefault="009E7EC8" w:rsidP="005766DB">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71">
    <w:p w:rsidR="009E7EC8" w:rsidRDefault="009E7EC8" w:rsidP="005766DB">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72">
    <w:p w:rsidR="009E7EC8" w:rsidRPr="001114AA" w:rsidRDefault="009E7EC8" w:rsidP="005766DB">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9E7EC8" w:rsidRDefault="009E7EC8" w:rsidP="005766DB">
      <w:pPr>
        <w:pStyle w:val="FootnoteText"/>
      </w:pPr>
      <w:r>
        <w:tab/>
        <w:t>Energy Ministers also accept this view – see Hansard, SA House of Assembly, 26 September 2013 p. 7172.</w:t>
      </w:r>
    </w:p>
    <w:p w:rsidR="009E7EC8" w:rsidRDefault="009E7EC8" w:rsidP="005766DB">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73">
    <w:p w:rsidR="009E7EC8" w:rsidRDefault="009E7EC8" w:rsidP="005766DB">
      <w:pPr>
        <w:pStyle w:val="FootnoteText"/>
      </w:pPr>
      <w:r>
        <w:rPr>
          <w:rStyle w:val="FootnoteReference"/>
        </w:rPr>
        <w:footnoteRef/>
      </w:r>
      <w:r>
        <w:t xml:space="preserve"> </w:t>
      </w:r>
      <w:r>
        <w:tab/>
        <w:t>NGL, s. 24(7).</w:t>
      </w:r>
    </w:p>
  </w:footnote>
  <w:footnote w:id="74">
    <w:p w:rsidR="009E7EC8" w:rsidRDefault="009E7EC8" w:rsidP="005766DB">
      <w:pPr>
        <w:pStyle w:val="FootnoteText"/>
      </w:pPr>
      <w:r>
        <w:rPr>
          <w:rStyle w:val="FootnoteReference"/>
        </w:rPr>
        <w:footnoteRef/>
      </w:r>
      <w:r>
        <w:t xml:space="preserve"> </w:t>
      </w:r>
      <w:r>
        <w:tab/>
        <w:t>NGL, s. 24(6).</w:t>
      </w:r>
    </w:p>
  </w:footnote>
  <w:footnote w:id="75">
    <w:p w:rsidR="009E7EC8" w:rsidRDefault="009E7EC8" w:rsidP="005766DB">
      <w:pPr>
        <w:pStyle w:val="FootnoteText"/>
      </w:pPr>
      <w:r>
        <w:rPr>
          <w:rStyle w:val="FootnoteReference"/>
        </w:rPr>
        <w:footnoteRef/>
      </w:r>
      <w:r>
        <w:t xml:space="preserve"> </w:t>
      </w:r>
      <w:r>
        <w:tab/>
        <w:t>NGL, s. 24.</w:t>
      </w:r>
    </w:p>
  </w:footnote>
  <w:footnote w:id="76">
    <w:p w:rsidR="009E7EC8" w:rsidRDefault="009E7EC8" w:rsidP="005766DB">
      <w:pPr>
        <w:pStyle w:val="FootnoteText"/>
      </w:pPr>
      <w:r>
        <w:rPr>
          <w:rStyle w:val="FootnoteReference"/>
        </w:rPr>
        <w:footnoteRef/>
      </w:r>
      <w:r>
        <w:t xml:space="preserve"> </w:t>
      </w:r>
      <w:r>
        <w:tab/>
        <w:t>NGL, s. 28(2).</w:t>
      </w:r>
    </w:p>
  </w:footnote>
  <w:footnote w:id="77">
    <w:p w:rsidR="009E7EC8" w:rsidRDefault="009E7EC8" w:rsidP="005766DB">
      <w:pPr>
        <w:pStyle w:val="FootnoteText"/>
      </w:pPr>
      <w:r>
        <w:rPr>
          <w:rStyle w:val="FootnoteReference"/>
        </w:rPr>
        <w:footnoteRef/>
      </w:r>
      <w:r>
        <w:t xml:space="preserve"> </w:t>
      </w:r>
      <w:r>
        <w:tab/>
        <w:t>Hansard</w:t>
      </w:r>
      <w:r w:rsidRPr="0099198D">
        <w:rPr>
          <w:rStyle w:val="AERtextitalic"/>
        </w:rPr>
        <w:t>, SA House of Assembly</w:t>
      </w:r>
      <w:r>
        <w:t xml:space="preserve">, 27 September 2007 pp. 965, Hansard, </w:t>
      </w:r>
      <w:r w:rsidRPr="0099198D">
        <w:rPr>
          <w:rStyle w:val="AERtextitalic"/>
        </w:rPr>
        <w:t>SA House of Assembly</w:t>
      </w:r>
      <w:r>
        <w:t xml:space="preserve">, 9 April 2008 p. 2886, Hansard, </w:t>
      </w:r>
      <w:r w:rsidRPr="0099198D">
        <w:rPr>
          <w:rStyle w:val="AERtextitalic"/>
        </w:rPr>
        <w:t>SA House of Assembly</w:t>
      </w:r>
      <w:r>
        <w:t>, 26 September 2013, p. 7173.</w:t>
      </w:r>
    </w:p>
  </w:footnote>
  <w:footnote w:id="78">
    <w:p w:rsidR="009E7EC8" w:rsidRDefault="009E7EC8" w:rsidP="005766DB">
      <w:pPr>
        <w:pStyle w:val="FootnoteText"/>
      </w:pPr>
      <w:r>
        <w:rPr>
          <w:rStyle w:val="FootnoteReference"/>
        </w:rPr>
        <w:footnoteRef/>
      </w:r>
      <w:r>
        <w:t xml:space="preserve"> </w:t>
      </w:r>
      <w:r w:rsidRPr="00A34B93">
        <w:t xml:space="preserve">: </w:t>
      </w:r>
      <w:r>
        <w:tab/>
      </w:r>
      <w:r w:rsidRPr="003F64E8">
        <w:t>AEMC</w:t>
      </w:r>
      <w:r w:rsidRPr="00DE6C18">
        <w:rPr>
          <w:rStyle w:val="Emphasis"/>
        </w:rPr>
        <w:t>, Rule Determination, National Electricity Amendment (Economic Regulation of Transmission Services) Rule 2006 No. 18</w:t>
      </w:r>
      <w:r w:rsidRPr="003F64E8">
        <w:t>, 16 November 2016, p. 52.</w:t>
      </w:r>
    </w:p>
  </w:footnote>
  <w:footnote w:id="79">
    <w:p w:rsidR="009E7EC8" w:rsidRDefault="009E7EC8" w:rsidP="005766DB">
      <w:pPr>
        <w:pStyle w:val="FootnoteText"/>
      </w:pPr>
      <w:r>
        <w:rPr>
          <w:rStyle w:val="FootnoteReference"/>
        </w:rPr>
        <w:footnoteRef/>
      </w:r>
      <w:r>
        <w:t xml:space="preserve"> </w:t>
      </w:r>
      <w:r>
        <w:tab/>
        <w:t xml:space="preserve">NGL, s. 28(1)(b)(iii). </w:t>
      </w:r>
    </w:p>
  </w:footnote>
  <w:footnote w:id="80">
    <w:p w:rsidR="009E7EC8" w:rsidRDefault="009E7EC8" w:rsidP="005766DB">
      <w:pPr>
        <w:pStyle w:val="FootnoteText"/>
      </w:pPr>
      <w:r>
        <w:rPr>
          <w:rStyle w:val="FootnoteReference"/>
        </w:rPr>
        <w:footnoteRef/>
      </w:r>
      <w:r>
        <w:t xml:space="preserve"> </w:t>
      </w:r>
      <w:r>
        <w:tab/>
        <w:t xml:space="preserve">SCER, </w:t>
      </w:r>
      <w:r w:rsidRPr="002921E2">
        <w:rPr>
          <w:rStyle w:val="AERtextitalic"/>
        </w:rPr>
        <w:t>Regulation Impact Statement: Limited Merits Review of Decision-Making in the Electricity and Gas Regulatory Frameworks – Decision Paper</w:t>
      </w:r>
      <w:r w:rsidRPr="00356A31">
        <w:t>, 6 June 2013 p. 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C8" w:rsidRDefault="006A6E05">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9E7EC8">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C8" w:rsidRDefault="006A6E0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97681AA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69193208"/>
    <w:multiLevelType w:val="hybridMultilevel"/>
    <w:tmpl w:val="54E67E2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6"/>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2/27kcXnKA/dzLgBk75cpoJhPRse5MgBOefUyAm35D4=" w:saltValue="3trAMZiWAIzyb/lMN1hUVA=="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560\AER15 4332  AER - Final decision Amadeus Gas Pipeline Access Arrangement - Attachment 1 - Services covered by the access arrangement - April 2016.DOCX"/>
  </w:docVars>
  <w:rsids>
    <w:rsidRoot w:val="00961A4A"/>
    <w:rsid w:val="00004633"/>
    <w:rsid w:val="00010286"/>
    <w:rsid w:val="00015515"/>
    <w:rsid w:val="00017B11"/>
    <w:rsid w:val="00021202"/>
    <w:rsid w:val="00021C2B"/>
    <w:rsid w:val="00022162"/>
    <w:rsid w:val="0002517F"/>
    <w:rsid w:val="00026495"/>
    <w:rsid w:val="0003290C"/>
    <w:rsid w:val="00032B1A"/>
    <w:rsid w:val="00033EE9"/>
    <w:rsid w:val="0003578C"/>
    <w:rsid w:val="000401AF"/>
    <w:rsid w:val="00041DDA"/>
    <w:rsid w:val="00047473"/>
    <w:rsid w:val="00052B21"/>
    <w:rsid w:val="00063247"/>
    <w:rsid w:val="00063A92"/>
    <w:rsid w:val="00070F9F"/>
    <w:rsid w:val="0007137B"/>
    <w:rsid w:val="00081EAF"/>
    <w:rsid w:val="00085663"/>
    <w:rsid w:val="00085EBF"/>
    <w:rsid w:val="00085F93"/>
    <w:rsid w:val="00091B15"/>
    <w:rsid w:val="000A1E7C"/>
    <w:rsid w:val="000A3020"/>
    <w:rsid w:val="000A6C7B"/>
    <w:rsid w:val="000B0360"/>
    <w:rsid w:val="000B15BF"/>
    <w:rsid w:val="000B3ADA"/>
    <w:rsid w:val="000B79FF"/>
    <w:rsid w:val="000C089C"/>
    <w:rsid w:val="000C2B40"/>
    <w:rsid w:val="000C4D25"/>
    <w:rsid w:val="000C579E"/>
    <w:rsid w:val="000D01F4"/>
    <w:rsid w:val="000D06C1"/>
    <w:rsid w:val="000D122C"/>
    <w:rsid w:val="000D2E75"/>
    <w:rsid w:val="000D3016"/>
    <w:rsid w:val="000D4856"/>
    <w:rsid w:val="000D64F2"/>
    <w:rsid w:val="000D7F32"/>
    <w:rsid w:val="000E1819"/>
    <w:rsid w:val="000E3E98"/>
    <w:rsid w:val="000E4821"/>
    <w:rsid w:val="000E6C72"/>
    <w:rsid w:val="000E7ED0"/>
    <w:rsid w:val="000F0B2B"/>
    <w:rsid w:val="000F3151"/>
    <w:rsid w:val="000F3E72"/>
    <w:rsid w:val="000F48B1"/>
    <w:rsid w:val="000F592C"/>
    <w:rsid w:val="000F723D"/>
    <w:rsid w:val="000F75B1"/>
    <w:rsid w:val="00103A67"/>
    <w:rsid w:val="00116EB2"/>
    <w:rsid w:val="00123574"/>
    <w:rsid w:val="00124609"/>
    <w:rsid w:val="00126A4C"/>
    <w:rsid w:val="001304FC"/>
    <w:rsid w:val="00133986"/>
    <w:rsid w:val="00136758"/>
    <w:rsid w:val="00142AB6"/>
    <w:rsid w:val="0014573B"/>
    <w:rsid w:val="00147E70"/>
    <w:rsid w:val="00156DCC"/>
    <w:rsid w:val="001573E4"/>
    <w:rsid w:val="00160756"/>
    <w:rsid w:val="001611F8"/>
    <w:rsid w:val="001716D5"/>
    <w:rsid w:val="0017179A"/>
    <w:rsid w:val="0017232E"/>
    <w:rsid w:val="00174102"/>
    <w:rsid w:val="0017480F"/>
    <w:rsid w:val="001754EE"/>
    <w:rsid w:val="00180157"/>
    <w:rsid w:val="00182467"/>
    <w:rsid w:val="00185CB9"/>
    <w:rsid w:val="00186F77"/>
    <w:rsid w:val="00191786"/>
    <w:rsid w:val="001926A4"/>
    <w:rsid w:val="00192AD5"/>
    <w:rsid w:val="001A0EE5"/>
    <w:rsid w:val="001B3F62"/>
    <w:rsid w:val="001B45A0"/>
    <w:rsid w:val="001B45C0"/>
    <w:rsid w:val="001B6F2E"/>
    <w:rsid w:val="001B7D00"/>
    <w:rsid w:val="001C17E7"/>
    <w:rsid w:val="001C1A91"/>
    <w:rsid w:val="001C7921"/>
    <w:rsid w:val="001D055E"/>
    <w:rsid w:val="001D3B09"/>
    <w:rsid w:val="001E009C"/>
    <w:rsid w:val="001E5FE2"/>
    <w:rsid w:val="001F05A4"/>
    <w:rsid w:val="001F17B2"/>
    <w:rsid w:val="001F492E"/>
    <w:rsid w:val="001F5A37"/>
    <w:rsid w:val="001F6DA3"/>
    <w:rsid w:val="002010BC"/>
    <w:rsid w:val="002016E7"/>
    <w:rsid w:val="00201F98"/>
    <w:rsid w:val="00202E03"/>
    <w:rsid w:val="0020478D"/>
    <w:rsid w:val="0020492C"/>
    <w:rsid w:val="00205A33"/>
    <w:rsid w:val="002146AD"/>
    <w:rsid w:val="002224AE"/>
    <w:rsid w:val="0022444D"/>
    <w:rsid w:val="00224DB9"/>
    <w:rsid w:val="00227DCE"/>
    <w:rsid w:val="00227E93"/>
    <w:rsid w:val="0023276C"/>
    <w:rsid w:val="00233775"/>
    <w:rsid w:val="002352B2"/>
    <w:rsid w:val="002461B0"/>
    <w:rsid w:val="00251745"/>
    <w:rsid w:val="0025205D"/>
    <w:rsid w:val="0025494E"/>
    <w:rsid w:val="00254EA9"/>
    <w:rsid w:val="00263AC0"/>
    <w:rsid w:val="00264264"/>
    <w:rsid w:val="0026555E"/>
    <w:rsid w:val="0026772D"/>
    <w:rsid w:val="00277554"/>
    <w:rsid w:val="00281E05"/>
    <w:rsid w:val="00286299"/>
    <w:rsid w:val="0028637B"/>
    <w:rsid w:val="00286874"/>
    <w:rsid w:val="00290C63"/>
    <w:rsid w:val="00290F4F"/>
    <w:rsid w:val="00291E32"/>
    <w:rsid w:val="00296B65"/>
    <w:rsid w:val="0029724D"/>
    <w:rsid w:val="002A041E"/>
    <w:rsid w:val="002A6688"/>
    <w:rsid w:val="002A7DEF"/>
    <w:rsid w:val="002B1003"/>
    <w:rsid w:val="002B573C"/>
    <w:rsid w:val="002C2025"/>
    <w:rsid w:val="002C233C"/>
    <w:rsid w:val="002C54DF"/>
    <w:rsid w:val="002C5BAE"/>
    <w:rsid w:val="002D44A9"/>
    <w:rsid w:val="002D60DF"/>
    <w:rsid w:val="002D72E8"/>
    <w:rsid w:val="002E22E6"/>
    <w:rsid w:val="002E48A4"/>
    <w:rsid w:val="002E7B22"/>
    <w:rsid w:val="002F7986"/>
    <w:rsid w:val="00301B40"/>
    <w:rsid w:val="00301F1F"/>
    <w:rsid w:val="003029A5"/>
    <w:rsid w:val="003029EE"/>
    <w:rsid w:val="0030370B"/>
    <w:rsid w:val="00304860"/>
    <w:rsid w:val="00305CC8"/>
    <w:rsid w:val="00307F6D"/>
    <w:rsid w:val="003130C9"/>
    <w:rsid w:val="0031750C"/>
    <w:rsid w:val="003177A2"/>
    <w:rsid w:val="00320869"/>
    <w:rsid w:val="00325B48"/>
    <w:rsid w:val="003262F6"/>
    <w:rsid w:val="00326B1D"/>
    <w:rsid w:val="003271B5"/>
    <w:rsid w:val="00327A1E"/>
    <w:rsid w:val="003309B6"/>
    <w:rsid w:val="00331264"/>
    <w:rsid w:val="003338A2"/>
    <w:rsid w:val="00334C8D"/>
    <w:rsid w:val="0033548E"/>
    <w:rsid w:val="00335999"/>
    <w:rsid w:val="00343A18"/>
    <w:rsid w:val="00344473"/>
    <w:rsid w:val="00344D08"/>
    <w:rsid w:val="003457F9"/>
    <w:rsid w:val="00347114"/>
    <w:rsid w:val="003518B3"/>
    <w:rsid w:val="003578CD"/>
    <w:rsid w:val="003657D2"/>
    <w:rsid w:val="003666F2"/>
    <w:rsid w:val="00366C78"/>
    <w:rsid w:val="003717D8"/>
    <w:rsid w:val="00377CD1"/>
    <w:rsid w:val="003834B1"/>
    <w:rsid w:val="003846F1"/>
    <w:rsid w:val="003867F0"/>
    <w:rsid w:val="003903D4"/>
    <w:rsid w:val="00391BF0"/>
    <w:rsid w:val="003931A7"/>
    <w:rsid w:val="00393646"/>
    <w:rsid w:val="003B484F"/>
    <w:rsid w:val="003B5C07"/>
    <w:rsid w:val="003B6F4C"/>
    <w:rsid w:val="003B7FBA"/>
    <w:rsid w:val="003C0C17"/>
    <w:rsid w:val="003C4C4E"/>
    <w:rsid w:val="003D32CA"/>
    <w:rsid w:val="003D4B8D"/>
    <w:rsid w:val="003D5C17"/>
    <w:rsid w:val="003D5EE0"/>
    <w:rsid w:val="003D683D"/>
    <w:rsid w:val="003E1AD5"/>
    <w:rsid w:val="003E3641"/>
    <w:rsid w:val="003E5C6F"/>
    <w:rsid w:val="003E7A9B"/>
    <w:rsid w:val="003F174D"/>
    <w:rsid w:val="003F572D"/>
    <w:rsid w:val="003F7442"/>
    <w:rsid w:val="003F7A2D"/>
    <w:rsid w:val="00415F31"/>
    <w:rsid w:val="004214B8"/>
    <w:rsid w:val="0042205D"/>
    <w:rsid w:val="00423A77"/>
    <w:rsid w:val="00423B76"/>
    <w:rsid w:val="0043179D"/>
    <w:rsid w:val="00434A75"/>
    <w:rsid w:val="00436ECD"/>
    <w:rsid w:val="00452473"/>
    <w:rsid w:val="00452D69"/>
    <w:rsid w:val="00457335"/>
    <w:rsid w:val="0045777E"/>
    <w:rsid w:val="00461B0F"/>
    <w:rsid w:val="00461C29"/>
    <w:rsid w:val="00467179"/>
    <w:rsid w:val="0047131E"/>
    <w:rsid w:val="0047312E"/>
    <w:rsid w:val="00474EC7"/>
    <w:rsid w:val="0047531E"/>
    <w:rsid w:val="00476B6E"/>
    <w:rsid w:val="00480918"/>
    <w:rsid w:val="00480B4B"/>
    <w:rsid w:val="00485DC4"/>
    <w:rsid w:val="004A0A5E"/>
    <w:rsid w:val="004A212A"/>
    <w:rsid w:val="004A43D1"/>
    <w:rsid w:val="004B355D"/>
    <w:rsid w:val="004B4412"/>
    <w:rsid w:val="004C0C43"/>
    <w:rsid w:val="004C2711"/>
    <w:rsid w:val="004C348C"/>
    <w:rsid w:val="004C3D1E"/>
    <w:rsid w:val="004C6A30"/>
    <w:rsid w:val="004D1A96"/>
    <w:rsid w:val="004D55BA"/>
    <w:rsid w:val="004D68DC"/>
    <w:rsid w:val="004E22EC"/>
    <w:rsid w:val="004E2A4C"/>
    <w:rsid w:val="004F5881"/>
    <w:rsid w:val="004F6A0E"/>
    <w:rsid w:val="00503B88"/>
    <w:rsid w:val="005059BE"/>
    <w:rsid w:val="00513106"/>
    <w:rsid w:val="0051702A"/>
    <w:rsid w:val="00530128"/>
    <w:rsid w:val="00532467"/>
    <w:rsid w:val="00535ED6"/>
    <w:rsid w:val="00537FD6"/>
    <w:rsid w:val="00562144"/>
    <w:rsid w:val="00564A4D"/>
    <w:rsid w:val="0056588A"/>
    <w:rsid w:val="00565E7E"/>
    <w:rsid w:val="00566930"/>
    <w:rsid w:val="00567BA5"/>
    <w:rsid w:val="005702A9"/>
    <w:rsid w:val="00571B35"/>
    <w:rsid w:val="00571D57"/>
    <w:rsid w:val="00572D15"/>
    <w:rsid w:val="00573644"/>
    <w:rsid w:val="005766DB"/>
    <w:rsid w:val="00577A09"/>
    <w:rsid w:val="005829C2"/>
    <w:rsid w:val="00584D8F"/>
    <w:rsid w:val="00585A4E"/>
    <w:rsid w:val="00585D43"/>
    <w:rsid w:val="00586507"/>
    <w:rsid w:val="00586819"/>
    <w:rsid w:val="00594A08"/>
    <w:rsid w:val="0059704C"/>
    <w:rsid w:val="005A404D"/>
    <w:rsid w:val="005B1E3C"/>
    <w:rsid w:val="005B309B"/>
    <w:rsid w:val="005B3FB7"/>
    <w:rsid w:val="005B4D33"/>
    <w:rsid w:val="005B704A"/>
    <w:rsid w:val="005C0A7F"/>
    <w:rsid w:val="005C26CC"/>
    <w:rsid w:val="005C2C06"/>
    <w:rsid w:val="005C4C9C"/>
    <w:rsid w:val="005C6218"/>
    <w:rsid w:val="005D03B1"/>
    <w:rsid w:val="005D1D67"/>
    <w:rsid w:val="005D2244"/>
    <w:rsid w:val="005D7BA2"/>
    <w:rsid w:val="005E32C8"/>
    <w:rsid w:val="005E356F"/>
    <w:rsid w:val="005E36C2"/>
    <w:rsid w:val="005F0183"/>
    <w:rsid w:val="005F31CE"/>
    <w:rsid w:val="005F53AF"/>
    <w:rsid w:val="005F60C0"/>
    <w:rsid w:val="005F6F7F"/>
    <w:rsid w:val="005F727F"/>
    <w:rsid w:val="006007DE"/>
    <w:rsid w:val="00601638"/>
    <w:rsid w:val="00603204"/>
    <w:rsid w:val="006064A3"/>
    <w:rsid w:val="0061056C"/>
    <w:rsid w:val="00610EF9"/>
    <w:rsid w:val="00612F4F"/>
    <w:rsid w:val="00615C6B"/>
    <w:rsid w:val="0061622C"/>
    <w:rsid w:val="00617D62"/>
    <w:rsid w:val="00620DC3"/>
    <w:rsid w:val="00621DCE"/>
    <w:rsid w:val="00627150"/>
    <w:rsid w:val="00632D6D"/>
    <w:rsid w:val="00632F64"/>
    <w:rsid w:val="00640812"/>
    <w:rsid w:val="00642C3E"/>
    <w:rsid w:val="00651C3A"/>
    <w:rsid w:val="00651CB2"/>
    <w:rsid w:val="006560CA"/>
    <w:rsid w:val="006602A9"/>
    <w:rsid w:val="00660A52"/>
    <w:rsid w:val="0066104A"/>
    <w:rsid w:val="00663DAD"/>
    <w:rsid w:val="00665649"/>
    <w:rsid w:val="00666E20"/>
    <w:rsid w:val="006672AA"/>
    <w:rsid w:val="00675E20"/>
    <w:rsid w:val="00676679"/>
    <w:rsid w:val="00676E74"/>
    <w:rsid w:val="006812E7"/>
    <w:rsid w:val="0068317F"/>
    <w:rsid w:val="00683C89"/>
    <w:rsid w:val="00684C16"/>
    <w:rsid w:val="006855C1"/>
    <w:rsid w:val="00691D9A"/>
    <w:rsid w:val="00693C11"/>
    <w:rsid w:val="00694BD8"/>
    <w:rsid w:val="006977D3"/>
    <w:rsid w:val="006A2306"/>
    <w:rsid w:val="006A466C"/>
    <w:rsid w:val="006A50AE"/>
    <w:rsid w:val="006A6E05"/>
    <w:rsid w:val="006A7CB9"/>
    <w:rsid w:val="006A7D76"/>
    <w:rsid w:val="006B2395"/>
    <w:rsid w:val="006B2C3E"/>
    <w:rsid w:val="006B2C7D"/>
    <w:rsid w:val="006B45A4"/>
    <w:rsid w:val="006B4CF9"/>
    <w:rsid w:val="006B785B"/>
    <w:rsid w:val="006B7AC8"/>
    <w:rsid w:val="006C1736"/>
    <w:rsid w:val="006C4798"/>
    <w:rsid w:val="006C774D"/>
    <w:rsid w:val="006D22F2"/>
    <w:rsid w:val="006D550F"/>
    <w:rsid w:val="006E2481"/>
    <w:rsid w:val="006E3F76"/>
    <w:rsid w:val="006F1F83"/>
    <w:rsid w:val="006F3AD1"/>
    <w:rsid w:val="006F3FC8"/>
    <w:rsid w:val="006F6183"/>
    <w:rsid w:val="0070011E"/>
    <w:rsid w:val="00701CAB"/>
    <w:rsid w:val="00707563"/>
    <w:rsid w:val="00711358"/>
    <w:rsid w:val="0071642F"/>
    <w:rsid w:val="0072348C"/>
    <w:rsid w:val="00724A37"/>
    <w:rsid w:val="00724DE7"/>
    <w:rsid w:val="00725F3E"/>
    <w:rsid w:val="007303C3"/>
    <w:rsid w:val="007342DD"/>
    <w:rsid w:val="00734A35"/>
    <w:rsid w:val="00741C46"/>
    <w:rsid w:val="00741E23"/>
    <w:rsid w:val="007429BE"/>
    <w:rsid w:val="00743223"/>
    <w:rsid w:val="00743289"/>
    <w:rsid w:val="00746B94"/>
    <w:rsid w:val="00746E01"/>
    <w:rsid w:val="00747960"/>
    <w:rsid w:val="00747EEA"/>
    <w:rsid w:val="0075123D"/>
    <w:rsid w:val="00752C8D"/>
    <w:rsid w:val="00756DD8"/>
    <w:rsid w:val="00757364"/>
    <w:rsid w:val="00757889"/>
    <w:rsid w:val="00757BDF"/>
    <w:rsid w:val="007609D0"/>
    <w:rsid w:val="00763618"/>
    <w:rsid w:val="00763E5D"/>
    <w:rsid w:val="00764C03"/>
    <w:rsid w:val="00767740"/>
    <w:rsid w:val="00777EE6"/>
    <w:rsid w:val="00781BCA"/>
    <w:rsid w:val="00782EEA"/>
    <w:rsid w:val="00791A67"/>
    <w:rsid w:val="007A4DA7"/>
    <w:rsid w:val="007A7002"/>
    <w:rsid w:val="007A7136"/>
    <w:rsid w:val="007A7F63"/>
    <w:rsid w:val="007B011C"/>
    <w:rsid w:val="007B186E"/>
    <w:rsid w:val="007B2C72"/>
    <w:rsid w:val="007B52C0"/>
    <w:rsid w:val="007B531E"/>
    <w:rsid w:val="007B6C52"/>
    <w:rsid w:val="007C1C53"/>
    <w:rsid w:val="007C3FD7"/>
    <w:rsid w:val="007C4F8D"/>
    <w:rsid w:val="007C74BB"/>
    <w:rsid w:val="007D0458"/>
    <w:rsid w:val="007D1807"/>
    <w:rsid w:val="007D456E"/>
    <w:rsid w:val="007D726A"/>
    <w:rsid w:val="007E07A1"/>
    <w:rsid w:val="007E3B16"/>
    <w:rsid w:val="007E42F4"/>
    <w:rsid w:val="007E4904"/>
    <w:rsid w:val="007E4CB5"/>
    <w:rsid w:val="007E6F0B"/>
    <w:rsid w:val="007E751D"/>
    <w:rsid w:val="007F066B"/>
    <w:rsid w:val="007F0A65"/>
    <w:rsid w:val="007F213A"/>
    <w:rsid w:val="007F75C4"/>
    <w:rsid w:val="008033C4"/>
    <w:rsid w:val="008057DE"/>
    <w:rsid w:val="00806C88"/>
    <w:rsid w:val="00810070"/>
    <w:rsid w:val="0081034E"/>
    <w:rsid w:val="00812B03"/>
    <w:rsid w:val="00815CAC"/>
    <w:rsid w:val="008168E7"/>
    <w:rsid w:val="008201D7"/>
    <w:rsid w:val="00821004"/>
    <w:rsid w:val="008221F2"/>
    <w:rsid w:val="0082301E"/>
    <w:rsid w:val="00824804"/>
    <w:rsid w:val="00825985"/>
    <w:rsid w:val="008301A7"/>
    <w:rsid w:val="008301B2"/>
    <w:rsid w:val="008344F6"/>
    <w:rsid w:val="0083510F"/>
    <w:rsid w:val="008352CF"/>
    <w:rsid w:val="00837A7D"/>
    <w:rsid w:val="008408C5"/>
    <w:rsid w:val="008414FC"/>
    <w:rsid w:val="00847887"/>
    <w:rsid w:val="00851209"/>
    <w:rsid w:val="00857186"/>
    <w:rsid w:val="0085722A"/>
    <w:rsid w:val="00862B19"/>
    <w:rsid w:val="00864B35"/>
    <w:rsid w:val="00866D99"/>
    <w:rsid w:val="00867CF6"/>
    <w:rsid w:val="008749E0"/>
    <w:rsid w:val="00874CD0"/>
    <w:rsid w:val="00882481"/>
    <w:rsid w:val="008837AC"/>
    <w:rsid w:val="00894AF7"/>
    <w:rsid w:val="008960AC"/>
    <w:rsid w:val="008A587D"/>
    <w:rsid w:val="008B35CD"/>
    <w:rsid w:val="008B5FCC"/>
    <w:rsid w:val="008B7544"/>
    <w:rsid w:val="008C3374"/>
    <w:rsid w:val="008C39F0"/>
    <w:rsid w:val="008C5486"/>
    <w:rsid w:val="008C63DF"/>
    <w:rsid w:val="008C708B"/>
    <w:rsid w:val="008D1661"/>
    <w:rsid w:val="008D6735"/>
    <w:rsid w:val="008D6800"/>
    <w:rsid w:val="008E6202"/>
    <w:rsid w:val="008E7031"/>
    <w:rsid w:val="008E77DE"/>
    <w:rsid w:val="008F07A3"/>
    <w:rsid w:val="008F16B3"/>
    <w:rsid w:val="008F34DD"/>
    <w:rsid w:val="008F5F1B"/>
    <w:rsid w:val="009001B6"/>
    <w:rsid w:val="00900E1B"/>
    <w:rsid w:val="00901C3C"/>
    <w:rsid w:val="009038ED"/>
    <w:rsid w:val="00911ADF"/>
    <w:rsid w:val="009233EE"/>
    <w:rsid w:val="00923CFC"/>
    <w:rsid w:val="00923FA9"/>
    <w:rsid w:val="009272AD"/>
    <w:rsid w:val="009277DC"/>
    <w:rsid w:val="00927CC3"/>
    <w:rsid w:val="00930A2F"/>
    <w:rsid w:val="00937196"/>
    <w:rsid w:val="00943523"/>
    <w:rsid w:val="009460AA"/>
    <w:rsid w:val="0094641C"/>
    <w:rsid w:val="00950501"/>
    <w:rsid w:val="00951978"/>
    <w:rsid w:val="00952818"/>
    <w:rsid w:val="009530CE"/>
    <w:rsid w:val="00960164"/>
    <w:rsid w:val="00961115"/>
    <w:rsid w:val="00961341"/>
    <w:rsid w:val="00961A4A"/>
    <w:rsid w:val="009661DE"/>
    <w:rsid w:val="0096717C"/>
    <w:rsid w:val="00972D1F"/>
    <w:rsid w:val="009751AC"/>
    <w:rsid w:val="00976160"/>
    <w:rsid w:val="00977599"/>
    <w:rsid w:val="009835A9"/>
    <w:rsid w:val="00983C25"/>
    <w:rsid w:val="009856B7"/>
    <w:rsid w:val="00985C86"/>
    <w:rsid w:val="0099198D"/>
    <w:rsid w:val="00996BAF"/>
    <w:rsid w:val="009972D8"/>
    <w:rsid w:val="009A4FAA"/>
    <w:rsid w:val="009A5113"/>
    <w:rsid w:val="009A539D"/>
    <w:rsid w:val="009A5FC3"/>
    <w:rsid w:val="009B533B"/>
    <w:rsid w:val="009B5DC8"/>
    <w:rsid w:val="009B6F84"/>
    <w:rsid w:val="009B7343"/>
    <w:rsid w:val="009B74B0"/>
    <w:rsid w:val="009C06AC"/>
    <w:rsid w:val="009C691D"/>
    <w:rsid w:val="009D143B"/>
    <w:rsid w:val="009D1838"/>
    <w:rsid w:val="009D2B38"/>
    <w:rsid w:val="009D3906"/>
    <w:rsid w:val="009D6B46"/>
    <w:rsid w:val="009E224A"/>
    <w:rsid w:val="009E3BE0"/>
    <w:rsid w:val="009E7EC8"/>
    <w:rsid w:val="009F3F61"/>
    <w:rsid w:val="009F4940"/>
    <w:rsid w:val="009F5BA1"/>
    <w:rsid w:val="009F7892"/>
    <w:rsid w:val="00A02A88"/>
    <w:rsid w:val="00A0562E"/>
    <w:rsid w:val="00A06085"/>
    <w:rsid w:val="00A0726D"/>
    <w:rsid w:val="00A11886"/>
    <w:rsid w:val="00A12632"/>
    <w:rsid w:val="00A16596"/>
    <w:rsid w:val="00A2303E"/>
    <w:rsid w:val="00A25E51"/>
    <w:rsid w:val="00A30638"/>
    <w:rsid w:val="00A32FBB"/>
    <w:rsid w:val="00A37FB3"/>
    <w:rsid w:val="00A428EE"/>
    <w:rsid w:val="00A4478A"/>
    <w:rsid w:val="00A44852"/>
    <w:rsid w:val="00A4650A"/>
    <w:rsid w:val="00A50502"/>
    <w:rsid w:val="00A52D30"/>
    <w:rsid w:val="00A54C16"/>
    <w:rsid w:val="00A57D04"/>
    <w:rsid w:val="00A60A26"/>
    <w:rsid w:val="00A61598"/>
    <w:rsid w:val="00A70833"/>
    <w:rsid w:val="00A7259C"/>
    <w:rsid w:val="00A81694"/>
    <w:rsid w:val="00A84A99"/>
    <w:rsid w:val="00A84F46"/>
    <w:rsid w:val="00A850B4"/>
    <w:rsid w:val="00A871F4"/>
    <w:rsid w:val="00A90AA4"/>
    <w:rsid w:val="00A923BF"/>
    <w:rsid w:val="00AA0606"/>
    <w:rsid w:val="00AB47E1"/>
    <w:rsid w:val="00AB49E9"/>
    <w:rsid w:val="00AC1B2C"/>
    <w:rsid w:val="00AC207A"/>
    <w:rsid w:val="00AC3264"/>
    <w:rsid w:val="00AD3884"/>
    <w:rsid w:val="00AD7B56"/>
    <w:rsid w:val="00AE04AD"/>
    <w:rsid w:val="00AE1BF1"/>
    <w:rsid w:val="00AF0DD2"/>
    <w:rsid w:val="00AF7AE6"/>
    <w:rsid w:val="00B011A8"/>
    <w:rsid w:val="00B0209D"/>
    <w:rsid w:val="00B02165"/>
    <w:rsid w:val="00B02961"/>
    <w:rsid w:val="00B04908"/>
    <w:rsid w:val="00B04B4C"/>
    <w:rsid w:val="00B07CEA"/>
    <w:rsid w:val="00B10EAB"/>
    <w:rsid w:val="00B13048"/>
    <w:rsid w:val="00B15F6C"/>
    <w:rsid w:val="00B168F2"/>
    <w:rsid w:val="00B1716D"/>
    <w:rsid w:val="00B17A1D"/>
    <w:rsid w:val="00B207A0"/>
    <w:rsid w:val="00B22213"/>
    <w:rsid w:val="00B2363F"/>
    <w:rsid w:val="00B40CAA"/>
    <w:rsid w:val="00B43815"/>
    <w:rsid w:val="00B514DD"/>
    <w:rsid w:val="00B51F3F"/>
    <w:rsid w:val="00B52AF0"/>
    <w:rsid w:val="00B5467B"/>
    <w:rsid w:val="00B561BD"/>
    <w:rsid w:val="00B56E03"/>
    <w:rsid w:val="00B610B3"/>
    <w:rsid w:val="00B61EDF"/>
    <w:rsid w:val="00B665B2"/>
    <w:rsid w:val="00B74AC5"/>
    <w:rsid w:val="00B757A6"/>
    <w:rsid w:val="00B8080B"/>
    <w:rsid w:val="00B82223"/>
    <w:rsid w:val="00B83638"/>
    <w:rsid w:val="00B86FB5"/>
    <w:rsid w:val="00B87BA5"/>
    <w:rsid w:val="00B87C39"/>
    <w:rsid w:val="00B87EDE"/>
    <w:rsid w:val="00B94B78"/>
    <w:rsid w:val="00B9562D"/>
    <w:rsid w:val="00B961FC"/>
    <w:rsid w:val="00B97C1B"/>
    <w:rsid w:val="00BA0731"/>
    <w:rsid w:val="00BA4665"/>
    <w:rsid w:val="00BA47EE"/>
    <w:rsid w:val="00BA6456"/>
    <w:rsid w:val="00BB2FB2"/>
    <w:rsid w:val="00BB3304"/>
    <w:rsid w:val="00BB3FD7"/>
    <w:rsid w:val="00BB6848"/>
    <w:rsid w:val="00BB7528"/>
    <w:rsid w:val="00BB7761"/>
    <w:rsid w:val="00BC0491"/>
    <w:rsid w:val="00BC18DE"/>
    <w:rsid w:val="00BC2FAF"/>
    <w:rsid w:val="00BC42EF"/>
    <w:rsid w:val="00BD0920"/>
    <w:rsid w:val="00BD0C45"/>
    <w:rsid w:val="00BD310B"/>
    <w:rsid w:val="00BD3446"/>
    <w:rsid w:val="00BD7DF8"/>
    <w:rsid w:val="00BE1F1B"/>
    <w:rsid w:val="00BE47B5"/>
    <w:rsid w:val="00BE7C24"/>
    <w:rsid w:val="00BF0C8F"/>
    <w:rsid w:val="00BF0CD7"/>
    <w:rsid w:val="00C04223"/>
    <w:rsid w:val="00C075B9"/>
    <w:rsid w:val="00C2336B"/>
    <w:rsid w:val="00C25FA6"/>
    <w:rsid w:val="00C275C4"/>
    <w:rsid w:val="00C276CF"/>
    <w:rsid w:val="00C30637"/>
    <w:rsid w:val="00C36F19"/>
    <w:rsid w:val="00C42ACA"/>
    <w:rsid w:val="00C446AD"/>
    <w:rsid w:val="00C5122C"/>
    <w:rsid w:val="00C5356A"/>
    <w:rsid w:val="00C538A9"/>
    <w:rsid w:val="00C53B5A"/>
    <w:rsid w:val="00C54434"/>
    <w:rsid w:val="00C54F5A"/>
    <w:rsid w:val="00C569B4"/>
    <w:rsid w:val="00C56A01"/>
    <w:rsid w:val="00C56A3E"/>
    <w:rsid w:val="00C60EF9"/>
    <w:rsid w:val="00C63A35"/>
    <w:rsid w:val="00C67A92"/>
    <w:rsid w:val="00C7497E"/>
    <w:rsid w:val="00C74D43"/>
    <w:rsid w:val="00C76D96"/>
    <w:rsid w:val="00C81568"/>
    <w:rsid w:val="00C84560"/>
    <w:rsid w:val="00C84F52"/>
    <w:rsid w:val="00C86679"/>
    <w:rsid w:val="00C902BB"/>
    <w:rsid w:val="00C93E45"/>
    <w:rsid w:val="00C97CDF"/>
    <w:rsid w:val="00CA2ABF"/>
    <w:rsid w:val="00CA2C1D"/>
    <w:rsid w:val="00CA3A4E"/>
    <w:rsid w:val="00CA489E"/>
    <w:rsid w:val="00CA52A2"/>
    <w:rsid w:val="00CB0279"/>
    <w:rsid w:val="00CB0BD7"/>
    <w:rsid w:val="00CB45F2"/>
    <w:rsid w:val="00CB666B"/>
    <w:rsid w:val="00CC26E1"/>
    <w:rsid w:val="00CC7F1D"/>
    <w:rsid w:val="00CD19EE"/>
    <w:rsid w:val="00CE0A29"/>
    <w:rsid w:val="00CE39B0"/>
    <w:rsid w:val="00CE3AB3"/>
    <w:rsid w:val="00CE4726"/>
    <w:rsid w:val="00CE484B"/>
    <w:rsid w:val="00CE4900"/>
    <w:rsid w:val="00CF0DEE"/>
    <w:rsid w:val="00CF10DF"/>
    <w:rsid w:val="00CF2C05"/>
    <w:rsid w:val="00CF6EDE"/>
    <w:rsid w:val="00CF79C7"/>
    <w:rsid w:val="00D006AE"/>
    <w:rsid w:val="00D01CF0"/>
    <w:rsid w:val="00D01EFD"/>
    <w:rsid w:val="00D0442A"/>
    <w:rsid w:val="00D0494D"/>
    <w:rsid w:val="00D06055"/>
    <w:rsid w:val="00D066B7"/>
    <w:rsid w:val="00D11ED5"/>
    <w:rsid w:val="00D17683"/>
    <w:rsid w:val="00D23F48"/>
    <w:rsid w:val="00D3014C"/>
    <w:rsid w:val="00D36FCC"/>
    <w:rsid w:val="00D41E80"/>
    <w:rsid w:val="00D45694"/>
    <w:rsid w:val="00D46BD3"/>
    <w:rsid w:val="00D523FD"/>
    <w:rsid w:val="00D535E5"/>
    <w:rsid w:val="00D56003"/>
    <w:rsid w:val="00D608F6"/>
    <w:rsid w:val="00D60EFF"/>
    <w:rsid w:val="00D61388"/>
    <w:rsid w:val="00D61A54"/>
    <w:rsid w:val="00D63319"/>
    <w:rsid w:val="00D63383"/>
    <w:rsid w:val="00D64275"/>
    <w:rsid w:val="00D64DEA"/>
    <w:rsid w:val="00D7168E"/>
    <w:rsid w:val="00D71E57"/>
    <w:rsid w:val="00D73CFC"/>
    <w:rsid w:val="00D752C2"/>
    <w:rsid w:val="00D75AA2"/>
    <w:rsid w:val="00D7645E"/>
    <w:rsid w:val="00D8085F"/>
    <w:rsid w:val="00D80893"/>
    <w:rsid w:val="00D808F6"/>
    <w:rsid w:val="00D82621"/>
    <w:rsid w:val="00D84854"/>
    <w:rsid w:val="00D848B4"/>
    <w:rsid w:val="00D86B06"/>
    <w:rsid w:val="00D92CF1"/>
    <w:rsid w:val="00D92D38"/>
    <w:rsid w:val="00D950F5"/>
    <w:rsid w:val="00DA0BCC"/>
    <w:rsid w:val="00DA4752"/>
    <w:rsid w:val="00DA61F3"/>
    <w:rsid w:val="00DA6B93"/>
    <w:rsid w:val="00DA6F94"/>
    <w:rsid w:val="00DA6FF6"/>
    <w:rsid w:val="00DB0F93"/>
    <w:rsid w:val="00DB1A67"/>
    <w:rsid w:val="00DB5074"/>
    <w:rsid w:val="00DB5B21"/>
    <w:rsid w:val="00DC7981"/>
    <w:rsid w:val="00DD1A31"/>
    <w:rsid w:val="00DD1C15"/>
    <w:rsid w:val="00DD2C10"/>
    <w:rsid w:val="00DE1093"/>
    <w:rsid w:val="00DE2E1F"/>
    <w:rsid w:val="00DE4EFA"/>
    <w:rsid w:val="00DE5520"/>
    <w:rsid w:val="00DE563D"/>
    <w:rsid w:val="00DE5E2E"/>
    <w:rsid w:val="00DE6C18"/>
    <w:rsid w:val="00DE772C"/>
    <w:rsid w:val="00DF1D9A"/>
    <w:rsid w:val="00DF312A"/>
    <w:rsid w:val="00DF5F09"/>
    <w:rsid w:val="00E04818"/>
    <w:rsid w:val="00E06442"/>
    <w:rsid w:val="00E06BCF"/>
    <w:rsid w:val="00E1001C"/>
    <w:rsid w:val="00E11949"/>
    <w:rsid w:val="00E11D40"/>
    <w:rsid w:val="00E17A92"/>
    <w:rsid w:val="00E22E86"/>
    <w:rsid w:val="00E23993"/>
    <w:rsid w:val="00E257D6"/>
    <w:rsid w:val="00E25B8C"/>
    <w:rsid w:val="00E3544F"/>
    <w:rsid w:val="00E421D7"/>
    <w:rsid w:val="00E4223F"/>
    <w:rsid w:val="00E51D65"/>
    <w:rsid w:val="00E61BF7"/>
    <w:rsid w:val="00E6200B"/>
    <w:rsid w:val="00E65C85"/>
    <w:rsid w:val="00E66199"/>
    <w:rsid w:val="00E711C7"/>
    <w:rsid w:val="00E73437"/>
    <w:rsid w:val="00E7494F"/>
    <w:rsid w:val="00E75001"/>
    <w:rsid w:val="00E755EC"/>
    <w:rsid w:val="00E7624D"/>
    <w:rsid w:val="00E841B4"/>
    <w:rsid w:val="00E85DE9"/>
    <w:rsid w:val="00E916F5"/>
    <w:rsid w:val="00E92DDC"/>
    <w:rsid w:val="00E95CCC"/>
    <w:rsid w:val="00E97242"/>
    <w:rsid w:val="00EA38F3"/>
    <w:rsid w:val="00EA3D42"/>
    <w:rsid w:val="00EA6B1B"/>
    <w:rsid w:val="00EA6CA1"/>
    <w:rsid w:val="00EB02F1"/>
    <w:rsid w:val="00EB179B"/>
    <w:rsid w:val="00EB1F91"/>
    <w:rsid w:val="00EB5BC8"/>
    <w:rsid w:val="00EB606C"/>
    <w:rsid w:val="00EB65C6"/>
    <w:rsid w:val="00EC04F1"/>
    <w:rsid w:val="00EC1B2B"/>
    <w:rsid w:val="00EC221B"/>
    <w:rsid w:val="00EC2AEE"/>
    <w:rsid w:val="00EC32E5"/>
    <w:rsid w:val="00EC561B"/>
    <w:rsid w:val="00ED0EC2"/>
    <w:rsid w:val="00ED3474"/>
    <w:rsid w:val="00ED7323"/>
    <w:rsid w:val="00EE28F3"/>
    <w:rsid w:val="00EE50D1"/>
    <w:rsid w:val="00EE77FA"/>
    <w:rsid w:val="00EE7A83"/>
    <w:rsid w:val="00EF1B7A"/>
    <w:rsid w:val="00EF5110"/>
    <w:rsid w:val="00EF562B"/>
    <w:rsid w:val="00F0334E"/>
    <w:rsid w:val="00F075FF"/>
    <w:rsid w:val="00F07967"/>
    <w:rsid w:val="00F07C56"/>
    <w:rsid w:val="00F10411"/>
    <w:rsid w:val="00F15882"/>
    <w:rsid w:val="00F171E0"/>
    <w:rsid w:val="00F20BD3"/>
    <w:rsid w:val="00F2526A"/>
    <w:rsid w:val="00F2740A"/>
    <w:rsid w:val="00F35081"/>
    <w:rsid w:val="00F373A5"/>
    <w:rsid w:val="00F42E08"/>
    <w:rsid w:val="00F47559"/>
    <w:rsid w:val="00F56F17"/>
    <w:rsid w:val="00F57907"/>
    <w:rsid w:val="00F61176"/>
    <w:rsid w:val="00F62A30"/>
    <w:rsid w:val="00F64C7B"/>
    <w:rsid w:val="00F65B25"/>
    <w:rsid w:val="00F67680"/>
    <w:rsid w:val="00F676DD"/>
    <w:rsid w:val="00F71667"/>
    <w:rsid w:val="00F73608"/>
    <w:rsid w:val="00F73895"/>
    <w:rsid w:val="00F74FD5"/>
    <w:rsid w:val="00F75A26"/>
    <w:rsid w:val="00F766E6"/>
    <w:rsid w:val="00F76706"/>
    <w:rsid w:val="00F768C8"/>
    <w:rsid w:val="00F81B8D"/>
    <w:rsid w:val="00F83B43"/>
    <w:rsid w:val="00F83C4A"/>
    <w:rsid w:val="00F83FAD"/>
    <w:rsid w:val="00F8653A"/>
    <w:rsid w:val="00F90501"/>
    <w:rsid w:val="00F91F55"/>
    <w:rsid w:val="00F92349"/>
    <w:rsid w:val="00F93324"/>
    <w:rsid w:val="00F93B21"/>
    <w:rsid w:val="00F952A0"/>
    <w:rsid w:val="00F955E0"/>
    <w:rsid w:val="00F974F3"/>
    <w:rsid w:val="00FA3C7F"/>
    <w:rsid w:val="00FB1BF3"/>
    <w:rsid w:val="00FB4402"/>
    <w:rsid w:val="00FB60FE"/>
    <w:rsid w:val="00FB74E2"/>
    <w:rsid w:val="00FC71DC"/>
    <w:rsid w:val="00FC7286"/>
    <w:rsid w:val="00FD2ED2"/>
    <w:rsid w:val="00FD5614"/>
    <w:rsid w:val="00FD5E78"/>
    <w:rsid w:val="00FE0BE1"/>
    <w:rsid w:val="00FE1DE9"/>
    <w:rsid w:val="00FE2476"/>
    <w:rsid w:val="00FE36AF"/>
    <w:rsid w:val="00FE39C2"/>
    <w:rsid w:val="00FE3C32"/>
    <w:rsid w:val="00FE64AE"/>
    <w:rsid w:val="00FF5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uiPriority="0" w:qFormat="1"/>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60"/>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4640224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20715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9.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aer.gov.au/networks-pipelines/better-regulation" TargetMode="External"/><Relationship Id="rId1" Type="http://schemas.openxmlformats.org/officeDocument/2006/relationships/hyperlink" Target="http://www.aer.gov.au/networks-pipelines/determinations-access-arrangements/amadeus-gas-pipeline-access-arrangement-2016-21/revised-proposal"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D5F78A-12DC-463D-9EC6-54929C63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579F0C7C</Template>
  <TotalTime>0</TotalTime>
  <Pages>50</Pages>
  <Words>12393</Words>
  <Characters>70643</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2016-05-24T08:25:00Z</dcterms:created>
  <dcterms:modified xsi:type="dcterms:W3CDTF">2016-05-24T08:25:00Z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