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35AA7200" wp14:editId="66E4312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02165">
            <w:t>2</w:t>
          </w:r>
          <w:r w:rsidR="00DA4752">
            <w:t xml:space="preserve"> </w:t>
          </w:r>
          <w:r w:rsidR="00415F31">
            <w:rPr>
              <w:rFonts w:cs="Arial"/>
            </w:rPr>
            <w:t>–</w:t>
          </w:r>
          <w:r w:rsidR="00DA4752">
            <w:t xml:space="preserve"> </w:t>
          </w:r>
          <w:r w:rsidR="00B02165">
            <w:t>Capital base</w:t>
          </w:r>
        </w:p>
        <w:p w:rsidR="000A6C7B" w:rsidRPr="00327A1E" w:rsidRDefault="0084749B" w:rsidP="00327A1E">
          <w:pPr>
            <w:pStyle w:val="ReportDate"/>
          </w:pPr>
          <w:r>
            <w:t xml:space="preserve">May </w:t>
          </w:r>
          <w:r w:rsidR="00A2303E">
            <w:t>2016</w:t>
          </w:r>
        </w:p>
      </w:sdtContent>
    </w:sdt>
    <w:p w:rsidR="00327A1E" w:rsidRPr="00290C63" w:rsidRDefault="00327A1E" w:rsidP="00290C63">
      <w:r>
        <w:br w:type="page"/>
      </w:r>
    </w:p>
    <w:p w:rsidR="000A6C7B" w:rsidRDefault="00932084"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9293"/>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2929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B1738D" w:rsidRDefault="00B1738D">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3,3,Heading 7,1,Heading 8,2,Heading 9,3" </w:instrText>
          </w:r>
          <w:r>
            <w:rPr>
              <w:color w:val="auto"/>
              <w:sz w:val="22"/>
            </w:rPr>
            <w:fldChar w:fldCharType="separate"/>
          </w:r>
          <w:hyperlink w:anchor="_Toc451529293" w:history="1">
            <w:r w:rsidRPr="006E6454">
              <w:rPr>
                <w:rStyle w:val="Hyperlink"/>
              </w:rPr>
              <w:t>Note</w:t>
            </w:r>
            <w:r>
              <w:rPr>
                <w:webHidden/>
              </w:rPr>
              <w:tab/>
            </w:r>
            <w:r>
              <w:rPr>
                <w:webHidden/>
              </w:rPr>
              <w:fldChar w:fldCharType="begin"/>
            </w:r>
            <w:r>
              <w:rPr>
                <w:webHidden/>
              </w:rPr>
              <w:instrText xml:space="preserve"> PAGEREF _Toc451529293 \h </w:instrText>
            </w:r>
            <w:r>
              <w:rPr>
                <w:webHidden/>
              </w:rPr>
            </w:r>
            <w:r>
              <w:rPr>
                <w:webHidden/>
              </w:rPr>
              <w:fldChar w:fldCharType="separate"/>
            </w:r>
            <w:r>
              <w:rPr>
                <w:webHidden/>
              </w:rPr>
              <w:t>2-2</w:t>
            </w:r>
            <w:r>
              <w:rPr>
                <w:webHidden/>
              </w:rPr>
              <w:fldChar w:fldCharType="end"/>
            </w:r>
          </w:hyperlink>
        </w:p>
        <w:p w:rsidR="00B1738D" w:rsidRDefault="00B1738D">
          <w:pPr>
            <w:pStyle w:val="TOC1"/>
            <w:rPr>
              <w:rFonts w:asciiTheme="minorHAnsi" w:eastAsiaTheme="minorEastAsia" w:hAnsiTheme="minorHAnsi"/>
              <w:b w:val="0"/>
              <w:color w:val="auto"/>
              <w:sz w:val="22"/>
              <w:lang w:val="en-AU" w:eastAsia="en-AU"/>
            </w:rPr>
          </w:pPr>
          <w:hyperlink w:anchor="_Toc451529294" w:history="1">
            <w:r w:rsidRPr="006E6454">
              <w:rPr>
                <w:rStyle w:val="Hyperlink"/>
              </w:rPr>
              <w:t>Contents</w:t>
            </w:r>
            <w:r>
              <w:rPr>
                <w:webHidden/>
              </w:rPr>
              <w:tab/>
            </w:r>
            <w:r>
              <w:rPr>
                <w:webHidden/>
              </w:rPr>
              <w:fldChar w:fldCharType="begin"/>
            </w:r>
            <w:r>
              <w:rPr>
                <w:webHidden/>
              </w:rPr>
              <w:instrText xml:space="preserve"> PAGEREF _Toc451529294 \h </w:instrText>
            </w:r>
            <w:r>
              <w:rPr>
                <w:webHidden/>
              </w:rPr>
            </w:r>
            <w:r>
              <w:rPr>
                <w:webHidden/>
              </w:rPr>
              <w:fldChar w:fldCharType="separate"/>
            </w:r>
            <w:r>
              <w:rPr>
                <w:webHidden/>
              </w:rPr>
              <w:t>2-3</w:t>
            </w:r>
            <w:r>
              <w:rPr>
                <w:webHidden/>
              </w:rPr>
              <w:fldChar w:fldCharType="end"/>
            </w:r>
          </w:hyperlink>
        </w:p>
        <w:p w:rsidR="00B1738D" w:rsidRDefault="00B1738D">
          <w:pPr>
            <w:pStyle w:val="TOC1"/>
            <w:rPr>
              <w:rFonts w:asciiTheme="minorHAnsi" w:eastAsiaTheme="minorEastAsia" w:hAnsiTheme="minorHAnsi"/>
              <w:b w:val="0"/>
              <w:color w:val="auto"/>
              <w:sz w:val="22"/>
              <w:lang w:val="en-AU" w:eastAsia="en-AU"/>
            </w:rPr>
          </w:pPr>
          <w:hyperlink w:anchor="_Toc451529295" w:history="1">
            <w:r w:rsidRPr="006E6454">
              <w:rPr>
                <w:rStyle w:val="Hyperlink"/>
              </w:rPr>
              <w:t>Shortened forms</w:t>
            </w:r>
            <w:r>
              <w:rPr>
                <w:webHidden/>
              </w:rPr>
              <w:tab/>
            </w:r>
            <w:r>
              <w:rPr>
                <w:webHidden/>
              </w:rPr>
              <w:fldChar w:fldCharType="begin"/>
            </w:r>
            <w:r>
              <w:rPr>
                <w:webHidden/>
              </w:rPr>
              <w:instrText xml:space="preserve"> PAGEREF _Toc451529295 \h </w:instrText>
            </w:r>
            <w:r>
              <w:rPr>
                <w:webHidden/>
              </w:rPr>
            </w:r>
            <w:r>
              <w:rPr>
                <w:webHidden/>
              </w:rPr>
              <w:fldChar w:fldCharType="separate"/>
            </w:r>
            <w:r>
              <w:rPr>
                <w:webHidden/>
              </w:rPr>
              <w:t>2-4</w:t>
            </w:r>
            <w:r>
              <w:rPr>
                <w:webHidden/>
              </w:rPr>
              <w:fldChar w:fldCharType="end"/>
            </w:r>
          </w:hyperlink>
        </w:p>
        <w:p w:rsidR="00B1738D" w:rsidRDefault="00B1738D">
          <w:pPr>
            <w:pStyle w:val="TOC1"/>
            <w:rPr>
              <w:rFonts w:asciiTheme="minorHAnsi" w:eastAsiaTheme="minorEastAsia" w:hAnsiTheme="minorHAnsi"/>
              <w:b w:val="0"/>
              <w:color w:val="auto"/>
              <w:sz w:val="22"/>
              <w:lang w:val="en-AU" w:eastAsia="en-AU"/>
            </w:rPr>
          </w:pPr>
          <w:hyperlink w:anchor="_Toc451529296" w:history="1">
            <w:r w:rsidRPr="006E6454">
              <w:rPr>
                <w:rStyle w:val="Hyperlink"/>
              </w:rPr>
              <w:t>2</w:t>
            </w:r>
            <w:r>
              <w:rPr>
                <w:rFonts w:asciiTheme="minorHAnsi" w:eastAsiaTheme="minorEastAsia" w:hAnsiTheme="minorHAnsi"/>
                <w:b w:val="0"/>
                <w:color w:val="auto"/>
                <w:sz w:val="22"/>
                <w:lang w:val="en-AU" w:eastAsia="en-AU"/>
              </w:rPr>
              <w:tab/>
            </w:r>
            <w:r w:rsidRPr="006E6454">
              <w:rPr>
                <w:rStyle w:val="Hyperlink"/>
              </w:rPr>
              <w:t>Capital base</w:t>
            </w:r>
            <w:r>
              <w:rPr>
                <w:webHidden/>
              </w:rPr>
              <w:tab/>
            </w:r>
            <w:r>
              <w:rPr>
                <w:webHidden/>
              </w:rPr>
              <w:fldChar w:fldCharType="begin"/>
            </w:r>
            <w:r>
              <w:rPr>
                <w:webHidden/>
              </w:rPr>
              <w:instrText xml:space="preserve"> PAGEREF _Toc451529296 \h </w:instrText>
            </w:r>
            <w:r>
              <w:rPr>
                <w:webHidden/>
              </w:rPr>
            </w:r>
            <w:r>
              <w:rPr>
                <w:webHidden/>
              </w:rPr>
              <w:fldChar w:fldCharType="separate"/>
            </w:r>
            <w:r>
              <w:rPr>
                <w:webHidden/>
              </w:rPr>
              <w:t>2-6</w:t>
            </w:r>
            <w:r>
              <w:rPr>
                <w:webHidden/>
              </w:rPr>
              <w:fldChar w:fldCharType="end"/>
            </w:r>
          </w:hyperlink>
        </w:p>
        <w:p w:rsidR="00B1738D" w:rsidRDefault="00B1738D">
          <w:pPr>
            <w:pStyle w:val="TOC2"/>
            <w:rPr>
              <w:rFonts w:asciiTheme="minorHAnsi" w:eastAsiaTheme="minorEastAsia" w:hAnsiTheme="minorHAnsi"/>
              <w:b w:val="0"/>
              <w:color w:val="auto"/>
              <w:sz w:val="22"/>
              <w:lang w:eastAsia="en-AU"/>
            </w:rPr>
          </w:pPr>
          <w:hyperlink w:anchor="_Toc451529297" w:history="1">
            <w:r w:rsidRPr="006E6454">
              <w:rPr>
                <w:rStyle w:val="Hyperlink"/>
              </w:rPr>
              <w:t>2.1</w:t>
            </w:r>
            <w:r>
              <w:rPr>
                <w:rFonts w:asciiTheme="minorHAnsi" w:eastAsiaTheme="minorEastAsia" w:hAnsiTheme="minorHAnsi"/>
                <w:b w:val="0"/>
                <w:color w:val="auto"/>
                <w:sz w:val="22"/>
                <w:lang w:eastAsia="en-AU"/>
              </w:rPr>
              <w:tab/>
            </w:r>
            <w:r w:rsidRPr="006E6454">
              <w:rPr>
                <w:rStyle w:val="Hyperlink"/>
              </w:rPr>
              <w:t>Final decision</w:t>
            </w:r>
            <w:r>
              <w:rPr>
                <w:webHidden/>
              </w:rPr>
              <w:tab/>
            </w:r>
            <w:r>
              <w:rPr>
                <w:webHidden/>
              </w:rPr>
              <w:fldChar w:fldCharType="begin"/>
            </w:r>
            <w:r>
              <w:rPr>
                <w:webHidden/>
              </w:rPr>
              <w:instrText xml:space="preserve"> PAGEREF _Toc451529297 \h </w:instrText>
            </w:r>
            <w:r>
              <w:rPr>
                <w:webHidden/>
              </w:rPr>
            </w:r>
            <w:r>
              <w:rPr>
                <w:webHidden/>
              </w:rPr>
              <w:fldChar w:fldCharType="separate"/>
            </w:r>
            <w:r>
              <w:rPr>
                <w:webHidden/>
              </w:rPr>
              <w:t>2-6</w:t>
            </w:r>
            <w:r>
              <w:rPr>
                <w:webHidden/>
              </w:rPr>
              <w:fldChar w:fldCharType="end"/>
            </w:r>
          </w:hyperlink>
        </w:p>
        <w:p w:rsidR="00B1738D" w:rsidRDefault="00B1738D">
          <w:pPr>
            <w:pStyle w:val="TOC2"/>
            <w:rPr>
              <w:rFonts w:asciiTheme="minorHAnsi" w:eastAsiaTheme="minorEastAsia" w:hAnsiTheme="minorHAnsi"/>
              <w:b w:val="0"/>
              <w:color w:val="auto"/>
              <w:sz w:val="22"/>
              <w:lang w:eastAsia="en-AU"/>
            </w:rPr>
          </w:pPr>
          <w:hyperlink w:anchor="_Toc451529298" w:history="1">
            <w:r w:rsidRPr="006E6454">
              <w:rPr>
                <w:rStyle w:val="Hyperlink"/>
              </w:rPr>
              <w:t>2.2</w:t>
            </w:r>
            <w:r>
              <w:rPr>
                <w:rFonts w:asciiTheme="minorHAnsi" w:eastAsiaTheme="minorEastAsia" w:hAnsiTheme="minorHAnsi"/>
                <w:b w:val="0"/>
                <w:color w:val="auto"/>
                <w:sz w:val="22"/>
                <w:lang w:eastAsia="en-AU"/>
              </w:rPr>
              <w:tab/>
            </w:r>
            <w:r w:rsidRPr="006E6454">
              <w:rPr>
                <w:rStyle w:val="Hyperlink"/>
              </w:rPr>
              <w:t>APTNT's revised proposal</w:t>
            </w:r>
            <w:r>
              <w:rPr>
                <w:webHidden/>
              </w:rPr>
              <w:tab/>
            </w:r>
            <w:r>
              <w:rPr>
                <w:webHidden/>
              </w:rPr>
              <w:fldChar w:fldCharType="begin"/>
            </w:r>
            <w:r>
              <w:rPr>
                <w:webHidden/>
              </w:rPr>
              <w:instrText xml:space="preserve"> PAGEREF _Toc451529298 \h </w:instrText>
            </w:r>
            <w:r>
              <w:rPr>
                <w:webHidden/>
              </w:rPr>
            </w:r>
            <w:r>
              <w:rPr>
                <w:webHidden/>
              </w:rPr>
              <w:fldChar w:fldCharType="separate"/>
            </w:r>
            <w:r>
              <w:rPr>
                <w:webHidden/>
              </w:rPr>
              <w:t>2-7</w:t>
            </w:r>
            <w:r>
              <w:rPr>
                <w:webHidden/>
              </w:rPr>
              <w:fldChar w:fldCharType="end"/>
            </w:r>
          </w:hyperlink>
        </w:p>
        <w:p w:rsidR="00B1738D" w:rsidRDefault="00B1738D">
          <w:pPr>
            <w:pStyle w:val="TOC2"/>
            <w:rPr>
              <w:rFonts w:asciiTheme="minorHAnsi" w:eastAsiaTheme="minorEastAsia" w:hAnsiTheme="minorHAnsi"/>
              <w:b w:val="0"/>
              <w:color w:val="auto"/>
              <w:sz w:val="22"/>
              <w:lang w:eastAsia="en-AU"/>
            </w:rPr>
          </w:pPr>
          <w:hyperlink w:anchor="_Toc451529299" w:history="1">
            <w:r w:rsidRPr="006E6454">
              <w:rPr>
                <w:rStyle w:val="Hyperlink"/>
              </w:rPr>
              <w:t>2.3</w:t>
            </w:r>
            <w:r>
              <w:rPr>
                <w:rFonts w:asciiTheme="minorHAnsi" w:eastAsiaTheme="minorEastAsia" w:hAnsiTheme="minorHAnsi"/>
                <w:b w:val="0"/>
                <w:color w:val="auto"/>
                <w:sz w:val="22"/>
                <w:lang w:eastAsia="en-AU"/>
              </w:rPr>
              <w:tab/>
            </w:r>
            <w:r w:rsidRPr="006E6454">
              <w:rPr>
                <w:rStyle w:val="Hyperlink"/>
              </w:rPr>
              <w:t>AER’s assessment approach</w:t>
            </w:r>
            <w:r>
              <w:rPr>
                <w:webHidden/>
              </w:rPr>
              <w:tab/>
            </w:r>
            <w:r>
              <w:rPr>
                <w:webHidden/>
              </w:rPr>
              <w:fldChar w:fldCharType="begin"/>
            </w:r>
            <w:r>
              <w:rPr>
                <w:webHidden/>
              </w:rPr>
              <w:instrText xml:space="preserve"> PAGEREF _Toc451529299 \h </w:instrText>
            </w:r>
            <w:r>
              <w:rPr>
                <w:webHidden/>
              </w:rPr>
            </w:r>
            <w:r>
              <w:rPr>
                <w:webHidden/>
              </w:rPr>
              <w:fldChar w:fldCharType="separate"/>
            </w:r>
            <w:r>
              <w:rPr>
                <w:webHidden/>
              </w:rPr>
              <w:t>2-9</w:t>
            </w:r>
            <w:r>
              <w:rPr>
                <w:webHidden/>
              </w:rPr>
              <w:fldChar w:fldCharType="end"/>
            </w:r>
          </w:hyperlink>
        </w:p>
        <w:p w:rsidR="00B1738D" w:rsidRDefault="00B1738D">
          <w:pPr>
            <w:pStyle w:val="TOC2"/>
            <w:rPr>
              <w:rFonts w:asciiTheme="minorHAnsi" w:eastAsiaTheme="minorEastAsia" w:hAnsiTheme="minorHAnsi"/>
              <w:b w:val="0"/>
              <w:color w:val="auto"/>
              <w:sz w:val="22"/>
              <w:lang w:eastAsia="en-AU"/>
            </w:rPr>
          </w:pPr>
          <w:hyperlink w:anchor="_Toc451529300" w:history="1">
            <w:r w:rsidRPr="006E6454">
              <w:rPr>
                <w:rStyle w:val="Hyperlink"/>
              </w:rPr>
              <w:t>2.4</w:t>
            </w:r>
            <w:r>
              <w:rPr>
                <w:rFonts w:asciiTheme="minorHAnsi" w:eastAsiaTheme="minorEastAsia" w:hAnsiTheme="minorHAnsi"/>
                <w:b w:val="0"/>
                <w:color w:val="auto"/>
                <w:sz w:val="22"/>
                <w:lang w:eastAsia="en-AU"/>
              </w:rPr>
              <w:tab/>
            </w:r>
            <w:r w:rsidRPr="006E6454">
              <w:rPr>
                <w:rStyle w:val="Hyperlink"/>
              </w:rPr>
              <w:t>Reasons for final decision</w:t>
            </w:r>
            <w:r>
              <w:rPr>
                <w:webHidden/>
              </w:rPr>
              <w:tab/>
            </w:r>
            <w:r>
              <w:rPr>
                <w:webHidden/>
              </w:rPr>
              <w:fldChar w:fldCharType="begin"/>
            </w:r>
            <w:r>
              <w:rPr>
                <w:webHidden/>
              </w:rPr>
              <w:instrText xml:space="preserve"> PAGEREF _Toc451529300 \h </w:instrText>
            </w:r>
            <w:r>
              <w:rPr>
                <w:webHidden/>
              </w:rPr>
            </w:r>
            <w:r>
              <w:rPr>
                <w:webHidden/>
              </w:rPr>
              <w:fldChar w:fldCharType="separate"/>
            </w:r>
            <w:r>
              <w:rPr>
                <w:webHidden/>
              </w:rPr>
              <w:t>2-9</w:t>
            </w:r>
            <w:r>
              <w:rPr>
                <w:webHidden/>
              </w:rPr>
              <w:fldChar w:fldCharType="end"/>
            </w:r>
          </w:hyperlink>
        </w:p>
        <w:p w:rsidR="00B1738D" w:rsidRDefault="00B1738D">
          <w:pPr>
            <w:pStyle w:val="TOC3"/>
            <w:rPr>
              <w:rFonts w:asciiTheme="minorHAnsi" w:eastAsiaTheme="minorEastAsia" w:hAnsiTheme="minorHAnsi"/>
              <w:lang w:eastAsia="en-AU"/>
            </w:rPr>
          </w:pPr>
          <w:hyperlink w:anchor="_Toc451529301" w:history="1">
            <w:r w:rsidRPr="006E6454">
              <w:rPr>
                <w:rStyle w:val="Hyperlink"/>
              </w:rPr>
              <w:t>2.4.1</w:t>
            </w:r>
            <w:r>
              <w:rPr>
                <w:rFonts w:asciiTheme="minorHAnsi" w:eastAsiaTheme="minorEastAsia" w:hAnsiTheme="minorHAnsi"/>
                <w:lang w:eastAsia="en-AU"/>
              </w:rPr>
              <w:tab/>
            </w:r>
            <w:r w:rsidRPr="006E6454">
              <w:rPr>
                <w:rStyle w:val="Hyperlink"/>
              </w:rPr>
              <w:t>Roll forward of capital base during the 2011–16 access arrangement period</w:t>
            </w:r>
            <w:r>
              <w:rPr>
                <w:webHidden/>
              </w:rPr>
              <w:tab/>
            </w:r>
            <w:r>
              <w:rPr>
                <w:webHidden/>
              </w:rPr>
              <w:fldChar w:fldCharType="begin"/>
            </w:r>
            <w:r>
              <w:rPr>
                <w:webHidden/>
              </w:rPr>
              <w:instrText xml:space="preserve"> PAGEREF _Toc451529301 \h </w:instrText>
            </w:r>
            <w:r>
              <w:rPr>
                <w:webHidden/>
              </w:rPr>
            </w:r>
            <w:r>
              <w:rPr>
                <w:webHidden/>
              </w:rPr>
              <w:fldChar w:fldCharType="separate"/>
            </w:r>
            <w:r>
              <w:rPr>
                <w:webHidden/>
              </w:rPr>
              <w:t>2-9</w:t>
            </w:r>
            <w:r>
              <w:rPr>
                <w:webHidden/>
              </w:rPr>
              <w:fldChar w:fldCharType="end"/>
            </w:r>
          </w:hyperlink>
        </w:p>
        <w:p w:rsidR="00B1738D" w:rsidRDefault="00B1738D">
          <w:pPr>
            <w:pStyle w:val="TOC3"/>
            <w:rPr>
              <w:rFonts w:asciiTheme="minorHAnsi" w:eastAsiaTheme="minorEastAsia" w:hAnsiTheme="minorHAnsi"/>
              <w:lang w:eastAsia="en-AU"/>
            </w:rPr>
          </w:pPr>
          <w:hyperlink w:anchor="_Toc451529302" w:history="1">
            <w:r w:rsidRPr="006E6454">
              <w:rPr>
                <w:rStyle w:val="Hyperlink"/>
              </w:rPr>
              <w:t>2.4.2</w:t>
            </w:r>
            <w:r>
              <w:rPr>
                <w:rFonts w:asciiTheme="minorHAnsi" w:eastAsiaTheme="minorEastAsia" w:hAnsiTheme="minorHAnsi"/>
                <w:lang w:eastAsia="en-AU"/>
              </w:rPr>
              <w:tab/>
            </w:r>
            <w:r w:rsidRPr="006E6454">
              <w:rPr>
                <w:rStyle w:val="Hyperlink"/>
              </w:rPr>
              <w:t>Projected capital base during the 2016–21 access arrangement period</w:t>
            </w:r>
            <w:r>
              <w:rPr>
                <w:webHidden/>
              </w:rPr>
              <w:tab/>
            </w:r>
            <w:r>
              <w:rPr>
                <w:webHidden/>
              </w:rPr>
              <w:fldChar w:fldCharType="begin"/>
            </w:r>
            <w:r>
              <w:rPr>
                <w:webHidden/>
              </w:rPr>
              <w:instrText xml:space="preserve"> PAGEREF _Toc451529302 \h </w:instrText>
            </w:r>
            <w:r>
              <w:rPr>
                <w:webHidden/>
              </w:rPr>
            </w:r>
            <w:r>
              <w:rPr>
                <w:webHidden/>
              </w:rPr>
              <w:fldChar w:fldCharType="separate"/>
            </w:r>
            <w:r>
              <w:rPr>
                <w:webHidden/>
              </w:rPr>
              <w:t>2-10</w:t>
            </w:r>
            <w:r>
              <w:rPr>
                <w:webHidden/>
              </w:rPr>
              <w:fldChar w:fldCharType="end"/>
            </w:r>
          </w:hyperlink>
        </w:p>
        <w:p w:rsidR="00B1738D" w:rsidRDefault="00B1738D">
          <w:pPr>
            <w:pStyle w:val="TOC3"/>
            <w:rPr>
              <w:rFonts w:asciiTheme="minorHAnsi" w:eastAsiaTheme="minorEastAsia" w:hAnsiTheme="minorHAnsi"/>
              <w:lang w:eastAsia="en-AU"/>
            </w:rPr>
          </w:pPr>
          <w:hyperlink w:anchor="_Toc451529303" w:history="1">
            <w:r w:rsidRPr="006E6454">
              <w:rPr>
                <w:rStyle w:val="Hyperlink"/>
              </w:rPr>
              <w:t>2.4.3</w:t>
            </w:r>
            <w:r>
              <w:rPr>
                <w:rFonts w:asciiTheme="minorHAnsi" w:eastAsiaTheme="minorEastAsia" w:hAnsiTheme="minorHAnsi"/>
                <w:lang w:eastAsia="en-AU"/>
              </w:rPr>
              <w:tab/>
            </w:r>
            <w:r w:rsidRPr="006E6454">
              <w:rPr>
                <w:rStyle w:val="Hyperlink"/>
              </w:rPr>
              <w:t>Capital base at the commencement of the 2021–26 access arrangement period</w:t>
            </w:r>
            <w:r>
              <w:rPr>
                <w:webHidden/>
              </w:rPr>
              <w:tab/>
            </w:r>
            <w:r>
              <w:rPr>
                <w:webHidden/>
              </w:rPr>
              <w:fldChar w:fldCharType="begin"/>
            </w:r>
            <w:r>
              <w:rPr>
                <w:webHidden/>
              </w:rPr>
              <w:instrText xml:space="preserve"> PAGEREF _Toc451529303 \h </w:instrText>
            </w:r>
            <w:r>
              <w:rPr>
                <w:webHidden/>
              </w:rPr>
            </w:r>
            <w:r>
              <w:rPr>
                <w:webHidden/>
              </w:rPr>
              <w:fldChar w:fldCharType="separate"/>
            </w:r>
            <w:r>
              <w:rPr>
                <w:webHidden/>
              </w:rPr>
              <w:t>2-11</w:t>
            </w:r>
            <w:r>
              <w:rPr>
                <w:webHidden/>
              </w:rPr>
              <w:fldChar w:fldCharType="end"/>
            </w:r>
          </w:hyperlink>
        </w:p>
        <w:p w:rsidR="00DE563D" w:rsidRDefault="00B1738D" w:rsidP="00B1738D">
          <w:pPr>
            <w:pStyle w:val="TOC1"/>
          </w:pPr>
          <w:r>
            <w:rPr>
              <w:color w:val="auto"/>
              <w:sz w:val="22"/>
            </w:rPr>
            <w:fldChar w:fldCharType="end"/>
          </w:r>
        </w:p>
        <w:bookmarkStart w:id="7" w:name="_GoBack" w:displacedByCustomXml="next"/>
        <w:bookmarkEnd w:id="7" w:displacedByCustomXml="next"/>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8" w:name="_Toc404700925"/>
      <w:bookmarkStart w:id="9" w:name="_Toc451529295"/>
      <w:r>
        <w:lastRenderedPageBreak/>
        <w:t>Shortened forms</w:t>
      </w:r>
      <w:bookmarkEnd w:id="8"/>
      <w:bookmarkEnd w:id="9"/>
    </w:p>
    <w:tbl>
      <w:tblPr>
        <w:tblStyle w:val="AERtable-numbers"/>
        <w:tblW w:w="0" w:type="auto"/>
        <w:tblLook w:val="04A0" w:firstRow="1" w:lastRow="0" w:firstColumn="1" w:lastColumn="0" w:noHBand="0" w:noVBand="1"/>
      </w:tblPr>
      <w:tblGrid>
        <w:gridCol w:w="2376"/>
        <w:gridCol w:w="6317"/>
      </w:tblGrid>
      <w:tr w:rsidR="00AA5772" w:rsidRPr="00B2363F" w:rsidTr="002712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76" w:type="dxa"/>
          </w:tcPr>
          <w:p w:rsidR="00AA5772" w:rsidRPr="00AA5772" w:rsidRDefault="00AA5772" w:rsidP="00AA5772">
            <w:pPr>
              <w:numPr>
                <w:ilvl w:val="0"/>
                <w:numId w:val="24"/>
              </w:numPr>
            </w:pPr>
            <w:r w:rsidRPr="00AA5772">
              <w:t>Shortened form</w:t>
            </w:r>
          </w:p>
        </w:tc>
        <w:tc>
          <w:tcPr>
            <w:tcW w:w="6317" w:type="dxa"/>
          </w:tcPr>
          <w:p w:rsidR="00AA5772" w:rsidRPr="00AA5772" w:rsidRDefault="00AA5772" w:rsidP="00AA5772">
            <w:pPr>
              <w:numPr>
                <w:ilvl w:val="0"/>
                <w:numId w:val="24"/>
              </w:numPr>
              <w:cnfStyle w:val="100000000000" w:firstRow="1" w:lastRow="0" w:firstColumn="0" w:lastColumn="0" w:oddVBand="0" w:evenVBand="0" w:oddHBand="0" w:evenHBand="0" w:firstRowFirstColumn="0" w:firstRowLastColumn="0" w:lastRowFirstColumn="0" w:lastRowLastColumn="0"/>
            </w:pPr>
            <w:r w:rsidRPr="00AA5772">
              <w:t>Extended form</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AA</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AAI</w:t>
            </w:r>
          </w:p>
        </w:tc>
        <w:tc>
          <w:tcPr>
            <w:tcW w:w="6317" w:type="dxa"/>
          </w:tcPr>
          <w:p w:rsidR="008B6676" w:rsidRPr="008B6676" w:rsidRDefault="008B6676" w:rsidP="008B6676">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035E7">
              <w:t>APTNT</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AER</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t>AGP</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t>Amadeus Gas Pipeline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ATO</w:t>
            </w:r>
          </w:p>
        </w:tc>
        <w:tc>
          <w:tcPr>
            <w:tcW w:w="6317" w:type="dxa"/>
          </w:tcPr>
          <w:p w:rsidR="008B6676" w:rsidRPr="008B6676" w:rsidRDefault="008B6676" w:rsidP="008B6676">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capex</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CAPM</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CPI</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DRP</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B2363F" w:rsidRDefault="008B6676" w:rsidP="008B6676">
            <w:pPr>
              <w:numPr>
                <w:ilvl w:val="0"/>
                <w:numId w:val="24"/>
              </w:numPr>
            </w:pPr>
            <w:r>
              <w:t>ECM</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ERP</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Expenditure Guideline</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gamma</w:t>
            </w:r>
          </w:p>
        </w:tc>
        <w:tc>
          <w:tcPr>
            <w:tcW w:w="6317" w:type="dxa"/>
          </w:tcPr>
          <w:p w:rsidR="008B6676" w:rsidRPr="008B6676" w:rsidRDefault="008B6676" w:rsidP="008B6676">
            <w:pPr>
              <w:cnfStyle w:val="000000010000" w:firstRow="0" w:lastRow="0" w:firstColumn="0" w:lastColumn="0" w:oddVBand="0" w:evenVBand="0" w:oddHBand="0" w:evenHBand="1" w:firstRowFirstColumn="0" w:firstRowLastColumn="0" w:lastRowFirstColumn="0" w:lastRowLastColumn="0"/>
            </w:pPr>
            <w:r>
              <w:t>v</w:t>
            </w:r>
            <w:r w:rsidRPr="008B6676">
              <w:t>alue of imputation credits</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GTA</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t>G</w:t>
            </w:r>
            <w:r w:rsidRPr="008B6676">
              <w:t>as Transport Services Agreement</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MRP</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N</w:t>
            </w:r>
            <w:r>
              <w:t>GP</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NGL</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NGO</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NGR</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NPV</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opex</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PTRM</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RBA</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RFM</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RIN</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RPP</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SLCAPM</w:t>
            </w:r>
          </w:p>
        </w:tc>
        <w:tc>
          <w:tcPr>
            <w:tcW w:w="6317" w:type="dxa"/>
          </w:tcPr>
          <w:p w:rsidR="008B6676" w:rsidRPr="00F13601" w:rsidRDefault="008B6676" w:rsidP="008B6676">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TAB</w:t>
            </w:r>
          </w:p>
        </w:tc>
        <w:tc>
          <w:tcPr>
            <w:tcW w:w="6317" w:type="dxa"/>
          </w:tcPr>
          <w:p w:rsidR="008B6676" w:rsidRPr="008B6676" w:rsidRDefault="008B6676" w:rsidP="008B6676">
            <w:pPr>
              <w:cnfStyle w:val="000000000000" w:firstRow="0" w:lastRow="0" w:firstColumn="0" w:lastColumn="0" w:oddVBand="0" w:evenVBand="0" w:oddHBand="0" w:evenHBand="0" w:firstRowFirstColumn="0" w:firstRowLastColumn="0" w:lastRowFirstColumn="0" w:lastRowLastColumn="0"/>
            </w:pPr>
            <w:r>
              <w:t>t</w:t>
            </w:r>
            <w:r w:rsidRPr="008B6676">
              <w:t>ax asset base</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UAFG</w:t>
            </w:r>
          </w:p>
        </w:tc>
        <w:tc>
          <w:tcPr>
            <w:tcW w:w="6317" w:type="dxa"/>
          </w:tcPr>
          <w:p w:rsidR="008B6676" w:rsidRPr="008B6676" w:rsidRDefault="008B6676" w:rsidP="008B6676">
            <w:pPr>
              <w:cnfStyle w:val="000000010000" w:firstRow="0" w:lastRow="0" w:firstColumn="0" w:lastColumn="0" w:oddVBand="0" w:evenVBand="0" w:oddHBand="0" w:evenHBand="1" w:firstRowFirstColumn="0" w:firstRowLastColumn="0" w:lastRowFirstColumn="0" w:lastRowLastColumn="0"/>
            </w:pPr>
            <w:r>
              <w:t>u</w:t>
            </w:r>
            <w:r w:rsidRPr="008B6676">
              <w:t>naccounted for gas</w:t>
            </w:r>
          </w:p>
        </w:tc>
      </w:tr>
      <w:tr w:rsidR="008B6676"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lastRenderedPageBreak/>
              <w:t>WACC</w:t>
            </w:r>
          </w:p>
        </w:tc>
        <w:tc>
          <w:tcPr>
            <w:tcW w:w="6317" w:type="dxa"/>
          </w:tcPr>
          <w:p w:rsidR="008B6676" w:rsidRPr="00F13601" w:rsidRDefault="008B6676" w:rsidP="008B6676">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8B6676"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B6676" w:rsidRPr="00F13601" w:rsidRDefault="008B6676" w:rsidP="008B6676">
            <w:pPr>
              <w:numPr>
                <w:ilvl w:val="0"/>
                <w:numId w:val="24"/>
              </w:numPr>
            </w:pPr>
            <w:r w:rsidRPr="00F13601">
              <w:t>WPI</w:t>
            </w:r>
          </w:p>
        </w:tc>
        <w:tc>
          <w:tcPr>
            <w:tcW w:w="6317" w:type="dxa"/>
          </w:tcPr>
          <w:p w:rsidR="008B6676" w:rsidRPr="008B6676" w:rsidRDefault="008B6676" w:rsidP="008B6676">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B02165" w:rsidP="00B02165">
      <w:pPr>
        <w:pStyle w:val="Heading1"/>
      </w:pPr>
      <w:bookmarkStart w:id="10" w:name="_Toc451529296"/>
      <w:r>
        <w:lastRenderedPageBreak/>
        <w:t>Capital base</w:t>
      </w:r>
      <w:bookmarkEnd w:id="10"/>
    </w:p>
    <w:p w:rsidR="000D15C2" w:rsidRDefault="000D15C2" w:rsidP="000D15C2">
      <w:r>
        <w:t>The capital base roll forward accounts for the value of APTNT's regulated assets over the access arrangement period. The opening capital base value for a regulatory year within the access arrangement period is rolled forward by indexing it for inflation, adding any conforming capex, and subtracting depreciation and other possible factors (for example, disposals or customer contributions).</w:t>
      </w:r>
      <w:r>
        <w:rPr>
          <w:rStyle w:val="FootnoteReference"/>
        </w:rPr>
        <w:footnoteReference w:id="1"/>
      </w:r>
      <w:r>
        <w:t xml:space="preserve"> Following this process, the AER arrives at a closing value of the capital base at the end of the relevant year. The opening value of the capital base is used to determine the return of capital (regulatory depreciation) and return on capital building block allowances. </w:t>
      </w:r>
    </w:p>
    <w:p w:rsidR="000D15C2" w:rsidRDefault="000D15C2" w:rsidP="000D15C2">
      <w:r>
        <w:t>We are</w:t>
      </w:r>
      <w:r w:rsidRPr="00B61433">
        <w:t xml:space="preserve"> required to make a decision on </w:t>
      </w:r>
      <w:r>
        <w:t>APTNT's</w:t>
      </w:r>
      <w:r w:rsidRPr="00B61433">
        <w:t xml:space="preserve"> opening</w:t>
      </w:r>
      <w:r>
        <w:t xml:space="preserve"> capital base as at 1 July 2016 for the 2016–21 access arrangement </w:t>
      </w:r>
      <w:proofErr w:type="gramStart"/>
      <w:r>
        <w:t>period</w:t>
      </w:r>
      <w:proofErr w:type="gramEnd"/>
      <w:r>
        <w:t>. We are also required to make a decision</w:t>
      </w:r>
      <w:r w:rsidRPr="00B61433">
        <w:t xml:space="preserve"> </w:t>
      </w:r>
      <w:r>
        <w:t>on APTNT's projected capital base for</w:t>
      </w:r>
      <w:r w:rsidRPr="00B61433">
        <w:t xml:space="preserve"> the </w:t>
      </w:r>
      <w:r>
        <w:t xml:space="preserve">2016–21 access arrangement </w:t>
      </w:r>
      <w:proofErr w:type="gramStart"/>
      <w:r>
        <w:t>period</w:t>
      </w:r>
      <w:proofErr w:type="gramEnd"/>
      <w:r>
        <w:t>.</w:t>
      </w:r>
      <w:r w:rsidRPr="00B61433">
        <w:t xml:space="preserve"> </w:t>
      </w:r>
      <w:r>
        <w:t>This attachment presents our final decision on these matters.</w:t>
      </w:r>
    </w:p>
    <w:p w:rsidR="000D15C2" w:rsidRDefault="000D15C2" w:rsidP="000D15C2">
      <w:pPr>
        <w:pStyle w:val="Heading2"/>
      </w:pPr>
      <w:bookmarkStart w:id="11" w:name="_Toc408404320"/>
      <w:bookmarkStart w:id="12" w:name="_Toc436036745"/>
      <w:bookmarkStart w:id="13" w:name="_Toc451529297"/>
      <w:r>
        <w:t>Final</w:t>
      </w:r>
      <w:r w:rsidRPr="0074565D">
        <w:t xml:space="preserve"> decision</w:t>
      </w:r>
      <w:bookmarkEnd w:id="11"/>
      <w:bookmarkEnd w:id="12"/>
      <w:bookmarkEnd w:id="13"/>
    </w:p>
    <w:p w:rsidR="000E0ECC" w:rsidRDefault="000E0ECC" w:rsidP="000D15C2">
      <w:r>
        <w:t>We determine an opening capital base value of $</w:t>
      </w:r>
      <w:r w:rsidR="007A2B09">
        <w:t>11</w:t>
      </w:r>
      <w:r w:rsidR="00D358BE">
        <w:t>5.8</w:t>
      </w:r>
      <w:r w:rsidR="007A2B09">
        <w:t xml:space="preserve"> </w:t>
      </w:r>
      <w:r>
        <w:t>million ($nominal) as at 1 July 2016 for APTNT. This value is $</w:t>
      </w:r>
      <w:r w:rsidR="00D358BE">
        <w:t>3.7</w:t>
      </w:r>
      <w:r w:rsidR="007A2B09">
        <w:t xml:space="preserve"> </w:t>
      </w:r>
      <w:r>
        <w:t xml:space="preserve">million (or </w:t>
      </w:r>
      <w:r w:rsidR="00D358BE">
        <w:t>3.1</w:t>
      </w:r>
      <w:r w:rsidR="00FA77DE">
        <w:t xml:space="preserve"> </w:t>
      </w:r>
      <w:r>
        <w:t xml:space="preserve">per cent) lower than APTNT's </w:t>
      </w:r>
      <w:r w:rsidR="001F0ACA">
        <w:t>revised proposed value of $119.5 million. This is because we have updated the capital base roll forward for the recently available 2015–16 actual inflation input</w:t>
      </w:r>
      <w:r w:rsidR="00752358">
        <w:t xml:space="preserve"> and amended the conforming capex estimate for 2015–16 </w:t>
      </w:r>
      <w:r w:rsidR="00752358">
        <w:rPr>
          <w:rStyle w:val="AERbody"/>
        </w:rPr>
        <w:t>(section </w:t>
      </w:r>
      <w:r w:rsidR="00752358">
        <w:rPr>
          <w:rStyle w:val="AERbody"/>
        </w:rPr>
        <w:fldChar w:fldCharType="begin"/>
      </w:r>
      <w:r w:rsidR="00752358">
        <w:rPr>
          <w:rStyle w:val="AERbody"/>
        </w:rPr>
        <w:instrText xml:space="preserve"> REF _Ref435609144 \r \h </w:instrText>
      </w:r>
      <w:r w:rsidR="00752358">
        <w:rPr>
          <w:rStyle w:val="AERbody"/>
        </w:rPr>
      </w:r>
      <w:r w:rsidR="00752358">
        <w:rPr>
          <w:rStyle w:val="AERbody"/>
        </w:rPr>
        <w:fldChar w:fldCharType="separate"/>
      </w:r>
      <w:r w:rsidR="00B1738D">
        <w:rPr>
          <w:rStyle w:val="AERbody"/>
        </w:rPr>
        <w:t>2.4.1</w:t>
      </w:r>
      <w:r w:rsidR="00752358">
        <w:rPr>
          <w:rStyle w:val="AERbody"/>
        </w:rPr>
        <w:fldChar w:fldCharType="end"/>
      </w:r>
      <w:r w:rsidR="00752358" w:rsidRPr="00785ED3">
        <w:rPr>
          <w:rStyle w:val="AERbody"/>
        </w:rPr>
        <w:t>)</w:t>
      </w:r>
      <w:r w:rsidR="001F0ACA">
        <w:t>.</w:t>
      </w:r>
    </w:p>
    <w:p w:rsidR="00175FA7" w:rsidRDefault="00963983" w:rsidP="00175FA7">
      <w:r>
        <w:t>We determine a closing capital base of $</w:t>
      </w:r>
      <w:r w:rsidR="00A3741F">
        <w:t>128.2</w:t>
      </w:r>
      <w:r w:rsidR="00031A08">
        <w:t xml:space="preserve"> </w:t>
      </w:r>
      <w:r>
        <w:t>million ($nominal) as at 30 June 2021. This is $</w:t>
      </w:r>
      <w:r w:rsidR="00A3741F">
        <w:t>18.2</w:t>
      </w:r>
      <w:r w:rsidR="00FA77DE">
        <w:t xml:space="preserve"> </w:t>
      </w:r>
      <w:r>
        <w:t>million (</w:t>
      </w:r>
      <w:r w:rsidR="0092283F">
        <w:t xml:space="preserve">or </w:t>
      </w:r>
      <w:r w:rsidR="00A3741F">
        <w:t>12.4</w:t>
      </w:r>
      <w:r w:rsidR="00FA77DE">
        <w:t xml:space="preserve"> </w:t>
      </w:r>
      <w:r>
        <w:t>per cent) lower than APTNT's revised proposal of $</w:t>
      </w:r>
      <w:r w:rsidR="00031A08">
        <w:t>146.4</w:t>
      </w:r>
      <w:r>
        <w:t xml:space="preserve"> million. Our final decision on the closing capital base reflects our adjustments to </w:t>
      </w:r>
      <w:r w:rsidR="00105144">
        <w:t>forecast capex (attachment 6) and depreciation (attachment 5).</w:t>
      </w:r>
      <w:r w:rsidR="00175FA7">
        <w:t xml:space="preserve"> </w:t>
      </w:r>
    </w:p>
    <w:p w:rsidR="00175FA7" w:rsidRPr="000D15C2" w:rsidRDefault="00175FA7" w:rsidP="00175FA7">
      <w:r>
        <w:fldChar w:fldCharType="begin"/>
      </w:r>
      <w:r>
        <w:instrText xml:space="preserve"> REF _Ref404157003 \h  \* MERGEFORMAT </w:instrText>
      </w:r>
      <w:r>
        <w:fldChar w:fldCharType="separate"/>
      </w:r>
      <w:r w:rsidR="00B1738D">
        <w:t xml:space="preserve">Table </w:t>
      </w:r>
      <w:r w:rsidR="00B1738D">
        <w:t>2</w:t>
      </w:r>
      <w:r w:rsidR="00B1738D" w:rsidRPr="000D15C2">
        <w:t>.</w:t>
      </w:r>
      <w:r w:rsidR="00B1738D">
        <w:t>1</w:t>
      </w:r>
      <w:r>
        <w:fldChar w:fldCharType="end"/>
      </w:r>
      <w:r>
        <w:t xml:space="preserve"> </w:t>
      </w:r>
      <w:r w:rsidRPr="00F73C2D">
        <w:t xml:space="preserve">summarises </w:t>
      </w:r>
      <w:r>
        <w:t>our</w:t>
      </w:r>
      <w:r w:rsidRPr="00F73C2D">
        <w:t xml:space="preserve"> </w:t>
      </w:r>
      <w:r>
        <w:t>final</w:t>
      </w:r>
      <w:r w:rsidRPr="00F73C2D">
        <w:t xml:space="preserve"> dec</w:t>
      </w:r>
      <w:r>
        <w:t>ision on the roll forward of APTNT's</w:t>
      </w:r>
      <w:r w:rsidRPr="00F73C2D">
        <w:t xml:space="preserve"> capital base during the </w:t>
      </w:r>
      <w:r>
        <w:t>2011–16</w:t>
      </w:r>
      <w:r w:rsidRPr="00F73C2D">
        <w:t xml:space="preserve"> access arrangement period. </w:t>
      </w:r>
    </w:p>
    <w:p w:rsidR="00175FA7" w:rsidRPr="007B0146" w:rsidRDefault="00175FA7" w:rsidP="00175FA7">
      <w:r w:rsidRPr="007B0146">
        <w:t xml:space="preserve">We have revised the access arrangement having regard to our reasons for refusing to approve APTNT's proposal and the further matters identified in the NGR section 64(2). Our revisions are reflected in the </w:t>
      </w:r>
      <w:r w:rsidRPr="007B0146">
        <w:rPr>
          <w:rStyle w:val="Emphasis"/>
        </w:rPr>
        <w:t>Approved Access Arrangement for the Amadeus Gas Pipeline 1 July 2016 to 30 June 2021</w:t>
      </w:r>
      <w:r w:rsidRPr="007B0146">
        <w:t xml:space="preserve">, May 2016, which gives effect to this decision. </w:t>
      </w:r>
    </w:p>
    <w:p w:rsidR="000D15C2" w:rsidRDefault="000D15C2" w:rsidP="00F554E5">
      <w:pPr>
        <w:pStyle w:val="Caption"/>
      </w:pPr>
      <w:bookmarkStart w:id="14" w:name="_Ref404157003"/>
      <w:bookmarkStart w:id="15" w:name="_Ref328756976"/>
      <w:proofErr w:type="gramStart"/>
      <w:r>
        <w:lastRenderedPageBreak/>
        <w:t xml:space="preserve">Table </w:t>
      </w:r>
      <w:proofErr w:type="gramEnd"/>
      <w:r w:rsidRPr="000D15C2">
        <w:fldChar w:fldCharType="begin"/>
      </w:r>
      <w:r>
        <w:instrText xml:space="preserve"> STYLEREF 1 \s </w:instrText>
      </w:r>
      <w:r w:rsidRPr="000D15C2">
        <w:fldChar w:fldCharType="separate"/>
      </w:r>
      <w:r w:rsidR="00B1738D">
        <w:rPr>
          <w:noProof/>
        </w:rPr>
        <w:t>2</w:t>
      </w:r>
      <w:r w:rsidRPr="000D15C2">
        <w:fldChar w:fldCharType="end"/>
      </w:r>
      <w:proofErr w:type="gramStart"/>
      <w:r w:rsidRPr="000D15C2">
        <w:t>.</w:t>
      </w:r>
      <w:proofErr w:type="gramEnd"/>
      <w:r w:rsidRPr="000D15C2">
        <w:fldChar w:fldCharType="begin"/>
      </w:r>
      <w:r>
        <w:instrText xml:space="preserve"> SEQ Table \* ARABIC \s 1 </w:instrText>
      </w:r>
      <w:r w:rsidRPr="000D15C2">
        <w:fldChar w:fldCharType="separate"/>
      </w:r>
      <w:r w:rsidR="00B1738D">
        <w:rPr>
          <w:noProof/>
        </w:rPr>
        <w:t>1</w:t>
      </w:r>
      <w:r w:rsidRPr="000D15C2">
        <w:fldChar w:fldCharType="end"/>
      </w:r>
      <w:bookmarkEnd w:id="14"/>
      <w:r>
        <w:tab/>
        <w:t xml:space="preserve">AER's </w:t>
      </w:r>
      <w:r w:rsidR="00A90827">
        <w:t>final</w:t>
      </w:r>
      <w:r>
        <w:t xml:space="preserve"> decision on APTNT's capital base roll forward for the 2011–16 access arrangement period ($million, nominal)</w:t>
      </w:r>
    </w:p>
    <w:tbl>
      <w:tblPr>
        <w:tblStyle w:val="AERtable-numbers"/>
        <w:tblW w:w="8727" w:type="dxa"/>
        <w:tblLayout w:type="fixed"/>
        <w:tblLook w:val="04A0" w:firstRow="1" w:lastRow="0" w:firstColumn="1" w:lastColumn="0" w:noHBand="0" w:noVBand="1"/>
      </w:tblPr>
      <w:tblGrid>
        <w:gridCol w:w="3652"/>
        <w:gridCol w:w="1015"/>
        <w:gridCol w:w="1015"/>
        <w:gridCol w:w="1015"/>
        <w:gridCol w:w="1015"/>
        <w:gridCol w:w="1015"/>
      </w:tblGrid>
      <w:tr w:rsidR="000D15C2" w:rsidRPr="007F00CD" w:rsidTr="00F94BAB">
        <w:trPr>
          <w:cnfStyle w:val="100000000000" w:firstRow="1" w:lastRow="0" w:firstColumn="0" w:lastColumn="0" w:oddVBand="0" w:evenVBand="0" w:oddHBand="0" w:evenHBand="0" w:firstRowFirstColumn="0" w:firstRowLastColumn="0" w:lastRowFirstColumn="0" w:lastRowLastColumn="0"/>
          <w:trHeight w:val="295"/>
          <w:tblHeader/>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p>
        </w:tc>
        <w:tc>
          <w:tcPr>
            <w:tcW w:w="1015" w:type="dxa"/>
            <w:noWrap/>
          </w:tcPr>
          <w:p w:rsidR="000D15C2" w:rsidRPr="007F00CD" w:rsidRDefault="000D15C2" w:rsidP="00B1738D">
            <w:pPr>
              <w:keepNext/>
              <w:cnfStyle w:val="100000000000" w:firstRow="1" w:lastRow="0" w:firstColumn="0" w:lastColumn="0" w:oddVBand="0" w:evenVBand="0" w:oddHBand="0" w:evenHBand="0" w:firstRowFirstColumn="0" w:firstRowLastColumn="0" w:lastRowFirstColumn="0" w:lastRowLastColumn="0"/>
            </w:pPr>
            <w:r w:rsidRPr="007F00CD">
              <w:t>2011–12</w:t>
            </w:r>
          </w:p>
        </w:tc>
        <w:tc>
          <w:tcPr>
            <w:tcW w:w="1015" w:type="dxa"/>
            <w:noWrap/>
          </w:tcPr>
          <w:p w:rsidR="000D15C2" w:rsidRPr="007F00CD" w:rsidRDefault="000D15C2" w:rsidP="00B1738D">
            <w:pPr>
              <w:keepNext/>
              <w:cnfStyle w:val="100000000000" w:firstRow="1" w:lastRow="0" w:firstColumn="0" w:lastColumn="0" w:oddVBand="0" w:evenVBand="0" w:oddHBand="0" w:evenHBand="0" w:firstRowFirstColumn="0" w:firstRowLastColumn="0" w:lastRowFirstColumn="0" w:lastRowLastColumn="0"/>
            </w:pPr>
            <w:r w:rsidRPr="007F00CD">
              <w:t>2012–13</w:t>
            </w:r>
          </w:p>
        </w:tc>
        <w:tc>
          <w:tcPr>
            <w:tcW w:w="1015" w:type="dxa"/>
            <w:noWrap/>
          </w:tcPr>
          <w:p w:rsidR="000D15C2" w:rsidRPr="007F00CD" w:rsidRDefault="000D15C2" w:rsidP="00B1738D">
            <w:pPr>
              <w:keepNext/>
              <w:cnfStyle w:val="100000000000" w:firstRow="1" w:lastRow="0" w:firstColumn="0" w:lastColumn="0" w:oddVBand="0" w:evenVBand="0" w:oddHBand="0" w:evenHBand="0" w:firstRowFirstColumn="0" w:firstRowLastColumn="0" w:lastRowFirstColumn="0" w:lastRowLastColumn="0"/>
            </w:pPr>
            <w:r w:rsidRPr="007F00CD">
              <w:t>2013–14</w:t>
            </w:r>
          </w:p>
        </w:tc>
        <w:tc>
          <w:tcPr>
            <w:tcW w:w="1015" w:type="dxa"/>
            <w:noWrap/>
          </w:tcPr>
          <w:p w:rsidR="000D15C2" w:rsidRPr="007F00CD" w:rsidRDefault="000D15C2" w:rsidP="00B1738D">
            <w:pPr>
              <w:keepNext/>
              <w:cnfStyle w:val="100000000000" w:firstRow="1" w:lastRow="0" w:firstColumn="0" w:lastColumn="0" w:oddVBand="0" w:evenVBand="0" w:oddHBand="0" w:evenHBand="0" w:firstRowFirstColumn="0" w:firstRowLastColumn="0" w:lastRowFirstColumn="0" w:lastRowLastColumn="0"/>
            </w:pPr>
            <w:r w:rsidRPr="007F00CD">
              <w:t>2014–15</w:t>
            </w:r>
          </w:p>
        </w:tc>
        <w:tc>
          <w:tcPr>
            <w:tcW w:w="1015" w:type="dxa"/>
            <w:noWrap/>
          </w:tcPr>
          <w:p w:rsidR="000D15C2" w:rsidRPr="007F00CD" w:rsidRDefault="000D15C2" w:rsidP="00B1738D">
            <w:pPr>
              <w:keepNext/>
              <w:cnfStyle w:val="100000000000" w:firstRow="1" w:lastRow="0" w:firstColumn="0" w:lastColumn="0" w:oddVBand="0" w:evenVBand="0" w:oddHBand="0" w:evenHBand="0" w:firstRowFirstColumn="0" w:firstRowLastColumn="0" w:lastRowFirstColumn="0" w:lastRowLastColumn="0"/>
            </w:pPr>
            <w:r w:rsidRPr="007F00CD">
              <w:t>2015–16</w:t>
            </w:r>
          </w:p>
        </w:tc>
      </w:tr>
      <w:tr w:rsidR="000D15C2" w:rsidRPr="007F00CD" w:rsidTr="00F94BAB">
        <w:trPr>
          <w:trHeight w:val="377"/>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Opening capital base</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92.1</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92.7</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106.1</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107.6</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107.4</w:t>
            </w:r>
          </w:p>
        </w:tc>
      </w:tr>
      <w:tr w:rsidR="000D15C2" w:rsidRPr="007F00CD" w:rsidTr="00F94BAB">
        <w:trPr>
          <w:cnfStyle w:val="000000010000" w:firstRow="0" w:lastRow="0" w:firstColumn="0" w:lastColumn="0" w:oddVBand="0" w:evenVBand="0" w:oddHBand="0" w:evenHBand="1"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Net capex</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4.3</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16.5</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4.0</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4.2</w:t>
            </w:r>
          </w:p>
        </w:tc>
        <w:tc>
          <w:tcPr>
            <w:tcW w:w="1015" w:type="dxa"/>
            <w:noWrap/>
          </w:tcPr>
          <w:p w:rsidR="000D15C2" w:rsidRPr="007F00CD" w:rsidRDefault="00FA77DE" w:rsidP="00B1738D">
            <w:pPr>
              <w:keepNext/>
              <w:cnfStyle w:val="000000010000" w:firstRow="0" w:lastRow="0" w:firstColumn="0" w:lastColumn="0" w:oddVBand="0" w:evenVBand="0" w:oddHBand="0" w:evenHBand="1" w:firstRowFirstColumn="0" w:firstRowLastColumn="0" w:lastRowFirstColumn="0" w:lastRowLastColumn="0"/>
            </w:pPr>
            <w:r>
              <w:t>13.</w:t>
            </w:r>
            <w:r w:rsidR="00B44EC7">
              <w:t>1</w:t>
            </w:r>
          </w:p>
        </w:tc>
      </w:tr>
      <w:tr w:rsidR="000D15C2" w:rsidRPr="007F00CD" w:rsidTr="00F94BAB">
        <w:trPr>
          <w:trHeight w:val="375"/>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Indexation of capital base</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1.5</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2.3</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3.1</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1.4</w:t>
            </w:r>
          </w:p>
        </w:tc>
        <w:tc>
          <w:tcPr>
            <w:tcW w:w="1015" w:type="dxa"/>
            <w:noWrap/>
          </w:tcPr>
          <w:p w:rsidR="000D15C2" w:rsidRPr="007F00CD" w:rsidRDefault="00B44EC7" w:rsidP="00B1738D">
            <w:pPr>
              <w:keepNext/>
              <w:cnfStyle w:val="000000000000" w:firstRow="0" w:lastRow="0" w:firstColumn="0" w:lastColumn="0" w:oddVBand="0" w:evenVBand="0" w:oddHBand="0" w:evenHBand="0" w:firstRowFirstColumn="0" w:firstRowLastColumn="0" w:lastRowFirstColumn="0" w:lastRowLastColumn="0"/>
            </w:pPr>
            <w:r>
              <w:t>1.4</w:t>
            </w:r>
          </w:p>
        </w:tc>
      </w:tr>
      <w:tr w:rsidR="000D15C2" w:rsidRPr="007F00CD" w:rsidTr="00F94BAB">
        <w:trPr>
          <w:cnfStyle w:val="000000010000" w:firstRow="0" w:lastRow="0" w:firstColumn="0" w:lastColumn="0" w:oddVBand="0" w:evenVBand="0" w:oddHBand="0" w:evenHBand="1"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Depreciation</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–5.1</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–5.4</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–5.6</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–5.9</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–3.4</w:t>
            </w:r>
          </w:p>
        </w:tc>
      </w:tr>
      <w:tr w:rsidR="000D15C2" w:rsidRPr="007F00CD" w:rsidTr="00F94BAB">
        <w:trPr>
          <w:trHeight w:val="411"/>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 xml:space="preserve">Closing capital base </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92.7</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106.1</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107.6</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pPr>
            <w:r w:rsidRPr="007F00CD">
              <w:t>107.4</w:t>
            </w:r>
          </w:p>
        </w:tc>
        <w:tc>
          <w:tcPr>
            <w:tcW w:w="1015" w:type="dxa"/>
            <w:noWrap/>
          </w:tcPr>
          <w:p w:rsidR="000D15C2" w:rsidRPr="007F00CD" w:rsidRDefault="00B44EC7" w:rsidP="00B1738D">
            <w:pPr>
              <w:keepNext/>
              <w:cnfStyle w:val="000000000000" w:firstRow="0" w:lastRow="0" w:firstColumn="0" w:lastColumn="0" w:oddVBand="0" w:evenVBand="0" w:oddHBand="0" w:evenHBand="0" w:firstRowFirstColumn="0" w:firstRowLastColumn="0" w:lastRowFirstColumn="0" w:lastRowLastColumn="0"/>
            </w:pPr>
            <w:r>
              <w:t>11</w:t>
            </w:r>
            <w:r w:rsidR="00673ADB">
              <w:t>8.5</w:t>
            </w:r>
          </w:p>
        </w:tc>
      </w:tr>
      <w:tr w:rsidR="000D15C2" w:rsidRPr="007F00CD" w:rsidTr="00F94BAB">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pPr>
            <w:r w:rsidRPr="007F00CD">
              <w:t>Adjustment for difference between estimated and actual capital expenditure in 2010–11</w:t>
            </w:r>
            <w:r w:rsidRPr="00170D06">
              <w:rPr>
                <w:rStyle w:val="AERsuperscript"/>
              </w:rPr>
              <w:t>a</w:t>
            </w: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p>
        </w:tc>
        <w:tc>
          <w:tcPr>
            <w:tcW w:w="1015" w:type="dxa"/>
            <w:noWrap/>
          </w:tcPr>
          <w:p w:rsidR="000D15C2" w:rsidRPr="007F00CD" w:rsidRDefault="000D15C2" w:rsidP="00B1738D">
            <w:pPr>
              <w:keepNext/>
              <w:cnfStyle w:val="000000010000" w:firstRow="0" w:lastRow="0" w:firstColumn="0" w:lastColumn="0" w:oddVBand="0" w:evenVBand="0" w:oddHBand="0" w:evenHBand="1" w:firstRowFirstColumn="0" w:firstRowLastColumn="0" w:lastRowFirstColumn="0" w:lastRowLastColumn="0"/>
            </w:pPr>
            <w:r w:rsidRPr="007F00CD">
              <w:t>–2.7</w:t>
            </w:r>
          </w:p>
        </w:tc>
      </w:tr>
      <w:tr w:rsidR="000D15C2" w:rsidRPr="007F00CD" w:rsidTr="00F94BAB">
        <w:trPr>
          <w:trHeight w:val="290"/>
        </w:trPr>
        <w:tc>
          <w:tcPr>
            <w:cnfStyle w:val="001000000000" w:firstRow="0" w:lastRow="0" w:firstColumn="1" w:lastColumn="0" w:oddVBand="0" w:evenVBand="0" w:oddHBand="0" w:evenHBand="0" w:firstRowFirstColumn="0" w:firstRowLastColumn="0" w:lastRowFirstColumn="0" w:lastRowLastColumn="0"/>
            <w:tcW w:w="3652" w:type="dxa"/>
            <w:noWrap/>
          </w:tcPr>
          <w:p w:rsidR="000D15C2" w:rsidRPr="007F00CD" w:rsidRDefault="000D15C2" w:rsidP="00B1738D">
            <w:pPr>
              <w:keepNext/>
              <w:rPr>
                <w:rStyle w:val="Strong"/>
              </w:rPr>
            </w:pPr>
            <w:r w:rsidRPr="007F00CD">
              <w:rPr>
                <w:rStyle w:val="Strong"/>
              </w:rPr>
              <w:t>Opening capital base at 1 July 2016</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 </w:t>
            </w:r>
          </w:p>
        </w:tc>
        <w:tc>
          <w:tcPr>
            <w:tcW w:w="1015" w:type="dxa"/>
            <w:noWrap/>
          </w:tcPr>
          <w:p w:rsidR="000D15C2" w:rsidRPr="007F00CD" w:rsidRDefault="000D15C2" w:rsidP="00B1738D">
            <w:pPr>
              <w:keepNext/>
              <w:cnfStyle w:val="000000000000" w:firstRow="0" w:lastRow="0" w:firstColumn="0" w:lastColumn="0" w:oddVBand="0" w:evenVBand="0" w:oddHBand="0" w:evenHBand="0" w:firstRowFirstColumn="0" w:firstRowLastColumn="0" w:lastRowFirstColumn="0" w:lastRowLastColumn="0"/>
              <w:rPr>
                <w:rStyle w:val="Strong"/>
              </w:rPr>
            </w:pPr>
            <w:r w:rsidRPr="007F00CD">
              <w:rPr>
                <w:rStyle w:val="Strong"/>
              </w:rPr>
              <w:t>11</w:t>
            </w:r>
            <w:r w:rsidR="00673ADB">
              <w:rPr>
                <w:rStyle w:val="Strong"/>
              </w:rPr>
              <w:t>5.8</w:t>
            </w:r>
          </w:p>
        </w:tc>
      </w:tr>
    </w:tbl>
    <w:bookmarkEnd w:id="15"/>
    <w:p w:rsidR="000D15C2" w:rsidRPr="007F00CD" w:rsidRDefault="000D15C2" w:rsidP="00B1738D">
      <w:pPr>
        <w:pStyle w:val="AERtablesource"/>
        <w:keepNext/>
        <w:rPr>
          <w:rStyle w:val="AERtextsize8"/>
          <w:rFonts w:eastAsia="Calibri"/>
          <w:szCs w:val="20"/>
          <w:lang w:eastAsia="en-AU"/>
        </w:rPr>
      </w:pPr>
      <w:r w:rsidRPr="007F00CD">
        <w:rPr>
          <w:rStyle w:val="AERtextsize8"/>
          <w:rFonts w:eastAsia="Calibri"/>
        </w:rPr>
        <w:t xml:space="preserve">Source: </w:t>
      </w:r>
      <w:r w:rsidRPr="007F00CD">
        <w:rPr>
          <w:rStyle w:val="AERtextsize8"/>
          <w:rFonts w:eastAsia="Calibri"/>
        </w:rPr>
        <w:tab/>
        <w:t xml:space="preserve">AER analysis. </w:t>
      </w:r>
    </w:p>
    <w:p w:rsidR="000D15C2" w:rsidRPr="007F00CD" w:rsidRDefault="000D15C2" w:rsidP="00B1738D">
      <w:pPr>
        <w:pStyle w:val="AERtablesource"/>
        <w:keepNext/>
        <w:rPr>
          <w:rStyle w:val="AERtextsize8"/>
          <w:rFonts w:eastAsia="Calibri"/>
          <w:szCs w:val="20"/>
          <w:lang w:eastAsia="en-AU"/>
        </w:rPr>
      </w:pPr>
      <w:r w:rsidRPr="007F00CD">
        <w:rPr>
          <w:rStyle w:val="AERtextsize8"/>
          <w:rFonts w:eastAsia="Calibri"/>
        </w:rPr>
        <w:t xml:space="preserve">(a) </w:t>
      </w:r>
      <w:r w:rsidRPr="007F00CD">
        <w:rPr>
          <w:rStyle w:val="AERtextsize8"/>
          <w:rFonts w:eastAsia="Calibri"/>
        </w:rPr>
        <w:tab/>
        <w:t>Comprising the difference between the actual and estimated capex for 2010–11 and the return on that difference.</w:t>
      </w:r>
    </w:p>
    <w:bookmarkStart w:id="16" w:name="_Ref398891994"/>
    <w:p w:rsidR="000D15C2" w:rsidRPr="000D15C2" w:rsidRDefault="000D15C2" w:rsidP="000D15C2">
      <w:pPr>
        <w:rPr>
          <w:rStyle w:val="AERbody"/>
        </w:rPr>
      </w:pPr>
      <w:r w:rsidRPr="000D15C2">
        <w:rPr>
          <w:rStyle w:val="AERbody"/>
        </w:rPr>
        <w:fldChar w:fldCharType="begin"/>
      </w:r>
      <w:r w:rsidRPr="000D15C2">
        <w:rPr>
          <w:rStyle w:val="AERbody"/>
        </w:rPr>
        <w:instrText xml:space="preserve"> REF _Ref404703901 \h  \* MERGEFORMAT </w:instrText>
      </w:r>
      <w:r w:rsidRPr="000D15C2">
        <w:rPr>
          <w:rStyle w:val="AERbody"/>
        </w:rPr>
      </w:r>
      <w:r w:rsidRPr="000D15C2">
        <w:rPr>
          <w:rStyle w:val="AERbody"/>
        </w:rPr>
        <w:fldChar w:fldCharType="separate"/>
      </w:r>
      <w:r w:rsidR="00B1738D">
        <w:t xml:space="preserve">Table </w:t>
      </w:r>
      <w:r w:rsidR="00B1738D">
        <w:t>2</w:t>
      </w:r>
      <w:r w:rsidR="00B1738D" w:rsidRPr="000D15C2">
        <w:t>.</w:t>
      </w:r>
      <w:r w:rsidR="00B1738D">
        <w:t>2</w:t>
      </w:r>
      <w:r w:rsidRPr="000D15C2">
        <w:rPr>
          <w:rStyle w:val="AERbody"/>
        </w:rPr>
        <w:fldChar w:fldCharType="end"/>
      </w:r>
      <w:r w:rsidRPr="000D15C2">
        <w:rPr>
          <w:rStyle w:val="AERbody"/>
        </w:rPr>
        <w:t xml:space="preserve"> sets out the projected roll forward of the capital base during the 2016–21 access arrangement period.</w:t>
      </w:r>
    </w:p>
    <w:p w:rsidR="000D15C2" w:rsidRPr="00D94A48" w:rsidRDefault="000D15C2" w:rsidP="000D15C2">
      <w:pPr>
        <w:pStyle w:val="Caption"/>
      </w:pPr>
      <w:bookmarkStart w:id="17" w:name="_Ref404703901"/>
      <w:proofErr w:type="gramStart"/>
      <w:r>
        <w:t xml:space="preserve">Table </w:t>
      </w:r>
      <w:proofErr w:type="gramEnd"/>
      <w:r w:rsidRPr="000D15C2">
        <w:fldChar w:fldCharType="begin"/>
      </w:r>
      <w:r>
        <w:instrText xml:space="preserve"> STYLEREF 1 \s </w:instrText>
      </w:r>
      <w:r w:rsidRPr="000D15C2">
        <w:fldChar w:fldCharType="separate"/>
      </w:r>
      <w:r w:rsidR="00B1738D">
        <w:rPr>
          <w:noProof/>
        </w:rPr>
        <w:t>2</w:t>
      </w:r>
      <w:r w:rsidRPr="000D15C2">
        <w:fldChar w:fldCharType="end"/>
      </w:r>
      <w:proofErr w:type="gramStart"/>
      <w:r w:rsidRPr="000D15C2">
        <w:t>.</w:t>
      </w:r>
      <w:proofErr w:type="gramEnd"/>
      <w:r w:rsidRPr="000D15C2">
        <w:fldChar w:fldCharType="begin"/>
      </w:r>
      <w:r>
        <w:instrText xml:space="preserve"> SEQ Table \* ARABIC \s 1 </w:instrText>
      </w:r>
      <w:r w:rsidRPr="000D15C2">
        <w:fldChar w:fldCharType="separate"/>
      </w:r>
      <w:r w:rsidR="00B1738D">
        <w:rPr>
          <w:noProof/>
        </w:rPr>
        <w:t>2</w:t>
      </w:r>
      <w:r w:rsidRPr="000D15C2">
        <w:fldChar w:fldCharType="end"/>
      </w:r>
      <w:bookmarkEnd w:id="16"/>
      <w:bookmarkEnd w:id="17"/>
      <w:r>
        <w:tab/>
      </w:r>
      <w:r w:rsidRPr="00D94A48">
        <w:t xml:space="preserve">AER's </w:t>
      </w:r>
      <w:r w:rsidR="00A90827">
        <w:t>final</w:t>
      </w:r>
      <w:r w:rsidRPr="00D94A48">
        <w:t xml:space="preserve"> decision on projected capital base roll forward for the </w:t>
      </w:r>
      <w:r>
        <w:t>2016–21</w:t>
      </w:r>
      <w:r w:rsidRPr="00D94A48">
        <w:t xml:space="preserve"> access arrangement period ($million, nominal)</w:t>
      </w:r>
      <w:bookmarkStart w:id="18" w:name="_Ref328757042"/>
    </w:p>
    <w:tbl>
      <w:tblPr>
        <w:tblStyle w:val="AERtable-numbers"/>
        <w:tblW w:w="8755" w:type="dxa"/>
        <w:tblLayout w:type="fixed"/>
        <w:tblLook w:val="04A0" w:firstRow="1" w:lastRow="0" w:firstColumn="1" w:lastColumn="0" w:noHBand="0" w:noVBand="1"/>
      </w:tblPr>
      <w:tblGrid>
        <w:gridCol w:w="2802"/>
        <w:gridCol w:w="1190"/>
        <w:gridCol w:w="1191"/>
        <w:gridCol w:w="1190"/>
        <w:gridCol w:w="1191"/>
        <w:gridCol w:w="1191"/>
      </w:tblGrid>
      <w:tr w:rsidR="000D15C2" w:rsidRPr="007F00CD" w:rsidTr="00CA6F3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noWrap/>
          </w:tcPr>
          <w:p w:rsidR="000D15C2" w:rsidRPr="007F00CD" w:rsidRDefault="000D15C2" w:rsidP="007F00CD"/>
        </w:tc>
        <w:tc>
          <w:tcPr>
            <w:tcW w:w="1190" w:type="dxa"/>
            <w:noWrap/>
          </w:tcPr>
          <w:p w:rsidR="000D15C2" w:rsidRPr="007F00CD" w:rsidRDefault="000D15C2" w:rsidP="007F00CD">
            <w:pPr>
              <w:cnfStyle w:val="100000000000" w:firstRow="1" w:lastRow="0" w:firstColumn="0" w:lastColumn="0" w:oddVBand="0" w:evenVBand="0" w:oddHBand="0" w:evenHBand="0" w:firstRowFirstColumn="0" w:firstRowLastColumn="0" w:lastRowFirstColumn="0" w:lastRowLastColumn="0"/>
            </w:pPr>
            <w:r w:rsidRPr="007F00CD">
              <w:t>2016–17</w:t>
            </w:r>
          </w:p>
        </w:tc>
        <w:tc>
          <w:tcPr>
            <w:tcW w:w="1191" w:type="dxa"/>
            <w:noWrap/>
          </w:tcPr>
          <w:p w:rsidR="000D15C2" w:rsidRPr="007F00CD" w:rsidRDefault="000D15C2" w:rsidP="007F00CD">
            <w:pPr>
              <w:cnfStyle w:val="100000000000" w:firstRow="1" w:lastRow="0" w:firstColumn="0" w:lastColumn="0" w:oddVBand="0" w:evenVBand="0" w:oddHBand="0" w:evenHBand="0" w:firstRowFirstColumn="0" w:firstRowLastColumn="0" w:lastRowFirstColumn="0" w:lastRowLastColumn="0"/>
            </w:pPr>
            <w:r w:rsidRPr="007F00CD">
              <w:t>2017–18</w:t>
            </w:r>
          </w:p>
        </w:tc>
        <w:tc>
          <w:tcPr>
            <w:tcW w:w="1190" w:type="dxa"/>
            <w:noWrap/>
          </w:tcPr>
          <w:p w:rsidR="000D15C2" w:rsidRPr="007F00CD" w:rsidRDefault="000D15C2" w:rsidP="007F00CD">
            <w:pPr>
              <w:cnfStyle w:val="100000000000" w:firstRow="1" w:lastRow="0" w:firstColumn="0" w:lastColumn="0" w:oddVBand="0" w:evenVBand="0" w:oddHBand="0" w:evenHBand="0" w:firstRowFirstColumn="0" w:firstRowLastColumn="0" w:lastRowFirstColumn="0" w:lastRowLastColumn="0"/>
            </w:pPr>
            <w:r w:rsidRPr="007F00CD">
              <w:t>2018–19</w:t>
            </w:r>
          </w:p>
        </w:tc>
        <w:tc>
          <w:tcPr>
            <w:tcW w:w="1191" w:type="dxa"/>
            <w:noWrap/>
          </w:tcPr>
          <w:p w:rsidR="000D15C2" w:rsidRPr="007F00CD" w:rsidRDefault="000D15C2" w:rsidP="007F00CD">
            <w:pPr>
              <w:cnfStyle w:val="100000000000" w:firstRow="1" w:lastRow="0" w:firstColumn="0" w:lastColumn="0" w:oddVBand="0" w:evenVBand="0" w:oddHBand="0" w:evenHBand="0" w:firstRowFirstColumn="0" w:firstRowLastColumn="0" w:lastRowFirstColumn="0" w:lastRowLastColumn="0"/>
            </w:pPr>
            <w:r w:rsidRPr="007F00CD">
              <w:t>2019–20</w:t>
            </w:r>
          </w:p>
        </w:tc>
        <w:tc>
          <w:tcPr>
            <w:tcW w:w="1191" w:type="dxa"/>
            <w:noWrap/>
          </w:tcPr>
          <w:p w:rsidR="000D15C2" w:rsidRPr="007F00CD" w:rsidRDefault="000D15C2" w:rsidP="007F00CD">
            <w:pPr>
              <w:cnfStyle w:val="100000000000" w:firstRow="1" w:lastRow="0" w:firstColumn="0" w:lastColumn="0" w:oddVBand="0" w:evenVBand="0" w:oddHBand="0" w:evenHBand="0" w:firstRowFirstColumn="0" w:firstRowLastColumn="0" w:lastRowFirstColumn="0" w:lastRowLastColumn="0"/>
            </w:pPr>
            <w:r w:rsidRPr="007F00CD">
              <w:t>2020–21</w:t>
            </w:r>
          </w:p>
        </w:tc>
      </w:tr>
      <w:tr w:rsidR="00D95ADF" w:rsidRPr="007F00CD" w:rsidTr="00D95ADF">
        <w:trPr>
          <w:trHeight w:val="349"/>
        </w:trPr>
        <w:tc>
          <w:tcPr>
            <w:cnfStyle w:val="001000000000" w:firstRow="0" w:lastRow="0" w:firstColumn="1" w:lastColumn="0" w:oddVBand="0" w:evenVBand="0" w:oddHBand="0" w:evenHBand="0" w:firstRowFirstColumn="0" w:firstRowLastColumn="0" w:lastRowFirstColumn="0" w:lastRowLastColumn="0"/>
            <w:tcW w:w="2802" w:type="dxa"/>
            <w:noWrap/>
          </w:tcPr>
          <w:p w:rsidR="00D95ADF" w:rsidRPr="00D95ADF" w:rsidRDefault="00D95ADF" w:rsidP="00D95ADF">
            <w:r w:rsidRPr="00D95ADF">
              <w:t>Opening capital base</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115.8</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123.0</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124.7</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126.0</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127.1</w:t>
            </w:r>
          </w:p>
        </w:tc>
      </w:tr>
      <w:tr w:rsidR="00D95ADF" w:rsidRPr="007F00CD" w:rsidTr="00B75E54">
        <w:trPr>
          <w:cnfStyle w:val="000000010000" w:firstRow="0" w:lastRow="0" w:firstColumn="0" w:lastColumn="0" w:oddVBand="0" w:evenVBand="0" w:oddHBand="0" w:evenHBand="1"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802" w:type="dxa"/>
            <w:noWrap/>
          </w:tcPr>
          <w:p w:rsidR="00D95ADF" w:rsidRPr="00D95ADF" w:rsidRDefault="00D95ADF" w:rsidP="00D95ADF">
            <w:r w:rsidRPr="00D95ADF">
              <w:t xml:space="preserve">Net capex </w:t>
            </w:r>
          </w:p>
        </w:tc>
        <w:tc>
          <w:tcPr>
            <w:tcW w:w="1190"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rsidRPr="00D95ADF">
              <w:t>7.9</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rsidRPr="00D95ADF">
              <w:t>2.7</w:t>
            </w:r>
          </w:p>
        </w:tc>
        <w:tc>
          <w:tcPr>
            <w:tcW w:w="1190"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rsidRPr="00D95ADF">
              <w:t>2.4</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rsidRPr="00D95ADF">
              <w:t>2.5</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rsidRPr="00D95ADF">
              <w:t>2.6</w:t>
            </w:r>
          </w:p>
        </w:tc>
      </w:tr>
      <w:tr w:rsidR="00D95ADF" w:rsidRPr="007F00CD" w:rsidTr="00D95ADF">
        <w:trPr>
          <w:trHeight w:val="418"/>
        </w:trPr>
        <w:tc>
          <w:tcPr>
            <w:cnfStyle w:val="001000000000" w:firstRow="0" w:lastRow="0" w:firstColumn="1" w:lastColumn="0" w:oddVBand="0" w:evenVBand="0" w:oddHBand="0" w:evenHBand="0" w:firstRowFirstColumn="0" w:firstRowLastColumn="0" w:lastRowFirstColumn="0" w:lastRowLastColumn="0"/>
            <w:tcW w:w="2802" w:type="dxa"/>
            <w:noWrap/>
          </w:tcPr>
          <w:p w:rsidR="00D95ADF" w:rsidRPr="00D95ADF" w:rsidRDefault="00D95ADF" w:rsidP="00D95ADF">
            <w:r w:rsidRPr="00D95ADF">
              <w:t>Indexation of capital base</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2.8</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2.9</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3.0</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3.0</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3.0</w:t>
            </w:r>
          </w:p>
        </w:tc>
      </w:tr>
      <w:tr w:rsidR="00D95ADF" w:rsidRPr="007F00CD" w:rsidTr="00B75E54">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802" w:type="dxa"/>
            <w:noWrap/>
          </w:tcPr>
          <w:p w:rsidR="00D95ADF" w:rsidRPr="00D95ADF" w:rsidRDefault="00D95ADF" w:rsidP="00D95ADF">
            <w:r w:rsidRPr="00D95ADF">
              <w:t>Depreciation</w:t>
            </w:r>
          </w:p>
        </w:tc>
        <w:tc>
          <w:tcPr>
            <w:tcW w:w="1190"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t>–</w:t>
            </w:r>
            <w:r w:rsidRPr="00D95ADF">
              <w:t>3.5</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t>–</w:t>
            </w:r>
            <w:r w:rsidRPr="00D95ADF">
              <w:t>3.9</w:t>
            </w:r>
          </w:p>
        </w:tc>
        <w:tc>
          <w:tcPr>
            <w:tcW w:w="1190"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t>–</w:t>
            </w:r>
            <w:r w:rsidRPr="00D95ADF">
              <w:t>4.1</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t>–</w:t>
            </w:r>
            <w:r w:rsidRPr="00D95ADF">
              <w:t>4.3</w:t>
            </w:r>
          </w:p>
        </w:tc>
        <w:tc>
          <w:tcPr>
            <w:tcW w:w="1191" w:type="dxa"/>
            <w:noWrap/>
          </w:tcPr>
          <w:p w:rsidR="00D95ADF" w:rsidRPr="00D95ADF" w:rsidRDefault="00D95ADF" w:rsidP="00D95ADF">
            <w:pPr>
              <w:cnfStyle w:val="000000010000" w:firstRow="0" w:lastRow="0" w:firstColumn="0" w:lastColumn="0" w:oddVBand="0" w:evenVBand="0" w:oddHBand="0" w:evenHBand="1" w:firstRowFirstColumn="0" w:firstRowLastColumn="0" w:lastRowFirstColumn="0" w:lastRowLastColumn="0"/>
            </w:pPr>
            <w:r>
              <w:t>–</w:t>
            </w:r>
            <w:r w:rsidRPr="00D95ADF">
              <w:t>4.6</w:t>
            </w:r>
          </w:p>
        </w:tc>
      </w:tr>
      <w:tr w:rsidR="00D95ADF" w:rsidRPr="007F00CD" w:rsidTr="00D95ADF">
        <w:trPr>
          <w:trHeight w:val="422"/>
        </w:trPr>
        <w:tc>
          <w:tcPr>
            <w:cnfStyle w:val="001000000000" w:firstRow="0" w:lastRow="0" w:firstColumn="1" w:lastColumn="0" w:oddVBand="0" w:evenVBand="0" w:oddHBand="0" w:evenHBand="0" w:firstRowFirstColumn="0" w:firstRowLastColumn="0" w:lastRowFirstColumn="0" w:lastRowLastColumn="0"/>
            <w:tcW w:w="2802" w:type="dxa"/>
            <w:noWrap/>
          </w:tcPr>
          <w:p w:rsidR="00D95ADF" w:rsidRPr="00D95ADF" w:rsidRDefault="00D95ADF" w:rsidP="00D95ADF">
            <w:r w:rsidRPr="00D95ADF">
              <w:t>Closing capital base</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123.0</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124.7</w:t>
            </w:r>
          </w:p>
        </w:tc>
        <w:tc>
          <w:tcPr>
            <w:tcW w:w="1190"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126.0</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127.1</w:t>
            </w:r>
          </w:p>
        </w:tc>
        <w:tc>
          <w:tcPr>
            <w:tcW w:w="1191" w:type="dxa"/>
            <w:noWrap/>
          </w:tcPr>
          <w:p w:rsidR="00D95ADF" w:rsidRPr="00D95ADF" w:rsidRDefault="00D95ADF" w:rsidP="00D95ADF">
            <w:pPr>
              <w:cnfStyle w:val="000000000000" w:firstRow="0" w:lastRow="0" w:firstColumn="0" w:lastColumn="0" w:oddVBand="0" w:evenVBand="0" w:oddHBand="0" w:evenHBand="0" w:firstRowFirstColumn="0" w:firstRowLastColumn="0" w:lastRowFirstColumn="0" w:lastRowLastColumn="0"/>
            </w:pPr>
            <w:r w:rsidRPr="00D95ADF">
              <w:t>128.2</w:t>
            </w:r>
          </w:p>
        </w:tc>
      </w:tr>
    </w:tbl>
    <w:bookmarkEnd w:id="18"/>
    <w:p w:rsidR="000D15C2" w:rsidRPr="000D15C2" w:rsidRDefault="000D15C2" w:rsidP="000D15C2">
      <w:pPr>
        <w:pStyle w:val="AERtablesource"/>
        <w:rPr>
          <w:rFonts w:eastAsia="Calibri"/>
        </w:rPr>
      </w:pPr>
      <w:r w:rsidRPr="000D15C2">
        <w:rPr>
          <w:rFonts w:eastAsia="Calibri"/>
        </w:rPr>
        <w:t xml:space="preserve">Source: </w:t>
      </w:r>
      <w:r w:rsidRPr="000D15C2">
        <w:rPr>
          <w:rFonts w:eastAsia="Calibri"/>
        </w:rPr>
        <w:tab/>
        <w:t>AER analysis.</w:t>
      </w:r>
    </w:p>
    <w:p w:rsidR="000D15C2" w:rsidRPr="008B71B7" w:rsidRDefault="000D15C2" w:rsidP="000D15C2">
      <w:pPr>
        <w:pStyle w:val="Heading2"/>
      </w:pPr>
      <w:bookmarkStart w:id="19" w:name="_Toc334608501"/>
      <w:bookmarkStart w:id="20" w:name="_Toc334608733"/>
      <w:bookmarkStart w:id="21" w:name="_Toc404157796"/>
      <w:bookmarkStart w:id="22" w:name="_Toc404158159"/>
      <w:bookmarkStart w:id="23" w:name="_Toc404256798"/>
      <w:bookmarkStart w:id="24" w:name="_Toc436036746"/>
      <w:bookmarkStart w:id="25" w:name="_Toc451529298"/>
      <w:r w:rsidRPr="008B71B7">
        <w:t xml:space="preserve">APTNT's </w:t>
      </w:r>
      <w:r w:rsidR="00DC789F">
        <w:t xml:space="preserve">revised </w:t>
      </w:r>
      <w:r w:rsidRPr="008B71B7">
        <w:t>proposal</w:t>
      </w:r>
      <w:bookmarkEnd w:id="19"/>
      <w:bookmarkEnd w:id="20"/>
      <w:bookmarkEnd w:id="21"/>
      <w:bookmarkEnd w:id="22"/>
      <w:bookmarkEnd w:id="23"/>
      <w:bookmarkEnd w:id="24"/>
      <w:bookmarkEnd w:id="25"/>
    </w:p>
    <w:p w:rsidR="00E6164E" w:rsidRDefault="00E6164E" w:rsidP="000D15C2">
      <w:r>
        <w:t>APTNT's revised proposal submitted an opening capital base at 1 July 2016 of $</w:t>
      </w:r>
      <w:r w:rsidR="0084749B">
        <w:t>119.5</w:t>
      </w:r>
      <w:r w:rsidR="002A48AE">
        <w:t> </w:t>
      </w:r>
      <w:r w:rsidR="0004010E">
        <w:t>million ($nominal).</w:t>
      </w:r>
      <w:r w:rsidR="00887E67">
        <w:rPr>
          <w:rStyle w:val="FootnoteReference"/>
        </w:rPr>
        <w:footnoteReference w:id="2"/>
      </w:r>
      <w:r w:rsidR="0004010E">
        <w:t xml:space="preserve"> APTNT did not adopt our draft decision </w:t>
      </w:r>
      <w:r w:rsidR="00A9445A">
        <w:t xml:space="preserve">to </w:t>
      </w:r>
      <w:r w:rsidR="0004010E">
        <w:t>reduc</w:t>
      </w:r>
      <w:r w:rsidR="00A9445A">
        <w:t>e</w:t>
      </w:r>
      <w:r w:rsidR="0004010E">
        <w:t xml:space="preserve"> </w:t>
      </w:r>
      <w:r w:rsidR="0092283F">
        <w:t xml:space="preserve">the </w:t>
      </w:r>
      <w:r w:rsidR="0004010E">
        <w:t>conforming capex</w:t>
      </w:r>
      <w:r w:rsidR="002A48AE">
        <w:t xml:space="preserve"> estimate</w:t>
      </w:r>
      <w:r w:rsidR="0004010E">
        <w:t xml:space="preserve"> for 2015–16</w:t>
      </w:r>
      <w:r w:rsidR="000F25C9">
        <w:t>.</w:t>
      </w:r>
    </w:p>
    <w:p w:rsidR="000D15C2" w:rsidRDefault="000D15C2" w:rsidP="000D15C2">
      <w:bookmarkStart w:id="26" w:name="_Toc429575467"/>
      <w:r>
        <w:t xml:space="preserve">APTNT’s </w:t>
      </w:r>
      <w:r w:rsidR="006445B7">
        <w:t xml:space="preserve">revised </w:t>
      </w:r>
      <w:r>
        <w:t xml:space="preserve">proposed capital base roll forward during the 2011–16 access arrangement </w:t>
      </w:r>
      <w:proofErr w:type="gramStart"/>
      <w:r>
        <w:t>period</w:t>
      </w:r>
      <w:proofErr w:type="gramEnd"/>
      <w:r>
        <w:t xml:space="preserve"> is shown in </w:t>
      </w:r>
      <w:r>
        <w:fldChar w:fldCharType="begin"/>
      </w:r>
      <w:r>
        <w:instrText xml:space="preserve"> REF _Ref435427706 \h </w:instrText>
      </w:r>
      <w:r>
        <w:fldChar w:fldCharType="separate"/>
      </w:r>
      <w:r w:rsidR="00B1738D">
        <w:t xml:space="preserve">Table </w:t>
      </w:r>
      <w:r w:rsidR="00B1738D">
        <w:rPr>
          <w:noProof/>
        </w:rPr>
        <w:t>2</w:t>
      </w:r>
      <w:r w:rsidR="00B1738D" w:rsidRPr="000D15C2">
        <w:t>.</w:t>
      </w:r>
      <w:r w:rsidR="00B1738D">
        <w:rPr>
          <w:noProof/>
        </w:rPr>
        <w:t>3</w:t>
      </w:r>
      <w:r>
        <w:fldChar w:fldCharType="end"/>
      </w:r>
      <w:r>
        <w:t>.</w:t>
      </w:r>
    </w:p>
    <w:p w:rsidR="000D15C2" w:rsidRDefault="000D15C2" w:rsidP="000D15C2">
      <w:pPr>
        <w:pStyle w:val="Caption"/>
      </w:pPr>
      <w:bookmarkStart w:id="27" w:name="_Ref435427706"/>
      <w:proofErr w:type="gramStart"/>
      <w:r>
        <w:t xml:space="preserve">Table </w:t>
      </w:r>
      <w:proofErr w:type="gramEnd"/>
      <w:r w:rsidRPr="000D15C2">
        <w:fldChar w:fldCharType="begin"/>
      </w:r>
      <w:r>
        <w:instrText xml:space="preserve"> STYLEREF 1 \s </w:instrText>
      </w:r>
      <w:r w:rsidRPr="000D15C2">
        <w:fldChar w:fldCharType="separate"/>
      </w:r>
      <w:r w:rsidR="00B1738D">
        <w:rPr>
          <w:noProof/>
        </w:rPr>
        <w:t>2</w:t>
      </w:r>
      <w:r w:rsidRPr="000D15C2">
        <w:fldChar w:fldCharType="end"/>
      </w:r>
      <w:proofErr w:type="gramStart"/>
      <w:r w:rsidRPr="000D15C2">
        <w:t>.</w:t>
      </w:r>
      <w:proofErr w:type="gramEnd"/>
      <w:r w:rsidRPr="000D15C2">
        <w:fldChar w:fldCharType="begin"/>
      </w:r>
      <w:r>
        <w:instrText xml:space="preserve"> SEQ Table \* ARABIC \s 1 </w:instrText>
      </w:r>
      <w:r w:rsidRPr="000D15C2">
        <w:fldChar w:fldCharType="separate"/>
      </w:r>
      <w:r w:rsidR="00B1738D">
        <w:rPr>
          <w:noProof/>
        </w:rPr>
        <w:t>3</w:t>
      </w:r>
      <w:r w:rsidRPr="000D15C2">
        <w:fldChar w:fldCharType="end"/>
      </w:r>
      <w:bookmarkEnd w:id="27"/>
      <w:r>
        <w:tab/>
        <w:t>APTNT</w:t>
      </w:r>
      <w:r w:rsidRPr="00585B5C">
        <w:t>'s</w:t>
      </w:r>
      <w:r w:rsidR="006445B7">
        <w:t xml:space="preserve"> revised</w:t>
      </w:r>
      <w:r w:rsidRPr="00585B5C">
        <w:t xml:space="preserve"> proposed capital base roll forward during the </w:t>
      </w:r>
      <w:r>
        <w:t>2011–16</w:t>
      </w:r>
      <w:r w:rsidRPr="00585B5C">
        <w:t xml:space="preserve"> access arrangement period ($million, nominal)</w:t>
      </w:r>
    </w:p>
    <w:tbl>
      <w:tblPr>
        <w:tblStyle w:val="AERtable-numbers"/>
        <w:tblW w:w="8786" w:type="dxa"/>
        <w:tblLayout w:type="fixed"/>
        <w:tblLook w:val="04A0" w:firstRow="1" w:lastRow="0" w:firstColumn="1" w:lastColumn="0" w:noHBand="0" w:noVBand="1"/>
      </w:tblPr>
      <w:tblGrid>
        <w:gridCol w:w="3652"/>
        <w:gridCol w:w="1026"/>
        <w:gridCol w:w="1027"/>
        <w:gridCol w:w="1027"/>
        <w:gridCol w:w="1027"/>
        <w:gridCol w:w="1027"/>
      </w:tblGrid>
      <w:tr w:rsidR="000D15C2" w:rsidRPr="00CE62E5" w:rsidTr="002A48AE">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tc>
        <w:tc>
          <w:tcPr>
            <w:tcW w:w="1026"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2011–12</w:t>
            </w:r>
          </w:p>
        </w:tc>
        <w:tc>
          <w:tcPr>
            <w:tcW w:w="1027"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2012–13</w:t>
            </w:r>
          </w:p>
        </w:tc>
        <w:tc>
          <w:tcPr>
            <w:tcW w:w="1027"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2013–14</w:t>
            </w:r>
          </w:p>
        </w:tc>
        <w:tc>
          <w:tcPr>
            <w:tcW w:w="1027"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2014–15</w:t>
            </w:r>
          </w:p>
        </w:tc>
        <w:tc>
          <w:tcPr>
            <w:tcW w:w="1027"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2015–16</w:t>
            </w:r>
          </w:p>
        </w:tc>
      </w:tr>
      <w:tr w:rsidR="000D15C2" w:rsidRPr="00CE62E5" w:rsidTr="002A48AE">
        <w:trPr>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Opening capital base</w:t>
            </w:r>
          </w:p>
        </w:tc>
        <w:tc>
          <w:tcPr>
            <w:tcW w:w="1026" w:type="dxa"/>
          </w:tcPr>
          <w:p w:rsidR="000D15C2" w:rsidRPr="000D15C2" w:rsidRDefault="00561454" w:rsidP="00DB1E4C">
            <w:pPr>
              <w:cnfStyle w:val="000000000000" w:firstRow="0" w:lastRow="0" w:firstColumn="0" w:lastColumn="0" w:oddVBand="0" w:evenVBand="0" w:oddHBand="0" w:evenHBand="0" w:firstRowFirstColumn="0" w:firstRowLastColumn="0" w:lastRowFirstColumn="0" w:lastRowLastColumn="0"/>
            </w:pPr>
            <w:r>
              <w:t>92.1</w:t>
            </w:r>
          </w:p>
        </w:tc>
        <w:tc>
          <w:tcPr>
            <w:tcW w:w="1027" w:type="dxa"/>
          </w:tcPr>
          <w:p w:rsidR="000D15C2" w:rsidRPr="000D15C2" w:rsidRDefault="00561454" w:rsidP="00DB1E4C">
            <w:pPr>
              <w:cnfStyle w:val="000000000000" w:firstRow="0" w:lastRow="0" w:firstColumn="0" w:lastColumn="0" w:oddVBand="0" w:evenVBand="0" w:oddHBand="0" w:evenHBand="0" w:firstRowFirstColumn="0" w:firstRowLastColumn="0" w:lastRowFirstColumn="0" w:lastRowLastColumn="0"/>
            </w:pPr>
            <w:r>
              <w:t>92.7</w:t>
            </w:r>
          </w:p>
        </w:tc>
        <w:tc>
          <w:tcPr>
            <w:tcW w:w="1027" w:type="dxa"/>
          </w:tcPr>
          <w:p w:rsidR="000D15C2" w:rsidRPr="000D15C2" w:rsidRDefault="00561454" w:rsidP="00DB1E4C">
            <w:pPr>
              <w:cnfStyle w:val="000000000000" w:firstRow="0" w:lastRow="0" w:firstColumn="0" w:lastColumn="0" w:oddVBand="0" w:evenVBand="0" w:oddHBand="0" w:evenHBand="0" w:firstRowFirstColumn="0" w:firstRowLastColumn="0" w:lastRowFirstColumn="0" w:lastRowLastColumn="0"/>
            </w:pPr>
            <w:r>
              <w:t>106.1</w:t>
            </w:r>
          </w:p>
        </w:tc>
        <w:tc>
          <w:tcPr>
            <w:tcW w:w="1027" w:type="dxa"/>
          </w:tcPr>
          <w:p w:rsidR="000D15C2" w:rsidRPr="000D15C2" w:rsidRDefault="00561454" w:rsidP="00DB1E4C">
            <w:pPr>
              <w:cnfStyle w:val="000000000000" w:firstRow="0" w:lastRow="0" w:firstColumn="0" w:lastColumn="0" w:oddVBand="0" w:evenVBand="0" w:oddHBand="0" w:evenHBand="0" w:firstRowFirstColumn="0" w:firstRowLastColumn="0" w:lastRowFirstColumn="0" w:lastRowLastColumn="0"/>
            </w:pPr>
            <w:r>
              <w:t>107.6</w:t>
            </w:r>
          </w:p>
        </w:tc>
        <w:tc>
          <w:tcPr>
            <w:tcW w:w="1027" w:type="dxa"/>
          </w:tcPr>
          <w:p w:rsidR="000D15C2" w:rsidRPr="000D15C2" w:rsidRDefault="00561454" w:rsidP="00DB1E4C">
            <w:pPr>
              <w:cnfStyle w:val="000000000000" w:firstRow="0" w:lastRow="0" w:firstColumn="0" w:lastColumn="0" w:oddVBand="0" w:evenVBand="0" w:oddHBand="0" w:evenHBand="0" w:firstRowFirstColumn="0" w:firstRowLastColumn="0" w:lastRowFirstColumn="0" w:lastRowLastColumn="0"/>
            </w:pPr>
            <w:r>
              <w:t>107.4</w:t>
            </w:r>
          </w:p>
        </w:tc>
      </w:tr>
      <w:tr w:rsidR="000D15C2" w:rsidRPr="00CE62E5" w:rsidTr="002A48A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 xml:space="preserve">Net capex </w:t>
            </w:r>
          </w:p>
        </w:tc>
        <w:tc>
          <w:tcPr>
            <w:tcW w:w="1026" w:type="dxa"/>
          </w:tcPr>
          <w:p w:rsidR="000D15C2" w:rsidRPr="000D15C2" w:rsidRDefault="00561454" w:rsidP="00DB1E4C">
            <w:pPr>
              <w:cnfStyle w:val="000000010000" w:firstRow="0" w:lastRow="0" w:firstColumn="0" w:lastColumn="0" w:oddVBand="0" w:evenVBand="0" w:oddHBand="0" w:evenHBand="1" w:firstRowFirstColumn="0" w:firstRowLastColumn="0" w:lastRowFirstColumn="0" w:lastRowLastColumn="0"/>
            </w:pPr>
            <w:r>
              <w:t>4.3</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16.5</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4.0</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4.2</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15.5</w:t>
            </w:r>
          </w:p>
        </w:tc>
      </w:tr>
      <w:tr w:rsidR="000D15C2" w:rsidRPr="00CE62E5" w:rsidTr="002A48AE">
        <w:trPr>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 xml:space="preserve">Indexation of capital base </w:t>
            </w:r>
          </w:p>
        </w:tc>
        <w:tc>
          <w:tcPr>
            <w:tcW w:w="1026"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1.5</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2.3</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3.1</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2.7</w:t>
            </w:r>
          </w:p>
        </w:tc>
      </w:tr>
      <w:tr w:rsidR="000D15C2" w:rsidRPr="00CE62E5" w:rsidTr="002A48A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 xml:space="preserve">Depreciation </w:t>
            </w:r>
          </w:p>
        </w:tc>
        <w:tc>
          <w:tcPr>
            <w:tcW w:w="1026"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–5.</w:t>
            </w:r>
            <w:r w:rsidR="00561454">
              <w:t>1</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–5.4</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–5.</w:t>
            </w:r>
            <w:r w:rsidR="00561454">
              <w:t>6</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–5.</w:t>
            </w:r>
            <w:r w:rsidR="00561454">
              <w:t>9</w:t>
            </w: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–3.</w:t>
            </w:r>
            <w:r w:rsidR="00561454">
              <w:t>4</w:t>
            </w:r>
          </w:p>
        </w:tc>
      </w:tr>
      <w:tr w:rsidR="000D15C2" w:rsidRPr="00CE62E5" w:rsidTr="002A48AE">
        <w:trPr>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Closing capital base</w:t>
            </w:r>
          </w:p>
        </w:tc>
        <w:tc>
          <w:tcPr>
            <w:tcW w:w="1026"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92.</w:t>
            </w:r>
            <w:r w:rsidR="00561454">
              <w:t>7</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106.</w:t>
            </w:r>
            <w:r w:rsidR="00561454">
              <w:t>1</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107.</w:t>
            </w:r>
            <w:r w:rsidR="00561454">
              <w:t>6</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107.</w:t>
            </w:r>
            <w:r w:rsidR="00561454">
              <w:t>4</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122.</w:t>
            </w:r>
            <w:r w:rsidR="00561454">
              <w:t>2</w:t>
            </w:r>
          </w:p>
        </w:tc>
      </w:tr>
      <w:tr w:rsidR="000D15C2" w:rsidRPr="00CE62E5" w:rsidTr="002A48AE">
        <w:trPr>
          <w:cnfStyle w:val="000000010000" w:firstRow="0" w:lastRow="0" w:firstColumn="0" w:lastColumn="0" w:oddVBand="0" w:evenVBand="0" w:oddHBand="0" w:evenHBand="1"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3652" w:type="dxa"/>
            <w:hideMark/>
          </w:tcPr>
          <w:p w:rsidR="000D15C2" w:rsidRPr="000D15C2" w:rsidRDefault="000D15C2" w:rsidP="00DB1E4C">
            <w:r w:rsidRPr="000D15C2">
              <w:t xml:space="preserve">Adjustment for 2010–11 </w:t>
            </w:r>
            <w:proofErr w:type="spellStart"/>
            <w:r w:rsidRPr="000D15C2">
              <w:t>capex</w:t>
            </w:r>
            <w:r w:rsidRPr="000D15C2">
              <w:rPr>
                <w:rStyle w:val="AERsuperscript"/>
              </w:rPr>
              <w:t>a</w:t>
            </w:r>
            <w:proofErr w:type="spellEnd"/>
          </w:p>
        </w:tc>
        <w:tc>
          <w:tcPr>
            <w:tcW w:w="1026"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p>
        </w:tc>
        <w:tc>
          <w:tcPr>
            <w:tcW w:w="1027"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w:t>
            </w:r>
            <w:r w:rsidR="00561454">
              <w:t>7</w:t>
            </w:r>
          </w:p>
        </w:tc>
      </w:tr>
      <w:tr w:rsidR="000D15C2" w:rsidRPr="00CE62E5" w:rsidTr="002A48AE">
        <w:trPr>
          <w:trHeight w:val="428"/>
        </w:trPr>
        <w:tc>
          <w:tcPr>
            <w:cnfStyle w:val="001000000000" w:firstRow="0" w:lastRow="0" w:firstColumn="1" w:lastColumn="0" w:oddVBand="0" w:evenVBand="0" w:oddHBand="0" w:evenHBand="0" w:firstRowFirstColumn="0" w:firstRowLastColumn="0" w:lastRowFirstColumn="0" w:lastRowLastColumn="0"/>
            <w:tcW w:w="3652" w:type="dxa"/>
          </w:tcPr>
          <w:p w:rsidR="000D15C2" w:rsidRPr="000D15C2" w:rsidRDefault="000D15C2" w:rsidP="00DB1E4C">
            <w:pPr>
              <w:rPr>
                <w:rStyle w:val="Strong"/>
              </w:rPr>
            </w:pPr>
            <w:r w:rsidRPr="000D15C2">
              <w:rPr>
                <w:rStyle w:val="Strong"/>
              </w:rPr>
              <w:t>Opening capital base at 1 July 2016</w:t>
            </w:r>
          </w:p>
        </w:tc>
        <w:tc>
          <w:tcPr>
            <w:tcW w:w="1026"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rPr>
                <w:rStyle w:val="Strong"/>
              </w:rPr>
            </w:pPr>
            <w:r w:rsidRPr="000D15C2">
              <w:t> </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rPr>
                <w:rStyle w:val="Strong"/>
              </w:rPr>
            </w:pPr>
            <w:r w:rsidRPr="000D15C2">
              <w:t> </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rPr>
                <w:rStyle w:val="Strong"/>
              </w:rPr>
            </w:pPr>
            <w:r w:rsidRPr="000D15C2">
              <w:t> </w:t>
            </w:r>
          </w:p>
        </w:tc>
        <w:tc>
          <w:tcPr>
            <w:tcW w:w="1027"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rPr>
                <w:rStyle w:val="Strong"/>
              </w:rPr>
            </w:pPr>
            <w:r w:rsidRPr="000D15C2">
              <w:t> </w:t>
            </w:r>
          </w:p>
        </w:tc>
        <w:tc>
          <w:tcPr>
            <w:tcW w:w="1027" w:type="dxa"/>
          </w:tcPr>
          <w:p w:rsidR="000D15C2" w:rsidRPr="002A48AE" w:rsidRDefault="0084749B" w:rsidP="00DB1E4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119.5</w:t>
            </w:r>
          </w:p>
        </w:tc>
      </w:tr>
    </w:tbl>
    <w:p w:rsidR="000D15C2" w:rsidRPr="000D15C2" w:rsidRDefault="000D15C2" w:rsidP="000D15C2">
      <w:pPr>
        <w:pStyle w:val="AERtablesource"/>
        <w:rPr>
          <w:rFonts w:eastAsia="Calibri"/>
        </w:rPr>
      </w:pPr>
      <w:r w:rsidRPr="000D15C2">
        <w:rPr>
          <w:rFonts w:eastAsia="Calibri"/>
        </w:rPr>
        <w:t xml:space="preserve">Source: </w:t>
      </w:r>
      <w:r w:rsidRPr="000D15C2">
        <w:rPr>
          <w:rFonts w:eastAsia="Calibri"/>
        </w:rPr>
        <w:tab/>
      </w:r>
      <w:proofErr w:type="gramStart"/>
      <w:r w:rsidRPr="000D15C2">
        <w:rPr>
          <w:rFonts w:eastAsia="Calibri"/>
        </w:rPr>
        <w:t>APTNT,</w:t>
      </w:r>
      <w:proofErr w:type="gramEnd"/>
      <w:r w:rsidRPr="000D15C2">
        <w:rPr>
          <w:rFonts w:eastAsia="Calibri"/>
        </w:rPr>
        <w:t xml:space="preserve"> </w:t>
      </w:r>
      <w:r w:rsidR="009778AA">
        <w:rPr>
          <w:rStyle w:val="AERtextitalic"/>
          <w:rFonts w:eastAsia="Calibri"/>
        </w:rPr>
        <w:t>Revised p</w:t>
      </w:r>
      <w:r w:rsidRPr="000D15C2">
        <w:rPr>
          <w:rStyle w:val="AERtextitalic"/>
          <w:rFonts w:eastAsia="Calibri"/>
        </w:rPr>
        <w:t>roposed RFM</w:t>
      </w:r>
      <w:r w:rsidRPr="000D15C2">
        <w:rPr>
          <w:rFonts w:eastAsia="Calibri"/>
        </w:rPr>
        <w:t xml:space="preserve">, </w:t>
      </w:r>
      <w:r w:rsidR="009778AA">
        <w:rPr>
          <w:rFonts w:eastAsia="Calibri"/>
        </w:rPr>
        <w:t>January 2016</w:t>
      </w:r>
      <w:r w:rsidRPr="000D15C2">
        <w:rPr>
          <w:rFonts w:eastAsia="Calibri"/>
        </w:rPr>
        <w:t xml:space="preserve">. </w:t>
      </w:r>
    </w:p>
    <w:p w:rsidR="000D15C2" w:rsidRDefault="000D15C2" w:rsidP="000D15C2">
      <w:pPr>
        <w:pStyle w:val="AERtablesource"/>
        <w:rPr>
          <w:rFonts w:eastAsia="Calibri"/>
        </w:rPr>
      </w:pPr>
      <w:r w:rsidRPr="000D15C2">
        <w:rPr>
          <w:rFonts w:eastAsia="Calibri"/>
        </w:rPr>
        <w:t xml:space="preserve">(a) </w:t>
      </w:r>
      <w:r w:rsidRPr="000D15C2">
        <w:rPr>
          <w:rFonts w:eastAsia="Calibri"/>
        </w:rPr>
        <w:tab/>
        <w:t>Comprising the difference between the actual and estimated capex for 2010–11 and the return on that difference.</w:t>
      </w:r>
    </w:p>
    <w:p w:rsidR="000F25C9" w:rsidRDefault="000F25C9" w:rsidP="000F25C9">
      <w:r>
        <w:t>APTNT did not adopt our draft decision on the projected closing capital base at 30 June 2021. Instead</w:t>
      </w:r>
      <w:r w:rsidR="002A48AE">
        <w:t>,</w:t>
      </w:r>
      <w:r>
        <w:t xml:space="preserve"> APTNT's revised proposal submitted </w:t>
      </w:r>
      <w:r w:rsidR="009778AA">
        <w:t>a projected closing capital base at 30 June 2021 of $14</w:t>
      </w:r>
      <w:r w:rsidR="0084749B">
        <w:t>6.4</w:t>
      </w:r>
      <w:r w:rsidR="009778AA">
        <w:t xml:space="preserve"> million ($nominal). This value reflects its revised proposed opening capital base at 1 July 2016, forecast cape</w:t>
      </w:r>
      <w:r w:rsidR="002A48AE">
        <w:t>x</w:t>
      </w:r>
      <w:r w:rsidR="009778AA">
        <w:t xml:space="preserve"> and depreciation over the 2016–21 access arrangement </w:t>
      </w:r>
      <w:proofErr w:type="gramStart"/>
      <w:r w:rsidR="009778AA">
        <w:t>period</w:t>
      </w:r>
      <w:proofErr w:type="gramEnd"/>
      <w:r w:rsidR="009778AA">
        <w:t xml:space="preserve">. The projected roll forward of the capital base during the 2016–21 access arrangement </w:t>
      </w:r>
      <w:proofErr w:type="gramStart"/>
      <w:r w:rsidR="009778AA">
        <w:t>period</w:t>
      </w:r>
      <w:proofErr w:type="gramEnd"/>
      <w:r w:rsidR="009778AA">
        <w:t xml:space="preserve"> is shown in </w:t>
      </w:r>
      <w:r w:rsidR="009778AA">
        <w:fldChar w:fldCharType="begin"/>
      </w:r>
      <w:r w:rsidR="009778AA">
        <w:instrText xml:space="preserve"> REF _Ref398219730 \h  \* MERGEFORMAT </w:instrText>
      </w:r>
      <w:r w:rsidR="009778AA">
        <w:fldChar w:fldCharType="separate"/>
      </w:r>
      <w:r w:rsidR="00B1738D">
        <w:t xml:space="preserve">Table </w:t>
      </w:r>
      <w:r w:rsidR="00B1738D">
        <w:t>2</w:t>
      </w:r>
      <w:r w:rsidR="00B1738D">
        <w:t>.</w:t>
      </w:r>
      <w:r w:rsidR="00B1738D">
        <w:t>4</w:t>
      </w:r>
      <w:r w:rsidR="009778AA">
        <w:fldChar w:fldCharType="end"/>
      </w:r>
      <w:r w:rsidR="009778AA">
        <w:t>.</w:t>
      </w:r>
    </w:p>
    <w:p w:rsidR="000D15C2" w:rsidRDefault="000D15C2" w:rsidP="000D15C2">
      <w:pPr>
        <w:pStyle w:val="Caption"/>
      </w:pPr>
      <w:bookmarkStart w:id="28" w:name="_Ref398219730"/>
      <w:bookmarkStart w:id="29" w:name="_Ref329098245"/>
      <w:bookmarkEnd w:id="26"/>
      <w:proofErr w:type="gramStart"/>
      <w:r>
        <w:t xml:space="preserve">Table </w:t>
      </w:r>
      <w:proofErr w:type="gramEnd"/>
      <w:r w:rsidRPr="000D15C2">
        <w:fldChar w:fldCharType="begin"/>
      </w:r>
      <w:r>
        <w:instrText xml:space="preserve"> STYLEREF 1 \s </w:instrText>
      </w:r>
      <w:r w:rsidRPr="000D15C2">
        <w:fldChar w:fldCharType="separate"/>
      </w:r>
      <w:r w:rsidR="00B1738D">
        <w:rPr>
          <w:noProof/>
        </w:rPr>
        <w:t>2</w:t>
      </w:r>
      <w:r w:rsidRPr="000D15C2">
        <w:fldChar w:fldCharType="end"/>
      </w:r>
      <w:proofErr w:type="gramStart"/>
      <w:r>
        <w:t>.</w:t>
      </w:r>
      <w:proofErr w:type="gramEnd"/>
      <w:r w:rsidRPr="000D15C2">
        <w:fldChar w:fldCharType="begin"/>
      </w:r>
      <w:r>
        <w:instrText xml:space="preserve"> SEQ Table \* ARABIC \s 1 </w:instrText>
      </w:r>
      <w:r w:rsidRPr="000D15C2">
        <w:fldChar w:fldCharType="separate"/>
      </w:r>
      <w:r w:rsidR="00B1738D">
        <w:rPr>
          <w:noProof/>
        </w:rPr>
        <w:t>4</w:t>
      </w:r>
      <w:r w:rsidRPr="000D15C2">
        <w:fldChar w:fldCharType="end"/>
      </w:r>
      <w:bookmarkEnd w:id="28"/>
      <w:r>
        <w:tab/>
        <w:t>APTNT'</w:t>
      </w:r>
      <w:r w:rsidRPr="00302937">
        <w:t xml:space="preserve">s </w:t>
      </w:r>
      <w:r w:rsidR="00486CFA">
        <w:t xml:space="preserve">revised </w:t>
      </w:r>
      <w:r w:rsidRPr="00302937">
        <w:t xml:space="preserve">proposed projected capital base roll forward during the </w:t>
      </w:r>
      <w:r>
        <w:t>2016–21</w:t>
      </w:r>
      <w:r w:rsidRPr="00302937">
        <w:t xml:space="preserve"> access arrangement period ($million, nominal)</w:t>
      </w:r>
      <w:bookmarkEnd w:id="29"/>
    </w:p>
    <w:tbl>
      <w:tblPr>
        <w:tblStyle w:val="AERtable-numbers"/>
        <w:tblW w:w="8755" w:type="dxa"/>
        <w:tblLook w:val="04A0" w:firstRow="1" w:lastRow="0" w:firstColumn="1" w:lastColumn="0" w:noHBand="0" w:noVBand="1"/>
      </w:tblPr>
      <w:tblGrid>
        <w:gridCol w:w="3340"/>
        <w:gridCol w:w="1083"/>
        <w:gridCol w:w="1083"/>
        <w:gridCol w:w="1083"/>
        <w:gridCol w:w="1083"/>
        <w:gridCol w:w="1083"/>
      </w:tblGrid>
      <w:tr w:rsidR="000D15C2" w:rsidRPr="00CE62E5" w:rsidTr="00CA6F3B">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tc>
        <w:tc>
          <w:tcPr>
            <w:tcW w:w="1083"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2016–17</w:t>
            </w:r>
          </w:p>
        </w:tc>
        <w:tc>
          <w:tcPr>
            <w:tcW w:w="1083"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2017–18</w:t>
            </w:r>
          </w:p>
        </w:tc>
        <w:tc>
          <w:tcPr>
            <w:tcW w:w="1083"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2018–19</w:t>
            </w:r>
          </w:p>
        </w:tc>
        <w:tc>
          <w:tcPr>
            <w:tcW w:w="1083"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2019–20</w:t>
            </w:r>
          </w:p>
        </w:tc>
        <w:tc>
          <w:tcPr>
            <w:tcW w:w="1083" w:type="dxa"/>
          </w:tcPr>
          <w:p w:rsidR="000D15C2" w:rsidRPr="000D15C2" w:rsidRDefault="000D15C2" w:rsidP="00DB1E4C">
            <w:pPr>
              <w:cnfStyle w:val="100000000000" w:firstRow="1" w:lastRow="0" w:firstColumn="0" w:lastColumn="0" w:oddVBand="0" w:evenVBand="0" w:oddHBand="0" w:evenHBand="0" w:firstRowFirstColumn="0" w:firstRowLastColumn="0" w:lastRowFirstColumn="0" w:lastRowLastColumn="0"/>
            </w:pPr>
            <w:r w:rsidRPr="000D15C2">
              <w:t>2020–21</w:t>
            </w:r>
          </w:p>
        </w:tc>
      </w:tr>
      <w:tr w:rsidR="000D15C2" w:rsidRPr="00CE62E5" w:rsidTr="00CA6F3B">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r w:rsidRPr="000D15C2">
              <w:t>Opening capital base</w:t>
            </w:r>
          </w:p>
        </w:tc>
        <w:tc>
          <w:tcPr>
            <w:tcW w:w="1083" w:type="dxa"/>
          </w:tcPr>
          <w:p w:rsidR="000D15C2" w:rsidRPr="000D15C2" w:rsidRDefault="006445B7" w:rsidP="00DB1E4C">
            <w:pPr>
              <w:cnfStyle w:val="000000000000" w:firstRow="0" w:lastRow="0" w:firstColumn="0" w:lastColumn="0" w:oddVBand="0" w:evenVBand="0" w:oddHBand="0" w:evenHBand="0" w:firstRowFirstColumn="0" w:firstRowLastColumn="0" w:lastRowFirstColumn="0" w:lastRowLastColumn="0"/>
            </w:pPr>
            <w:r>
              <w:t>119.5</w:t>
            </w:r>
          </w:p>
        </w:tc>
        <w:tc>
          <w:tcPr>
            <w:tcW w:w="1083" w:type="dxa"/>
          </w:tcPr>
          <w:p w:rsidR="000D15C2" w:rsidRPr="000D15C2" w:rsidRDefault="006445B7" w:rsidP="00DB1E4C">
            <w:pPr>
              <w:cnfStyle w:val="000000000000" w:firstRow="0" w:lastRow="0" w:firstColumn="0" w:lastColumn="0" w:oddVBand="0" w:evenVBand="0" w:oddHBand="0" w:evenHBand="0" w:firstRowFirstColumn="0" w:firstRowLastColumn="0" w:lastRowFirstColumn="0" w:lastRowLastColumn="0"/>
            </w:pPr>
            <w:r>
              <w:t>140.0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r w:rsidR="006445B7">
              <w:t>2</w:t>
            </w:r>
            <w:r w:rsidRPr="000D15C2">
              <w:t>.0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r w:rsidR="006445B7">
              <w:t>3.5</w:t>
            </w:r>
          </w:p>
        </w:tc>
        <w:tc>
          <w:tcPr>
            <w:tcW w:w="1083" w:type="dxa"/>
          </w:tcPr>
          <w:p w:rsidR="000D15C2" w:rsidRPr="000D15C2" w:rsidRDefault="000D15C2" w:rsidP="002E0D67">
            <w:pPr>
              <w:cnfStyle w:val="000000000000" w:firstRow="0" w:lastRow="0" w:firstColumn="0" w:lastColumn="0" w:oddVBand="0" w:evenVBand="0" w:oddHBand="0" w:evenHBand="0" w:firstRowFirstColumn="0" w:firstRowLastColumn="0" w:lastRowFirstColumn="0" w:lastRowLastColumn="0"/>
            </w:pPr>
            <w:r w:rsidRPr="000D15C2">
              <w:t>14</w:t>
            </w:r>
            <w:r w:rsidR="006445B7">
              <w:t>5.0</w:t>
            </w:r>
          </w:p>
        </w:tc>
      </w:tr>
      <w:tr w:rsidR="000D15C2" w:rsidRPr="00CE62E5" w:rsidTr="00CA6F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r w:rsidRPr="000D15C2">
              <w:t>Net capex</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21.</w:t>
            </w:r>
            <w:r w:rsidR="006445B7">
              <w:t>1</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2.7</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w:t>
            </w:r>
            <w:r w:rsidR="006445B7">
              <w:t>4</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w:t>
            </w:r>
            <w:r w:rsidR="006445B7">
              <w:t>5</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2.</w:t>
            </w:r>
            <w:r w:rsidR="006445B7">
              <w:t>6</w:t>
            </w:r>
          </w:p>
        </w:tc>
      </w:tr>
      <w:tr w:rsidR="000D15C2" w:rsidRPr="00CE62E5" w:rsidTr="00CA6F3B">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r w:rsidRPr="000D15C2">
              <w:t>Indexation of capital base</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3.5</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3.5</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w:t>
            </w:r>
            <w:r w:rsidR="006445B7">
              <w:t>6</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3.</w:t>
            </w:r>
            <w:r w:rsidR="006445B7">
              <w:t>6</w:t>
            </w:r>
          </w:p>
        </w:tc>
      </w:tr>
      <w:tr w:rsidR="000D15C2" w:rsidRPr="00CE62E5" w:rsidTr="00CA6F3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r w:rsidRPr="000D15C2">
              <w:t>Depreciation</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w:t>
            </w:r>
            <w:r w:rsidR="006445B7">
              <w:t>3.6</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w:t>
            </w:r>
            <w:r w:rsidR="006445B7">
              <w:t>4.1</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w:t>
            </w:r>
            <w:r w:rsidR="006445B7">
              <w:t>4.4</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w:t>
            </w:r>
            <w:r w:rsidR="006445B7">
              <w:t>4.6</w:t>
            </w:r>
          </w:p>
        </w:tc>
        <w:tc>
          <w:tcPr>
            <w:tcW w:w="1083" w:type="dxa"/>
          </w:tcPr>
          <w:p w:rsidR="000D15C2" w:rsidRPr="000D15C2" w:rsidRDefault="000D15C2" w:rsidP="00DB1E4C">
            <w:pPr>
              <w:cnfStyle w:val="000000010000" w:firstRow="0" w:lastRow="0" w:firstColumn="0" w:lastColumn="0" w:oddVBand="0" w:evenVBand="0" w:oddHBand="0" w:evenHBand="1" w:firstRowFirstColumn="0" w:firstRowLastColumn="0" w:lastRowFirstColumn="0" w:lastRowLastColumn="0"/>
            </w:pPr>
            <w:r w:rsidRPr="000D15C2">
              <w:t>–</w:t>
            </w:r>
            <w:r w:rsidR="006445B7">
              <w:t>4.8</w:t>
            </w:r>
          </w:p>
        </w:tc>
      </w:tr>
      <w:tr w:rsidR="000D15C2" w:rsidRPr="00CE62E5" w:rsidTr="00CA6F3B">
        <w:trPr>
          <w:trHeight w:val="240"/>
        </w:trPr>
        <w:tc>
          <w:tcPr>
            <w:cnfStyle w:val="001000000000" w:firstRow="0" w:lastRow="0" w:firstColumn="1" w:lastColumn="0" w:oddVBand="0" w:evenVBand="0" w:oddHBand="0" w:evenHBand="0" w:firstRowFirstColumn="0" w:firstRowLastColumn="0" w:lastRowFirstColumn="0" w:lastRowLastColumn="0"/>
            <w:tcW w:w="3340" w:type="dxa"/>
            <w:hideMark/>
          </w:tcPr>
          <w:p w:rsidR="000D15C2" w:rsidRPr="000D15C2" w:rsidRDefault="000D15C2" w:rsidP="00DB1E4C">
            <w:r w:rsidRPr="000D15C2">
              <w:t>Closing capital base</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140.</w:t>
            </w:r>
            <w:r w:rsidR="006445B7">
              <w:t>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r w:rsidR="006445B7">
              <w:t>2</w:t>
            </w:r>
            <w:r w:rsidRPr="000D15C2">
              <w:t>.0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r w:rsidR="006445B7">
              <w:t>3.5</w:t>
            </w:r>
          </w:p>
        </w:tc>
        <w:tc>
          <w:tcPr>
            <w:tcW w:w="1083" w:type="dxa"/>
          </w:tcPr>
          <w:p w:rsidR="000D15C2" w:rsidRPr="000D15C2" w:rsidRDefault="000D15C2" w:rsidP="004659B1">
            <w:pPr>
              <w:cnfStyle w:val="000000000000" w:firstRow="0" w:lastRow="0" w:firstColumn="0" w:lastColumn="0" w:oddVBand="0" w:evenVBand="0" w:oddHBand="0" w:evenHBand="0" w:firstRowFirstColumn="0" w:firstRowLastColumn="0" w:lastRowFirstColumn="0" w:lastRowLastColumn="0"/>
            </w:pPr>
            <w:r w:rsidRPr="000D15C2">
              <w:t>14</w:t>
            </w:r>
            <w:r w:rsidR="006445B7">
              <w:t>5.0</w:t>
            </w:r>
          </w:p>
        </w:tc>
        <w:tc>
          <w:tcPr>
            <w:tcW w:w="1083" w:type="dxa"/>
          </w:tcPr>
          <w:p w:rsidR="000D15C2" w:rsidRPr="000D15C2" w:rsidRDefault="000D15C2" w:rsidP="00DB1E4C">
            <w:pPr>
              <w:cnfStyle w:val="000000000000" w:firstRow="0" w:lastRow="0" w:firstColumn="0" w:lastColumn="0" w:oddVBand="0" w:evenVBand="0" w:oddHBand="0" w:evenHBand="0" w:firstRowFirstColumn="0" w:firstRowLastColumn="0" w:lastRowFirstColumn="0" w:lastRowLastColumn="0"/>
            </w:pPr>
            <w:r w:rsidRPr="000D15C2">
              <w:t>14</w:t>
            </w:r>
            <w:r w:rsidR="006445B7">
              <w:t>6</w:t>
            </w:r>
            <w:r w:rsidRPr="000D15C2">
              <w:t>.</w:t>
            </w:r>
            <w:r w:rsidR="006445B7">
              <w:t>4</w:t>
            </w:r>
          </w:p>
        </w:tc>
      </w:tr>
    </w:tbl>
    <w:p w:rsidR="00B12AC1" w:rsidRPr="00B12AC1" w:rsidRDefault="000D15C2" w:rsidP="00175FA7">
      <w:pPr>
        <w:pStyle w:val="AERtablesource"/>
      </w:pPr>
      <w:r w:rsidRPr="000D15C2">
        <w:rPr>
          <w:rFonts w:eastAsia="Calibri"/>
        </w:rPr>
        <w:t xml:space="preserve">Source: </w:t>
      </w:r>
      <w:r w:rsidRPr="000D15C2">
        <w:rPr>
          <w:rFonts w:eastAsia="Calibri"/>
        </w:rPr>
        <w:tab/>
      </w:r>
      <w:proofErr w:type="gramStart"/>
      <w:r w:rsidRPr="000D15C2">
        <w:rPr>
          <w:rFonts w:eastAsia="Calibri"/>
        </w:rPr>
        <w:t>APTNT</w:t>
      </w:r>
      <w:r>
        <w:t>,</w:t>
      </w:r>
      <w:proofErr w:type="gramEnd"/>
      <w:r>
        <w:t xml:space="preserve"> </w:t>
      </w:r>
      <w:r w:rsidR="001E314A" w:rsidRPr="00AF2D81">
        <w:rPr>
          <w:rStyle w:val="AERtextitalic"/>
        </w:rPr>
        <w:t>Revised p</w:t>
      </w:r>
      <w:r>
        <w:rPr>
          <w:rStyle w:val="AERtextitalic"/>
        </w:rPr>
        <w:t>roposed PTRM</w:t>
      </w:r>
      <w:r>
        <w:t xml:space="preserve">, </w:t>
      </w:r>
      <w:r w:rsidR="001E314A">
        <w:t>January</w:t>
      </w:r>
      <w:r>
        <w:t xml:space="preserve"> 201</w:t>
      </w:r>
      <w:r w:rsidR="001E314A">
        <w:t>6</w:t>
      </w:r>
      <w:r>
        <w:t>.</w:t>
      </w:r>
    </w:p>
    <w:p w:rsidR="000D15C2" w:rsidRDefault="000D15C2" w:rsidP="00B1738D">
      <w:pPr>
        <w:pStyle w:val="Heading2"/>
        <w:keepNext/>
      </w:pPr>
      <w:bookmarkStart w:id="30" w:name="_Toc408404322"/>
      <w:bookmarkStart w:id="31" w:name="_Toc436036750"/>
      <w:bookmarkStart w:id="32" w:name="_Toc451529299"/>
      <w:r w:rsidRPr="0074565D">
        <w:t>AER’s assessment approach</w:t>
      </w:r>
      <w:bookmarkEnd w:id="30"/>
      <w:bookmarkEnd w:id="31"/>
      <w:bookmarkEnd w:id="32"/>
    </w:p>
    <w:p w:rsidR="009114B1" w:rsidRDefault="009114B1" w:rsidP="00B1738D">
      <w:pPr>
        <w:keepNext/>
      </w:pPr>
      <w:r>
        <w:t>We have not changed our assessment approach for the capital base from our draft decision. Section 2.3 of our draft decision details that approach.</w:t>
      </w:r>
      <w:r>
        <w:rPr>
          <w:rStyle w:val="FootnoteReference"/>
        </w:rPr>
        <w:footnoteReference w:id="3"/>
      </w:r>
    </w:p>
    <w:p w:rsidR="00DA5601" w:rsidRDefault="00DA5601" w:rsidP="000D15C2">
      <w:r>
        <w:t xml:space="preserve">In its response to our draft decision, APTNT suggested that the AER does not have the power to undertake a further review of conforming capex in the final years of the access arrangement preceding the earlier access arrangement (in this case </w:t>
      </w:r>
      <w:r w:rsidR="00752358">
        <w:br/>
      </w:r>
      <w:r>
        <w:t>2010–11).</w:t>
      </w:r>
      <w:r>
        <w:rPr>
          <w:rStyle w:val="FootnoteReference"/>
        </w:rPr>
        <w:footnoteReference w:id="4"/>
      </w:r>
      <w:r w:rsidR="003107AE">
        <w:t xml:space="preserve"> The AER assess</w:t>
      </w:r>
      <w:r w:rsidR="00D16B63">
        <w:t>e</w:t>
      </w:r>
      <w:r w:rsidR="003A77C7">
        <w:t>d</w:t>
      </w:r>
      <w:r w:rsidR="003107AE">
        <w:t xml:space="preserve"> conforming capex for the final year of the earlier access arrangement. However, capex in this final year is </w:t>
      </w:r>
      <w:r w:rsidR="00FF0D83">
        <w:t xml:space="preserve">only </w:t>
      </w:r>
      <w:r w:rsidR="003107AE">
        <w:t xml:space="preserve">an estimate and </w:t>
      </w:r>
      <w:r w:rsidR="007373EC">
        <w:t>a full assessment of the conforming capex is undertaken in the following access arrangement period</w:t>
      </w:r>
      <w:r w:rsidR="00FF0D83">
        <w:t xml:space="preserve"> once actual capex for that year is known</w:t>
      </w:r>
      <w:r w:rsidR="007373EC">
        <w:t>.</w:t>
      </w:r>
    </w:p>
    <w:p w:rsidR="000D15C2" w:rsidRPr="0074565D" w:rsidRDefault="000D15C2" w:rsidP="000D15C2">
      <w:pPr>
        <w:pStyle w:val="Heading2"/>
      </w:pPr>
      <w:bookmarkStart w:id="33" w:name="_Toc408404324"/>
      <w:bookmarkStart w:id="34" w:name="_Toc436036752"/>
      <w:bookmarkStart w:id="35" w:name="_Toc451529300"/>
      <w:r w:rsidRPr="0074565D">
        <w:t xml:space="preserve">Reasons for </w:t>
      </w:r>
      <w:r>
        <w:t>final</w:t>
      </w:r>
      <w:r w:rsidRPr="0074565D">
        <w:t xml:space="preserve"> decision</w:t>
      </w:r>
      <w:bookmarkEnd w:id="33"/>
      <w:bookmarkEnd w:id="34"/>
      <w:bookmarkEnd w:id="35"/>
      <w:r w:rsidRPr="0074565D">
        <w:t xml:space="preserve"> </w:t>
      </w:r>
    </w:p>
    <w:p w:rsidR="003A03FE" w:rsidRDefault="003A03FE" w:rsidP="000D15C2">
      <w:r>
        <w:t>We determine APTNT's opening capital base at 1 July 2016 to be $</w:t>
      </w:r>
      <w:r w:rsidR="00900BF9">
        <w:t>115.8</w:t>
      </w:r>
      <w:r w:rsidR="00031A08">
        <w:t xml:space="preserve"> </w:t>
      </w:r>
      <w:r>
        <w:t>million ($nomina</w:t>
      </w:r>
      <w:r w:rsidR="003A1D69">
        <w:t>l). This value is $</w:t>
      </w:r>
      <w:r w:rsidR="00900BF9">
        <w:t>3.7</w:t>
      </w:r>
      <w:r w:rsidR="003A1D69">
        <w:t xml:space="preserve"> million </w:t>
      </w:r>
      <w:r w:rsidR="000A6009">
        <w:t>(</w:t>
      </w:r>
      <w:r w:rsidR="003A1D69">
        <w:t xml:space="preserve">or </w:t>
      </w:r>
      <w:r w:rsidR="00900BF9">
        <w:t>3.1</w:t>
      </w:r>
      <w:r w:rsidR="003A1D69">
        <w:t xml:space="preserve"> per cent) lower than APTNT's revised proposed value</w:t>
      </w:r>
      <w:r w:rsidR="0092283F">
        <w:t xml:space="preserve"> of $119.5 million</w:t>
      </w:r>
      <w:r w:rsidR="003A1D69">
        <w:t>. This difference is due to our update of the input for 2015–16 actual inflation</w:t>
      </w:r>
      <w:r w:rsidR="00752358">
        <w:t xml:space="preserve"> and</w:t>
      </w:r>
      <w:r w:rsidR="000A6009">
        <w:t xml:space="preserve"> an</w:t>
      </w:r>
      <w:r w:rsidR="00752358">
        <w:t xml:space="preserve"> amendment to the 2015–16 conforming capex </w:t>
      </w:r>
      <w:proofErr w:type="gramStart"/>
      <w:r w:rsidR="00752358">
        <w:t>estimate</w:t>
      </w:r>
      <w:proofErr w:type="gramEnd"/>
      <w:r w:rsidR="003A1D69">
        <w:t xml:space="preserve"> in the capital base roll forward.</w:t>
      </w:r>
    </w:p>
    <w:p w:rsidR="00C93600" w:rsidRDefault="000D15C2" w:rsidP="000D15C2">
      <w:r w:rsidRPr="00785ED3">
        <w:rPr>
          <w:rStyle w:val="AERbody"/>
        </w:rPr>
        <w:t>We do not</w:t>
      </w:r>
      <w:r>
        <w:rPr>
          <w:rStyle w:val="AERbody"/>
        </w:rPr>
        <w:t xml:space="preserve"> </w:t>
      </w:r>
      <w:r w:rsidRPr="00785ED3">
        <w:rPr>
          <w:rStyle w:val="AERbody"/>
        </w:rPr>
        <w:t xml:space="preserve">approve </w:t>
      </w:r>
      <w:r>
        <w:rPr>
          <w:rStyle w:val="AERbody"/>
        </w:rPr>
        <w:t>APTNT</w:t>
      </w:r>
      <w:r w:rsidRPr="00785ED3">
        <w:rPr>
          <w:rStyle w:val="AERbody"/>
        </w:rPr>
        <w:t>'s projected closing capital base of $</w:t>
      </w:r>
      <w:r w:rsidR="000A6009">
        <w:rPr>
          <w:rStyle w:val="AERbody"/>
        </w:rPr>
        <w:t>146.4</w:t>
      </w:r>
      <w:r>
        <w:rPr>
          <w:rStyle w:val="AERbody"/>
        </w:rPr>
        <w:t xml:space="preserve"> </w:t>
      </w:r>
      <w:r w:rsidRPr="00785ED3">
        <w:rPr>
          <w:rStyle w:val="AERbody"/>
        </w:rPr>
        <w:t xml:space="preserve">million ($nominal) as at </w:t>
      </w:r>
      <w:r>
        <w:rPr>
          <w:rStyle w:val="AERbody"/>
        </w:rPr>
        <w:t>30 June 2021</w:t>
      </w:r>
      <w:r w:rsidRPr="00785ED3">
        <w:rPr>
          <w:rStyle w:val="AERbody"/>
        </w:rPr>
        <w:t>. We instead determine a closing capital base of $</w:t>
      </w:r>
      <w:r w:rsidR="00D95ADF">
        <w:rPr>
          <w:rStyle w:val="AERbody"/>
        </w:rPr>
        <w:t>128.2</w:t>
      </w:r>
      <w:r w:rsidRPr="00785ED3">
        <w:rPr>
          <w:rStyle w:val="AERbody"/>
        </w:rPr>
        <w:t xml:space="preserve"> million ($nominal) as at </w:t>
      </w:r>
      <w:r>
        <w:rPr>
          <w:rStyle w:val="AERbody"/>
        </w:rPr>
        <w:t>30 June 2021</w:t>
      </w:r>
      <w:r w:rsidRPr="00785ED3">
        <w:rPr>
          <w:rStyle w:val="AERbody"/>
        </w:rPr>
        <w:t>, a reduction of $</w:t>
      </w:r>
      <w:r w:rsidR="00D95ADF">
        <w:rPr>
          <w:rStyle w:val="AERbody"/>
        </w:rPr>
        <w:t>18.2</w:t>
      </w:r>
      <w:r w:rsidRPr="00785ED3">
        <w:rPr>
          <w:rStyle w:val="AERbody"/>
        </w:rPr>
        <w:t xml:space="preserve"> million ($nominal) or </w:t>
      </w:r>
      <w:r w:rsidR="00D95ADF">
        <w:rPr>
          <w:rStyle w:val="AERbody"/>
        </w:rPr>
        <w:t>12.4</w:t>
      </w:r>
      <w:r w:rsidR="00900BF9">
        <w:rPr>
          <w:rStyle w:val="AERbody"/>
        </w:rPr>
        <w:t xml:space="preserve"> </w:t>
      </w:r>
      <w:r w:rsidRPr="00785ED3">
        <w:rPr>
          <w:rStyle w:val="AERbody"/>
        </w:rPr>
        <w:t>per cent from the proposed value.</w:t>
      </w:r>
      <w:r w:rsidRPr="0029204C">
        <w:rPr>
          <w:rStyle w:val="AERbody"/>
        </w:rPr>
        <w:t xml:space="preserve"> </w:t>
      </w:r>
      <w:r w:rsidRPr="00785ED3">
        <w:rPr>
          <w:rStyle w:val="AERbody"/>
        </w:rPr>
        <w:t xml:space="preserve">The main reasons for the reduction are our adjustments to </w:t>
      </w:r>
      <w:r>
        <w:rPr>
          <w:rStyle w:val="AERbody"/>
        </w:rPr>
        <w:t>the</w:t>
      </w:r>
      <w:r w:rsidRPr="00785ED3">
        <w:rPr>
          <w:rStyle w:val="AERbody"/>
        </w:rPr>
        <w:t xml:space="preserve"> opening capital base as at </w:t>
      </w:r>
      <w:r>
        <w:rPr>
          <w:rStyle w:val="AERbody"/>
        </w:rPr>
        <w:t>1 July 2016 (section </w:t>
      </w:r>
      <w:r>
        <w:rPr>
          <w:rStyle w:val="AERbody"/>
        </w:rPr>
        <w:fldChar w:fldCharType="begin"/>
      </w:r>
      <w:r>
        <w:rPr>
          <w:rStyle w:val="AERbody"/>
        </w:rPr>
        <w:instrText xml:space="preserve"> REF _Ref435609144 \r \h </w:instrText>
      </w:r>
      <w:r>
        <w:rPr>
          <w:rStyle w:val="AERbody"/>
        </w:rPr>
      </w:r>
      <w:r>
        <w:rPr>
          <w:rStyle w:val="AERbody"/>
        </w:rPr>
        <w:fldChar w:fldCharType="separate"/>
      </w:r>
      <w:r w:rsidR="00B1738D">
        <w:rPr>
          <w:rStyle w:val="AERbody"/>
        </w:rPr>
        <w:t>2.4.1</w:t>
      </w:r>
      <w:r>
        <w:rPr>
          <w:rStyle w:val="AERbody"/>
        </w:rPr>
        <w:fldChar w:fldCharType="end"/>
      </w:r>
      <w:r w:rsidRPr="00785ED3">
        <w:rPr>
          <w:rStyle w:val="AERbody"/>
        </w:rPr>
        <w:t>)</w:t>
      </w:r>
      <w:r w:rsidR="00486CFA">
        <w:rPr>
          <w:rStyle w:val="AERbody"/>
        </w:rPr>
        <w:t>, forecast net capex (attachment 6) and forecast depreciation (attachment 5)</w:t>
      </w:r>
      <w:r w:rsidR="002065DC">
        <w:rPr>
          <w:rStyle w:val="AERbody"/>
        </w:rPr>
        <w:t>.</w:t>
      </w:r>
      <w:r w:rsidR="002065DC">
        <w:t xml:space="preserve"> </w:t>
      </w:r>
    </w:p>
    <w:p w:rsidR="000D15C2" w:rsidRPr="00D52049" w:rsidRDefault="000D15C2" w:rsidP="000D15C2">
      <w:pPr>
        <w:pStyle w:val="Heading3"/>
      </w:pPr>
      <w:bookmarkStart w:id="36" w:name="_Toc404157804"/>
      <w:bookmarkStart w:id="37" w:name="_Toc404158167"/>
      <w:bookmarkStart w:id="38" w:name="_Toc404256806"/>
      <w:bookmarkStart w:id="39" w:name="_Ref433037826"/>
      <w:bookmarkStart w:id="40" w:name="_Ref435609144"/>
      <w:bookmarkStart w:id="41" w:name="_Toc436036753"/>
      <w:bookmarkStart w:id="42" w:name="_Toc451529301"/>
      <w:r w:rsidRPr="00D52049">
        <w:t>Roll forward of capital base during the 2011–16 access arrangement period</w:t>
      </w:r>
      <w:bookmarkEnd w:id="36"/>
      <w:bookmarkEnd w:id="37"/>
      <w:bookmarkEnd w:id="38"/>
      <w:bookmarkEnd w:id="39"/>
      <w:bookmarkEnd w:id="40"/>
      <w:bookmarkEnd w:id="41"/>
      <w:bookmarkEnd w:id="42"/>
    </w:p>
    <w:p w:rsidR="00863383" w:rsidRDefault="00863383" w:rsidP="000D15C2">
      <w:r>
        <w:t>We determine APTNT's opening capital base value as at 1 July 2016 to be $</w:t>
      </w:r>
      <w:r w:rsidR="00900BF9">
        <w:t>115.8</w:t>
      </w:r>
      <w:r>
        <w:t xml:space="preserve"> million ($nominal). This amount is $</w:t>
      </w:r>
      <w:r w:rsidR="00900BF9">
        <w:t>3.7</w:t>
      </w:r>
      <w:r>
        <w:t xml:space="preserve"> million (or </w:t>
      </w:r>
      <w:r w:rsidR="00900BF9">
        <w:t>3.1</w:t>
      </w:r>
      <w:r>
        <w:t xml:space="preserve"> per cent) lower than APTNT's revised value of $119.5 million. This is because:</w:t>
      </w:r>
    </w:p>
    <w:p w:rsidR="00863383" w:rsidRDefault="00863383" w:rsidP="006302C7">
      <w:pPr>
        <w:pStyle w:val="AERbulletlistfirststyle"/>
      </w:pPr>
      <w:r>
        <w:t>We updated the inflation input for 2015–16 using actual March 2015 consumer price index (CPI) published by the Australian Bureau of Statistics.</w:t>
      </w:r>
      <w:r>
        <w:rPr>
          <w:rStyle w:val="FootnoteReference"/>
        </w:rPr>
        <w:footnoteReference w:id="5"/>
      </w:r>
    </w:p>
    <w:p w:rsidR="00590558" w:rsidRDefault="00590558" w:rsidP="006302C7">
      <w:pPr>
        <w:pStyle w:val="AERbulletlistfirststyle"/>
      </w:pPr>
      <w:r>
        <w:t>We amended the conforming capex estimate for 2015–16.</w:t>
      </w:r>
    </w:p>
    <w:p w:rsidR="0092283F" w:rsidRDefault="00C72C2C" w:rsidP="000D15C2">
      <w:r>
        <w:t xml:space="preserve">In our draft decision we accepted APTNT's proposed methodology for calculating the opening capital base </w:t>
      </w:r>
      <w:r w:rsidR="00C42BDB">
        <w:t>at 1 July 2016</w:t>
      </w:r>
      <w:r w:rsidR="004B050A">
        <w:t>.</w:t>
      </w:r>
      <w:r w:rsidR="00354450">
        <w:t xml:space="preserve"> </w:t>
      </w:r>
      <w:r w:rsidR="00486CFA">
        <w:t>However,</w:t>
      </w:r>
      <w:r w:rsidR="00354450">
        <w:t xml:space="preserve"> we made a number of amendments to </w:t>
      </w:r>
      <w:r w:rsidR="0092283F">
        <w:t xml:space="preserve">correct for </w:t>
      </w:r>
      <w:r w:rsidR="00354450">
        <w:t>input errors</w:t>
      </w:r>
      <w:r w:rsidR="0092283F">
        <w:t>.</w:t>
      </w:r>
      <w:r w:rsidR="00887E67">
        <w:rPr>
          <w:rStyle w:val="FootnoteReference"/>
        </w:rPr>
        <w:footnoteReference w:id="6"/>
      </w:r>
      <w:r w:rsidR="006302C7">
        <w:t xml:space="preserve"> </w:t>
      </w:r>
    </w:p>
    <w:p w:rsidR="00D860EC" w:rsidRDefault="006302C7" w:rsidP="000D15C2">
      <w:r>
        <w:t>APTNT</w:t>
      </w:r>
      <w:r w:rsidR="0092283F">
        <w:t>'s</w:t>
      </w:r>
      <w:r>
        <w:t xml:space="preserve"> revised proposal</w:t>
      </w:r>
      <w:r w:rsidR="0092283F">
        <w:t xml:space="preserve"> adopted these amendments</w:t>
      </w:r>
      <w:r>
        <w:t>.</w:t>
      </w:r>
      <w:r w:rsidR="00D860EC">
        <w:t xml:space="preserve"> </w:t>
      </w:r>
      <w:r>
        <w:t>APTNT</w:t>
      </w:r>
      <w:r w:rsidR="00D860EC">
        <w:t xml:space="preserve"> also submitted that</w:t>
      </w:r>
      <w:r>
        <w:t xml:space="preserve"> the value of the '</w:t>
      </w:r>
      <w:r w:rsidR="00D860EC">
        <w:t>R</w:t>
      </w:r>
      <w:r>
        <w:t>eturn tariff payment' asset class</w:t>
      </w:r>
      <w:r w:rsidR="00D860EC">
        <w:t xml:space="preserve"> at 1 July 2011</w:t>
      </w:r>
      <w:r>
        <w:t xml:space="preserve"> </w:t>
      </w:r>
      <w:r w:rsidR="00D860EC">
        <w:t xml:space="preserve">be set </w:t>
      </w:r>
      <w:r>
        <w:t xml:space="preserve">to zero and </w:t>
      </w:r>
      <w:r w:rsidR="00D860EC">
        <w:t>relegated to history</w:t>
      </w:r>
      <w:r>
        <w:t>.</w:t>
      </w:r>
      <w:r w:rsidR="001A4DF8">
        <w:rPr>
          <w:rStyle w:val="FootnoteReference"/>
        </w:rPr>
        <w:footnoteReference w:id="7"/>
      </w:r>
      <w:r w:rsidR="002569EF">
        <w:t xml:space="preserve"> </w:t>
      </w:r>
      <w:r w:rsidR="00D860EC">
        <w:t>We accept the rounding of the input</w:t>
      </w:r>
      <w:r w:rsidR="002569EF">
        <w:t xml:space="preserve"> value to zero</w:t>
      </w:r>
      <w:r w:rsidR="00D860EC">
        <w:t xml:space="preserve"> for this asset class</w:t>
      </w:r>
      <w:r w:rsidR="002569EF">
        <w:t xml:space="preserve"> at 1 July 2011</w:t>
      </w:r>
      <w:r w:rsidR="00D860EC">
        <w:t xml:space="preserve"> </w:t>
      </w:r>
      <w:r w:rsidR="002569EF">
        <w:t>given the size of the amount involved (</w:t>
      </w:r>
      <w:r w:rsidR="002E0D67">
        <w:t>less than one cent</w:t>
      </w:r>
      <w:r w:rsidR="002569EF">
        <w:t>).</w:t>
      </w:r>
    </w:p>
    <w:p w:rsidR="00C07096" w:rsidRPr="00F73C2D" w:rsidRDefault="000D15C2" w:rsidP="00C07096">
      <w:pPr>
        <w:pStyle w:val="HeadingBoldBlue"/>
        <w:numPr>
          <w:ilvl w:val="0"/>
          <w:numId w:val="24"/>
        </w:numPr>
      </w:pPr>
      <w:bookmarkStart w:id="43" w:name="_Toc442877802"/>
      <w:bookmarkStart w:id="44" w:name="_Ref333306080"/>
      <w:r w:rsidRPr="00302937">
        <w:t xml:space="preserve">Conforming capital expenditure in </w:t>
      </w:r>
      <w:r w:rsidR="00C07096">
        <w:t>2015</w:t>
      </w:r>
      <w:r>
        <w:t>–16</w:t>
      </w:r>
      <w:bookmarkEnd w:id="43"/>
      <w:r w:rsidRPr="00302937">
        <w:t xml:space="preserve"> </w:t>
      </w:r>
      <w:bookmarkEnd w:id="44"/>
    </w:p>
    <w:p w:rsidR="000D15C2" w:rsidRPr="00F73C2D" w:rsidRDefault="000D15C2" w:rsidP="000D15C2">
      <w:r w:rsidRPr="000D15C2">
        <w:rPr>
          <w:rStyle w:val="AERbody"/>
        </w:rPr>
        <w:t>In</w:t>
      </w:r>
      <w:r w:rsidRPr="00F73C2D">
        <w:t xml:space="preserve"> determining the opening capital base as at </w:t>
      </w:r>
      <w:r>
        <w:t>1 July 2016</w:t>
      </w:r>
      <w:r w:rsidRPr="00F73C2D">
        <w:t xml:space="preserve">, </w:t>
      </w:r>
      <w:r>
        <w:t>we</w:t>
      </w:r>
      <w:r w:rsidRPr="00F73C2D">
        <w:t xml:space="preserve"> assessed whether </w:t>
      </w:r>
      <w:r>
        <w:t>APTNT</w:t>
      </w:r>
      <w:r w:rsidRPr="00F73C2D">
        <w:t xml:space="preserve">'s proposed capex amounts for the </w:t>
      </w:r>
      <w:r>
        <w:t>2011–16</w:t>
      </w:r>
      <w:r w:rsidRPr="00F73C2D">
        <w:t xml:space="preserve"> access arrangement are properly accounted for in the capital base roll forward. </w:t>
      </w:r>
      <w:r w:rsidR="00ED565A">
        <w:t>Our</w:t>
      </w:r>
      <w:r w:rsidR="00ED565A" w:rsidRPr="00F73C2D">
        <w:t xml:space="preserve"> assessment of conforming capex is set out in</w:t>
      </w:r>
      <w:r w:rsidR="00ED565A">
        <w:rPr>
          <w:rStyle w:val="AERbody"/>
        </w:rPr>
        <w:t xml:space="preserve"> </w:t>
      </w:r>
      <w:r w:rsidR="00ED565A" w:rsidRPr="000D15C2">
        <w:rPr>
          <w:rStyle w:val="AERbody"/>
        </w:rPr>
        <w:t>attachment 6.</w:t>
      </w:r>
    </w:p>
    <w:p w:rsidR="00D860EC" w:rsidRDefault="00EA6ED9" w:rsidP="000D15C2">
      <w:r>
        <w:t>In our draft decision we did not accept APTNT's estimate of conforming capex for 2015–16</w:t>
      </w:r>
      <w:r w:rsidR="00D46B78">
        <w:t>, in particular that $7.0 million of capex for the belowground station pipework recoating project should be deferred to the 2016–21 access arrangement period</w:t>
      </w:r>
      <w:r>
        <w:t xml:space="preserve">. </w:t>
      </w:r>
    </w:p>
    <w:p w:rsidR="00D46B78" w:rsidRDefault="00EA6ED9" w:rsidP="000D15C2">
      <w:r>
        <w:t>APTNT</w:t>
      </w:r>
      <w:r w:rsidR="00D860EC">
        <w:t>'s revised proposal</w:t>
      </w:r>
      <w:r>
        <w:t xml:space="preserve"> did not a</w:t>
      </w:r>
      <w:r w:rsidR="00D860EC">
        <w:t>dopt</w:t>
      </w:r>
      <w:r>
        <w:t xml:space="preserve"> our draft decision on this matter. </w:t>
      </w:r>
      <w:r w:rsidR="00D860EC">
        <w:t>Following review of the further information provided by APTNT, o</w:t>
      </w:r>
      <w:r w:rsidR="00D46B78">
        <w:t xml:space="preserve">ur final decision </w:t>
      </w:r>
      <w:r w:rsidR="00D860EC">
        <w:t>accepts</w:t>
      </w:r>
      <w:r w:rsidR="00D46B78">
        <w:t xml:space="preserve"> that it is prudent to </w:t>
      </w:r>
      <w:r w:rsidR="008C061D">
        <w:t>reinstate some of the amount removed from</w:t>
      </w:r>
      <w:r w:rsidR="00D46B78">
        <w:t xml:space="preserve"> the estimate of 2015–16 conforming capex</w:t>
      </w:r>
      <w:r w:rsidR="008C061D">
        <w:t xml:space="preserve"> in the draft decision,</w:t>
      </w:r>
      <w:r w:rsidR="00D46B78">
        <w:t xml:space="preserve"> as discussed in attachment 6. </w:t>
      </w:r>
      <w:r w:rsidR="008C061D">
        <w:t>The final decision therefore includes $</w:t>
      </w:r>
      <w:r w:rsidR="00CA2882">
        <w:t>12</w:t>
      </w:r>
      <w:r w:rsidR="00702D81">
        <w:t>.</w:t>
      </w:r>
      <w:r w:rsidR="00CA2882">
        <w:t>6</w:t>
      </w:r>
      <w:r w:rsidR="008C061D">
        <w:t xml:space="preserve"> million ($ nominal) as the conforming capex estimate for 2015–16, which is $</w:t>
      </w:r>
      <w:r w:rsidR="00CA2882">
        <w:t>2.3</w:t>
      </w:r>
      <w:r w:rsidR="008C061D">
        <w:t xml:space="preserve"> million or </w:t>
      </w:r>
      <w:r w:rsidR="00CA2882">
        <w:t>15.2</w:t>
      </w:r>
      <w:r w:rsidR="008C061D">
        <w:t xml:space="preserve"> per cent lower </w:t>
      </w:r>
      <w:r w:rsidR="00042A3B">
        <w:t>than APTNT's revised proposal estimate of $14.8 million</w:t>
      </w:r>
      <w:r w:rsidR="008C061D">
        <w:t>.</w:t>
      </w:r>
      <w:r w:rsidR="00042A3B">
        <w:t xml:space="preserve"> We</w:t>
      </w:r>
      <w:r w:rsidR="00042A3B" w:rsidRPr="00406985">
        <w:t xml:space="preserve"> will </w:t>
      </w:r>
      <w:r w:rsidR="00042A3B">
        <w:t>assess whether the 2015–</w:t>
      </w:r>
      <w:r w:rsidR="00042A3B" w:rsidRPr="00406985">
        <w:t xml:space="preserve">16 </w:t>
      </w:r>
      <w:r w:rsidR="00042A3B">
        <w:t>actual capex</w:t>
      </w:r>
      <w:r w:rsidR="00042A3B" w:rsidRPr="00406985">
        <w:t xml:space="preserve"> </w:t>
      </w:r>
      <w:r w:rsidR="00042A3B">
        <w:t xml:space="preserve">is conforming </w:t>
      </w:r>
      <w:r w:rsidR="00042A3B" w:rsidRPr="00406985">
        <w:t>as part of the next a</w:t>
      </w:r>
      <w:r w:rsidR="00042A3B">
        <w:t>ccess arrangement review</w:t>
      </w:r>
      <w:r w:rsidR="00042A3B" w:rsidRPr="005A3660">
        <w:t>.</w:t>
      </w:r>
    </w:p>
    <w:p w:rsidR="000D15C2" w:rsidRPr="00D52049" w:rsidRDefault="000D15C2" w:rsidP="000D15C2">
      <w:pPr>
        <w:pStyle w:val="Heading3"/>
      </w:pPr>
      <w:bookmarkStart w:id="45" w:name="_Toc433106200"/>
      <w:bookmarkStart w:id="46" w:name="_Toc433106201"/>
      <w:bookmarkStart w:id="47" w:name="_Toc404157805"/>
      <w:bookmarkStart w:id="48" w:name="_Toc404158168"/>
      <w:bookmarkStart w:id="49" w:name="_Toc404256807"/>
      <w:bookmarkStart w:id="50" w:name="_Toc436036754"/>
      <w:bookmarkStart w:id="51" w:name="_Toc451529302"/>
      <w:bookmarkEnd w:id="45"/>
      <w:bookmarkEnd w:id="46"/>
      <w:r w:rsidRPr="00D52049">
        <w:t>Projected capital base during the 2016–21 access arrangement period</w:t>
      </w:r>
      <w:bookmarkEnd w:id="47"/>
      <w:bookmarkEnd w:id="48"/>
      <w:bookmarkEnd w:id="49"/>
      <w:bookmarkEnd w:id="50"/>
      <w:bookmarkEnd w:id="51"/>
    </w:p>
    <w:p w:rsidR="000D15C2" w:rsidRPr="005970EA" w:rsidRDefault="00590558" w:rsidP="000D15C2">
      <w:r>
        <w:t>We do not approve APTNT's projected capital</w:t>
      </w:r>
      <w:r w:rsidR="00D46B78">
        <w:t xml:space="preserve"> base</w:t>
      </w:r>
      <w:r>
        <w:t xml:space="preserve"> at 30 June 2021 in its revised proposal. Instead, w</w:t>
      </w:r>
      <w:r w:rsidR="000D15C2" w:rsidRPr="005970EA">
        <w:t>e forecast APTNT's projected capital base at 30 June 2021 to be $</w:t>
      </w:r>
      <w:r w:rsidR="00ED2620">
        <w:t>128.2</w:t>
      </w:r>
      <w:r w:rsidR="000D15C2" w:rsidRPr="005970EA">
        <w:t xml:space="preserve"> million ($nominal), a reduction of $</w:t>
      </w:r>
      <w:r w:rsidR="00ED2620">
        <w:t>18.2</w:t>
      </w:r>
      <w:r w:rsidR="00772D10">
        <w:t xml:space="preserve"> </w:t>
      </w:r>
      <w:r w:rsidR="000D15C2" w:rsidRPr="005970EA">
        <w:t>million ($nominal) or</w:t>
      </w:r>
      <w:r w:rsidR="000D15C2">
        <w:t xml:space="preserve"> </w:t>
      </w:r>
      <w:r w:rsidR="00ED2620">
        <w:t>12.4</w:t>
      </w:r>
      <w:r w:rsidR="00382187">
        <w:t xml:space="preserve"> </w:t>
      </w:r>
      <w:r w:rsidR="000D15C2" w:rsidRPr="005970EA">
        <w:t xml:space="preserve">per cent from APTNT's </w:t>
      </w:r>
      <w:r w:rsidR="00A90827">
        <w:t xml:space="preserve">revised </w:t>
      </w:r>
      <w:r w:rsidR="000D15C2" w:rsidRPr="005970EA">
        <w:t xml:space="preserve">proposal. This results from our </w:t>
      </w:r>
      <w:r w:rsidR="00A90827">
        <w:t>final</w:t>
      </w:r>
      <w:r w:rsidR="000D15C2" w:rsidRPr="005970EA">
        <w:t xml:space="preserve"> decision on the inputs to the determination of the</w:t>
      </w:r>
      <w:r w:rsidR="000D15C2" w:rsidRPr="000D15C2">
        <w:rPr>
          <w:rStyle w:val="AERbody"/>
        </w:rPr>
        <w:t xml:space="preserve"> </w:t>
      </w:r>
      <w:r w:rsidR="000D15C2" w:rsidRPr="005970EA">
        <w:t>projected capital base. We have amended the inputs in the following ways:</w:t>
      </w:r>
    </w:p>
    <w:p w:rsidR="000D15C2" w:rsidRPr="005970EA" w:rsidRDefault="0022246A" w:rsidP="000D15C2">
      <w:pPr>
        <w:pStyle w:val="AERbulletlistfirststyle"/>
        <w:rPr>
          <w:rStyle w:val="AERbody"/>
        </w:rPr>
      </w:pPr>
      <w:r>
        <w:rPr>
          <w:rStyle w:val="AERbody"/>
        </w:rPr>
        <w:t>r</w:t>
      </w:r>
      <w:r w:rsidR="000D15C2" w:rsidRPr="005970EA">
        <w:rPr>
          <w:rStyle w:val="AERbody"/>
        </w:rPr>
        <w:t xml:space="preserve">educed APTNT's </w:t>
      </w:r>
      <w:r w:rsidR="00995430">
        <w:rPr>
          <w:rStyle w:val="AERbody"/>
        </w:rPr>
        <w:t xml:space="preserve">revised proposed </w:t>
      </w:r>
      <w:r w:rsidR="000D15C2" w:rsidRPr="005970EA">
        <w:rPr>
          <w:rStyle w:val="AERbody"/>
        </w:rPr>
        <w:t xml:space="preserve">opening capital base as at 1 July 2016 </w:t>
      </w:r>
      <w:r w:rsidR="000D15C2">
        <w:rPr>
          <w:rStyle w:val="AERbody"/>
        </w:rPr>
        <w:t>by</w:t>
      </w:r>
      <w:r w:rsidR="000D15C2" w:rsidRPr="005970EA">
        <w:rPr>
          <w:rStyle w:val="AERbody"/>
        </w:rPr>
        <w:t xml:space="preserve"> $</w:t>
      </w:r>
      <w:r w:rsidR="00382187">
        <w:rPr>
          <w:rStyle w:val="AERbody"/>
        </w:rPr>
        <w:t xml:space="preserve">3.7 </w:t>
      </w:r>
      <w:r w:rsidR="000D15C2" w:rsidRPr="005970EA">
        <w:rPr>
          <w:rStyle w:val="AERbody"/>
        </w:rPr>
        <w:t>million ($nominal)</w:t>
      </w:r>
      <w:r w:rsidR="000D15C2">
        <w:rPr>
          <w:rStyle w:val="AERbody"/>
        </w:rPr>
        <w:t xml:space="preserve"> or</w:t>
      </w:r>
      <w:r w:rsidR="00382187">
        <w:rPr>
          <w:rStyle w:val="AERbody"/>
        </w:rPr>
        <w:t xml:space="preserve"> 3.1</w:t>
      </w:r>
      <w:r w:rsidR="000D15C2">
        <w:rPr>
          <w:rStyle w:val="AERbody"/>
        </w:rPr>
        <w:t xml:space="preserve"> per cent</w:t>
      </w:r>
      <w:r w:rsidR="000D15C2" w:rsidRPr="005970EA">
        <w:rPr>
          <w:rStyle w:val="AERbody"/>
        </w:rPr>
        <w:t xml:space="preserve"> to reflect the changes required in this attachment</w:t>
      </w:r>
    </w:p>
    <w:p w:rsidR="000D15C2" w:rsidRPr="005970EA" w:rsidRDefault="0022246A" w:rsidP="000D15C2">
      <w:pPr>
        <w:pStyle w:val="AERbulletlistfirststyle"/>
        <w:rPr>
          <w:rStyle w:val="AERbody"/>
        </w:rPr>
      </w:pPr>
      <w:proofErr w:type="gramStart"/>
      <w:r>
        <w:rPr>
          <w:rStyle w:val="AERbody"/>
        </w:rPr>
        <w:t>r</w:t>
      </w:r>
      <w:r w:rsidR="000D15C2" w:rsidRPr="005970EA">
        <w:rPr>
          <w:rStyle w:val="AERbody"/>
        </w:rPr>
        <w:t>educed</w:t>
      </w:r>
      <w:proofErr w:type="gramEnd"/>
      <w:r w:rsidR="000D15C2" w:rsidRPr="005970EA">
        <w:rPr>
          <w:rStyle w:val="AERbody"/>
        </w:rPr>
        <w:t xml:space="preserve"> APTNT's </w:t>
      </w:r>
      <w:r w:rsidR="00141072">
        <w:rPr>
          <w:rStyle w:val="AERbody"/>
        </w:rPr>
        <w:t xml:space="preserve">revised </w:t>
      </w:r>
      <w:r w:rsidR="000D15C2" w:rsidRPr="005970EA">
        <w:rPr>
          <w:rStyle w:val="AERbody"/>
        </w:rPr>
        <w:t xml:space="preserve">proposed forecast net capex </w:t>
      </w:r>
      <w:r w:rsidR="00921D60">
        <w:rPr>
          <w:rStyle w:val="AERbody"/>
        </w:rPr>
        <w:t xml:space="preserve">for the 2016–21 access arrangement period </w:t>
      </w:r>
      <w:r w:rsidR="000D15C2" w:rsidRPr="005970EA">
        <w:rPr>
          <w:rStyle w:val="AERbody"/>
        </w:rPr>
        <w:t>by $</w:t>
      </w:r>
      <w:r w:rsidR="00C32C06">
        <w:rPr>
          <w:rStyle w:val="AERbody"/>
        </w:rPr>
        <w:t>1</w:t>
      </w:r>
      <w:r w:rsidR="00A95BAC">
        <w:rPr>
          <w:rStyle w:val="AERbody"/>
        </w:rPr>
        <w:t>3.1</w:t>
      </w:r>
      <w:r w:rsidR="000D15C2" w:rsidRPr="005970EA">
        <w:rPr>
          <w:rStyle w:val="AERbody"/>
        </w:rPr>
        <w:t xml:space="preserve"> million ($</w:t>
      </w:r>
      <w:r w:rsidR="000C59BB">
        <w:rPr>
          <w:rStyle w:val="AERbody"/>
        </w:rPr>
        <w:t>nominal</w:t>
      </w:r>
      <w:r w:rsidR="000D15C2" w:rsidRPr="005970EA">
        <w:rPr>
          <w:rStyle w:val="AERbody"/>
        </w:rPr>
        <w:t>) or</w:t>
      </w:r>
      <w:r w:rsidR="005F3315">
        <w:rPr>
          <w:rStyle w:val="AERbody"/>
        </w:rPr>
        <w:t xml:space="preserve"> </w:t>
      </w:r>
      <w:r w:rsidR="00C8491F">
        <w:rPr>
          <w:rStyle w:val="AERbody"/>
        </w:rPr>
        <w:t>42.1</w:t>
      </w:r>
      <w:r w:rsidR="005F3315">
        <w:rPr>
          <w:rStyle w:val="AERbody"/>
        </w:rPr>
        <w:t xml:space="preserve"> </w:t>
      </w:r>
      <w:r w:rsidR="000D15C2" w:rsidRPr="005970EA">
        <w:rPr>
          <w:rStyle w:val="AERbody"/>
        </w:rPr>
        <w:t xml:space="preserve">per cent. Our assessment of the </w:t>
      </w:r>
      <w:r w:rsidR="00141072">
        <w:rPr>
          <w:rStyle w:val="AERbody"/>
        </w:rPr>
        <w:t xml:space="preserve">revised </w:t>
      </w:r>
      <w:r w:rsidR="000D15C2" w:rsidRPr="005970EA">
        <w:rPr>
          <w:rStyle w:val="AERbody"/>
        </w:rPr>
        <w:t>proposed forecast capex is set out in</w:t>
      </w:r>
      <w:r w:rsidR="000D15C2">
        <w:rPr>
          <w:rStyle w:val="AERbody"/>
        </w:rPr>
        <w:t xml:space="preserve"> </w:t>
      </w:r>
      <w:r w:rsidR="000D15C2" w:rsidRPr="005970EA">
        <w:rPr>
          <w:rStyle w:val="AERbody"/>
        </w:rPr>
        <w:t>attachment 6.</w:t>
      </w:r>
    </w:p>
    <w:p w:rsidR="00E04058" w:rsidRDefault="0022246A" w:rsidP="000D15C2">
      <w:pPr>
        <w:pStyle w:val="AERbulletlistfirststyle"/>
        <w:rPr>
          <w:rStyle w:val="AERbody"/>
        </w:rPr>
      </w:pPr>
      <w:proofErr w:type="gramStart"/>
      <w:r>
        <w:rPr>
          <w:rStyle w:val="AERbody"/>
        </w:rPr>
        <w:t>r</w:t>
      </w:r>
      <w:r w:rsidR="00E04058">
        <w:rPr>
          <w:rStyle w:val="AERbody"/>
        </w:rPr>
        <w:t>educed</w:t>
      </w:r>
      <w:proofErr w:type="gramEnd"/>
      <w:r w:rsidR="005F3315" w:rsidRPr="005970EA">
        <w:rPr>
          <w:rStyle w:val="AERbody"/>
        </w:rPr>
        <w:t xml:space="preserve"> </w:t>
      </w:r>
      <w:r w:rsidR="000D15C2" w:rsidRPr="005970EA">
        <w:rPr>
          <w:rStyle w:val="AERbody"/>
        </w:rPr>
        <w:t xml:space="preserve">APTNT's </w:t>
      </w:r>
      <w:r w:rsidR="00141072">
        <w:rPr>
          <w:rStyle w:val="AERbody"/>
        </w:rPr>
        <w:t xml:space="preserve">revised </w:t>
      </w:r>
      <w:r w:rsidR="000D15C2" w:rsidRPr="005970EA">
        <w:rPr>
          <w:rStyle w:val="AERbody"/>
        </w:rPr>
        <w:t xml:space="preserve">proposed forecast </w:t>
      </w:r>
      <w:r w:rsidR="00E04058">
        <w:rPr>
          <w:rStyle w:val="AERbody"/>
        </w:rPr>
        <w:t>straight-line</w:t>
      </w:r>
      <w:r w:rsidR="000D15C2">
        <w:rPr>
          <w:rStyle w:val="AERbody"/>
        </w:rPr>
        <w:t xml:space="preserve"> </w:t>
      </w:r>
      <w:r w:rsidR="000D15C2" w:rsidRPr="005970EA">
        <w:rPr>
          <w:rStyle w:val="AERbody"/>
        </w:rPr>
        <w:t xml:space="preserve">depreciation </w:t>
      </w:r>
      <w:r w:rsidR="00921D60">
        <w:rPr>
          <w:rStyle w:val="AERbody"/>
        </w:rPr>
        <w:t xml:space="preserve">for the 2016–21 access arrangement period </w:t>
      </w:r>
      <w:r w:rsidR="000D15C2" w:rsidRPr="005970EA">
        <w:rPr>
          <w:rStyle w:val="AERbody"/>
        </w:rPr>
        <w:t>by $</w:t>
      </w:r>
      <w:r w:rsidR="00552074">
        <w:rPr>
          <w:rStyle w:val="AERbody"/>
        </w:rPr>
        <w:t>1.</w:t>
      </w:r>
      <w:r w:rsidR="00E04058">
        <w:rPr>
          <w:rStyle w:val="AERbody"/>
        </w:rPr>
        <w:t>1</w:t>
      </w:r>
      <w:r w:rsidR="000D15C2">
        <w:rPr>
          <w:rStyle w:val="AERbody"/>
        </w:rPr>
        <w:t> </w:t>
      </w:r>
      <w:r w:rsidR="000D15C2" w:rsidRPr="005970EA">
        <w:rPr>
          <w:rStyle w:val="AERbody"/>
        </w:rPr>
        <w:t xml:space="preserve">million ($nominal) or </w:t>
      </w:r>
      <w:r w:rsidR="00E04058">
        <w:rPr>
          <w:rStyle w:val="AERbody"/>
        </w:rPr>
        <w:t>5.1</w:t>
      </w:r>
      <w:r w:rsidR="000D15C2" w:rsidRPr="005970EA">
        <w:rPr>
          <w:rStyle w:val="AERbody"/>
        </w:rPr>
        <w:t xml:space="preserve"> per cent. </w:t>
      </w:r>
      <w:r w:rsidR="000D15C2">
        <w:rPr>
          <w:rStyle w:val="AERbody"/>
        </w:rPr>
        <w:t>Our</w:t>
      </w:r>
      <w:r w:rsidR="000D15C2" w:rsidRPr="005970EA">
        <w:rPr>
          <w:rStyle w:val="AERbody"/>
        </w:rPr>
        <w:t xml:space="preserve"> assessment of the</w:t>
      </w:r>
      <w:r w:rsidR="00141072">
        <w:rPr>
          <w:rStyle w:val="AERbody"/>
        </w:rPr>
        <w:t xml:space="preserve"> revised</w:t>
      </w:r>
      <w:r w:rsidR="000D15C2" w:rsidRPr="005970EA">
        <w:rPr>
          <w:rStyle w:val="AERbody"/>
        </w:rPr>
        <w:t xml:space="preserve"> proposed forecast depreciation is set out in attachment 5.</w:t>
      </w:r>
    </w:p>
    <w:p w:rsidR="000D15C2" w:rsidRDefault="0022246A" w:rsidP="000D15C2">
      <w:pPr>
        <w:pStyle w:val="AERbulletlistfirststyle"/>
        <w:rPr>
          <w:rStyle w:val="AERbody"/>
        </w:rPr>
      </w:pPr>
      <w:proofErr w:type="gramStart"/>
      <w:r>
        <w:rPr>
          <w:rStyle w:val="AERbody"/>
        </w:rPr>
        <w:t>r</w:t>
      </w:r>
      <w:r w:rsidR="00E04058">
        <w:rPr>
          <w:rStyle w:val="AERbody"/>
        </w:rPr>
        <w:t>educed</w:t>
      </w:r>
      <w:proofErr w:type="gramEnd"/>
      <w:r w:rsidR="00E04058">
        <w:rPr>
          <w:rStyle w:val="AERbody"/>
        </w:rPr>
        <w:t xml:space="preserve"> APTNT's revised proposed forecast inflation to 2.39 per cent per annum for the 2016–21 access arrangement period from 2.5 per cent per annum.</w:t>
      </w:r>
      <w:r w:rsidR="00E04058" w:rsidRPr="00C850B7">
        <w:rPr>
          <w:rStyle w:val="AERbody"/>
        </w:rPr>
        <w:t xml:space="preserve"> </w:t>
      </w:r>
      <w:r w:rsidR="00E04058" w:rsidRPr="009656AB">
        <w:rPr>
          <w:rStyle w:val="AERbody"/>
        </w:rPr>
        <w:t xml:space="preserve">Our assessment of the </w:t>
      </w:r>
      <w:r w:rsidR="00E04058">
        <w:rPr>
          <w:rStyle w:val="AERbody"/>
        </w:rPr>
        <w:t xml:space="preserve">revised </w:t>
      </w:r>
      <w:r w:rsidR="00E04058" w:rsidRPr="009656AB">
        <w:rPr>
          <w:rStyle w:val="AERbody"/>
        </w:rPr>
        <w:t xml:space="preserve">proposed forecast </w:t>
      </w:r>
      <w:r w:rsidR="00E04058">
        <w:rPr>
          <w:rStyle w:val="AERbody"/>
        </w:rPr>
        <w:t>inflation</w:t>
      </w:r>
      <w:r w:rsidR="00E04058" w:rsidRPr="009656AB">
        <w:rPr>
          <w:rStyle w:val="AERbody"/>
        </w:rPr>
        <w:t xml:space="preserve"> is set out in attachment </w:t>
      </w:r>
      <w:r w:rsidR="00E04058">
        <w:rPr>
          <w:rStyle w:val="AERbody"/>
        </w:rPr>
        <w:t>3</w:t>
      </w:r>
      <w:r w:rsidR="00E04058" w:rsidRPr="009656AB">
        <w:rPr>
          <w:rStyle w:val="AERbody"/>
        </w:rPr>
        <w:t>.</w:t>
      </w:r>
      <w:r w:rsidR="00E04058">
        <w:rPr>
          <w:rStyle w:val="AERbody"/>
        </w:rPr>
        <w:t xml:space="preserve"> This results in a decrease to the indexation of the capital base component over the 2016–21 access arrangement period by </w:t>
      </w:r>
      <w:r w:rsidR="00E04058" w:rsidRPr="009656AB">
        <w:rPr>
          <w:rStyle w:val="AERbody"/>
        </w:rPr>
        <w:t>$</w:t>
      </w:r>
      <w:r w:rsidR="00E04058">
        <w:rPr>
          <w:rStyle w:val="AERbody"/>
        </w:rPr>
        <w:t>2.</w:t>
      </w:r>
      <w:r w:rsidR="006E4AC6">
        <w:rPr>
          <w:rStyle w:val="AERbody"/>
        </w:rPr>
        <w:t>5</w:t>
      </w:r>
      <w:r w:rsidR="00E04058" w:rsidRPr="009656AB">
        <w:rPr>
          <w:rStyle w:val="AERbody"/>
        </w:rPr>
        <w:t xml:space="preserve"> million ($nominal) or </w:t>
      </w:r>
      <w:r w:rsidR="006E4AC6">
        <w:rPr>
          <w:rStyle w:val="AERbody"/>
        </w:rPr>
        <w:t>14.5</w:t>
      </w:r>
      <w:r w:rsidR="00A1039A">
        <w:rPr>
          <w:rStyle w:val="AERbody"/>
        </w:rPr>
        <w:t xml:space="preserve"> </w:t>
      </w:r>
      <w:r w:rsidR="00E04058" w:rsidRPr="009656AB">
        <w:rPr>
          <w:rStyle w:val="AERbody"/>
        </w:rPr>
        <w:t>per cent</w:t>
      </w:r>
      <w:r w:rsidR="00E04058">
        <w:rPr>
          <w:rStyle w:val="AERbody"/>
        </w:rPr>
        <w:t>.</w:t>
      </w:r>
      <w:r w:rsidR="000D15C2" w:rsidRPr="005970EA">
        <w:rPr>
          <w:rStyle w:val="AERbody"/>
        </w:rPr>
        <w:t xml:space="preserve"> </w:t>
      </w:r>
    </w:p>
    <w:p w:rsidR="000D15C2" w:rsidRDefault="000D15C2" w:rsidP="000D15C2">
      <w:pPr>
        <w:pStyle w:val="Heading3"/>
      </w:pPr>
      <w:bookmarkStart w:id="52" w:name="_Toc432746096"/>
      <w:bookmarkStart w:id="53" w:name="_Toc436036755"/>
      <w:bookmarkStart w:id="54" w:name="_Toc451529303"/>
      <w:r>
        <w:t>Capital base at the commencement of the 2021–26 access arrangement period</w:t>
      </w:r>
      <w:bookmarkEnd w:id="52"/>
      <w:bookmarkEnd w:id="53"/>
      <w:bookmarkEnd w:id="54"/>
    </w:p>
    <w:p w:rsidR="000D15C2" w:rsidRPr="00BF4761" w:rsidRDefault="000D15C2" w:rsidP="000D15C2">
      <w:r>
        <w:t xml:space="preserve">The capital base at the commencement of the 2021–26 access arrangement </w:t>
      </w:r>
      <w:proofErr w:type="gramStart"/>
      <w:r>
        <w:t>period</w:t>
      </w:r>
      <w:proofErr w:type="gramEnd"/>
      <w:r>
        <w:t xml:space="preserve"> will be subject to adjustments consistent with the NGR.</w:t>
      </w:r>
      <w:r w:rsidRPr="000D15C2">
        <w:rPr>
          <w:rStyle w:val="FootnoteReference"/>
        </w:rPr>
        <w:footnoteReference w:id="8"/>
      </w:r>
      <w:r>
        <w:t xml:space="preserve"> The adjustments for APTNT include (but are not limited to) </w:t>
      </w:r>
      <w:r w:rsidRPr="00BF4761">
        <w:t xml:space="preserve">actual inflation and approved depreciation over the 2016–21 access arrangement period. </w:t>
      </w:r>
    </w:p>
    <w:p w:rsidR="00C200BD" w:rsidRDefault="00C200BD" w:rsidP="000D15C2">
      <w:r>
        <w:t>We note APTNT's revised proposal adopted our draft decision on the use of forecast depreciation (as approved in this final decision for the 2016–21 access arrangement period) for establishing the op</w:t>
      </w:r>
      <w:r w:rsidR="00141072">
        <w:t>ening capital base at 1 July 2021</w:t>
      </w:r>
      <w:r>
        <w:t>.</w:t>
      </w:r>
      <w:r w:rsidR="00590558">
        <w:rPr>
          <w:rStyle w:val="FootnoteReference"/>
        </w:rPr>
        <w:footnoteReference w:id="9"/>
      </w:r>
      <w:r>
        <w:t xml:space="preserve"> This approach is consistent with the approach outlined in the AER's </w:t>
      </w:r>
      <w:r w:rsidRPr="006302C7">
        <w:rPr>
          <w:rStyle w:val="AERtextitalic"/>
        </w:rPr>
        <w:t xml:space="preserve">Access arrangement </w:t>
      </w:r>
      <w:r w:rsidR="00590558" w:rsidRPr="00AF2D81">
        <w:rPr>
          <w:rStyle w:val="AERtextitalic"/>
        </w:rPr>
        <w:t>g</w:t>
      </w:r>
      <w:r w:rsidRPr="006302C7">
        <w:rPr>
          <w:rStyle w:val="AERtextitalic"/>
        </w:rPr>
        <w:t>uideline</w:t>
      </w:r>
      <w:r>
        <w:rPr>
          <w:rStyle w:val="FootnoteReference"/>
        </w:rPr>
        <w:footnoteReference w:id="10"/>
      </w:r>
      <w:r>
        <w:t>. We therefore maintain our draft decision position on this issue for this final decision.</w:t>
      </w:r>
    </w:p>
    <w:p w:rsidR="000D15C2" w:rsidRPr="000D15C2" w:rsidRDefault="000D15C2" w:rsidP="000D15C2"/>
    <w:sectPr w:rsidR="000D15C2" w:rsidRPr="000D15C2"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882" w:rsidRPr="00290C63" w:rsidRDefault="00CA2882" w:rsidP="00290C63">
      <w:r>
        <w:separator/>
      </w:r>
    </w:p>
    <w:p w:rsidR="00CA2882" w:rsidRDefault="00CA2882"/>
  </w:endnote>
  <w:endnote w:type="continuationSeparator" w:id="0">
    <w:p w:rsidR="00CA2882" w:rsidRPr="00290C63" w:rsidRDefault="00CA2882" w:rsidP="00290C63">
      <w:r>
        <w:continuationSeparator/>
      </w:r>
    </w:p>
    <w:p w:rsidR="00CA2882" w:rsidRDefault="00CA2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82" w:rsidRDefault="00CA28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CA2882" w:rsidRDefault="00CA2882">
    <w:pPr>
      <w:pStyle w:val="Footer"/>
    </w:pPr>
  </w:p>
  <w:p w:rsidR="00CA2882" w:rsidRDefault="00CA2882">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2882" w:rsidRPr="00CA52A2" w:rsidRDefault="00CA2882" w:rsidP="00CA52A2">
        <w:pPr>
          <w:pStyle w:val="Footer"/>
        </w:pPr>
        <w:r w:rsidRPr="00CA52A2">
          <w:fldChar w:fldCharType="begin"/>
        </w:r>
        <w:r>
          <w:instrText xml:space="preserve"> PAGE   \* MERGEFORMAT </w:instrText>
        </w:r>
        <w:r w:rsidRPr="00CA52A2">
          <w:fldChar w:fldCharType="separate"/>
        </w:r>
        <w:r w:rsidR="00E825C2">
          <w:rPr>
            <w:noProof/>
          </w:rPr>
          <w:t>2-8</w:t>
        </w:r>
        <w:r w:rsidRPr="00CA52A2">
          <w:fldChar w:fldCharType="end"/>
        </w:r>
        <w:r w:rsidRPr="00CA52A2">
          <w:t xml:space="preserve">    Attachment </w:t>
        </w:r>
        <w:r>
          <w:t xml:space="preserve">2 </w:t>
        </w:r>
        <w:r w:rsidRPr="00CA52A2">
          <w:t xml:space="preserve">– </w:t>
        </w:r>
        <w:r>
          <w:t xml:space="preserve">Capital base </w:t>
        </w:r>
        <w:r w:rsidRPr="00CA52A2">
          <w:t xml:space="preserve">| </w:t>
        </w:r>
        <w:r>
          <w:t>Final decision: Amadeus Gas Pipeline Access Arrangement 2016</w:t>
        </w:r>
        <w:r w:rsidRPr="00CA52A2">
          <w:t>–</w:t>
        </w:r>
        <w:r>
          <w:t>21</w:t>
        </w:r>
      </w:p>
    </w:sdtContent>
  </w:sdt>
  <w:p w:rsidR="00CA2882" w:rsidRDefault="00CA2882">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882" w:rsidRPr="00290C63" w:rsidRDefault="00CA2882" w:rsidP="00290C63">
      <w:r>
        <w:separator/>
      </w:r>
    </w:p>
    <w:p w:rsidR="00CA2882" w:rsidRDefault="00CA2882"/>
  </w:footnote>
  <w:footnote w:type="continuationSeparator" w:id="0">
    <w:p w:rsidR="00CA2882" w:rsidRPr="00290C63" w:rsidRDefault="00CA2882" w:rsidP="00290C63">
      <w:r>
        <w:continuationSeparator/>
      </w:r>
    </w:p>
    <w:p w:rsidR="00CA2882" w:rsidRDefault="00CA2882"/>
  </w:footnote>
  <w:footnote w:id="1">
    <w:p w:rsidR="00CA2882" w:rsidRPr="00CE62E5" w:rsidRDefault="00CA2882" w:rsidP="000D15C2">
      <w:pPr>
        <w:pStyle w:val="FootnoteText"/>
      </w:pPr>
      <w:r w:rsidRPr="00467610">
        <w:rPr>
          <w:rStyle w:val="FootnoteReference"/>
        </w:rPr>
        <w:footnoteRef/>
      </w:r>
      <w:r w:rsidRPr="00C06BD9">
        <w:rPr>
          <w:rStyle w:val="FootnoteReference"/>
        </w:rPr>
        <w:t xml:space="preserve"> </w:t>
      </w:r>
      <w:r w:rsidRPr="00CE62E5">
        <w:tab/>
        <w:t xml:space="preserve">The term 'rolled forward' means the process of carrying over the value of the capital base from one regulatory year to the next.     </w:t>
      </w:r>
    </w:p>
  </w:footnote>
  <w:footnote w:id="2">
    <w:p w:rsidR="00CA2882" w:rsidRDefault="00CA2882">
      <w:pPr>
        <w:pStyle w:val="FootnoteText"/>
      </w:pPr>
      <w:r>
        <w:rPr>
          <w:rStyle w:val="FootnoteReference"/>
        </w:rPr>
        <w:footnoteRef/>
      </w:r>
      <w:r>
        <w:t xml:space="preserve"> </w:t>
      </w:r>
      <w:r>
        <w:tab/>
        <w:t xml:space="preserve">APTNT, </w:t>
      </w:r>
      <w:r w:rsidRPr="00834547">
        <w:rPr>
          <w:rStyle w:val="AERtextitalic"/>
        </w:rPr>
        <w:t>Revised proposed PTRM</w:t>
      </w:r>
      <w:r>
        <w:t>, January 2016.</w:t>
      </w:r>
    </w:p>
  </w:footnote>
  <w:footnote w:id="3">
    <w:p w:rsidR="00CA2882" w:rsidRDefault="00CA2882">
      <w:pPr>
        <w:pStyle w:val="FootnoteText"/>
      </w:pPr>
      <w:r>
        <w:rPr>
          <w:rStyle w:val="FootnoteReference"/>
        </w:rPr>
        <w:footnoteRef/>
      </w:r>
      <w:r>
        <w:t xml:space="preserve"> </w:t>
      </w:r>
      <w:r>
        <w:tab/>
        <w:t xml:space="preserve">AER, </w:t>
      </w:r>
      <w:r w:rsidRPr="00201BC1">
        <w:rPr>
          <w:rStyle w:val="AERtextitalic"/>
        </w:rPr>
        <w:t>Draft decision, Amadeus Gas Pipeline Access Arrangement 2016–21, Attachment 2 – Capital base</w:t>
      </w:r>
      <w:r>
        <w:t>, November, 2015, pp. 9-12.</w:t>
      </w:r>
    </w:p>
  </w:footnote>
  <w:footnote w:id="4">
    <w:p w:rsidR="00CA2882" w:rsidRDefault="00CA2882">
      <w:pPr>
        <w:pStyle w:val="FootnoteText"/>
      </w:pPr>
      <w:r>
        <w:rPr>
          <w:rStyle w:val="FootnoteReference"/>
        </w:rPr>
        <w:footnoteRef/>
      </w:r>
      <w:r>
        <w:t xml:space="preserve"> </w:t>
      </w:r>
      <w:r>
        <w:tab/>
        <w:t xml:space="preserve">APTNT, </w:t>
      </w:r>
      <w:r w:rsidRPr="009618A8">
        <w:rPr>
          <w:rStyle w:val="AERtextitalic"/>
        </w:rPr>
        <w:t xml:space="preserve">Amadeus Gas Pipeline, </w:t>
      </w:r>
      <w:r w:rsidR="00AA5772" w:rsidRPr="00201BC1">
        <w:rPr>
          <w:rStyle w:val="AERtextitalic"/>
        </w:rPr>
        <w:t>Access Arrangement Revised Proposal Response to Draft Decision Submission</w:t>
      </w:r>
      <w:r w:rsidRPr="009618A8">
        <w:rPr>
          <w:rStyle w:val="AERtextitalic"/>
        </w:rPr>
        <w:t xml:space="preserve">, </w:t>
      </w:r>
      <w:r>
        <w:t>January 2016, pp. 44-45.</w:t>
      </w:r>
    </w:p>
  </w:footnote>
  <w:footnote w:id="5">
    <w:p w:rsidR="00CA2882" w:rsidRDefault="00CA2882">
      <w:pPr>
        <w:pStyle w:val="FootnoteText"/>
      </w:pPr>
      <w:r>
        <w:rPr>
          <w:rStyle w:val="FootnoteReference"/>
        </w:rPr>
        <w:footnoteRef/>
      </w:r>
      <w:r>
        <w:t xml:space="preserve"> </w:t>
      </w:r>
      <w:r>
        <w:tab/>
      </w:r>
      <w:r w:rsidRPr="00863383">
        <w:t>The March quarter CPI is used as a proxy for the June financial year in the 201</w:t>
      </w:r>
      <w:r>
        <w:t>1</w:t>
      </w:r>
      <w:r w:rsidRPr="00863383">
        <w:t>–1</w:t>
      </w:r>
      <w:r>
        <w:t>6</w:t>
      </w:r>
      <w:r w:rsidRPr="00863383">
        <w:t xml:space="preserve"> </w:t>
      </w:r>
      <w:r>
        <w:t>access arrangement</w:t>
      </w:r>
      <w:r w:rsidRPr="00863383">
        <w:t xml:space="preserve"> </w:t>
      </w:r>
      <w:proofErr w:type="gramStart"/>
      <w:r w:rsidRPr="00863383">
        <w:t>period</w:t>
      </w:r>
      <w:proofErr w:type="gramEnd"/>
      <w:r w:rsidRPr="00863383">
        <w:t xml:space="preserve">. </w:t>
      </w:r>
    </w:p>
  </w:footnote>
  <w:footnote w:id="6">
    <w:p w:rsidR="00CA2882" w:rsidRDefault="00CA2882">
      <w:pPr>
        <w:pStyle w:val="FootnoteText"/>
      </w:pPr>
      <w:r>
        <w:rPr>
          <w:rStyle w:val="FootnoteReference"/>
        </w:rPr>
        <w:footnoteRef/>
      </w:r>
      <w:r>
        <w:t xml:space="preserve"> </w:t>
      </w:r>
      <w:r>
        <w:tab/>
        <w:t xml:space="preserve">AER, </w:t>
      </w:r>
      <w:r w:rsidRPr="00201BC1">
        <w:rPr>
          <w:rStyle w:val="AERtextitalic"/>
        </w:rPr>
        <w:t>Draft decision, Amadeus Gas Pipeline Access Arrangement 2016–21, Attachment 2 – Capital base</w:t>
      </w:r>
      <w:r>
        <w:t>, November, 2015, p. 13.</w:t>
      </w:r>
    </w:p>
  </w:footnote>
  <w:footnote w:id="7">
    <w:p w:rsidR="00CA2882" w:rsidRDefault="00CA2882">
      <w:pPr>
        <w:pStyle w:val="FootnoteText"/>
      </w:pPr>
      <w:r>
        <w:rPr>
          <w:rStyle w:val="FootnoteReference"/>
        </w:rPr>
        <w:footnoteRef/>
      </w:r>
      <w:r>
        <w:t xml:space="preserve"> </w:t>
      </w:r>
      <w:r>
        <w:tab/>
        <w:t xml:space="preserve">APTNT, </w:t>
      </w:r>
      <w:r w:rsidRPr="00201BC1">
        <w:rPr>
          <w:rStyle w:val="AERtextitalic"/>
        </w:rPr>
        <w:t>Amadeus Gas Pipeline, Access Arrangement Revised Proposal Response to Draft Decision Submission</w:t>
      </w:r>
      <w:r>
        <w:t>, January 2016, pp. 47-48.</w:t>
      </w:r>
    </w:p>
  </w:footnote>
  <w:footnote w:id="8">
    <w:p w:rsidR="00CA2882" w:rsidRDefault="00CA2882" w:rsidP="000D15C2">
      <w:pPr>
        <w:pStyle w:val="FootnoteText"/>
      </w:pPr>
      <w:r>
        <w:rPr>
          <w:rStyle w:val="FootnoteReference"/>
        </w:rPr>
        <w:footnoteRef/>
      </w:r>
      <w:r>
        <w:t xml:space="preserve"> </w:t>
      </w:r>
      <w:r>
        <w:tab/>
      </w:r>
      <w:proofErr w:type="gramStart"/>
      <w:r>
        <w:t xml:space="preserve">NGR, </w:t>
      </w:r>
      <w:r>
        <w:rPr>
          <w:rFonts w:eastAsia="Calibri"/>
        </w:rPr>
        <w:t>r. 77(2).</w:t>
      </w:r>
      <w:proofErr w:type="gramEnd"/>
    </w:p>
  </w:footnote>
  <w:footnote w:id="9">
    <w:p w:rsidR="00CA2882" w:rsidRDefault="00CA2882">
      <w:pPr>
        <w:pStyle w:val="FootnoteText"/>
      </w:pPr>
      <w:r>
        <w:rPr>
          <w:rStyle w:val="FootnoteReference"/>
        </w:rPr>
        <w:footnoteRef/>
      </w:r>
      <w:r>
        <w:t xml:space="preserve"> </w:t>
      </w:r>
      <w:r>
        <w:tab/>
      </w:r>
      <w:proofErr w:type="gramStart"/>
      <w:r>
        <w:t xml:space="preserve">APTNT, </w:t>
      </w:r>
      <w:r w:rsidRPr="00B12AC1">
        <w:rPr>
          <w:rStyle w:val="AERtextitalic"/>
        </w:rPr>
        <w:t>Access arrangement for the Amadeus Gas Pipeline - 1 July 2016–30 June 2021</w:t>
      </w:r>
      <w:r>
        <w:t>, January 2016, p. 12.</w:t>
      </w:r>
      <w:proofErr w:type="gramEnd"/>
    </w:p>
  </w:footnote>
  <w:footnote w:id="10">
    <w:p w:rsidR="00CA2882" w:rsidRDefault="00CA2882">
      <w:pPr>
        <w:pStyle w:val="FootnoteText"/>
      </w:pPr>
      <w:r>
        <w:rPr>
          <w:rStyle w:val="FootnoteReference"/>
        </w:rPr>
        <w:footnoteRef/>
      </w:r>
      <w:r>
        <w:t xml:space="preserve"> </w:t>
      </w:r>
      <w:r>
        <w:tab/>
      </w:r>
      <w:proofErr w:type="gramStart"/>
      <w:r>
        <w:t xml:space="preserve">AER, </w:t>
      </w:r>
      <w:r>
        <w:rPr>
          <w:rStyle w:val="AERtextitalic"/>
        </w:rPr>
        <w:t>Final access arrangement guideline</w:t>
      </w:r>
      <w:r>
        <w:t>, March 2009, pp. 61</w:t>
      </w:r>
      <w:r w:rsidRPr="00141072">
        <w:t>–</w:t>
      </w:r>
      <w:r>
        <w:t>62.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82" w:rsidRDefault="00E825C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CA2882">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882" w:rsidRDefault="00E825C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E09C832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uOVV7hwsCO5Lmnk5dlFwea75Uw1LJ+a0AIZqVp7/3CM=" w:saltValue="GddxqvhUGBrcOjzkPMNEe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628\AER15 4330  AER - Final decision Amadeus Gas Pipeline Access Arrangement - Attachment 3 - Rate of return - April 2016.DOCX"/>
  </w:docVars>
  <w:rsids>
    <w:rsidRoot w:val="00961A4A"/>
    <w:rsid w:val="00004633"/>
    <w:rsid w:val="00010286"/>
    <w:rsid w:val="00012462"/>
    <w:rsid w:val="00021202"/>
    <w:rsid w:val="00021C2B"/>
    <w:rsid w:val="0002517F"/>
    <w:rsid w:val="00026495"/>
    <w:rsid w:val="00026646"/>
    <w:rsid w:val="00031A08"/>
    <w:rsid w:val="0003578C"/>
    <w:rsid w:val="0004010E"/>
    <w:rsid w:val="000401AF"/>
    <w:rsid w:val="00041DDA"/>
    <w:rsid w:val="00042A3B"/>
    <w:rsid w:val="0004723C"/>
    <w:rsid w:val="00063247"/>
    <w:rsid w:val="00063A92"/>
    <w:rsid w:val="00070F9F"/>
    <w:rsid w:val="0007137B"/>
    <w:rsid w:val="00085663"/>
    <w:rsid w:val="00085EBF"/>
    <w:rsid w:val="00085F93"/>
    <w:rsid w:val="00091B15"/>
    <w:rsid w:val="000A1E7C"/>
    <w:rsid w:val="000A3020"/>
    <w:rsid w:val="000A6009"/>
    <w:rsid w:val="000A6C7B"/>
    <w:rsid w:val="000B0360"/>
    <w:rsid w:val="000C2B40"/>
    <w:rsid w:val="000C59BB"/>
    <w:rsid w:val="000D01F4"/>
    <w:rsid w:val="000D06C1"/>
    <w:rsid w:val="000D122C"/>
    <w:rsid w:val="000D15C2"/>
    <w:rsid w:val="000D3016"/>
    <w:rsid w:val="000D64F2"/>
    <w:rsid w:val="000D7F32"/>
    <w:rsid w:val="000E0ECC"/>
    <w:rsid w:val="000E1361"/>
    <w:rsid w:val="000E1819"/>
    <w:rsid w:val="000E4821"/>
    <w:rsid w:val="000E6C72"/>
    <w:rsid w:val="000F0B2B"/>
    <w:rsid w:val="000F25C9"/>
    <w:rsid w:val="000F3E72"/>
    <w:rsid w:val="000F48B1"/>
    <w:rsid w:val="000F723D"/>
    <w:rsid w:val="00103A67"/>
    <w:rsid w:val="00105144"/>
    <w:rsid w:val="00115968"/>
    <w:rsid w:val="00116EB2"/>
    <w:rsid w:val="00124609"/>
    <w:rsid w:val="00126A4C"/>
    <w:rsid w:val="00141072"/>
    <w:rsid w:val="00142AB6"/>
    <w:rsid w:val="0014573B"/>
    <w:rsid w:val="00147E70"/>
    <w:rsid w:val="0015101A"/>
    <w:rsid w:val="00156DCC"/>
    <w:rsid w:val="001573E4"/>
    <w:rsid w:val="00160756"/>
    <w:rsid w:val="00170D06"/>
    <w:rsid w:val="0017232E"/>
    <w:rsid w:val="00174102"/>
    <w:rsid w:val="0017480F"/>
    <w:rsid w:val="001754EE"/>
    <w:rsid w:val="00175FA7"/>
    <w:rsid w:val="00180157"/>
    <w:rsid w:val="00182467"/>
    <w:rsid w:val="00185CB9"/>
    <w:rsid w:val="00186F77"/>
    <w:rsid w:val="001926A4"/>
    <w:rsid w:val="00192AD5"/>
    <w:rsid w:val="001A4DF8"/>
    <w:rsid w:val="001B20B3"/>
    <w:rsid w:val="001B3F62"/>
    <w:rsid w:val="001B45A0"/>
    <w:rsid w:val="001B45C0"/>
    <w:rsid w:val="001B6F2E"/>
    <w:rsid w:val="001B7D00"/>
    <w:rsid w:val="001B7DC1"/>
    <w:rsid w:val="001C17E7"/>
    <w:rsid w:val="001D055E"/>
    <w:rsid w:val="001E009C"/>
    <w:rsid w:val="001E314A"/>
    <w:rsid w:val="001E52AB"/>
    <w:rsid w:val="001E5FE2"/>
    <w:rsid w:val="001F05A4"/>
    <w:rsid w:val="001F0ACA"/>
    <w:rsid w:val="001F492E"/>
    <w:rsid w:val="001F6DA3"/>
    <w:rsid w:val="002010BC"/>
    <w:rsid w:val="002016E7"/>
    <w:rsid w:val="00201BC1"/>
    <w:rsid w:val="00201F98"/>
    <w:rsid w:val="00202E03"/>
    <w:rsid w:val="0020478D"/>
    <w:rsid w:val="0020492C"/>
    <w:rsid w:val="00205A33"/>
    <w:rsid w:val="002065DC"/>
    <w:rsid w:val="00217918"/>
    <w:rsid w:val="0022246A"/>
    <w:rsid w:val="0022444D"/>
    <w:rsid w:val="00224DB9"/>
    <w:rsid w:val="00227DCE"/>
    <w:rsid w:val="0023276C"/>
    <w:rsid w:val="00233775"/>
    <w:rsid w:val="00251745"/>
    <w:rsid w:val="002569EF"/>
    <w:rsid w:val="00263AC0"/>
    <w:rsid w:val="00264264"/>
    <w:rsid w:val="0026772D"/>
    <w:rsid w:val="002763DE"/>
    <w:rsid w:val="00277554"/>
    <w:rsid w:val="00286874"/>
    <w:rsid w:val="00290C63"/>
    <w:rsid w:val="00296B65"/>
    <w:rsid w:val="0029724D"/>
    <w:rsid w:val="002A48AE"/>
    <w:rsid w:val="002A6688"/>
    <w:rsid w:val="002A7DEF"/>
    <w:rsid w:val="002B1003"/>
    <w:rsid w:val="002B573C"/>
    <w:rsid w:val="002C233C"/>
    <w:rsid w:val="002C679F"/>
    <w:rsid w:val="002D72E8"/>
    <w:rsid w:val="002E0D67"/>
    <w:rsid w:val="002E7B22"/>
    <w:rsid w:val="002F7986"/>
    <w:rsid w:val="00301B40"/>
    <w:rsid w:val="00301F1F"/>
    <w:rsid w:val="003029A5"/>
    <w:rsid w:val="003029EE"/>
    <w:rsid w:val="0030370B"/>
    <w:rsid w:val="00305CC8"/>
    <w:rsid w:val="00307F6D"/>
    <w:rsid w:val="003107AE"/>
    <w:rsid w:val="003130C9"/>
    <w:rsid w:val="003177A2"/>
    <w:rsid w:val="00320869"/>
    <w:rsid w:val="00326B1D"/>
    <w:rsid w:val="003271B5"/>
    <w:rsid w:val="00327A1E"/>
    <w:rsid w:val="00331264"/>
    <w:rsid w:val="003338A2"/>
    <w:rsid w:val="00334C8D"/>
    <w:rsid w:val="0033548E"/>
    <w:rsid w:val="00343A18"/>
    <w:rsid w:val="00344473"/>
    <w:rsid w:val="00344D08"/>
    <w:rsid w:val="00345388"/>
    <w:rsid w:val="003457F9"/>
    <w:rsid w:val="00347114"/>
    <w:rsid w:val="003518B3"/>
    <w:rsid w:val="00354450"/>
    <w:rsid w:val="003578CD"/>
    <w:rsid w:val="003666F2"/>
    <w:rsid w:val="003717D8"/>
    <w:rsid w:val="003755D7"/>
    <w:rsid w:val="00382187"/>
    <w:rsid w:val="003846F1"/>
    <w:rsid w:val="003903D4"/>
    <w:rsid w:val="00391BF0"/>
    <w:rsid w:val="003931A7"/>
    <w:rsid w:val="0039345A"/>
    <w:rsid w:val="00393646"/>
    <w:rsid w:val="003A03FE"/>
    <w:rsid w:val="003A1D69"/>
    <w:rsid w:val="003A2DD6"/>
    <w:rsid w:val="003A77C7"/>
    <w:rsid w:val="003B484F"/>
    <w:rsid w:val="003B7FBA"/>
    <w:rsid w:val="003C0BBD"/>
    <w:rsid w:val="003F174D"/>
    <w:rsid w:val="003F572D"/>
    <w:rsid w:val="003F7442"/>
    <w:rsid w:val="00415F31"/>
    <w:rsid w:val="0042205D"/>
    <w:rsid w:val="00423A77"/>
    <w:rsid w:val="00436ECD"/>
    <w:rsid w:val="00447804"/>
    <w:rsid w:val="00452473"/>
    <w:rsid w:val="004575D1"/>
    <w:rsid w:val="0045777E"/>
    <w:rsid w:val="00461B0F"/>
    <w:rsid w:val="00461C29"/>
    <w:rsid w:val="004659B1"/>
    <w:rsid w:val="00474EC7"/>
    <w:rsid w:val="00480B4B"/>
    <w:rsid w:val="00485DC4"/>
    <w:rsid w:val="00486CFA"/>
    <w:rsid w:val="00493686"/>
    <w:rsid w:val="004A0A5E"/>
    <w:rsid w:val="004A43D1"/>
    <w:rsid w:val="004B050A"/>
    <w:rsid w:val="004B355D"/>
    <w:rsid w:val="004B4412"/>
    <w:rsid w:val="004B4F47"/>
    <w:rsid w:val="004C0C43"/>
    <w:rsid w:val="004C348C"/>
    <w:rsid w:val="004C6A30"/>
    <w:rsid w:val="004D1A96"/>
    <w:rsid w:val="004D55BA"/>
    <w:rsid w:val="004E22EC"/>
    <w:rsid w:val="004E2A4C"/>
    <w:rsid w:val="004F6A0E"/>
    <w:rsid w:val="00510417"/>
    <w:rsid w:val="00530128"/>
    <w:rsid w:val="00532467"/>
    <w:rsid w:val="00537FD6"/>
    <w:rsid w:val="00552074"/>
    <w:rsid w:val="00561454"/>
    <w:rsid w:val="00564A4D"/>
    <w:rsid w:val="0056588A"/>
    <w:rsid w:val="00567BA5"/>
    <w:rsid w:val="00571B35"/>
    <w:rsid w:val="00571D57"/>
    <w:rsid w:val="00577A09"/>
    <w:rsid w:val="005800B9"/>
    <w:rsid w:val="005829C2"/>
    <w:rsid w:val="00584D8F"/>
    <w:rsid w:val="00585A4E"/>
    <w:rsid w:val="00586819"/>
    <w:rsid w:val="00590558"/>
    <w:rsid w:val="0059704C"/>
    <w:rsid w:val="005A404D"/>
    <w:rsid w:val="005A5ACE"/>
    <w:rsid w:val="005B1B51"/>
    <w:rsid w:val="005B1E3C"/>
    <w:rsid w:val="005B3FB7"/>
    <w:rsid w:val="005B4D33"/>
    <w:rsid w:val="005B704A"/>
    <w:rsid w:val="005C0A7F"/>
    <w:rsid w:val="005C26CC"/>
    <w:rsid w:val="005C4C9C"/>
    <w:rsid w:val="005C6218"/>
    <w:rsid w:val="005D03B1"/>
    <w:rsid w:val="005D7BA2"/>
    <w:rsid w:val="005E36C2"/>
    <w:rsid w:val="005E5298"/>
    <w:rsid w:val="005F0183"/>
    <w:rsid w:val="005F3315"/>
    <w:rsid w:val="005F5E0B"/>
    <w:rsid w:val="005F727F"/>
    <w:rsid w:val="006007DE"/>
    <w:rsid w:val="00601638"/>
    <w:rsid w:val="00610EF9"/>
    <w:rsid w:val="00612F4F"/>
    <w:rsid w:val="00615C6B"/>
    <w:rsid w:val="00620DC3"/>
    <w:rsid w:val="00621DCE"/>
    <w:rsid w:val="006302C7"/>
    <w:rsid w:val="00632D6D"/>
    <w:rsid w:val="00640812"/>
    <w:rsid w:val="00642C3E"/>
    <w:rsid w:val="006445B7"/>
    <w:rsid w:val="00651C3A"/>
    <w:rsid w:val="00651CB2"/>
    <w:rsid w:val="006525F2"/>
    <w:rsid w:val="006560CA"/>
    <w:rsid w:val="0066104A"/>
    <w:rsid w:val="00661A1E"/>
    <w:rsid w:val="00662300"/>
    <w:rsid w:val="00663DAD"/>
    <w:rsid w:val="00665649"/>
    <w:rsid w:val="00666E20"/>
    <w:rsid w:val="006672AA"/>
    <w:rsid w:val="00673ADB"/>
    <w:rsid w:val="00675E20"/>
    <w:rsid w:val="00676679"/>
    <w:rsid w:val="006812E7"/>
    <w:rsid w:val="00683C89"/>
    <w:rsid w:val="00684C16"/>
    <w:rsid w:val="00691D9A"/>
    <w:rsid w:val="00694E4E"/>
    <w:rsid w:val="006A7CB9"/>
    <w:rsid w:val="006A7D76"/>
    <w:rsid w:val="006B2395"/>
    <w:rsid w:val="006B45A4"/>
    <w:rsid w:val="006B4CF9"/>
    <w:rsid w:val="006B785B"/>
    <w:rsid w:val="006B7AC8"/>
    <w:rsid w:val="006C1736"/>
    <w:rsid w:val="006C4798"/>
    <w:rsid w:val="006C774D"/>
    <w:rsid w:val="006D22F2"/>
    <w:rsid w:val="006D550F"/>
    <w:rsid w:val="006E3F76"/>
    <w:rsid w:val="006E4AC6"/>
    <w:rsid w:val="006F1F83"/>
    <w:rsid w:val="006F3AD1"/>
    <w:rsid w:val="006F3FC8"/>
    <w:rsid w:val="006F4E87"/>
    <w:rsid w:val="006F6183"/>
    <w:rsid w:val="0070011E"/>
    <w:rsid w:val="007013EC"/>
    <w:rsid w:val="00701CAB"/>
    <w:rsid w:val="00702D81"/>
    <w:rsid w:val="00707563"/>
    <w:rsid w:val="007146F7"/>
    <w:rsid w:val="0072140B"/>
    <w:rsid w:val="0072348C"/>
    <w:rsid w:val="00724A37"/>
    <w:rsid w:val="00724F4C"/>
    <w:rsid w:val="007303C3"/>
    <w:rsid w:val="007373EC"/>
    <w:rsid w:val="00741C46"/>
    <w:rsid w:val="00741E23"/>
    <w:rsid w:val="007429BE"/>
    <w:rsid w:val="00743223"/>
    <w:rsid w:val="00746E01"/>
    <w:rsid w:val="00747EEA"/>
    <w:rsid w:val="00752358"/>
    <w:rsid w:val="00752C8D"/>
    <w:rsid w:val="0075572D"/>
    <w:rsid w:val="00756AB0"/>
    <w:rsid w:val="00757364"/>
    <w:rsid w:val="00757BDF"/>
    <w:rsid w:val="007609D0"/>
    <w:rsid w:val="00763618"/>
    <w:rsid w:val="00763E5D"/>
    <w:rsid w:val="00767740"/>
    <w:rsid w:val="007724F9"/>
    <w:rsid w:val="00772D10"/>
    <w:rsid w:val="00777EE6"/>
    <w:rsid w:val="00782EEA"/>
    <w:rsid w:val="007A2B09"/>
    <w:rsid w:val="007A2CE1"/>
    <w:rsid w:val="007A7002"/>
    <w:rsid w:val="007A7136"/>
    <w:rsid w:val="007A7F63"/>
    <w:rsid w:val="007B011C"/>
    <w:rsid w:val="007B0146"/>
    <w:rsid w:val="007B186E"/>
    <w:rsid w:val="007B2C72"/>
    <w:rsid w:val="007B5EAA"/>
    <w:rsid w:val="007B6C52"/>
    <w:rsid w:val="007C1C53"/>
    <w:rsid w:val="007C74BB"/>
    <w:rsid w:val="007D456E"/>
    <w:rsid w:val="007D70A4"/>
    <w:rsid w:val="007E42F4"/>
    <w:rsid w:val="007E4904"/>
    <w:rsid w:val="007E4CB5"/>
    <w:rsid w:val="007E6F72"/>
    <w:rsid w:val="007F00CD"/>
    <w:rsid w:val="007F066B"/>
    <w:rsid w:val="007F213A"/>
    <w:rsid w:val="007F75C4"/>
    <w:rsid w:val="008033C4"/>
    <w:rsid w:val="008057DE"/>
    <w:rsid w:val="00806C88"/>
    <w:rsid w:val="00810070"/>
    <w:rsid w:val="0081034E"/>
    <w:rsid w:val="00812B03"/>
    <w:rsid w:val="00815CAC"/>
    <w:rsid w:val="008168E7"/>
    <w:rsid w:val="008173F0"/>
    <w:rsid w:val="00820F8F"/>
    <w:rsid w:val="00821004"/>
    <w:rsid w:val="008221F2"/>
    <w:rsid w:val="00825985"/>
    <w:rsid w:val="008301A7"/>
    <w:rsid w:val="008301B2"/>
    <w:rsid w:val="00830A35"/>
    <w:rsid w:val="008344F6"/>
    <w:rsid w:val="00834547"/>
    <w:rsid w:val="0083510F"/>
    <w:rsid w:val="008408C5"/>
    <w:rsid w:val="008414FC"/>
    <w:rsid w:val="0084749B"/>
    <w:rsid w:val="00847887"/>
    <w:rsid w:val="00851209"/>
    <w:rsid w:val="0085722A"/>
    <w:rsid w:val="00862B19"/>
    <w:rsid w:val="00863383"/>
    <w:rsid w:val="00864B35"/>
    <w:rsid w:val="00866370"/>
    <w:rsid w:val="00866D99"/>
    <w:rsid w:val="00867CF6"/>
    <w:rsid w:val="008749E0"/>
    <w:rsid w:val="00874CD0"/>
    <w:rsid w:val="00882481"/>
    <w:rsid w:val="00882F0A"/>
    <w:rsid w:val="008837AC"/>
    <w:rsid w:val="00887E67"/>
    <w:rsid w:val="008976E8"/>
    <w:rsid w:val="008A587D"/>
    <w:rsid w:val="008B35CD"/>
    <w:rsid w:val="008B5FCC"/>
    <w:rsid w:val="008B6676"/>
    <w:rsid w:val="008B7544"/>
    <w:rsid w:val="008C061D"/>
    <w:rsid w:val="008C3374"/>
    <w:rsid w:val="008C39F0"/>
    <w:rsid w:val="008C5486"/>
    <w:rsid w:val="008C63DF"/>
    <w:rsid w:val="008C708B"/>
    <w:rsid w:val="008D1661"/>
    <w:rsid w:val="008D6800"/>
    <w:rsid w:val="008E7031"/>
    <w:rsid w:val="008E77DE"/>
    <w:rsid w:val="008F07A3"/>
    <w:rsid w:val="008F1280"/>
    <w:rsid w:val="008F16B3"/>
    <w:rsid w:val="008F34DD"/>
    <w:rsid w:val="009001B6"/>
    <w:rsid w:val="00900BF9"/>
    <w:rsid w:val="00900E1B"/>
    <w:rsid w:val="00901C3C"/>
    <w:rsid w:val="0090371E"/>
    <w:rsid w:val="009038ED"/>
    <w:rsid w:val="009114B1"/>
    <w:rsid w:val="00913E47"/>
    <w:rsid w:val="00921D60"/>
    <w:rsid w:val="0092283F"/>
    <w:rsid w:val="009233EE"/>
    <w:rsid w:val="00923CFC"/>
    <w:rsid w:val="00923FA9"/>
    <w:rsid w:val="009272AD"/>
    <w:rsid w:val="009277DC"/>
    <w:rsid w:val="00932084"/>
    <w:rsid w:val="009460AA"/>
    <w:rsid w:val="0094641C"/>
    <w:rsid w:val="00951978"/>
    <w:rsid w:val="00951B02"/>
    <w:rsid w:val="00954D80"/>
    <w:rsid w:val="00955F4C"/>
    <w:rsid w:val="00961115"/>
    <w:rsid w:val="009618A8"/>
    <w:rsid w:val="00961A4A"/>
    <w:rsid w:val="00963983"/>
    <w:rsid w:val="009661DE"/>
    <w:rsid w:val="009778AA"/>
    <w:rsid w:val="00983C25"/>
    <w:rsid w:val="009856B7"/>
    <w:rsid w:val="00985C86"/>
    <w:rsid w:val="00995430"/>
    <w:rsid w:val="00996BAF"/>
    <w:rsid w:val="009972D8"/>
    <w:rsid w:val="009A4FAA"/>
    <w:rsid w:val="009A5113"/>
    <w:rsid w:val="009A539D"/>
    <w:rsid w:val="009A5FC3"/>
    <w:rsid w:val="009B5DC8"/>
    <w:rsid w:val="009B6F84"/>
    <w:rsid w:val="009B7343"/>
    <w:rsid w:val="009B74B0"/>
    <w:rsid w:val="009C691D"/>
    <w:rsid w:val="009D2B38"/>
    <w:rsid w:val="009D3906"/>
    <w:rsid w:val="009D6B46"/>
    <w:rsid w:val="009F4940"/>
    <w:rsid w:val="009F5BA1"/>
    <w:rsid w:val="00A02A88"/>
    <w:rsid w:val="00A0562E"/>
    <w:rsid w:val="00A06085"/>
    <w:rsid w:val="00A0726D"/>
    <w:rsid w:val="00A1039A"/>
    <w:rsid w:val="00A16596"/>
    <w:rsid w:val="00A2303E"/>
    <w:rsid w:val="00A32FBB"/>
    <w:rsid w:val="00A3741F"/>
    <w:rsid w:val="00A428EE"/>
    <w:rsid w:val="00A43004"/>
    <w:rsid w:val="00A4478A"/>
    <w:rsid w:val="00A44852"/>
    <w:rsid w:val="00A46414"/>
    <w:rsid w:val="00A4650A"/>
    <w:rsid w:val="00A46D9D"/>
    <w:rsid w:val="00A47C04"/>
    <w:rsid w:val="00A50502"/>
    <w:rsid w:val="00A57D04"/>
    <w:rsid w:val="00A60A26"/>
    <w:rsid w:val="00A61598"/>
    <w:rsid w:val="00A7259C"/>
    <w:rsid w:val="00A84A99"/>
    <w:rsid w:val="00A84F46"/>
    <w:rsid w:val="00A871F4"/>
    <w:rsid w:val="00A90827"/>
    <w:rsid w:val="00A90AA4"/>
    <w:rsid w:val="00A923BF"/>
    <w:rsid w:val="00A9445A"/>
    <w:rsid w:val="00A95BAC"/>
    <w:rsid w:val="00AA5772"/>
    <w:rsid w:val="00AB47E1"/>
    <w:rsid w:val="00AC1B2C"/>
    <w:rsid w:val="00AC3264"/>
    <w:rsid w:val="00AC6F29"/>
    <w:rsid w:val="00AD35C4"/>
    <w:rsid w:val="00AD3884"/>
    <w:rsid w:val="00AD7B56"/>
    <w:rsid w:val="00AE1BF1"/>
    <w:rsid w:val="00AE56ED"/>
    <w:rsid w:val="00AF0DD2"/>
    <w:rsid w:val="00AF2D81"/>
    <w:rsid w:val="00B0209D"/>
    <w:rsid w:val="00B02165"/>
    <w:rsid w:val="00B02961"/>
    <w:rsid w:val="00B04908"/>
    <w:rsid w:val="00B04B4C"/>
    <w:rsid w:val="00B07CEA"/>
    <w:rsid w:val="00B12AC1"/>
    <w:rsid w:val="00B13048"/>
    <w:rsid w:val="00B1716D"/>
    <w:rsid w:val="00B1738D"/>
    <w:rsid w:val="00B17A1D"/>
    <w:rsid w:val="00B207A0"/>
    <w:rsid w:val="00B35167"/>
    <w:rsid w:val="00B354EB"/>
    <w:rsid w:val="00B40CAA"/>
    <w:rsid w:val="00B419DD"/>
    <w:rsid w:val="00B44EC7"/>
    <w:rsid w:val="00B514DD"/>
    <w:rsid w:val="00B51F3F"/>
    <w:rsid w:val="00B52AF0"/>
    <w:rsid w:val="00B561BD"/>
    <w:rsid w:val="00B56E03"/>
    <w:rsid w:val="00B61EDF"/>
    <w:rsid w:val="00B72167"/>
    <w:rsid w:val="00B74AC5"/>
    <w:rsid w:val="00B757A6"/>
    <w:rsid w:val="00B75E54"/>
    <w:rsid w:val="00B8080B"/>
    <w:rsid w:val="00B82223"/>
    <w:rsid w:val="00B87BA5"/>
    <w:rsid w:val="00B87C39"/>
    <w:rsid w:val="00B9562D"/>
    <w:rsid w:val="00BA0731"/>
    <w:rsid w:val="00BA24F8"/>
    <w:rsid w:val="00BA4665"/>
    <w:rsid w:val="00BA47EE"/>
    <w:rsid w:val="00BB2FB2"/>
    <w:rsid w:val="00BB3304"/>
    <w:rsid w:val="00BB3FD7"/>
    <w:rsid w:val="00BB6848"/>
    <w:rsid w:val="00BB7528"/>
    <w:rsid w:val="00BC18DE"/>
    <w:rsid w:val="00BC2FAF"/>
    <w:rsid w:val="00BC42EF"/>
    <w:rsid w:val="00BD0920"/>
    <w:rsid w:val="00BD0C45"/>
    <w:rsid w:val="00BD310B"/>
    <w:rsid w:val="00BD3446"/>
    <w:rsid w:val="00BE1F1B"/>
    <w:rsid w:val="00BE47B5"/>
    <w:rsid w:val="00BF0C8F"/>
    <w:rsid w:val="00BF0CD7"/>
    <w:rsid w:val="00BF4483"/>
    <w:rsid w:val="00C04223"/>
    <w:rsid w:val="00C04925"/>
    <w:rsid w:val="00C07096"/>
    <w:rsid w:val="00C12010"/>
    <w:rsid w:val="00C15101"/>
    <w:rsid w:val="00C200BD"/>
    <w:rsid w:val="00C22749"/>
    <w:rsid w:val="00C25FA6"/>
    <w:rsid w:val="00C275C4"/>
    <w:rsid w:val="00C30637"/>
    <w:rsid w:val="00C32C06"/>
    <w:rsid w:val="00C36F19"/>
    <w:rsid w:val="00C42ACA"/>
    <w:rsid w:val="00C42BDB"/>
    <w:rsid w:val="00C44970"/>
    <w:rsid w:val="00C5122C"/>
    <w:rsid w:val="00C538A9"/>
    <w:rsid w:val="00C53B5A"/>
    <w:rsid w:val="00C54434"/>
    <w:rsid w:val="00C54F5A"/>
    <w:rsid w:val="00C569B4"/>
    <w:rsid w:val="00C56A01"/>
    <w:rsid w:val="00C56A3E"/>
    <w:rsid w:val="00C67A92"/>
    <w:rsid w:val="00C72C2C"/>
    <w:rsid w:val="00C7497E"/>
    <w:rsid w:val="00C74D43"/>
    <w:rsid w:val="00C81568"/>
    <w:rsid w:val="00C84560"/>
    <w:rsid w:val="00C8491F"/>
    <w:rsid w:val="00C84F52"/>
    <w:rsid w:val="00C86679"/>
    <w:rsid w:val="00C93600"/>
    <w:rsid w:val="00C97CDF"/>
    <w:rsid w:val="00CA2882"/>
    <w:rsid w:val="00CA2ABF"/>
    <w:rsid w:val="00CA2C1D"/>
    <w:rsid w:val="00CA489E"/>
    <w:rsid w:val="00CA52A2"/>
    <w:rsid w:val="00CA6F3B"/>
    <w:rsid w:val="00CB0279"/>
    <w:rsid w:val="00CB666B"/>
    <w:rsid w:val="00CC7F1D"/>
    <w:rsid w:val="00CD19EE"/>
    <w:rsid w:val="00CE484B"/>
    <w:rsid w:val="00CE4900"/>
    <w:rsid w:val="00CF0DEE"/>
    <w:rsid w:val="00CF2C05"/>
    <w:rsid w:val="00CF6EDE"/>
    <w:rsid w:val="00D006AE"/>
    <w:rsid w:val="00D00A82"/>
    <w:rsid w:val="00D0149E"/>
    <w:rsid w:val="00D01CF0"/>
    <w:rsid w:val="00D01EFD"/>
    <w:rsid w:val="00D0442A"/>
    <w:rsid w:val="00D06055"/>
    <w:rsid w:val="00D066B7"/>
    <w:rsid w:val="00D16B63"/>
    <w:rsid w:val="00D17683"/>
    <w:rsid w:val="00D358BE"/>
    <w:rsid w:val="00D36FCC"/>
    <w:rsid w:val="00D37C73"/>
    <w:rsid w:val="00D41E80"/>
    <w:rsid w:val="00D45694"/>
    <w:rsid w:val="00D46B78"/>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59A4"/>
    <w:rsid w:val="00D860EC"/>
    <w:rsid w:val="00D86B06"/>
    <w:rsid w:val="00D92CF1"/>
    <w:rsid w:val="00D92D38"/>
    <w:rsid w:val="00D950F5"/>
    <w:rsid w:val="00D954A0"/>
    <w:rsid w:val="00D95ADF"/>
    <w:rsid w:val="00DA0BCC"/>
    <w:rsid w:val="00DA4752"/>
    <w:rsid w:val="00DA5601"/>
    <w:rsid w:val="00DA61F3"/>
    <w:rsid w:val="00DA6B93"/>
    <w:rsid w:val="00DA6F94"/>
    <w:rsid w:val="00DB0F93"/>
    <w:rsid w:val="00DB1A67"/>
    <w:rsid w:val="00DB1E4C"/>
    <w:rsid w:val="00DB5074"/>
    <w:rsid w:val="00DB5B21"/>
    <w:rsid w:val="00DB5D88"/>
    <w:rsid w:val="00DC0F0C"/>
    <w:rsid w:val="00DC789F"/>
    <w:rsid w:val="00DC7981"/>
    <w:rsid w:val="00DD1C15"/>
    <w:rsid w:val="00DE1093"/>
    <w:rsid w:val="00DE4EFA"/>
    <w:rsid w:val="00DE5520"/>
    <w:rsid w:val="00DE563D"/>
    <w:rsid w:val="00DE5E2E"/>
    <w:rsid w:val="00DE772C"/>
    <w:rsid w:val="00DF1D9A"/>
    <w:rsid w:val="00DF312A"/>
    <w:rsid w:val="00DF5919"/>
    <w:rsid w:val="00E03B56"/>
    <w:rsid w:val="00E04058"/>
    <w:rsid w:val="00E04818"/>
    <w:rsid w:val="00E06442"/>
    <w:rsid w:val="00E06BCF"/>
    <w:rsid w:val="00E1001C"/>
    <w:rsid w:val="00E11949"/>
    <w:rsid w:val="00E23993"/>
    <w:rsid w:val="00E257D6"/>
    <w:rsid w:val="00E25B8C"/>
    <w:rsid w:val="00E3544F"/>
    <w:rsid w:val="00E40F54"/>
    <w:rsid w:val="00E51D65"/>
    <w:rsid w:val="00E6164E"/>
    <w:rsid w:val="00E6200B"/>
    <w:rsid w:val="00E65C85"/>
    <w:rsid w:val="00E66199"/>
    <w:rsid w:val="00E711C7"/>
    <w:rsid w:val="00E7494F"/>
    <w:rsid w:val="00E755EC"/>
    <w:rsid w:val="00E7624D"/>
    <w:rsid w:val="00E825C2"/>
    <w:rsid w:val="00E97242"/>
    <w:rsid w:val="00EA38F3"/>
    <w:rsid w:val="00EA3D42"/>
    <w:rsid w:val="00EA6B1B"/>
    <w:rsid w:val="00EA6ED9"/>
    <w:rsid w:val="00EB15F9"/>
    <w:rsid w:val="00EB5BC8"/>
    <w:rsid w:val="00EB606C"/>
    <w:rsid w:val="00EC04F1"/>
    <w:rsid w:val="00EC1B2B"/>
    <w:rsid w:val="00EC32E5"/>
    <w:rsid w:val="00ED0EC2"/>
    <w:rsid w:val="00ED2620"/>
    <w:rsid w:val="00ED3474"/>
    <w:rsid w:val="00ED565A"/>
    <w:rsid w:val="00ED58C4"/>
    <w:rsid w:val="00ED7323"/>
    <w:rsid w:val="00EE28F3"/>
    <w:rsid w:val="00EE34E6"/>
    <w:rsid w:val="00EE50D1"/>
    <w:rsid w:val="00EE77FA"/>
    <w:rsid w:val="00EE7A83"/>
    <w:rsid w:val="00EF1B7A"/>
    <w:rsid w:val="00EF5110"/>
    <w:rsid w:val="00F0334E"/>
    <w:rsid w:val="00F07967"/>
    <w:rsid w:val="00F10411"/>
    <w:rsid w:val="00F15882"/>
    <w:rsid w:val="00F171E0"/>
    <w:rsid w:val="00F20BD3"/>
    <w:rsid w:val="00F22EA7"/>
    <w:rsid w:val="00F2526A"/>
    <w:rsid w:val="00F2740A"/>
    <w:rsid w:val="00F35081"/>
    <w:rsid w:val="00F373A5"/>
    <w:rsid w:val="00F42E08"/>
    <w:rsid w:val="00F47559"/>
    <w:rsid w:val="00F554E5"/>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EC0"/>
    <w:rsid w:val="00F91F55"/>
    <w:rsid w:val="00F92349"/>
    <w:rsid w:val="00F93B21"/>
    <w:rsid w:val="00F94BAB"/>
    <w:rsid w:val="00F952A0"/>
    <w:rsid w:val="00FA3C7F"/>
    <w:rsid w:val="00FA77DE"/>
    <w:rsid w:val="00FB1BF3"/>
    <w:rsid w:val="00FB22FB"/>
    <w:rsid w:val="00FB3E06"/>
    <w:rsid w:val="00FB4402"/>
    <w:rsid w:val="00FB60FE"/>
    <w:rsid w:val="00FB74E2"/>
    <w:rsid w:val="00FC0E2D"/>
    <w:rsid w:val="00FC71DC"/>
    <w:rsid w:val="00FD2ED2"/>
    <w:rsid w:val="00FD5614"/>
    <w:rsid w:val="00FD5E78"/>
    <w:rsid w:val="00FE0BE1"/>
    <w:rsid w:val="00FE1DE9"/>
    <w:rsid w:val="00FE36AF"/>
    <w:rsid w:val="00FE39C2"/>
    <w:rsid w:val="00FE3C32"/>
    <w:rsid w:val="00FE64AE"/>
    <w:rsid w:val="00FF0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408452290">
      <w:bodyDiv w:val="1"/>
      <w:marLeft w:val="0"/>
      <w:marRight w:val="0"/>
      <w:marTop w:val="0"/>
      <w:marBottom w:val="0"/>
      <w:divBdr>
        <w:top w:val="none" w:sz="0" w:space="0" w:color="auto"/>
        <w:left w:val="none" w:sz="0" w:space="0" w:color="auto"/>
        <w:bottom w:val="none" w:sz="0" w:space="0" w:color="auto"/>
        <w:right w:val="none" w:sz="0" w:space="0" w:color="auto"/>
      </w:divBdr>
    </w:div>
    <w:div w:id="1571649963">
      <w:bodyDiv w:val="1"/>
      <w:marLeft w:val="0"/>
      <w:marRight w:val="0"/>
      <w:marTop w:val="0"/>
      <w:marBottom w:val="0"/>
      <w:divBdr>
        <w:top w:val="none" w:sz="0" w:space="0" w:color="auto"/>
        <w:left w:val="none" w:sz="0" w:space="0" w:color="auto"/>
        <w:bottom w:val="none" w:sz="0" w:space="0" w:color="auto"/>
        <w:right w:val="none" w:sz="0" w:space="0" w:color="auto"/>
      </w:divBdr>
    </w:div>
    <w:div w:id="178488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9FB67C-CDC2-4770-A414-D24F2898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DF42EA0E</Template>
  <TotalTime>0</TotalTime>
  <Pages>12</Pages>
  <Words>2412</Words>
  <Characters>13752</Characters>
  <Application>Microsoft Office Word</Application>
  <DocSecurity>0</DocSecurity>
  <Lines>114</Lines>
  <Paragraphs>32</Paragraphs>
  <ScaleCrop>false</ScaleCrop>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2016-05-20T07:39:00Z</dcterms:created>
  <dcterms:modified xsi:type="dcterms:W3CDTF">2016-05-20T07:39:00Z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8575474</vt:lpwstr>
  </property>
</Properties>
</file>