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1991F98" wp14:editId="0A5DCD2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26D1F" w:rsidP="008F07A3">
          <w:pPr>
            <w:pStyle w:val="ReportSubtitle"/>
          </w:pPr>
          <w:r>
            <w:t xml:space="preserve">ActewAGL </w:t>
          </w:r>
          <w:r w:rsidR="0070011E">
            <w:t>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4B0941">
            <w:t>20</w:t>
          </w:r>
          <w:r w:rsidR="00DA4752">
            <w:t xml:space="preserve"> </w:t>
          </w:r>
          <w:r w:rsidR="00415F31">
            <w:rPr>
              <w:rFonts w:cs="Arial"/>
            </w:rPr>
            <w:t>–</w:t>
          </w:r>
          <w:r w:rsidR="00DA4752">
            <w:t xml:space="preserve"> </w:t>
          </w:r>
          <w:r w:rsidR="006C4042">
            <w:t>Analysis of financial viability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526D1F">
        <w:t>5</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808612"/>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526D1F">
        <w:t>ActewAGL</w:t>
      </w:r>
      <w:r w:rsidR="0070011E">
        <w:t>’</w:t>
      </w:r>
      <w:r w:rsidR="00415F31">
        <w:t>s</w:t>
      </w:r>
      <w:proofErr w:type="spellEnd"/>
      <w:r w:rsidR="00415F31">
        <w:t xml:space="preserve"> revenue proposal 2015</w:t>
      </w:r>
      <w:r w:rsidR="00415F31" w:rsidRPr="00D904FA">
        <w:t>–</w:t>
      </w:r>
      <w:r w:rsidR="00415F31">
        <w:t>1</w:t>
      </w:r>
      <w:r w:rsidR="0070011E">
        <w:t>9</w:t>
      </w:r>
      <w:r w:rsidR="00415F31">
        <w:t xml:space="preserve">. It should be read with </w:t>
      </w:r>
      <w:r w:rsidR="00420A01">
        <w:t xml:space="preserve">all </w:t>
      </w:r>
      <w:r w:rsidR="00415F31">
        <w:t>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6C4042" w:rsidRDefault="006C4042" w:rsidP="00415F31">
      <w:r>
        <w:t xml:space="preserve">Attachment </w:t>
      </w:r>
      <w:r w:rsidR="00F63D58">
        <w:t>20</w:t>
      </w:r>
      <w:r>
        <w:t>- Analysis of financial viability</w:t>
      </w:r>
    </w:p>
    <w:p w:rsidR="006C4042" w:rsidRPr="008F07A3" w:rsidRDefault="006C4042" w:rsidP="006C4042">
      <w:pPr>
        <w:sectPr w:rsidR="006C4042"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808613"/>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E79A8" w:rsidRDefault="006E79A8">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808612" w:history="1">
            <w:r w:rsidRPr="006A58E7">
              <w:rPr>
                <w:rStyle w:val="Hyperlink"/>
              </w:rPr>
              <w:t>Note</w:t>
            </w:r>
            <w:r>
              <w:rPr>
                <w:webHidden/>
              </w:rPr>
              <w:tab/>
            </w:r>
            <w:r>
              <w:rPr>
                <w:webHidden/>
              </w:rPr>
              <w:fldChar w:fldCharType="begin"/>
            </w:r>
            <w:r>
              <w:rPr>
                <w:webHidden/>
              </w:rPr>
              <w:instrText xml:space="preserve"> PAGEREF _Toc417808612 \h </w:instrText>
            </w:r>
            <w:r>
              <w:rPr>
                <w:webHidden/>
              </w:rPr>
            </w:r>
            <w:r>
              <w:rPr>
                <w:webHidden/>
              </w:rPr>
              <w:fldChar w:fldCharType="separate"/>
            </w:r>
            <w:r>
              <w:rPr>
                <w:webHidden/>
              </w:rPr>
              <w:t>20-2</w:t>
            </w:r>
            <w:r>
              <w:rPr>
                <w:webHidden/>
              </w:rPr>
              <w:fldChar w:fldCharType="end"/>
            </w:r>
          </w:hyperlink>
        </w:p>
        <w:p w:rsidR="006E79A8" w:rsidRDefault="00EF27E4">
          <w:pPr>
            <w:pStyle w:val="TOC1"/>
            <w:rPr>
              <w:rFonts w:asciiTheme="minorHAnsi" w:eastAsiaTheme="minorEastAsia" w:hAnsiTheme="minorHAnsi"/>
              <w:b w:val="0"/>
              <w:color w:val="auto"/>
              <w:sz w:val="22"/>
              <w:lang w:val="en-AU" w:eastAsia="en-AU"/>
            </w:rPr>
          </w:pPr>
          <w:hyperlink w:anchor="_Toc417808613" w:history="1">
            <w:r w:rsidR="006E79A8" w:rsidRPr="006A58E7">
              <w:rPr>
                <w:rStyle w:val="Hyperlink"/>
              </w:rPr>
              <w:t>Contents</w:t>
            </w:r>
            <w:r w:rsidR="006E79A8">
              <w:rPr>
                <w:webHidden/>
              </w:rPr>
              <w:tab/>
            </w:r>
            <w:r w:rsidR="006E79A8">
              <w:rPr>
                <w:webHidden/>
              </w:rPr>
              <w:fldChar w:fldCharType="begin"/>
            </w:r>
            <w:r w:rsidR="006E79A8">
              <w:rPr>
                <w:webHidden/>
              </w:rPr>
              <w:instrText xml:space="preserve"> PAGEREF _Toc417808613 \h </w:instrText>
            </w:r>
            <w:r w:rsidR="006E79A8">
              <w:rPr>
                <w:webHidden/>
              </w:rPr>
            </w:r>
            <w:r w:rsidR="006E79A8">
              <w:rPr>
                <w:webHidden/>
              </w:rPr>
              <w:fldChar w:fldCharType="separate"/>
            </w:r>
            <w:r w:rsidR="006E79A8">
              <w:rPr>
                <w:webHidden/>
              </w:rPr>
              <w:t>20-3</w:t>
            </w:r>
            <w:r w:rsidR="006E79A8">
              <w:rPr>
                <w:webHidden/>
              </w:rPr>
              <w:fldChar w:fldCharType="end"/>
            </w:r>
          </w:hyperlink>
        </w:p>
        <w:p w:rsidR="006E79A8" w:rsidRDefault="00EF27E4">
          <w:pPr>
            <w:pStyle w:val="TOC1"/>
            <w:rPr>
              <w:rFonts w:asciiTheme="minorHAnsi" w:eastAsiaTheme="minorEastAsia" w:hAnsiTheme="minorHAnsi"/>
              <w:b w:val="0"/>
              <w:color w:val="auto"/>
              <w:sz w:val="22"/>
              <w:lang w:val="en-AU" w:eastAsia="en-AU"/>
            </w:rPr>
          </w:pPr>
          <w:hyperlink w:anchor="_Toc417808614" w:history="1">
            <w:r w:rsidR="006E79A8" w:rsidRPr="006A58E7">
              <w:rPr>
                <w:rStyle w:val="Hyperlink"/>
              </w:rPr>
              <w:t>Shortened forms</w:t>
            </w:r>
            <w:r w:rsidR="006E79A8">
              <w:rPr>
                <w:webHidden/>
              </w:rPr>
              <w:tab/>
            </w:r>
            <w:r w:rsidR="006E79A8">
              <w:rPr>
                <w:webHidden/>
              </w:rPr>
              <w:fldChar w:fldCharType="begin"/>
            </w:r>
            <w:r w:rsidR="006E79A8">
              <w:rPr>
                <w:webHidden/>
              </w:rPr>
              <w:instrText xml:space="preserve"> PAGEREF _Toc417808614 \h </w:instrText>
            </w:r>
            <w:r w:rsidR="006E79A8">
              <w:rPr>
                <w:webHidden/>
              </w:rPr>
            </w:r>
            <w:r w:rsidR="006E79A8">
              <w:rPr>
                <w:webHidden/>
              </w:rPr>
              <w:fldChar w:fldCharType="separate"/>
            </w:r>
            <w:r w:rsidR="006E79A8">
              <w:rPr>
                <w:webHidden/>
              </w:rPr>
              <w:t>20-4</w:t>
            </w:r>
            <w:r w:rsidR="006E79A8">
              <w:rPr>
                <w:webHidden/>
              </w:rPr>
              <w:fldChar w:fldCharType="end"/>
            </w:r>
          </w:hyperlink>
        </w:p>
        <w:p w:rsidR="006E79A8" w:rsidRDefault="00EF27E4">
          <w:pPr>
            <w:pStyle w:val="TOC1"/>
            <w:rPr>
              <w:rFonts w:asciiTheme="minorHAnsi" w:eastAsiaTheme="minorEastAsia" w:hAnsiTheme="minorHAnsi"/>
              <w:b w:val="0"/>
              <w:color w:val="auto"/>
              <w:sz w:val="22"/>
              <w:lang w:val="en-AU" w:eastAsia="en-AU"/>
            </w:rPr>
          </w:pPr>
          <w:hyperlink w:anchor="_Toc417808615" w:history="1">
            <w:r w:rsidR="006E79A8" w:rsidRPr="006A58E7">
              <w:rPr>
                <w:rStyle w:val="Hyperlink"/>
              </w:rPr>
              <w:t>20</w:t>
            </w:r>
            <w:r w:rsidR="006E79A8">
              <w:rPr>
                <w:rFonts w:asciiTheme="minorHAnsi" w:eastAsiaTheme="minorEastAsia" w:hAnsiTheme="minorHAnsi"/>
                <w:b w:val="0"/>
                <w:color w:val="auto"/>
                <w:sz w:val="22"/>
                <w:lang w:val="en-AU" w:eastAsia="en-AU"/>
              </w:rPr>
              <w:tab/>
            </w:r>
            <w:r w:rsidR="006E79A8" w:rsidRPr="006A58E7">
              <w:rPr>
                <w:rStyle w:val="Hyperlink"/>
              </w:rPr>
              <w:t>Analysis of financial viability</w:t>
            </w:r>
            <w:r w:rsidR="006E79A8">
              <w:rPr>
                <w:webHidden/>
              </w:rPr>
              <w:tab/>
            </w:r>
            <w:r w:rsidR="006E79A8">
              <w:rPr>
                <w:webHidden/>
              </w:rPr>
              <w:fldChar w:fldCharType="begin"/>
            </w:r>
            <w:r w:rsidR="006E79A8">
              <w:rPr>
                <w:webHidden/>
              </w:rPr>
              <w:instrText xml:space="preserve"> PAGEREF _Toc417808615 \h </w:instrText>
            </w:r>
            <w:r w:rsidR="006E79A8">
              <w:rPr>
                <w:webHidden/>
              </w:rPr>
            </w:r>
            <w:r w:rsidR="006E79A8">
              <w:rPr>
                <w:webHidden/>
              </w:rPr>
              <w:fldChar w:fldCharType="separate"/>
            </w:r>
            <w:r w:rsidR="006E79A8">
              <w:rPr>
                <w:webHidden/>
              </w:rPr>
              <w:t>20-6</w:t>
            </w:r>
            <w:r w:rsidR="006E79A8">
              <w:rPr>
                <w:webHidden/>
              </w:rPr>
              <w:fldChar w:fldCharType="end"/>
            </w:r>
          </w:hyperlink>
        </w:p>
        <w:p w:rsidR="006E79A8" w:rsidRDefault="00EF27E4">
          <w:pPr>
            <w:pStyle w:val="TOC2"/>
            <w:tabs>
              <w:tab w:val="left" w:pos="1276"/>
            </w:tabs>
            <w:rPr>
              <w:rFonts w:asciiTheme="minorHAnsi" w:eastAsiaTheme="minorEastAsia" w:hAnsiTheme="minorHAnsi"/>
              <w:b w:val="0"/>
              <w:color w:val="auto"/>
              <w:sz w:val="22"/>
              <w:lang w:eastAsia="en-AU"/>
            </w:rPr>
          </w:pPr>
          <w:hyperlink w:anchor="_Toc417808616" w:history="1">
            <w:r w:rsidR="006E79A8" w:rsidRPr="006A58E7">
              <w:rPr>
                <w:rStyle w:val="Hyperlink"/>
              </w:rPr>
              <w:t>20.1</w:t>
            </w:r>
            <w:r w:rsidR="006E79A8">
              <w:rPr>
                <w:rFonts w:asciiTheme="minorHAnsi" w:eastAsiaTheme="minorEastAsia" w:hAnsiTheme="minorHAnsi"/>
                <w:b w:val="0"/>
                <w:color w:val="auto"/>
                <w:sz w:val="22"/>
                <w:lang w:eastAsia="en-AU"/>
              </w:rPr>
              <w:tab/>
            </w:r>
            <w:r w:rsidR="006E79A8" w:rsidRPr="006A58E7">
              <w:rPr>
                <w:rStyle w:val="Hyperlink"/>
              </w:rPr>
              <w:t>Background</w:t>
            </w:r>
            <w:r w:rsidR="006E79A8">
              <w:rPr>
                <w:webHidden/>
              </w:rPr>
              <w:tab/>
            </w:r>
            <w:r w:rsidR="006E79A8">
              <w:rPr>
                <w:webHidden/>
              </w:rPr>
              <w:fldChar w:fldCharType="begin"/>
            </w:r>
            <w:r w:rsidR="006E79A8">
              <w:rPr>
                <w:webHidden/>
              </w:rPr>
              <w:instrText xml:space="preserve"> PAGEREF _Toc417808616 \h </w:instrText>
            </w:r>
            <w:r w:rsidR="006E79A8">
              <w:rPr>
                <w:webHidden/>
              </w:rPr>
            </w:r>
            <w:r w:rsidR="006E79A8">
              <w:rPr>
                <w:webHidden/>
              </w:rPr>
              <w:fldChar w:fldCharType="separate"/>
            </w:r>
            <w:r w:rsidR="006E79A8">
              <w:rPr>
                <w:webHidden/>
              </w:rPr>
              <w:t>20-6</w:t>
            </w:r>
            <w:r w:rsidR="006E79A8">
              <w:rPr>
                <w:webHidden/>
              </w:rPr>
              <w:fldChar w:fldCharType="end"/>
            </w:r>
          </w:hyperlink>
        </w:p>
        <w:p w:rsidR="006E79A8" w:rsidRDefault="00EF27E4">
          <w:pPr>
            <w:pStyle w:val="TOC2"/>
            <w:tabs>
              <w:tab w:val="left" w:pos="1276"/>
            </w:tabs>
            <w:rPr>
              <w:rFonts w:asciiTheme="minorHAnsi" w:eastAsiaTheme="minorEastAsia" w:hAnsiTheme="minorHAnsi"/>
              <w:b w:val="0"/>
              <w:color w:val="auto"/>
              <w:sz w:val="22"/>
              <w:lang w:eastAsia="en-AU"/>
            </w:rPr>
          </w:pPr>
          <w:hyperlink w:anchor="_Toc417808617" w:history="1">
            <w:r w:rsidR="006E79A8" w:rsidRPr="006A58E7">
              <w:rPr>
                <w:rStyle w:val="Hyperlink"/>
              </w:rPr>
              <w:t>20.2</w:t>
            </w:r>
            <w:r w:rsidR="006E79A8">
              <w:rPr>
                <w:rFonts w:asciiTheme="minorHAnsi" w:eastAsiaTheme="minorEastAsia" w:hAnsiTheme="minorHAnsi"/>
                <w:b w:val="0"/>
                <w:color w:val="auto"/>
                <w:sz w:val="22"/>
                <w:lang w:eastAsia="en-AU"/>
              </w:rPr>
              <w:tab/>
            </w:r>
            <w:r w:rsidR="006E79A8" w:rsidRPr="006A58E7">
              <w:rPr>
                <w:rStyle w:val="Hyperlink"/>
              </w:rPr>
              <w:t>The three scenarios</w:t>
            </w:r>
            <w:r w:rsidR="006E79A8">
              <w:rPr>
                <w:webHidden/>
              </w:rPr>
              <w:tab/>
            </w:r>
            <w:r w:rsidR="006E79A8">
              <w:rPr>
                <w:webHidden/>
              </w:rPr>
              <w:fldChar w:fldCharType="begin"/>
            </w:r>
            <w:r w:rsidR="006E79A8">
              <w:rPr>
                <w:webHidden/>
              </w:rPr>
              <w:instrText xml:space="preserve"> PAGEREF _Toc417808617 \h </w:instrText>
            </w:r>
            <w:r w:rsidR="006E79A8">
              <w:rPr>
                <w:webHidden/>
              </w:rPr>
            </w:r>
            <w:r w:rsidR="006E79A8">
              <w:rPr>
                <w:webHidden/>
              </w:rPr>
              <w:fldChar w:fldCharType="separate"/>
            </w:r>
            <w:r w:rsidR="006E79A8">
              <w:rPr>
                <w:webHidden/>
              </w:rPr>
              <w:t>20-7</w:t>
            </w:r>
            <w:r w:rsidR="006E79A8">
              <w:rPr>
                <w:webHidden/>
              </w:rPr>
              <w:fldChar w:fldCharType="end"/>
            </w:r>
          </w:hyperlink>
        </w:p>
        <w:p w:rsidR="006E79A8" w:rsidRDefault="00EF27E4">
          <w:pPr>
            <w:pStyle w:val="TOC3"/>
            <w:rPr>
              <w:rFonts w:asciiTheme="minorHAnsi" w:eastAsiaTheme="minorEastAsia" w:hAnsiTheme="minorHAnsi"/>
              <w:lang w:eastAsia="en-AU"/>
            </w:rPr>
          </w:pPr>
          <w:hyperlink w:anchor="_Toc417808618" w:history="1">
            <w:r w:rsidR="006E79A8" w:rsidRPr="006A58E7">
              <w:rPr>
                <w:rStyle w:val="Hyperlink"/>
              </w:rPr>
              <w:t>20.2.1</w:t>
            </w:r>
            <w:r w:rsidR="006E79A8">
              <w:rPr>
                <w:rFonts w:asciiTheme="minorHAnsi" w:eastAsiaTheme="minorEastAsia" w:hAnsiTheme="minorHAnsi"/>
                <w:lang w:eastAsia="en-AU"/>
              </w:rPr>
              <w:tab/>
            </w:r>
            <w:r w:rsidR="006E79A8" w:rsidRPr="006A58E7">
              <w:rPr>
                <w:rStyle w:val="Hyperlink"/>
              </w:rPr>
              <w:t>Results of the scenarios</w:t>
            </w:r>
            <w:r w:rsidR="006E79A8">
              <w:rPr>
                <w:webHidden/>
              </w:rPr>
              <w:tab/>
            </w:r>
            <w:r w:rsidR="006E79A8">
              <w:rPr>
                <w:webHidden/>
              </w:rPr>
              <w:fldChar w:fldCharType="begin"/>
            </w:r>
            <w:r w:rsidR="006E79A8">
              <w:rPr>
                <w:webHidden/>
              </w:rPr>
              <w:instrText xml:space="preserve"> PAGEREF _Toc417808618 \h </w:instrText>
            </w:r>
            <w:r w:rsidR="006E79A8">
              <w:rPr>
                <w:webHidden/>
              </w:rPr>
            </w:r>
            <w:r w:rsidR="006E79A8">
              <w:rPr>
                <w:webHidden/>
              </w:rPr>
              <w:fldChar w:fldCharType="separate"/>
            </w:r>
            <w:r w:rsidR="006E79A8">
              <w:rPr>
                <w:webHidden/>
              </w:rPr>
              <w:t>20-8</w:t>
            </w:r>
            <w:r w:rsidR="006E79A8">
              <w:rPr>
                <w:webHidden/>
              </w:rPr>
              <w:fldChar w:fldCharType="end"/>
            </w:r>
          </w:hyperlink>
        </w:p>
        <w:p w:rsidR="006E79A8" w:rsidRDefault="00EF27E4">
          <w:pPr>
            <w:pStyle w:val="TOC3"/>
            <w:rPr>
              <w:rFonts w:asciiTheme="minorHAnsi" w:eastAsiaTheme="minorEastAsia" w:hAnsiTheme="minorHAnsi"/>
              <w:lang w:eastAsia="en-AU"/>
            </w:rPr>
          </w:pPr>
          <w:hyperlink w:anchor="_Toc417808619" w:history="1">
            <w:r w:rsidR="006E79A8" w:rsidRPr="006A58E7">
              <w:rPr>
                <w:rStyle w:val="Hyperlink"/>
              </w:rPr>
              <w:t>20.2.2</w:t>
            </w:r>
            <w:r w:rsidR="006E79A8">
              <w:rPr>
                <w:rFonts w:asciiTheme="minorHAnsi" w:eastAsiaTheme="minorEastAsia" w:hAnsiTheme="minorHAnsi"/>
                <w:lang w:eastAsia="en-AU"/>
              </w:rPr>
              <w:tab/>
            </w:r>
            <w:r w:rsidR="006E79A8" w:rsidRPr="006A58E7">
              <w:rPr>
                <w:rStyle w:val="Hyperlink"/>
              </w:rPr>
              <w:t>Key assumptions</w:t>
            </w:r>
            <w:r w:rsidR="006E79A8">
              <w:rPr>
                <w:webHidden/>
              </w:rPr>
              <w:tab/>
            </w:r>
            <w:r w:rsidR="006E79A8">
              <w:rPr>
                <w:webHidden/>
              </w:rPr>
              <w:fldChar w:fldCharType="begin"/>
            </w:r>
            <w:r w:rsidR="006E79A8">
              <w:rPr>
                <w:webHidden/>
              </w:rPr>
              <w:instrText xml:space="preserve"> PAGEREF _Toc417808619 \h </w:instrText>
            </w:r>
            <w:r w:rsidR="006E79A8">
              <w:rPr>
                <w:webHidden/>
              </w:rPr>
            </w:r>
            <w:r w:rsidR="006E79A8">
              <w:rPr>
                <w:webHidden/>
              </w:rPr>
              <w:fldChar w:fldCharType="separate"/>
            </w:r>
            <w:r w:rsidR="006E79A8">
              <w:rPr>
                <w:webHidden/>
              </w:rPr>
              <w:t>20-10</w:t>
            </w:r>
            <w:r w:rsidR="006E79A8">
              <w:rPr>
                <w:webHidden/>
              </w:rPr>
              <w:fldChar w:fldCharType="end"/>
            </w:r>
          </w:hyperlink>
        </w:p>
        <w:p w:rsidR="006E79A8" w:rsidRDefault="00EF27E4">
          <w:pPr>
            <w:pStyle w:val="TOC3"/>
            <w:rPr>
              <w:rFonts w:asciiTheme="minorHAnsi" w:eastAsiaTheme="minorEastAsia" w:hAnsiTheme="minorHAnsi"/>
              <w:lang w:eastAsia="en-AU"/>
            </w:rPr>
          </w:pPr>
          <w:hyperlink w:anchor="_Toc417808620" w:history="1">
            <w:r w:rsidR="006E79A8" w:rsidRPr="006A58E7">
              <w:rPr>
                <w:rStyle w:val="Hyperlink"/>
              </w:rPr>
              <w:t>20.2.3</w:t>
            </w:r>
            <w:r w:rsidR="006E79A8">
              <w:rPr>
                <w:rFonts w:asciiTheme="minorHAnsi" w:eastAsiaTheme="minorEastAsia" w:hAnsiTheme="minorHAnsi"/>
                <w:lang w:eastAsia="en-AU"/>
              </w:rPr>
              <w:tab/>
            </w:r>
            <w:r w:rsidR="006E79A8" w:rsidRPr="006A58E7">
              <w:rPr>
                <w:rStyle w:val="Hyperlink"/>
              </w:rPr>
              <w:t>Detailed results</w:t>
            </w:r>
            <w:r w:rsidR="006E79A8">
              <w:rPr>
                <w:webHidden/>
              </w:rPr>
              <w:tab/>
            </w:r>
            <w:r w:rsidR="006E79A8">
              <w:rPr>
                <w:webHidden/>
              </w:rPr>
              <w:fldChar w:fldCharType="begin"/>
            </w:r>
            <w:r w:rsidR="006E79A8">
              <w:rPr>
                <w:webHidden/>
              </w:rPr>
              <w:instrText xml:space="preserve"> PAGEREF _Toc417808620 \h </w:instrText>
            </w:r>
            <w:r w:rsidR="006E79A8">
              <w:rPr>
                <w:webHidden/>
              </w:rPr>
            </w:r>
            <w:r w:rsidR="006E79A8">
              <w:rPr>
                <w:webHidden/>
              </w:rPr>
              <w:fldChar w:fldCharType="separate"/>
            </w:r>
            <w:r w:rsidR="006E79A8">
              <w:rPr>
                <w:webHidden/>
              </w:rPr>
              <w:t>20-14</w:t>
            </w:r>
            <w:r w:rsidR="006E79A8">
              <w:rPr>
                <w:webHidden/>
              </w:rPr>
              <w:fldChar w:fldCharType="end"/>
            </w:r>
          </w:hyperlink>
        </w:p>
        <w:p w:rsidR="00DE563D" w:rsidRDefault="006E79A8" w:rsidP="006E79A8">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808614"/>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F63D58">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47417B" w:rsidTr="00031976">
        <w:tc>
          <w:tcPr>
            <w:tcW w:w="4342" w:type="dxa"/>
          </w:tcPr>
          <w:p w:rsidR="0047417B" w:rsidRPr="0047417B" w:rsidRDefault="0047417B" w:rsidP="0047417B">
            <w:pPr>
              <w:numPr>
                <w:ilvl w:val="0"/>
                <w:numId w:val="25"/>
              </w:numPr>
            </w:pPr>
            <w:r w:rsidRPr="0047417B">
              <w:t>AEMC</w:t>
            </w:r>
          </w:p>
        </w:tc>
        <w:tc>
          <w:tcPr>
            <w:tcW w:w="4351" w:type="dxa"/>
          </w:tcPr>
          <w:p w:rsidR="0047417B" w:rsidRPr="0047417B" w:rsidRDefault="0047417B" w:rsidP="0047417B">
            <w:pPr>
              <w:numPr>
                <w:ilvl w:val="0"/>
                <w:numId w:val="25"/>
              </w:numPr>
            </w:pPr>
            <w:r w:rsidRPr="0047417B">
              <w:t>Australian Energy Market Commission</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AEMO</w:t>
            </w:r>
          </w:p>
        </w:tc>
        <w:tc>
          <w:tcPr>
            <w:tcW w:w="4351" w:type="dxa"/>
          </w:tcPr>
          <w:p w:rsidR="0047417B" w:rsidRPr="0047417B" w:rsidRDefault="0047417B" w:rsidP="0047417B">
            <w:pPr>
              <w:numPr>
                <w:ilvl w:val="0"/>
                <w:numId w:val="25"/>
              </w:numPr>
            </w:pPr>
            <w:r w:rsidRPr="0047417B">
              <w:t>Australian Energy Market Operator</w:t>
            </w:r>
          </w:p>
        </w:tc>
      </w:tr>
      <w:tr w:rsidR="0047417B" w:rsidTr="00031976">
        <w:tc>
          <w:tcPr>
            <w:tcW w:w="4342" w:type="dxa"/>
          </w:tcPr>
          <w:p w:rsidR="0047417B" w:rsidRPr="0047417B" w:rsidRDefault="0047417B" w:rsidP="0047417B">
            <w:pPr>
              <w:numPr>
                <w:ilvl w:val="0"/>
                <w:numId w:val="25"/>
              </w:numPr>
            </w:pPr>
            <w:r w:rsidRPr="0047417B">
              <w:t>AER</w:t>
            </w:r>
          </w:p>
        </w:tc>
        <w:tc>
          <w:tcPr>
            <w:tcW w:w="4351" w:type="dxa"/>
          </w:tcPr>
          <w:p w:rsidR="0047417B" w:rsidRPr="0047417B" w:rsidRDefault="0047417B" w:rsidP="0047417B">
            <w:pPr>
              <w:numPr>
                <w:ilvl w:val="0"/>
                <w:numId w:val="25"/>
              </w:numPr>
            </w:pPr>
            <w:r w:rsidRPr="0047417B">
              <w:t>Australian Energy Regulator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augex</w:t>
            </w:r>
          </w:p>
        </w:tc>
        <w:tc>
          <w:tcPr>
            <w:tcW w:w="4351" w:type="dxa"/>
          </w:tcPr>
          <w:p w:rsidR="0047417B" w:rsidRPr="0047417B" w:rsidRDefault="0047417B" w:rsidP="0047417B">
            <w:pPr>
              <w:numPr>
                <w:ilvl w:val="0"/>
                <w:numId w:val="25"/>
              </w:numPr>
            </w:pPr>
            <w:r w:rsidRPr="0047417B">
              <w:t>augmentation expenditure</w:t>
            </w:r>
          </w:p>
        </w:tc>
      </w:tr>
      <w:tr w:rsidR="0047417B" w:rsidTr="00031976">
        <w:tc>
          <w:tcPr>
            <w:tcW w:w="4342" w:type="dxa"/>
          </w:tcPr>
          <w:p w:rsidR="0047417B" w:rsidRPr="0047417B" w:rsidRDefault="0047417B" w:rsidP="0047417B">
            <w:pPr>
              <w:numPr>
                <w:ilvl w:val="0"/>
                <w:numId w:val="25"/>
              </w:numPr>
            </w:pPr>
            <w:r w:rsidRPr="0047417B">
              <w:t>capex</w:t>
            </w:r>
          </w:p>
        </w:tc>
        <w:tc>
          <w:tcPr>
            <w:tcW w:w="4351" w:type="dxa"/>
          </w:tcPr>
          <w:p w:rsidR="0047417B" w:rsidRPr="0047417B" w:rsidRDefault="0047417B" w:rsidP="0047417B">
            <w:pPr>
              <w:numPr>
                <w:ilvl w:val="0"/>
                <w:numId w:val="25"/>
              </w:numPr>
            </w:pPr>
            <w:r w:rsidRPr="0047417B">
              <w:t>capital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CCP</w:t>
            </w:r>
          </w:p>
        </w:tc>
        <w:tc>
          <w:tcPr>
            <w:tcW w:w="4351" w:type="dxa"/>
          </w:tcPr>
          <w:p w:rsidR="0047417B" w:rsidRPr="0047417B" w:rsidRDefault="0047417B" w:rsidP="0047417B">
            <w:pPr>
              <w:numPr>
                <w:ilvl w:val="0"/>
                <w:numId w:val="25"/>
              </w:numPr>
            </w:pPr>
            <w:r w:rsidRPr="0047417B">
              <w:t>Consumer Challenge Panel</w:t>
            </w:r>
          </w:p>
        </w:tc>
      </w:tr>
      <w:tr w:rsidR="0047417B" w:rsidTr="00031976">
        <w:tc>
          <w:tcPr>
            <w:tcW w:w="4342" w:type="dxa"/>
          </w:tcPr>
          <w:p w:rsidR="0047417B" w:rsidRPr="0047417B" w:rsidRDefault="0047417B" w:rsidP="0047417B">
            <w:pPr>
              <w:numPr>
                <w:ilvl w:val="0"/>
                <w:numId w:val="25"/>
              </w:numPr>
            </w:pPr>
            <w:r w:rsidRPr="0047417B">
              <w:t>CESS</w:t>
            </w:r>
          </w:p>
        </w:tc>
        <w:tc>
          <w:tcPr>
            <w:tcW w:w="4351" w:type="dxa"/>
          </w:tcPr>
          <w:p w:rsidR="0047417B" w:rsidRPr="0047417B" w:rsidRDefault="0047417B" w:rsidP="0047417B">
            <w:pPr>
              <w:numPr>
                <w:ilvl w:val="0"/>
                <w:numId w:val="25"/>
              </w:numPr>
            </w:pPr>
            <w:r w:rsidRPr="0047417B">
              <w:t>capital expenditure sharing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CPI</w:t>
            </w:r>
          </w:p>
        </w:tc>
        <w:tc>
          <w:tcPr>
            <w:tcW w:w="4351" w:type="dxa"/>
          </w:tcPr>
          <w:p w:rsidR="0047417B" w:rsidRPr="0047417B" w:rsidRDefault="0047417B" w:rsidP="0047417B">
            <w:pPr>
              <w:numPr>
                <w:ilvl w:val="0"/>
                <w:numId w:val="25"/>
              </w:numPr>
            </w:pPr>
            <w:r w:rsidRPr="0047417B">
              <w:t>consumer price index</w:t>
            </w:r>
          </w:p>
        </w:tc>
      </w:tr>
      <w:tr w:rsidR="0047417B" w:rsidTr="00031976">
        <w:tc>
          <w:tcPr>
            <w:tcW w:w="4342" w:type="dxa"/>
          </w:tcPr>
          <w:p w:rsidR="0047417B" w:rsidRPr="0047417B" w:rsidRDefault="0047417B" w:rsidP="0047417B">
            <w:pPr>
              <w:numPr>
                <w:ilvl w:val="0"/>
                <w:numId w:val="25"/>
              </w:numPr>
            </w:pPr>
            <w:r w:rsidRPr="0047417B">
              <w:t>DRP</w:t>
            </w:r>
          </w:p>
        </w:tc>
        <w:tc>
          <w:tcPr>
            <w:tcW w:w="4351" w:type="dxa"/>
          </w:tcPr>
          <w:p w:rsidR="0047417B" w:rsidRPr="0047417B" w:rsidRDefault="0047417B" w:rsidP="0047417B">
            <w:pPr>
              <w:numPr>
                <w:ilvl w:val="0"/>
                <w:numId w:val="25"/>
              </w:numPr>
            </w:pPr>
            <w:r w:rsidRPr="0047417B">
              <w:t>debt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DMIA</w:t>
            </w:r>
          </w:p>
        </w:tc>
        <w:tc>
          <w:tcPr>
            <w:tcW w:w="4351" w:type="dxa"/>
          </w:tcPr>
          <w:p w:rsidR="0047417B" w:rsidRPr="0047417B" w:rsidRDefault="0047417B" w:rsidP="0047417B">
            <w:pPr>
              <w:numPr>
                <w:ilvl w:val="0"/>
                <w:numId w:val="25"/>
              </w:numPr>
            </w:pPr>
            <w:r w:rsidRPr="0047417B">
              <w:t>demand management innovation allowance</w:t>
            </w:r>
          </w:p>
        </w:tc>
      </w:tr>
      <w:tr w:rsidR="0047417B" w:rsidTr="00031976">
        <w:tc>
          <w:tcPr>
            <w:tcW w:w="4342" w:type="dxa"/>
          </w:tcPr>
          <w:p w:rsidR="0047417B" w:rsidRPr="0047417B" w:rsidRDefault="0047417B" w:rsidP="0047417B">
            <w:pPr>
              <w:numPr>
                <w:ilvl w:val="0"/>
                <w:numId w:val="25"/>
              </w:numPr>
            </w:pPr>
            <w:r w:rsidRPr="0047417B">
              <w:t>DMIS</w:t>
            </w:r>
          </w:p>
        </w:tc>
        <w:tc>
          <w:tcPr>
            <w:tcW w:w="4351" w:type="dxa"/>
          </w:tcPr>
          <w:p w:rsidR="0047417B" w:rsidRPr="0047417B" w:rsidRDefault="0047417B" w:rsidP="0047417B">
            <w:pPr>
              <w:numPr>
                <w:ilvl w:val="0"/>
                <w:numId w:val="25"/>
              </w:numPr>
            </w:pPr>
            <w:r w:rsidRPr="0047417B">
              <w:t>demand management incentive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distributor</w:t>
            </w:r>
          </w:p>
        </w:tc>
        <w:tc>
          <w:tcPr>
            <w:tcW w:w="4351" w:type="dxa"/>
          </w:tcPr>
          <w:p w:rsidR="0047417B" w:rsidRPr="0047417B" w:rsidRDefault="0047417B" w:rsidP="0047417B">
            <w:pPr>
              <w:numPr>
                <w:ilvl w:val="0"/>
                <w:numId w:val="25"/>
              </w:numPr>
            </w:pPr>
            <w:r w:rsidRPr="0047417B">
              <w:t>distribution network service provider</w:t>
            </w:r>
          </w:p>
        </w:tc>
      </w:tr>
      <w:tr w:rsidR="0047417B" w:rsidTr="00031976">
        <w:tc>
          <w:tcPr>
            <w:tcW w:w="4342" w:type="dxa"/>
          </w:tcPr>
          <w:p w:rsidR="0047417B" w:rsidRPr="0047417B" w:rsidRDefault="0047417B" w:rsidP="0047417B">
            <w:pPr>
              <w:numPr>
                <w:ilvl w:val="0"/>
                <w:numId w:val="25"/>
              </w:numPr>
            </w:pPr>
            <w:r w:rsidRPr="0047417B">
              <w:t>DUoS</w:t>
            </w:r>
          </w:p>
        </w:tc>
        <w:tc>
          <w:tcPr>
            <w:tcW w:w="4351" w:type="dxa"/>
          </w:tcPr>
          <w:p w:rsidR="0047417B" w:rsidRPr="0047417B" w:rsidRDefault="0047417B" w:rsidP="0047417B">
            <w:pPr>
              <w:numPr>
                <w:ilvl w:val="0"/>
                <w:numId w:val="25"/>
              </w:numPr>
            </w:pPr>
            <w:r w:rsidRPr="0047417B">
              <w:t>distribution use of system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EBSS</w:t>
            </w:r>
          </w:p>
        </w:tc>
        <w:tc>
          <w:tcPr>
            <w:tcW w:w="4351" w:type="dxa"/>
          </w:tcPr>
          <w:p w:rsidR="0047417B" w:rsidRPr="0047417B" w:rsidRDefault="0047417B" w:rsidP="0047417B">
            <w:pPr>
              <w:numPr>
                <w:ilvl w:val="0"/>
                <w:numId w:val="25"/>
              </w:numPr>
            </w:pPr>
            <w:r w:rsidRPr="0047417B">
              <w:t>efficiency benefit sharing scheme</w:t>
            </w:r>
          </w:p>
        </w:tc>
      </w:tr>
      <w:tr w:rsidR="0047417B" w:rsidTr="00031976">
        <w:tc>
          <w:tcPr>
            <w:tcW w:w="4342" w:type="dxa"/>
          </w:tcPr>
          <w:p w:rsidR="0047417B" w:rsidRPr="0047417B" w:rsidRDefault="0047417B" w:rsidP="0047417B">
            <w:pPr>
              <w:numPr>
                <w:ilvl w:val="0"/>
                <w:numId w:val="25"/>
              </w:numPr>
            </w:pPr>
            <w:r w:rsidRPr="0047417B">
              <w:t>ERP</w:t>
            </w:r>
          </w:p>
        </w:tc>
        <w:tc>
          <w:tcPr>
            <w:tcW w:w="4351" w:type="dxa"/>
          </w:tcPr>
          <w:p w:rsidR="0047417B" w:rsidRPr="0047417B" w:rsidRDefault="0047417B" w:rsidP="0047417B">
            <w:pPr>
              <w:numPr>
                <w:ilvl w:val="0"/>
                <w:numId w:val="25"/>
              </w:numPr>
            </w:pPr>
            <w:r w:rsidRPr="0047417B">
              <w:t>equity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Expenditure Assessment Guideline</w:t>
            </w:r>
          </w:p>
        </w:tc>
        <w:tc>
          <w:tcPr>
            <w:tcW w:w="4351" w:type="dxa"/>
          </w:tcPr>
          <w:p w:rsidR="0047417B" w:rsidRPr="0047417B" w:rsidRDefault="00420A01" w:rsidP="00420A01">
            <w:pPr>
              <w:numPr>
                <w:ilvl w:val="0"/>
                <w:numId w:val="25"/>
              </w:numPr>
            </w:pPr>
            <w:r>
              <w:t>E</w:t>
            </w:r>
            <w:r w:rsidR="0047417B" w:rsidRPr="0047417B">
              <w:t xml:space="preserve">xpenditure forecast </w:t>
            </w:r>
            <w:r>
              <w:t>A</w:t>
            </w:r>
            <w:r w:rsidR="0047417B" w:rsidRPr="0047417B">
              <w:t xml:space="preserve">ssessment Guideline for </w:t>
            </w:r>
            <w:r>
              <w:t>E</w:t>
            </w:r>
            <w:r w:rsidR="0047417B" w:rsidRPr="0047417B">
              <w:t xml:space="preserve">lectricity </w:t>
            </w:r>
            <w:r>
              <w:t>D</w:t>
            </w:r>
            <w:r w:rsidR="0047417B" w:rsidRPr="0047417B">
              <w:t>istribution</w:t>
            </w:r>
          </w:p>
        </w:tc>
      </w:tr>
      <w:tr w:rsidR="0047417B" w:rsidTr="00031976">
        <w:tc>
          <w:tcPr>
            <w:tcW w:w="4342" w:type="dxa"/>
          </w:tcPr>
          <w:p w:rsidR="0047417B" w:rsidRPr="0047417B" w:rsidRDefault="0047417B" w:rsidP="0047417B">
            <w:pPr>
              <w:numPr>
                <w:ilvl w:val="0"/>
                <w:numId w:val="25"/>
              </w:numPr>
            </w:pPr>
            <w:r w:rsidRPr="0047417B">
              <w:t>F&amp;A</w:t>
            </w:r>
          </w:p>
        </w:tc>
        <w:tc>
          <w:tcPr>
            <w:tcW w:w="4351" w:type="dxa"/>
          </w:tcPr>
          <w:p w:rsidR="0047417B" w:rsidRPr="0047417B" w:rsidRDefault="0047417B" w:rsidP="0047417B">
            <w:pPr>
              <w:numPr>
                <w:ilvl w:val="0"/>
                <w:numId w:val="25"/>
              </w:numPr>
            </w:pPr>
            <w:r w:rsidRPr="0047417B">
              <w:t>framework and approach</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MRP</w:t>
            </w:r>
          </w:p>
        </w:tc>
        <w:tc>
          <w:tcPr>
            <w:tcW w:w="4351" w:type="dxa"/>
          </w:tcPr>
          <w:p w:rsidR="0047417B" w:rsidRPr="0047417B" w:rsidRDefault="0047417B" w:rsidP="0047417B">
            <w:pPr>
              <w:numPr>
                <w:ilvl w:val="0"/>
                <w:numId w:val="25"/>
              </w:numPr>
            </w:pPr>
            <w:r w:rsidRPr="0047417B">
              <w:t>market risk premium</w:t>
            </w:r>
          </w:p>
        </w:tc>
      </w:tr>
      <w:tr w:rsidR="0047417B" w:rsidTr="00031976">
        <w:tc>
          <w:tcPr>
            <w:tcW w:w="4342" w:type="dxa"/>
          </w:tcPr>
          <w:p w:rsidR="0047417B" w:rsidRPr="0047417B" w:rsidRDefault="0047417B" w:rsidP="0047417B">
            <w:pPr>
              <w:numPr>
                <w:ilvl w:val="0"/>
                <w:numId w:val="25"/>
              </w:numPr>
            </w:pPr>
            <w:r w:rsidRPr="0047417B">
              <w:t>NEL</w:t>
            </w:r>
          </w:p>
        </w:tc>
        <w:tc>
          <w:tcPr>
            <w:tcW w:w="4351" w:type="dxa"/>
          </w:tcPr>
          <w:p w:rsidR="0047417B" w:rsidRPr="0047417B" w:rsidRDefault="0047417B" w:rsidP="0047417B">
            <w:pPr>
              <w:numPr>
                <w:ilvl w:val="0"/>
                <w:numId w:val="25"/>
              </w:numPr>
            </w:pPr>
            <w:r w:rsidRPr="0047417B">
              <w:t>national electricity law</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NEM</w:t>
            </w:r>
          </w:p>
        </w:tc>
        <w:tc>
          <w:tcPr>
            <w:tcW w:w="4351" w:type="dxa"/>
          </w:tcPr>
          <w:p w:rsidR="0047417B" w:rsidRPr="0047417B" w:rsidRDefault="0047417B" w:rsidP="0047417B">
            <w:pPr>
              <w:numPr>
                <w:ilvl w:val="0"/>
                <w:numId w:val="25"/>
              </w:numPr>
            </w:pPr>
            <w:r w:rsidRPr="0047417B">
              <w:t>national electricity market</w:t>
            </w:r>
          </w:p>
        </w:tc>
      </w:tr>
      <w:tr w:rsidR="0047417B" w:rsidTr="00031976">
        <w:tc>
          <w:tcPr>
            <w:tcW w:w="4342" w:type="dxa"/>
          </w:tcPr>
          <w:p w:rsidR="0047417B" w:rsidRPr="0047417B" w:rsidRDefault="0047417B" w:rsidP="0047417B">
            <w:pPr>
              <w:numPr>
                <w:ilvl w:val="0"/>
                <w:numId w:val="25"/>
              </w:numPr>
            </w:pPr>
            <w:r w:rsidRPr="0047417B">
              <w:t>NEO</w:t>
            </w:r>
          </w:p>
        </w:tc>
        <w:tc>
          <w:tcPr>
            <w:tcW w:w="4351" w:type="dxa"/>
          </w:tcPr>
          <w:p w:rsidR="0047417B" w:rsidRPr="0047417B" w:rsidRDefault="0047417B" w:rsidP="0047417B">
            <w:pPr>
              <w:numPr>
                <w:ilvl w:val="0"/>
                <w:numId w:val="25"/>
              </w:numPr>
            </w:pPr>
            <w:r w:rsidRPr="0047417B">
              <w:t>national electricity objective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NER</w:t>
            </w:r>
          </w:p>
        </w:tc>
        <w:tc>
          <w:tcPr>
            <w:tcW w:w="4351" w:type="dxa"/>
          </w:tcPr>
          <w:p w:rsidR="0047417B" w:rsidRPr="0047417B" w:rsidRDefault="0047417B" w:rsidP="0047417B">
            <w:pPr>
              <w:numPr>
                <w:ilvl w:val="0"/>
                <w:numId w:val="25"/>
              </w:numPr>
            </w:pPr>
            <w:r w:rsidRPr="0047417B">
              <w:t>national electricity rules</w:t>
            </w:r>
          </w:p>
        </w:tc>
      </w:tr>
      <w:tr w:rsidR="0047417B" w:rsidTr="00031976">
        <w:tc>
          <w:tcPr>
            <w:tcW w:w="4342" w:type="dxa"/>
          </w:tcPr>
          <w:p w:rsidR="0047417B" w:rsidRPr="0047417B" w:rsidRDefault="0047417B" w:rsidP="0047417B">
            <w:pPr>
              <w:numPr>
                <w:ilvl w:val="0"/>
                <w:numId w:val="25"/>
              </w:numPr>
            </w:pPr>
            <w:r w:rsidRPr="0047417B">
              <w:t>NSP</w:t>
            </w:r>
          </w:p>
        </w:tc>
        <w:tc>
          <w:tcPr>
            <w:tcW w:w="4351" w:type="dxa"/>
          </w:tcPr>
          <w:p w:rsidR="0047417B" w:rsidRPr="0047417B" w:rsidRDefault="0047417B" w:rsidP="0047417B">
            <w:pPr>
              <w:numPr>
                <w:ilvl w:val="0"/>
                <w:numId w:val="25"/>
              </w:numPr>
            </w:pPr>
            <w:r w:rsidRPr="0047417B">
              <w:t>network service provider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proofErr w:type="spellStart"/>
            <w:r w:rsidRPr="0047417B">
              <w:t>opex</w:t>
            </w:r>
            <w:proofErr w:type="spellEnd"/>
          </w:p>
        </w:tc>
        <w:tc>
          <w:tcPr>
            <w:tcW w:w="4351" w:type="dxa"/>
          </w:tcPr>
          <w:p w:rsidR="0047417B" w:rsidRPr="0047417B" w:rsidRDefault="0047417B" w:rsidP="0047417B">
            <w:pPr>
              <w:numPr>
                <w:ilvl w:val="0"/>
                <w:numId w:val="25"/>
              </w:numPr>
            </w:pPr>
            <w:r w:rsidRPr="0047417B">
              <w:t>operating expenditure</w:t>
            </w:r>
          </w:p>
        </w:tc>
      </w:tr>
      <w:tr w:rsidR="0047417B" w:rsidTr="00031976">
        <w:tc>
          <w:tcPr>
            <w:tcW w:w="4342" w:type="dxa"/>
          </w:tcPr>
          <w:p w:rsidR="0047417B" w:rsidRPr="0047417B" w:rsidRDefault="0047417B" w:rsidP="0047417B">
            <w:pPr>
              <w:numPr>
                <w:ilvl w:val="0"/>
                <w:numId w:val="25"/>
              </w:numPr>
            </w:pPr>
            <w:r w:rsidRPr="0047417B">
              <w:t>PPI</w:t>
            </w:r>
          </w:p>
        </w:tc>
        <w:tc>
          <w:tcPr>
            <w:tcW w:w="4351" w:type="dxa"/>
          </w:tcPr>
          <w:p w:rsidR="0047417B" w:rsidRPr="0047417B" w:rsidRDefault="0047417B" w:rsidP="0047417B">
            <w:pPr>
              <w:numPr>
                <w:ilvl w:val="0"/>
                <w:numId w:val="25"/>
              </w:numPr>
            </w:pPr>
            <w:r w:rsidRPr="0047417B">
              <w:t>partial performance indicators</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PTRM</w:t>
            </w:r>
          </w:p>
        </w:tc>
        <w:tc>
          <w:tcPr>
            <w:tcW w:w="4351" w:type="dxa"/>
          </w:tcPr>
          <w:p w:rsidR="0047417B" w:rsidRPr="0047417B" w:rsidRDefault="0047417B" w:rsidP="0047417B">
            <w:pPr>
              <w:numPr>
                <w:ilvl w:val="0"/>
                <w:numId w:val="25"/>
              </w:numPr>
            </w:pPr>
            <w:r w:rsidRPr="0047417B">
              <w:t>post-tax revenue model</w:t>
            </w:r>
          </w:p>
        </w:tc>
      </w:tr>
      <w:tr w:rsidR="0047417B" w:rsidTr="00031976">
        <w:tc>
          <w:tcPr>
            <w:tcW w:w="4342" w:type="dxa"/>
          </w:tcPr>
          <w:p w:rsidR="0047417B" w:rsidRPr="0047417B" w:rsidRDefault="0047417B" w:rsidP="0047417B">
            <w:pPr>
              <w:numPr>
                <w:ilvl w:val="0"/>
                <w:numId w:val="25"/>
              </w:numPr>
            </w:pPr>
            <w:r w:rsidRPr="0047417B">
              <w:t>RAB</w:t>
            </w:r>
          </w:p>
        </w:tc>
        <w:tc>
          <w:tcPr>
            <w:tcW w:w="4351" w:type="dxa"/>
          </w:tcPr>
          <w:p w:rsidR="0047417B" w:rsidRPr="0047417B" w:rsidRDefault="0047417B" w:rsidP="0047417B">
            <w:pPr>
              <w:numPr>
                <w:ilvl w:val="0"/>
                <w:numId w:val="25"/>
              </w:numPr>
            </w:pPr>
            <w:r w:rsidRPr="0047417B">
              <w:t>regulatory asset base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RBA</w:t>
            </w:r>
          </w:p>
        </w:tc>
        <w:tc>
          <w:tcPr>
            <w:tcW w:w="4351" w:type="dxa"/>
          </w:tcPr>
          <w:p w:rsidR="0047417B" w:rsidRPr="0047417B" w:rsidRDefault="0047417B" w:rsidP="0047417B">
            <w:pPr>
              <w:numPr>
                <w:ilvl w:val="0"/>
                <w:numId w:val="25"/>
              </w:numPr>
            </w:pPr>
            <w:r w:rsidRPr="0047417B">
              <w:t>Reserve Bank of Australia</w:t>
            </w:r>
          </w:p>
        </w:tc>
      </w:tr>
      <w:tr w:rsidR="0047417B" w:rsidTr="00031976">
        <w:tc>
          <w:tcPr>
            <w:tcW w:w="4342" w:type="dxa"/>
          </w:tcPr>
          <w:p w:rsidR="0047417B" w:rsidRPr="0047417B" w:rsidRDefault="0047417B" w:rsidP="0047417B">
            <w:pPr>
              <w:numPr>
                <w:ilvl w:val="0"/>
                <w:numId w:val="25"/>
              </w:numPr>
            </w:pPr>
            <w:proofErr w:type="spellStart"/>
            <w:r w:rsidRPr="0047417B">
              <w:t>repex</w:t>
            </w:r>
            <w:proofErr w:type="spellEnd"/>
          </w:p>
        </w:tc>
        <w:tc>
          <w:tcPr>
            <w:tcW w:w="4351" w:type="dxa"/>
          </w:tcPr>
          <w:p w:rsidR="0047417B" w:rsidRPr="0047417B" w:rsidRDefault="0047417B" w:rsidP="0047417B">
            <w:pPr>
              <w:numPr>
                <w:ilvl w:val="0"/>
                <w:numId w:val="25"/>
              </w:numPr>
            </w:pPr>
            <w:r w:rsidRPr="0047417B">
              <w:t>replacement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RFM</w:t>
            </w:r>
          </w:p>
        </w:tc>
        <w:tc>
          <w:tcPr>
            <w:tcW w:w="4351" w:type="dxa"/>
          </w:tcPr>
          <w:p w:rsidR="0047417B" w:rsidRPr="0047417B" w:rsidRDefault="0047417B" w:rsidP="0047417B">
            <w:pPr>
              <w:numPr>
                <w:ilvl w:val="0"/>
                <w:numId w:val="25"/>
              </w:numPr>
            </w:pPr>
            <w:r w:rsidRPr="0047417B">
              <w:t>roll forward model</w:t>
            </w:r>
          </w:p>
        </w:tc>
      </w:tr>
      <w:tr w:rsidR="0047417B" w:rsidTr="00031976">
        <w:tc>
          <w:tcPr>
            <w:tcW w:w="4342" w:type="dxa"/>
          </w:tcPr>
          <w:p w:rsidR="0047417B" w:rsidRPr="0047417B" w:rsidRDefault="0047417B" w:rsidP="0047417B">
            <w:pPr>
              <w:numPr>
                <w:ilvl w:val="0"/>
                <w:numId w:val="25"/>
              </w:numPr>
            </w:pPr>
            <w:r w:rsidRPr="0047417B">
              <w:lastRenderedPageBreak/>
              <w:t>RIN</w:t>
            </w:r>
          </w:p>
        </w:tc>
        <w:tc>
          <w:tcPr>
            <w:tcW w:w="4351" w:type="dxa"/>
          </w:tcPr>
          <w:p w:rsidR="0047417B" w:rsidRPr="0047417B" w:rsidRDefault="0047417B" w:rsidP="0047417B">
            <w:pPr>
              <w:numPr>
                <w:ilvl w:val="0"/>
                <w:numId w:val="25"/>
              </w:numPr>
            </w:pPr>
            <w:r w:rsidRPr="0047417B">
              <w:t>regulatory information notice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RPP</w:t>
            </w:r>
          </w:p>
        </w:tc>
        <w:tc>
          <w:tcPr>
            <w:tcW w:w="4351" w:type="dxa"/>
          </w:tcPr>
          <w:p w:rsidR="0047417B" w:rsidRPr="0047417B" w:rsidRDefault="0047417B" w:rsidP="0047417B">
            <w:pPr>
              <w:numPr>
                <w:ilvl w:val="0"/>
                <w:numId w:val="25"/>
              </w:numPr>
            </w:pPr>
            <w:r w:rsidRPr="0047417B">
              <w:t>revenue and pricing principles</w:t>
            </w:r>
          </w:p>
        </w:tc>
      </w:tr>
      <w:tr w:rsidR="0047417B" w:rsidTr="00031976">
        <w:tc>
          <w:tcPr>
            <w:tcW w:w="4342" w:type="dxa"/>
          </w:tcPr>
          <w:p w:rsidR="0047417B" w:rsidRPr="0047417B" w:rsidRDefault="0047417B" w:rsidP="0047417B">
            <w:pPr>
              <w:numPr>
                <w:ilvl w:val="0"/>
                <w:numId w:val="25"/>
              </w:numPr>
            </w:pPr>
            <w:r w:rsidRPr="0047417B">
              <w:t>SAIDI</w:t>
            </w:r>
          </w:p>
        </w:tc>
        <w:tc>
          <w:tcPr>
            <w:tcW w:w="4351" w:type="dxa"/>
          </w:tcPr>
          <w:p w:rsidR="0047417B" w:rsidRPr="0047417B" w:rsidRDefault="0047417B" w:rsidP="0047417B">
            <w:pPr>
              <w:numPr>
                <w:ilvl w:val="0"/>
                <w:numId w:val="25"/>
              </w:numPr>
            </w:pPr>
            <w:r w:rsidRPr="0047417B">
              <w:t>system average interruption duration index</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SAIFI</w:t>
            </w:r>
          </w:p>
        </w:tc>
        <w:tc>
          <w:tcPr>
            <w:tcW w:w="4351" w:type="dxa"/>
          </w:tcPr>
          <w:p w:rsidR="0047417B" w:rsidRPr="0047417B" w:rsidRDefault="0047417B" w:rsidP="0047417B">
            <w:pPr>
              <w:numPr>
                <w:ilvl w:val="0"/>
                <w:numId w:val="25"/>
              </w:numPr>
            </w:pPr>
            <w:r w:rsidRPr="0047417B">
              <w:t>system average interruption frequency index</w:t>
            </w:r>
          </w:p>
        </w:tc>
      </w:tr>
      <w:tr w:rsidR="0047417B" w:rsidTr="00031976">
        <w:tc>
          <w:tcPr>
            <w:tcW w:w="4342" w:type="dxa"/>
          </w:tcPr>
          <w:p w:rsidR="0047417B" w:rsidRPr="0047417B" w:rsidRDefault="0047417B" w:rsidP="0047417B">
            <w:pPr>
              <w:numPr>
                <w:ilvl w:val="0"/>
                <w:numId w:val="25"/>
              </w:numPr>
            </w:pPr>
            <w:r w:rsidRPr="0047417B">
              <w:t>SLCAPM</w:t>
            </w:r>
          </w:p>
        </w:tc>
        <w:tc>
          <w:tcPr>
            <w:tcW w:w="4351" w:type="dxa"/>
          </w:tcPr>
          <w:p w:rsidR="0047417B" w:rsidRPr="0047417B" w:rsidRDefault="0047417B" w:rsidP="0047417B">
            <w:pPr>
              <w:numPr>
                <w:ilvl w:val="0"/>
                <w:numId w:val="25"/>
              </w:numPr>
            </w:pPr>
            <w:r w:rsidRPr="0047417B">
              <w:t>Sharpe-</w:t>
            </w:r>
            <w:proofErr w:type="spellStart"/>
            <w:r w:rsidRPr="0047417B">
              <w:t>Lintner</w:t>
            </w:r>
            <w:proofErr w:type="spellEnd"/>
            <w:r w:rsidRPr="0047417B">
              <w:t xml:space="preserve"> capital asset pricing model</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STPIS</w:t>
            </w:r>
          </w:p>
        </w:tc>
        <w:tc>
          <w:tcPr>
            <w:tcW w:w="4351" w:type="dxa"/>
          </w:tcPr>
          <w:p w:rsidR="0047417B" w:rsidRPr="0047417B" w:rsidRDefault="0047417B" w:rsidP="0047417B">
            <w:pPr>
              <w:numPr>
                <w:ilvl w:val="0"/>
                <w:numId w:val="25"/>
              </w:numPr>
            </w:pPr>
            <w:r w:rsidRPr="0047417B">
              <w:t>service target performance incentive scheme</w:t>
            </w:r>
          </w:p>
        </w:tc>
      </w:tr>
      <w:tr w:rsidR="0047417B" w:rsidTr="00031976">
        <w:tc>
          <w:tcPr>
            <w:tcW w:w="4342" w:type="dxa"/>
          </w:tcPr>
          <w:p w:rsidR="0047417B" w:rsidRPr="0047417B" w:rsidRDefault="0047417B" w:rsidP="0047417B">
            <w:pPr>
              <w:numPr>
                <w:ilvl w:val="0"/>
                <w:numId w:val="25"/>
              </w:numPr>
            </w:pPr>
            <w:r w:rsidRPr="0047417B">
              <w:t>WACC</w:t>
            </w:r>
          </w:p>
        </w:tc>
        <w:tc>
          <w:tcPr>
            <w:tcW w:w="4351" w:type="dxa"/>
          </w:tcPr>
          <w:p w:rsidR="0047417B" w:rsidRPr="0047417B" w:rsidRDefault="0047417B" w:rsidP="0047417B">
            <w:pPr>
              <w:numPr>
                <w:ilvl w:val="0"/>
                <w:numId w:val="25"/>
              </w:numPr>
            </w:pPr>
            <w:r w:rsidRPr="0047417B">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F63D58">
      <w:pPr>
        <w:pStyle w:val="Heading1"/>
      </w:pPr>
      <w:r>
        <w:lastRenderedPageBreak/>
        <w:t xml:space="preserve"> </w:t>
      </w:r>
      <w:bookmarkStart w:id="10" w:name="_Toc417808615"/>
      <w:r w:rsidR="006C4042">
        <w:t>Analysis of financial viability</w:t>
      </w:r>
      <w:bookmarkEnd w:id="10"/>
    </w:p>
    <w:p w:rsidR="003E20B0" w:rsidRDefault="003E20B0" w:rsidP="006C4042">
      <w:r>
        <w:t xml:space="preserve">This attachment sets out further detail of our analysis of financial viability. In particular, it details the </w:t>
      </w:r>
      <w:r w:rsidR="00B83141">
        <w:t xml:space="preserve">cash flow </w:t>
      </w:r>
      <w:r>
        <w:t xml:space="preserve">analysis we undertook </w:t>
      </w:r>
      <w:r w:rsidR="00227D05">
        <w:t>to assess the</w:t>
      </w:r>
      <w:r w:rsidR="00526D1F">
        <w:t xml:space="preserve"> impact of our decisions on </w:t>
      </w:r>
      <w:proofErr w:type="spellStart"/>
      <w:r w:rsidR="00526D1F">
        <w:t>ActewAGL's</w:t>
      </w:r>
      <w:proofErr w:type="spellEnd"/>
      <w:r w:rsidR="00526D1F">
        <w:t xml:space="preserve"> financial viability</w:t>
      </w:r>
      <w:r>
        <w:t>.</w:t>
      </w:r>
      <w:r w:rsidR="00526D1F">
        <w:t xml:space="preserve"> </w:t>
      </w:r>
      <w:r w:rsidR="00E733CA">
        <w:t xml:space="preserve">This </w:t>
      </w:r>
      <w:r>
        <w:t>attachment details our analysis and conclusions, including discussion of the key assumptions.</w:t>
      </w:r>
    </w:p>
    <w:p w:rsidR="00F04534" w:rsidRDefault="00F04534" w:rsidP="006C4042">
      <w:r>
        <w:t>Based on our analysis</w:t>
      </w:r>
      <w:r w:rsidR="0043290C">
        <w:t xml:space="preserve">, </w:t>
      </w:r>
      <w:r>
        <w:t xml:space="preserve">we are </w:t>
      </w:r>
      <w:r w:rsidRPr="00F76167">
        <w:t xml:space="preserve">not persuaded that </w:t>
      </w:r>
      <w:r w:rsidR="00C470CB">
        <w:t xml:space="preserve">a service provider with benchmark gearing in </w:t>
      </w:r>
      <w:proofErr w:type="spellStart"/>
      <w:r w:rsidR="00526D1F">
        <w:t>ActewAGL</w:t>
      </w:r>
      <w:r w:rsidR="00C470CB">
        <w:t>'s</w:t>
      </w:r>
      <w:proofErr w:type="spellEnd"/>
      <w:r w:rsidR="008319C1">
        <w:t xml:space="preserve"> proposed</w:t>
      </w:r>
      <w:r w:rsidR="00C470CB">
        <w:t xml:space="preserve"> circumstances</w:t>
      </w:r>
      <w:r w:rsidRPr="00F76167">
        <w:t xml:space="preserve"> </w:t>
      </w:r>
      <w:r w:rsidR="00C470CB">
        <w:t xml:space="preserve"> would </w:t>
      </w:r>
      <w:r w:rsidRPr="00F76167">
        <w:t xml:space="preserve">face financial risks that </w:t>
      </w:r>
      <w:r w:rsidR="00C470CB">
        <w:t>would be</w:t>
      </w:r>
      <w:r w:rsidR="00C470CB" w:rsidRPr="00F76167">
        <w:t xml:space="preserve"> </w:t>
      </w:r>
      <w:r w:rsidRPr="00F76167">
        <w:t>likely to threaten its ongoing financial viability.</w:t>
      </w:r>
    </w:p>
    <w:p w:rsidR="003E20B0" w:rsidRDefault="003E20B0" w:rsidP="003E20B0">
      <w:pPr>
        <w:pStyle w:val="Heading2"/>
      </w:pPr>
      <w:r>
        <w:t xml:space="preserve"> </w:t>
      </w:r>
      <w:bookmarkStart w:id="11" w:name="_Toc417808616"/>
      <w:r>
        <w:t>Background</w:t>
      </w:r>
      <w:bookmarkEnd w:id="11"/>
    </w:p>
    <w:p w:rsidR="0043290C" w:rsidRPr="00510B01" w:rsidRDefault="00510B01" w:rsidP="00526D1F">
      <w:r w:rsidRPr="00510B01">
        <w:t xml:space="preserve">In its revised proposal, </w:t>
      </w:r>
      <w:r w:rsidR="00526D1F">
        <w:t>ActewAGL</w:t>
      </w:r>
      <w:r w:rsidR="00526D1F" w:rsidRPr="00510B01">
        <w:t xml:space="preserve"> </w:t>
      </w:r>
      <w:r w:rsidR="00C470CB">
        <w:t>raised issues that related to financial viability</w:t>
      </w:r>
      <w:r w:rsidR="00F70C39">
        <w:t xml:space="preserve">. It has raised this material separately in the context of submissions on </w:t>
      </w:r>
      <w:proofErr w:type="spellStart"/>
      <w:r w:rsidR="00F70C39">
        <w:t>opex</w:t>
      </w:r>
      <w:proofErr w:type="spellEnd"/>
      <w:r w:rsidR="00F70C39">
        <w:t xml:space="preserve"> and the return on debt. </w:t>
      </w:r>
      <w:r w:rsidR="00C470CB">
        <w:t xml:space="preserve">Specifically, ActewAGL submits that the effect of the </w:t>
      </w:r>
      <w:r w:rsidR="008319C1">
        <w:t xml:space="preserve">base year </w:t>
      </w:r>
      <w:proofErr w:type="spellStart"/>
      <w:r w:rsidR="008319C1">
        <w:t>opex</w:t>
      </w:r>
      <w:proofErr w:type="spellEnd"/>
      <w:r w:rsidR="008319C1">
        <w:t xml:space="preserve"> reduction</w:t>
      </w:r>
      <w:r w:rsidR="00C470CB">
        <w:t xml:space="preserve"> will </w:t>
      </w:r>
      <w:r w:rsidR="008319C1">
        <w:t xml:space="preserve">not achieve the NEO, on the basis that they </w:t>
      </w:r>
      <w:r w:rsidR="00C470CB">
        <w:t>have "a deleterious impact on quality, reliability, safety and security"</w:t>
      </w:r>
      <w:r w:rsidR="00B019FB">
        <w:t>.</w:t>
      </w:r>
      <w:r w:rsidR="00C470CB">
        <w:rPr>
          <w:rStyle w:val="FootnoteReference"/>
        </w:rPr>
        <w:footnoteReference w:id="1"/>
      </w:r>
      <w:r w:rsidR="00902965">
        <w:t xml:space="preserve"> </w:t>
      </w:r>
      <w:r w:rsidR="00157EBB">
        <w:t>It further submits that</w:t>
      </w:r>
      <w:r w:rsidR="00157EBB" w:rsidRPr="00157EBB">
        <w:t xml:space="preserve"> </w:t>
      </w:r>
      <w:r w:rsidR="00157EBB">
        <w:t>"</w:t>
      </w:r>
      <w:r w:rsidR="00157EBB" w:rsidRPr="00157EBB">
        <w:t xml:space="preserve">the AER’s focus on short term productive and allocative efficiency results in an unsustainably low </w:t>
      </w:r>
      <w:proofErr w:type="spellStart"/>
      <w:r w:rsidR="00157EBB" w:rsidRPr="00157EBB">
        <w:t>opex</w:t>
      </w:r>
      <w:proofErr w:type="spellEnd"/>
      <w:r w:rsidR="00157EBB" w:rsidRPr="00157EBB">
        <w:t xml:space="preserve"> allowance which is contrary to the NEO and long term interests of consumers</w:t>
      </w:r>
      <w:r w:rsidR="00157EBB">
        <w:t xml:space="preserve">".  </w:t>
      </w:r>
      <w:r w:rsidR="00902965">
        <w:t xml:space="preserve">Its report by CEPA submits that </w:t>
      </w:r>
      <w:r w:rsidR="00B0536B">
        <w:t xml:space="preserve">it is implicit in the NEO that </w:t>
      </w:r>
      <w:r w:rsidR="00902965">
        <w:t>the AER should have regard to the impact of its decisions on the service provider's financial viability.</w:t>
      </w:r>
      <w:r w:rsidR="00902965">
        <w:rPr>
          <w:rStyle w:val="FootnoteReference"/>
        </w:rPr>
        <w:footnoteReference w:id="2"/>
      </w:r>
      <w:r w:rsidR="00B019FB">
        <w:t xml:space="preserve"> </w:t>
      </w:r>
      <w:r w:rsidR="00F70C39">
        <w:t>Specifically, the material included</w:t>
      </w:r>
      <w:r w:rsidRPr="00510B01">
        <w:t>:</w:t>
      </w:r>
    </w:p>
    <w:p w:rsidR="00510B01" w:rsidRPr="00510B01" w:rsidRDefault="00510B01" w:rsidP="0009758C">
      <w:pPr>
        <w:pStyle w:val="AERbulletlistfirststyle"/>
      </w:pPr>
      <w:r w:rsidRPr="00510B01">
        <w:t xml:space="preserve">a report from David Newbury arguing that sizeable </w:t>
      </w:r>
      <w:proofErr w:type="spellStart"/>
      <w:r w:rsidRPr="00510B01">
        <w:t>opex</w:t>
      </w:r>
      <w:proofErr w:type="spellEnd"/>
      <w:r w:rsidRPr="00510B01">
        <w:t xml:space="preserve"> reductions in a short period of time would negatively impact the ongoing financeability of  </w:t>
      </w:r>
      <w:r w:rsidR="00C470CB">
        <w:t xml:space="preserve">a service provider in </w:t>
      </w:r>
      <w:proofErr w:type="spellStart"/>
      <w:r w:rsidR="0043290C">
        <w:t>ActewAGL</w:t>
      </w:r>
      <w:r w:rsidR="00C470CB">
        <w:t>'s</w:t>
      </w:r>
      <w:proofErr w:type="spellEnd"/>
      <w:r w:rsidR="00C470CB">
        <w:t xml:space="preserve"> position</w:t>
      </w:r>
      <w:r w:rsidR="0043290C" w:rsidRPr="00510B01">
        <w:t xml:space="preserve"> </w:t>
      </w:r>
      <w:r w:rsidRPr="00510B01">
        <w:t xml:space="preserve">and its viability </w:t>
      </w:r>
    </w:p>
    <w:p w:rsidR="00510B01" w:rsidRPr="00510B01" w:rsidRDefault="00510B01">
      <w:pPr>
        <w:pStyle w:val="AERbulletlistfirststyle"/>
      </w:pPr>
      <w:r w:rsidRPr="00510B01">
        <w:t>a</w:t>
      </w:r>
      <w:r w:rsidR="006E4240">
        <w:t xml:space="preserve">nalysis by CEG suggesting that our draft decision would result in ActewAGL having its </w:t>
      </w:r>
      <w:r w:rsidR="007A1D0E">
        <w:t xml:space="preserve">implied </w:t>
      </w:r>
      <w:r w:rsidR="006E4240">
        <w:t>credit rating downgraded</w:t>
      </w:r>
      <w:r w:rsidR="00F63D58">
        <w:t>.</w:t>
      </w:r>
    </w:p>
    <w:p w:rsidR="00B0536B" w:rsidRPr="00B0536B" w:rsidRDefault="00510B01" w:rsidP="00B0536B">
      <w:r w:rsidRPr="00510B01">
        <w:t xml:space="preserve">Neither the NEL nor the </w:t>
      </w:r>
      <w:r w:rsidR="00227D05">
        <w:t>NER</w:t>
      </w:r>
      <w:r w:rsidR="00227D05" w:rsidRPr="00510B01">
        <w:t xml:space="preserve"> </w:t>
      </w:r>
      <w:r w:rsidRPr="00510B01">
        <w:t xml:space="preserve">include an explicit obligation requiring us to consider the impact of our determination on the viability of the service provider in its actual circumstances.  </w:t>
      </w:r>
      <w:r w:rsidR="003B54A4" w:rsidRPr="00584414">
        <w:t xml:space="preserve">Our task is to determine the revenue that </w:t>
      </w:r>
      <w:r w:rsidR="00521879">
        <w:t>a service provider</w:t>
      </w:r>
      <w:r w:rsidR="003B54A4">
        <w:t xml:space="preserve"> can recover from its customers with reference to what is the efficient </w:t>
      </w:r>
      <w:r w:rsidR="00227D05">
        <w:t xml:space="preserve">and </w:t>
      </w:r>
      <w:r w:rsidR="003B54A4">
        <w:t>prudent level of expenditure</w:t>
      </w:r>
      <w:r w:rsidRPr="00510B01">
        <w:t xml:space="preserve">. The service provider’s actual ownership circumstances and the financial structure of its </w:t>
      </w:r>
      <w:r>
        <w:t xml:space="preserve">shareholders are not </w:t>
      </w:r>
      <w:r w:rsidR="00227D05">
        <w:t xml:space="preserve">factors that we are required to consider in fulfilling </w:t>
      </w:r>
      <w:r w:rsidR="00227D05" w:rsidRPr="00A2207D">
        <w:t xml:space="preserve">our task under the NEL or the </w:t>
      </w:r>
      <w:r w:rsidR="00227D05">
        <w:t>NER</w:t>
      </w:r>
      <w:r w:rsidR="00B0536B">
        <w:t xml:space="preserve">. </w:t>
      </w:r>
      <w:r w:rsidR="00B0536B" w:rsidRPr="00B0536B">
        <w:t xml:space="preserve">To the extent that </w:t>
      </w:r>
      <w:proofErr w:type="spellStart"/>
      <w:r w:rsidR="00B0536B" w:rsidRPr="00B0536B">
        <w:t>ActewAGL's</w:t>
      </w:r>
      <w:proofErr w:type="spellEnd"/>
      <w:r w:rsidR="00B0536B" w:rsidRPr="00B0536B">
        <w:t xml:space="preserve"> practices result in costs that are above efficient levels, we consider that it would not be in the long term interests of consumers for </w:t>
      </w:r>
      <w:r w:rsidR="007C4404">
        <w:t>ActewAGL</w:t>
      </w:r>
      <w:r w:rsidR="00B0536B" w:rsidRPr="00B0536B">
        <w:t xml:space="preserve"> to recover these costs from its customers.  </w:t>
      </w:r>
      <w:proofErr w:type="spellStart"/>
      <w:r w:rsidR="00B0536B" w:rsidRPr="00B0536B">
        <w:lastRenderedPageBreak/>
        <w:t>Ofgem</w:t>
      </w:r>
      <w:proofErr w:type="spellEnd"/>
      <w:r w:rsidR="00B0536B" w:rsidRPr="00B0536B">
        <w:t xml:space="preserve"> has previously considered this issue when it developed its financeability policy. </w:t>
      </w:r>
      <w:proofErr w:type="spellStart"/>
      <w:r w:rsidR="00B0536B" w:rsidRPr="00B0536B">
        <w:t>Ofgem</w:t>
      </w:r>
      <w:proofErr w:type="spellEnd"/>
      <w:r w:rsidR="00B0536B" w:rsidRPr="00B0536B">
        <w:t>, observed that:</w:t>
      </w:r>
      <w:r w:rsidR="00B0536B" w:rsidRPr="00E935ED">
        <w:rPr>
          <w:rStyle w:val="AERsuperscript"/>
        </w:rPr>
        <w:footnoteReference w:id="3"/>
      </w:r>
    </w:p>
    <w:p w:rsidR="00DA103E" w:rsidRPr="00B0536B" w:rsidRDefault="00804E90" w:rsidP="00E935ED">
      <w:pPr>
        <w:pStyle w:val="AERquote"/>
      </w:pPr>
      <w:r w:rsidRPr="00B0536B">
        <w:rPr>
          <w:rFonts w:eastAsiaTheme="minorEastAsia"/>
        </w:rPr>
        <w:t xml:space="preserve">"It is also in present and future consumers’ interests that the regulatory framework does not provide excess returns, reward inefficiency or effectively “bail out‟ a network company that has encountered financial difficulty as a result of its own actions (or inaction); for example because of an inappropriate financial structure or poor management. To do so would weaken or even remove the disciplines that capital markets place on all companies, reducing or removing the effectiveness of the incentives we place on network companies under the regulatory regime to the detriment of consumers. The primary responsibility for the financial integrity of a network company lies firmly with that company’s management and owners." </w:t>
      </w:r>
    </w:p>
    <w:p w:rsidR="00510B01" w:rsidRPr="00510B01" w:rsidRDefault="00510B01" w:rsidP="00510B01"/>
    <w:p w:rsidR="00510B01" w:rsidRPr="00510B01" w:rsidRDefault="00510B01" w:rsidP="00510B01">
      <w:r w:rsidRPr="00510B01">
        <w:t xml:space="preserve">We are satisfied that a </w:t>
      </w:r>
      <w:r w:rsidR="00227D05">
        <w:t>revenue</w:t>
      </w:r>
      <w:r w:rsidRPr="00510B01">
        <w:t xml:space="preserve"> allowance that meets the requirements of the rules will provide for the service provider, acting as a prudent operator with efficient costs, using a realistic expectation of demand and cost inputs, with the revenue it would require to operate viably. </w:t>
      </w:r>
      <w:r w:rsidR="008319C1">
        <w:t>In doing so, we are satisfied that it would not have "a deleterious impact on quality, reliability, safety and security"</w:t>
      </w:r>
      <w:r w:rsidR="00157EBB">
        <w:t xml:space="preserve"> for the reasons set out in the </w:t>
      </w:r>
      <w:proofErr w:type="spellStart"/>
      <w:r w:rsidR="00157EBB">
        <w:t>opex</w:t>
      </w:r>
      <w:proofErr w:type="spellEnd"/>
      <w:r w:rsidR="00157EBB">
        <w:t xml:space="preserve"> attachment</w:t>
      </w:r>
      <w:r w:rsidR="008319C1">
        <w:t xml:space="preserve">. </w:t>
      </w:r>
      <w:r w:rsidRPr="00510B01">
        <w:t xml:space="preserve">However, to the extent that a service provider departs from such expenditure levels, it may be at greater financial risk. Since </w:t>
      </w:r>
      <w:r w:rsidR="00526D1F">
        <w:t>ActewAGL</w:t>
      </w:r>
      <w:r w:rsidR="00157EBB">
        <w:t xml:space="preserve"> submitted material from consultants </w:t>
      </w:r>
      <w:r w:rsidR="008319C1">
        <w:t>relating to financial viability</w:t>
      </w:r>
      <w:r w:rsidRPr="00510B01">
        <w:t xml:space="preserve">, we have considered it and the material put forward in support of its concerns. </w:t>
      </w:r>
      <w:proofErr w:type="spellStart"/>
      <w:r w:rsidR="00227D05">
        <w:t>ActewAGL</w:t>
      </w:r>
      <w:r w:rsidR="00157EBB">
        <w:t>'s</w:t>
      </w:r>
      <w:proofErr w:type="spellEnd"/>
      <w:r w:rsidR="00157EBB">
        <w:t xml:space="preserve"> consultants</w:t>
      </w:r>
      <w:r w:rsidR="00227D05">
        <w:t xml:space="preserve"> ha</w:t>
      </w:r>
      <w:r w:rsidR="00157EBB">
        <w:t>ve</w:t>
      </w:r>
      <w:r w:rsidR="00227D05">
        <w:t xml:space="preserve"> not been </w:t>
      </w:r>
      <w:r w:rsidR="00157EBB">
        <w:t xml:space="preserve">specific </w:t>
      </w:r>
      <w:r w:rsidR="00227D05">
        <w:t xml:space="preserve">about what </w:t>
      </w:r>
      <w:r w:rsidR="00267CA9">
        <w:t xml:space="preserve">they </w:t>
      </w:r>
      <w:r w:rsidR="00227D05">
        <w:t>mean by the term</w:t>
      </w:r>
      <w:r w:rsidR="00267CA9">
        <w:t>s financeability or</w:t>
      </w:r>
      <w:r w:rsidR="00227D05">
        <w:t xml:space="preserve"> financial viability. In our analysis</w:t>
      </w:r>
      <w:r w:rsidRPr="00510B01">
        <w:t>, we have considered whether</w:t>
      </w:r>
      <w:r w:rsidR="008319C1">
        <w:t xml:space="preserve"> a service provider with the benchmark level of gearing in</w:t>
      </w:r>
      <w:r w:rsidRPr="00510B01">
        <w:t xml:space="preserve"> </w:t>
      </w:r>
      <w:proofErr w:type="spellStart"/>
      <w:r w:rsidR="00526D1F">
        <w:t>ActewAGL</w:t>
      </w:r>
      <w:r w:rsidR="008319C1">
        <w:t>'s</w:t>
      </w:r>
      <w:proofErr w:type="spellEnd"/>
      <w:r w:rsidR="008319C1">
        <w:t xml:space="preserve"> proposed circumstances</w:t>
      </w:r>
      <w:r w:rsidRPr="00510B01">
        <w:t xml:space="preserve"> would be at material risk of insolvency. </w:t>
      </w:r>
      <w:r w:rsidR="00227D05">
        <w:t xml:space="preserve">We </w:t>
      </w:r>
      <w:r w:rsidR="00157EBB">
        <w:t xml:space="preserve">consider </w:t>
      </w:r>
      <w:r w:rsidR="00227D05">
        <w:t xml:space="preserve">this to be </w:t>
      </w:r>
      <w:r w:rsidR="008319C1">
        <w:t>a reasonable standard to test financial viability</w:t>
      </w:r>
      <w:r w:rsidR="00227D05">
        <w:t xml:space="preserve">. </w:t>
      </w:r>
      <w:r w:rsidRPr="00510B01">
        <w:t xml:space="preserve">We undertook this analysis using our PTRM to model </w:t>
      </w:r>
      <w:proofErr w:type="spellStart"/>
      <w:r w:rsidR="00526D1F">
        <w:t>ActewAGL's</w:t>
      </w:r>
      <w:proofErr w:type="spellEnd"/>
      <w:r w:rsidR="00526D1F" w:rsidRPr="00510B01">
        <w:t xml:space="preserve"> </w:t>
      </w:r>
      <w:r w:rsidRPr="00510B01">
        <w:t xml:space="preserve">cash flows under a number of different scenarios. We chose and generated these scenarios for the reasons set out in </w:t>
      </w:r>
      <w:r w:rsidRPr="00510B01">
        <w:fldChar w:fldCharType="begin"/>
      </w:r>
      <w:r w:rsidRPr="00510B01">
        <w:instrText xml:space="preserve"> REF _Ref416943088 \h </w:instrText>
      </w:r>
      <w:r w:rsidRPr="00510B01">
        <w:fldChar w:fldCharType="separate"/>
      </w:r>
      <w:r w:rsidR="00F63D58">
        <w:t xml:space="preserve">Table </w:t>
      </w:r>
      <w:r w:rsidR="00F63D58">
        <w:rPr>
          <w:noProof/>
        </w:rPr>
        <w:t>20</w:t>
      </w:r>
      <w:r w:rsidR="00F63D58">
        <w:noBreakHyphen/>
      </w:r>
      <w:r w:rsidR="00F63D58">
        <w:rPr>
          <w:noProof/>
        </w:rPr>
        <w:t>1</w:t>
      </w:r>
      <w:r w:rsidRPr="00510B01">
        <w:fldChar w:fldCharType="end"/>
      </w:r>
      <w:r w:rsidRPr="00510B01">
        <w:t xml:space="preserve">. We are satisfied that </w:t>
      </w:r>
      <w:r w:rsidR="008319C1">
        <w:t xml:space="preserve">a service provider with the benchmark level of gearing in </w:t>
      </w:r>
      <w:proofErr w:type="spellStart"/>
      <w:r w:rsidR="00526D1F">
        <w:t>ActewAGL</w:t>
      </w:r>
      <w:r w:rsidR="008319C1">
        <w:t>'s</w:t>
      </w:r>
      <w:proofErr w:type="spellEnd"/>
      <w:r w:rsidR="008319C1">
        <w:t xml:space="preserve"> proposed circumstances</w:t>
      </w:r>
      <w:r w:rsidRPr="00510B01">
        <w:t xml:space="preserve"> would not be at material risk of insolvency because:</w:t>
      </w:r>
    </w:p>
    <w:p w:rsidR="00510B01" w:rsidRPr="00510B01" w:rsidRDefault="00526D1F" w:rsidP="00510B01">
      <w:pPr>
        <w:pStyle w:val="AERbulletlistfirststyle"/>
      </w:pPr>
      <w:r>
        <w:t>ActewAGL</w:t>
      </w:r>
      <w:r w:rsidR="00227D05">
        <w:t xml:space="preserve"> is subject to a</w:t>
      </w:r>
      <w:r w:rsidR="00510B01" w:rsidRPr="00510B01">
        <w:t xml:space="preserve"> stable regulatory environment </w:t>
      </w:r>
      <w:r w:rsidR="00227D05">
        <w:t xml:space="preserve">that is </w:t>
      </w:r>
      <w:r w:rsidR="00510B01" w:rsidRPr="00510B01">
        <w:t>favourable for capital raising.</w:t>
      </w:r>
      <w:r w:rsidR="006E4240" w:rsidRPr="00E07B77">
        <w:rPr>
          <w:rStyle w:val="AERsuperscript"/>
        </w:rPr>
        <w:footnoteReference w:id="4"/>
      </w:r>
      <w:r w:rsidR="00510B01" w:rsidRPr="00510B01">
        <w:t xml:space="preserve"> </w:t>
      </w:r>
    </w:p>
    <w:p w:rsidR="00510B01" w:rsidRPr="00510B01" w:rsidRDefault="00510B01" w:rsidP="00510B01">
      <w:pPr>
        <w:pStyle w:val="AERbulletlistfirststyle"/>
      </w:pPr>
      <w:r w:rsidRPr="00510B01">
        <w:t xml:space="preserve">we are not persuaded </w:t>
      </w:r>
      <w:r w:rsidR="006E4240">
        <w:t xml:space="preserve">by CEG's analysis of the likely impact of our decision on </w:t>
      </w:r>
      <w:proofErr w:type="spellStart"/>
      <w:r w:rsidR="006E4240">
        <w:t>ActewAGL's</w:t>
      </w:r>
      <w:proofErr w:type="spellEnd"/>
      <w:r w:rsidR="006E4240">
        <w:t xml:space="preserve"> credit rating. We discuss this analysis in </w:t>
      </w:r>
      <w:r w:rsidR="00F63D58">
        <w:t>A</w:t>
      </w:r>
      <w:r w:rsidR="006E4240">
        <w:t>ttachment 3.</w:t>
      </w:r>
    </w:p>
    <w:p w:rsidR="00510B01" w:rsidRPr="00510B01" w:rsidRDefault="00510B01" w:rsidP="00510B01">
      <w:pPr>
        <w:pStyle w:val="AERbulletlistfirststyle"/>
      </w:pPr>
      <w:r w:rsidRPr="00510B01">
        <w:t>we are satisfied that our PTRM cash flow analysis supports this conclusion.</w:t>
      </w:r>
    </w:p>
    <w:p w:rsidR="009277D6" w:rsidRDefault="00526D1F" w:rsidP="006C4042">
      <w:r>
        <w:lastRenderedPageBreak/>
        <w:t>Further</w:t>
      </w:r>
      <w:r w:rsidR="00325326">
        <w:t xml:space="preserve">, the scope and assumptions </w:t>
      </w:r>
      <w:r>
        <w:t>of our analysis exclude</w:t>
      </w:r>
      <w:r w:rsidR="00325326">
        <w:t xml:space="preserve"> consideration of the favourable characteristics and protections inherent in the regulatory r</w:t>
      </w:r>
      <w:r w:rsidR="009277D6">
        <w:t xml:space="preserve">egime, or of </w:t>
      </w:r>
      <w:proofErr w:type="spellStart"/>
      <w:r>
        <w:t>ActewAGL</w:t>
      </w:r>
      <w:r w:rsidR="009277D6">
        <w:t>'s</w:t>
      </w:r>
      <w:proofErr w:type="spellEnd"/>
      <w:r w:rsidR="009277D6">
        <w:t xml:space="preserve"> actual circumstances. We discuss these factors in section </w:t>
      </w:r>
      <w:r w:rsidR="00F63D58">
        <w:fldChar w:fldCharType="begin"/>
      </w:r>
      <w:r w:rsidR="00F63D58">
        <w:instrText xml:space="preserve"> REF _Ref417808070 \r \h </w:instrText>
      </w:r>
      <w:r w:rsidR="00F63D58">
        <w:fldChar w:fldCharType="separate"/>
      </w:r>
      <w:r w:rsidR="00F63D58">
        <w:t>20.2</w:t>
      </w:r>
      <w:r w:rsidR="00F63D58">
        <w:fldChar w:fldCharType="end"/>
      </w:r>
      <w:r w:rsidR="009277D6">
        <w:t>.</w:t>
      </w:r>
    </w:p>
    <w:p w:rsidR="006C4042" w:rsidRDefault="00476BDF" w:rsidP="006C4042">
      <w:r>
        <w:t xml:space="preserve">We undertook a similar analysis for Ausgrid, Endeavour Energy and Essential Energy. For that analysis we engaged RSM Bird Cameron to review our approach. RSM Bird Cameron was not available to review our analysis for ActewAGL. However, the analysis we present in this attachment draws on RSM Bird Cameron's advice on our methodology. </w:t>
      </w:r>
      <w:r w:rsidR="006C4042">
        <w:t xml:space="preserve">RSM Bird Cameron’s report </w:t>
      </w:r>
      <w:r w:rsidR="00F63D58">
        <w:t>has been published with</w:t>
      </w:r>
      <w:r w:rsidR="006C4042">
        <w:t xml:space="preserve"> </w:t>
      </w:r>
      <w:r w:rsidR="00E30A75">
        <w:t xml:space="preserve">the </w:t>
      </w:r>
      <w:r w:rsidR="006C4042">
        <w:t>decision</w:t>
      </w:r>
      <w:r w:rsidR="00E30A75">
        <w:t xml:space="preserve"> for the NSW distribution network service providers (Ausgrid, Endeavour Energy, Essential Energy)</w:t>
      </w:r>
      <w:r w:rsidR="006C4042">
        <w:t>.</w:t>
      </w:r>
    </w:p>
    <w:p w:rsidR="003E20B0" w:rsidRDefault="003E20B0" w:rsidP="00B42DF6">
      <w:pPr>
        <w:pStyle w:val="Heading2"/>
      </w:pPr>
      <w:bookmarkStart w:id="12" w:name="_Ref417808070"/>
      <w:bookmarkStart w:id="13" w:name="_Toc417808617"/>
      <w:r>
        <w:t xml:space="preserve">The </w:t>
      </w:r>
      <w:r w:rsidR="00526D1F">
        <w:t xml:space="preserve">three </w:t>
      </w:r>
      <w:r>
        <w:t>scenarios</w:t>
      </w:r>
      <w:bookmarkEnd w:id="12"/>
      <w:bookmarkEnd w:id="13"/>
    </w:p>
    <w:p w:rsidR="003E20B0" w:rsidRDefault="00F43D7D" w:rsidP="003E20B0">
      <w:r>
        <w:t xml:space="preserve">We </w:t>
      </w:r>
      <w:r w:rsidR="00526D1F">
        <w:t>undertook analysis of</w:t>
      </w:r>
      <w:r>
        <w:t xml:space="preserve"> </w:t>
      </w:r>
      <w:r w:rsidR="00526D1F">
        <w:t xml:space="preserve">three </w:t>
      </w:r>
      <w:r>
        <w:t xml:space="preserve">scenarios. In all cases, these scenarios test the impact on financial viability if </w:t>
      </w:r>
      <w:r w:rsidR="00526D1F">
        <w:t>ActewAGL</w:t>
      </w:r>
      <w:r>
        <w:t xml:space="preserve"> were to:</w:t>
      </w:r>
      <w:r w:rsidR="0012490B">
        <w:rPr>
          <w:rStyle w:val="FootnoteReference"/>
        </w:rPr>
        <w:footnoteReference w:id="5"/>
      </w:r>
    </w:p>
    <w:p w:rsidR="00F43D7D" w:rsidRDefault="00B058C1" w:rsidP="00B058C1">
      <w:pPr>
        <w:pStyle w:val="AERbulletlistfirststyle"/>
      </w:pPr>
      <w:r>
        <w:t>r</w:t>
      </w:r>
      <w:r w:rsidR="00F43D7D">
        <w:t xml:space="preserve">eceive </w:t>
      </w:r>
      <w:r>
        <w:t>revenue in line with our determination</w:t>
      </w:r>
    </w:p>
    <w:p w:rsidR="00B058C1" w:rsidRDefault="00B058C1" w:rsidP="00B058C1">
      <w:pPr>
        <w:pStyle w:val="AERbulletlistfirststyle"/>
      </w:pPr>
      <w:r>
        <w:t>face costs in line with its revised proposal</w:t>
      </w:r>
      <w:r w:rsidR="004E3FDD">
        <w:t xml:space="preserve"> prior to the start of the 2014 to 2019 period</w:t>
      </w:r>
      <w:r>
        <w:t>.</w:t>
      </w:r>
    </w:p>
    <w:p w:rsidR="00B058C1" w:rsidRDefault="004E3FDD" w:rsidP="00B058C1">
      <w:pPr>
        <w:pStyle w:val="AERbulletlistfirststyle"/>
        <w:numPr>
          <w:ilvl w:val="0"/>
          <w:numId w:val="0"/>
        </w:numPr>
      </w:pPr>
      <w:r w:rsidRPr="004E3FDD">
        <w:t>The difference between the scenario</w:t>
      </w:r>
      <w:r w:rsidR="00E31E30">
        <w:t xml:space="preserve">s is the extent to which </w:t>
      </w:r>
      <w:proofErr w:type="spellStart"/>
      <w:r w:rsidR="00E31E30">
        <w:t>ActewAGL</w:t>
      </w:r>
      <w:r w:rsidRPr="004E3FDD">
        <w:t>'s</w:t>
      </w:r>
      <w:proofErr w:type="spellEnd"/>
      <w:r w:rsidRPr="004E3FDD">
        <w:t xml:space="preserve"> costs converge towards our determination revenue over the 2014 to 2019 period.</w:t>
      </w:r>
      <w:r w:rsidR="00C436C7">
        <w:t xml:space="preserve"> </w:t>
      </w:r>
      <w:r w:rsidR="00623065">
        <w:t xml:space="preserve">Specific details of the scenarios are set out in </w:t>
      </w:r>
      <w:r w:rsidR="005C1225">
        <w:fldChar w:fldCharType="begin"/>
      </w:r>
      <w:r w:rsidR="005C1225">
        <w:instrText xml:space="preserve"> REF _Ref416943088 \h </w:instrText>
      </w:r>
      <w:r w:rsidR="005C1225">
        <w:fldChar w:fldCharType="separate"/>
      </w:r>
      <w:r w:rsidR="00F63D58">
        <w:t xml:space="preserve">Table </w:t>
      </w:r>
      <w:r w:rsidR="00F63D58">
        <w:rPr>
          <w:noProof/>
        </w:rPr>
        <w:t>20</w:t>
      </w:r>
      <w:r w:rsidR="00F63D58">
        <w:noBreakHyphen/>
      </w:r>
      <w:r w:rsidR="00F63D58">
        <w:rPr>
          <w:noProof/>
        </w:rPr>
        <w:t>1</w:t>
      </w:r>
      <w:r w:rsidR="005C1225">
        <w:fldChar w:fldCharType="end"/>
      </w:r>
      <w:r w:rsidR="00623065">
        <w:t>, below.</w:t>
      </w:r>
      <w:r w:rsidR="00DA67BB">
        <w:t xml:space="preserve">  </w:t>
      </w:r>
      <w:r w:rsidR="007402BC">
        <w:t>The</w:t>
      </w:r>
      <w:r w:rsidR="00DA67BB">
        <w:t xml:space="preserve"> </w:t>
      </w:r>
      <w:r w:rsidR="007402BC">
        <w:t xml:space="preserve">scenario </w:t>
      </w:r>
      <w:r w:rsidR="00DA67BB">
        <w:t>descriptions</w:t>
      </w:r>
      <w:r w:rsidR="007402BC">
        <w:t xml:space="preserve"> in the table</w:t>
      </w:r>
      <w:r w:rsidR="00DA67BB">
        <w:t xml:space="preserve"> </w:t>
      </w:r>
      <w:r w:rsidR="007402BC">
        <w:t>refer</w:t>
      </w:r>
      <w:r w:rsidR="00DA67BB">
        <w:t xml:space="preserve"> to:</w:t>
      </w:r>
    </w:p>
    <w:p w:rsidR="00510B01" w:rsidRPr="00DA67BB" w:rsidRDefault="00510B01" w:rsidP="00510B01">
      <w:pPr>
        <w:pStyle w:val="AERbulletlistfirststyle"/>
      </w:pPr>
      <w:r w:rsidRPr="00DA67BB">
        <w:t>Debt convergence—</w:t>
      </w:r>
      <w:r>
        <w:t>over the regulatory period</w:t>
      </w:r>
      <w:r w:rsidRPr="00DA67BB">
        <w:t>,</w:t>
      </w:r>
      <w:r>
        <w:t xml:space="preserve"> the</w:t>
      </w:r>
      <w:r w:rsidRPr="00DA67BB">
        <w:t xml:space="preserve"> revenue and costs relating to debt (interest payments) will converge</w:t>
      </w:r>
      <w:r w:rsidRPr="002001B7">
        <w:t>.</w:t>
      </w:r>
      <w:r w:rsidRPr="0034686F">
        <w:t xml:space="preserve"> </w:t>
      </w:r>
      <w:r>
        <w:t xml:space="preserve">This is because we update 10 per cent of the cost of debt each year in line with our trailing average approach. </w:t>
      </w:r>
      <w:r w:rsidR="005B548F">
        <w:t>We</w:t>
      </w:r>
      <w:r>
        <w:t xml:space="preserve"> largely </w:t>
      </w:r>
      <w:r w:rsidR="005B548F">
        <w:t xml:space="preserve">agree </w:t>
      </w:r>
      <w:r>
        <w:t xml:space="preserve">with </w:t>
      </w:r>
      <w:r w:rsidR="00526D1F">
        <w:t>ActewAGL</w:t>
      </w:r>
      <w:r>
        <w:t xml:space="preserve"> on how this update will be calculated. Consequently, as each year passes the difference between the amount </w:t>
      </w:r>
      <w:r w:rsidR="00526D1F">
        <w:t>ActewAGL</w:t>
      </w:r>
      <w:r>
        <w:t xml:space="preserve"> sought for interest costs in its revised proposal and our regulatory allowance will converge. Eventually, in 10 years, the difference converges to zero. </w:t>
      </w:r>
      <w:r w:rsidRPr="0034686F">
        <w:t>As this brings revenue and costs closer together, it reduces the risks to the financial viability of the service provider.</w:t>
      </w:r>
    </w:p>
    <w:p w:rsidR="00510B01" w:rsidRDefault="00510B01" w:rsidP="00510B01">
      <w:pPr>
        <w:pStyle w:val="AERbulletlistfirststyle"/>
      </w:pPr>
      <w:r>
        <w:t>R</w:t>
      </w:r>
      <w:r w:rsidRPr="00DA67BB">
        <w:t xml:space="preserve">eductions in </w:t>
      </w:r>
      <w:proofErr w:type="spellStart"/>
      <w:r w:rsidRPr="00DA67BB">
        <w:t>opex</w:t>
      </w:r>
      <w:proofErr w:type="spellEnd"/>
      <w:r w:rsidRPr="00DA67BB">
        <w:t xml:space="preserve">—in scenario 1, we assume </w:t>
      </w:r>
      <w:r w:rsidR="00526D1F">
        <w:t>ActewAGL</w:t>
      </w:r>
      <w:r w:rsidRPr="00DA67BB">
        <w:t xml:space="preserve"> spend</w:t>
      </w:r>
      <w:r>
        <w:t xml:space="preserve">s the total </w:t>
      </w:r>
      <w:proofErr w:type="spellStart"/>
      <w:r>
        <w:t>opex</w:t>
      </w:r>
      <w:proofErr w:type="spellEnd"/>
      <w:r>
        <w:t xml:space="preserve"> it proposed in</w:t>
      </w:r>
      <w:r w:rsidRPr="00DA67BB">
        <w:t xml:space="preserve"> its revised proposal, regardless of the revenue it rec</w:t>
      </w:r>
      <w:r w:rsidRPr="002001B7">
        <w:t>eives. This has a substantially negative impact on the key indicators of finan</w:t>
      </w:r>
      <w:r w:rsidRPr="0034686F">
        <w:t xml:space="preserve">cial viability. However, </w:t>
      </w:r>
      <w:r w:rsidR="00526D1F">
        <w:t>ActewAGL</w:t>
      </w:r>
      <w:r w:rsidRPr="0034686F">
        <w:t xml:space="preserve"> has a</w:t>
      </w:r>
      <w:r w:rsidRPr="00AB2C7D">
        <w:t xml:space="preserve"> financial incentive to reduce its </w:t>
      </w:r>
      <w:proofErr w:type="spellStart"/>
      <w:r w:rsidRPr="00AB2C7D">
        <w:t>opex</w:t>
      </w:r>
      <w:proofErr w:type="spellEnd"/>
      <w:r w:rsidRPr="00AB2C7D">
        <w:t xml:space="preserve"> costs</w:t>
      </w:r>
      <w:r w:rsidRPr="00DA67BB">
        <w:t xml:space="preserve">. We have therefore tested the sensitivity of the conclusions to the potential for </w:t>
      </w:r>
      <w:proofErr w:type="spellStart"/>
      <w:r w:rsidRPr="00DA67BB">
        <w:t>opex</w:t>
      </w:r>
      <w:proofErr w:type="spellEnd"/>
      <w:r w:rsidRPr="00DA67BB">
        <w:t xml:space="preserve"> efficiency savings. Scenario </w:t>
      </w:r>
      <w:r w:rsidR="00131D06">
        <w:t>2</w:t>
      </w:r>
      <w:r w:rsidRPr="00DA67BB">
        <w:t xml:space="preserve"> and scenario </w:t>
      </w:r>
      <w:r w:rsidR="00131D06">
        <w:t>3</w:t>
      </w:r>
      <w:r w:rsidRPr="00DA67BB">
        <w:t xml:space="preserve"> test the outcomes where the service provider is able to </w:t>
      </w:r>
      <w:r>
        <w:t xml:space="preserve">reduce its </w:t>
      </w:r>
      <w:proofErr w:type="spellStart"/>
      <w:r>
        <w:t>opex</w:t>
      </w:r>
      <w:proofErr w:type="spellEnd"/>
      <w:r w:rsidRPr="00DA67BB">
        <w:t xml:space="preserve">.  </w:t>
      </w:r>
      <w:r>
        <w:t xml:space="preserve">Any savings in </w:t>
      </w:r>
      <w:proofErr w:type="spellStart"/>
      <w:r>
        <w:t>opex</w:t>
      </w:r>
      <w:proofErr w:type="spellEnd"/>
      <w:r>
        <w:t xml:space="preserve"> improve </w:t>
      </w:r>
      <w:proofErr w:type="spellStart"/>
      <w:r w:rsidR="00526D1F">
        <w:t>ActewAGL</w:t>
      </w:r>
      <w:r>
        <w:t>'s</w:t>
      </w:r>
      <w:proofErr w:type="spellEnd"/>
      <w:r>
        <w:t xml:space="preserve"> </w:t>
      </w:r>
      <w:r w:rsidRPr="00DA67BB">
        <w:t>financial performance.</w:t>
      </w:r>
      <w:r>
        <w:t xml:space="preserve"> We discuss this in greater detail in </w:t>
      </w:r>
      <w:r w:rsidRPr="002001B7">
        <w:t xml:space="preserve">section </w:t>
      </w:r>
      <w:r w:rsidRPr="0034686F">
        <w:fldChar w:fldCharType="begin"/>
      </w:r>
      <w:r w:rsidRPr="0034686F">
        <w:instrText xml:space="preserve"> REF _Ref417476492 \r \h </w:instrText>
      </w:r>
      <w:r w:rsidRPr="0034686F">
        <w:fldChar w:fldCharType="separate"/>
      </w:r>
      <w:r w:rsidR="00F63D58">
        <w:t>20.2.2</w:t>
      </w:r>
      <w:r w:rsidRPr="0034686F">
        <w:fldChar w:fldCharType="end"/>
      </w:r>
      <w:r>
        <w:t>.</w:t>
      </w:r>
    </w:p>
    <w:p w:rsidR="00510B01" w:rsidRPr="00DA67BB" w:rsidRDefault="00510B01" w:rsidP="00510B01">
      <w:pPr>
        <w:pStyle w:val="AERbulletlistfirststyle"/>
      </w:pPr>
      <w:r w:rsidRPr="00DA67BB">
        <w:lastRenderedPageBreak/>
        <w:t>The hybrid tax calculation</w:t>
      </w:r>
      <w:r w:rsidRPr="00466E21">
        <w:t>—</w:t>
      </w:r>
      <w:r w:rsidRPr="00DA67BB">
        <w:t>this refers to our calculation of tax to reflect the a</w:t>
      </w:r>
      <w:r w:rsidRPr="002001B7">
        <w:t>ctual revenue and tax expenses that are assumed in the scenarios below.</w:t>
      </w:r>
      <w:r w:rsidRPr="00DA67BB">
        <w:t xml:space="preserve"> This </w:t>
      </w:r>
      <w:r>
        <w:t>variation allows us to</w:t>
      </w:r>
      <w:r w:rsidRPr="00DA67BB">
        <w:t xml:space="preserve"> more accurately </w:t>
      </w:r>
      <w:r>
        <w:t>reflect</w:t>
      </w:r>
      <w:r w:rsidRPr="00DA67BB">
        <w:t xml:space="preserve"> the short term tax obligation faced by </w:t>
      </w:r>
      <w:r w:rsidR="00526D1F">
        <w:t>ActewAGL</w:t>
      </w:r>
      <w:r w:rsidRPr="00DA67BB">
        <w:t xml:space="preserve">. </w:t>
      </w:r>
    </w:p>
    <w:p w:rsidR="000802DD" w:rsidRDefault="00FB0BB4" w:rsidP="00FB0BB4">
      <w:pPr>
        <w:pStyle w:val="Caption"/>
      </w:pPr>
      <w:bookmarkStart w:id="14" w:name="_Ref416943088"/>
      <w:r>
        <w:t xml:space="preserve">Table </w:t>
      </w:r>
      <w:fldSimple w:instr=" STYLEREF 1 \s ">
        <w:r w:rsidR="00F63D58">
          <w:rPr>
            <w:noProof/>
          </w:rPr>
          <w:t>20</w:t>
        </w:r>
      </w:fldSimple>
      <w:r w:rsidR="0092532F">
        <w:noBreakHyphen/>
      </w:r>
      <w:fldSimple w:instr=" SEQ Table \* ARABIC \s 1 ">
        <w:r w:rsidR="00F63D58">
          <w:rPr>
            <w:noProof/>
          </w:rPr>
          <w:t>1</w:t>
        </w:r>
      </w:fldSimple>
      <w:bookmarkEnd w:id="14"/>
      <w:r>
        <w:tab/>
        <w:t>Revenue and cost inputs for the four scenarios</w:t>
      </w:r>
    </w:p>
    <w:tbl>
      <w:tblPr>
        <w:tblStyle w:val="AERtable-text0"/>
        <w:tblW w:w="5000" w:type="pct"/>
        <w:tblLook w:val="04A0" w:firstRow="1" w:lastRow="0" w:firstColumn="1" w:lastColumn="0" w:noHBand="0" w:noVBand="1"/>
      </w:tblPr>
      <w:tblGrid>
        <w:gridCol w:w="1667"/>
        <w:gridCol w:w="2342"/>
        <w:gridCol w:w="2342"/>
        <w:gridCol w:w="2342"/>
      </w:tblGrid>
      <w:tr w:rsidR="00131D06" w:rsidTr="00F63D58">
        <w:trPr>
          <w:cnfStyle w:val="100000000000" w:firstRow="1" w:lastRow="0" w:firstColumn="0" w:lastColumn="0" w:oddVBand="0" w:evenVBand="0" w:oddHBand="0" w:evenHBand="0" w:firstRowFirstColumn="0" w:firstRowLastColumn="0" w:lastRowFirstColumn="0" w:lastRowLastColumn="0"/>
        </w:trPr>
        <w:tc>
          <w:tcPr>
            <w:tcW w:w="959" w:type="pct"/>
          </w:tcPr>
          <w:p w:rsidR="00131D06" w:rsidRDefault="00131D06" w:rsidP="00B058C1">
            <w:pPr>
              <w:pStyle w:val="AERbulletlistfirststyle"/>
              <w:numPr>
                <w:ilvl w:val="0"/>
                <w:numId w:val="0"/>
              </w:numPr>
            </w:pPr>
          </w:p>
        </w:tc>
        <w:tc>
          <w:tcPr>
            <w:tcW w:w="1347" w:type="pct"/>
          </w:tcPr>
          <w:p w:rsidR="00131D06" w:rsidRDefault="00131D06" w:rsidP="00B058C1">
            <w:pPr>
              <w:pStyle w:val="AERbulletlistfirststyle"/>
              <w:numPr>
                <w:ilvl w:val="0"/>
                <w:numId w:val="0"/>
              </w:numPr>
            </w:pPr>
            <w:r>
              <w:t>Scenario 1</w:t>
            </w:r>
          </w:p>
        </w:tc>
        <w:tc>
          <w:tcPr>
            <w:tcW w:w="1347" w:type="pct"/>
          </w:tcPr>
          <w:p w:rsidR="00131D06" w:rsidRDefault="00131D06" w:rsidP="00B058C1">
            <w:pPr>
              <w:pStyle w:val="AERbulletlistfirststyle"/>
              <w:numPr>
                <w:ilvl w:val="0"/>
                <w:numId w:val="0"/>
              </w:numPr>
            </w:pPr>
            <w:r>
              <w:t>Scenario 2</w:t>
            </w:r>
          </w:p>
        </w:tc>
        <w:tc>
          <w:tcPr>
            <w:tcW w:w="1347" w:type="pct"/>
          </w:tcPr>
          <w:p w:rsidR="00131D06" w:rsidRDefault="00131D06" w:rsidP="00B058C1">
            <w:pPr>
              <w:pStyle w:val="AERbulletlistfirststyle"/>
              <w:numPr>
                <w:ilvl w:val="0"/>
                <w:numId w:val="0"/>
              </w:numPr>
            </w:pPr>
            <w:r>
              <w:t>Scenario 3</w:t>
            </w:r>
          </w:p>
        </w:tc>
      </w:tr>
      <w:tr w:rsidR="00131D06" w:rsidTr="00F63D58">
        <w:tc>
          <w:tcPr>
            <w:tcW w:w="959" w:type="pct"/>
          </w:tcPr>
          <w:p w:rsidR="00131D06" w:rsidRDefault="00131D06" w:rsidP="00B058C1">
            <w:pPr>
              <w:pStyle w:val="AERbulletlistfirststyle"/>
              <w:numPr>
                <w:ilvl w:val="0"/>
                <w:numId w:val="0"/>
              </w:numPr>
            </w:pPr>
            <w:r>
              <w:t>Revenue</w:t>
            </w:r>
          </w:p>
        </w:tc>
        <w:tc>
          <w:tcPr>
            <w:tcW w:w="1347" w:type="pct"/>
          </w:tcPr>
          <w:p w:rsidR="00131D06" w:rsidRDefault="00131D06" w:rsidP="00B058C1">
            <w:pPr>
              <w:pStyle w:val="AERbulletlistfirststyle"/>
              <w:numPr>
                <w:ilvl w:val="0"/>
                <w:numId w:val="0"/>
              </w:numPr>
            </w:pPr>
            <w:r>
              <w:t>Smoothed revenue from the indicative final decision including debt convergence.</w:t>
            </w:r>
          </w:p>
        </w:tc>
        <w:tc>
          <w:tcPr>
            <w:tcW w:w="1347" w:type="pct"/>
          </w:tcPr>
          <w:p w:rsidR="00131D06" w:rsidRDefault="00131D06" w:rsidP="00B058C1">
            <w:pPr>
              <w:pStyle w:val="AERbulletlistfirststyle"/>
              <w:numPr>
                <w:ilvl w:val="0"/>
                <w:numId w:val="0"/>
              </w:numPr>
            </w:pPr>
            <w:r w:rsidRPr="000802DD">
              <w:t>Smoothed revenue from the indicative final decision</w:t>
            </w:r>
            <w:r w:rsidRPr="000802DD">
              <w:rPr>
                <w:rStyle w:val="AERsuperscript"/>
              </w:rPr>
              <w:t xml:space="preserve"> </w:t>
            </w:r>
            <w:r w:rsidRPr="000802DD">
              <w:t xml:space="preserve"> including debt convergence</w:t>
            </w:r>
          </w:p>
        </w:tc>
        <w:tc>
          <w:tcPr>
            <w:tcW w:w="1347" w:type="pct"/>
          </w:tcPr>
          <w:p w:rsidR="00131D06" w:rsidRDefault="00131D06" w:rsidP="00B058C1">
            <w:pPr>
              <w:pStyle w:val="AERbulletlistfirststyle"/>
              <w:numPr>
                <w:ilvl w:val="0"/>
                <w:numId w:val="0"/>
              </w:numPr>
            </w:pPr>
            <w:r w:rsidRPr="000802DD">
              <w:t>Smoothed revenue from the indicative final</w:t>
            </w:r>
            <w:r w:rsidRPr="000802DD">
              <w:rPr>
                <w:rStyle w:val="AERsuperscript"/>
              </w:rPr>
              <w:t xml:space="preserve"> </w:t>
            </w:r>
            <w:r w:rsidRPr="000802DD">
              <w:t xml:space="preserve"> decision including debt convergence</w:t>
            </w:r>
          </w:p>
        </w:tc>
      </w:tr>
      <w:tr w:rsidR="00131D06" w:rsidTr="00F63D58">
        <w:trPr>
          <w:cnfStyle w:val="000000010000" w:firstRow="0" w:lastRow="0" w:firstColumn="0" w:lastColumn="0" w:oddVBand="0" w:evenVBand="0" w:oddHBand="0" w:evenHBand="1" w:firstRowFirstColumn="0" w:firstRowLastColumn="0" w:lastRowFirstColumn="0" w:lastRowLastColumn="0"/>
        </w:trPr>
        <w:tc>
          <w:tcPr>
            <w:tcW w:w="959" w:type="pct"/>
          </w:tcPr>
          <w:p w:rsidR="00131D06" w:rsidRDefault="00131D06" w:rsidP="00B058C1">
            <w:pPr>
              <w:pStyle w:val="AERbulletlistfirststyle"/>
              <w:numPr>
                <w:ilvl w:val="0"/>
                <w:numId w:val="0"/>
              </w:numPr>
            </w:pPr>
            <w:r>
              <w:t>Costs</w:t>
            </w:r>
          </w:p>
        </w:tc>
        <w:tc>
          <w:tcPr>
            <w:tcW w:w="1347" w:type="pct"/>
          </w:tcPr>
          <w:p w:rsidR="00131D06" w:rsidRDefault="00131D06" w:rsidP="00FB0BB4">
            <w:r>
              <w:t>All costs from</w:t>
            </w:r>
            <w:r w:rsidRPr="00FB0BB4">
              <w:t xml:space="preserve"> revised proposal except for</w:t>
            </w:r>
            <w:r>
              <w:t>:</w:t>
            </w:r>
            <w:r w:rsidRPr="00D955C7">
              <w:t xml:space="preserve"> </w:t>
            </w:r>
          </w:p>
          <w:p w:rsidR="00131D06" w:rsidRPr="00FB0BB4" w:rsidRDefault="00131D06" w:rsidP="00FB0BB4">
            <w:pPr>
              <w:pStyle w:val="AERbulletlistfirststyle"/>
            </w:pPr>
            <w:r w:rsidRPr="00FB0BB4">
              <w:t>hybrid tax calculation</w:t>
            </w:r>
          </w:p>
          <w:p w:rsidR="00131D06" w:rsidRPr="00FB0BB4" w:rsidRDefault="00131D06" w:rsidP="00FB0BB4">
            <w:pPr>
              <w:pStyle w:val="AERbulletlistfirststyle"/>
            </w:pPr>
            <w:r w:rsidRPr="00FB0BB4">
              <w:t xml:space="preserve"> debt convergence</w:t>
            </w:r>
          </w:p>
        </w:tc>
        <w:tc>
          <w:tcPr>
            <w:tcW w:w="1347" w:type="pct"/>
          </w:tcPr>
          <w:p w:rsidR="00131D06" w:rsidRPr="00FB0BB4" w:rsidRDefault="00131D06" w:rsidP="00FB0BB4">
            <w:r w:rsidRPr="00FB0BB4">
              <w:t xml:space="preserve">Based on revised proposal except for: </w:t>
            </w:r>
          </w:p>
          <w:p w:rsidR="00131D06" w:rsidRPr="00FB0BB4" w:rsidRDefault="00131D06" w:rsidP="00FB0BB4">
            <w:pPr>
              <w:pStyle w:val="AERbulletlistfirststyle"/>
            </w:pPr>
            <w:r w:rsidRPr="00FB0BB4">
              <w:t>hybrid tax calculation</w:t>
            </w:r>
          </w:p>
          <w:p w:rsidR="00131D06" w:rsidRPr="00FB0BB4" w:rsidRDefault="00131D06" w:rsidP="00FB0BB4">
            <w:pPr>
              <w:pStyle w:val="AERbulletlistfirststyle"/>
            </w:pPr>
            <w:r w:rsidRPr="00FB0BB4">
              <w:t xml:space="preserve"> debt convergence</w:t>
            </w:r>
          </w:p>
          <w:p w:rsidR="00131D06" w:rsidRPr="00FB0BB4" w:rsidRDefault="00131D06" w:rsidP="00FB0BB4">
            <w:pPr>
              <w:pStyle w:val="AERbulletlistfirststyle"/>
            </w:pPr>
            <w:r w:rsidRPr="00FB0BB4">
              <w:t xml:space="preserve">10 % per annum reductions between forecast </w:t>
            </w:r>
            <w:proofErr w:type="spellStart"/>
            <w:r w:rsidRPr="00FB0BB4">
              <w:t>opex</w:t>
            </w:r>
            <w:proofErr w:type="spellEnd"/>
            <w:r w:rsidRPr="00FB0BB4">
              <w:t xml:space="preserve"> costs and benchmark efficient </w:t>
            </w:r>
            <w:proofErr w:type="spellStart"/>
            <w:r w:rsidRPr="00FB0BB4">
              <w:t>opex</w:t>
            </w:r>
            <w:proofErr w:type="spellEnd"/>
            <w:r w:rsidRPr="00FB0BB4">
              <w:t xml:space="preserve"> allowance</w:t>
            </w:r>
          </w:p>
        </w:tc>
        <w:tc>
          <w:tcPr>
            <w:tcW w:w="1347" w:type="pct"/>
          </w:tcPr>
          <w:p w:rsidR="00131D06" w:rsidRPr="00FB0BB4" w:rsidRDefault="00131D06" w:rsidP="00FB0BB4">
            <w:r w:rsidRPr="00FB0BB4">
              <w:t xml:space="preserve">Based on revised proposal except for: </w:t>
            </w:r>
          </w:p>
          <w:p w:rsidR="00131D06" w:rsidRPr="00FB0BB4" w:rsidRDefault="00131D06" w:rsidP="00FB0BB4">
            <w:pPr>
              <w:pStyle w:val="AERbulletlistfirststyle"/>
            </w:pPr>
            <w:r w:rsidRPr="00FB0BB4">
              <w:t>hybrid tax calculation</w:t>
            </w:r>
          </w:p>
          <w:p w:rsidR="00131D06" w:rsidRPr="00FB0BB4" w:rsidRDefault="00131D06" w:rsidP="00FB0BB4">
            <w:pPr>
              <w:pStyle w:val="AERbulletlistfirststyle"/>
            </w:pPr>
            <w:r w:rsidRPr="00FB0BB4">
              <w:t xml:space="preserve"> debt convergence</w:t>
            </w:r>
          </w:p>
          <w:p w:rsidR="00131D06" w:rsidRPr="00FB0BB4" w:rsidRDefault="00131D06" w:rsidP="00FB0BB4">
            <w:pPr>
              <w:pStyle w:val="AERbulletlistfirststyle"/>
            </w:pPr>
            <w:r>
              <w:t>2</w:t>
            </w:r>
            <w:r w:rsidRPr="00FB0BB4">
              <w:t xml:space="preserve">0 % per annum reductions between forecast </w:t>
            </w:r>
            <w:proofErr w:type="spellStart"/>
            <w:r w:rsidRPr="00FB0BB4">
              <w:t>opex</w:t>
            </w:r>
            <w:proofErr w:type="spellEnd"/>
            <w:r w:rsidRPr="00FB0BB4">
              <w:t xml:space="preserve"> costs and benchmark efficient </w:t>
            </w:r>
            <w:proofErr w:type="spellStart"/>
            <w:r w:rsidRPr="00FB0BB4">
              <w:t>opex</w:t>
            </w:r>
            <w:proofErr w:type="spellEnd"/>
            <w:r w:rsidRPr="00FB0BB4">
              <w:t xml:space="preserve"> allowance</w:t>
            </w:r>
          </w:p>
        </w:tc>
      </w:tr>
      <w:tr w:rsidR="00131D06" w:rsidTr="00F63D58">
        <w:tc>
          <w:tcPr>
            <w:tcW w:w="959" w:type="pct"/>
          </w:tcPr>
          <w:p w:rsidR="00131D06" w:rsidRDefault="00131D06" w:rsidP="00B058C1">
            <w:pPr>
              <w:pStyle w:val="AERbulletlistfirststyle"/>
              <w:numPr>
                <w:ilvl w:val="0"/>
                <w:numId w:val="0"/>
              </w:numPr>
            </w:pPr>
            <w:r>
              <w:t>Comment</w:t>
            </w:r>
          </w:p>
        </w:tc>
        <w:tc>
          <w:tcPr>
            <w:tcW w:w="1347" w:type="pct"/>
          </w:tcPr>
          <w:p w:rsidR="00131D06" w:rsidRDefault="0012490B" w:rsidP="007C66F9">
            <w:r>
              <w:t>Worst case scenario</w:t>
            </w:r>
            <w:r w:rsidR="00131D06">
              <w:t xml:space="preserve"> </w:t>
            </w:r>
          </w:p>
        </w:tc>
        <w:tc>
          <w:tcPr>
            <w:tcW w:w="1347" w:type="pct"/>
          </w:tcPr>
          <w:p w:rsidR="00131D06" w:rsidRPr="00FB0BB4" w:rsidRDefault="00131D06" w:rsidP="00DF0AF1">
            <w:r>
              <w:t xml:space="preserve">More favourable </w:t>
            </w:r>
            <w:r w:rsidRPr="009A6262">
              <w:t xml:space="preserve">to </w:t>
            </w:r>
            <w:r>
              <w:t>ActewAGL</w:t>
            </w:r>
            <w:r w:rsidRPr="009A6262">
              <w:t xml:space="preserve"> than Scenario </w:t>
            </w:r>
            <w:r w:rsidR="0012490B">
              <w:t>1</w:t>
            </w:r>
            <w:r w:rsidRPr="009A6262">
              <w:t xml:space="preserve">. </w:t>
            </w:r>
            <w:r>
              <w:t xml:space="preserve">This scenario reflects partial efficiency savings by ActewAGL to reduce the difference between its proposed </w:t>
            </w:r>
            <w:proofErr w:type="spellStart"/>
            <w:r>
              <w:t>opex</w:t>
            </w:r>
            <w:proofErr w:type="spellEnd"/>
            <w:r>
              <w:t xml:space="preserve"> costs and our final decision </w:t>
            </w:r>
            <w:proofErr w:type="spellStart"/>
            <w:r>
              <w:t>opex</w:t>
            </w:r>
            <w:proofErr w:type="spellEnd"/>
            <w:r>
              <w:t xml:space="preserve"> determination.</w:t>
            </w:r>
          </w:p>
        </w:tc>
        <w:tc>
          <w:tcPr>
            <w:tcW w:w="1347" w:type="pct"/>
          </w:tcPr>
          <w:p w:rsidR="00131D06" w:rsidRPr="00FB0BB4" w:rsidRDefault="00131D06" w:rsidP="007C66F9">
            <w:r>
              <w:t xml:space="preserve">More favourable </w:t>
            </w:r>
            <w:r w:rsidRPr="00525AB0">
              <w:t xml:space="preserve">to </w:t>
            </w:r>
            <w:r>
              <w:t>ActewAGL</w:t>
            </w:r>
            <w:r w:rsidRPr="00525AB0">
              <w:t xml:space="preserve"> than Scenario </w:t>
            </w:r>
            <w:r w:rsidR="0012490B">
              <w:t>2</w:t>
            </w:r>
            <w:r w:rsidRPr="00525AB0">
              <w:t xml:space="preserve">. </w:t>
            </w:r>
            <w:r>
              <w:t xml:space="preserve">This scenario reflects faster </w:t>
            </w:r>
            <w:proofErr w:type="spellStart"/>
            <w:r>
              <w:t>opex</w:t>
            </w:r>
            <w:proofErr w:type="spellEnd"/>
            <w:r>
              <w:t xml:space="preserve"> efficiency savings than scenario 2. In combination, scenarios </w:t>
            </w:r>
            <w:r w:rsidR="0012490B">
              <w:t>2</w:t>
            </w:r>
            <w:r>
              <w:t xml:space="preserve"> and </w:t>
            </w:r>
            <w:r w:rsidR="0012490B">
              <w:t>3</w:t>
            </w:r>
            <w:r>
              <w:t xml:space="preserve"> illustrate the sensitivity of the outcome to the ability to make efficiency savings.</w:t>
            </w:r>
          </w:p>
        </w:tc>
      </w:tr>
    </w:tbl>
    <w:p w:rsidR="00D22402" w:rsidRDefault="00D22402" w:rsidP="00D22402">
      <w:pPr>
        <w:pStyle w:val="Heading3"/>
      </w:pPr>
      <w:bookmarkStart w:id="15" w:name="_Toc417808618"/>
      <w:r w:rsidRPr="00D22402">
        <w:t>Results of the scenarios</w:t>
      </w:r>
      <w:bookmarkEnd w:id="15"/>
    </w:p>
    <w:p w:rsidR="00D22402" w:rsidRDefault="00DF0AF1" w:rsidP="00D22402">
      <w:r w:rsidRPr="00DF0AF1">
        <w:t xml:space="preserve">We summarise </w:t>
      </w:r>
      <w:r w:rsidR="00131D06">
        <w:t>our</w:t>
      </w:r>
      <w:r w:rsidRPr="00DF0AF1">
        <w:t xml:space="preserve"> conclusions in respect of each scenario in </w:t>
      </w:r>
      <w:r>
        <w:fldChar w:fldCharType="begin"/>
      </w:r>
      <w:r>
        <w:instrText xml:space="preserve"> REF _Ref417298413 \h </w:instrText>
      </w:r>
      <w:r>
        <w:fldChar w:fldCharType="separate"/>
      </w:r>
      <w:r w:rsidR="00F63D58">
        <w:t xml:space="preserve">Table </w:t>
      </w:r>
      <w:r w:rsidR="00F63D58">
        <w:rPr>
          <w:noProof/>
        </w:rPr>
        <w:t>20</w:t>
      </w:r>
      <w:r w:rsidR="00F63D58">
        <w:noBreakHyphen/>
      </w:r>
      <w:r w:rsidR="00F63D58">
        <w:rPr>
          <w:noProof/>
        </w:rPr>
        <w:t>2</w:t>
      </w:r>
      <w:r>
        <w:fldChar w:fldCharType="end"/>
      </w:r>
      <w:r>
        <w:t>, below.</w:t>
      </w:r>
      <w:r w:rsidR="0092532F">
        <w:t xml:space="preserve"> Our </w:t>
      </w:r>
      <w:r w:rsidR="00076D5F">
        <w:t xml:space="preserve">detailed conclusions are set out in section </w:t>
      </w:r>
      <w:r w:rsidR="00076D5F">
        <w:fldChar w:fldCharType="begin"/>
      </w:r>
      <w:r w:rsidR="00076D5F">
        <w:instrText xml:space="preserve"> REF _Ref417494544 \r \h </w:instrText>
      </w:r>
      <w:r w:rsidR="00076D5F">
        <w:fldChar w:fldCharType="separate"/>
      </w:r>
      <w:r w:rsidR="00F63D58">
        <w:t>20.2.3</w:t>
      </w:r>
      <w:r w:rsidR="00076D5F">
        <w:fldChar w:fldCharType="end"/>
      </w:r>
      <w:r w:rsidR="00076D5F">
        <w:t xml:space="preserve">. </w:t>
      </w:r>
      <w:r w:rsidR="00131D06">
        <w:t xml:space="preserve">In assessing the conclusions, we have applied the analytical model recommended by RSM Bird Cameron in its review </w:t>
      </w:r>
      <w:r w:rsidR="005B548F">
        <w:t>for Ausgrid, Endeavour Energy and Essential Energy</w:t>
      </w:r>
      <w:r w:rsidR="00131D06">
        <w:t>. This analytical model</w:t>
      </w:r>
      <w:r w:rsidRPr="00DF0AF1">
        <w:t xml:space="preserve"> </w:t>
      </w:r>
      <w:r w:rsidR="00131D06">
        <w:t>includes</w:t>
      </w:r>
      <w:r w:rsidR="00131D06" w:rsidRPr="00DF0AF1">
        <w:t xml:space="preserve"> </w:t>
      </w:r>
      <w:r w:rsidRPr="00DF0AF1">
        <w:t xml:space="preserve">two key metrics: operating cash flows excluding regulatory depreciation and cash flows after accounting for </w:t>
      </w:r>
      <w:proofErr w:type="spellStart"/>
      <w:r w:rsidRPr="00DF0AF1">
        <w:t>A</w:t>
      </w:r>
      <w:r w:rsidR="00E31E30">
        <w:t>ctewAGL</w:t>
      </w:r>
      <w:r w:rsidRPr="00DF0AF1">
        <w:t>'s</w:t>
      </w:r>
      <w:proofErr w:type="spellEnd"/>
      <w:r w:rsidRPr="00DF0AF1">
        <w:t xml:space="preserve"> proposed capex program. It presents these post-capex cash flows prior to and after external equity raised, and both of those subtotals including and excluding regulatory depreciation.  </w:t>
      </w:r>
    </w:p>
    <w:p w:rsidR="004B0941" w:rsidRDefault="004B0941" w:rsidP="004B0941">
      <w:pPr>
        <w:pStyle w:val="Caption"/>
      </w:pPr>
      <w:bookmarkStart w:id="16" w:name="_Ref417298413"/>
      <w:r>
        <w:t xml:space="preserve">Table </w:t>
      </w:r>
      <w:fldSimple w:instr=" STYLEREF 1 \s ">
        <w:r w:rsidR="00F63D58">
          <w:rPr>
            <w:noProof/>
          </w:rPr>
          <w:t>20</w:t>
        </w:r>
      </w:fldSimple>
      <w:r w:rsidR="0092532F">
        <w:noBreakHyphen/>
      </w:r>
      <w:fldSimple w:instr=" SEQ Table \* ARABIC \s 1 ">
        <w:r w:rsidR="00F63D58">
          <w:rPr>
            <w:noProof/>
          </w:rPr>
          <w:t>2</w:t>
        </w:r>
      </w:fldSimple>
      <w:bookmarkEnd w:id="16"/>
      <w:r>
        <w:tab/>
        <w:t xml:space="preserve">Summary of </w:t>
      </w:r>
      <w:r w:rsidR="005B548F">
        <w:t>c</w:t>
      </w:r>
      <w:r>
        <w:t>onclusions</w:t>
      </w:r>
    </w:p>
    <w:tbl>
      <w:tblPr>
        <w:tblStyle w:val="AERtable-text0"/>
        <w:tblW w:w="0" w:type="auto"/>
        <w:tblLook w:val="04A0" w:firstRow="1" w:lastRow="0" w:firstColumn="1" w:lastColumn="0" w:noHBand="0" w:noVBand="1"/>
      </w:tblPr>
      <w:tblGrid>
        <w:gridCol w:w="1526"/>
        <w:gridCol w:w="7167"/>
      </w:tblGrid>
      <w:tr w:rsidR="00D22402" w:rsidTr="00F63D58">
        <w:trPr>
          <w:cnfStyle w:val="100000000000" w:firstRow="1" w:lastRow="0" w:firstColumn="0" w:lastColumn="0" w:oddVBand="0" w:evenVBand="0" w:oddHBand="0" w:evenHBand="0" w:firstRowFirstColumn="0" w:firstRowLastColumn="0" w:lastRowFirstColumn="0" w:lastRowLastColumn="0"/>
        </w:trPr>
        <w:tc>
          <w:tcPr>
            <w:tcW w:w="1526" w:type="dxa"/>
          </w:tcPr>
          <w:p w:rsidR="00D22402" w:rsidRDefault="00D22402" w:rsidP="00D22402">
            <w:r>
              <w:t>Scenario</w:t>
            </w:r>
          </w:p>
        </w:tc>
        <w:tc>
          <w:tcPr>
            <w:tcW w:w="7167" w:type="dxa"/>
          </w:tcPr>
          <w:p w:rsidR="00D22402" w:rsidRDefault="00D22402" w:rsidP="00D22402">
            <w:r>
              <w:t>Conclusions</w:t>
            </w:r>
          </w:p>
        </w:tc>
      </w:tr>
      <w:tr w:rsidR="00D22402" w:rsidTr="00F63D58">
        <w:tc>
          <w:tcPr>
            <w:tcW w:w="1526" w:type="dxa"/>
          </w:tcPr>
          <w:p w:rsidR="00D22402" w:rsidRDefault="00D22402" w:rsidP="00D22402">
            <w:r>
              <w:t>1</w:t>
            </w:r>
          </w:p>
        </w:tc>
        <w:tc>
          <w:tcPr>
            <w:tcW w:w="7167" w:type="dxa"/>
          </w:tcPr>
          <w:p w:rsidR="00D22402" w:rsidRDefault="00526D1F" w:rsidP="00D22402">
            <w:r>
              <w:t>ActewAGL</w:t>
            </w:r>
            <w:r w:rsidR="00D22402">
              <w:t xml:space="preserve"> generates </w:t>
            </w:r>
            <w:r w:rsidR="00CB2266">
              <w:t xml:space="preserve">negative </w:t>
            </w:r>
            <w:r w:rsidR="00D22402">
              <w:t xml:space="preserve">operating cash flows excluding the regulatory depreciation allowance. </w:t>
            </w:r>
          </w:p>
          <w:p w:rsidR="00D22402" w:rsidRDefault="00D22402" w:rsidP="00131D06">
            <w:r>
              <w:t xml:space="preserve">It generates positive cash flows prior to external equity raising if it uses </w:t>
            </w:r>
            <w:r w:rsidR="0012490B">
              <w:t>a significant proportion</w:t>
            </w:r>
            <w:r>
              <w:t xml:space="preserve"> of its regulatory depreciation allowance.</w:t>
            </w:r>
          </w:p>
          <w:p w:rsidR="00D905A1" w:rsidRDefault="00D905A1" w:rsidP="0012490B">
            <w:r>
              <w:t xml:space="preserve">It generates positive cash flows after external equity raising </w:t>
            </w:r>
            <w:r w:rsidR="0012490B">
              <w:t>if it uses portions of</w:t>
            </w:r>
            <w:r>
              <w:t xml:space="preserve"> its regulatory depreciation allowance</w:t>
            </w:r>
          </w:p>
        </w:tc>
      </w:tr>
      <w:tr w:rsidR="00D22402" w:rsidTr="00F63D58">
        <w:trPr>
          <w:cnfStyle w:val="000000010000" w:firstRow="0" w:lastRow="0" w:firstColumn="0" w:lastColumn="0" w:oddVBand="0" w:evenVBand="0" w:oddHBand="0" w:evenHBand="1" w:firstRowFirstColumn="0" w:firstRowLastColumn="0" w:lastRowFirstColumn="0" w:lastRowLastColumn="0"/>
        </w:trPr>
        <w:tc>
          <w:tcPr>
            <w:tcW w:w="1526" w:type="dxa"/>
          </w:tcPr>
          <w:p w:rsidR="00D22402" w:rsidRDefault="00D22402" w:rsidP="00D22402">
            <w:r>
              <w:lastRenderedPageBreak/>
              <w:t>2</w:t>
            </w:r>
          </w:p>
        </w:tc>
        <w:tc>
          <w:tcPr>
            <w:tcW w:w="7167" w:type="dxa"/>
          </w:tcPr>
          <w:p w:rsidR="00D22402" w:rsidRPr="00D22402" w:rsidRDefault="00526D1F" w:rsidP="00D22402">
            <w:r>
              <w:t>ActewAGL</w:t>
            </w:r>
            <w:r w:rsidR="00D22402">
              <w:t xml:space="preserve"> generates </w:t>
            </w:r>
            <w:r w:rsidR="002A5F4B">
              <w:t>positive</w:t>
            </w:r>
            <w:r w:rsidR="00131D06">
              <w:t xml:space="preserve"> </w:t>
            </w:r>
            <w:r w:rsidR="00D22402">
              <w:t>operating cash flows excluding the regulatory depreciation allowance</w:t>
            </w:r>
            <w:r w:rsidR="00D22402" w:rsidRPr="00D22402">
              <w:t xml:space="preserve">. </w:t>
            </w:r>
          </w:p>
          <w:p w:rsidR="00D22402" w:rsidRDefault="00D22402" w:rsidP="00131D06">
            <w:r>
              <w:t>It generates</w:t>
            </w:r>
            <w:r w:rsidRPr="00D22402">
              <w:t xml:space="preserve"> positive cash flows prior to external equity raising if it uses </w:t>
            </w:r>
            <w:r w:rsidR="0012490B">
              <w:t xml:space="preserve">a significant </w:t>
            </w:r>
            <w:proofErr w:type="gramStart"/>
            <w:r w:rsidR="0012490B">
              <w:t xml:space="preserve">proportion </w:t>
            </w:r>
            <w:r w:rsidRPr="00D22402">
              <w:t xml:space="preserve"> of</w:t>
            </w:r>
            <w:proofErr w:type="gramEnd"/>
            <w:r w:rsidRPr="00D22402">
              <w:t xml:space="preserve"> its regulatory depreciation allowance.</w:t>
            </w:r>
          </w:p>
          <w:p w:rsidR="00D905A1" w:rsidRDefault="00D905A1" w:rsidP="00131D06">
            <w:r>
              <w:t xml:space="preserve">It generates positive cash flows after external equity raising </w:t>
            </w:r>
            <w:r w:rsidR="0012490B">
              <w:t>if it uses portions of</w:t>
            </w:r>
            <w:r>
              <w:t xml:space="preserve"> its regulatory depreciation allowance</w:t>
            </w:r>
          </w:p>
        </w:tc>
      </w:tr>
      <w:tr w:rsidR="00D22402" w:rsidTr="00F63D58">
        <w:tc>
          <w:tcPr>
            <w:tcW w:w="1526" w:type="dxa"/>
          </w:tcPr>
          <w:p w:rsidR="00D22402" w:rsidRDefault="00D22402" w:rsidP="00D22402">
            <w:r>
              <w:t>3</w:t>
            </w:r>
          </w:p>
        </w:tc>
        <w:tc>
          <w:tcPr>
            <w:tcW w:w="7167" w:type="dxa"/>
          </w:tcPr>
          <w:p w:rsidR="00D22402" w:rsidRPr="00D22402" w:rsidRDefault="00526D1F" w:rsidP="00D22402">
            <w:r>
              <w:t>ActewAGL</w:t>
            </w:r>
            <w:r w:rsidR="00D22402">
              <w:t xml:space="preserve"> generates positive operating cash flows excluding the regulatory depreciation allowance</w:t>
            </w:r>
            <w:r w:rsidR="00D22402" w:rsidRPr="00D22402">
              <w:t xml:space="preserve">. </w:t>
            </w:r>
          </w:p>
          <w:p w:rsidR="00D22402" w:rsidRDefault="00D22402" w:rsidP="00131D06">
            <w:r>
              <w:t>It generates</w:t>
            </w:r>
            <w:r w:rsidRPr="00D22402">
              <w:t xml:space="preserve"> positive cash flows prior to external equity </w:t>
            </w:r>
            <w:proofErr w:type="gramStart"/>
            <w:r w:rsidRPr="00D22402">
              <w:t>raising</w:t>
            </w:r>
            <w:proofErr w:type="gramEnd"/>
            <w:r w:rsidRPr="00D22402">
              <w:t xml:space="preserve"> if it uses portions of its regulatory depreciation allowance.</w:t>
            </w:r>
          </w:p>
          <w:p w:rsidR="00D905A1" w:rsidRDefault="00D905A1" w:rsidP="00131D06">
            <w:r>
              <w:t>It generates positive cash flows after external equity raising both including and excluding its regulatory depreciation allowance</w:t>
            </w:r>
          </w:p>
        </w:tc>
      </w:tr>
    </w:tbl>
    <w:p w:rsidR="004B0941" w:rsidRDefault="004B0941" w:rsidP="004B0941">
      <w:pPr>
        <w:pStyle w:val="AERtablesource"/>
      </w:pPr>
      <w:r>
        <w:t>Source:</w:t>
      </w:r>
      <w:r>
        <w:tab/>
      </w:r>
      <w:r w:rsidR="00131D06">
        <w:t>AER</w:t>
      </w:r>
    </w:p>
    <w:p w:rsidR="002369B8" w:rsidRDefault="00D22402" w:rsidP="00D22402">
      <w:r>
        <w:t>Based on the above scenarios and the assumptions provided</w:t>
      </w:r>
      <w:r w:rsidR="00E83096">
        <w:t>,</w:t>
      </w:r>
      <w:r>
        <w:t xml:space="preserve"> </w:t>
      </w:r>
      <w:r w:rsidR="00131D06">
        <w:t>we</w:t>
      </w:r>
      <w:r w:rsidR="00E83096">
        <w:t xml:space="preserve"> </w:t>
      </w:r>
      <w:r w:rsidR="00131D06">
        <w:t xml:space="preserve">are not persuaded that </w:t>
      </w:r>
      <w:r w:rsidR="00E83096">
        <w:t xml:space="preserve">that </w:t>
      </w:r>
      <w:r w:rsidR="00526D1F">
        <w:t>ActewAGL</w:t>
      </w:r>
      <w:r w:rsidR="00E83096">
        <w:t xml:space="preserve"> face</w:t>
      </w:r>
      <w:r w:rsidR="00131D06">
        <w:t>s</w:t>
      </w:r>
      <w:r w:rsidR="00E83096">
        <w:t xml:space="preserve"> material risk of insolvency under any of the </w:t>
      </w:r>
      <w:r w:rsidR="00131D06">
        <w:t xml:space="preserve">three </w:t>
      </w:r>
      <w:r w:rsidR="00E83096">
        <w:t>scenarios.</w:t>
      </w:r>
      <w:r w:rsidR="009D71E4">
        <w:t xml:space="preserve"> </w:t>
      </w:r>
      <w:r w:rsidR="00DF0AF1">
        <w:t xml:space="preserve">Specifically, </w:t>
      </w:r>
      <w:r w:rsidR="00526D1F">
        <w:t>ActewAGL</w:t>
      </w:r>
      <w:r w:rsidR="00DF0AF1">
        <w:t xml:space="preserve"> generates positive </w:t>
      </w:r>
      <w:r w:rsidR="008D76B0">
        <w:t xml:space="preserve">operating </w:t>
      </w:r>
      <w:r w:rsidR="00DF0AF1">
        <w:t>cash flows under scenarios 2–</w:t>
      </w:r>
      <w:r w:rsidR="00131D06">
        <w:t>3</w:t>
      </w:r>
      <w:r w:rsidR="002369B8">
        <w:t xml:space="preserve">. </w:t>
      </w:r>
      <w:r w:rsidR="00DF0AF1">
        <w:t>Where it cannot raise any external equity, it is cash flow positive under scenario</w:t>
      </w:r>
      <w:r w:rsidR="00F63D58">
        <w:t>s</w:t>
      </w:r>
      <w:r w:rsidR="00DF0AF1">
        <w:t xml:space="preserve"> </w:t>
      </w:r>
      <w:r w:rsidR="00131D06">
        <w:t>2</w:t>
      </w:r>
      <w:r w:rsidR="002369B8" w:rsidRPr="002369B8">
        <w:t>–</w:t>
      </w:r>
      <w:r w:rsidR="00131D06">
        <w:t>3</w:t>
      </w:r>
      <w:r w:rsidR="002369B8">
        <w:t xml:space="preserve">. </w:t>
      </w:r>
    </w:p>
    <w:p w:rsidR="00CC059D" w:rsidRDefault="00131D06" w:rsidP="00D22402">
      <w:r w:rsidRPr="00131D06">
        <w:t xml:space="preserve">In addition, </w:t>
      </w:r>
      <w:r>
        <w:t>our</w:t>
      </w:r>
      <w:r w:rsidRPr="00131D06">
        <w:t xml:space="preserve"> analysis was based on limitations of scope and assumptions that do not reflect a series of relevant factors. We discuss these factors below. They suggest </w:t>
      </w:r>
      <w:r>
        <w:t>ActewAGL</w:t>
      </w:r>
      <w:r w:rsidRPr="00131D06">
        <w:t xml:space="preserve"> is</w:t>
      </w:r>
      <w:r w:rsidR="00DC509F">
        <w:t xml:space="preserve"> even</w:t>
      </w:r>
      <w:r w:rsidRPr="00131D06">
        <w:t xml:space="preserve"> less likely to face threats to its financial viability than presented in the </w:t>
      </w:r>
      <w:r>
        <w:t>three</w:t>
      </w:r>
      <w:r w:rsidRPr="00131D06">
        <w:t xml:space="preserve"> scenarios above.</w:t>
      </w:r>
      <w:r w:rsidR="00C436C7">
        <w:t xml:space="preserve"> </w:t>
      </w:r>
      <w:r w:rsidR="00CC059D">
        <w:t>These factor</w:t>
      </w:r>
      <w:r w:rsidR="0040133C">
        <w:t>s</w:t>
      </w:r>
      <w:r w:rsidR="00CC059D">
        <w:t xml:space="preserve"> include:</w:t>
      </w:r>
    </w:p>
    <w:p w:rsidR="0040133C" w:rsidRDefault="00131D06" w:rsidP="0040133C">
      <w:pPr>
        <w:pStyle w:val="AERbulletlistfirststyle"/>
      </w:pPr>
      <w:proofErr w:type="gramStart"/>
      <w:r>
        <w:t>the</w:t>
      </w:r>
      <w:proofErr w:type="gramEnd"/>
      <w:r>
        <w:t xml:space="preserve"> cash flow analysis does not</w:t>
      </w:r>
      <w:r w:rsidR="0040133C">
        <w:t xml:space="preserve"> address the impact of </w:t>
      </w:r>
      <w:proofErr w:type="spellStart"/>
      <w:r w:rsidR="00526D1F">
        <w:t>ActewAGL</w:t>
      </w:r>
      <w:r w:rsidR="0040133C">
        <w:t>'s</w:t>
      </w:r>
      <w:proofErr w:type="spellEnd"/>
      <w:r w:rsidR="0040133C">
        <w:t xml:space="preserve"> ownership, and whether that ownership is favourable or otherwise for capital raising. </w:t>
      </w:r>
    </w:p>
    <w:p w:rsidR="0040133C" w:rsidRDefault="00131D06" w:rsidP="0040133C">
      <w:pPr>
        <w:pStyle w:val="AERbulletlistfirststyle"/>
      </w:pPr>
      <w:proofErr w:type="gramStart"/>
      <w:r>
        <w:t>the</w:t>
      </w:r>
      <w:proofErr w:type="gramEnd"/>
      <w:r>
        <w:t xml:space="preserve"> cash flow analysis</w:t>
      </w:r>
      <w:r w:rsidR="0040133C">
        <w:t xml:space="preserve"> assumes zero starting cash balance. Any positive starting</w:t>
      </w:r>
      <w:r w:rsidR="002369B8">
        <w:t xml:space="preserve"> cash balance would result in </w:t>
      </w:r>
      <w:r w:rsidR="0040133C">
        <w:t xml:space="preserve">more favourable outcomes for </w:t>
      </w:r>
      <w:r w:rsidR="00526D1F">
        <w:t>ActewAGL</w:t>
      </w:r>
      <w:r w:rsidR="0040133C">
        <w:t>.</w:t>
      </w:r>
    </w:p>
    <w:p w:rsidR="0040133C" w:rsidRDefault="00131D06" w:rsidP="0040133C">
      <w:pPr>
        <w:pStyle w:val="AERbulletlistfirststyle"/>
      </w:pPr>
      <w:proofErr w:type="gramStart"/>
      <w:r>
        <w:t>the</w:t>
      </w:r>
      <w:proofErr w:type="gramEnd"/>
      <w:r>
        <w:t xml:space="preserve"> cash flow analysis</w:t>
      </w:r>
      <w:r w:rsidR="0040133C">
        <w:t xml:space="preserve"> does not include any assumptions about the service provider's ability to defer capex. </w:t>
      </w:r>
    </w:p>
    <w:p w:rsidR="00CC059D" w:rsidRDefault="00131D06" w:rsidP="00CC059D">
      <w:pPr>
        <w:pStyle w:val="AERbulletlistfirststyle"/>
      </w:pPr>
      <w:proofErr w:type="gramStart"/>
      <w:r>
        <w:t>the</w:t>
      </w:r>
      <w:proofErr w:type="gramEnd"/>
      <w:r>
        <w:t xml:space="preserve"> cash flow analysis</w:t>
      </w:r>
      <w:r w:rsidR="0040133C">
        <w:t xml:space="preserve"> does not address fundamental questions of revenue certainty that distinguish regulated firms from unregulated firms. </w:t>
      </w:r>
      <w:r w:rsidR="00CC059D">
        <w:t xml:space="preserve">Unlike unregulated firms, </w:t>
      </w:r>
      <w:r w:rsidR="00526D1F">
        <w:t>ActewAGL</w:t>
      </w:r>
      <w:r w:rsidR="00CC059D">
        <w:t xml:space="preserve"> faces predictable, stable revenue regardless of </w:t>
      </w:r>
      <w:r w:rsidR="00761593">
        <w:t>movements in</w:t>
      </w:r>
      <w:r w:rsidR="00CC059D">
        <w:t xml:space="preserve"> its underlying demand. </w:t>
      </w:r>
    </w:p>
    <w:p w:rsidR="00CC059D" w:rsidRDefault="00CC059D" w:rsidP="00CC059D">
      <w:pPr>
        <w:pStyle w:val="AERbulletlistfirststyle"/>
      </w:pPr>
      <w:r>
        <w:t xml:space="preserve">Significantly, </w:t>
      </w:r>
      <w:proofErr w:type="spellStart"/>
      <w:r w:rsidR="00526D1F">
        <w:t>ActewAGL</w:t>
      </w:r>
      <w:r>
        <w:t>'s</w:t>
      </w:r>
      <w:proofErr w:type="spellEnd"/>
      <w:r>
        <w:t xml:space="preserve"> revenue allowance will be updated each year to incorporate current market rates </w:t>
      </w:r>
      <w:r w:rsidR="00525AB0">
        <w:t xml:space="preserve">on </w:t>
      </w:r>
      <w:r>
        <w:t xml:space="preserve">its debt portfolio. </w:t>
      </w:r>
      <w:r w:rsidR="0040133C">
        <w:t>To some e</w:t>
      </w:r>
      <w:r w:rsidR="00C823F3">
        <w:t>xtent, the analysis</w:t>
      </w:r>
      <w:r w:rsidR="0040133C">
        <w:t xml:space="preserve"> addresses </w:t>
      </w:r>
      <w:r w:rsidR="00DA67BB">
        <w:t>the effects of annually updating debt revenue</w:t>
      </w:r>
      <w:r w:rsidR="0040133C">
        <w:t xml:space="preserve"> through our debt convergence assumptions</w:t>
      </w:r>
      <w:r w:rsidR="00DA67BB">
        <w:t>.</w:t>
      </w:r>
      <w:r w:rsidR="0040133C">
        <w:t xml:space="preserve"> However, </w:t>
      </w:r>
      <w:r w:rsidR="00DF0AF1">
        <w:t xml:space="preserve">our approach provides </w:t>
      </w:r>
      <w:r w:rsidR="00526D1F">
        <w:t>ActewAGL</w:t>
      </w:r>
      <w:r w:rsidR="00DF0AF1">
        <w:t xml:space="preserve"> with an ongoing shield</w:t>
      </w:r>
      <w:r w:rsidR="0040133C">
        <w:t xml:space="preserve"> from interest rate risk regardless of market </w:t>
      </w:r>
      <w:proofErr w:type="gramStart"/>
      <w:r w:rsidR="00D842BC">
        <w:t>circumstances</w:t>
      </w:r>
      <w:r w:rsidR="00131D06">
        <w:t>,</w:t>
      </w:r>
      <w:proofErr w:type="gramEnd"/>
      <w:r w:rsidR="00131D06">
        <w:t xml:space="preserve"> to the extent it raises debt</w:t>
      </w:r>
      <w:r w:rsidR="00D842BC">
        <w:t>. Specifically</w:t>
      </w:r>
      <w:r w:rsidR="0040133C">
        <w:t>,</w:t>
      </w:r>
      <w:r>
        <w:t xml:space="preserve"> if benchmark debt costs rise</w:t>
      </w:r>
      <w:r w:rsidR="0040133C">
        <w:t xml:space="preserve"> as observed in the market</w:t>
      </w:r>
      <w:r>
        <w:t xml:space="preserve">, </w:t>
      </w:r>
      <w:proofErr w:type="spellStart"/>
      <w:r w:rsidR="00526D1F">
        <w:t>ActewAGL</w:t>
      </w:r>
      <w:r>
        <w:t>'s</w:t>
      </w:r>
      <w:proofErr w:type="spellEnd"/>
      <w:r>
        <w:t xml:space="preserve"> revenue allowance will rise commensurately. </w:t>
      </w:r>
      <w:r w:rsidR="00526D1F">
        <w:t>ActewAGL</w:t>
      </w:r>
      <w:r>
        <w:t xml:space="preserve"> is therefore shielded from interest rate risk compared to an un-regulated private sector business.</w:t>
      </w:r>
    </w:p>
    <w:p w:rsidR="009D71E4" w:rsidRDefault="00CC059D" w:rsidP="009D71E4">
      <w:pPr>
        <w:pStyle w:val="AERbulletlistfirststyle"/>
      </w:pPr>
      <w:r>
        <w:t xml:space="preserve">The value of </w:t>
      </w:r>
      <w:proofErr w:type="spellStart"/>
      <w:r w:rsidR="00526D1F">
        <w:t>ActewAGL</w:t>
      </w:r>
      <w:r>
        <w:t>'s</w:t>
      </w:r>
      <w:proofErr w:type="spellEnd"/>
      <w:r>
        <w:t xml:space="preserve"> assets is protected within the regulatory asset base</w:t>
      </w:r>
      <w:r w:rsidR="00824D60">
        <w:t xml:space="preserve"> (RAB), and a return on capital for assets within the RAB is set periodically under a </w:t>
      </w:r>
      <w:r w:rsidR="00824D60">
        <w:lastRenderedPageBreak/>
        <w:t>well-established regulatory regime</w:t>
      </w:r>
      <w:r>
        <w:t xml:space="preserve">. This allows </w:t>
      </w:r>
      <w:r w:rsidR="00526D1F">
        <w:t>ActewAGL</w:t>
      </w:r>
      <w:r>
        <w:t xml:space="preserve"> to </w:t>
      </w:r>
      <w:r w:rsidR="00824D60">
        <w:t xml:space="preserve">expect to </w:t>
      </w:r>
      <w:r>
        <w:t xml:space="preserve">generate a benchmark return on capital </w:t>
      </w:r>
      <w:r w:rsidR="00824D60">
        <w:t xml:space="preserve">in the RAB </w:t>
      </w:r>
      <w:r>
        <w:t xml:space="preserve">and </w:t>
      </w:r>
      <w:r w:rsidR="00824D60">
        <w:t xml:space="preserve">also </w:t>
      </w:r>
      <w:r>
        <w:t xml:space="preserve">to recover the face value of its investments over time through a stable and predictable regulatory depreciation allowance. In the short term, equity holders may face relatively lower returns due largely to </w:t>
      </w:r>
      <w:proofErr w:type="spellStart"/>
      <w:r>
        <w:t>opex</w:t>
      </w:r>
      <w:proofErr w:type="spellEnd"/>
      <w:r>
        <w:t xml:space="preserve"> inefficiencies and the return on debt transition</w:t>
      </w:r>
      <w:r w:rsidR="00936340">
        <w:t>. However</w:t>
      </w:r>
      <w:r>
        <w:t>, in the medium term as the service provider achieves efficiency gains, those equity holders can expect to predictably receive the benchmark return on equity.</w:t>
      </w:r>
    </w:p>
    <w:p w:rsidR="00972662" w:rsidRPr="00972662" w:rsidRDefault="00972662" w:rsidP="00C436C7">
      <w:r w:rsidRPr="00972662">
        <w:t>In line with these observations, the credit rating agency Moody's observed that, 'regulatory environment and asset ownership model' (Factor 1):</w:t>
      </w:r>
      <w:r w:rsidRPr="00972662">
        <w:rPr>
          <w:rStyle w:val="AERsuperscript"/>
        </w:rPr>
        <w:footnoteReference w:id="6"/>
      </w:r>
    </w:p>
    <w:p w:rsidR="00972662" w:rsidRDefault="00972662" w:rsidP="00C436C7">
      <w:pPr>
        <w:pStyle w:val="AERquote"/>
      </w:pPr>
      <w:r>
        <w:t>"</w:t>
      </w:r>
      <w:r w:rsidRPr="00972662">
        <w:t>[M]any networks are shown as outliers for Factor 1 principally reflecting the high quality regulatory regimes where they operate, which reduces overall business risk. Such regulatory frameworks tend to be well established, provide timely cost recovery and have de-coupling mechanisms that limit volume risk. This means that scores for these sub-factors can often be “</w:t>
      </w:r>
      <w:proofErr w:type="spellStart"/>
      <w:r w:rsidRPr="00972662">
        <w:t>Aaa</w:t>
      </w:r>
      <w:proofErr w:type="spellEnd"/>
      <w:r w:rsidRPr="00972662">
        <w:t xml:space="preserve">” or “Aa” while issuers themselves are rated in the “A” or “Baa” range. This applies particularly to networks in developed countries with strong regulation, e.g. </w:t>
      </w:r>
      <w:proofErr w:type="spellStart"/>
      <w:r w:rsidRPr="00972662">
        <w:t>AusNet</w:t>
      </w:r>
      <w:proofErr w:type="spellEnd"/>
      <w:r w:rsidRPr="00972662">
        <w:t xml:space="preserve"> Services and </w:t>
      </w:r>
      <w:proofErr w:type="spellStart"/>
      <w:r w:rsidRPr="00972662">
        <w:t>Powercor</w:t>
      </w:r>
      <w:proofErr w:type="spellEnd"/>
      <w:r w:rsidRPr="00972662">
        <w:t xml:space="preserve"> Australia LLC (regulated in Australia by the AER)</w:t>
      </w:r>
      <w:r>
        <w:t>"</w:t>
      </w:r>
    </w:p>
    <w:p w:rsidR="00846370" w:rsidRPr="00846370" w:rsidRDefault="00131D06" w:rsidP="00526D1F">
      <w:r>
        <w:t>T</w:t>
      </w:r>
      <w:r w:rsidR="00846370" w:rsidRPr="00846370">
        <w:t xml:space="preserve">aking account of these broader characteristics and protections, we are not persuaded that </w:t>
      </w:r>
      <w:r w:rsidR="00526D1F">
        <w:t>ActewAGL</w:t>
      </w:r>
      <w:r w:rsidR="00846370" w:rsidRPr="00846370">
        <w:t xml:space="preserve"> faces risks that threaten its financial viability. </w:t>
      </w:r>
    </w:p>
    <w:p w:rsidR="00623065" w:rsidRDefault="00B42DF6" w:rsidP="00B42DF6">
      <w:pPr>
        <w:pStyle w:val="Heading3"/>
      </w:pPr>
      <w:bookmarkStart w:id="17" w:name="_Ref417476492"/>
      <w:bookmarkStart w:id="18" w:name="_Toc417808619"/>
      <w:r>
        <w:t>Key assumptions</w:t>
      </w:r>
      <w:bookmarkEnd w:id="17"/>
      <w:bookmarkEnd w:id="18"/>
    </w:p>
    <w:p w:rsidR="00BA1DAD" w:rsidRDefault="000802DD" w:rsidP="00BA1DAD">
      <w:r>
        <w:t>This section includes further detail on</w:t>
      </w:r>
      <w:r w:rsidR="00131D06">
        <w:t xml:space="preserve"> the material assumptions in our analysis. Specifically</w:t>
      </w:r>
      <w:r>
        <w:t>:</w:t>
      </w:r>
    </w:p>
    <w:p w:rsidR="000802DD" w:rsidRDefault="000802DD" w:rsidP="000802DD">
      <w:pPr>
        <w:pStyle w:val="AERbulletlistfirststyle"/>
      </w:pPr>
      <w:r>
        <w:t xml:space="preserve">debt convergence—included in </w:t>
      </w:r>
      <w:r w:rsidR="00131D06">
        <w:t>all scenarios</w:t>
      </w:r>
    </w:p>
    <w:p w:rsidR="000802DD" w:rsidRDefault="000802DD" w:rsidP="000802DD">
      <w:pPr>
        <w:pStyle w:val="AERbulletlistfirststyle"/>
      </w:pPr>
      <w:proofErr w:type="spellStart"/>
      <w:r>
        <w:t>opex</w:t>
      </w:r>
      <w:proofErr w:type="spellEnd"/>
      <w:r>
        <w:t xml:space="preserve"> efficiency gains— included in scenarios </w:t>
      </w:r>
      <w:r w:rsidR="00131D06">
        <w:t>2</w:t>
      </w:r>
      <w:r>
        <w:t xml:space="preserve"> and </w:t>
      </w:r>
      <w:r w:rsidR="00131D06">
        <w:t>3</w:t>
      </w:r>
    </w:p>
    <w:p w:rsidR="000802DD" w:rsidRDefault="000802DD" w:rsidP="000802DD">
      <w:pPr>
        <w:pStyle w:val="AERbulletlistfirststyle"/>
      </w:pPr>
      <w:r>
        <w:t>hybrid tax calculation</w:t>
      </w:r>
      <w:r w:rsidR="00D22402">
        <w:t>—included in all scenarios</w:t>
      </w:r>
    </w:p>
    <w:p w:rsidR="00D22402" w:rsidRDefault="00D22402" w:rsidP="000802DD">
      <w:pPr>
        <w:pStyle w:val="AERbulletlistfirststyle"/>
      </w:pPr>
      <w:proofErr w:type="gramStart"/>
      <w:r>
        <w:t>interpretation</w:t>
      </w:r>
      <w:proofErr w:type="gramEnd"/>
      <w:r>
        <w:t xml:space="preserve"> of</w:t>
      </w:r>
      <w:r w:rsidR="00F76167">
        <w:t xml:space="preserve"> the regulatory</w:t>
      </w:r>
      <w:r>
        <w:t xml:space="preserve"> depreciation</w:t>
      </w:r>
      <w:r w:rsidR="00F76167">
        <w:t xml:space="preserve"> allowance</w:t>
      </w:r>
      <w:r>
        <w:t>.</w:t>
      </w:r>
    </w:p>
    <w:p w:rsidR="000802DD" w:rsidRDefault="00683876" w:rsidP="00683876">
      <w:pPr>
        <w:pStyle w:val="HeadingBoldBlue"/>
      </w:pPr>
      <w:r>
        <w:t>Debt convergence</w:t>
      </w:r>
    </w:p>
    <w:p w:rsidR="00120348" w:rsidRDefault="00120348" w:rsidP="00BA1DAD">
      <w:r>
        <w:t xml:space="preserve">One of the largest differences between </w:t>
      </w:r>
      <w:proofErr w:type="spellStart"/>
      <w:r w:rsidR="00526D1F">
        <w:t>ActewAGL</w:t>
      </w:r>
      <w:r>
        <w:t>'s</w:t>
      </w:r>
      <w:proofErr w:type="spellEnd"/>
      <w:r>
        <w:t xml:space="preserve"> revised proposal and our draft and final decisions is the approach to transition into the trailing average portfolio return on debt. Specifically:</w:t>
      </w:r>
    </w:p>
    <w:p w:rsidR="000802DD" w:rsidRDefault="00526D1F" w:rsidP="00120348">
      <w:pPr>
        <w:pStyle w:val="AERbulletlistfirststyle"/>
      </w:pPr>
      <w:r>
        <w:t>ActewAGL</w:t>
      </w:r>
      <w:r w:rsidR="00120348">
        <w:t xml:space="preserve"> proposed an immediate transition. This means that its starting (2014</w:t>
      </w:r>
      <w:r w:rsidR="00120348">
        <w:softHyphen/>
        <w:t>–15) portfolio is based on an average of the past 10 years of return on debt estimates.</w:t>
      </w:r>
    </w:p>
    <w:p w:rsidR="00120348" w:rsidRDefault="00120348" w:rsidP="00120348">
      <w:pPr>
        <w:pStyle w:val="AERbulletlistfirststyle"/>
      </w:pPr>
      <w:r>
        <w:t xml:space="preserve">Our decision </w:t>
      </w:r>
      <w:r w:rsidR="00C675AD">
        <w:t>commences with an on-the-day rate for existing debt and</w:t>
      </w:r>
      <w:r>
        <w:t xml:space="preserve"> a 10 year transition to the trailing average return on debt</w:t>
      </w:r>
      <w:r w:rsidR="00C675AD">
        <w:t xml:space="preserve"> for new debt</w:t>
      </w:r>
      <w:r>
        <w:t xml:space="preserve">.  </w:t>
      </w:r>
      <w:r w:rsidRPr="00120348">
        <w:t xml:space="preserve">This means that </w:t>
      </w:r>
      <w:proofErr w:type="spellStart"/>
      <w:r w:rsidR="00526D1F">
        <w:lastRenderedPageBreak/>
        <w:t>ActewAGL</w:t>
      </w:r>
      <w:r>
        <w:t>'s</w:t>
      </w:r>
      <w:proofErr w:type="spellEnd"/>
      <w:r w:rsidRPr="00120348">
        <w:t xml:space="preserve"> starting (2014</w:t>
      </w:r>
      <w:r w:rsidRPr="00120348">
        <w:softHyphen/>
        <w:t xml:space="preserve">–15) portfolio is </w:t>
      </w:r>
      <w:r>
        <w:t xml:space="preserve">equal to the annual estimate of the return on debt within </w:t>
      </w:r>
      <w:proofErr w:type="spellStart"/>
      <w:r w:rsidR="00526D1F">
        <w:t>ActewAGL</w:t>
      </w:r>
      <w:r>
        <w:t>'s</w:t>
      </w:r>
      <w:proofErr w:type="spellEnd"/>
      <w:r>
        <w:t xml:space="preserve"> nominated averaging period in that year.</w:t>
      </w:r>
    </w:p>
    <w:p w:rsidR="00120348" w:rsidRDefault="00120348" w:rsidP="00120348">
      <w:r>
        <w:t xml:space="preserve">Due to the difference in approaches, the starting difference in revenue between </w:t>
      </w:r>
      <w:proofErr w:type="spellStart"/>
      <w:r w:rsidR="00526D1F">
        <w:t>ActewAGL</w:t>
      </w:r>
      <w:r>
        <w:t>'s</w:t>
      </w:r>
      <w:proofErr w:type="spellEnd"/>
      <w:r>
        <w:t xml:space="preserve"> proposed approach and our decisions is substantial. However, under </w:t>
      </w:r>
      <w:proofErr w:type="spellStart"/>
      <w:r w:rsidR="00526D1F">
        <w:t>ActewAGL</w:t>
      </w:r>
      <w:r>
        <w:t>'s</w:t>
      </w:r>
      <w:proofErr w:type="spellEnd"/>
      <w:r>
        <w:t xml:space="preserve"> proposed approach and our decision, the return on debt portfolio will be updated each year to include 10 per cent weight on </w:t>
      </w:r>
      <w:r w:rsidR="00C675AD">
        <w:t>each subseque</w:t>
      </w:r>
      <w:r w:rsidR="00824D60">
        <w:t>n</w:t>
      </w:r>
      <w:r w:rsidR="00C675AD">
        <w:t xml:space="preserve">t </w:t>
      </w:r>
      <w:r>
        <w:t xml:space="preserve">year's estimate. This will impact both the revenue received by </w:t>
      </w:r>
      <w:r w:rsidR="00526D1F">
        <w:t>ActewAGL</w:t>
      </w:r>
      <w:r>
        <w:t xml:space="preserve"> and the costs it faces. </w:t>
      </w:r>
      <w:r w:rsidR="00C675AD">
        <w:t xml:space="preserve"> Consequently, once the full transition is complete in 10 years </w:t>
      </w:r>
      <w:proofErr w:type="spellStart"/>
      <w:r w:rsidR="00526D1F">
        <w:t>ActewAGL</w:t>
      </w:r>
      <w:r w:rsidR="00C675AD">
        <w:t>'s</w:t>
      </w:r>
      <w:proofErr w:type="spellEnd"/>
      <w:r w:rsidR="00C675AD">
        <w:t xml:space="preserve"> cost of debt and </w:t>
      </w:r>
      <w:r w:rsidR="00824D60">
        <w:t xml:space="preserve">allowed debt </w:t>
      </w:r>
      <w:r w:rsidR="00C675AD">
        <w:t xml:space="preserve">revenue </w:t>
      </w:r>
      <w:r w:rsidR="00824D60">
        <w:t xml:space="preserve">should </w:t>
      </w:r>
      <w:r w:rsidR="00C675AD">
        <w:t>correspond</w:t>
      </w:r>
      <w:r w:rsidR="009C5FB7">
        <w:t>, excluding relatively minor differences in the implementation of annual estimates of the return on debt</w:t>
      </w:r>
      <w:r w:rsidR="00C675AD">
        <w:t xml:space="preserve">. </w:t>
      </w:r>
    </w:p>
    <w:p w:rsidR="00787316" w:rsidRDefault="008742AA" w:rsidP="00120348">
      <w:r>
        <w:t>Therefore, we consider it is a more realistic assumption to ac</w:t>
      </w:r>
      <w:r w:rsidR="00787316">
        <w:t xml:space="preserve">count for this debt convergence when considering </w:t>
      </w:r>
      <w:proofErr w:type="spellStart"/>
      <w:r w:rsidR="00526D1F">
        <w:t>ActewAGL</w:t>
      </w:r>
      <w:r w:rsidR="00787316">
        <w:t>'s</w:t>
      </w:r>
      <w:proofErr w:type="spellEnd"/>
      <w:r w:rsidR="00787316">
        <w:t xml:space="preserve"> financial viability. To do so, we have included consistent forward estimates of the annual return on debt to model the progression of both our decision portfolio return on debt and </w:t>
      </w:r>
      <w:proofErr w:type="spellStart"/>
      <w:r w:rsidR="00526D1F">
        <w:t>ActewAGL</w:t>
      </w:r>
      <w:r w:rsidR="00787316">
        <w:t>'s</w:t>
      </w:r>
      <w:proofErr w:type="spellEnd"/>
      <w:r w:rsidR="00787316">
        <w:t xml:space="preserve"> proposed portfolio.</w:t>
      </w:r>
      <w:r w:rsidR="009C48F3">
        <w:t xml:space="preserve"> The calculations for this portfolio are set out in </w:t>
      </w:r>
      <w:r w:rsidR="00B41EEF">
        <w:fldChar w:fldCharType="begin"/>
      </w:r>
      <w:r w:rsidR="00B41EEF">
        <w:instrText xml:space="preserve"> REF _Ref416946373 \h </w:instrText>
      </w:r>
      <w:r w:rsidR="00B41EEF">
        <w:fldChar w:fldCharType="separate"/>
      </w:r>
      <w:r w:rsidR="00F63D58">
        <w:t>Table 20</w:t>
      </w:r>
      <w:r w:rsidR="00F63D58">
        <w:noBreakHyphen/>
      </w:r>
      <w:r w:rsidR="00F63D58">
        <w:rPr>
          <w:noProof/>
        </w:rPr>
        <w:t>3</w:t>
      </w:r>
      <w:r w:rsidR="00B41EEF">
        <w:fldChar w:fldCharType="end"/>
      </w:r>
      <w:r w:rsidR="00B41EEF">
        <w:t>.</w:t>
      </w:r>
    </w:p>
    <w:p w:rsidR="00D035C3" w:rsidRDefault="006F79D5" w:rsidP="006F79D5">
      <w:pPr>
        <w:pStyle w:val="Caption"/>
      </w:pPr>
      <w:bookmarkStart w:id="19" w:name="_Ref416946373"/>
      <w:r>
        <w:t xml:space="preserve">Table </w:t>
      </w:r>
      <w:r w:rsidR="00420A01">
        <w:t>20</w:t>
      </w:r>
      <w:r w:rsidR="0092532F">
        <w:noBreakHyphen/>
      </w:r>
      <w:fldSimple w:instr=" SEQ Table \* ARABIC \s 1 ">
        <w:r w:rsidR="00F63D58">
          <w:rPr>
            <w:noProof/>
          </w:rPr>
          <w:t>3</w:t>
        </w:r>
      </w:fldSimple>
      <w:bookmarkEnd w:id="19"/>
      <w:r>
        <w:tab/>
        <w:t>Debt convergence</w:t>
      </w:r>
      <w:r w:rsidR="00F70C39">
        <w:t xml:space="preserve"> (per cent)</w:t>
      </w:r>
    </w:p>
    <w:tbl>
      <w:tblPr>
        <w:tblStyle w:val="AERtable-numbers"/>
        <w:tblW w:w="0" w:type="auto"/>
        <w:tblLook w:val="04A0" w:firstRow="1" w:lastRow="0" w:firstColumn="1" w:lastColumn="0" w:noHBand="0" w:noVBand="1"/>
      </w:tblPr>
      <w:tblGrid>
        <w:gridCol w:w="1590"/>
        <w:gridCol w:w="1420"/>
        <w:gridCol w:w="1420"/>
        <w:gridCol w:w="1421"/>
        <w:gridCol w:w="1421"/>
        <w:gridCol w:w="1421"/>
      </w:tblGrid>
      <w:tr w:rsidR="009C48F3" w:rsidTr="00F63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0" w:type="dxa"/>
          </w:tcPr>
          <w:p w:rsidR="009C48F3" w:rsidRDefault="009C48F3" w:rsidP="00120348"/>
        </w:tc>
        <w:tc>
          <w:tcPr>
            <w:tcW w:w="1420"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2014–15</w:t>
            </w:r>
          </w:p>
        </w:tc>
        <w:tc>
          <w:tcPr>
            <w:tcW w:w="1420"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2015–16</w:t>
            </w:r>
          </w:p>
        </w:tc>
        <w:tc>
          <w:tcPr>
            <w:tcW w:w="1421"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2016–17</w:t>
            </w:r>
          </w:p>
        </w:tc>
        <w:tc>
          <w:tcPr>
            <w:tcW w:w="1421"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2017–18</w:t>
            </w:r>
          </w:p>
        </w:tc>
        <w:tc>
          <w:tcPr>
            <w:tcW w:w="1421"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2018–19</w:t>
            </w:r>
          </w:p>
        </w:tc>
      </w:tr>
      <w:tr w:rsidR="0092532F" w:rsidTr="0092532F">
        <w:tc>
          <w:tcPr>
            <w:cnfStyle w:val="001000000000" w:firstRow="0" w:lastRow="0" w:firstColumn="1" w:lastColumn="0" w:oddVBand="0" w:evenVBand="0" w:oddHBand="0" w:evenHBand="0" w:firstRowFirstColumn="0" w:firstRowLastColumn="0" w:lastRowFirstColumn="0" w:lastRowLastColumn="0"/>
            <w:tcW w:w="1590" w:type="dxa"/>
          </w:tcPr>
          <w:p w:rsidR="0092532F" w:rsidRPr="0092532F" w:rsidRDefault="0092532F" w:rsidP="0092532F">
            <w:r w:rsidRPr="0092532F">
              <w:t>Annual estimate of the return on debt</w:t>
            </w:r>
          </w:p>
        </w:tc>
        <w:tc>
          <w:tcPr>
            <w:tcW w:w="1420"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6.07</w:t>
            </w:r>
          </w:p>
        </w:tc>
        <w:tc>
          <w:tcPr>
            <w:tcW w:w="1420"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4.44</w:t>
            </w:r>
          </w:p>
        </w:tc>
        <w:tc>
          <w:tcPr>
            <w:tcW w:w="1421"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4.44</w:t>
            </w:r>
            <w:r w:rsidRPr="0092532F">
              <w:rPr>
                <w:rStyle w:val="AERsuperscript"/>
              </w:rPr>
              <w:t>a</w:t>
            </w:r>
          </w:p>
        </w:tc>
        <w:tc>
          <w:tcPr>
            <w:tcW w:w="1421"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4.44</w:t>
            </w:r>
            <w:r w:rsidRPr="0092532F">
              <w:rPr>
                <w:rStyle w:val="AERsuperscript"/>
              </w:rPr>
              <w:t>a</w:t>
            </w:r>
          </w:p>
        </w:tc>
        <w:tc>
          <w:tcPr>
            <w:tcW w:w="1421"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4.44</w:t>
            </w:r>
            <w:r w:rsidRPr="0092532F">
              <w:rPr>
                <w:rStyle w:val="AERsuperscript"/>
              </w:rPr>
              <w:t>a</w:t>
            </w:r>
          </w:p>
        </w:tc>
      </w:tr>
      <w:tr w:rsidR="009C48F3" w:rsidTr="0092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rsidR="009C48F3" w:rsidRDefault="009C48F3" w:rsidP="00120348"/>
        </w:tc>
        <w:tc>
          <w:tcPr>
            <w:tcW w:w="1420"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20"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21"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21"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21"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r>
      <w:tr w:rsidR="0092532F" w:rsidTr="0092532F">
        <w:tc>
          <w:tcPr>
            <w:cnfStyle w:val="001000000000" w:firstRow="0" w:lastRow="0" w:firstColumn="1" w:lastColumn="0" w:oddVBand="0" w:evenVBand="0" w:oddHBand="0" w:evenHBand="0" w:firstRowFirstColumn="0" w:firstRowLastColumn="0" w:lastRowFirstColumn="0" w:lastRowLastColumn="0"/>
            <w:tcW w:w="1590" w:type="dxa"/>
          </w:tcPr>
          <w:p w:rsidR="0092532F" w:rsidRPr="0092532F" w:rsidRDefault="0092532F" w:rsidP="0092532F">
            <w:proofErr w:type="spellStart"/>
            <w:r w:rsidRPr="0092532F">
              <w:t>ActewAGL's</w:t>
            </w:r>
            <w:proofErr w:type="spellEnd"/>
            <w:r w:rsidRPr="0092532F">
              <w:t xml:space="preserve"> portfolio</w:t>
            </w:r>
          </w:p>
        </w:tc>
        <w:tc>
          <w:tcPr>
            <w:tcW w:w="1420"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7.96</w:t>
            </w:r>
            <w:r w:rsidRPr="0092532F">
              <w:rPr>
                <w:rStyle w:val="AERsuperscript"/>
              </w:rPr>
              <w:t>b</w:t>
            </w:r>
          </w:p>
        </w:tc>
        <w:tc>
          <w:tcPr>
            <w:tcW w:w="1420"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7.61</w:t>
            </w:r>
          </w:p>
        </w:tc>
        <w:tc>
          <w:tcPr>
            <w:tcW w:w="1421"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7.26</w:t>
            </w:r>
          </w:p>
        </w:tc>
        <w:tc>
          <w:tcPr>
            <w:tcW w:w="1421"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6.90</w:t>
            </w:r>
          </w:p>
        </w:tc>
        <w:tc>
          <w:tcPr>
            <w:tcW w:w="1421"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6.55</w:t>
            </w:r>
          </w:p>
        </w:tc>
      </w:tr>
      <w:tr w:rsidR="0092532F" w:rsidTr="0092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rsidR="0092532F" w:rsidRPr="0092532F" w:rsidRDefault="0092532F" w:rsidP="0092532F">
            <w:r w:rsidRPr="0092532F">
              <w:t>AER portfolio</w:t>
            </w:r>
          </w:p>
        </w:tc>
        <w:tc>
          <w:tcPr>
            <w:tcW w:w="1420"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6.07</w:t>
            </w:r>
          </w:p>
        </w:tc>
        <w:tc>
          <w:tcPr>
            <w:tcW w:w="1420"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5.91</w:t>
            </w:r>
          </w:p>
        </w:tc>
        <w:tc>
          <w:tcPr>
            <w:tcW w:w="1421"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5.74</w:t>
            </w:r>
          </w:p>
        </w:tc>
        <w:tc>
          <w:tcPr>
            <w:tcW w:w="1421"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5.58</w:t>
            </w:r>
          </w:p>
        </w:tc>
        <w:tc>
          <w:tcPr>
            <w:tcW w:w="1421"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5.42</w:t>
            </w:r>
          </w:p>
        </w:tc>
      </w:tr>
      <w:tr w:rsidR="0092532F" w:rsidTr="0092532F">
        <w:tc>
          <w:tcPr>
            <w:cnfStyle w:val="001000000000" w:firstRow="0" w:lastRow="0" w:firstColumn="1" w:lastColumn="0" w:oddVBand="0" w:evenVBand="0" w:oddHBand="0" w:evenHBand="0" w:firstRowFirstColumn="0" w:firstRowLastColumn="0" w:lastRowFirstColumn="0" w:lastRowLastColumn="0"/>
            <w:tcW w:w="1590" w:type="dxa"/>
          </w:tcPr>
          <w:p w:rsidR="0092532F" w:rsidRPr="0092532F" w:rsidRDefault="0092532F" w:rsidP="00F63D58">
            <w:pPr>
              <w:keepNext/>
            </w:pPr>
            <w:r w:rsidRPr="0092532F">
              <w:t>Difference between portfolios</w:t>
            </w:r>
          </w:p>
        </w:tc>
        <w:tc>
          <w:tcPr>
            <w:tcW w:w="1420" w:type="dxa"/>
            <w:vAlign w:val="top"/>
          </w:tcPr>
          <w:p w:rsidR="0092532F" w:rsidRPr="0092532F" w:rsidRDefault="0092532F" w:rsidP="00F63D58">
            <w:pPr>
              <w:keepNext/>
              <w:cnfStyle w:val="000000000000" w:firstRow="0" w:lastRow="0" w:firstColumn="0" w:lastColumn="0" w:oddVBand="0" w:evenVBand="0" w:oddHBand="0" w:evenHBand="0" w:firstRowFirstColumn="0" w:firstRowLastColumn="0" w:lastRowFirstColumn="0" w:lastRowLastColumn="0"/>
            </w:pPr>
            <w:r>
              <w:t>-</w:t>
            </w:r>
            <w:r w:rsidRPr="0092532F">
              <w:t>1.89</w:t>
            </w:r>
          </w:p>
        </w:tc>
        <w:tc>
          <w:tcPr>
            <w:tcW w:w="1420" w:type="dxa"/>
            <w:vAlign w:val="top"/>
          </w:tcPr>
          <w:p w:rsidR="0092532F" w:rsidRPr="0092532F" w:rsidRDefault="0092532F" w:rsidP="00F63D58">
            <w:pPr>
              <w:keepNext/>
              <w:cnfStyle w:val="000000000000" w:firstRow="0" w:lastRow="0" w:firstColumn="0" w:lastColumn="0" w:oddVBand="0" w:evenVBand="0" w:oddHBand="0" w:evenHBand="0" w:firstRowFirstColumn="0" w:firstRowLastColumn="0" w:lastRowFirstColumn="0" w:lastRowLastColumn="0"/>
            </w:pPr>
            <w:r>
              <w:t>-</w:t>
            </w:r>
            <w:r w:rsidRPr="0092532F">
              <w:t>1.70</w:t>
            </w:r>
          </w:p>
        </w:tc>
        <w:tc>
          <w:tcPr>
            <w:tcW w:w="1421" w:type="dxa"/>
            <w:vAlign w:val="top"/>
          </w:tcPr>
          <w:p w:rsidR="0092532F" w:rsidRPr="0092532F" w:rsidRDefault="0092532F" w:rsidP="00F63D58">
            <w:pPr>
              <w:keepNext/>
              <w:cnfStyle w:val="000000000000" w:firstRow="0" w:lastRow="0" w:firstColumn="0" w:lastColumn="0" w:oddVBand="0" w:evenVBand="0" w:oddHBand="0" w:evenHBand="0" w:firstRowFirstColumn="0" w:firstRowLastColumn="0" w:lastRowFirstColumn="0" w:lastRowLastColumn="0"/>
            </w:pPr>
            <w:r>
              <w:t>-1.51</w:t>
            </w:r>
          </w:p>
        </w:tc>
        <w:tc>
          <w:tcPr>
            <w:tcW w:w="1421" w:type="dxa"/>
            <w:vAlign w:val="top"/>
          </w:tcPr>
          <w:p w:rsidR="0092532F" w:rsidRPr="0092532F" w:rsidRDefault="0092532F" w:rsidP="00F63D58">
            <w:pPr>
              <w:keepNext/>
              <w:cnfStyle w:val="000000000000" w:firstRow="0" w:lastRow="0" w:firstColumn="0" w:lastColumn="0" w:oddVBand="0" w:evenVBand="0" w:oddHBand="0" w:evenHBand="0" w:firstRowFirstColumn="0" w:firstRowLastColumn="0" w:lastRowFirstColumn="0" w:lastRowLastColumn="0"/>
            </w:pPr>
            <w:r>
              <w:t>-</w:t>
            </w:r>
            <w:r w:rsidRPr="0092532F">
              <w:t>1.32</w:t>
            </w:r>
          </w:p>
        </w:tc>
        <w:tc>
          <w:tcPr>
            <w:tcW w:w="1421" w:type="dxa"/>
            <w:vAlign w:val="top"/>
          </w:tcPr>
          <w:p w:rsidR="0092532F" w:rsidRPr="0092532F" w:rsidRDefault="0092532F" w:rsidP="00F63D58">
            <w:pPr>
              <w:keepNext/>
              <w:cnfStyle w:val="000000000000" w:firstRow="0" w:lastRow="0" w:firstColumn="0" w:lastColumn="0" w:oddVBand="0" w:evenVBand="0" w:oddHBand="0" w:evenHBand="0" w:firstRowFirstColumn="0" w:firstRowLastColumn="0" w:lastRowFirstColumn="0" w:lastRowLastColumn="0"/>
            </w:pPr>
            <w:r>
              <w:t>-</w:t>
            </w:r>
            <w:r w:rsidRPr="0092532F">
              <w:t>1.13</w:t>
            </w:r>
          </w:p>
        </w:tc>
      </w:tr>
    </w:tbl>
    <w:p w:rsidR="00D42E17" w:rsidRDefault="0034686F" w:rsidP="00F63D58">
      <w:pPr>
        <w:pStyle w:val="AERtablesource"/>
        <w:keepNext/>
      </w:pPr>
      <w:r>
        <w:t>(</w:t>
      </w:r>
      <w:r w:rsidR="00F660DD">
        <w:t>a</w:t>
      </w:r>
      <w:r>
        <w:t>)</w:t>
      </w:r>
      <w:r w:rsidR="000D7B79">
        <w:tab/>
      </w:r>
      <w:r w:rsidR="00F660DD">
        <w:t xml:space="preserve">For the forward estimates, we have used the most recent annual estimate held constant from 2016–17 to 2018–19. </w:t>
      </w:r>
      <w:r w:rsidR="000D7B79">
        <w:t>Regardless of what these inputs are, the portfolios will converge.</w:t>
      </w:r>
      <w:r w:rsidR="00D42E17">
        <w:t xml:space="preserve">  </w:t>
      </w:r>
    </w:p>
    <w:p w:rsidR="00607B37" w:rsidRDefault="0034686F" w:rsidP="00F63D58">
      <w:pPr>
        <w:pStyle w:val="AERtablesource"/>
        <w:keepNext/>
      </w:pPr>
      <w:r>
        <w:t>(</w:t>
      </w:r>
      <w:r w:rsidR="00D42E17">
        <w:t>b</w:t>
      </w:r>
      <w:r>
        <w:t>)</w:t>
      </w:r>
      <w:r w:rsidR="007B022A">
        <w:tab/>
      </w:r>
      <w:r w:rsidR="00131D06">
        <w:t>ActewAGL</w:t>
      </w:r>
      <w:r w:rsidR="007B022A">
        <w:t xml:space="preserve"> proposed a 10 year average of 7.9</w:t>
      </w:r>
      <w:r w:rsidR="00131D06">
        <w:t>6</w:t>
      </w:r>
      <w:r w:rsidR="007B022A">
        <w:t>. For simplicity, we have assumed the annual estimate for each past year is also equal to 7.9</w:t>
      </w:r>
      <w:r w:rsidR="00131D06">
        <w:t>6</w:t>
      </w:r>
      <w:r w:rsidR="007B022A">
        <w:t xml:space="preserve">. Therefore, each year through the regulatory control period, the annual estimate replaces </w:t>
      </w:r>
      <w:r w:rsidR="00607B37">
        <w:t>1 year (10 per cent) at 7.9</w:t>
      </w:r>
      <w:r w:rsidR="00131D06">
        <w:t>6</w:t>
      </w:r>
      <w:r w:rsidR="00607B37">
        <w:t xml:space="preserve"> per cent.</w:t>
      </w:r>
    </w:p>
    <w:p w:rsidR="00B41EEF" w:rsidRDefault="00B41EEF" w:rsidP="00FA14CF">
      <w:r>
        <w:t xml:space="preserve">We note that there are also differences between </w:t>
      </w:r>
      <w:proofErr w:type="spellStart"/>
      <w:r w:rsidR="00526D1F">
        <w:t>ActewAGL</w:t>
      </w:r>
      <w:r>
        <w:t>'s</w:t>
      </w:r>
      <w:proofErr w:type="spellEnd"/>
      <w:r>
        <w:t xml:space="preserve"> proposed implementation of the annual estimates for the return on debt and our draft decision. These relate primarily to the choice of third party data series. Specifically, </w:t>
      </w:r>
      <w:r w:rsidR="00526D1F">
        <w:t>ActewAGL</w:t>
      </w:r>
      <w:r>
        <w:t xml:space="preserve"> has proposed to rely entirely on the extrapolated RBA curve, whereas our draft and final decisions adopts a simple average of the extrapolated RBA curve and the extrapolated BVAL curve. However, we have excluded these differ</w:t>
      </w:r>
      <w:r w:rsidR="00FA14CF">
        <w:t xml:space="preserve">ences from our analysis because </w:t>
      </w:r>
      <w:r>
        <w:t>the difference between approaches is relatively less material</w:t>
      </w:r>
      <w:r w:rsidR="00FA14CF">
        <w:t>.</w:t>
      </w:r>
    </w:p>
    <w:p w:rsidR="006E7EB9" w:rsidRDefault="003B5A20" w:rsidP="003B5A20">
      <w:pPr>
        <w:pStyle w:val="HeadingBoldBlue"/>
      </w:pPr>
      <w:proofErr w:type="spellStart"/>
      <w:r>
        <w:t>Opex</w:t>
      </w:r>
      <w:proofErr w:type="spellEnd"/>
      <w:r>
        <w:t xml:space="preserve"> efficiency gains</w:t>
      </w:r>
    </w:p>
    <w:p w:rsidR="008A4188" w:rsidRDefault="00992736" w:rsidP="00992736">
      <w:r>
        <w:lastRenderedPageBreak/>
        <w:t xml:space="preserve">In scenario 1, we have assumed the service provider will spend its revised proposal </w:t>
      </w:r>
      <w:proofErr w:type="spellStart"/>
      <w:r>
        <w:t>opex</w:t>
      </w:r>
      <w:proofErr w:type="spellEnd"/>
      <w:r>
        <w:t xml:space="preserve"> forecast and will not make any efficiency </w:t>
      </w:r>
      <w:r w:rsidR="00C675AD">
        <w:t>savings</w:t>
      </w:r>
      <w:r>
        <w:t xml:space="preserve">. However, we expect that </w:t>
      </w:r>
      <w:r w:rsidR="00526D1F">
        <w:t>ActewAGL</w:t>
      </w:r>
      <w:r>
        <w:t xml:space="preserve"> will have a strong incentive to make efficiency gains where its forecast expenses are above the </w:t>
      </w:r>
      <w:proofErr w:type="spellStart"/>
      <w:r>
        <w:t>opex</w:t>
      </w:r>
      <w:proofErr w:type="spellEnd"/>
      <w:r>
        <w:t xml:space="preserve"> allowance in the final decis</w:t>
      </w:r>
      <w:r w:rsidR="008A4188">
        <w:t>ion. Therefore, we have modelled additional scenarios where the service provider is able to reduce the difference between:</w:t>
      </w:r>
    </w:p>
    <w:p w:rsidR="008A4188" w:rsidRDefault="008A4188" w:rsidP="008A4188">
      <w:pPr>
        <w:pStyle w:val="AERbulletlistfirststyle"/>
      </w:pPr>
      <w:r>
        <w:t xml:space="preserve">its revised proposal </w:t>
      </w:r>
      <w:proofErr w:type="spellStart"/>
      <w:r>
        <w:t>opex</w:t>
      </w:r>
      <w:proofErr w:type="spellEnd"/>
      <w:r w:rsidR="00F63D58">
        <w:t>,</w:t>
      </w:r>
      <w:r>
        <w:t xml:space="preserve"> and </w:t>
      </w:r>
    </w:p>
    <w:p w:rsidR="00D22402" w:rsidRDefault="008A4188" w:rsidP="005E3E8F">
      <w:pPr>
        <w:pStyle w:val="AERbulletlistfirststyle"/>
      </w:pPr>
      <w:proofErr w:type="gramStart"/>
      <w:r>
        <w:t>our</w:t>
      </w:r>
      <w:proofErr w:type="gramEnd"/>
      <w:r>
        <w:t xml:space="preserve"> final decision on the </w:t>
      </w:r>
      <w:proofErr w:type="spellStart"/>
      <w:r>
        <w:t>opex</w:t>
      </w:r>
      <w:proofErr w:type="spellEnd"/>
      <w:r>
        <w:t xml:space="preserve"> that would be faced by the benchmark efficient entity.</w:t>
      </w:r>
    </w:p>
    <w:p w:rsidR="00DC509F" w:rsidRDefault="00213773" w:rsidP="00602A79">
      <w:r>
        <w:t xml:space="preserve">In scenario </w:t>
      </w:r>
      <w:r w:rsidR="007C38BE">
        <w:t>2</w:t>
      </w:r>
      <w:r>
        <w:t xml:space="preserve">, we assume </w:t>
      </w:r>
      <w:r w:rsidR="00526D1F">
        <w:t>ActewAGL</w:t>
      </w:r>
      <w:r>
        <w:t xml:space="preserve"> </w:t>
      </w:r>
      <w:r w:rsidR="008A6BC9">
        <w:t xml:space="preserve">reduces the difference between its proposed </w:t>
      </w:r>
      <w:proofErr w:type="spellStart"/>
      <w:r w:rsidR="008A6BC9">
        <w:t>opex</w:t>
      </w:r>
      <w:proofErr w:type="spellEnd"/>
      <w:r w:rsidR="008A6BC9">
        <w:t xml:space="preserve"> and our (indicative) final decision by </w:t>
      </w:r>
      <w:r>
        <w:t>10 per cent per year.</w:t>
      </w:r>
      <w:r w:rsidR="00602A79">
        <w:t xml:space="preserve"> </w:t>
      </w:r>
      <w:r w:rsidR="00602A79" w:rsidRPr="00602A79">
        <w:t xml:space="preserve">This means it would reach our </w:t>
      </w:r>
      <w:proofErr w:type="spellStart"/>
      <w:r w:rsidR="00602A79" w:rsidRPr="00602A79">
        <w:t>opex</w:t>
      </w:r>
      <w:proofErr w:type="spellEnd"/>
      <w:r w:rsidR="00602A79" w:rsidRPr="00602A79">
        <w:t xml:space="preserve"> target in 10 years. </w:t>
      </w:r>
      <w:r>
        <w:t xml:space="preserve">In scenario </w:t>
      </w:r>
      <w:r w:rsidR="007C38BE">
        <w:t>3</w:t>
      </w:r>
      <w:r>
        <w:t xml:space="preserve">, we assume </w:t>
      </w:r>
      <w:r w:rsidR="00526D1F">
        <w:t>ActewAGL</w:t>
      </w:r>
      <w:r>
        <w:t xml:space="preserve"> </w:t>
      </w:r>
      <w:r w:rsidR="008A6BC9">
        <w:t xml:space="preserve">reduces the difference between its proposed </w:t>
      </w:r>
      <w:proofErr w:type="spellStart"/>
      <w:r w:rsidR="008A6BC9">
        <w:t>opex</w:t>
      </w:r>
      <w:proofErr w:type="spellEnd"/>
      <w:r w:rsidR="008A6BC9">
        <w:t xml:space="preserve"> and our (indicative) final decision by</w:t>
      </w:r>
      <w:r w:rsidR="00DC509F">
        <w:t xml:space="preserve"> 20 per cent per year</w:t>
      </w:r>
      <w:r>
        <w:t>.</w:t>
      </w:r>
      <w:r w:rsidR="00DC509F" w:rsidRPr="00DC509F">
        <w:t xml:space="preserve"> </w:t>
      </w:r>
      <w:r w:rsidR="00602A79" w:rsidRPr="00602A79">
        <w:t>This means it w</w:t>
      </w:r>
      <w:r w:rsidR="00602A79">
        <w:t xml:space="preserve">ould reach our </w:t>
      </w:r>
      <w:proofErr w:type="spellStart"/>
      <w:r w:rsidR="00602A79">
        <w:t>opex</w:t>
      </w:r>
      <w:proofErr w:type="spellEnd"/>
      <w:r w:rsidR="00602A79">
        <w:t xml:space="preserve"> target in 5</w:t>
      </w:r>
      <w:r w:rsidR="00602A79" w:rsidRPr="00602A79">
        <w:t xml:space="preserve"> years.</w:t>
      </w:r>
    </w:p>
    <w:p w:rsidR="00213773" w:rsidRPr="00D42E17" w:rsidRDefault="00213773" w:rsidP="00D22402">
      <w:r>
        <w:t xml:space="preserve"> We have not attempted to determine which of scenarios </w:t>
      </w:r>
      <w:r w:rsidR="007C38BE">
        <w:t>1</w:t>
      </w:r>
      <w:r>
        <w:t>–</w:t>
      </w:r>
      <w:r w:rsidR="007C38BE">
        <w:t>3</w:t>
      </w:r>
      <w:r>
        <w:t xml:space="preserve"> is the most plausible, but have used the results to assess the sensitivity of the conclusions to whether the service provider can improve its </w:t>
      </w:r>
      <w:proofErr w:type="spellStart"/>
      <w:r>
        <w:t>opex</w:t>
      </w:r>
      <w:proofErr w:type="spellEnd"/>
      <w:r>
        <w:t xml:space="preserve"> efficiency.</w:t>
      </w:r>
    </w:p>
    <w:p w:rsidR="00D42E17" w:rsidRDefault="00D62C6C" w:rsidP="00D62C6C">
      <w:pPr>
        <w:pStyle w:val="Caption"/>
      </w:pPr>
      <w:r>
        <w:t xml:space="preserve">Table </w:t>
      </w:r>
      <w:fldSimple w:instr=" STYLEREF 1 \s ">
        <w:r w:rsidR="00F63D58">
          <w:rPr>
            <w:noProof/>
          </w:rPr>
          <w:t>20</w:t>
        </w:r>
      </w:fldSimple>
      <w:r w:rsidR="0092532F">
        <w:noBreakHyphen/>
      </w:r>
      <w:fldSimple w:instr=" SEQ Table \* ARABIC \s 1 ">
        <w:r w:rsidR="00F63D58">
          <w:rPr>
            <w:noProof/>
          </w:rPr>
          <w:t>4</w:t>
        </w:r>
      </w:fldSimple>
      <w:r>
        <w:tab/>
      </w:r>
      <w:proofErr w:type="spellStart"/>
      <w:r>
        <w:t>Opex</w:t>
      </w:r>
      <w:proofErr w:type="spellEnd"/>
      <w:r>
        <w:t xml:space="preserve"> efficiency gains</w:t>
      </w:r>
      <w:r w:rsidR="00F70C39">
        <w:t xml:space="preserve"> ($ million, 20</w:t>
      </w:r>
      <w:r w:rsidR="00424AFD">
        <w:t>13</w:t>
      </w:r>
      <w:r w:rsidR="00F70C39">
        <w:t>–1</w:t>
      </w:r>
      <w:r w:rsidR="00424AFD">
        <w:t>4</w:t>
      </w:r>
      <w:r w:rsidR="00F70C39">
        <w:t>)</w:t>
      </w:r>
    </w:p>
    <w:tbl>
      <w:tblPr>
        <w:tblStyle w:val="AERtable-numbers"/>
        <w:tblW w:w="0" w:type="auto"/>
        <w:tblLook w:val="04A0" w:firstRow="1" w:lastRow="0" w:firstColumn="1" w:lastColumn="0" w:noHBand="0" w:noVBand="1"/>
      </w:tblPr>
      <w:tblGrid>
        <w:gridCol w:w="1050"/>
        <w:gridCol w:w="1479"/>
        <w:gridCol w:w="1248"/>
        <w:gridCol w:w="1242"/>
        <w:gridCol w:w="1249"/>
        <w:gridCol w:w="1249"/>
        <w:gridCol w:w="1176"/>
      </w:tblGrid>
      <w:tr w:rsidR="0034686F" w:rsidTr="00F63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0" w:type="dxa"/>
          </w:tcPr>
          <w:p w:rsidR="0034686F" w:rsidRDefault="0034686F" w:rsidP="00D42E17">
            <w:r>
              <w:t>Item</w:t>
            </w:r>
          </w:p>
        </w:tc>
        <w:tc>
          <w:tcPr>
            <w:tcW w:w="1479"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p>
        </w:tc>
        <w:tc>
          <w:tcPr>
            <w:tcW w:w="1248"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2014–15</w:t>
            </w:r>
          </w:p>
        </w:tc>
        <w:tc>
          <w:tcPr>
            <w:tcW w:w="1242"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2015</w:t>
            </w:r>
            <w:r>
              <w:softHyphen/>
              <w:t>–16</w:t>
            </w:r>
          </w:p>
        </w:tc>
        <w:tc>
          <w:tcPr>
            <w:tcW w:w="1249"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2016–17</w:t>
            </w:r>
          </w:p>
        </w:tc>
        <w:tc>
          <w:tcPr>
            <w:tcW w:w="1249"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2017–18</w:t>
            </w:r>
          </w:p>
        </w:tc>
        <w:tc>
          <w:tcPr>
            <w:tcW w:w="1176"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2018–19</w:t>
            </w:r>
          </w:p>
        </w:tc>
      </w:tr>
      <w:tr w:rsidR="0092532F" w:rsidTr="0092532F">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r w:rsidRPr="0092532F">
              <w:t>1</w:t>
            </w:r>
          </w:p>
        </w:tc>
        <w:tc>
          <w:tcPr>
            <w:tcW w:w="147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AER indicative final decision</w:t>
            </w:r>
          </w:p>
        </w:tc>
        <w:tc>
          <w:tcPr>
            <w:tcW w:w="1248"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38.4</w:t>
            </w:r>
          </w:p>
        </w:tc>
        <w:tc>
          <w:tcPr>
            <w:tcW w:w="1242"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39.4</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39.9</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40.7</w:t>
            </w:r>
          </w:p>
        </w:tc>
        <w:tc>
          <w:tcPr>
            <w:tcW w:w="1176"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41.9</w:t>
            </w:r>
          </w:p>
        </w:tc>
      </w:tr>
      <w:tr w:rsidR="0092532F" w:rsidTr="0092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r w:rsidRPr="0092532F">
              <w:t>2</w:t>
            </w:r>
          </w:p>
        </w:tc>
        <w:tc>
          <w:tcPr>
            <w:tcW w:w="147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ActewAGL revised proposal</w:t>
            </w:r>
          </w:p>
        </w:tc>
        <w:tc>
          <w:tcPr>
            <w:tcW w:w="1248"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61.0</w:t>
            </w:r>
          </w:p>
        </w:tc>
        <w:tc>
          <w:tcPr>
            <w:tcW w:w="1242"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60.2</w:t>
            </w: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58.6</w:t>
            </w: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60.1</w:t>
            </w:r>
          </w:p>
        </w:tc>
        <w:tc>
          <w:tcPr>
            <w:tcW w:w="1176"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61.1</w:t>
            </w:r>
          </w:p>
        </w:tc>
      </w:tr>
      <w:tr w:rsidR="0092532F" w:rsidTr="0092532F">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r w:rsidRPr="0092532F">
              <w:t>3</w:t>
            </w:r>
          </w:p>
        </w:tc>
        <w:tc>
          <w:tcPr>
            <w:tcW w:w="147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 xml:space="preserve">Difference between costs and efficient </w:t>
            </w:r>
            <w:proofErr w:type="spellStart"/>
            <w:r w:rsidRPr="0092532F">
              <w:t>baseline</w:t>
            </w:r>
            <w:r w:rsidR="00E30A75">
              <w:rPr>
                <w:rStyle w:val="AERsuperscript"/>
              </w:rPr>
              <w:t>a</w:t>
            </w:r>
            <w:proofErr w:type="spellEnd"/>
          </w:p>
        </w:tc>
        <w:tc>
          <w:tcPr>
            <w:tcW w:w="1248"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22.6</w:t>
            </w:r>
          </w:p>
        </w:tc>
        <w:tc>
          <w:tcPr>
            <w:tcW w:w="1242"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20.8</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18.7</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19.4</w:t>
            </w:r>
          </w:p>
        </w:tc>
        <w:tc>
          <w:tcPr>
            <w:tcW w:w="1176"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19.2</w:t>
            </w:r>
          </w:p>
        </w:tc>
      </w:tr>
      <w:tr w:rsidR="0092532F" w:rsidTr="0092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r w:rsidRPr="0092532F">
              <w:t>4</w:t>
            </w:r>
          </w:p>
        </w:tc>
        <w:tc>
          <w:tcPr>
            <w:tcW w:w="1479" w:type="dxa"/>
            <w:vAlign w:val="top"/>
          </w:tcPr>
          <w:p w:rsidR="0092532F" w:rsidRPr="0092532F" w:rsidRDefault="0092532F" w:rsidP="00E30A75">
            <w:pPr>
              <w:cnfStyle w:val="000000010000" w:firstRow="0" w:lastRow="0" w:firstColumn="0" w:lastColumn="0" w:oddVBand="0" w:evenVBand="0" w:oddHBand="0" w:evenHBand="1" w:firstRowFirstColumn="0" w:firstRowLastColumn="0" w:lastRowFirstColumn="0" w:lastRowLastColumn="0"/>
            </w:pPr>
            <w:r w:rsidRPr="0092532F">
              <w:t>Difference with 50% efficiency gains (10% p.a.)</w:t>
            </w:r>
            <w:r w:rsidR="00E30A75">
              <w:rPr>
                <w:rStyle w:val="AERsuperscript"/>
              </w:rPr>
              <w:t>b</w:t>
            </w:r>
          </w:p>
        </w:tc>
        <w:tc>
          <w:tcPr>
            <w:tcW w:w="1248"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20.3</w:t>
            </w:r>
          </w:p>
        </w:tc>
        <w:tc>
          <w:tcPr>
            <w:tcW w:w="1242"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16.7</w:t>
            </w: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13.1</w:t>
            </w: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11.7</w:t>
            </w:r>
          </w:p>
        </w:tc>
        <w:tc>
          <w:tcPr>
            <w:tcW w:w="1176"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9.6</w:t>
            </w:r>
          </w:p>
        </w:tc>
      </w:tr>
      <w:tr w:rsidR="0092532F" w:rsidTr="0092532F">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r w:rsidRPr="0092532F">
              <w:t>5</w:t>
            </w:r>
          </w:p>
        </w:tc>
        <w:tc>
          <w:tcPr>
            <w:tcW w:w="147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Difference with 100% efficiency gains (20% p.a.)</w:t>
            </w:r>
            <w:r w:rsidR="00E30A75">
              <w:rPr>
                <w:rStyle w:val="AERsuperscript"/>
              </w:rPr>
              <w:t>c</w:t>
            </w:r>
          </w:p>
        </w:tc>
        <w:tc>
          <w:tcPr>
            <w:tcW w:w="1248"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18.1</w:t>
            </w:r>
          </w:p>
        </w:tc>
        <w:tc>
          <w:tcPr>
            <w:tcW w:w="1242"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12.5</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7.5</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3.9</w:t>
            </w:r>
          </w:p>
        </w:tc>
        <w:tc>
          <w:tcPr>
            <w:tcW w:w="1176"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0.0</w:t>
            </w:r>
          </w:p>
        </w:tc>
      </w:tr>
      <w:tr w:rsidR="0092532F" w:rsidTr="0092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tc>
        <w:tc>
          <w:tcPr>
            <w:tcW w:w="1479" w:type="dxa"/>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p>
        </w:tc>
        <w:tc>
          <w:tcPr>
            <w:tcW w:w="1248"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p>
        </w:tc>
        <w:tc>
          <w:tcPr>
            <w:tcW w:w="1242"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p>
        </w:tc>
        <w:tc>
          <w:tcPr>
            <w:tcW w:w="1176"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p>
        </w:tc>
      </w:tr>
      <w:tr w:rsidR="0092532F" w:rsidTr="0092532F">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r w:rsidRPr="0092532F">
              <w:t>6</w:t>
            </w:r>
          </w:p>
        </w:tc>
        <w:tc>
          <w:tcPr>
            <w:tcW w:w="1479" w:type="dxa"/>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proofErr w:type="spellStart"/>
            <w:r w:rsidRPr="0092532F">
              <w:t>Opex</w:t>
            </w:r>
            <w:proofErr w:type="spellEnd"/>
            <w:r w:rsidRPr="0092532F">
              <w:t xml:space="preserve"> costs with 50% efficiency </w:t>
            </w:r>
            <w:proofErr w:type="spellStart"/>
            <w:r w:rsidRPr="0092532F">
              <w:t>gains</w:t>
            </w:r>
            <w:r w:rsidR="00E30A75">
              <w:rPr>
                <w:rStyle w:val="AERsuperscript"/>
              </w:rPr>
              <w:t>d</w:t>
            </w:r>
            <w:proofErr w:type="spellEnd"/>
          </w:p>
        </w:tc>
        <w:tc>
          <w:tcPr>
            <w:tcW w:w="1248"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58.7</w:t>
            </w:r>
          </w:p>
        </w:tc>
        <w:tc>
          <w:tcPr>
            <w:tcW w:w="1242"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56.0</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53.0</w:t>
            </w:r>
          </w:p>
        </w:tc>
        <w:tc>
          <w:tcPr>
            <w:tcW w:w="1249"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52.3</w:t>
            </w:r>
          </w:p>
        </w:tc>
        <w:tc>
          <w:tcPr>
            <w:tcW w:w="1176" w:type="dxa"/>
            <w:vAlign w:val="top"/>
          </w:tcPr>
          <w:p w:rsidR="0092532F" w:rsidRPr="0092532F" w:rsidRDefault="0092532F" w:rsidP="0092532F">
            <w:pPr>
              <w:cnfStyle w:val="000000000000" w:firstRow="0" w:lastRow="0" w:firstColumn="0" w:lastColumn="0" w:oddVBand="0" w:evenVBand="0" w:oddHBand="0" w:evenHBand="0" w:firstRowFirstColumn="0" w:firstRowLastColumn="0" w:lastRowFirstColumn="0" w:lastRowLastColumn="0"/>
            </w:pPr>
            <w:r w:rsidRPr="0092532F">
              <w:t>51.5</w:t>
            </w:r>
          </w:p>
        </w:tc>
      </w:tr>
      <w:tr w:rsidR="0092532F" w:rsidTr="0092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rsidR="0092532F" w:rsidRPr="0092532F" w:rsidRDefault="0092532F" w:rsidP="0092532F">
            <w:r w:rsidRPr="0092532F">
              <w:t>7</w:t>
            </w:r>
          </w:p>
        </w:tc>
        <w:tc>
          <w:tcPr>
            <w:tcW w:w="1479" w:type="dxa"/>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proofErr w:type="spellStart"/>
            <w:r w:rsidRPr="0092532F">
              <w:t>Opex</w:t>
            </w:r>
            <w:proofErr w:type="spellEnd"/>
            <w:r w:rsidRPr="0092532F">
              <w:t xml:space="preserve"> costs with 100% efficiency </w:t>
            </w:r>
            <w:proofErr w:type="spellStart"/>
            <w:r w:rsidRPr="0092532F">
              <w:t>gains</w:t>
            </w:r>
            <w:r w:rsidR="00E30A75">
              <w:rPr>
                <w:rStyle w:val="AERsuperscript"/>
              </w:rPr>
              <w:t>e</w:t>
            </w:r>
            <w:proofErr w:type="spellEnd"/>
          </w:p>
        </w:tc>
        <w:tc>
          <w:tcPr>
            <w:tcW w:w="1248"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56.5</w:t>
            </w:r>
          </w:p>
        </w:tc>
        <w:tc>
          <w:tcPr>
            <w:tcW w:w="1242"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51.9</w:t>
            </w: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47.4</w:t>
            </w:r>
          </w:p>
        </w:tc>
        <w:tc>
          <w:tcPr>
            <w:tcW w:w="1249"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44.5</w:t>
            </w:r>
          </w:p>
        </w:tc>
        <w:tc>
          <w:tcPr>
            <w:tcW w:w="1176" w:type="dxa"/>
            <w:vAlign w:val="top"/>
          </w:tcPr>
          <w:p w:rsidR="0092532F" w:rsidRPr="0092532F" w:rsidRDefault="0092532F" w:rsidP="0092532F">
            <w:pPr>
              <w:cnfStyle w:val="000000010000" w:firstRow="0" w:lastRow="0" w:firstColumn="0" w:lastColumn="0" w:oddVBand="0" w:evenVBand="0" w:oddHBand="0" w:evenHBand="1" w:firstRowFirstColumn="0" w:firstRowLastColumn="0" w:lastRowFirstColumn="0" w:lastRowLastColumn="0"/>
            </w:pPr>
            <w:r w:rsidRPr="0092532F">
              <w:t>41.9</w:t>
            </w:r>
          </w:p>
        </w:tc>
      </w:tr>
    </w:tbl>
    <w:p w:rsidR="0034686F" w:rsidRDefault="0034686F" w:rsidP="00DA0E23">
      <w:pPr>
        <w:pStyle w:val="AERtablesource"/>
      </w:pPr>
    </w:p>
    <w:p w:rsidR="0034686F" w:rsidRDefault="00E30A75" w:rsidP="0034686F">
      <w:pPr>
        <w:pStyle w:val="AERtablesource"/>
      </w:pPr>
      <w:r w:rsidDel="00E30A75">
        <w:t xml:space="preserve"> </w:t>
      </w:r>
      <w:r w:rsidR="0034686F">
        <w:t>(</w:t>
      </w:r>
      <w:r>
        <w:t>a</w:t>
      </w:r>
      <w:r w:rsidR="0034686F">
        <w:t>)</w:t>
      </w:r>
      <w:r w:rsidR="0034686F">
        <w:tab/>
        <w:t>This is equal to item 2 less item 1</w:t>
      </w:r>
    </w:p>
    <w:p w:rsidR="0034686F" w:rsidRDefault="0034686F" w:rsidP="0034686F">
      <w:pPr>
        <w:pStyle w:val="AERtablesource"/>
      </w:pPr>
      <w:r>
        <w:t>(</w:t>
      </w:r>
      <w:r w:rsidR="00E30A75">
        <w:t>b</w:t>
      </w:r>
      <w:r>
        <w:t>)</w:t>
      </w:r>
      <w:r>
        <w:tab/>
        <w:t>This is equal to item 3 reduced by 10 pe</w:t>
      </w:r>
      <w:r w:rsidR="00D842BC">
        <w:t xml:space="preserve">r cent per year. For example: </w:t>
      </w:r>
      <w:r w:rsidR="0092532F">
        <w:t>20.3</w:t>
      </w:r>
      <w:r w:rsidR="0003782C">
        <w:t xml:space="preserve"> = </w:t>
      </w:r>
      <w:r w:rsidR="0092532F">
        <w:t>22.6</w:t>
      </w:r>
      <w:r w:rsidR="0003782C">
        <w:t xml:space="preserve"> * (100-10</w:t>
      </w:r>
      <w:proofErr w:type="gramStart"/>
      <w:r w:rsidR="0003782C">
        <w:t>)%</w:t>
      </w:r>
      <w:proofErr w:type="gramEnd"/>
      <w:r w:rsidR="0003782C">
        <w:t xml:space="preserve">. Then, </w:t>
      </w:r>
      <w:r w:rsidR="0092532F">
        <w:t>16.7</w:t>
      </w:r>
      <w:r w:rsidR="0003782C">
        <w:t xml:space="preserve"> = </w:t>
      </w:r>
      <w:r w:rsidR="0092532F">
        <w:t>20.8</w:t>
      </w:r>
      <w:r>
        <w:t xml:space="preserve"> * (100-10-10</w:t>
      </w:r>
      <w:proofErr w:type="gramStart"/>
      <w:r>
        <w:t>)%</w:t>
      </w:r>
      <w:proofErr w:type="gramEnd"/>
      <w:r>
        <w:t xml:space="preserve"> </w:t>
      </w:r>
      <w:r w:rsidR="00F63D58">
        <w:t>etc.</w:t>
      </w:r>
    </w:p>
    <w:p w:rsidR="0034686F" w:rsidRDefault="0034686F" w:rsidP="0034686F">
      <w:pPr>
        <w:pStyle w:val="AERtablesource"/>
      </w:pPr>
      <w:r>
        <w:lastRenderedPageBreak/>
        <w:t>(</w:t>
      </w:r>
      <w:r w:rsidR="00E30A75">
        <w:t>c</w:t>
      </w:r>
      <w:r>
        <w:t>)</w:t>
      </w:r>
      <w:r>
        <w:tab/>
        <w:t>This is equal to item 3 reduced by 20 per cent per annum using the approach as described in note (c).</w:t>
      </w:r>
    </w:p>
    <w:p w:rsidR="0034686F" w:rsidRDefault="0034686F" w:rsidP="0034686F">
      <w:pPr>
        <w:pStyle w:val="AERtablesource"/>
      </w:pPr>
      <w:r>
        <w:t>(</w:t>
      </w:r>
      <w:r w:rsidR="00E30A75">
        <w:t>d</w:t>
      </w:r>
      <w:r>
        <w:t>)</w:t>
      </w:r>
      <w:r>
        <w:tab/>
        <w:t>This is equal to item 1 + item 4</w:t>
      </w:r>
    </w:p>
    <w:p w:rsidR="0034686F" w:rsidRPr="0034686F" w:rsidRDefault="0034686F" w:rsidP="0034686F">
      <w:pPr>
        <w:pStyle w:val="AERtablesource"/>
      </w:pPr>
      <w:r>
        <w:t>(</w:t>
      </w:r>
      <w:r w:rsidR="00E30A75">
        <w:t>e</w:t>
      </w:r>
      <w:r>
        <w:t>)</w:t>
      </w:r>
      <w:r>
        <w:tab/>
        <w:t>This is equal to item 1 + item 5.</w:t>
      </w:r>
    </w:p>
    <w:p w:rsidR="00120348" w:rsidRDefault="005E3E8F" w:rsidP="005E3E8F">
      <w:pPr>
        <w:pStyle w:val="HeadingBoldBlue"/>
      </w:pPr>
      <w:r>
        <w:t>Hybrid tax allowance</w:t>
      </w:r>
    </w:p>
    <w:p w:rsidR="005E3E8F" w:rsidRDefault="00973DBE" w:rsidP="00120348">
      <w:r>
        <w:t>The PTRM includes calculations of the benchmark tax allowance. These are based on the tax revenues and tax expenses generated within the building blocks multiplied by the benchmark rate of corporate taxation, less the value of imputation credits. However, to more accurately model the short term financial obligation imposed by tax, we have made the following adjustments:</w:t>
      </w:r>
    </w:p>
    <w:p w:rsidR="00973DBE" w:rsidRDefault="00496960" w:rsidP="00973DBE">
      <w:pPr>
        <w:pStyle w:val="AERbulletlistfirststyle"/>
      </w:pPr>
      <w:r>
        <w:t xml:space="preserve">On the revenue side - </w:t>
      </w:r>
      <w:r w:rsidR="00973DBE">
        <w:t xml:space="preserve">rather than the internally generated revenue within the service providers' revised proposal PTRMs, we have </w:t>
      </w:r>
      <w:r w:rsidR="008954F1">
        <w:t>used the smoothed revenue from our decision to calculate tax</w:t>
      </w:r>
    </w:p>
    <w:p w:rsidR="008954F1" w:rsidRDefault="00496960" w:rsidP="00973DBE">
      <w:pPr>
        <w:pStyle w:val="AERbulletlistfirststyle"/>
      </w:pPr>
      <w:r>
        <w:t xml:space="preserve">On the revenue side - </w:t>
      </w:r>
      <w:r w:rsidR="008954F1">
        <w:t xml:space="preserve">further, while redeemed imputation credits ultimately provide a return to equity holders, they do so after the service provider has had to pay the face value of tax. Therefore, we have excluded the value of imputation credits from the tax </w:t>
      </w:r>
      <w:r>
        <w:t xml:space="preserve">allowance cash flows </w:t>
      </w:r>
      <w:r w:rsidR="008954F1">
        <w:t>estimate. This has the effect of understating the final return to equity holders in years where the service providers pay tax.</w:t>
      </w:r>
    </w:p>
    <w:p w:rsidR="008954F1" w:rsidRDefault="00496960" w:rsidP="00973DBE">
      <w:pPr>
        <w:pStyle w:val="AERbulletlistfirststyle"/>
      </w:pPr>
      <w:r>
        <w:t xml:space="preserve">On the expenditure side - </w:t>
      </w:r>
      <w:r w:rsidR="008954F1">
        <w:t>however, to recognise the costs that the service provider proposes to face, we have used its proposed tax expenses</w:t>
      </w:r>
      <w:r w:rsidR="00D22402">
        <w:t>.</w:t>
      </w:r>
    </w:p>
    <w:p w:rsidR="00120348" w:rsidRDefault="00947FD9" w:rsidP="00947FD9">
      <w:pPr>
        <w:pStyle w:val="HeadingBoldBlue"/>
      </w:pPr>
      <w:r>
        <w:t>Interpretation of</w:t>
      </w:r>
      <w:r w:rsidR="00F76167">
        <w:t xml:space="preserve"> the regulatory</w:t>
      </w:r>
      <w:r>
        <w:t xml:space="preserve"> depreciation</w:t>
      </w:r>
      <w:r w:rsidR="00F76167">
        <w:t xml:space="preserve"> allowance</w:t>
      </w:r>
    </w:p>
    <w:p w:rsidR="00DD13F7" w:rsidRDefault="00DD13F7" w:rsidP="00DD13F7">
      <w:r>
        <w:t>Under the building block revenue framework, service providers recover a regulatory depreciation allowance. This allowance returns to the service provider the face value of its capital investment over time. This can then be:</w:t>
      </w:r>
    </w:p>
    <w:p w:rsidR="00DD13F7" w:rsidRDefault="00DD13F7" w:rsidP="00DD13F7">
      <w:pPr>
        <w:pStyle w:val="AERbulletlistfirststyle"/>
      </w:pPr>
      <w:r>
        <w:t>used to pay the face value of debt as it is retired</w:t>
      </w:r>
    </w:p>
    <w:p w:rsidR="00947FD9" w:rsidRDefault="00DD13F7" w:rsidP="00DD13F7">
      <w:pPr>
        <w:pStyle w:val="AERbulletlistfirststyle"/>
      </w:pPr>
      <w:proofErr w:type="gramStart"/>
      <w:r>
        <w:t>distributed</w:t>
      </w:r>
      <w:proofErr w:type="gramEnd"/>
      <w:r>
        <w:t xml:space="preserve"> to equity holders</w:t>
      </w:r>
      <w:r w:rsidR="0027092E">
        <w:t xml:space="preserve"> to return the face value of their initial investment</w:t>
      </w:r>
      <w:r>
        <w:t>.</w:t>
      </w:r>
    </w:p>
    <w:p w:rsidR="0027092E" w:rsidRDefault="0027092E" w:rsidP="0027092E">
      <w:r>
        <w:t>However</w:t>
      </w:r>
      <w:r w:rsidR="00F76167">
        <w:t xml:space="preserve">, the service provider has flexibility to use its depreciation allowance to fund short term costs. Where the service provider faces </w:t>
      </w:r>
      <w:r w:rsidR="00860DB1">
        <w:t>cash flow issues</w:t>
      </w:r>
      <w:r w:rsidR="00F76167">
        <w:t xml:space="preserve">, it could therefore use the depreciation allowance in the short term to manage these </w:t>
      </w:r>
      <w:r w:rsidR="00860DB1">
        <w:t>issues</w:t>
      </w:r>
      <w:r w:rsidR="00F76167">
        <w:t xml:space="preserve">. We advised </w:t>
      </w:r>
      <w:r w:rsidR="0092532F">
        <w:t>are satisfied</w:t>
      </w:r>
      <w:r w:rsidR="00F76167">
        <w:t xml:space="preserve"> that this was a reasonable assumption to use in </w:t>
      </w:r>
      <w:r w:rsidR="0092532F">
        <w:t xml:space="preserve">this </w:t>
      </w:r>
      <w:r w:rsidR="00F76167">
        <w:t>analysis.</w:t>
      </w:r>
    </w:p>
    <w:p w:rsidR="00F76167" w:rsidRDefault="0092532F" w:rsidP="0027092E">
      <w:r>
        <w:t xml:space="preserve">In line with the recommendations made in </w:t>
      </w:r>
      <w:r w:rsidR="00F76167">
        <w:t>RSM Bird Cameron</w:t>
      </w:r>
      <w:r>
        <w:t>'s analytical model used to assess the NSW DNSPs, we</w:t>
      </w:r>
      <w:r w:rsidR="00F76167">
        <w:t xml:space="preserve"> ha</w:t>
      </w:r>
      <w:r>
        <w:t>ve</w:t>
      </w:r>
      <w:r w:rsidR="00F76167">
        <w:t xml:space="preserve"> estimated both operating cash flows and cash flows prior to external equity raised to exclude the regulatory depreciation allowance. </w:t>
      </w:r>
      <w:r>
        <w:t>We</w:t>
      </w:r>
      <w:r w:rsidR="00F76167">
        <w:t xml:space="preserve"> </w:t>
      </w:r>
      <w:r>
        <w:t>have considered in our</w:t>
      </w:r>
      <w:r w:rsidR="00F76167">
        <w:t xml:space="preserve"> conclusions the extent to which </w:t>
      </w:r>
      <w:r w:rsidR="00526D1F">
        <w:t>ActewAGL</w:t>
      </w:r>
      <w:r w:rsidR="00F76167">
        <w:t xml:space="preserve"> would need to use a proportion of its regulatory depreciation allowance to fund its short term financial obligations. </w:t>
      </w:r>
    </w:p>
    <w:p w:rsidR="0092532F" w:rsidRDefault="0092532F" w:rsidP="00C436C7">
      <w:pPr>
        <w:pStyle w:val="Heading3"/>
      </w:pPr>
      <w:bookmarkStart w:id="20" w:name="_Ref417494544"/>
      <w:bookmarkStart w:id="21" w:name="_Toc417808620"/>
      <w:r>
        <w:t>Detailed results</w:t>
      </w:r>
      <w:bookmarkEnd w:id="20"/>
      <w:bookmarkEnd w:id="21"/>
    </w:p>
    <w:p w:rsidR="00BB0CF7" w:rsidRPr="00076D5F" w:rsidRDefault="00BB0CF7">
      <w:r>
        <w:t xml:space="preserve">The following tables set out the detailed results of our cash flow analysis. </w:t>
      </w:r>
    </w:p>
    <w:p w:rsidR="00FB2824" w:rsidRDefault="0092532F" w:rsidP="00C436C7">
      <w:pPr>
        <w:pStyle w:val="Caption"/>
      </w:pPr>
      <w:r>
        <w:lastRenderedPageBreak/>
        <w:t xml:space="preserve">Table </w:t>
      </w:r>
      <w:fldSimple w:instr=" STYLEREF 1 \s ">
        <w:r w:rsidR="00F63D58">
          <w:rPr>
            <w:noProof/>
          </w:rPr>
          <w:t>20</w:t>
        </w:r>
      </w:fldSimple>
      <w:r>
        <w:noBreakHyphen/>
      </w:r>
      <w:fldSimple w:instr=" SEQ Table \* ARABIC \s 1 ">
        <w:r w:rsidR="00F63D58">
          <w:rPr>
            <w:noProof/>
          </w:rPr>
          <w:t>5</w:t>
        </w:r>
      </w:fldSimple>
      <w:r w:rsidR="00E4331C">
        <w:tab/>
        <w:t xml:space="preserve">Scenario 1: </w:t>
      </w:r>
      <w:r w:rsidR="00FB2824">
        <w:t>Cash-flow a</w:t>
      </w:r>
      <w:r w:rsidR="00E4331C">
        <w:t>nalysis</w:t>
      </w:r>
      <w:r w:rsidR="00F13FA9">
        <w:t xml:space="preserve"> ($million, nominal)</w:t>
      </w:r>
    </w:p>
    <w:p w:rsidR="00FB2824" w:rsidRDefault="00D905A1">
      <w:pPr>
        <w:pStyle w:val="Caption"/>
      </w:pPr>
      <w:r w:rsidRPr="00D905A1">
        <w:rPr>
          <w:noProof/>
          <w:lang w:eastAsia="en-AU"/>
        </w:rPr>
        <w:drawing>
          <wp:inline distT="0" distB="0" distL="0" distR="0" wp14:anchorId="580CD4FE" wp14:editId="7F53FF58">
            <wp:extent cx="5382895" cy="4982345"/>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82895" cy="4982345"/>
                    </a:xfrm>
                    <a:prstGeom prst="rect">
                      <a:avLst/>
                    </a:prstGeom>
                  </pic:spPr>
                </pic:pic>
              </a:graphicData>
            </a:graphic>
          </wp:inline>
        </w:drawing>
      </w:r>
    </w:p>
    <w:p w:rsidR="00FB2824" w:rsidRPr="00E31E30" w:rsidRDefault="00FB2824" w:rsidP="00C436C7">
      <w:pPr>
        <w:pStyle w:val="AERtablesource"/>
      </w:pPr>
      <w:r>
        <w:t>Source:</w:t>
      </w:r>
      <w:r>
        <w:tab/>
        <w:t>AER analysis</w:t>
      </w:r>
    </w:p>
    <w:p w:rsidR="00FB2824" w:rsidRDefault="0092532F" w:rsidP="00C436C7">
      <w:pPr>
        <w:pStyle w:val="Caption"/>
      </w:pPr>
      <w:r>
        <w:lastRenderedPageBreak/>
        <w:t xml:space="preserve">Table </w:t>
      </w:r>
      <w:fldSimple w:instr=" STYLEREF 1 \s ">
        <w:r w:rsidR="00F63D58">
          <w:rPr>
            <w:noProof/>
          </w:rPr>
          <w:t>20</w:t>
        </w:r>
      </w:fldSimple>
      <w:r>
        <w:noBreakHyphen/>
      </w:r>
      <w:fldSimple w:instr=" SEQ Table \* ARABIC \s 1 ">
        <w:r w:rsidR="00F63D58">
          <w:rPr>
            <w:noProof/>
          </w:rPr>
          <w:t>6</w:t>
        </w:r>
      </w:fldSimple>
      <w:r w:rsidR="00E4331C">
        <w:tab/>
      </w:r>
      <w:r w:rsidR="00FB2824">
        <w:t>Scenario 2</w:t>
      </w:r>
      <w:r w:rsidR="00E4331C" w:rsidRPr="00E4331C">
        <w:t xml:space="preserve">: </w:t>
      </w:r>
      <w:r w:rsidR="00FB2824">
        <w:t>Cash-flow analysis</w:t>
      </w:r>
      <w:r w:rsidR="00F13FA9">
        <w:t xml:space="preserve"> ($million, nominal)</w:t>
      </w:r>
    </w:p>
    <w:p w:rsidR="00FB2824" w:rsidRDefault="00D905A1">
      <w:r w:rsidRPr="00D905A1">
        <w:rPr>
          <w:noProof/>
          <w:lang w:eastAsia="en-AU"/>
        </w:rPr>
        <w:drawing>
          <wp:inline distT="0" distB="0" distL="0" distR="0" wp14:anchorId="2182CE69" wp14:editId="32355C79">
            <wp:extent cx="5382895" cy="497444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82895" cy="4974444"/>
                    </a:xfrm>
                    <a:prstGeom prst="rect">
                      <a:avLst/>
                    </a:prstGeom>
                  </pic:spPr>
                </pic:pic>
              </a:graphicData>
            </a:graphic>
          </wp:inline>
        </w:drawing>
      </w:r>
    </w:p>
    <w:p w:rsidR="00FB2824" w:rsidRPr="00E31E30" w:rsidRDefault="00FB2824" w:rsidP="00C436C7">
      <w:pPr>
        <w:pStyle w:val="AERtablesource"/>
      </w:pPr>
      <w:r>
        <w:t>Source:</w:t>
      </w:r>
      <w:r>
        <w:tab/>
        <w:t>AER analysis</w:t>
      </w:r>
    </w:p>
    <w:p w:rsidR="00E4331C" w:rsidRDefault="00E4331C" w:rsidP="00E4331C">
      <w:pPr>
        <w:pStyle w:val="Caption"/>
      </w:pPr>
      <w:r>
        <w:lastRenderedPageBreak/>
        <w:t xml:space="preserve">Table </w:t>
      </w:r>
      <w:fldSimple w:instr=" STYLEREF 1 \s ">
        <w:r w:rsidR="00F63D58">
          <w:rPr>
            <w:noProof/>
          </w:rPr>
          <w:t>20</w:t>
        </w:r>
      </w:fldSimple>
      <w:r>
        <w:noBreakHyphen/>
      </w:r>
      <w:fldSimple w:instr=" SEQ Table \* ARABIC \s 1 ">
        <w:r w:rsidR="00F63D58">
          <w:rPr>
            <w:noProof/>
          </w:rPr>
          <w:t>7</w:t>
        </w:r>
      </w:fldSimple>
      <w:r w:rsidR="00FB2824">
        <w:tab/>
        <w:t>Scenario 3</w:t>
      </w:r>
      <w:r>
        <w:t xml:space="preserve">: </w:t>
      </w:r>
      <w:r w:rsidR="00FB2824">
        <w:t>Cash flow analysis</w:t>
      </w:r>
      <w:r w:rsidR="00F13FA9">
        <w:t xml:space="preserve"> ($million, nominal)</w:t>
      </w:r>
    </w:p>
    <w:p w:rsidR="00BB0CF7" w:rsidRDefault="00BB57AC">
      <w:pPr>
        <w:spacing w:line="240" w:lineRule="auto"/>
      </w:pPr>
      <w:r w:rsidRPr="00BB57AC">
        <w:rPr>
          <w:noProof/>
          <w:lang w:eastAsia="en-AU"/>
        </w:rPr>
        <w:drawing>
          <wp:inline distT="0" distB="0" distL="0" distR="0" wp14:anchorId="17E49502" wp14:editId="37352134">
            <wp:extent cx="5382895" cy="4946461"/>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82895" cy="4946461"/>
                    </a:xfrm>
                    <a:prstGeom prst="rect">
                      <a:avLst/>
                    </a:prstGeom>
                  </pic:spPr>
                </pic:pic>
              </a:graphicData>
            </a:graphic>
          </wp:inline>
        </w:drawing>
      </w:r>
    </w:p>
    <w:p w:rsidR="00FB2824" w:rsidRDefault="00FB2824" w:rsidP="00C436C7">
      <w:pPr>
        <w:pStyle w:val="AERtablesource"/>
      </w:pPr>
      <w:r>
        <w:t>Source:</w:t>
      </w:r>
      <w:r>
        <w:tab/>
        <w:t>AER analysis</w:t>
      </w:r>
    </w:p>
    <w:p w:rsidR="00BB0CF7" w:rsidRPr="00076D5F" w:rsidRDefault="00BB0CF7" w:rsidP="00C436C7"/>
    <w:p w:rsidR="00E4331C" w:rsidRPr="00076D5F" w:rsidRDefault="00E4331C" w:rsidP="00076D5F"/>
    <w:p w:rsidR="0092532F" w:rsidRPr="0092532F" w:rsidRDefault="0092532F" w:rsidP="0092532F"/>
    <w:sectPr w:rsidR="0092532F" w:rsidRPr="0092532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CB" w:rsidRPr="00290C63" w:rsidRDefault="00C470CB" w:rsidP="00290C63">
      <w:r>
        <w:separator/>
      </w:r>
    </w:p>
    <w:p w:rsidR="00C470CB" w:rsidRDefault="00C470CB"/>
  </w:endnote>
  <w:endnote w:type="continuationSeparator" w:id="0">
    <w:p w:rsidR="00C470CB" w:rsidRPr="00290C63" w:rsidRDefault="00C470CB" w:rsidP="00290C63">
      <w:r>
        <w:continuationSeparator/>
      </w:r>
    </w:p>
    <w:p w:rsidR="00C470CB" w:rsidRDefault="00C47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CB" w:rsidRPr="00290C63" w:rsidRDefault="00C470C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470CB" w:rsidRDefault="00C470CB"/>
  <w:p w:rsidR="00C470CB" w:rsidRDefault="00C470CB"/>
  <w:p w:rsidR="00C470CB" w:rsidRDefault="00C470CB"/>
  <w:p w:rsidR="00C470CB" w:rsidRDefault="00C470CB"/>
  <w:p w:rsidR="00C470CB" w:rsidRDefault="00C470CB"/>
  <w:p w:rsidR="00C470CB" w:rsidRDefault="00C470CB"/>
  <w:p w:rsidR="00C470CB" w:rsidRDefault="00C470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470CB" w:rsidRPr="009B6F84" w:rsidRDefault="00C470CB">
        <w:pPr>
          <w:pStyle w:val="Footer"/>
          <w:rPr>
            <w:sz w:val="20"/>
          </w:rPr>
        </w:pPr>
        <w:r>
          <w:fldChar w:fldCharType="begin"/>
        </w:r>
        <w:r>
          <w:instrText xml:space="preserve"> PAGE   \* MERGEFORMAT </w:instrText>
        </w:r>
        <w:r>
          <w:fldChar w:fldCharType="separate"/>
        </w:r>
        <w:r w:rsidR="00EF27E4">
          <w:rPr>
            <w:noProof/>
          </w:rPr>
          <w:t>20-3</w:t>
        </w:r>
        <w:r>
          <w:rPr>
            <w:noProof/>
          </w:rPr>
          <w:fldChar w:fldCharType="end"/>
        </w:r>
        <w:r>
          <w:rPr>
            <w:noProof/>
          </w:rPr>
          <w:t xml:space="preserve">          </w:t>
        </w:r>
        <w:r w:rsidRPr="00825985">
          <w:t xml:space="preserve">Attachment </w:t>
        </w:r>
        <w:r>
          <w:t xml:space="preserve">20 </w:t>
        </w:r>
        <w:r w:rsidRPr="00825985">
          <w:t xml:space="preserve">– </w:t>
        </w:r>
        <w:r>
          <w:t>Analysis of financial viability</w:t>
        </w:r>
        <w:r w:rsidRPr="00201F98">
          <w:t xml:space="preserve"> </w:t>
        </w:r>
        <w:r w:rsidRPr="009B6F84">
          <w:rPr>
            <w:rFonts w:cs="Gautami"/>
            <w:noProof/>
            <w:szCs w:val="16"/>
          </w:rPr>
          <w:t xml:space="preserve">| </w:t>
        </w:r>
        <w:r>
          <w:rPr>
            <w:rFonts w:cs="Gautami"/>
            <w:noProof/>
            <w:szCs w:val="16"/>
          </w:rPr>
          <w:t>ActewAGL</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C470CB" w:rsidRDefault="00C47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CB" w:rsidRPr="00290C63" w:rsidRDefault="00C470C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470CB" w:rsidRDefault="00C470CB">
    <w:pPr>
      <w:pStyle w:val="Footer"/>
    </w:pPr>
  </w:p>
  <w:p w:rsidR="00C470CB" w:rsidRDefault="00C470CB"/>
  <w:p w:rsidR="00C470CB" w:rsidRDefault="00C470CB"/>
  <w:p w:rsidR="00C470CB" w:rsidRDefault="00C470CB"/>
  <w:p w:rsidR="00C470CB" w:rsidRDefault="00C470CB"/>
  <w:p w:rsidR="00C470CB" w:rsidRDefault="00C470CB"/>
  <w:p w:rsidR="00C470CB" w:rsidRDefault="00C470CB"/>
  <w:p w:rsidR="00C470CB" w:rsidRDefault="00C47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CB" w:rsidRPr="00290C63" w:rsidRDefault="00C470CB" w:rsidP="00290C63">
      <w:r>
        <w:separator/>
      </w:r>
    </w:p>
    <w:p w:rsidR="00C470CB" w:rsidRDefault="00C470CB"/>
  </w:footnote>
  <w:footnote w:type="continuationSeparator" w:id="0">
    <w:p w:rsidR="00C470CB" w:rsidRPr="00290C63" w:rsidRDefault="00C470CB" w:rsidP="00290C63">
      <w:r>
        <w:continuationSeparator/>
      </w:r>
    </w:p>
    <w:p w:rsidR="00C470CB" w:rsidRDefault="00C470CB"/>
  </w:footnote>
  <w:footnote w:id="1">
    <w:p w:rsidR="00C470CB" w:rsidRDefault="00C470CB">
      <w:pPr>
        <w:pStyle w:val="FootnoteText"/>
      </w:pPr>
      <w:r>
        <w:rPr>
          <w:rStyle w:val="FootnoteReference"/>
        </w:rPr>
        <w:footnoteRef/>
      </w:r>
      <w:r>
        <w:t xml:space="preserve"> </w:t>
      </w:r>
      <w:r>
        <w:tab/>
        <w:t xml:space="preserve">ActewAGL, </w:t>
      </w:r>
      <w:r w:rsidRPr="00E935ED">
        <w:rPr>
          <w:rStyle w:val="AERtextitalic"/>
        </w:rPr>
        <w:t>Revised regulatory proposal</w:t>
      </w:r>
      <w:r>
        <w:t>, January 2015, p. 205.</w:t>
      </w:r>
    </w:p>
  </w:footnote>
  <w:footnote w:id="2">
    <w:p w:rsidR="00902965" w:rsidRDefault="00902965">
      <w:pPr>
        <w:pStyle w:val="FootnoteText"/>
      </w:pPr>
      <w:r>
        <w:rPr>
          <w:rStyle w:val="FootnoteReference"/>
        </w:rPr>
        <w:footnoteRef/>
      </w:r>
      <w:r>
        <w:t xml:space="preserve"> </w:t>
      </w:r>
      <w:r>
        <w:tab/>
        <w:t xml:space="preserve">CEPA, </w:t>
      </w:r>
      <w:r w:rsidRPr="00E935ED">
        <w:rPr>
          <w:rStyle w:val="AERtextitalic"/>
        </w:rPr>
        <w:t>Benchmarking and setting efficiency targets for the Australian DNSPs: ActewAGL distribution</w:t>
      </w:r>
      <w:r>
        <w:t xml:space="preserve">, January 2015, p. 51. </w:t>
      </w:r>
    </w:p>
  </w:footnote>
  <w:footnote w:id="3">
    <w:p w:rsidR="00B0536B" w:rsidRDefault="00B0536B" w:rsidP="00B0536B">
      <w:pPr>
        <w:pStyle w:val="FootnoteText"/>
      </w:pPr>
      <w:r>
        <w:rPr>
          <w:rStyle w:val="FootnoteReference"/>
        </w:rPr>
        <w:footnoteRef/>
      </w:r>
      <w:r>
        <w:t xml:space="preserve"> </w:t>
      </w:r>
      <w:r>
        <w:tab/>
      </w:r>
      <w:proofErr w:type="spellStart"/>
      <w:r>
        <w:t>Ofgem</w:t>
      </w:r>
      <w:proofErr w:type="spellEnd"/>
      <w:r>
        <w:t xml:space="preserve">, </w:t>
      </w:r>
      <w:r w:rsidRPr="007304E3">
        <w:rPr>
          <w:rStyle w:val="AERtextitalic"/>
        </w:rPr>
        <w:t>Regulating Energy Networks for the Future: RPI-X@20—Emerging Thinking – Embedding financeability in a new regulatory framework</w:t>
      </w:r>
      <w:r>
        <w:t>, January 2010, p. 4.</w:t>
      </w:r>
    </w:p>
  </w:footnote>
  <w:footnote w:id="4">
    <w:p w:rsidR="00C470CB" w:rsidRDefault="00C470CB" w:rsidP="006E4240">
      <w:pPr>
        <w:pStyle w:val="FootnoteText"/>
      </w:pPr>
      <w:r>
        <w:rPr>
          <w:rStyle w:val="FootnoteReference"/>
        </w:rPr>
        <w:footnoteRef/>
      </w:r>
      <w:r>
        <w:t xml:space="preserve"> </w:t>
      </w:r>
      <w:r>
        <w:tab/>
      </w:r>
      <w:r w:rsidRPr="006E4240">
        <w:t xml:space="preserve">For </w:t>
      </w:r>
      <w:proofErr w:type="gramStart"/>
      <w:r w:rsidRPr="006E4240">
        <w:t>example ,</w:t>
      </w:r>
      <w:proofErr w:type="gramEnd"/>
      <w:r w:rsidRPr="006E4240">
        <w:t xml:space="preserve"> RARE infrastructure submitted that "[t]here are many characteristics of the Australian Regulatory framework that makes its energy network potentially attractive investments".</w:t>
      </w:r>
      <w:r>
        <w:t xml:space="preserve"> RARE Infrastructure, </w:t>
      </w:r>
      <w:r w:rsidRPr="00DB02A7">
        <w:rPr>
          <w:rStyle w:val="AERtextitalic"/>
        </w:rPr>
        <w:t>Letter to the AER</w:t>
      </w:r>
      <w:r>
        <w:t>, 13 February 2015. Similarly, Moody's observe</w:t>
      </w:r>
    </w:p>
  </w:footnote>
  <w:footnote w:id="5">
    <w:p w:rsidR="00C470CB" w:rsidRDefault="00C470CB">
      <w:pPr>
        <w:pStyle w:val="FootnoteText"/>
      </w:pPr>
      <w:r>
        <w:rPr>
          <w:rStyle w:val="FootnoteReference"/>
        </w:rPr>
        <w:footnoteRef/>
      </w:r>
      <w:r>
        <w:t xml:space="preserve"> </w:t>
      </w:r>
      <w:r>
        <w:tab/>
        <w:t xml:space="preserve">For the purposes of this analysis we examined </w:t>
      </w:r>
      <w:proofErr w:type="spellStart"/>
      <w:r>
        <w:t>ActewAGL's</w:t>
      </w:r>
      <w:proofErr w:type="spellEnd"/>
      <w:r>
        <w:t xml:space="preserve"> regulated distribution revenue and costs. This is the majority of </w:t>
      </w:r>
      <w:proofErr w:type="spellStart"/>
      <w:r>
        <w:t>ActewAGL's</w:t>
      </w:r>
      <w:proofErr w:type="spellEnd"/>
      <w:r>
        <w:t xml:space="preserve"> revenue and costs.</w:t>
      </w:r>
    </w:p>
  </w:footnote>
  <w:footnote w:id="6">
    <w:p w:rsidR="00C470CB" w:rsidRDefault="00C470CB" w:rsidP="00972662">
      <w:pPr>
        <w:pStyle w:val="FootnoteText"/>
      </w:pPr>
      <w:r>
        <w:rPr>
          <w:rStyle w:val="FootnoteReference"/>
        </w:rPr>
        <w:footnoteRef/>
      </w:r>
      <w:r>
        <w:t xml:space="preserve"> </w:t>
      </w:r>
      <w:r>
        <w:tab/>
        <w:t xml:space="preserve">Moody's Investors Service, </w:t>
      </w:r>
      <w:r w:rsidRPr="00361F04">
        <w:rPr>
          <w:rStyle w:val="AERtextitalic"/>
        </w:rPr>
        <w:t>Rating methodology: Regulated electric and gas networks</w:t>
      </w:r>
      <w:proofErr w:type="gramStart"/>
      <w:r>
        <w:t>,  25</w:t>
      </w:r>
      <w:proofErr w:type="gramEnd"/>
      <w:r>
        <w:t xml:space="preserve"> November 2014, p.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A32DD1"/>
    <w:multiLevelType w:val="hybridMultilevel"/>
    <w:tmpl w:val="A90E0F30"/>
    <w:lvl w:ilvl="0" w:tplc="CB7CE9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49B29010"/>
    <w:lvl w:ilvl="0">
      <w:start w:val="2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9"/>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NgpGzXBrl3Vzfdl9S3sT95zm/ltkWo/msKZCHbJg+ec=" w:saltValue="y/I9riSRqqbOBG8WkuZ4IQ==" w:algorithmName="SHA-256"/>
  <w:defaultTabStop w:val="34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Financeability\AER - Final decision ActewAGL distribution determination - Attachment 20 - Analysis of financial viability - April 2015 - updated.docx"/>
  </w:docVars>
  <w:rsids>
    <w:rsidRoot w:val="00961A4A"/>
    <w:rsid w:val="00010286"/>
    <w:rsid w:val="000145F1"/>
    <w:rsid w:val="00021202"/>
    <w:rsid w:val="00021C2B"/>
    <w:rsid w:val="0002517F"/>
    <w:rsid w:val="00031976"/>
    <w:rsid w:val="0003265D"/>
    <w:rsid w:val="000356CD"/>
    <w:rsid w:val="0003578C"/>
    <w:rsid w:val="0003782C"/>
    <w:rsid w:val="00053EDC"/>
    <w:rsid w:val="000549C9"/>
    <w:rsid w:val="00063247"/>
    <w:rsid w:val="00070F9F"/>
    <w:rsid w:val="0007137B"/>
    <w:rsid w:val="00076D5F"/>
    <w:rsid w:val="000802DD"/>
    <w:rsid w:val="00085663"/>
    <w:rsid w:val="00085EBF"/>
    <w:rsid w:val="00091B15"/>
    <w:rsid w:val="0009758C"/>
    <w:rsid w:val="000A3020"/>
    <w:rsid w:val="000A6C7B"/>
    <w:rsid w:val="000B29CE"/>
    <w:rsid w:val="000C2B40"/>
    <w:rsid w:val="000D122C"/>
    <w:rsid w:val="000D29D9"/>
    <w:rsid w:val="000D7B79"/>
    <w:rsid w:val="000E1819"/>
    <w:rsid w:val="000E4821"/>
    <w:rsid w:val="000E6C72"/>
    <w:rsid w:val="000F094E"/>
    <w:rsid w:val="000F0B2B"/>
    <w:rsid w:val="001123F7"/>
    <w:rsid w:val="00116EB2"/>
    <w:rsid w:val="00120348"/>
    <w:rsid w:val="0012209D"/>
    <w:rsid w:val="00122F94"/>
    <w:rsid w:val="00124609"/>
    <w:rsid w:val="0012490B"/>
    <w:rsid w:val="00126A4C"/>
    <w:rsid w:val="00131D06"/>
    <w:rsid w:val="00140179"/>
    <w:rsid w:val="0014573B"/>
    <w:rsid w:val="001573E4"/>
    <w:rsid w:val="00157EBB"/>
    <w:rsid w:val="00160756"/>
    <w:rsid w:val="0017232E"/>
    <w:rsid w:val="00174102"/>
    <w:rsid w:val="001754EE"/>
    <w:rsid w:val="00180157"/>
    <w:rsid w:val="00185CB9"/>
    <w:rsid w:val="00186F77"/>
    <w:rsid w:val="001926A4"/>
    <w:rsid w:val="00192AD5"/>
    <w:rsid w:val="00194067"/>
    <w:rsid w:val="001B45A0"/>
    <w:rsid w:val="001D055E"/>
    <w:rsid w:val="001F05A4"/>
    <w:rsid w:val="001F2CFB"/>
    <w:rsid w:val="001F492E"/>
    <w:rsid w:val="001F6DA3"/>
    <w:rsid w:val="002001B7"/>
    <w:rsid w:val="002010BC"/>
    <w:rsid w:val="002016E7"/>
    <w:rsid w:val="00201F98"/>
    <w:rsid w:val="00202257"/>
    <w:rsid w:val="00202E03"/>
    <w:rsid w:val="0020478D"/>
    <w:rsid w:val="0020492C"/>
    <w:rsid w:val="00213773"/>
    <w:rsid w:val="00224DB9"/>
    <w:rsid w:val="00227D05"/>
    <w:rsid w:val="00232B3D"/>
    <w:rsid w:val="00233775"/>
    <w:rsid w:val="002369B8"/>
    <w:rsid w:val="00251745"/>
    <w:rsid w:val="00263AC0"/>
    <w:rsid w:val="00264264"/>
    <w:rsid w:val="00264DBF"/>
    <w:rsid w:val="0026772D"/>
    <w:rsid w:val="00267CA9"/>
    <w:rsid w:val="0027092E"/>
    <w:rsid w:val="00273FF3"/>
    <w:rsid w:val="00284CF0"/>
    <w:rsid w:val="00286874"/>
    <w:rsid w:val="00290C63"/>
    <w:rsid w:val="00296B65"/>
    <w:rsid w:val="002A5F4B"/>
    <w:rsid w:val="002A7DEF"/>
    <w:rsid w:val="002C233C"/>
    <w:rsid w:val="002D0344"/>
    <w:rsid w:val="002D72E8"/>
    <w:rsid w:val="002E7B22"/>
    <w:rsid w:val="002F1082"/>
    <w:rsid w:val="002F7986"/>
    <w:rsid w:val="00301B40"/>
    <w:rsid w:val="003029EE"/>
    <w:rsid w:val="0030370B"/>
    <w:rsid w:val="00305CC8"/>
    <w:rsid w:val="00307F6D"/>
    <w:rsid w:val="00313C27"/>
    <w:rsid w:val="003177A2"/>
    <w:rsid w:val="00325326"/>
    <w:rsid w:val="003271B5"/>
    <w:rsid w:val="00327A1E"/>
    <w:rsid w:val="00331264"/>
    <w:rsid w:val="003339D8"/>
    <w:rsid w:val="00334C8D"/>
    <w:rsid w:val="00343A18"/>
    <w:rsid w:val="0034686F"/>
    <w:rsid w:val="003518B3"/>
    <w:rsid w:val="0037599A"/>
    <w:rsid w:val="003846F1"/>
    <w:rsid w:val="003976F1"/>
    <w:rsid w:val="003B484F"/>
    <w:rsid w:val="003B54A4"/>
    <w:rsid w:val="003B5A20"/>
    <w:rsid w:val="003B7FBA"/>
    <w:rsid w:val="003E20B0"/>
    <w:rsid w:val="003F174D"/>
    <w:rsid w:val="0040133C"/>
    <w:rsid w:val="00403AC0"/>
    <w:rsid w:val="00415F31"/>
    <w:rsid w:val="00420A01"/>
    <w:rsid w:val="00423A77"/>
    <w:rsid w:val="00424AFD"/>
    <w:rsid w:val="0043290C"/>
    <w:rsid w:val="00434F97"/>
    <w:rsid w:val="00443A9D"/>
    <w:rsid w:val="0045777E"/>
    <w:rsid w:val="0047417B"/>
    <w:rsid w:val="00476BDF"/>
    <w:rsid w:val="00480B4B"/>
    <w:rsid w:val="0048528E"/>
    <w:rsid w:val="00485DC4"/>
    <w:rsid w:val="00496960"/>
    <w:rsid w:val="004A43D1"/>
    <w:rsid w:val="004B0941"/>
    <w:rsid w:val="004B4412"/>
    <w:rsid w:val="004C0091"/>
    <w:rsid w:val="004C348C"/>
    <w:rsid w:val="004D0418"/>
    <w:rsid w:val="004D04AB"/>
    <w:rsid w:val="004D55BA"/>
    <w:rsid w:val="004E22EC"/>
    <w:rsid w:val="004E3FDD"/>
    <w:rsid w:val="004F45FC"/>
    <w:rsid w:val="004F6A0E"/>
    <w:rsid w:val="005000DF"/>
    <w:rsid w:val="00510B01"/>
    <w:rsid w:val="005155B4"/>
    <w:rsid w:val="00521879"/>
    <w:rsid w:val="00525AB0"/>
    <w:rsid w:val="00526D1F"/>
    <w:rsid w:val="00527003"/>
    <w:rsid w:val="00530128"/>
    <w:rsid w:val="00532467"/>
    <w:rsid w:val="00541B34"/>
    <w:rsid w:val="00554964"/>
    <w:rsid w:val="00564A4D"/>
    <w:rsid w:val="00567BA5"/>
    <w:rsid w:val="00571B35"/>
    <w:rsid w:val="00571D57"/>
    <w:rsid w:val="00577A09"/>
    <w:rsid w:val="005829C2"/>
    <w:rsid w:val="00584D8F"/>
    <w:rsid w:val="00595753"/>
    <w:rsid w:val="005A404D"/>
    <w:rsid w:val="005B1E3C"/>
    <w:rsid w:val="005B548F"/>
    <w:rsid w:val="005B5B9D"/>
    <w:rsid w:val="005B704A"/>
    <w:rsid w:val="005C1225"/>
    <w:rsid w:val="005C26CC"/>
    <w:rsid w:val="005C55C9"/>
    <w:rsid w:val="005D7BA2"/>
    <w:rsid w:val="005E33FC"/>
    <w:rsid w:val="005E36C2"/>
    <w:rsid w:val="005E3E8F"/>
    <w:rsid w:val="006007DE"/>
    <w:rsid w:val="00602A79"/>
    <w:rsid w:val="00607B37"/>
    <w:rsid w:val="00610EF9"/>
    <w:rsid w:val="00612F4F"/>
    <w:rsid w:val="00615C6B"/>
    <w:rsid w:val="00617B0C"/>
    <w:rsid w:val="00621DCE"/>
    <w:rsid w:val="00623065"/>
    <w:rsid w:val="00625FB1"/>
    <w:rsid w:val="00632D6D"/>
    <w:rsid w:val="00642C3E"/>
    <w:rsid w:val="00645E94"/>
    <w:rsid w:val="0066104A"/>
    <w:rsid w:val="00663DAD"/>
    <w:rsid w:val="0066553C"/>
    <w:rsid w:val="00675E20"/>
    <w:rsid w:val="00676679"/>
    <w:rsid w:val="0068133A"/>
    <w:rsid w:val="00683876"/>
    <w:rsid w:val="00683C89"/>
    <w:rsid w:val="006B2395"/>
    <w:rsid w:val="006B4CF9"/>
    <w:rsid w:val="006B4FF9"/>
    <w:rsid w:val="006B7AC8"/>
    <w:rsid w:val="006C1736"/>
    <w:rsid w:val="006C4042"/>
    <w:rsid w:val="006D3530"/>
    <w:rsid w:val="006D550F"/>
    <w:rsid w:val="006E2722"/>
    <w:rsid w:val="006E4240"/>
    <w:rsid w:val="006E79A8"/>
    <w:rsid w:val="006E7EB9"/>
    <w:rsid w:val="006F79D5"/>
    <w:rsid w:val="0070011E"/>
    <w:rsid w:val="00701CAB"/>
    <w:rsid w:val="00707563"/>
    <w:rsid w:val="0072348C"/>
    <w:rsid w:val="00723ADF"/>
    <w:rsid w:val="00724A37"/>
    <w:rsid w:val="007303C3"/>
    <w:rsid w:val="007402BC"/>
    <w:rsid w:val="007429BE"/>
    <w:rsid w:val="00743223"/>
    <w:rsid w:val="00746E01"/>
    <w:rsid w:val="00747EEA"/>
    <w:rsid w:val="00757364"/>
    <w:rsid w:val="00757BDF"/>
    <w:rsid w:val="007609D0"/>
    <w:rsid w:val="00761593"/>
    <w:rsid w:val="00763E5D"/>
    <w:rsid w:val="00767740"/>
    <w:rsid w:val="00776EEB"/>
    <w:rsid w:val="00777EE6"/>
    <w:rsid w:val="00782EEA"/>
    <w:rsid w:val="00787316"/>
    <w:rsid w:val="007875B5"/>
    <w:rsid w:val="007879E0"/>
    <w:rsid w:val="007A1D0E"/>
    <w:rsid w:val="007B022A"/>
    <w:rsid w:val="007B186E"/>
    <w:rsid w:val="007B2C72"/>
    <w:rsid w:val="007B3647"/>
    <w:rsid w:val="007C1C53"/>
    <w:rsid w:val="007C38BE"/>
    <w:rsid w:val="007C4404"/>
    <w:rsid w:val="007C66F9"/>
    <w:rsid w:val="007C74BB"/>
    <w:rsid w:val="007D456E"/>
    <w:rsid w:val="007E4904"/>
    <w:rsid w:val="007E4CB5"/>
    <w:rsid w:val="007F066B"/>
    <w:rsid w:val="00801470"/>
    <w:rsid w:val="008033C4"/>
    <w:rsid w:val="00804E90"/>
    <w:rsid w:val="00806C88"/>
    <w:rsid w:val="0081034E"/>
    <w:rsid w:val="008221F2"/>
    <w:rsid w:val="008238D1"/>
    <w:rsid w:val="00824D60"/>
    <w:rsid w:val="00825985"/>
    <w:rsid w:val="008319C1"/>
    <w:rsid w:val="008344F6"/>
    <w:rsid w:val="0083510F"/>
    <w:rsid w:val="00846370"/>
    <w:rsid w:val="00851209"/>
    <w:rsid w:val="0085722A"/>
    <w:rsid w:val="00860DB1"/>
    <w:rsid w:val="008742AA"/>
    <w:rsid w:val="008837AC"/>
    <w:rsid w:val="00895142"/>
    <w:rsid w:val="008954F1"/>
    <w:rsid w:val="00897563"/>
    <w:rsid w:val="008A4188"/>
    <w:rsid w:val="008A587D"/>
    <w:rsid w:val="008A6BC9"/>
    <w:rsid w:val="008B35CD"/>
    <w:rsid w:val="008B5FCC"/>
    <w:rsid w:val="008C0369"/>
    <w:rsid w:val="008C3374"/>
    <w:rsid w:val="008C5486"/>
    <w:rsid w:val="008C75FB"/>
    <w:rsid w:val="008D1661"/>
    <w:rsid w:val="008D6800"/>
    <w:rsid w:val="008D76B0"/>
    <w:rsid w:val="008E56F3"/>
    <w:rsid w:val="008E7031"/>
    <w:rsid w:val="008E77DE"/>
    <w:rsid w:val="008F07A3"/>
    <w:rsid w:val="008F34DD"/>
    <w:rsid w:val="008F69D5"/>
    <w:rsid w:val="009001B6"/>
    <w:rsid w:val="00900E1B"/>
    <w:rsid w:val="00901C3C"/>
    <w:rsid w:val="00902965"/>
    <w:rsid w:val="009233EE"/>
    <w:rsid w:val="0092532F"/>
    <w:rsid w:val="00925391"/>
    <w:rsid w:val="009277D6"/>
    <w:rsid w:val="00935C18"/>
    <w:rsid w:val="00936340"/>
    <w:rsid w:val="009460AA"/>
    <w:rsid w:val="009470D9"/>
    <w:rsid w:val="00947FD9"/>
    <w:rsid w:val="00951978"/>
    <w:rsid w:val="00957837"/>
    <w:rsid w:val="00961A4A"/>
    <w:rsid w:val="00963AA6"/>
    <w:rsid w:val="009661DE"/>
    <w:rsid w:val="00972662"/>
    <w:rsid w:val="00973DBE"/>
    <w:rsid w:val="00983C25"/>
    <w:rsid w:val="009856B7"/>
    <w:rsid w:val="00985C86"/>
    <w:rsid w:val="009872FD"/>
    <w:rsid w:val="00992736"/>
    <w:rsid w:val="009A3D19"/>
    <w:rsid w:val="009A56D1"/>
    <w:rsid w:val="009A5FC3"/>
    <w:rsid w:val="009A6262"/>
    <w:rsid w:val="009B6F84"/>
    <w:rsid w:val="009B74B0"/>
    <w:rsid w:val="009C48F3"/>
    <w:rsid w:val="009C5FB7"/>
    <w:rsid w:val="009D3906"/>
    <w:rsid w:val="009D6B46"/>
    <w:rsid w:val="009D71E4"/>
    <w:rsid w:val="009F4940"/>
    <w:rsid w:val="009F5BA1"/>
    <w:rsid w:val="00A02A88"/>
    <w:rsid w:val="00A0562E"/>
    <w:rsid w:val="00A0726D"/>
    <w:rsid w:val="00A32FBB"/>
    <w:rsid w:val="00A34C76"/>
    <w:rsid w:val="00A428EE"/>
    <w:rsid w:val="00A4478A"/>
    <w:rsid w:val="00A44852"/>
    <w:rsid w:val="00A50502"/>
    <w:rsid w:val="00A57D04"/>
    <w:rsid w:val="00A60A26"/>
    <w:rsid w:val="00A61598"/>
    <w:rsid w:val="00A83674"/>
    <w:rsid w:val="00A84A99"/>
    <w:rsid w:val="00A84F46"/>
    <w:rsid w:val="00A871F4"/>
    <w:rsid w:val="00AA3615"/>
    <w:rsid w:val="00AB2C7D"/>
    <w:rsid w:val="00AC1B2C"/>
    <w:rsid w:val="00AC3264"/>
    <w:rsid w:val="00AC4EBD"/>
    <w:rsid w:val="00AC64CF"/>
    <w:rsid w:val="00AD09D3"/>
    <w:rsid w:val="00AE0030"/>
    <w:rsid w:val="00AE1BF1"/>
    <w:rsid w:val="00AF0DD2"/>
    <w:rsid w:val="00B019FB"/>
    <w:rsid w:val="00B0536B"/>
    <w:rsid w:val="00B058C1"/>
    <w:rsid w:val="00B13048"/>
    <w:rsid w:val="00B1716D"/>
    <w:rsid w:val="00B17A1D"/>
    <w:rsid w:val="00B207A0"/>
    <w:rsid w:val="00B41EEF"/>
    <w:rsid w:val="00B42DF6"/>
    <w:rsid w:val="00B457D5"/>
    <w:rsid w:val="00B514DD"/>
    <w:rsid w:val="00B52AF0"/>
    <w:rsid w:val="00B53E52"/>
    <w:rsid w:val="00B561BD"/>
    <w:rsid w:val="00B56E03"/>
    <w:rsid w:val="00B8080B"/>
    <w:rsid w:val="00B80C8B"/>
    <w:rsid w:val="00B82223"/>
    <w:rsid w:val="00B83141"/>
    <w:rsid w:val="00B86857"/>
    <w:rsid w:val="00B87BA5"/>
    <w:rsid w:val="00B87C39"/>
    <w:rsid w:val="00B9562D"/>
    <w:rsid w:val="00BA1DAD"/>
    <w:rsid w:val="00BA4665"/>
    <w:rsid w:val="00BB0CF7"/>
    <w:rsid w:val="00BB2AEC"/>
    <w:rsid w:val="00BB2FB2"/>
    <w:rsid w:val="00BB3304"/>
    <w:rsid w:val="00BB57AC"/>
    <w:rsid w:val="00BB5C2B"/>
    <w:rsid w:val="00BD019A"/>
    <w:rsid w:val="00BD3446"/>
    <w:rsid w:val="00BE1F1B"/>
    <w:rsid w:val="00BE47B5"/>
    <w:rsid w:val="00BE6497"/>
    <w:rsid w:val="00BF7A9C"/>
    <w:rsid w:val="00C04223"/>
    <w:rsid w:val="00C25FA6"/>
    <w:rsid w:val="00C36D5C"/>
    <w:rsid w:val="00C436C7"/>
    <w:rsid w:val="00C470CB"/>
    <w:rsid w:val="00C52742"/>
    <w:rsid w:val="00C538A9"/>
    <w:rsid w:val="00C53B5A"/>
    <w:rsid w:val="00C54F5A"/>
    <w:rsid w:val="00C569B4"/>
    <w:rsid w:val="00C675AD"/>
    <w:rsid w:val="00C67A92"/>
    <w:rsid w:val="00C72A3F"/>
    <w:rsid w:val="00C823F3"/>
    <w:rsid w:val="00C84560"/>
    <w:rsid w:val="00C86679"/>
    <w:rsid w:val="00C92657"/>
    <w:rsid w:val="00CA489E"/>
    <w:rsid w:val="00CB0279"/>
    <w:rsid w:val="00CB0A88"/>
    <w:rsid w:val="00CB2266"/>
    <w:rsid w:val="00CB666B"/>
    <w:rsid w:val="00CC059D"/>
    <w:rsid w:val="00CC2873"/>
    <w:rsid w:val="00CC7F1D"/>
    <w:rsid w:val="00CE484B"/>
    <w:rsid w:val="00CF0DEE"/>
    <w:rsid w:val="00CF53D5"/>
    <w:rsid w:val="00D006AE"/>
    <w:rsid w:val="00D00C53"/>
    <w:rsid w:val="00D01260"/>
    <w:rsid w:val="00D01CF0"/>
    <w:rsid w:val="00D035C3"/>
    <w:rsid w:val="00D0442A"/>
    <w:rsid w:val="00D22402"/>
    <w:rsid w:val="00D26107"/>
    <w:rsid w:val="00D42E17"/>
    <w:rsid w:val="00D61388"/>
    <w:rsid w:val="00D61A54"/>
    <w:rsid w:val="00D62C6C"/>
    <w:rsid w:val="00D64DEA"/>
    <w:rsid w:val="00D7168E"/>
    <w:rsid w:val="00D71E57"/>
    <w:rsid w:val="00D80893"/>
    <w:rsid w:val="00D81350"/>
    <w:rsid w:val="00D842BC"/>
    <w:rsid w:val="00D84854"/>
    <w:rsid w:val="00D848B4"/>
    <w:rsid w:val="00D905A1"/>
    <w:rsid w:val="00D92CF1"/>
    <w:rsid w:val="00D92D38"/>
    <w:rsid w:val="00D950F5"/>
    <w:rsid w:val="00D955C7"/>
    <w:rsid w:val="00DA0E23"/>
    <w:rsid w:val="00DA4752"/>
    <w:rsid w:val="00DA61F3"/>
    <w:rsid w:val="00DA67BB"/>
    <w:rsid w:val="00DB0F93"/>
    <w:rsid w:val="00DB1A67"/>
    <w:rsid w:val="00DB5074"/>
    <w:rsid w:val="00DB5B21"/>
    <w:rsid w:val="00DC509F"/>
    <w:rsid w:val="00DC7981"/>
    <w:rsid w:val="00DD13F7"/>
    <w:rsid w:val="00DE1093"/>
    <w:rsid w:val="00DE4EFA"/>
    <w:rsid w:val="00DE5520"/>
    <w:rsid w:val="00DE563D"/>
    <w:rsid w:val="00DF0AF1"/>
    <w:rsid w:val="00DF0DDE"/>
    <w:rsid w:val="00E04818"/>
    <w:rsid w:val="00E06442"/>
    <w:rsid w:val="00E06BCF"/>
    <w:rsid w:val="00E23993"/>
    <w:rsid w:val="00E25B8C"/>
    <w:rsid w:val="00E30A75"/>
    <w:rsid w:val="00E31E30"/>
    <w:rsid w:val="00E4331C"/>
    <w:rsid w:val="00E52292"/>
    <w:rsid w:val="00E65C85"/>
    <w:rsid w:val="00E66199"/>
    <w:rsid w:val="00E733CA"/>
    <w:rsid w:val="00E755EC"/>
    <w:rsid w:val="00E7624D"/>
    <w:rsid w:val="00E83096"/>
    <w:rsid w:val="00E935ED"/>
    <w:rsid w:val="00EA1E8E"/>
    <w:rsid w:val="00EA3D42"/>
    <w:rsid w:val="00EA6B1B"/>
    <w:rsid w:val="00EB606C"/>
    <w:rsid w:val="00EC04F1"/>
    <w:rsid w:val="00ED2F26"/>
    <w:rsid w:val="00ED7323"/>
    <w:rsid w:val="00EE28F3"/>
    <w:rsid w:val="00EE50D1"/>
    <w:rsid w:val="00EF27E4"/>
    <w:rsid w:val="00EF5110"/>
    <w:rsid w:val="00F04534"/>
    <w:rsid w:val="00F07127"/>
    <w:rsid w:val="00F10411"/>
    <w:rsid w:val="00F13FA9"/>
    <w:rsid w:val="00F15882"/>
    <w:rsid w:val="00F171E0"/>
    <w:rsid w:val="00F20BD3"/>
    <w:rsid w:val="00F373A5"/>
    <w:rsid w:val="00F43D7D"/>
    <w:rsid w:val="00F47559"/>
    <w:rsid w:val="00F61176"/>
    <w:rsid w:val="00F63D58"/>
    <w:rsid w:val="00F64C7B"/>
    <w:rsid w:val="00F660DD"/>
    <w:rsid w:val="00F676DD"/>
    <w:rsid w:val="00F70C39"/>
    <w:rsid w:val="00F75A26"/>
    <w:rsid w:val="00F76167"/>
    <w:rsid w:val="00F76706"/>
    <w:rsid w:val="00F768C8"/>
    <w:rsid w:val="00F801A5"/>
    <w:rsid w:val="00F83FAD"/>
    <w:rsid w:val="00F86019"/>
    <w:rsid w:val="00F8653A"/>
    <w:rsid w:val="00F92349"/>
    <w:rsid w:val="00F92615"/>
    <w:rsid w:val="00F952A0"/>
    <w:rsid w:val="00F969FD"/>
    <w:rsid w:val="00FA14CF"/>
    <w:rsid w:val="00FA3C7F"/>
    <w:rsid w:val="00FB0BB4"/>
    <w:rsid w:val="00FB2824"/>
    <w:rsid w:val="00FB4402"/>
    <w:rsid w:val="00FB60FE"/>
    <w:rsid w:val="00FB74E2"/>
    <w:rsid w:val="00FB769A"/>
    <w:rsid w:val="00FC3931"/>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A75413-83BB-4F45-B597-3EE73334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CBA31AF9</Template>
  <TotalTime>40</TotalTime>
  <Pages>18</Pages>
  <Words>4167</Words>
  <Characters>23754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Minhas, Sajjad</cp:lastModifiedBy>
  <cp:revision>14</cp:revision>
  <cp:lastPrinted>2015-04-23T03:53:00Z</cp:lastPrinted>
  <dcterms:created xsi:type="dcterms:W3CDTF">2015-04-28T22:48:00Z</dcterms:created>
  <dcterms:modified xsi:type="dcterms:W3CDTF">2015-04-29T01:46:00Z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8420320</vt:lpwstr>
  </property>
  <property fmtid="{D5CDD505-2E9C-101B-9397-08002B2CF9AE}" pid="3" name="currfile">
    <vt:lpwstr>\\cdchnas-evs02\home$\sminh\aer - final decision actewagl distribution determination - attachment 20 - analysis of financial viability - april 2015 (D2015-00055809).docx</vt:lpwstr>
  </property>
</Properties>
</file>