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9A1" w:rsidRDefault="004E3ADD" w:rsidP="00290C63">
      <w:pPr>
        <w:rPr>
          <w:rFonts w:eastAsiaTheme="majorEastAsia" w:cstheme="majorBidi"/>
          <w:noProof/>
          <w:sz w:val="36"/>
          <w:szCs w:val="36"/>
          <w:lang w:eastAsia="en-AU"/>
        </w:rPr>
      </w:pPr>
      <w:bookmarkStart w:id="0" w:name="_GoBack"/>
      <w:r w:rsidRPr="00290C63">
        <w:rPr>
          <w:noProof/>
          <w:lang w:eastAsia="en-AU"/>
        </w:rPr>
        <w:drawing>
          <wp:anchor distT="0" distB="0" distL="114300" distR="114300" simplePos="0" relativeHeight="251659264" behindDoc="1" locked="0" layoutInCell="1" allowOverlap="1" wp14:anchorId="18F90C84" wp14:editId="2561EB5D">
            <wp:simplePos x="0" y="0"/>
            <wp:positionH relativeFrom="column">
              <wp:posOffset>-1104900</wp:posOffset>
            </wp:positionH>
            <wp:positionV relativeFrom="paragraph">
              <wp:posOffset>-935355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3F19A1">
        <w:t xml:space="preserve"> </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334BE0" w:rsidP="008F07A3">
          <w:pPr>
            <w:pStyle w:val="ReportSubtitle"/>
          </w:pPr>
          <w:r>
            <w:t>ActewAGL Distribution</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11949">
            <w:t>6</w:t>
          </w:r>
          <w:r w:rsidR="00DA4752">
            <w:t xml:space="preserve"> </w:t>
          </w:r>
          <w:r w:rsidR="00415F31">
            <w:rPr>
              <w:rFonts w:cs="Arial"/>
            </w:rPr>
            <w:t>–</w:t>
          </w:r>
          <w:r w:rsidR="00DA4752">
            <w:t xml:space="preserve"> </w:t>
          </w:r>
          <w:r w:rsidR="00E11949">
            <w:t>Capital</w:t>
          </w:r>
          <w:r w:rsidR="00D46BD3">
            <w:t xml:space="preserve"> expenditure</w:t>
          </w:r>
        </w:p>
        <w:p w:rsidR="000A6C7B" w:rsidRPr="00327A1E" w:rsidRDefault="00775166" w:rsidP="00327A1E">
          <w:pPr>
            <w:pStyle w:val="ReportDate"/>
          </w:pPr>
          <w:r>
            <w:t>May</w:t>
          </w:r>
          <w:r w:rsidR="005C0A7F">
            <w:t xml:space="preserve"> </w:t>
          </w:r>
          <w:r w:rsidR="00A2303E">
            <w:t>2016</w:t>
          </w:r>
        </w:p>
      </w:sdtContent>
    </w:sdt>
    <w:p w:rsidR="00327A1E" w:rsidRPr="00290C63" w:rsidRDefault="00327A1E" w:rsidP="00290C63">
      <w:r>
        <w:br w:type="page"/>
      </w:r>
    </w:p>
    <w:p w:rsidR="000A6C7B" w:rsidRDefault="00433C0A"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51762008"/>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A2303E">
        <w:t>final</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4BE0">
        <w:t xml:space="preserve">ActewAGL Distribution </w:t>
      </w:r>
      <w:r w:rsidR="0033548E">
        <w:t xml:space="preserve">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A2303E">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A2303E">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6" w:name="_Toc403144133"/>
      <w:bookmarkStart w:id="7" w:name="_Toc451762009"/>
      <w:r>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D822F6" w:rsidRDefault="007C006B">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51762008" w:history="1">
            <w:r w:rsidR="00D822F6" w:rsidRPr="009A165B">
              <w:rPr>
                <w:rStyle w:val="Hyperlink"/>
              </w:rPr>
              <w:t>Note</w:t>
            </w:r>
            <w:r w:rsidR="00D822F6">
              <w:rPr>
                <w:webHidden/>
              </w:rPr>
              <w:tab/>
            </w:r>
            <w:r w:rsidR="00D822F6">
              <w:rPr>
                <w:webHidden/>
              </w:rPr>
              <w:fldChar w:fldCharType="begin"/>
            </w:r>
            <w:r w:rsidR="00D822F6">
              <w:rPr>
                <w:webHidden/>
              </w:rPr>
              <w:instrText xml:space="preserve"> PAGEREF _Toc451762008 \h </w:instrText>
            </w:r>
            <w:r w:rsidR="00D822F6">
              <w:rPr>
                <w:webHidden/>
              </w:rPr>
            </w:r>
            <w:r w:rsidR="00D822F6">
              <w:rPr>
                <w:webHidden/>
              </w:rPr>
              <w:fldChar w:fldCharType="separate"/>
            </w:r>
            <w:r w:rsidR="00D822F6">
              <w:rPr>
                <w:webHidden/>
              </w:rPr>
              <w:t>6-2</w:t>
            </w:r>
            <w:r w:rsidR="00D822F6">
              <w:rPr>
                <w:webHidden/>
              </w:rPr>
              <w:fldChar w:fldCharType="end"/>
            </w:r>
          </w:hyperlink>
        </w:p>
        <w:p w:rsidR="00D822F6" w:rsidRDefault="00D822F6">
          <w:pPr>
            <w:pStyle w:val="TOC1"/>
            <w:rPr>
              <w:rFonts w:asciiTheme="minorHAnsi" w:eastAsiaTheme="minorEastAsia" w:hAnsiTheme="minorHAnsi"/>
              <w:b w:val="0"/>
              <w:color w:val="auto"/>
              <w:sz w:val="22"/>
              <w:lang w:val="en-AU" w:eastAsia="en-AU"/>
            </w:rPr>
          </w:pPr>
          <w:hyperlink w:anchor="_Toc451762009" w:history="1">
            <w:r w:rsidRPr="009A165B">
              <w:rPr>
                <w:rStyle w:val="Hyperlink"/>
              </w:rPr>
              <w:t>Contents</w:t>
            </w:r>
            <w:r>
              <w:rPr>
                <w:webHidden/>
              </w:rPr>
              <w:tab/>
            </w:r>
            <w:r>
              <w:rPr>
                <w:webHidden/>
              </w:rPr>
              <w:fldChar w:fldCharType="begin"/>
            </w:r>
            <w:r>
              <w:rPr>
                <w:webHidden/>
              </w:rPr>
              <w:instrText xml:space="preserve"> PAGEREF _Toc451762009 \h </w:instrText>
            </w:r>
            <w:r>
              <w:rPr>
                <w:webHidden/>
              </w:rPr>
            </w:r>
            <w:r>
              <w:rPr>
                <w:webHidden/>
              </w:rPr>
              <w:fldChar w:fldCharType="separate"/>
            </w:r>
            <w:r>
              <w:rPr>
                <w:webHidden/>
              </w:rPr>
              <w:t>6-3</w:t>
            </w:r>
            <w:r>
              <w:rPr>
                <w:webHidden/>
              </w:rPr>
              <w:fldChar w:fldCharType="end"/>
            </w:r>
          </w:hyperlink>
        </w:p>
        <w:p w:rsidR="00D822F6" w:rsidRDefault="00D822F6">
          <w:pPr>
            <w:pStyle w:val="TOC1"/>
            <w:rPr>
              <w:rFonts w:asciiTheme="minorHAnsi" w:eastAsiaTheme="minorEastAsia" w:hAnsiTheme="minorHAnsi"/>
              <w:b w:val="0"/>
              <w:color w:val="auto"/>
              <w:sz w:val="22"/>
              <w:lang w:val="en-AU" w:eastAsia="en-AU"/>
            </w:rPr>
          </w:pPr>
          <w:hyperlink w:anchor="_Toc451762010" w:history="1">
            <w:r w:rsidRPr="009A165B">
              <w:rPr>
                <w:rStyle w:val="Hyperlink"/>
              </w:rPr>
              <w:t>Shortened forms</w:t>
            </w:r>
            <w:r>
              <w:rPr>
                <w:webHidden/>
              </w:rPr>
              <w:tab/>
            </w:r>
            <w:r>
              <w:rPr>
                <w:webHidden/>
              </w:rPr>
              <w:fldChar w:fldCharType="begin"/>
            </w:r>
            <w:r>
              <w:rPr>
                <w:webHidden/>
              </w:rPr>
              <w:instrText xml:space="preserve"> PAGEREF _Toc451762010 \h </w:instrText>
            </w:r>
            <w:r>
              <w:rPr>
                <w:webHidden/>
              </w:rPr>
            </w:r>
            <w:r>
              <w:rPr>
                <w:webHidden/>
              </w:rPr>
              <w:fldChar w:fldCharType="separate"/>
            </w:r>
            <w:r>
              <w:rPr>
                <w:webHidden/>
              </w:rPr>
              <w:t>6-4</w:t>
            </w:r>
            <w:r>
              <w:rPr>
                <w:webHidden/>
              </w:rPr>
              <w:fldChar w:fldCharType="end"/>
            </w:r>
          </w:hyperlink>
        </w:p>
        <w:p w:rsidR="00D822F6" w:rsidRDefault="00D822F6">
          <w:pPr>
            <w:pStyle w:val="TOC1"/>
            <w:rPr>
              <w:rFonts w:asciiTheme="minorHAnsi" w:eastAsiaTheme="minorEastAsia" w:hAnsiTheme="minorHAnsi"/>
              <w:b w:val="0"/>
              <w:color w:val="auto"/>
              <w:sz w:val="22"/>
              <w:lang w:val="en-AU" w:eastAsia="en-AU"/>
            </w:rPr>
          </w:pPr>
          <w:hyperlink w:anchor="_Toc451762011" w:history="1">
            <w:r w:rsidRPr="009A165B">
              <w:rPr>
                <w:rStyle w:val="Hyperlink"/>
              </w:rPr>
              <w:t>6</w:t>
            </w:r>
            <w:r>
              <w:rPr>
                <w:rFonts w:asciiTheme="minorHAnsi" w:eastAsiaTheme="minorEastAsia" w:hAnsiTheme="minorHAnsi"/>
                <w:b w:val="0"/>
                <w:color w:val="auto"/>
                <w:sz w:val="22"/>
                <w:lang w:val="en-AU" w:eastAsia="en-AU"/>
              </w:rPr>
              <w:tab/>
            </w:r>
            <w:r w:rsidRPr="009A165B">
              <w:rPr>
                <w:rStyle w:val="Hyperlink"/>
              </w:rPr>
              <w:t>Capital expenditure</w:t>
            </w:r>
            <w:r>
              <w:rPr>
                <w:webHidden/>
              </w:rPr>
              <w:tab/>
            </w:r>
            <w:r>
              <w:rPr>
                <w:webHidden/>
              </w:rPr>
              <w:fldChar w:fldCharType="begin"/>
            </w:r>
            <w:r>
              <w:rPr>
                <w:webHidden/>
              </w:rPr>
              <w:instrText xml:space="preserve"> PAGEREF _Toc451762011 \h </w:instrText>
            </w:r>
            <w:r>
              <w:rPr>
                <w:webHidden/>
              </w:rPr>
            </w:r>
            <w:r>
              <w:rPr>
                <w:webHidden/>
              </w:rPr>
              <w:fldChar w:fldCharType="separate"/>
            </w:r>
            <w:r>
              <w:rPr>
                <w:webHidden/>
              </w:rPr>
              <w:t>6-6</w:t>
            </w:r>
            <w:r>
              <w:rPr>
                <w:webHidden/>
              </w:rPr>
              <w:fldChar w:fldCharType="end"/>
            </w:r>
          </w:hyperlink>
        </w:p>
        <w:p w:rsidR="00D822F6" w:rsidRDefault="00D822F6">
          <w:pPr>
            <w:pStyle w:val="TOC2"/>
            <w:rPr>
              <w:rFonts w:asciiTheme="minorHAnsi" w:eastAsiaTheme="minorEastAsia" w:hAnsiTheme="minorHAnsi"/>
              <w:b w:val="0"/>
              <w:color w:val="auto"/>
              <w:sz w:val="22"/>
              <w:lang w:eastAsia="en-AU"/>
            </w:rPr>
          </w:pPr>
          <w:hyperlink w:anchor="_Toc451762012" w:history="1">
            <w:r w:rsidRPr="009A165B">
              <w:rPr>
                <w:rStyle w:val="Hyperlink"/>
              </w:rPr>
              <w:t>6.1</w:t>
            </w:r>
            <w:r>
              <w:rPr>
                <w:rFonts w:asciiTheme="minorHAnsi" w:eastAsiaTheme="minorEastAsia" w:hAnsiTheme="minorHAnsi"/>
                <w:b w:val="0"/>
                <w:color w:val="auto"/>
                <w:sz w:val="22"/>
                <w:lang w:eastAsia="en-AU"/>
              </w:rPr>
              <w:tab/>
            </w:r>
            <w:r w:rsidRPr="009A165B">
              <w:rPr>
                <w:rStyle w:val="Hyperlink"/>
              </w:rPr>
              <w:t>Final decision</w:t>
            </w:r>
            <w:r>
              <w:rPr>
                <w:webHidden/>
              </w:rPr>
              <w:tab/>
            </w:r>
            <w:r>
              <w:rPr>
                <w:webHidden/>
              </w:rPr>
              <w:fldChar w:fldCharType="begin"/>
            </w:r>
            <w:r>
              <w:rPr>
                <w:webHidden/>
              </w:rPr>
              <w:instrText xml:space="preserve"> PAGEREF _Toc451762012 \h </w:instrText>
            </w:r>
            <w:r>
              <w:rPr>
                <w:webHidden/>
              </w:rPr>
            </w:r>
            <w:r>
              <w:rPr>
                <w:webHidden/>
              </w:rPr>
              <w:fldChar w:fldCharType="separate"/>
            </w:r>
            <w:r>
              <w:rPr>
                <w:webHidden/>
              </w:rPr>
              <w:t>6-6</w:t>
            </w:r>
            <w:r>
              <w:rPr>
                <w:webHidden/>
              </w:rPr>
              <w:fldChar w:fldCharType="end"/>
            </w:r>
          </w:hyperlink>
        </w:p>
        <w:p w:rsidR="00D822F6" w:rsidRDefault="00D822F6">
          <w:pPr>
            <w:pStyle w:val="TOC2"/>
            <w:rPr>
              <w:rFonts w:asciiTheme="minorHAnsi" w:eastAsiaTheme="minorEastAsia" w:hAnsiTheme="minorHAnsi"/>
              <w:b w:val="0"/>
              <w:color w:val="auto"/>
              <w:sz w:val="22"/>
              <w:lang w:eastAsia="en-AU"/>
            </w:rPr>
          </w:pPr>
          <w:hyperlink w:anchor="_Toc451762013" w:history="1">
            <w:r w:rsidRPr="009A165B">
              <w:rPr>
                <w:rStyle w:val="Hyperlink"/>
              </w:rPr>
              <w:t>6.2</w:t>
            </w:r>
            <w:r>
              <w:rPr>
                <w:rFonts w:asciiTheme="minorHAnsi" w:eastAsiaTheme="minorEastAsia" w:hAnsiTheme="minorHAnsi"/>
                <w:b w:val="0"/>
                <w:color w:val="auto"/>
                <w:sz w:val="22"/>
                <w:lang w:eastAsia="en-AU"/>
              </w:rPr>
              <w:tab/>
            </w:r>
            <w:r w:rsidRPr="009A165B">
              <w:rPr>
                <w:rStyle w:val="Hyperlink"/>
              </w:rPr>
              <w:t>ActewAGL’s revised proposal</w:t>
            </w:r>
            <w:r>
              <w:rPr>
                <w:webHidden/>
              </w:rPr>
              <w:tab/>
            </w:r>
            <w:r>
              <w:rPr>
                <w:webHidden/>
              </w:rPr>
              <w:fldChar w:fldCharType="begin"/>
            </w:r>
            <w:r>
              <w:rPr>
                <w:webHidden/>
              </w:rPr>
              <w:instrText xml:space="preserve"> PAGEREF _Toc451762013 \h </w:instrText>
            </w:r>
            <w:r>
              <w:rPr>
                <w:webHidden/>
              </w:rPr>
            </w:r>
            <w:r>
              <w:rPr>
                <w:webHidden/>
              </w:rPr>
              <w:fldChar w:fldCharType="separate"/>
            </w:r>
            <w:r>
              <w:rPr>
                <w:webHidden/>
              </w:rPr>
              <w:t>6-9</w:t>
            </w:r>
            <w:r>
              <w:rPr>
                <w:webHidden/>
              </w:rPr>
              <w:fldChar w:fldCharType="end"/>
            </w:r>
          </w:hyperlink>
        </w:p>
        <w:p w:rsidR="00D822F6" w:rsidRDefault="00D822F6">
          <w:pPr>
            <w:pStyle w:val="TOC2"/>
            <w:rPr>
              <w:rFonts w:asciiTheme="minorHAnsi" w:eastAsiaTheme="minorEastAsia" w:hAnsiTheme="minorHAnsi"/>
              <w:b w:val="0"/>
              <w:color w:val="auto"/>
              <w:sz w:val="22"/>
              <w:lang w:eastAsia="en-AU"/>
            </w:rPr>
          </w:pPr>
          <w:hyperlink w:anchor="_Toc451762014" w:history="1">
            <w:r w:rsidRPr="009A165B">
              <w:rPr>
                <w:rStyle w:val="Hyperlink"/>
              </w:rPr>
              <w:t>6.3</w:t>
            </w:r>
            <w:r>
              <w:rPr>
                <w:rFonts w:asciiTheme="minorHAnsi" w:eastAsiaTheme="minorEastAsia" w:hAnsiTheme="minorHAnsi"/>
                <w:b w:val="0"/>
                <w:color w:val="auto"/>
                <w:sz w:val="22"/>
                <w:lang w:eastAsia="en-AU"/>
              </w:rPr>
              <w:tab/>
            </w:r>
            <w:r w:rsidRPr="009A165B">
              <w:rPr>
                <w:rStyle w:val="Hyperlink"/>
              </w:rPr>
              <w:t>AER’s assessment approach</w:t>
            </w:r>
            <w:r>
              <w:rPr>
                <w:webHidden/>
              </w:rPr>
              <w:tab/>
            </w:r>
            <w:r>
              <w:rPr>
                <w:webHidden/>
              </w:rPr>
              <w:fldChar w:fldCharType="begin"/>
            </w:r>
            <w:r>
              <w:rPr>
                <w:webHidden/>
              </w:rPr>
              <w:instrText xml:space="preserve"> PAGEREF _Toc451762014 \h </w:instrText>
            </w:r>
            <w:r>
              <w:rPr>
                <w:webHidden/>
              </w:rPr>
            </w:r>
            <w:r>
              <w:rPr>
                <w:webHidden/>
              </w:rPr>
              <w:fldChar w:fldCharType="separate"/>
            </w:r>
            <w:r>
              <w:rPr>
                <w:webHidden/>
              </w:rPr>
              <w:t>6-11</w:t>
            </w:r>
            <w:r>
              <w:rPr>
                <w:webHidden/>
              </w:rPr>
              <w:fldChar w:fldCharType="end"/>
            </w:r>
          </w:hyperlink>
        </w:p>
        <w:p w:rsidR="00D822F6" w:rsidRDefault="00D822F6">
          <w:pPr>
            <w:pStyle w:val="TOC3"/>
            <w:rPr>
              <w:rFonts w:asciiTheme="minorHAnsi" w:eastAsiaTheme="minorEastAsia" w:hAnsiTheme="minorHAnsi"/>
              <w:lang w:eastAsia="en-AU"/>
            </w:rPr>
          </w:pPr>
          <w:hyperlink w:anchor="_Toc451762015" w:history="1">
            <w:r w:rsidRPr="009A165B">
              <w:rPr>
                <w:rStyle w:val="Hyperlink"/>
              </w:rPr>
              <w:t>6.3.1</w:t>
            </w:r>
            <w:r>
              <w:rPr>
                <w:rFonts w:asciiTheme="minorHAnsi" w:eastAsiaTheme="minorEastAsia" w:hAnsiTheme="minorHAnsi"/>
                <w:lang w:eastAsia="en-AU"/>
              </w:rPr>
              <w:tab/>
            </w:r>
            <w:r w:rsidRPr="009A165B">
              <w:rPr>
                <w:rStyle w:val="Hyperlink"/>
              </w:rPr>
              <w:t>NGR requirements for conforming capital expenditure</w:t>
            </w:r>
            <w:r>
              <w:rPr>
                <w:webHidden/>
              </w:rPr>
              <w:tab/>
            </w:r>
            <w:r>
              <w:rPr>
                <w:webHidden/>
              </w:rPr>
              <w:fldChar w:fldCharType="begin"/>
            </w:r>
            <w:r>
              <w:rPr>
                <w:webHidden/>
              </w:rPr>
              <w:instrText xml:space="preserve"> PAGEREF _Toc451762015 \h </w:instrText>
            </w:r>
            <w:r>
              <w:rPr>
                <w:webHidden/>
              </w:rPr>
            </w:r>
            <w:r>
              <w:rPr>
                <w:webHidden/>
              </w:rPr>
              <w:fldChar w:fldCharType="separate"/>
            </w:r>
            <w:r>
              <w:rPr>
                <w:webHidden/>
              </w:rPr>
              <w:t>6-11</w:t>
            </w:r>
            <w:r>
              <w:rPr>
                <w:webHidden/>
              </w:rPr>
              <w:fldChar w:fldCharType="end"/>
            </w:r>
          </w:hyperlink>
        </w:p>
        <w:p w:rsidR="00D822F6" w:rsidRDefault="00D822F6">
          <w:pPr>
            <w:pStyle w:val="TOC3"/>
            <w:rPr>
              <w:rFonts w:asciiTheme="minorHAnsi" w:eastAsiaTheme="minorEastAsia" w:hAnsiTheme="minorHAnsi"/>
              <w:lang w:eastAsia="en-AU"/>
            </w:rPr>
          </w:pPr>
          <w:hyperlink w:anchor="_Toc451762016" w:history="1">
            <w:r w:rsidRPr="009A165B">
              <w:rPr>
                <w:rStyle w:val="Hyperlink"/>
              </w:rPr>
              <w:t>6.3.2</w:t>
            </w:r>
            <w:r>
              <w:rPr>
                <w:rFonts w:asciiTheme="minorHAnsi" w:eastAsiaTheme="minorEastAsia" w:hAnsiTheme="minorHAnsi"/>
                <w:lang w:eastAsia="en-AU"/>
              </w:rPr>
              <w:tab/>
            </w:r>
            <w:r w:rsidRPr="009A165B">
              <w:rPr>
                <w:rStyle w:val="Hyperlink"/>
              </w:rPr>
              <w:t>Assessment of conforming capital expenditure in the previous period</w:t>
            </w:r>
            <w:r>
              <w:rPr>
                <w:webHidden/>
              </w:rPr>
              <w:tab/>
            </w:r>
            <w:r>
              <w:rPr>
                <w:webHidden/>
              </w:rPr>
              <w:fldChar w:fldCharType="begin"/>
            </w:r>
            <w:r>
              <w:rPr>
                <w:webHidden/>
              </w:rPr>
              <w:instrText xml:space="preserve"> PAGEREF _Toc451762016 \h </w:instrText>
            </w:r>
            <w:r>
              <w:rPr>
                <w:webHidden/>
              </w:rPr>
            </w:r>
            <w:r>
              <w:rPr>
                <w:webHidden/>
              </w:rPr>
              <w:fldChar w:fldCharType="separate"/>
            </w:r>
            <w:r>
              <w:rPr>
                <w:webHidden/>
              </w:rPr>
              <w:t>6-12</w:t>
            </w:r>
            <w:r>
              <w:rPr>
                <w:webHidden/>
              </w:rPr>
              <w:fldChar w:fldCharType="end"/>
            </w:r>
          </w:hyperlink>
        </w:p>
        <w:p w:rsidR="00D822F6" w:rsidRDefault="00D822F6">
          <w:pPr>
            <w:pStyle w:val="TOC3"/>
            <w:rPr>
              <w:rFonts w:asciiTheme="minorHAnsi" w:eastAsiaTheme="minorEastAsia" w:hAnsiTheme="minorHAnsi"/>
              <w:lang w:eastAsia="en-AU"/>
            </w:rPr>
          </w:pPr>
          <w:hyperlink w:anchor="_Toc451762017" w:history="1">
            <w:r w:rsidRPr="009A165B">
              <w:rPr>
                <w:rStyle w:val="Hyperlink"/>
              </w:rPr>
              <w:t>6.3.3</w:t>
            </w:r>
            <w:r>
              <w:rPr>
                <w:rFonts w:asciiTheme="minorHAnsi" w:eastAsiaTheme="minorEastAsia" w:hAnsiTheme="minorHAnsi"/>
                <w:lang w:eastAsia="en-AU"/>
              </w:rPr>
              <w:tab/>
            </w:r>
            <w:r w:rsidRPr="009A165B">
              <w:rPr>
                <w:rStyle w:val="Hyperlink"/>
              </w:rPr>
              <w:t>Assessing forecast capex for the 2016–21 access arrangement period</w:t>
            </w:r>
            <w:r>
              <w:rPr>
                <w:webHidden/>
              </w:rPr>
              <w:tab/>
            </w:r>
            <w:r>
              <w:rPr>
                <w:webHidden/>
              </w:rPr>
              <w:fldChar w:fldCharType="begin"/>
            </w:r>
            <w:r>
              <w:rPr>
                <w:webHidden/>
              </w:rPr>
              <w:instrText xml:space="preserve"> PAGEREF _Toc451762017 \h </w:instrText>
            </w:r>
            <w:r>
              <w:rPr>
                <w:webHidden/>
              </w:rPr>
            </w:r>
            <w:r>
              <w:rPr>
                <w:webHidden/>
              </w:rPr>
              <w:fldChar w:fldCharType="separate"/>
            </w:r>
            <w:r>
              <w:rPr>
                <w:webHidden/>
              </w:rPr>
              <w:t>6-14</w:t>
            </w:r>
            <w:r>
              <w:rPr>
                <w:webHidden/>
              </w:rPr>
              <w:fldChar w:fldCharType="end"/>
            </w:r>
          </w:hyperlink>
        </w:p>
        <w:p w:rsidR="00D822F6" w:rsidRDefault="00D822F6">
          <w:pPr>
            <w:pStyle w:val="TOC3"/>
            <w:rPr>
              <w:rFonts w:asciiTheme="minorHAnsi" w:eastAsiaTheme="minorEastAsia" w:hAnsiTheme="minorHAnsi"/>
              <w:lang w:eastAsia="en-AU"/>
            </w:rPr>
          </w:pPr>
          <w:hyperlink w:anchor="_Toc451762018" w:history="1">
            <w:r w:rsidRPr="009A165B">
              <w:rPr>
                <w:rStyle w:val="Hyperlink"/>
              </w:rPr>
              <w:t>6.3.4</w:t>
            </w:r>
            <w:r>
              <w:rPr>
                <w:rFonts w:asciiTheme="minorHAnsi" w:eastAsiaTheme="minorEastAsia" w:hAnsiTheme="minorHAnsi"/>
                <w:lang w:eastAsia="en-AU"/>
              </w:rPr>
              <w:tab/>
            </w:r>
            <w:r w:rsidRPr="009A165B">
              <w:rPr>
                <w:rStyle w:val="Hyperlink"/>
              </w:rPr>
              <w:t>Interrelationships</w:t>
            </w:r>
            <w:r>
              <w:rPr>
                <w:webHidden/>
              </w:rPr>
              <w:tab/>
            </w:r>
            <w:r>
              <w:rPr>
                <w:webHidden/>
              </w:rPr>
              <w:fldChar w:fldCharType="begin"/>
            </w:r>
            <w:r>
              <w:rPr>
                <w:webHidden/>
              </w:rPr>
              <w:instrText xml:space="preserve"> PAGEREF _Toc451762018 \h </w:instrText>
            </w:r>
            <w:r>
              <w:rPr>
                <w:webHidden/>
              </w:rPr>
            </w:r>
            <w:r>
              <w:rPr>
                <w:webHidden/>
              </w:rPr>
              <w:fldChar w:fldCharType="separate"/>
            </w:r>
            <w:r>
              <w:rPr>
                <w:webHidden/>
              </w:rPr>
              <w:t>6-18</w:t>
            </w:r>
            <w:r>
              <w:rPr>
                <w:webHidden/>
              </w:rPr>
              <w:fldChar w:fldCharType="end"/>
            </w:r>
          </w:hyperlink>
        </w:p>
        <w:p w:rsidR="00D822F6" w:rsidRDefault="00D822F6">
          <w:pPr>
            <w:pStyle w:val="TOC2"/>
            <w:rPr>
              <w:rFonts w:asciiTheme="minorHAnsi" w:eastAsiaTheme="minorEastAsia" w:hAnsiTheme="minorHAnsi"/>
              <w:b w:val="0"/>
              <w:color w:val="auto"/>
              <w:sz w:val="22"/>
              <w:lang w:eastAsia="en-AU"/>
            </w:rPr>
          </w:pPr>
          <w:hyperlink w:anchor="_Toc451762019" w:history="1">
            <w:r w:rsidRPr="009A165B">
              <w:rPr>
                <w:rStyle w:val="Hyperlink"/>
              </w:rPr>
              <w:t>6.4</w:t>
            </w:r>
            <w:r>
              <w:rPr>
                <w:rFonts w:asciiTheme="minorHAnsi" w:eastAsiaTheme="minorEastAsia" w:hAnsiTheme="minorHAnsi"/>
                <w:b w:val="0"/>
                <w:color w:val="auto"/>
                <w:sz w:val="22"/>
                <w:lang w:eastAsia="en-AU"/>
              </w:rPr>
              <w:tab/>
            </w:r>
            <w:r w:rsidRPr="009A165B">
              <w:rPr>
                <w:rStyle w:val="Hyperlink"/>
              </w:rPr>
              <w:t>Reasons for final decision</w:t>
            </w:r>
            <w:r>
              <w:rPr>
                <w:webHidden/>
              </w:rPr>
              <w:tab/>
            </w:r>
            <w:r>
              <w:rPr>
                <w:webHidden/>
              </w:rPr>
              <w:fldChar w:fldCharType="begin"/>
            </w:r>
            <w:r>
              <w:rPr>
                <w:webHidden/>
              </w:rPr>
              <w:instrText xml:space="preserve"> PAGEREF _Toc451762019 \h </w:instrText>
            </w:r>
            <w:r>
              <w:rPr>
                <w:webHidden/>
              </w:rPr>
            </w:r>
            <w:r>
              <w:rPr>
                <w:webHidden/>
              </w:rPr>
              <w:fldChar w:fldCharType="separate"/>
            </w:r>
            <w:r>
              <w:rPr>
                <w:webHidden/>
              </w:rPr>
              <w:t>6-18</w:t>
            </w:r>
            <w:r>
              <w:rPr>
                <w:webHidden/>
              </w:rPr>
              <w:fldChar w:fldCharType="end"/>
            </w:r>
          </w:hyperlink>
        </w:p>
        <w:p w:rsidR="00D822F6" w:rsidRDefault="00D822F6">
          <w:pPr>
            <w:pStyle w:val="TOC3"/>
            <w:rPr>
              <w:rFonts w:asciiTheme="minorHAnsi" w:eastAsiaTheme="minorEastAsia" w:hAnsiTheme="minorHAnsi"/>
              <w:lang w:eastAsia="en-AU"/>
            </w:rPr>
          </w:pPr>
          <w:hyperlink w:anchor="_Toc451762020" w:history="1">
            <w:r w:rsidRPr="009A165B">
              <w:rPr>
                <w:rStyle w:val="Hyperlink"/>
              </w:rPr>
              <w:t>6.4.1</w:t>
            </w:r>
            <w:r>
              <w:rPr>
                <w:rFonts w:asciiTheme="minorHAnsi" w:eastAsiaTheme="minorEastAsia" w:hAnsiTheme="minorHAnsi"/>
                <w:lang w:eastAsia="en-AU"/>
              </w:rPr>
              <w:tab/>
            </w:r>
            <w:r w:rsidRPr="009A165B">
              <w:rPr>
                <w:rStyle w:val="Hyperlink"/>
              </w:rPr>
              <w:t>Conforming capital expenditure for 2009–15</w:t>
            </w:r>
            <w:r>
              <w:rPr>
                <w:webHidden/>
              </w:rPr>
              <w:tab/>
            </w:r>
            <w:r>
              <w:rPr>
                <w:webHidden/>
              </w:rPr>
              <w:fldChar w:fldCharType="begin"/>
            </w:r>
            <w:r>
              <w:rPr>
                <w:webHidden/>
              </w:rPr>
              <w:instrText xml:space="preserve"> PAGEREF _Toc451762020 \h </w:instrText>
            </w:r>
            <w:r>
              <w:rPr>
                <w:webHidden/>
              </w:rPr>
            </w:r>
            <w:r>
              <w:rPr>
                <w:webHidden/>
              </w:rPr>
              <w:fldChar w:fldCharType="separate"/>
            </w:r>
            <w:r>
              <w:rPr>
                <w:webHidden/>
              </w:rPr>
              <w:t>6-18</w:t>
            </w:r>
            <w:r>
              <w:rPr>
                <w:webHidden/>
              </w:rPr>
              <w:fldChar w:fldCharType="end"/>
            </w:r>
          </w:hyperlink>
        </w:p>
        <w:p w:rsidR="00D822F6" w:rsidRDefault="00D822F6">
          <w:pPr>
            <w:pStyle w:val="TOC3"/>
            <w:rPr>
              <w:rFonts w:asciiTheme="minorHAnsi" w:eastAsiaTheme="minorEastAsia" w:hAnsiTheme="minorHAnsi"/>
              <w:lang w:eastAsia="en-AU"/>
            </w:rPr>
          </w:pPr>
          <w:hyperlink w:anchor="_Toc451762021" w:history="1">
            <w:r w:rsidRPr="009A165B">
              <w:rPr>
                <w:rStyle w:val="Hyperlink"/>
              </w:rPr>
              <w:t>6.4.2</w:t>
            </w:r>
            <w:r>
              <w:rPr>
                <w:rFonts w:asciiTheme="minorHAnsi" w:eastAsiaTheme="minorEastAsia" w:hAnsiTheme="minorHAnsi"/>
                <w:lang w:eastAsia="en-AU"/>
              </w:rPr>
              <w:tab/>
            </w:r>
            <w:r w:rsidRPr="009A165B">
              <w:rPr>
                <w:rStyle w:val="Hyperlink"/>
              </w:rPr>
              <w:t>Conforming capital expenditure for the 2016–21 access arrangement period</w:t>
            </w:r>
            <w:r>
              <w:rPr>
                <w:webHidden/>
              </w:rPr>
              <w:tab/>
            </w:r>
            <w:r>
              <w:rPr>
                <w:webHidden/>
              </w:rPr>
              <w:fldChar w:fldCharType="begin"/>
            </w:r>
            <w:r>
              <w:rPr>
                <w:webHidden/>
              </w:rPr>
              <w:instrText xml:space="preserve"> PAGEREF _Toc451762021 \h </w:instrText>
            </w:r>
            <w:r>
              <w:rPr>
                <w:webHidden/>
              </w:rPr>
            </w:r>
            <w:r>
              <w:rPr>
                <w:webHidden/>
              </w:rPr>
              <w:fldChar w:fldCharType="separate"/>
            </w:r>
            <w:r>
              <w:rPr>
                <w:webHidden/>
              </w:rPr>
              <w:t>6-19</w:t>
            </w:r>
            <w:r>
              <w:rPr>
                <w:webHidden/>
              </w:rPr>
              <w:fldChar w:fldCharType="end"/>
            </w:r>
          </w:hyperlink>
        </w:p>
        <w:p w:rsidR="00DE563D" w:rsidRDefault="007C006B" w:rsidP="007C006B">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51762010"/>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0630AA" w:rsidTr="000630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Shortened form</w:t>
            </w:r>
          </w:p>
        </w:tc>
        <w:tc>
          <w:tcPr>
            <w:tcW w:w="5041" w:type="dxa"/>
            <w:tcBorders>
              <w:top w:val="nil"/>
              <w:left w:val="nil"/>
              <w:bottom w:val="nil"/>
              <w:right w:val="nil"/>
            </w:tcBorders>
            <w:hideMark/>
          </w:tcPr>
          <w:p w:rsidR="000630AA" w:rsidRDefault="000630AA" w:rsidP="000630AA">
            <w:pPr>
              <w:numPr>
                <w:ilvl w:val="0"/>
                <w:numId w:val="28"/>
              </w:numPr>
              <w:cnfStyle w:val="100000000000" w:firstRow="1" w:lastRow="0" w:firstColumn="0" w:lastColumn="0" w:oddVBand="0" w:evenVBand="0" w:oddHBand="0" w:evenHBand="0" w:firstRowFirstColumn="0" w:firstRowLastColumn="0" w:lastRowFirstColumn="0" w:lastRowLastColumn="0"/>
            </w:pPr>
            <w:r>
              <w:t>Extended form</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AA</w:t>
            </w:r>
          </w:p>
        </w:tc>
        <w:tc>
          <w:tcPr>
            <w:tcW w:w="5041" w:type="dxa"/>
            <w:tcBorders>
              <w:top w:val="nil"/>
              <w:left w:val="nil"/>
              <w:bottom w:val="nil"/>
              <w:right w:val="nil"/>
            </w:tcBorders>
            <w:hideMark/>
          </w:tcPr>
          <w:p w:rsidR="000630AA" w:rsidRDefault="000630AA">
            <w:pPr>
              <w:cnfStyle w:val="000000000000" w:firstRow="0" w:lastRow="0" w:firstColumn="0" w:lastColumn="0" w:oddVBand="0" w:evenVBand="0" w:oddHBand="0" w:evenHBand="0" w:firstRowFirstColumn="0" w:firstRowLastColumn="0" w:lastRowFirstColumn="0" w:lastRowLastColumn="0"/>
            </w:pPr>
            <w:r>
              <w:t>Access Arrangement</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AAI</w:t>
            </w:r>
          </w:p>
        </w:tc>
        <w:tc>
          <w:tcPr>
            <w:tcW w:w="5041" w:type="dxa"/>
            <w:tcBorders>
              <w:top w:val="nil"/>
              <w:left w:val="nil"/>
              <w:bottom w:val="nil"/>
              <w:right w:val="nil"/>
            </w:tcBorders>
            <w:hideMark/>
          </w:tcPr>
          <w:p w:rsidR="000630AA" w:rsidRDefault="000630AA">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AER</w:t>
            </w:r>
          </w:p>
        </w:tc>
        <w:tc>
          <w:tcPr>
            <w:tcW w:w="5041" w:type="dxa"/>
            <w:tcBorders>
              <w:top w:val="nil"/>
              <w:left w:val="nil"/>
              <w:bottom w:val="nil"/>
              <w:right w:val="nil"/>
            </w:tcBorders>
            <w:hideMark/>
          </w:tcPr>
          <w:p w:rsidR="000630AA" w:rsidRDefault="000630AA" w:rsidP="000630AA">
            <w:pPr>
              <w:numPr>
                <w:ilvl w:val="0"/>
                <w:numId w:val="28"/>
              </w:numPr>
              <w:cnfStyle w:val="000000000000" w:firstRow="0" w:lastRow="0" w:firstColumn="0" w:lastColumn="0" w:oddVBand="0" w:evenVBand="0" w:oddHBand="0" w:evenHBand="0" w:firstRowFirstColumn="0" w:firstRowLastColumn="0" w:lastRowFirstColumn="0" w:lastRowLastColumn="0"/>
            </w:pPr>
            <w:r>
              <w:t>Australian Energy Regulator</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ASA</w:t>
            </w:r>
          </w:p>
        </w:tc>
        <w:tc>
          <w:tcPr>
            <w:tcW w:w="5041" w:type="dxa"/>
            <w:tcBorders>
              <w:top w:val="nil"/>
              <w:left w:val="nil"/>
              <w:bottom w:val="nil"/>
              <w:right w:val="nil"/>
            </w:tcBorders>
            <w:hideMark/>
          </w:tcPr>
          <w:p w:rsidR="000630AA" w:rsidRDefault="000630AA">
            <w:pPr>
              <w:cnfStyle w:val="000000010000" w:firstRow="0" w:lastRow="0" w:firstColumn="0" w:lastColumn="0" w:oddVBand="0" w:evenVBand="0" w:oddHBand="0" w:evenHBand="1" w:firstRowFirstColumn="0" w:firstRowLastColumn="0" w:lastRowFirstColumn="0" w:lastRowLastColumn="0"/>
            </w:pPr>
            <w:r>
              <w:t>Asset Services Agreement</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ATO</w:t>
            </w:r>
          </w:p>
        </w:tc>
        <w:tc>
          <w:tcPr>
            <w:tcW w:w="5041" w:type="dxa"/>
            <w:tcBorders>
              <w:top w:val="nil"/>
              <w:left w:val="nil"/>
              <w:bottom w:val="nil"/>
              <w:right w:val="nil"/>
            </w:tcBorders>
            <w:hideMark/>
          </w:tcPr>
          <w:p w:rsidR="000630AA" w:rsidRDefault="000630AA">
            <w:pPr>
              <w:cnfStyle w:val="000000000000" w:firstRow="0" w:lastRow="0" w:firstColumn="0" w:lastColumn="0" w:oddVBand="0" w:evenVBand="0" w:oddHBand="0" w:evenHBand="0" w:firstRowFirstColumn="0" w:firstRowLastColumn="0" w:lastRowFirstColumn="0" w:lastRowLastColumn="0"/>
            </w:pPr>
            <w:r>
              <w:t>Australian Tax Office</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capex</w:t>
            </w:r>
          </w:p>
        </w:tc>
        <w:tc>
          <w:tcPr>
            <w:tcW w:w="5041" w:type="dxa"/>
            <w:tcBorders>
              <w:top w:val="nil"/>
              <w:left w:val="nil"/>
              <w:bottom w:val="nil"/>
              <w:right w:val="nil"/>
            </w:tcBorders>
            <w:hideMark/>
          </w:tcPr>
          <w:p w:rsidR="000630AA" w:rsidRDefault="000630AA" w:rsidP="000630AA">
            <w:pPr>
              <w:numPr>
                <w:ilvl w:val="0"/>
                <w:numId w:val="28"/>
              </w:numPr>
              <w:cnfStyle w:val="000000010000" w:firstRow="0" w:lastRow="0" w:firstColumn="0" w:lastColumn="0" w:oddVBand="0" w:evenVBand="0" w:oddHBand="0" w:evenHBand="1" w:firstRowFirstColumn="0" w:firstRowLastColumn="0" w:lastRowFirstColumn="0" w:lastRowLastColumn="0"/>
            </w:pPr>
            <w:r>
              <w:t>capital expenditure</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CAPM</w:t>
            </w:r>
          </w:p>
        </w:tc>
        <w:tc>
          <w:tcPr>
            <w:tcW w:w="5041" w:type="dxa"/>
            <w:tcBorders>
              <w:top w:val="nil"/>
              <w:left w:val="nil"/>
              <w:bottom w:val="nil"/>
              <w:right w:val="nil"/>
            </w:tcBorders>
            <w:hideMark/>
          </w:tcPr>
          <w:p w:rsidR="000630AA" w:rsidRDefault="000630AA" w:rsidP="000630AA">
            <w:pPr>
              <w:numPr>
                <w:ilvl w:val="0"/>
                <w:numId w:val="28"/>
              </w:numPr>
              <w:cnfStyle w:val="000000000000" w:firstRow="0" w:lastRow="0" w:firstColumn="0" w:lastColumn="0" w:oddVBand="0" w:evenVBand="0" w:oddHBand="0" w:evenHBand="0" w:firstRowFirstColumn="0" w:firstRowLastColumn="0" w:lastRowFirstColumn="0" w:lastRowLastColumn="0"/>
            </w:pPr>
            <w:r>
              <w:t>capital asset pricing model</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CCP</w:t>
            </w:r>
          </w:p>
        </w:tc>
        <w:tc>
          <w:tcPr>
            <w:tcW w:w="5041" w:type="dxa"/>
            <w:tcBorders>
              <w:top w:val="nil"/>
              <w:left w:val="nil"/>
              <w:bottom w:val="nil"/>
              <w:right w:val="nil"/>
            </w:tcBorders>
            <w:hideMark/>
          </w:tcPr>
          <w:p w:rsidR="000630AA" w:rsidRDefault="000630AA" w:rsidP="000630AA">
            <w:pPr>
              <w:numPr>
                <w:ilvl w:val="0"/>
                <w:numId w:val="28"/>
              </w:numPr>
              <w:cnfStyle w:val="000000010000" w:firstRow="0" w:lastRow="0" w:firstColumn="0" w:lastColumn="0" w:oddVBand="0" w:evenVBand="0" w:oddHBand="0" w:evenHBand="1" w:firstRowFirstColumn="0" w:firstRowLastColumn="0" w:lastRowFirstColumn="0" w:lastRowLastColumn="0"/>
            </w:pPr>
            <w:r>
              <w:t>Consumer Challenge Panel</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CMF</w:t>
            </w:r>
          </w:p>
        </w:tc>
        <w:tc>
          <w:tcPr>
            <w:tcW w:w="5041" w:type="dxa"/>
            <w:tcBorders>
              <w:top w:val="nil"/>
              <w:left w:val="nil"/>
              <w:bottom w:val="nil"/>
              <w:right w:val="nil"/>
            </w:tcBorders>
            <w:hideMark/>
          </w:tcPr>
          <w:p w:rsidR="000630AA" w:rsidRDefault="000630AA">
            <w:pPr>
              <w:cnfStyle w:val="000000000000" w:firstRow="0" w:lastRow="0" w:firstColumn="0" w:lastColumn="0" w:oddVBand="0" w:evenVBand="0" w:oddHBand="0" w:evenHBand="0" w:firstRowFirstColumn="0" w:firstRowLastColumn="0" w:lastRowFirstColumn="0" w:lastRowLastColumn="0"/>
            </w:pPr>
            <w:r>
              <w:t>construction management fee</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CPI</w:t>
            </w:r>
          </w:p>
        </w:tc>
        <w:tc>
          <w:tcPr>
            <w:tcW w:w="5041" w:type="dxa"/>
            <w:tcBorders>
              <w:top w:val="nil"/>
              <w:left w:val="nil"/>
              <w:bottom w:val="nil"/>
              <w:right w:val="nil"/>
            </w:tcBorders>
            <w:hideMark/>
          </w:tcPr>
          <w:p w:rsidR="000630AA" w:rsidRDefault="000630AA" w:rsidP="000630AA">
            <w:pPr>
              <w:numPr>
                <w:ilvl w:val="0"/>
                <w:numId w:val="28"/>
              </w:numPr>
              <w:cnfStyle w:val="000000010000" w:firstRow="0" w:lastRow="0" w:firstColumn="0" w:lastColumn="0" w:oddVBand="0" w:evenVBand="0" w:oddHBand="0" w:evenHBand="1" w:firstRowFirstColumn="0" w:firstRowLastColumn="0" w:lastRowFirstColumn="0" w:lastRowLastColumn="0"/>
            </w:pPr>
            <w:r>
              <w:t>consumer price index</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DAMS</w:t>
            </w:r>
          </w:p>
        </w:tc>
        <w:tc>
          <w:tcPr>
            <w:tcW w:w="5041" w:type="dxa"/>
            <w:tcBorders>
              <w:top w:val="nil"/>
              <w:left w:val="nil"/>
              <w:bottom w:val="nil"/>
              <w:right w:val="nil"/>
            </w:tcBorders>
            <w:hideMark/>
          </w:tcPr>
          <w:p w:rsidR="000630AA" w:rsidRDefault="000630AA">
            <w:pPr>
              <w:cnfStyle w:val="000000000000" w:firstRow="0" w:lastRow="0" w:firstColumn="0" w:lastColumn="0" w:oddVBand="0" w:evenVBand="0" w:oddHBand="0" w:evenHBand="0" w:firstRowFirstColumn="0" w:firstRowLastColumn="0" w:lastRowFirstColumn="0" w:lastRowLastColumn="0"/>
            </w:pPr>
            <w:r>
              <w:t>Distribution Asset Management Services</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DRP</w:t>
            </w:r>
          </w:p>
        </w:tc>
        <w:tc>
          <w:tcPr>
            <w:tcW w:w="5041" w:type="dxa"/>
            <w:tcBorders>
              <w:top w:val="nil"/>
              <w:left w:val="nil"/>
              <w:bottom w:val="nil"/>
              <w:right w:val="nil"/>
            </w:tcBorders>
            <w:hideMark/>
          </w:tcPr>
          <w:p w:rsidR="000630AA" w:rsidRDefault="000630AA" w:rsidP="000630AA">
            <w:pPr>
              <w:numPr>
                <w:ilvl w:val="0"/>
                <w:numId w:val="28"/>
              </w:numPr>
              <w:cnfStyle w:val="000000010000" w:firstRow="0" w:lastRow="0" w:firstColumn="0" w:lastColumn="0" w:oddVBand="0" w:evenVBand="0" w:oddHBand="0" w:evenHBand="1" w:firstRowFirstColumn="0" w:firstRowLastColumn="0" w:lastRowFirstColumn="0" w:lastRowLastColumn="0"/>
            </w:pPr>
            <w:r>
              <w:t>debt risk premium</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EBSS</w:t>
            </w:r>
          </w:p>
        </w:tc>
        <w:tc>
          <w:tcPr>
            <w:tcW w:w="5041" w:type="dxa"/>
            <w:tcBorders>
              <w:top w:val="nil"/>
              <w:left w:val="nil"/>
              <w:bottom w:val="nil"/>
              <w:right w:val="nil"/>
            </w:tcBorders>
            <w:hideMark/>
          </w:tcPr>
          <w:p w:rsidR="000630AA" w:rsidRDefault="000630AA">
            <w:pPr>
              <w:cnfStyle w:val="000000000000" w:firstRow="0" w:lastRow="0" w:firstColumn="0" w:lastColumn="0" w:oddVBand="0" w:evenVBand="0" w:oddHBand="0" w:evenHBand="0" w:firstRowFirstColumn="0" w:firstRowLastColumn="0" w:lastRowFirstColumn="0" w:lastRowLastColumn="0"/>
            </w:pPr>
            <w:r>
              <w:t>Efficiency Benefit Sharing Scheme</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ECM</w:t>
            </w:r>
          </w:p>
        </w:tc>
        <w:tc>
          <w:tcPr>
            <w:tcW w:w="5041" w:type="dxa"/>
            <w:tcBorders>
              <w:top w:val="nil"/>
              <w:left w:val="nil"/>
              <w:bottom w:val="nil"/>
              <w:right w:val="nil"/>
            </w:tcBorders>
            <w:hideMark/>
          </w:tcPr>
          <w:p w:rsidR="000630AA" w:rsidRDefault="000630AA">
            <w:pPr>
              <w:cnfStyle w:val="000000010000" w:firstRow="0" w:lastRow="0" w:firstColumn="0" w:lastColumn="0" w:oddVBand="0" w:evenVBand="0" w:oddHBand="0" w:evenHBand="1" w:firstRowFirstColumn="0" w:firstRowLastColumn="0" w:lastRowFirstColumn="0" w:lastRowLastColumn="0"/>
            </w:pPr>
            <w:r>
              <w:t>Efficiency Carryover Mechanism</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EIL</w:t>
            </w:r>
          </w:p>
        </w:tc>
        <w:tc>
          <w:tcPr>
            <w:tcW w:w="5041" w:type="dxa"/>
            <w:tcBorders>
              <w:top w:val="nil"/>
              <w:left w:val="nil"/>
              <w:bottom w:val="nil"/>
              <w:right w:val="nil"/>
            </w:tcBorders>
            <w:hideMark/>
          </w:tcPr>
          <w:p w:rsidR="000630AA" w:rsidRDefault="000630AA">
            <w:pPr>
              <w:cnfStyle w:val="000000000000" w:firstRow="0" w:lastRow="0" w:firstColumn="0" w:lastColumn="0" w:oddVBand="0" w:evenVBand="0" w:oddHBand="0" w:evenHBand="0" w:firstRowFirstColumn="0" w:firstRowLastColumn="0" w:lastRowFirstColumn="0" w:lastRowLastColumn="0"/>
            </w:pPr>
            <w:r>
              <w:t>Energy Industry Levy</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ERP</w:t>
            </w:r>
          </w:p>
        </w:tc>
        <w:tc>
          <w:tcPr>
            <w:tcW w:w="5041" w:type="dxa"/>
            <w:tcBorders>
              <w:top w:val="nil"/>
              <w:left w:val="nil"/>
              <w:bottom w:val="nil"/>
              <w:right w:val="nil"/>
            </w:tcBorders>
            <w:hideMark/>
          </w:tcPr>
          <w:p w:rsidR="000630AA" w:rsidRDefault="000630AA" w:rsidP="000630AA">
            <w:pPr>
              <w:numPr>
                <w:ilvl w:val="0"/>
                <w:numId w:val="28"/>
              </w:numPr>
              <w:cnfStyle w:val="000000010000" w:firstRow="0" w:lastRow="0" w:firstColumn="0" w:lastColumn="0" w:oddVBand="0" w:evenVBand="0" w:oddHBand="0" w:evenHBand="1" w:firstRowFirstColumn="0" w:firstRowLastColumn="0" w:lastRowFirstColumn="0" w:lastRowLastColumn="0"/>
            </w:pPr>
            <w:r>
              <w:t>equity risk premium</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Expenditure Guideline</w:t>
            </w:r>
          </w:p>
        </w:tc>
        <w:tc>
          <w:tcPr>
            <w:tcW w:w="5041" w:type="dxa"/>
            <w:tcBorders>
              <w:top w:val="nil"/>
              <w:left w:val="nil"/>
              <w:bottom w:val="nil"/>
              <w:right w:val="nil"/>
            </w:tcBorders>
            <w:hideMark/>
          </w:tcPr>
          <w:p w:rsidR="000630AA" w:rsidRDefault="000630AA">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gamma</w:t>
            </w:r>
          </w:p>
        </w:tc>
        <w:tc>
          <w:tcPr>
            <w:tcW w:w="5041" w:type="dxa"/>
            <w:tcBorders>
              <w:top w:val="nil"/>
              <w:left w:val="nil"/>
              <w:bottom w:val="nil"/>
              <w:right w:val="nil"/>
            </w:tcBorders>
            <w:hideMark/>
          </w:tcPr>
          <w:p w:rsidR="000630AA" w:rsidRDefault="000630AA">
            <w:pPr>
              <w:cnfStyle w:val="000000010000" w:firstRow="0" w:lastRow="0" w:firstColumn="0" w:lastColumn="0" w:oddVBand="0" w:evenVBand="0" w:oddHBand="0" w:evenHBand="1" w:firstRowFirstColumn="0" w:firstRowLastColumn="0" w:lastRowFirstColumn="0" w:lastRowLastColumn="0"/>
            </w:pPr>
            <w:r>
              <w:t>value of imputation credits</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GSL</w:t>
            </w:r>
          </w:p>
        </w:tc>
        <w:tc>
          <w:tcPr>
            <w:tcW w:w="5041" w:type="dxa"/>
            <w:tcBorders>
              <w:top w:val="nil"/>
              <w:left w:val="nil"/>
              <w:bottom w:val="nil"/>
              <w:right w:val="nil"/>
            </w:tcBorders>
            <w:hideMark/>
          </w:tcPr>
          <w:p w:rsidR="000630AA" w:rsidRDefault="000630AA">
            <w:pPr>
              <w:cnfStyle w:val="000000000000" w:firstRow="0" w:lastRow="0" w:firstColumn="0" w:lastColumn="0" w:oddVBand="0" w:evenVBand="0" w:oddHBand="0" w:evenHBand="0" w:firstRowFirstColumn="0" w:firstRowLastColumn="0" w:lastRowFirstColumn="0" w:lastRowLastColumn="0"/>
            </w:pPr>
            <w:r>
              <w:t>Guaranteed Service Level</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GTA</w:t>
            </w:r>
          </w:p>
        </w:tc>
        <w:tc>
          <w:tcPr>
            <w:tcW w:w="5041" w:type="dxa"/>
            <w:tcBorders>
              <w:top w:val="nil"/>
              <w:left w:val="nil"/>
              <w:bottom w:val="nil"/>
              <w:right w:val="nil"/>
            </w:tcBorders>
            <w:hideMark/>
          </w:tcPr>
          <w:p w:rsidR="000630AA" w:rsidRDefault="000630AA">
            <w:pPr>
              <w:cnfStyle w:val="000000010000" w:firstRow="0" w:lastRow="0" w:firstColumn="0" w:lastColumn="0" w:oddVBand="0" w:evenVBand="0" w:oddHBand="0" w:evenHBand="1" w:firstRowFirstColumn="0" w:firstRowLastColumn="0" w:lastRowFirstColumn="0" w:lastRowLastColumn="0"/>
            </w:pPr>
            <w:r>
              <w:t>Gas Transport Services Agreement</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ICRC</w:t>
            </w:r>
          </w:p>
        </w:tc>
        <w:tc>
          <w:tcPr>
            <w:tcW w:w="5041" w:type="dxa"/>
            <w:tcBorders>
              <w:top w:val="nil"/>
              <w:left w:val="nil"/>
              <w:bottom w:val="nil"/>
              <w:right w:val="nil"/>
            </w:tcBorders>
            <w:hideMark/>
          </w:tcPr>
          <w:p w:rsidR="000630AA" w:rsidRDefault="000630AA">
            <w:pPr>
              <w:cnfStyle w:val="000000000000" w:firstRow="0" w:lastRow="0" w:firstColumn="0" w:lastColumn="0" w:oddVBand="0" w:evenVBand="0" w:oddHBand="0" w:evenHBand="0" w:firstRowFirstColumn="0" w:firstRowLastColumn="0" w:lastRowFirstColumn="0" w:lastRowLastColumn="0"/>
            </w:pPr>
            <w:r>
              <w:t>Independent Competition and Regulatory Commission</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MRP</w:t>
            </w:r>
          </w:p>
        </w:tc>
        <w:tc>
          <w:tcPr>
            <w:tcW w:w="5041" w:type="dxa"/>
            <w:tcBorders>
              <w:top w:val="nil"/>
              <w:left w:val="nil"/>
              <w:bottom w:val="nil"/>
              <w:right w:val="nil"/>
            </w:tcBorders>
            <w:hideMark/>
          </w:tcPr>
          <w:p w:rsidR="000630AA" w:rsidRDefault="000630AA" w:rsidP="000630AA">
            <w:pPr>
              <w:numPr>
                <w:ilvl w:val="0"/>
                <w:numId w:val="28"/>
              </w:numPr>
              <w:cnfStyle w:val="000000010000" w:firstRow="0" w:lastRow="0" w:firstColumn="0" w:lastColumn="0" w:oddVBand="0" w:evenVBand="0" w:oddHBand="0" w:evenHBand="1" w:firstRowFirstColumn="0" w:firstRowLastColumn="0" w:lastRowFirstColumn="0" w:lastRowLastColumn="0"/>
            </w:pPr>
            <w:r>
              <w:t>market risk premium</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NECF</w:t>
            </w:r>
          </w:p>
        </w:tc>
        <w:tc>
          <w:tcPr>
            <w:tcW w:w="5041" w:type="dxa"/>
            <w:tcBorders>
              <w:top w:val="nil"/>
              <w:left w:val="nil"/>
              <w:bottom w:val="nil"/>
              <w:right w:val="nil"/>
            </w:tcBorders>
            <w:hideMark/>
          </w:tcPr>
          <w:p w:rsidR="000630AA" w:rsidRDefault="000630AA">
            <w:pPr>
              <w:cnfStyle w:val="000000000000" w:firstRow="0" w:lastRow="0" w:firstColumn="0" w:lastColumn="0" w:oddVBand="0" w:evenVBand="0" w:oddHBand="0" w:evenHBand="0" w:firstRowFirstColumn="0" w:firstRowLastColumn="0" w:lastRowFirstColumn="0" w:lastRowLastColumn="0"/>
            </w:pPr>
            <w:r>
              <w:t>National Energy Customer Framework</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NERL</w:t>
            </w:r>
          </w:p>
        </w:tc>
        <w:tc>
          <w:tcPr>
            <w:tcW w:w="5041" w:type="dxa"/>
            <w:tcBorders>
              <w:top w:val="nil"/>
              <w:left w:val="nil"/>
              <w:bottom w:val="nil"/>
              <w:right w:val="nil"/>
            </w:tcBorders>
            <w:hideMark/>
          </w:tcPr>
          <w:p w:rsidR="000630AA" w:rsidRDefault="000630AA">
            <w:pPr>
              <w:cnfStyle w:val="000000010000" w:firstRow="0" w:lastRow="0" w:firstColumn="0" w:lastColumn="0" w:oddVBand="0" w:evenVBand="0" w:oddHBand="0" w:evenHBand="1" w:firstRowFirstColumn="0" w:firstRowLastColumn="0" w:lastRowFirstColumn="0" w:lastRowLastColumn="0"/>
            </w:pPr>
            <w:r>
              <w:t>National Energy Retail Law</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NERR</w:t>
            </w:r>
          </w:p>
        </w:tc>
        <w:tc>
          <w:tcPr>
            <w:tcW w:w="5041" w:type="dxa"/>
            <w:tcBorders>
              <w:top w:val="nil"/>
              <w:left w:val="nil"/>
              <w:bottom w:val="nil"/>
              <w:right w:val="nil"/>
            </w:tcBorders>
            <w:hideMark/>
          </w:tcPr>
          <w:p w:rsidR="000630AA" w:rsidRDefault="000630AA" w:rsidP="000630AA">
            <w:pPr>
              <w:numPr>
                <w:ilvl w:val="0"/>
                <w:numId w:val="28"/>
              </w:numPr>
              <w:cnfStyle w:val="000000000000" w:firstRow="0" w:lastRow="0" w:firstColumn="0" w:lastColumn="0" w:oddVBand="0" w:evenVBand="0" w:oddHBand="0" w:evenHBand="0" w:firstRowFirstColumn="0" w:firstRowLastColumn="0" w:lastRowFirstColumn="0" w:lastRowLastColumn="0"/>
            </w:pPr>
            <w:r>
              <w:t>National Energy Retail Rules</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NGL</w:t>
            </w:r>
          </w:p>
        </w:tc>
        <w:tc>
          <w:tcPr>
            <w:tcW w:w="5041" w:type="dxa"/>
            <w:tcBorders>
              <w:top w:val="nil"/>
              <w:left w:val="nil"/>
              <w:bottom w:val="nil"/>
              <w:right w:val="nil"/>
            </w:tcBorders>
            <w:hideMark/>
          </w:tcPr>
          <w:p w:rsidR="000630AA" w:rsidRDefault="000630AA" w:rsidP="000630AA">
            <w:pPr>
              <w:numPr>
                <w:ilvl w:val="0"/>
                <w:numId w:val="28"/>
              </w:numPr>
              <w:cnfStyle w:val="000000010000" w:firstRow="0" w:lastRow="0" w:firstColumn="0" w:lastColumn="0" w:oddVBand="0" w:evenVBand="0" w:oddHBand="0" w:evenHBand="1" w:firstRowFirstColumn="0" w:firstRowLastColumn="0" w:lastRowFirstColumn="0" w:lastRowLastColumn="0"/>
            </w:pPr>
            <w:r>
              <w:t>National Gas Law</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NGO</w:t>
            </w:r>
          </w:p>
        </w:tc>
        <w:tc>
          <w:tcPr>
            <w:tcW w:w="5041" w:type="dxa"/>
            <w:tcBorders>
              <w:top w:val="nil"/>
              <w:left w:val="nil"/>
              <w:bottom w:val="nil"/>
              <w:right w:val="nil"/>
            </w:tcBorders>
            <w:hideMark/>
          </w:tcPr>
          <w:p w:rsidR="000630AA" w:rsidRDefault="000630AA" w:rsidP="000630AA">
            <w:pPr>
              <w:numPr>
                <w:ilvl w:val="0"/>
                <w:numId w:val="28"/>
              </w:numPr>
              <w:cnfStyle w:val="000000000000" w:firstRow="0" w:lastRow="0" w:firstColumn="0" w:lastColumn="0" w:oddVBand="0" w:evenVBand="0" w:oddHBand="0" w:evenHBand="0" w:firstRowFirstColumn="0" w:firstRowLastColumn="0" w:lastRowFirstColumn="0" w:lastRowLastColumn="0"/>
            </w:pPr>
            <w:r>
              <w:t>National Gas Objective</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NGR</w:t>
            </w:r>
          </w:p>
        </w:tc>
        <w:tc>
          <w:tcPr>
            <w:tcW w:w="5041" w:type="dxa"/>
            <w:tcBorders>
              <w:top w:val="nil"/>
              <w:left w:val="nil"/>
              <w:bottom w:val="nil"/>
              <w:right w:val="nil"/>
            </w:tcBorders>
            <w:hideMark/>
          </w:tcPr>
          <w:p w:rsidR="000630AA" w:rsidRDefault="000630AA" w:rsidP="000630AA">
            <w:pPr>
              <w:numPr>
                <w:ilvl w:val="0"/>
                <w:numId w:val="28"/>
              </w:numPr>
              <w:cnfStyle w:val="000000010000" w:firstRow="0" w:lastRow="0" w:firstColumn="0" w:lastColumn="0" w:oddVBand="0" w:evenVBand="0" w:oddHBand="0" w:evenHBand="1" w:firstRowFirstColumn="0" w:firstRowLastColumn="0" w:lastRowFirstColumn="0" w:lastRowLastColumn="0"/>
            </w:pPr>
            <w:r>
              <w:t>National Gas Rules</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NPV</w:t>
            </w:r>
          </w:p>
        </w:tc>
        <w:tc>
          <w:tcPr>
            <w:tcW w:w="5041" w:type="dxa"/>
            <w:tcBorders>
              <w:top w:val="nil"/>
              <w:left w:val="nil"/>
              <w:bottom w:val="nil"/>
              <w:right w:val="nil"/>
            </w:tcBorders>
            <w:hideMark/>
          </w:tcPr>
          <w:p w:rsidR="000630AA" w:rsidRDefault="000630AA">
            <w:pPr>
              <w:cnfStyle w:val="000000000000" w:firstRow="0" w:lastRow="0" w:firstColumn="0" w:lastColumn="0" w:oddVBand="0" w:evenVBand="0" w:oddHBand="0" w:evenHBand="0" w:firstRowFirstColumn="0" w:firstRowLastColumn="0" w:lastRowFirstColumn="0" w:lastRowLastColumn="0"/>
            </w:pPr>
            <w:r>
              <w:t>net present value</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opex</w:t>
            </w:r>
          </w:p>
        </w:tc>
        <w:tc>
          <w:tcPr>
            <w:tcW w:w="5041" w:type="dxa"/>
            <w:tcBorders>
              <w:top w:val="nil"/>
              <w:left w:val="nil"/>
              <w:bottom w:val="nil"/>
              <w:right w:val="nil"/>
            </w:tcBorders>
            <w:hideMark/>
          </w:tcPr>
          <w:p w:rsidR="000630AA" w:rsidRDefault="000630AA" w:rsidP="000630AA">
            <w:pPr>
              <w:numPr>
                <w:ilvl w:val="0"/>
                <w:numId w:val="28"/>
              </w:numPr>
              <w:cnfStyle w:val="000000010000" w:firstRow="0" w:lastRow="0" w:firstColumn="0" w:lastColumn="0" w:oddVBand="0" w:evenVBand="0" w:oddHBand="0" w:evenHBand="1" w:firstRowFirstColumn="0" w:firstRowLastColumn="0" w:lastRowFirstColumn="0" w:lastRowLastColumn="0"/>
            </w:pPr>
            <w:r>
              <w:t>operating expenditure</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PFP</w:t>
            </w:r>
          </w:p>
        </w:tc>
        <w:tc>
          <w:tcPr>
            <w:tcW w:w="5041" w:type="dxa"/>
            <w:tcBorders>
              <w:top w:val="nil"/>
              <w:left w:val="nil"/>
              <w:bottom w:val="nil"/>
              <w:right w:val="nil"/>
            </w:tcBorders>
            <w:hideMark/>
          </w:tcPr>
          <w:p w:rsidR="000630AA" w:rsidRDefault="000630AA">
            <w:pPr>
              <w:cnfStyle w:val="000000000000" w:firstRow="0" w:lastRow="0" w:firstColumn="0" w:lastColumn="0" w:oddVBand="0" w:evenVBand="0" w:oddHBand="0" w:evenHBand="0" w:firstRowFirstColumn="0" w:firstRowLastColumn="0" w:lastRowFirstColumn="0" w:lastRowLastColumn="0"/>
            </w:pPr>
            <w:r>
              <w:t>partial factor productivity</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PPI</w:t>
            </w:r>
          </w:p>
        </w:tc>
        <w:tc>
          <w:tcPr>
            <w:tcW w:w="5041" w:type="dxa"/>
            <w:tcBorders>
              <w:top w:val="nil"/>
              <w:left w:val="nil"/>
              <w:bottom w:val="nil"/>
              <w:right w:val="nil"/>
            </w:tcBorders>
            <w:hideMark/>
          </w:tcPr>
          <w:p w:rsidR="000630AA" w:rsidRDefault="000630AA" w:rsidP="000630AA">
            <w:pPr>
              <w:numPr>
                <w:ilvl w:val="0"/>
                <w:numId w:val="28"/>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PTRM</w:t>
            </w:r>
          </w:p>
        </w:tc>
        <w:tc>
          <w:tcPr>
            <w:tcW w:w="5041" w:type="dxa"/>
            <w:tcBorders>
              <w:top w:val="nil"/>
              <w:left w:val="nil"/>
              <w:bottom w:val="nil"/>
              <w:right w:val="nil"/>
            </w:tcBorders>
            <w:hideMark/>
          </w:tcPr>
          <w:p w:rsidR="000630AA" w:rsidRDefault="000630AA" w:rsidP="000630AA">
            <w:pPr>
              <w:numPr>
                <w:ilvl w:val="0"/>
                <w:numId w:val="28"/>
              </w:numPr>
              <w:cnfStyle w:val="000000000000" w:firstRow="0" w:lastRow="0" w:firstColumn="0" w:lastColumn="0" w:oddVBand="0" w:evenVBand="0" w:oddHBand="0" w:evenHBand="0" w:firstRowFirstColumn="0" w:firstRowLastColumn="0" w:lastRowFirstColumn="0" w:lastRowLastColumn="0"/>
            </w:pPr>
            <w:r>
              <w:t>post-tax revenue model</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RBA</w:t>
            </w:r>
          </w:p>
        </w:tc>
        <w:tc>
          <w:tcPr>
            <w:tcW w:w="5041" w:type="dxa"/>
            <w:tcBorders>
              <w:top w:val="nil"/>
              <w:left w:val="nil"/>
              <w:bottom w:val="nil"/>
              <w:right w:val="nil"/>
            </w:tcBorders>
            <w:hideMark/>
          </w:tcPr>
          <w:p w:rsidR="000630AA" w:rsidRDefault="000630AA" w:rsidP="000630AA">
            <w:pPr>
              <w:numPr>
                <w:ilvl w:val="0"/>
                <w:numId w:val="28"/>
              </w:numPr>
              <w:cnfStyle w:val="000000010000" w:firstRow="0" w:lastRow="0" w:firstColumn="0" w:lastColumn="0" w:oddVBand="0" w:evenVBand="0" w:oddHBand="0" w:evenHBand="1" w:firstRowFirstColumn="0" w:firstRowLastColumn="0" w:lastRowFirstColumn="0" w:lastRowLastColumn="0"/>
            </w:pPr>
            <w:r>
              <w:t>Reserve Bank of Australia</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RFM</w:t>
            </w:r>
          </w:p>
        </w:tc>
        <w:tc>
          <w:tcPr>
            <w:tcW w:w="5041" w:type="dxa"/>
            <w:tcBorders>
              <w:top w:val="nil"/>
              <w:left w:val="nil"/>
              <w:bottom w:val="nil"/>
              <w:right w:val="nil"/>
            </w:tcBorders>
            <w:hideMark/>
          </w:tcPr>
          <w:p w:rsidR="000630AA" w:rsidRDefault="000630AA" w:rsidP="000630AA">
            <w:pPr>
              <w:numPr>
                <w:ilvl w:val="0"/>
                <w:numId w:val="28"/>
              </w:numPr>
              <w:cnfStyle w:val="000000000000" w:firstRow="0" w:lastRow="0" w:firstColumn="0" w:lastColumn="0" w:oddVBand="0" w:evenVBand="0" w:oddHBand="0" w:evenHBand="0" w:firstRowFirstColumn="0" w:firstRowLastColumn="0" w:lastRowFirstColumn="0" w:lastRowLastColumn="0"/>
            </w:pPr>
            <w:r>
              <w:t>roll forward model</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RIN</w:t>
            </w:r>
          </w:p>
        </w:tc>
        <w:tc>
          <w:tcPr>
            <w:tcW w:w="5041" w:type="dxa"/>
            <w:tcBorders>
              <w:top w:val="nil"/>
              <w:left w:val="nil"/>
              <w:bottom w:val="nil"/>
              <w:right w:val="nil"/>
            </w:tcBorders>
            <w:hideMark/>
          </w:tcPr>
          <w:p w:rsidR="000630AA" w:rsidRDefault="000630AA" w:rsidP="000630AA">
            <w:pPr>
              <w:numPr>
                <w:ilvl w:val="0"/>
                <w:numId w:val="28"/>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proofErr w:type="spellStart"/>
            <w:r>
              <w:t>RoLR</w:t>
            </w:r>
            <w:proofErr w:type="spellEnd"/>
          </w:p>
        </w:tc>
        <w:tc>
          <w:tcPr>
            <w:tcW w:w="5041" w:type="dxa"/>
            <w:tcBorders>
              <w:top w:val="nil"/>
              <w:left w:val="nil"/>
              <w:bottom w:val="nil"/>
              <w:right w:val="nil"/>
            </w:tcBorders>
            <w:hideMark/>
          </w:tcPr>
          <w:p w:rsidR="000630AA" w:rsidRDefault="000630AA">
            <w:pPr>
              <w:cnfStyle w:val="000000000000" w:firstRow="0" w:lastRow="0" w:firstColumn="0" w:lastColumn="0" w:oddVBand="0" w:evenVBand="0" w:oddHBand="0" w:evenHBand="0" w:firstRowFirstColumn="0" w:firstRowLastColumn="0" w:lastRowFirstColumn="0" w:lastRowLastColumn="0"/>
            </w:pPr>
            <w:r>
              <w:t>retailer of last resort</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RSA</w:t>
            </w:r>
          </w:p>
        </w:tc>
        <w:tc>
          <w:tcPr>
            <w:tcW w:w="5041" w:type="dxa"/>
            <w:tcBorders>
              <w:top w:val="nil"/>
              <w:left w:val="nil"/>
              <w:bottom w:val="nil"/>
              <w:right w:val="nil"/>
            </w:tcBorders>
            <w:hideMark/>
          </w:tcPr>
          <w:p w:rsidR="000630AA" w:rsidRDefault="000630AA">
            <w:pPr>
              <w:cnfStyle w:val="000000010000" w:firstRow="0" w:lastRow="0" w:firstColumn="0" w:lastColumn="0" w:oddVBand="0" w:evenVBand="0" w:oddHBand="0" w:evenHBand="1" w:firstRowFirstColumn="0" w:firstRowLastColumn="0" w:lastRowFirstColumn="0" w:lastRowLastColumn="0"/>
            </w:pPr>
            <w:r>
              <w:t>Reference Service Agreement</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RPP</w:t>
            </w:r>
          </w:p>
        </w:tc>
        <w:tc>
          <w:tcPr>
            <w:tcW w:w="5041" w:type="dxa"/>
            <w:tcBorders>
              <w:top w:val="nil"/>
              <w:left w:val="nil"/>
              <w:bottom w:val="nil"/>
              <w:right w:val="nil"/>
            </w:tcBorders>
            <w:hideMark/>
          </w:tcPr>
          <w:p w:rsidR="000630AA" w:rsidRDefault="000630AA" w:rsidP="000630AA">
            <w:pPr>
              <w:numPr>
                <w:ilvl w:val="0"/>
                <w:numId w:val="28"/>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SLCAPM</w:t>
            </w:r>
          </w:p>
        </w:tc>
        <w:tc>
          <w:tcPr>
            <w:tcW w:w="5041" w:type="dxa"/>
            <w:tcBorders>
              <w:top w:val="nil"/>
              <w:left w:val="nil"/>
              <w:bottom w:val="nil"/>
              <w:right w:val="nil"/>
            </w:tcBorders>
            <w:hideMark/>
          </w:tcPr>
          <w:p w:rsidR="000630AA" w:rsidRDefault="000630AA" w:rsidP="000630AA">
            <w:pPr>
              <w:numPr>
                <w:ilvl w:val="0"/>
                <w:numId w:val="28"/>
              </w:numPr>
              <w:cnfStyle w:val="000000010000" w:firstRow="0" w:lastRow="0" w:firstColumn="0" w:lastColumn="0" w:oddVBand="0" w:evenVBand="0" w:oddHBand="0" w:evenHBand="1" w:firstRowFirstColumn="0" w:firstRowLastColumn="0" w:lastRowFirstColumn="0" w:lastRowLastColumn="0"/>
            </w:pPr>
            <w:r>
              <w:t>Sharpe-</w:t>
            </w:r>
            <w:proofErr w:type="spellStart"/>
            <w:r>
              <w:t>Lintner</w:t>
            </w:r>
            <w:proofErr w:type="spellEnd"/>
            <w:r>
              <w:t xml:space="preserve"> capital asset pricing model</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STTM</w:t>
            </w:r>
          </w:p>
        </w:tc>
        <w:tc>
          <w:tcPr>
            <w:tcW w:w="5041" w:type="dxa"/>
            <w:tcBorders>
              <w:top w:val="nil"/>
              <w:left w:val="nil"/>
              <w:bottom w:val="nil"/>
              <w:right w:val="nil"/>
            </w:tcBorders>
            <w:hideMark/>
          </w:tcPr>
          <w:p w:rsidR="000630AA" w:rsidRDefault="000630AA">
            <w:pPr>
              <w:cnfStyle w:val="000000000000" w:firstRow="0" w:lastRow="0" w:firstColumn="0" w:lastColumn="0" w:oddVBand="0" w:evenVBand="0" w:oddHBand="0" w:evenHBand="0" w:firstRowFirstColumn="0" w:firstRowLastColumn="0" w:lastRowFirstColumn="0" w:lastRowLastColumn="0"/>
            </w:pPr>
            <w:r>
              <w:t>Short Term Trading Market</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TAB</w:t>
            </w:r>
          </w:p>
        </w:tc>
        <w:tc>
          <w:tcPr>
            <w:tcW w:w="5041" w:type="dxa"/>
            <w:tcBorders>
              <w:top w:val="nil"/>
              <w:left w:val="nil"/>
              <w:bottom w:val="nil"/>
              <w:right w:val="nil"/>
            </w:tcBorders>
            <w:hideMark/>
          </w:tcPr>
          <w:p w:rsidR="000630AA" w:rsidRDefault="000630AA">
            <w:pPr>
              <w:cnfStyle w:val="000000010000" w:firstRow="0" w:lastRow="0" w:firstColumn="0" w:lastColumn="0" w:oddVBand="0" w:evenVBand="0" w:oddHBand="0" w:evenHBand="1" w:firstRowFirstColumn="0" w:firstRowLastColumn="0" w:lastRowFirstColumn="0" w:lastRowLastColumn="0"/>
            </w:pPr>
            <w:r>
              <w:t>tax asset base</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UAFG</w:t>
            </w:r>
          </w:p>
        </w:tc>
        <w:tc>
          <w:tcPr>
            <w:tcW w:w="5041" w:type="dxa"/>
            <w:tcBorders>
              <w:top w:val="nil"/>
              <w:left w:val="nil"/>
              <w:bottom w:val="nil"/>
              <w:right w:val="nil"/>
            </w:tcBorders>
            <w:hideMark/>
          </w:tcPr>
          <w:p w:rsidR="000630AA" w:rsidRDefault="000630AA">
            <w:pPr>
              <w:cnfStyle w:val="000000000000" w:firstRow="0" w:lastRow="0" w:firstColumn="0" w:lastColumn="0" w:oddVBand="0" w:evenVBand="0" w:oddHBand="0" w:evenHBand="0" w:firstRowFirstColumn="0" w:firstRowLastColumn="0" w:lastRowFirstColumn="0" w:lastRowLastColumn="0"/>
            </w:pPr>
            <w:r>
              <w:t>unaccounted for gas</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UNFT</w:t>
            </w:r>
          </w:p>
        </w:tc>
        <w:tc>
          <w:tcPr>
            <w:tcW w:w="5041" w:type="dxa"/>
            <w:tcBorders>
              <w:top w:val="nil"/>
              <w:left w:val="nil"/>
              <w:bottom w:val="nil"/>
              <w:right w:val="nil"/>
            </w:tcBorders>
            <w:hideMark/>
          </w:tcPr>
          <w:p w:rsidR="000630AA" w:rsidRDefault="000630AA">
            <w:pPr>
              <w:cnfStyle w:val="000000010000" w:firstRow="0" w:lastRow="0" w:firstColumn="0" w:lastColumn="0" w:oddVBand="0" w:evenVBand="0" w:oddHBand="0" w:evenHBand="1" w:firstRowFirstColumn="0" w:firstRowLastColumn="0" w:lastRowFirstColumn="0" w:lastRowLastColumn="0"/>
            </w:pPr>
            <w:r>
              <w:t>Utilities Network Facilities Tax</w:t>
            </w:r>
          </w:p>
        </w:tc>
      </w:tr>
      <w:tr w:rsidR="000630AA" w:rsidTr="000630A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630AA" w:rsidRDefault="000630AA" w:rsidP="000630AA">
            <w:pPr>
              <w:numPr>
                <w:ilvl w:val="0"/>
                <w:numId w:val="28"/>
              </w:numPr>
            </w:pPr>
            <w:r>
              <w:t>WACC</w:t>
            </w:r>
          </w:p>
        </w:tc>
        <w:tc>
          <w:tcPr>
            <w:tcW w:w="5041" w:type="dxa"/>
            <w:tcBorders>
              <w:top w:val="nil"/>
              <w:left w:val="nil"/>
              <w:bottom w:val="nil"/>
              <w:right w:val="nil"/>
            </w:tcBorders>
            <w:hideMark/>
          </w:tcPr>
          <w:p w:rsidR="000630AA" w:rsidRDefault="000630AA" w:rsidP="000630AA">
            <w:pPr>
              <w:numPr>
                <w:ilvl w:val="0"/>
                <w:numId w:val="28"/>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0630AA" w:rsidTr="00063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0630AA" w:rsidRDefault="000630AA" w:rsidP="000630AA">
            <w:pPr>
              <w:numPr>
                <w:ilvl w:val="0"/>
                <w:numId w:val="28"/>
              </w:numPr>
            </w:pPr>
            <w:r>
              <w:t>WPI</w:t>
            </w:r>
          </w:p>
        </w:tc>
        <w:tc>
          <w:tcPr>
            <w:tcW w:w="5041" w:type="dxa"/>
            <w:tcBorders>
              <w:top w:val="nil"/>
              <w:left w:val="nil"/>
              <w:bottom w:val="single" w:sz="4" w:space="0" w:color="365F91"/>
              <w:right w:val="nil"/>
            </w:tcBorders>
            <w:hideMark/>
          </w:tcPr>
          <w:p w:rsidR="000630AA" w:rsidRDefault="000630AA">
            <w:pPr>
              <w:cnfStyle w:val="000000010000" w:firstRow="0" w:lastRow="0" w:firstColumn="0" w:lastColumn="0" w:oddVBand="0" w:evenVBand="0" w:oddHBand="0" w:evenHBand="1" w:firstRowFirstColumn="0" w:firstRowLastColumn="0" w:lastRowFirstColumn="0" w:lastRowLastColumn="0"/>
            </w:pPr>
            <w:r>
              <w:t>Wage Price Index</w:t>
            </w:r>
          </w:p>
        </w:tc>
      </w:tr>
    </w:tbl>
    <w:p w:rsidR="000630AA" w:rsidRPr="000630AA" w:rsidRDefault="000630AA" w:rsidP="000630AA"/>
    <w:p w:rsidR="00DE563D" w:rsidRDefault="00E11949" w:rsidP="00E11949">
      <w:pPr>
        <w:pStyle w:val="Heading1"/>
      </w:pPr>
      <w:bookmarkStart w:id="10" w:name="_Toc451762011"/>
      <w:r>
        <w:t>Capital</w:t>
      </w:r>
      <w:r w:rsidR="00D46BD3">
        <w:t xml:space="preserve"> expenditure</w:t>
      </w:r>
      <w:bookmarkEnd w:id="10"/>
    </w:p>
    <w:p w:rsidR="000E19D0" w:rsidRDefault="00A02961" w:rsidP="00A02961">
      <w:r w:rsidRPr="00EE386B">
        <w:t xml:space="preserve">This attachment outlines </w:t>
      </w:r>
      <w:r>
        <w:t>our</w:t>
      </w:r>
      <w:r w:rsidRPr="00EE386B">
        <w:t xml:space="preserve"> assessment of </w:t>
      </w:r>
      <w:r w:rsidR="00727CC4">
        <w:t>ActewAGL'</w:t>
      </w:r>
      <w:r>
        <w:t xml:space="preserve">s </w:t>
      </w:r>
      <w:r w:rsidRPr="00EE386B">
        <w:t xml:space="preserve">proposed </w:t>
      </w:r>
      <w:r>
        <w:t xml:space="preserve">conforming </w:t>
      </w:r>
      <w:r w:rsidRPr="00EE386B">
        <w:t xml:space="preserve">capital expenditure (capex) for </w:t>
      </w:r>
      <w:r>
        <w:t>2009</w:t>
      </w:r>
      <w:r w:rsidRPr="00EE386B">
        <w:t>–</w:t>
      </w:r>
      <w:r>
        <w:t xml:space="preserve">16 </w:t>
      </w:r>
      <w:r w:rsidRPr="00EE386B">
        <w:t>and forecast capex for the 20</w:t>
      </w:r>
      <w:r>
        <w:t>16</w:t>
      </w:r>
      <w:r w:rsidRPr="00EE386B">
        <w:t>–</w:t>
      </w:r>
      <w:r>
        <w:t>21</w:t>
      </w:r>
      <w:r w:rsidRPr="00EE386B">
        <w:t xml:space="preserve"> access arrangement </w:t>
      </w:r>
      <w:proofErr w:type="gramStart"/>
      <w:r w:rsidRPr="00EE386B">
        <w:t>period</w:t>
      </w:r>
      <w:proofErr w:type="gramEnd"/>
      <w:r w:rsidRPr="00EE386B">
        <w:t>.</w:t>
      </w:r>
      <w:r w:rsidR="000E19D0">
        <w:t xml:space="preserve"> </w:t>
      </w:r>
    </w:p>
    <w:p w:rsidR="00BB24B5" w:rsidRDefault="00BB24B5" w:rsidP="00A02961">
      <w:r w:rsidRPr="00BB24B5">
        <w:t>Expenditure referred to in this attachment is un-escalated unless otherwise stated.</w:t>
      </w:r>
    </w:p>
    <w:p w:rsidR="00A2303E" w:rsidRDefault="00A2303E" w:rsidP="00A2303E">
      <w:pPr>
        <w:pStyle w:val="Heading2"/>
      </w:pPr>
      <w:bookmarkStart w:id="11" w:name="_Toc408404320"/>
      <w:bookmarkStart w:id="12" w:name="_Toc419366913"/>
      <w:bookmarkStart w:id="13" w:name="_Toc451762012"/>
      <w:r>
        <w:t>Final</w:t>
      </w:r>
      <w:r w:rsidRPr="0074565D">
        <w:t xml:space="preserve"> decision</w:t>
      </w:r>
      <w:bookmarkEnd w:id="11"/>
      <w:bookmarkEnd w:id="12"/>
      <w:bookmarkEnd w:id="13"/>
    </w:p>
    <w:p w:rsidR="00D40201" w:rsidRDefault="001B6F7F" w:rsidP="001B6F7F">
      <w:pPr>
        <w:pStyle w:val="HeadingBoldBlue"/>
      </w:pPr>
      <w:r>
        <w:t>Conforming capex for 2009–16</w:t>
      </w:r>
    </w:p>
    <w:p w:rsidR="0072555E" w:rsidRDefault="001B6F7F" w:rsidP="00D40201">
      <w:r>
        <w:t>We approve $</w:t>
      </w:r>
      <w:r w:rsidR="00FD7BD9" w:rsidRPr="00C81BC5">
        <w:rPr>
          <w:rStyle w:val="AERbody"/>
        </w:rPr>
        <w:t>102.</w:t>
      </w:r>
      <w:r w:rsidR="00C20AA0">
        <w:rPr>
          <w:rStyle w:val="AERbody"/>
        </w:rPr>
        <w:t>1</w:t>
      </w:r>
      <w:r>
        <w:t xml:space="preserve"> million ($2015–16) of total net capex for ActewAGL for the period 2009–15 as conforming capex that complies with </w:t>
      </w:r>
      <w:r w:rsidR="00794C29">
        <w:t>rule</w:t>
      </w:r>
      <w:r>
        <w:t xml:space="preserve"> 79 of the NGR. </w:t>
      </w:r>
      <w:r w:rsidR="000E19D0">
        <w:t xml:space="preserve"> </w:t>
      </w:r>
      <w:r w:rsidR="0072555E">
        <w:fldChar w:fldCharType="begin"/>
      </w:r>
      <w:r w:rsidR="0072555E">
        <w:instrText xml:space="preserve"> REF _Ref443466853 \h </w:instrText>
      </w:r>
      <w:r w:rsidR="0072555E">
        <w:fldChar w:fldCharType="separate"/>
      </w:r>
      <w:r w:rsidR="00D822F6">
        <w:t xml:space="preserve">Table </w:t>
      </w:r>
      <w:r w:rsidR="00D822F6">
        <w:rPr>
          <w:noProof/>
        </w:rPr>
        <w:t>6</w:t>
      </w:r>
      <w:r w:rsidR="00D822F6">
        <w:t>.</w:t>
      </w:r>
      <w:r w:rsidR="00D822F6">
        <w:rPr>
          <w:noProof/>
        </w:rPr>
        <w:t>1</w:t>
      </w:r>
      <w:r w:rsidR="0072555E">
        <w:fldChar w:fldCharType="end"/>
      </w:r>
      <w:r w:rsidR="0072555E">
        <w:t xml:space="preserve"> shows our approved capex for 2009–15 by category. </w:t>
      </w:r>
    </w:p>
    <w:p w:rsidR="001B6F7F" w:rsidRDefault="001B6F7F" w:rsidP="001B6F7F">
      <w:pPr>
        <w:pStyle w:val="Caption"/>
      </w:pPr>
      <w:bookmarkStart w:id="14" w:name="_Ref443466853"/>
      <w:proofErr w:type="gramStart"/>
      <w:r>
        <w:t xml:space="preserve">Table </w:t>
      </w:r>
      <w:proofErr w:type="gramEnd"/>
      <w:r w:rsidR="003F5473">
        <w:fldChar w:fldCharType="begin"/>
      </w:r>
      <w:r w:rsidR="003F5473">
        <w:instrText xml:space="preserve"> STYLEREF 1 \s </w:instrText>
      </w:r>
      <w:r w:rsidR="003F5473">
        <w:fldChar w:fldCharType="separate"/>
      </w:r>
      <w:r w:rsidR="00D822F6">
        <w:rPr>
          <w:noProof/>
        </w:rPr>
        <w:t>6</w:t>
      </w:r>
      <w:r w:rsidR="003F5473">
        <w:rPr>
          <w:noProof/>
        </w:rPr>
        <w:fldChar w:fldCharType="end"/>
      </w:r>
      <w:proofErr w:type="gramStart"/>
      <w:r w:rsidR="008B2230">
        <w:t>.</w:t>
      </w:r>
      <w:proofErr w:type="gramEnd"/>
      <w:r w:rsidR="00B37DDD">
        <w:fldChar w:fldCharType="begin"/>
      </w:r>
      <w:r w:rsidR="00B37DDD">
        <w:instrText xml:space="preserve"> SEQ Table \* ARABIC \s 1 </w:instrText>
      </w:r>
      <w:r w:rsidR="00B37DDD">
        <w:fldChar w:fldCharType="separate"/>
      </w:r>
      <w:r w:rsidR="00D822F6">
        <w:rPr>
          <w:noProof/>
        </w:rPr>
        <w:t>1</w:t>
      </w:r>
      <w:r w:rsidR="00B37DDD">
        <w:rPr>
          <w:noProof/>
        </w:rPr>
        <w:fldChar w:fldCharType="end"/>
      </w:r>
      <w:bookmarkEnd w:id="14"/>
      <w:r>
        <w:tab/>
        <w:t>AER approved capital expenditure by category over 2009–15 ($million, 2015–16)</w:t>
      </w:r>
    </w:p>
    <w:tbl>
      <w:tblPr>
        <w:tblStyle w:val="AERtable-numbers"/>
        <w:tblW w:w="0" w:type="auto"/>
        <w:tblLayout w:type="fixed"/>
        <w:tblLook w:val="04A0" w:firstRow="1" w:lastRow="0" w:firstColumn="1" w:lastColumn="0" w:noHBand="0" w:noVBand="1"/>
      </w:tblPr>
      <w:tblGrid>
        <w:gridCol w:w="2518"/>
        <w:gridCol w:w="882"/>
        <w:gridCol w:w="882"/>
        <w:gridCol w:w="882"/>
        <w:gridCol w:w="882"/>
        <w:gridCol w:w="882"/>
        <w:gridCol w:w="882"/>
        <w:gridCol w:w="883"/>
      </w:tblGrid>
      <w:tr w:rsidR="00B6616E" w:rsidTr="004E3A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18" w:type="dxa"/>
          </w:tcPr>
          <w:p w:rsidR="00B6616E" w:rsidRDefault="00B6616E" w:rsidP="00B6616E">
            <w:pPr>
              <w:numPr>
                <w:ilvl w:val="0"/>
                <w:numId w:val="24"/>
              </w:numPr>
            </w:pPr>
            <w:r>
              <w:t>Category</w:t>
            </w:r>
          </w:p>
        </w:tc>
        <w:tc>
          <w:tcPr>
            <w:tcW w:w="882" w:type="dxa"/>
          </w:tcPr>
          <w:p w:rsidR="00B6616E" w:rsidRDefault="00B6616E" w:rsidP="00B6616E">
            <w:pPr>
              <w:numPr>
                <w:ilvl w:val="0"/>
                <w:numId w:val="24"/>
              </w:numPr>
              <w:cnfStyle w:val="100000000000" w:firstRow="1" w:lastRow="0" w:firstColumn="0" w:lastColumn="0" w:oddVBand="0" w:evenVBand="0" w:oddHBand="0" w:evenHBand="0" w:firstRowFirstColumn="0" w:firstRowLastColumn="0" w:lastRowFirstColumn="0" w:lastRowLastColumn="0"/>
            </w:pPr>
            <w:r>
              <w:t>2009–10</w:t>
            </w:r>
          </w:p>
        </w:tc>
        <w:tc>
          <w:tcPr>
            <w:tcW w:w="882" w:type="dxa"/>
          </w:tcPr>
          <w:p w:rsidR="00B6616E" w:rsidRDefault="00B6616E" w:rsidP="00B6616E">
            <w:pPr>
              <w:numPr>
                <w:ilvl w:val="0"/>
                <w:numId w:val="24"/>
              </w:numPr>
              <w:cnfStyle w:val="100000000000" w:firstRow="1" w:lastRow="0" w:firstColumn="0" w:lastColumn="0" w:oddVBand="0" w:evenVBand="0" w:oddHBand="0" w:evenHBand="0" w:firstRowFirstColumn="0" w:firstRowLastColumn="0" w:lastRowFirstColumn="0" w:lastRowLastColumn="0"/>
            </w:pPr>
            <w:r>
              <w:t>2010–11</w:t>
            </w:r>
          </w:p>
        </w:tc>
        <w:tc>
          <w:tcPr>
            <w:tcW w:w="882" w:type="dxa"/>
          </w:tcPr>
          <w:p w:rsidR="00B6616E" w:rsidRPr="00B6616E" w:rsidRDefault="00B6616E" w:rsidP="00B6616E">
            <w:pPr>
              <w:cnfStyle w:val="100000000000" w:firstRow="1" w:lastRow="0" w:firstColumn="0" w:lastColumn="0" w:oddVBand="0" w:evenVBand="0" w:oddHBand="0" w:evenHBand="0" w:firstRowFirstColumn="0" w:firstRowLastColumn="0" w:lastRowFirstColumn="0" w:lastRowLastColumn="0"/>
            </w:pPr>
            <w:r>
              <w:t>2011–</w:t>
            </w:r>
            <w:r w:rsidRPr="00B6616E">
              <w:t>1</w:t>
            </w:r>
            <w:r>
              <w:t>2</w:t>
            </w:r>
          </w:p>
        </w:tc>
        <w:tc>
          <w:tcPr>
            <w:tcW w:w="882" w:type="dxa"/>
          </w:tcPr>
          <w:p w:rsidR="00B6616E" w:rsidRPr="00B6616E" w:rsidRDefault="00B6616E" w:rsidP="00B6616E">
            <w:pPr>
              <w:cnfStyle w:val="100000000000" w:firstRow="1" w:lastRow="0" w:firstColumn="0" w:lastColumn="0" w:oddVBand="0" w:evenVBand="0" w:oddHBand="0" w:evenHBand="0" w:firstRowFirstColumn="0" w:firstRowLastColumn="0" w:lastRowFirstColumn="0" w:lastRowLastColumn="0"/>
            </w:pPr>
            <w:r>
              <w:t>2012–13</w:t>
            </w:r>
          </w:p>
        </w:tc>
        <w:tc>
          <w:tcPr>
            <w:tcW w:w="882" w:type="dxa"/>
          </w:tcPr>
          <w:p w:rsidR="00B6616E" w:rsidRPr="00B6616E" w:rsidRDefault="00B6616E" w:rsidP="00B6616E">
            <w:pPr>
              <w:cnfStyle w:val="100000000000" w:firstRow="1" w:lastRow="0" w:firstColumn="0" w:lastColumn="0" w:oddVBand="0" w:evenVBand="0" w:oddHBand="0" w:evenHBand="0" w:firstRowFirstColumn="0" w:firstRowLastColumn="0" w:lastRowFirstColumn="0" w:lastRowLastColumn="0"/>
            </w:pPr>
            <w:r>
              <w:t>2013</w:t>
            </w:r>
            <w:r w:rsidRPr="00B6616E">
              <w:t>–</w:t>
            </w:r>
            <w:r>
              <w:t>14</w:t>
            </w:r>
          </w:p>
        </w:tc>
        <w:tc>
          <w:tcPr>
            <w:tcW w:w="882" w:type="dxa"/>
          </w:tcPr>
          <w:p w:rsidR="00B6616E" w:rsidRDefault="00B6616E" w:rsidP="00B6616E">
            <w:pPr>
              <w:numPr>
                <w:ilvl w:val="0"/>
                <w:numId w:val="24"/>
              </w:numPr>
              <w:cnfStyle w:val="100000000000" w:firstRow="1" w:lastRow="0" w:firstColumn="0" w:lastColumn="0" w:oddVBand="0" w:evenVBand="0" w:oddHBand="0" w:evenHBand="0" w:firstRowFirstColumn="0" w:firstRowLastColumn="0" w:lastRowFirstColumn="0" w:lastRowLastColumn="0"/>
            </w:pPr>
            <w:r>
              <w:t>2014–15</w:t>
            </w:r>
          </w:p>
        </w:tc>
        <w:tc>
          <w:tcPr>
            <w:tcW w:w="883" w:type="dxa"/>
          </w:tcPr>
          <w:p w:rsidR="00B6616E" w:rsidRDefault="00B6616E" w:rsidP="00B6616E">
            <w:pPr>
              <w:numPr>
                <w:ilvl w:val="0"/>
                <w:numId w:val="24"/>
              </w:numPr>
              <w:cnfStyle w:val="100000000000" w:firstRow="1" w:lastRow="0" w:firstColumn="0" w:lastColumn="0" w:oddVBand="0" w:evenVBand="0" w:oddHBand="0" w:evenHBand="0" w:firstRowFirstColumn="0" w:firstRowLastColumn="0" w:lastRowFirstColumn="0" w:lastRowLastColumn="0"/>
            </w:pPr>
            <w:r>
              <w:t>2015–16</w:t>
            </w:r>
          </w:p>
        </w:tc>
      </w:tr>
      <w:tr w:rsidR="00DB3D67" w:rsidTr="004E3ADD">
        <w:tc>
          <w:tcPr>
            <w:cnfStyle w:val="001000000000" w:firstRow="0" w:lastRow="0" w:firstColumn="1" w:lastColumn="0" w:oddVBand="0" w:evenVBand="0" w:oddHBand="0" w:evenHBand="0" w:firstRowFirstColumn="0" w:firstRowLastColumn="0" w:lastRowFirstColumn="0" w:lastRowLastColumn="0"/>
            <w:tcW w:w="2518" w:type="dxa"/>
          </w:tcPr>
          <w:p w:rsidR="00DB3D67" w:rsidRPr="00DB3D67" w:rsidRDefault="00DB3D67" w:rsidP="00DB3D67">
            <w:pPr>
              <w:numPr>
                <w:ilvl w:val="0"/>
                <w:numId w:val="24"/>
              </w:numPr>
            </w:pPr>
            <w:r w:rsidRPr="00DB3D67">
              <w:t>Market expansion (connections)</w:t>
            </w: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7.4</w:t>
            </w: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8.6</w:t>
            </w: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8.8</w:t>
            </w: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9.5</w:t>
            </w: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8.0</w:t>
            </w: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8.5</w:t>
            </w:r>
          </w:p>
        </w:tc>
        <w:tc>
          <w:tcPr>
            <w:tcW w:w="883"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7.6</w:t>
            </w:r>
          </w:p>
        </w:tc>
      </w:tr>
      <w:tr w:rsidR="00DB3D67" w:rsidTr="004E3A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B3D67" w:rsidRPr="00DB3D67" w:rsidRDefault="00DB3D67" w:rsidP="00DB3D67">
            <w:pPr>
              <w:numPr>
                <w:ilvl w:val="0"/>
                <w:numId w:val="24"/>
              </w:numPr>
            </w:pPr>
            <w:r w:rsidRPr="00DB3D67">
              <w:t>Capacity development (augmentation)</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3.0</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4.0</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2.8</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2.1</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8.0</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10.7</w:t>
            </w:r>
          </w:p>
        </w:tc>
        <w:tc>
          <w:tcPr>
            <w:tcW w:w="883"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11.5</w:t>
            </w:r>
          </w:p>
        </w:tc>
      </w:tr>
      <w:tr w:rsidR="00DB3D67" w:rsidTr="004E3ADD">
        <w:tc>
          <w:tcPr>
            <w:cnfStyle w:val="001000000000" w:firstRow="0" w:lastRow="0" w:firstColumn="1" w:lastColumn="0" w:oddVBand="0" w:evenVBand="0" w:oddHBand="0" w:evenHBand="0" w:firstRowFirstColumn="0" w:firstRowLastColumn="0" w:lastRowFirstColumn="0" w:lastRowLastColumn="0"/>
            <w:tcW w:w="2518" w:type="dxa"/>
          </w:tcPr>
          <w:p w:rsidR="00DB3D67" w:rsidRPr="00DB3D67" w:rsidRDefault="00DB3D67" w:rsidP="00DB3D67">
            <w:pPr>
              <w:numPr>
                <w:ilvl w:val="0"/>
                <w:numId w:val="24"/>
              </w:numPr>
            </w:pPr>
            <w:r w:rsidRPr="00DB3D67">
              <w:t>Stay in business</w:t>
            </w: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p>
        </w:tc>
        <w:tc>
          <w:tcPr>
            <w:tcW w:w="883"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p>
        </w:tc>
      </w:tr>
      <w:tr w:rsidR="00DB3D67" w:rsidTr="004E3A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B3D67" w:rsidRPr="00DB3D67" w:rsidRDefault="00DB3D67" w:rsidP="00DB3D67">
            <w:pPr>
              <w:numPr>
                <w:ilvl w:val="0"/>
                <w:numId w:val="24"/>
              </w:numPr>
            </w:pPr>
            <w:r w:rsidRPr="00DB3D67">
              <w:t xml:space="preserve"> - network renewal &amp; upgrade</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0.1</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2.6</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7.4</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1.0</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2.7</w:t>
            </w:r>
          </w:p>
        </w:tc>
        <w:tc>
          <w:tcPr>
            <w:tcW w:w="883"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7.9</w:t>
            </w:r>
          </w:p>
        </w:tc>
      </w:tr>
      <w:tr w:rsidR="00DB3D67" w:rsidTr="004E3ADD">
        <w:tc>
          <w:tcPr>
            <w:cnfStyle w:val="001000000000" w:firstRow="0" w:lastRow="0" w:firstColumn="1" w:lastColumn="0" w:oddVBand="0" w:evenVBand="0" w:oddHBand="0" w:evenHBand="0" w:firstRowFirstColumn="0" w:firstRowLastColumn="0" w:lastRowFirstColumn="0" w:lastRowLastColumn="0"/>
            <w:tcW w:w="2518" w:type="dxa"/>
          </w:tcPr>
          <w:p w:rsidR="00DB3D67" w:rsidRPr="00DB3D67" w:rsidRDefault="00DB3D67" w:rsidP="00DB3D67">
            <w:pPr>
              <w:numPr>
                <w:ilvl w:val="0"/>
                <w:numId w:val="24"/>
              </w:numPr>
            </w:pPr>
            <w:r w:rsidRPr="00DB3D67">
              <w:t xml:space="preserve"> - meter renewal</w:t>
            </w: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0.5</w:t>
            </w: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1.2</w:t>
            </w: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1.2</w:t>
            </w: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1.7</w:t>
            </w: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2.0</w:t>
            </w: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2.1</w:t>
            </w:r>
          </w:p>
        </w:tc>
        <w:tc>
          <w:tcPr>
            <w:tcW w:w="883"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2.8</w:t>
            </w:r>
          </w:p>
        </w:tc>
      </w:tr>
      <w:tr w:rsidR="00DB3D67" w:rsidTr="004E3A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B3D67" w:rsidRPr="00DB3D67" w:rsidRDefault="00DB3D67" w:rsidP="00DB3D67">
            <w:pPr>
              <w:numPr>
                <w:ilvl w:val="0"/>
                <w:numId w:val="24"/>
              </w:numPr>
            </w:pPr>
            <w:r w:rsidRPr="00DB3D67">
              <w:t>Capitalised regulatory expenditure</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0.8</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883"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r>
      <w:tr w:rsidR="00DB3D67" w:rsidTr="004E3ADD">
        <w:tc>
          <w:tcPr>
            <w:cnfStyle w:val="001000000000" w:firstRow="0" w:lastRow="0" w:firstColumn="1" w:lastColumn="0" w:oddVBand="0" w:evenVBand="0" w:oddHBand="0" w:evenHBand="0" w:firstRowFirstColumn="0" w:firstRowLastColumn="0" w:lastRowFirstColumn="0" w:lastRowLastColumn="0"/>
            <w:tcW w:w="2518" w:type="dxa"/>
          </w:tcPr>
          <w:p w:rsidR="00DB3D67" w:rsidRPr="00DB3D67" w:rsidRDefault="00DB3D67" w:rsidP="00DB3D67">
            <w:pPr>
              <w:numPr>
                <w:ilvl w:val="0"/>
                <w:numId w:val="24"/>
              </w:numPr>
            </w:pPr>
            <w:r w:rsidRPr="00DB3D67">
              <w:t>Non–system</w:t>
            </w: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0.3</w:t>
            </w: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0.4</w:t>
            </w: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0.3</w:t>
            </w: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0.2</w:t>
            </w: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-0.3</w:t>
            </w:r>
          </w:p>
        </w:tc>
        <w:tc>
          <w:tcPr>
            <w:tcW w:w="882"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0.0</w:t>
            </w:r>
          </w:p>
        </w:tc>
        <w:tc>
          <w:tcPr>
            <w:tcW w:w="883"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0.0</w:t>
            </w:r>
          </w:p>
        </w:tc>
      </w:tr>
      <w:tr w:rsidR="00DB3D67" w:rsidTr="004E3A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B3D67" w:rsidRPr="00DB3D67" w:rsidRDefault="00DB3D67" w:rsidP="00DB3D67">
            <w:pPr>
              <w:numPr>
                <w:ilvl w:val="0"/>
                <w:numId w:val="24"/>
              </w:numPr>
            </w:pPr>
            <w:r w:rsidRPr="00DB3D67">
              <w:t>Overheads</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883"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1.8</w:t>
            </w:r>
          </w:p>
        </w:tc>
      </w:tr>
      <w:tr w:rsidR="00DB3D67" w:rsidRPr="000E19D0" w:rsidTr="004E3ADD">
        <w:tc>
          <w:tcPr>
            <w:cnfStyle w:val="001000000000" w:firstRow="0" w:lastRow="0" w:firstColumn="1" w:lastColumn="0" w:oddVBand="0" w:evenVBand="0" w:oddHBand="0" w:evenHBand="0" w:firstRowFirstColumn="0" w:firstRowLastColumn="0" w:lastRowFirstColumn="0" w:lastRowLastColumn="0"/>
            <w:tcW w:w="2518" w:type="dxa"/>
          </w:tcPr>
          <w:p w:rsidR="00DB3D67" w:rsidRPr="004E3ADD" w:rsidRDefault="00DB3D67" w:rsidP="004E3ADD">
            <w:pPr>
              <w:numPr>
                <w:ilvl w:val="0"/>
                <w:numId w:val="24"/>
              </w:numPr>
            </w:pPr>
            <w:r w:rsidRPr="004E3ADD">
              <w:rPr>
                <w:rFonts w:eastAsiaTheme="minorHAnsi" w:cstheme="minorBidi"/>
                <w:sz w:val="22"/>
                <w:szCs w:val="22"/>
              </w:rPr>
              <w:t>GROSS TOTAL CAPEX</w:t>
            </w:r>
          </w:p>
        </w:tc>
        <w:tc>
          <w:tcPr>
            <w:tcW w:w="882" w:type="dxa"/>
          </w:tcPr>
          <w:p w:rsidR="00DB3D67" w:rsidRPr="004E3ADD" w:rsidRDefault="00DB3D67" w:rsidP="004E3ADD">
            <w:pPr>
              <w:numPr>
                <w:ilvl w:val="0"/>
                <w:numId w:val="24"/>
              </w:numPr>
              <w:cnfStyle w:val="000000000000" w:firstRow="0" w:lastRow="0" w:firstColumn="0" w:lastColumn="0" w:oddVBand="0" w:evenVBand="0" w:oddHBand="0" w:evenHBand="0" w:firstRowFirstColumn="0" w:firstRowLastColumn="0" w:lastRowFirstColumn="0" w:lastRowLastColumn="0"/>
            </w:pPr>
            <w:r w:rsidRPr="004E3ADD">
              <w:t>12.1</w:t>
            </w:r>
          </w:p>
        </w:tc>
        <w:tc>
          <w:tcPr>
            <w:tcW w:w="882" w:type="dxa"/>
          </w:tcPr>
          <w:p w:rsidR="00DB3D67" w:rsidRPr="004E3ADD" w:rsidRDefault="00DB3D67" w:rsidP="004E3ADD">
            <w:pPr>
              <w:numPr>
                <w:ilvl w:val="0"/>
                <w:numId w:val="24"/>
              </w:numPr>
              <w:cnfStyle w:val="000000000000" w:firstRow="0" w:lastRow="0" w:firstColumn="0" w:lastColumn="0" w:oddVBand="0" w:evenVBand="0" w:oddHBand="0" w:evenHBand="0" w:firstRowFirstColumn="0" w:firstRowLastColumn="0" w:lastRowFirstColumn="0" w:lastRowLastColumn="0"/>
            </w:pPr>
            <w:r w:rsidRPr="004E3ADD">
              <w:t>14.4</w:t>
            </w:r>
          </w:p>
        </w:tc>
        <w:tc>
          <w:tcPr>
            <w:tcW w:w="882" w:type="dxa"/>
          </w:tcPr>
          <w:p w:rsidR="00DB3D67" w:rsidRPr="004E3ADD" w:rsidRDefault="00DB3D67" w:rsidP="004E3ADD">
            <w:pPr>
              <w:numPr>
                <w:ilvl w:val="0"/>
                <w:numId w:val="24"/>
              </w:numPr>
              <w:cnfStyle w:val="000000000000" w:firstRow="0" w:lastRow="0" w:firstColumn="0" w:lastColumn="0" w:oddVBand="0" w:evenVBand="0" w:oddHBand="0" w:evenHBand="0" w:firstRowFirstColumn="0" w:firstRowLastColumn="0" w:lastRowFirstColumn="0" w:lastRowLastColumn="0"/>
            </w:pPr>
            <w:r w:rsidRPr="004E3ADD">
              <w:t>15.6</w:t>
            </w:r>
          </w:p>
        </w:tc>
        <w:tc>
          <w:tcPr>
            <w:tcW w:w="882" w:type="dxa"/>
          </w:tcPr>
          <w:p w:rsidR="00DB3D67" w:rsidRPr="004E3ADD" w:rsidRDefault="00DB3D67" w:rsidP="004E3ADD">
            <w:pPr>
              <w:numPr>
                <w:ilvl w:val="0"/>
                <w:numId w:val="24"/>
              </w:numPr>
              <w:cnfStyle w:val="000000000000" w:firstRow="0" w:lastRow="0" w:firstColumn="0" w:lastColumn="0" w:oddVBand="0" w:evenVBand="0" w:oddHBand="0" w:evenHBand="0" w:firstRowFirstColumn="0" w:firstRowLastColumn="0" w:lastRowFirstColumn="0" w:lastRowLastColumn="0"/>
            </w:pPr>
            <w:r w:rsidRPr="004E3ADD">
              <w:t>20.8</w:t>
            </w:r>
          </w:p>
        </w:tc>
        <w:tc>
          <w:tcPr>
            <w:tcW w:w="882" w:type="dxa"/>
          </w:tcPr>
          <w:p w:rsidR="00DB3D67" w:rsidRPr="004E3ADD" w:rsidRDefault="00DB3D67" w:rsidP="004E3ADD">
            <w:pPr>
              <w:numPr>
                <w:ilvl w:val="0"/>
                <w:numId w:val="24"/>
              </w:numPr>
              <w:cnfStyle w:val="000000000000" w:firstRow="0" w:lastRow="0" w:firstColumn="0" w:lastColumn="0" w:oddVBand="0" w:evenVBand="0" w:oddHBand="0" w:evenHBand="0" w:firstRowFirstColumn="0" w:firstRowLastColumn="0" w:lastRowFirstColumn="0" w:lastRowLastColumn="0"/>
            </w:pPr>
            <w:r w:rsidRPr="004E3ADD">
              <w:t>18.6</w:t>
            </w:r>
          </w:p>
        </w:tc>
        <w:tc>
          <w:tcPr>
            <w:tcW w:w="882" w:type="dxa"/>
          </w:tcPr>
          <w:p w:rsidR="00DB3D67" w:rsidRPr="004E3ADD" w:rsidRDefault="00DB3D67" w:rsidP="004E3ADD">
            <w:pPr>
              <w:numPr>
                <w:ilvl w:val="0"/>
                <w:numId w:val="24"/>
              </w:numPr>
              <w:cnfStyle w:val="000000000000" w:firstRow="0" w:lastRow="0" w:firstColumn="0" w:lastColumn="0" w:oddVBand="0" w:evenVBand="0" w:oddHBand="0" w:evenHBand="0" w:firstRowFirstColumn="0" w:firstRowLastColumn="0" w:lastRowFirstColumn="0" w:lastRowLastColumn="0"/>
            </w:pPr>
            <w:r w:rsidRPr="004E3ADD">
              <w:t>24.0</w:t>
            </w:r>
          </w:p>
        </w:tc>
        <w:tc>
          <w:tcPr>
            <w:tcW w:w="883" w:type="dxa"/>
          </w:tcPr>
          <w:p w:rsidR="00DB3D67" w:rsidRPr="004E3ADD" w:rsidRDefault="00DB3D67" w:rsidP="004E3ADD">
            <w:pPr>
              <w:numPr>
                <w:ilvl w:val="0"/>
                <w:numId w:val="24"/>
              </w:numPr>
              <w:cnfStyle w:val="000000000000" w:firstRow="0" w:lastRow="0" w:firstColumn="0" w:lastColumn="0" w:oddVBand="0" w:evenVBand="0" w:oddHBand="0" w:evenHBand="0" w:firstRowFirstColumn="0" w:firstRowLastColumn="0" w:lastRowFirstColumn="0" w:lastRowLastColumn="0"/>
            </w:pPr>
            <w:r w:rsidRPr="004E3ADD">
              <w:t>31.6</w:t>
            </w:r>
          </w:p>
        </w:tc>
      </w:tr>
      <w:tr w:rsidR="00DB3D67" w:rsidTr="004E3A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B3D67" w:rsidRPr="00DB3D67" w:rsidRDefault="00DB3D67" w:rsidP="00DB3D67">
            <w:r w:rsidRPr="00DB3D67">
              <w:t>Contributions</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0.3</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1.5</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0.1</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1.6</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0.1</w:t>
            </w:r>
          </w:p>
        </w:tc>
        <w:tc>
          <w:tcPr>
            <w:tcW w:w="882"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883"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0.7</w:t>
            </w:r>
          </w:p>
        </w:tc>
      </w:tr>
      <w:tr w:rsidR="00DB3D67" w:rsidRPr="000E19D0" w:rsidTr="004E3ADD">
        <w:trPr>
          <w:trHeight w:val="407"/>
        </w:trPr>
        <w:tc>
          <w:tcPr>
            <w:cnfStyle w:val="001000000000" w:firstRow="0" w:lastRow="0" w:firstColumn="1" w:lastColumn="0" w:oddVBand="0" w:evenVBand="0" w:oddHBand="0" w:evenHBand="0" w:firstRowFirstColumn="0" w:firstRowLastColumn="0" w:lastRowFirstColumn="0" w:lastRowLastColumn="0"/>
            <w:tcW w:w="2518" w:type="dxa"/>
          </w:tcPr>
          <w:p w:rsidR="00DB3D67" w:rsidRPr="004E3ADD" w:rsidRDefault="00DB3D67" w:rsidP="004E3ADD">
            <w:pPr>
              <w:numPr>
                <w:ilvl w:val="0"/>
                <w:numId w:val="24"/>
              </w:numPr>
            </w:pPr>
            <w:r w:rsidRPr="004E3ADD">
              <w:rPr>
                <w:rFonts w:eastAsiaTheme="minorHAnsi" w:cstheme="minorBidi"/>
                <w:sz w:val="22"/>
                <w:szCs w:val="22"/>
              </w:rPr>
              <w:t>NET TOTAL CAPEX</w:t>
            </w:r>
          </w:p>
        </w:tc>
        <w:tc>
          <w:tcPr>
            <w:tcW w:w="882" w:type="dxa"/>
          </w:tcPr>
          <w:p w:rsidR="00DB3D67" w:rsidRPr="004E3ADD" w:rsidRDefault="00DB3D67" w:rsidP="004E3ADD">
            <w:pPr>
              <w:numPr>
                <w:ilvl w:val="0"/>
                <w:numId w:val="24"/>
              </w:numPr>
              <w:cnfStyle w:val="000000000000" w:firstRow="0" w:lastRow="0" w:firstColumn="0" w:lastColumn="0" w:oddVBand="0" w:evenVBand="0" w:oddHBand="0" w:evenHBand="0" w:firstRowFirstColumn="0" w:firstRowLastColumn="0" w:lastRowFirstColumn="0" w:lastRowLastColumn="0"/>
            </w:pPr>
            <w:r w:rsidRPr="004E3ADD">
              <w:t>11.8</w:t>
            </w:r>
          </w:p>
        </w:tc>
        <w:tc>
          <w:tcPr>
            <w:tcW w:w="882" w:type="dxa"/>
          </w:tcPr>
          <w:p w:rsidR="00DB3D67" w:rsidRPr="004E3ADD" w:rsidRDefault="00DB3D67" w:rsidP="004E3ADD">
            <w:pPr>
              <w:numPr>
                <w:ilvl w:val="0"/>
                <w:numId w:val="24"/>
              </w:numPr>
              <w:cnfStyle w:val="000000000000" w:firstRow="0" w:lastRow="0" w:firstColumn="0" w:lastColumn="0" w:oddVBand="0" w:evenVBand="0" w:oddHBand="0" w:evenHBand="0" w:firstRowFirstColumn="0" w:firstRowLastColumn="0" w:lastRowFirstColumn="0" w:lastRowLastColumn="0"/>
            </w:pPr>
            <w:r w:rsidRPr="004E3ADD">
              <w:t>12.9</w:t>
            </w:r>
          </w:p>
        </w:tc>
        <w:tc>
          <w:tcPr>
            <w:tcW w:w="882" w:type="dxa"/>
          </w:tcPr>
          <w:p w:rsidR="00DB3D67" w:rsidRPr="004E3ADD" w:rsidRDefault="00DB3D67" w:rsidP="004E3ADD">
            <w:pPr>
              <w:numPr>
                <w:ilvl w:val="0"/>
                <w:numId w:val="24"/>
              </w:numPr>
              <w:cnfStyle w:val="000000000000" w:firstRow="0" w:lastRow="0" w:firstColumn="0" w:lastColumn="0" w:oddVBand="0" w:evenVBand="0" w:oddHBand="0" w:evenHBand="0" w:firstRowFirstColumn="0" w:firstRowLastColumn="0" w:lastRowFirstColumn="0" w:lastRowLastColumn="0"/>
            </w:pPr>
            <w:r w:rsidRPr="004E3ADD">
              <w:t>15.5</w:t>
            </w:r>
          </w:p>
        </w:tc>
        <w:tc>
          <w:tcPr>
            <w:tcW w:w="882" w:type="dxa"/>
          </w:tcPr>
          <w:p w:rsidR="00DB3D67" w:rsidRPr="004E3ADD" w:rsidRDefault="00DB3D67" w:rsidP="004E3ADD">
            <w:pPr>
              <w:numPr>
                <w:ilvl w:val="0"/>
                <w:numId w:val="24"/>
              </w:numPr>
              <w:cnfStyle w:val="000000000000" w:firstRow="0" w:lastRow="0" w:firstColumn="0" w:lastColumn="0" w:oddVBand="0" w:evenVBand="0" w:oddHBand="0" w:evenHBand="0" w:firstRowFirstColumn="0" w:firstRowLastColumn="0" w:lastRowFirstColumn="0" w:lastRowLastColumn="0"/>
            </w:pPr>
            <w:r w:rsidRPr="004E3ADD">
              <w:t>19.2</w:t>
            </w:r>
          </w:p>
        </w:tc>
        <w:tc>
          <w:tcPr>
            <w:tcW w:w="882" w:type="dxa"/>
          </w:tcPr>
          <w:p w:rsidR="00DB3D67" w:rsidRPr="004E3ADD" w:rsidRDefault="00DB3D67" w:rsidP="004E3ADD">
            <w:pPr>
              <w:numPr>
                <w:ilvl w:val="0"/>
                <w:numId w:val="24"/>
              </w:numPr>
              <w:cnfStyle w:val="000000000000" w:firstRow="0" w:lastRow="0" w:firstColumn="0" w:lastColumn="0" w:oddVBand="0" w:evenVBand="0" w:oddHBand="0" w:evenHBand="0" w:firstRowFirstColumn="0" w:firstRowLastColumn="0" w:lastRowFirstColumn="0" w:lastRowLastColumn="0"/>
            </w:pPr>
            <w:r w:rsidRPr="004E3ADD">
              <w:t>18.6</w:t>
            </w:r>
          </w:p>
        </w:tc>
        <w:tc>
          <w:tcPr>
            <w:tcW w:w="882" w:type="dxa"/>
          </w:tcPr>
          <w:p w:rsidR="00DB3D67" w:rsidRPr="004E3ADD" w:rsidRDefault="00DB3D67" w:rsidP="004E3ADD">
            <w:pPr>
              <w:numPr>
                <w:ilvl w:val="0"/>
                <w:numId w:val="24"/>
              </w:numPr>
              <w:cnfStyle w:val="000000000000" w:firstRow="0" w:lastRow="0" w:firstColumn="0" w:lastColumn="0" w:oddVBand="0" w:evenVBand="0" w:oddHBand="0" w:evenHBand="0" w:firstRowFirstColumn="0" w:firstRowLastColumn="0" w:lastRowFirstColumn="0" w:lastRowLastColumn="0"/>
            </w:pPr>
            <w:r w:rsidRPr="004E3ADD">
              <w:t>24.0</w:t>
            </w:r>
          </w:p>
        </w:tc>
        <w:tc>
          <w:tcPr>
            <w:tcW w:w="883" w:type="dxa"/>
          </w:tcPr>
          <w:p w:rsidR="00DB3D67" w:rsidRPr="004E3ADD" w:rsidRDefault="00DB3D67" w:rsidP="004E3ADD">
            <w:pPr>
              <w:numPr>
                <w:ilvl w:val="0"/>
                <w:numId w:val="24"/>
              </w:numPr>
              <w:cnfStyle w:val="000000000000" w:firstRow="0" w:lastRow="0" w:firstColumn="0" w:lastColumn="0" w:oddVBand="0" w:evenVBand="0" w:oddHBand="0" w:evenHBand="0" w:firstRowFirstColumn="0" w:firstRowLastColumn="0" w:lastRowFirstColumn="0" w:lastRowLastColumn="0"/>
            </w:pPr>
            <w:r w:rsidRPr="004E3ADD">
              <w:t>30.8</w:t>
            </w:r>
          </w:p>
        </w:tc>
      </w:tr>
    </w:tbl>
    <w:p w:rsidR="00B6616E" w:rsidRDefault="001B6F7F" w:rsidP="001B6F7F">
      <w:pPr>
        <w:pStyle w:val="AERtablesource"/>
      </w:pPr>
      <w:r>
        <w:t xml:space="preserve">Source: </w:t>
      </w:r>
      <w:r>
        <w:tab/>
        <w:t>AER analysis.</w:t>
      </w:r>
    </w:p>
    <w:p w:rsidR="00516FBB" w:rsidRDefault="00B6616E" w:rsidP="00AA6A6F">
      <w:pPr>
        <w:pStyle w:val="AERtablesource"/>
      </w:pPr>
      <w:r>
        <w:t xml:space="preserve">Notes: </w:t>
      </w:r>
      <w:r>
        <w:tab/>
      </w:r>
      <w:r w:rsidR="00516FBB">
        <w:t>(a)</w:t>
      </w:r>
      <w:r w:rsidR="00516FBB">
        <w:tab/>
      </w:r>
      <w:r w:rsidR="00516FBB" w:rsidRPr="00516FBB">
        <w:t>Some categories include related party margins. A confidential version of this table showing direct costs (excluding related party margins) is avai</w:t>
      </w:r>
      <w:r w:rsidR="00516FBB">
        <w:t xml:space="preserve">lable in confidential appendix </w:t>
      </w:r>
      <w:r w:rsidR="00516FBB">
        <w:fldChar w:fldCharType="begin"/>
      </w:r>
      <w:r w:rsidR="00516FBB">
        <w:instrText xml:space="preserve"> REF _Ref448237293 \n \h </w:instrText>
      </w:r>
      <w:r w:rsidR="00516FBB">
        <w:fldChar w:fldCharType="separate"/>
      </w:r>
      <w:r w:rsidR="00D822F6">
        <w:rPr>
          <w:b/>
          <w:bCs/>
          <w:lang w:val="en-US"/>
        </w:rPr>
        <w:t>Error! Reference source not found.</w:t>
      </w:r>
      <w:r w:rsidR="00516FBB">
        <w:fldChar w:fldCharType="end"/>
      </w:r>
      <w:r w:rsidR="00516FBB" w:rsidRPr="00516FBB">
        <w:t>.</w:t>
      </w:r>
    </w:p>
    <w:p w:rsidR="001B6F7F" w:rsidRDefault="00516FBB" w:rsidP="00AA6A6F">
      <w:pPr>
        <w:pStyle w:val="AERtablesource"/>
      </w:pPr>
      <w:r>
        <w:tab/>
        <w:t>(b)</w:t>
      </w:r>
      <w:r>
        <w:tab/>
      </w:r>
      <w:r w:rsidR="00003165" w:rsidRPr="00406985">
        <w:t>As s</w:t>
      </w:r>
      <w:r w:rsidR="00003165">
        <w:t xml:space="preserve">et out in Attachment </w:t>
      </w:r>
      <w:r w:rsidR="00003165" w:rsidRPr="00AA6A6F">
        <w:rPr>
          <w:rStyle w:val="AERtexthighlight"/>
          <w:shd w:val="clear" w:color="auto" w:fill="auto"/>
        </w:rPr>
        <w:t>2</w:t>
      </w:r>
      <w:r w:rsidR="00003165">
        <w:t xml:space="preserve"> </w:t>
      </w:r>
      <w:r w:rsidR="000E19D0">
        <w:t xml:space="preserve">and section </w:t>
      </w:r>
      <w:r w:rsidR="000E19D0">
        <w:fldChar w:fldCharType="begin"/>
      </w:r>
      <w:r w:rsidR="000E19D0">
        <w:instrText xml:space="preserve"> REF _Ref451240248 \r \h </w:instrText>
      </w:r>
      <w:r w:rsidR="000E19D0">
        <w:fldChar w:fldCharType="separate"/>
      </w:r>
      <w:r w:rsidR="00D822F6">
        <w:t>6.4.1</w:t>
      </w:r>
      <w:r w:rsidR="000E19D0">
        <w:fldChar w:fldCharType="end"/>
      </w:r>
      <w:r w:rsidR="000E19D0">
        <w:t xml:space="preserve"> of this attachment, </w:t>
      </w:r>
      <w:r w:rsidR="00003165">
        <w:t>the 2015–</w:t>
      </w:r>
      <w:r w:rsidR="00003165" w:rsidRPr="00406985">
        <w:t>16 amounts have not been assessed by the AER as approved capex under this decision. This is because these values are estimates. The AER will undertake the assessment of whether the 2015</w:t>
      </w:r>
      <w:r w:rsidR="00003165">
        <w:t>–</w:t>
      </w:r>
      <w:r w:rsidR="00003165" w:rsidRPr="00406985">
        <w:t xml:space="preserve">16 amounts are conforming capex as part of the next </w:t>
      </w:r>
      <w:r w:rsidR="000F7027">
        <w:t>access arrangement</w:t>
      </w:r>
      <w:r w:rsidR="00003165">
        <w:t xml:space="preserve"> determination</w:t>
      </w:r>
      <w:r w:rsidR="00003165" w:rsidRPr="005A3660">
        <w:t>.</w:t>
      </w:r>
    </w:p>
    <w:p w:rsidR="0072555E" w:rsidRDefault="0072555E" w:rsidP="004E3ADD">
      <w:pPr>
        <w:pStyle w:val="HeadingBoldBlue"/>
        <w:keepNext/>
      </w:pPr>
      <w:r>
        <w:t>Conforming capex for the 2016–21 access arrangement period</w:t>
      </w:r>
    </w:p>
    <w:p w:rsidR="0072555E" w:rsidRDefault="0072555E" w:rsidP="004E3ADD">
      <w:pPr>
        <w:keepNext/>
      </w:pPr>
      <w:r>
        <w:t>We approve $</w:t>
      </w:r>
      <w:r w:rsidR="00A25F03" w:rsidRPr="00C81BC5">
        <w:rPr>
          <w:rStyle w:val="AERbody"/>
        </w:rPr>
        <w:t>80.</w:t>
      </w:r>
      <w:r w:rsidR="00734A70">
        <w:rPr>
          <w:rStyle w:val="AERbody"/>
        </w:rPr>
        <w:t>7</w:t>
      </w:r>
      <w:r>
        <w:t xml:space="preserve"> million ($2015–16) of total net capex for ActewAGL for the period 2016–21 as conforming capex that complies with </w:t>
      </w:r>
      <w:r w:rsidR="00794C29">
        <w:t>rule</w:t>
      </w:r>
      <w:r>
        <w:t xml:space="preserve"> 79 of the NGR. This is </w:t>
      </w:r>
      <w:r w:rsidR="00A25F03" w:rsidRPr="00C81BC5">
        <w:rPr>
          <w:rStyle w:val="AERbody"/>
        </w:rPr>
        <w:t>13.</w:t>
      </w:r>
      <w:r w:rsidR="00734A70">
        <w:rPr>
          <w:rStyle w:val="AERbody"/>
        </w:rPr>
        <w:t>5</w:t>
      </w:r>
      <w:r>
        <w:t xml:space="preserve"> per cent </w:t>
      </w:r>
      <w:r w:rsidR="0031364B">
        <w:rPr>
          <w:rStyle w:val="AERbody"/>
        </w:rPr>
        <w:t>less than</w:t>
      </w:r>
      <w:r>
        <w:t xml:space="preserve"> ActewAGL's revised proposed expenditure of $</w:t>
      </w:r>
      <w:r w:rsidR="00A25F03" w:rsidRPr="00C81BC5">
        <w:rPr>
          <w:rStyle w:val="AERbody"/>
        </w:rPr>
        <w:t>93.</w:t>
      </w:r>
      <w:r w:rsidR="005A63ED">
        <w:rPr>
          <w:rStyle w:val="AERbody"/>
        </w:rPr>
        <w:t>2</w:t>
      </w:r>
      <w:r>
        <w:t xml:space="preserve"> million ($2015–16). </w:t>
      </w:r>
    </w:p>
    <w:p w:rsidR="00186C41" w:rsidRDefault="00186C41" w:rsidP="00186C41">
      <w:r>
        <w:t xml:space="preserve">Our final decision reflects an </w:t>
      </w:r>
      <w:r w:rsidRPr="009B49FB">
        <w:rPr>
          <w:rStyle w:val="AERbody"/>
        </w:rPr>
        <w:t>increase</w:t>
      </w:r>
      <w:r>
        <w:t xml:space="preserve"> of $3.</w:t>
      </w:r>
      <w:r w:rsidR="006977D1">
        <w:t>8</w:t>
      </w:r>
      <w:r>
        <w:t xml:space="preserve"> million from our draft decision. ActewAGL proposed $115.6 million ($2015–16) in its initial proposal and in our draft decision we approved $76.8 million ($2015–16). </w:t>
      </w:r>
    </w:p>
    <w:p w:rsidR="00186C41" w:rsidRDefault="00186C41" w:rsidP="00186C41">
      <w:r>
        <w:t xml:space="preserve">The increase from our draft decision largely reflects our acceptance of ActewAGL's revised tariff V connection numbers for medium density/high rise (MD/HR) dwellings. Our alternative forecast of </w:t>
      </w:r>
      <w:r w:rsidR="00775166">
        <w:t xml:space="preserve">market expansion </w:t>
      </w:r>
      <w:r>
        <w:t xml:space="preserve">capex in the draft decision was largely driven by our lower alternative estimate of connections numbers for MD/HR dwellings. Thus, in accepting these connection numbers, we have accepted ActewAGL's </w:t>
      </w:r>
      <w:r w:rsidR="00775166">
        <w:t>market expansion</w:t>
      </w:r>
      <w:r>
        <w:t xml:space="preserve"> capex. Our final decision on </w:t>
      </w:r>
      <w:r w:rsidR="00775166">
        <w:t xml:space="preserve">market expansion </w:t>
      </w:r>
      <w:r>
        <w:t xml:space="preserve">capex is </w:t>
      </w:r>
      <w:r w:rsidR="00617A1C">
        <w:t>3.8</w:t>
      </w:r>
      <w:r>
        <w:t xml:space="preserve"> per cent higher compared to the draft decision and </w:t>
      </w:r>
      <w:r w:rsidR="00EB4FBF">
        <w:t>2</w:t>
      </w:r>
      <w:r w:rsidR="00617A1C">
        <w:t>4.0</w:t>
      </w:r>
      <w:r>
        <w:t xml:space="preserve"> per cent lower compared to ActewAGL's forecast in its initial proposal.</w:t>
      </w:r>
    </w:p>
    <w:p w:rsidR="00D40201" w:rsidRDefault="00AA4EB8" w:rsidP="00B37DDD">
      <w:r>
        <w:fldChar w:fldCharType="begin"/>
      </w:r>
      <w:r>
        <w:instrText xml:space="preserve"> REF _Ref443467849 \h </w:instrText>
      </w:r>
      <w:r>
        <w:fldChar w:fldCharType="separate"/>
      </w:r>
      <w:r w:rsidR="00D822F6">
        <w:t xml:space="preserve">Table </w:t>
      </w:r>
      <w:r w:rsidR="00D822F6">
        <w:rPr>
          <w:noProof/>
        </w:rPr>
        <w:t>6</w:t>
      </w:r>
      <w:r w:rsidR="00D822F6">
        <w:t>.</w:t>
      </w:r>
      <w:r w:rsidR="00D822F6">
        <w:rPr>
          <w:noProof/>
        </w:rPr>
        <w:t>2</w:t>
      </w:r>
      <w:r>
        <w:fldChar w:fldCharType="end"/>
      </w:r>
      <w:r>
        <w:t xml:space="preserve"> shows our approved capex for the 2016–21 </w:t>
      </w:r>
      <w:r w:rsidR="000F7027">
        <w:t>access arrangement</w:t>
      </w:r>
      <w:r>
        <w:t xml:space="preserve"> </w:t>
      </w:r>
      <w:proofErr w:type="gramStart"/>
      <w:r>
        <w:t>period</w:t>
      </w:r>
      <w:proofErr w:type="gramEnd"/>
      <w:r>
        <w:t xml:space="preserve"> </w:t>
      </w:r>
      <w:r w:rsidR="00CC230A">
        <w:t xml:space="preserve">in each year and </w:t>
      </w:r>
      <w:r>
        <w:t xml:space="preserve">by category. </w:t>
      </w:r>
      <w:r w:rsidR="00B37DDD">
        <w:t>We have revised the access arrangement having regard to our reasons for refusing to approve ActewAGL's proposal and the further matters identi</w:t>
      </w:r>
      <w:r w:rsidR="0068594F">
        <w:t>fied in the NGR section 64(2). </w:t>
      </w:r>
      <w:r w:rsidR="00B37DDD" w:rsidRPr="0068594F">
        <w:rPr>
          <w:iCs/>
        </w:rPr>
        <w:t>Our revisions are reflected in the</w:t>
      </w:r>
      <w:r w:rsidR="00B37DDD">
        <w:rPr>
          <w:i/>
          <w:iCs/>
        </w:rPr>
        <w:t xml:space="preserve"> </w:t>
      </w:r>
      <w:r w:rsidR="0068594F">
        <w:rPr>
          <w:i/>
          <w:iCs/>
        </w:rPr>
        <w:t>Approved Access Arrangement,</w:t>
      </w:r>
      <w:r w:rsidR="00B37DDD">
        <w:rPr>
          <w:i/>
          <w:iCs/>
        </w:rPr>
        <w:t xml:space="preserve"> </w:t>
      </w:r>
      <w:r w:rsidR="0068594F">
        <w:rPr>
          <w:i/>
          <w:iCs/>
        </w:rPr>
        <w:t xml:space="preserve">ActewAGL Distribution 1 July 2016 to 30 June 2021 </w:t>
      </w:r>
      <w:r w:rsidR="0068594F">
        <w:rPr>
          <w:iCs/>
        </w:rPr>
        <w:t>(May 2016).</w:t>
      </w:r>
      <w:r>
        <w:rPr>
          <w:rStyle w:val="FootnoteReference"/>
        </w:rPr>
        <w:footnoteReference w:id="1"/>
      </w:r>
    </w:p>
    <w:p w:rsidR="00AA4EB8" w:rsidRDefault="00AA4EB8" w:rsidP="00AA4EB8">
      <w:pPr>
        <w:pStyle w:val="Caption"/>
      </w:pPr>
      <w:bookmarkStart w:id="15" w:name="_Ref443467849"/>
      <w:proofErr w:type="gramStart"/>
      <w:r>
        <w:t xml:space="preserve">Table </w:t>
      </w:r>
      <w:proofErr w:type="gramEnd"/>
      <w:r w:rsidR="003F5473">
        <w:fldChar w:fldCharType="begin"/>
      </w:r>
      <w:r w:rsidR="003F5473">
        <w:instrText xml:space="preserve"> STYLEREF 1 \s </w:instrText>
      </w:r>
      <w:r w:rsidR="003F5473">
        <w:fldChar w:fldCharType="separate"/>
      </w:r>
      <w:r w:rsidR="00D822F6">
        <w:rPr>
          <w:noProof/>
        </w:rPr>
        <w:t>6</w:t>
      </w:r>
      <w:r w:rsidR="003F5473">
        <w:rPr>
          <w:noProof/>
        </w:rPr>
        <w:fldChar w:fldCharType="end"/>
      </w:r>
      <w:proofErr w:type="gramStart"/>
      <w:r w:rsidR="008B2230">
        <w:t>.</w:t>
      </w:r>
      <w:proofErr w:type="gramEnd"/>
      <w:r w:rsidR="00B37DDD">
        <w:fldChar w:fldCharType="begin"/>
      </w:r>
      <w:r w:rsidR="00B37DDD">
        <w:instrText xml:space="preserve"> SEQ Table \* ARABIC \s 1 </w:instrText>
      </w:r>
      <w:r w:rsidR="00B37DDD">
        <w:fldChar w:fldCharType="separate"/>
      </w:r>
      <w:r w:rsidR="00D822F6">
        <w:rPr>
          <w:noProof/>
        </w:rPr>
        <w:t>2</w:t>
      </w:r>
      <w:r w:rsidR="00B37DDD">
        <w:rPr>
          <w:noProof/>
        </w:rPr>
        <w:fldChar w:fldCharType="end"/>
      </w:r>
      <w:bookmarkEnd w:id="15"/>
      <w:r>
        <w:tab/>
        <w:t>AER approved capital expenditure by category over the 2016–21 access arrangement period ($million, 2015–16)</w:t>
      </w:r>
    </w:p>
    <w:tbl>
      <w:tblPr>
        <w:tblStyle w:val="AERtable-numbers"/>
        <w:tblW w:w="0" w:type="auto"/>
        <w:tblLayout w:type="fixed"/>
        <w:tblLook w:val="04A0" w:firstRow="1" w:lastRow="0" w:firstColumn="1" w:lastColumn="0" w:noHBand="0" w:noVBand="1"/>
      </w:tblPr>
      <w:tblGrid>
        <w:gridCol w:w="2217"/>
        <w:gridCol w:w="924"/>
        <w:gridCol w:w="925"/>
        <w:gridCol w:w="925"/>
        <w:gridCol w:w="925"/>
        <w:gridCol w:w="925"/>
        <w:gridCol w:w="926"/>
      </w:tblGrid>
      <w:tr w:rsidR="00B6616E" w:rsidTr="00B661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17" w:type="dxa"/>
          </w:tcPr>
          <w:p w:rsidR="00B6616E" w:rsidRDefault="00B6616E" w:rsidP="00B6616E">
            <w:pPr>
              <w:numPr>
                <w:ilvl w:val="0"/>
                <w:numId w:val="24"/>
              </w:numPr>
            </w:pPr>
            <w:r>
              <w:t>Category</w:t>
            </w:r>
          </w:p>
        </w:tc>
        <w:tc>
          <w:tcPr>
            <w:tcW w:w="924" w:type="dxa"/>
          </w:tcPr>
          <w:p w:rsidR="00B6616E" w:rsidRDefault="00B6616E" w:rsidP="00B6616E">
            <w:pPr>
              <w:numPr>
                <w:ilvl w:val="0"/>
                <w:numId w:val="24"/>
              </w:numPr>
              <w:cnfStyle w:val="100000000000" w:firstRow="1" w:lastRow="0" w:firstColumn="0" w:lastColumn="0" w:oddVBand="0" w:evenVBand="0" w:oddHBand="0" w:evenHBand="0" w:firstRowFirstColumn="0" w:firstRowLastColumn="0" w:lastRowFirstColumn="0" w:lastRowLastColumn="0"/>
            </w:pPr>
            <w:r>
              <w:t>2016–17</w:t>
            </w:r>
          </w:p>
        </w:tc>
        <w:tc>
          <w:tcPr>
            <w:tcW w:w="925" w:type="dxa"/>
          </w:tcPr>
          <w:p w:rsidR="00B6616E" w:rsidRDefault="00B6616E" w:rsidP="00B6616E">
            <w:pPr>
              <w:numPr>
                <w:ilvl w:val="0"/>
                <w:numId w:val="24"/>
              </w:numPr>
              <w:cnfStyle w:val="100000000000" w:firstRow="1" w:lastRow="0" w:firstColumn="0" w:lastColumn="0" w:oddVBand="0" w:evenVBand="0" w:oddHBand="0" w:evenHBand="0" w:firstRowFirstColumn="0" w:firstRowLastColumn="0" w:lastRowFirstColumn="0" w:lastRowLastColumn="0"/>
            </w:pPr>
            <w:r>
              <w:t>2017–18</w:t>
            </w:r>
          </w:p>
        </w:tc>
        <w:tc>
          <w:tcPr>
            <w:tcW w:w="925" w:type="dxa"/>
          </w:tcPr>
          <w:p w:rsidR="00B6616E" w:rsidRPr="00B6616E" w:rsidRDefault="00B6616E" w:rsidP="00B6616E">
            <w:pPr>
              <w:cnfStyle w:val="100000000000" w:firstRow="1" w:lastRow="0" w:firstColumn="0" w:lastColumn="0" w:oddVBand="0" w:evenVBand="0" w:oddHBand="0" w:evenHBand="0" w:firstRowFirstColumn="0" w:firstRowLastColumn="0" w:lastRowFirstColumn="0" w:lastRowLastColumn="0"/>
            </w:pPr>
            <w:r>
              <w:t>201</w:t>
            </w:r>
            <w:r w:rsidRPr="00B6616E">
              <w:t>8–19</w:t>
            </w:r>
          </w:p>
        </w:tc>
        <w:tc>
          <w:tcPr>
            <w:tcW w:w="925" w:type="dxa"/>
          </w:tcPr>
          <w:p w:rsidR="00B6616E" w:rsidRPr="00B6616E" w:rsidRDefault="00B6616E" w:rsidP="00B6616E">
            <w:pPr>
              <w:cnfStyle w:val="100000000000" w:firstRow="1" w:lastRow="0" w:firstColumn="0" w:lastColumn="0" w:oddVBand="0" w:evenVBand="0" w:oddHBand="0" w:evenHBand="0" w:firstRowFirstColumn="0" w:firstRowLastColumn="0" w:lastRowFirstColumn="0" w:lastRowLastColumn="0"/>
            </w:pPr>
            <w:r>
              <w:t>201</w:t>
            </w:r>
            <w:r w:rsidRPr="00B6616E">
              <w:t>9–20</w:t>
            </w:r>
          </w:p>
        </w:tc>
        <w:tc>
          <w:tcPr>
            <w:tcW w:w="925" w:type="dxa"/>
          </w:tcPr>
          <w:p w:rsidR="00B6616E" w:rsidRPr="00B6616E" w:rsidRDefault="00B6616E" w:rsidP="00B6616E">
            <w:pPr>
              <w:cnfStyle w:val="100000000000" w:firstRow="1" w:lastRow="0" w:firstColumn="0" w:lastColumn="0" w:oddVBand="0" w:evenVBand="0" w:oddHBand="0" w:evenHBand="0" w:firstRowFirstColumn="0" w:firstRowLastColumn="0" w:lastRowFirstColumn="0" w:lastRowLastColumn="0"/>
            </w:pPr>
            <w:r>
              <w:t>20</w:t>
            </w:r>
            <w:r w:rsidRPr="00B6616E">
              <w:t>20–21</w:t>
            </w:r>
          </w:p>
        </w:tc>
        <w:tc>
          <w:tcPr>
            <w:tcW w:w="926" w:type="dxa"/>
          </w:tcPr>
          <w:p w:rsidR="00B6616E" w:rsidRDefault="00B6616E" w:rsidP="00B6616E">
            <w:pPr>
              <w:numPr>
                <w:ilvl w:val="0"/>
                <w:numId w:val="24"/>
              </w:numPr>
              <w:cnfStyle w:val="100000000000" w:firstRow="1" w:lastRow="0" w:firstColumn="0" w:lastColumn="0" w:oddVBand="0" w:evenVBand="0" w:oddHBand="0" w:evenHBand="0" w:firstRowFirstColumn="0" w:firstRowLastColumn="0" w:lastRowFirstColumn="0" w:lastRowLastColumn="0"/>
            </w:pPr>
            <w:r>
              <w:t>Total</w:t>
            </w:r>
          </w:p>
        </w:tc>
      </w:tr>
      <w:tr w:rsidR="00C20AA0" w:rsidTr="009C18F6">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Market expansion (connections)</w:t>
            </w:r>
          </w:p>
        </w:tc>
        <w:tc>
          <w:tcPr>
            <w:tcW w:w="924"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8.2</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8.6</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8.5</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8.5</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8.4</w:t>
            </w:r>
          </w:p>
        </w:tc>
        <w:tc>
          <w:tcPr>
            <w:tcW w:w="926"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42.2</w:t>
            </w:r>
          </w:p>
        </w:tc>
      </w:tr>
      <w:tr w:rsidR="00C20AA0" w:rsidTr="009C18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Capacity development (augmentation)</w:t>
            </w:r>
          </w:p>
        </w:tc>
        <w:tc>
          <w:tcPr>
            <w:tcW w:w="924"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2.7</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1.2</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0.7</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0.3</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1.1</w:t>
            </w:r>
          </w:p>
        </w:tc>
        <w:tc>
          <w:tcPr>
            <w:tcW w:w="926"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6.0</w:t>
            </w:r>
          </w:p>
        </w:tc>
      </w:tr>
      <w:tr w:rsidR="00C20AA0" w:rsidTr="009C18F6">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Stay in business</w:t>
            </w:r>
          </w:p>
        </w:tc>
        <w:tc>
          <w:tcPr>
            <w:tcW w:w="924"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p>
        </w:tc>
        <w:tc>
          <w:tcPr>
            <w:tcW w:w="926"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p>
        </w:tc>
      </w:tr>
      <w:tr w:rsidR="00C20AA0" w:rsidTr="009C18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 xml:space="preserve"> - network renewal &amp; upgrade</w:t>
            </w:r>
          </w:p>
        </w:tc>
        <w:tc>
          <w:tcPr>
            <w:tcW w:w="924"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3.4</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4.4</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3.7</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1.0</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1.5</w:t>
            </w:r>
          </w:p>
        </w:tc>
        <w:tc>
          <w:tcPr>
            <w:tcW w:w="926"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14.0</w:t>
            </w:r>
          </w:p>
        </w:tc>
      </w:tr>
      <w:tr w:rsidR="00C20AA0" w:rsidTr="009C18F6">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 xml:space="preserve"> - meter renewal</w:t>
            </w:r>
          </w:p>
        </w:tc>
        <w:tc>
          <w:tcPr>
            <w:tcW w:w="924"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2.7</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2.4</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2.9</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3.0</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2.8</w:t>
            </w:r>
          </w:p>
        </w:tc>
        <w:tc>
          <w:tcPr>
            <w:tcW w:w="926"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13.7</w:t>
            </w:r>
          </w:p>
        </w:tc>
      </w:tr>
      <w:tr w:rsidR="00C20AA0" w:rsidTr="009C18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Non–system</w:t>
            </w:r>
          </w:p>
        </w:tc>
        <w:tc>
          <w:tcPr>
            <w:tcW w:w="924"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0.2</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0.1</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0.2</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0.0</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0.0</w:t>
            </w:r>
          </w:p>
        </w:tc>
        <w:tc>
          <w:tcPr>
            <w:tcW w:w="926"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0.5</w:t>
            </w:r>
          </w:p>
        </w:tc>
      </w:tr>
      <w:tr w:rsidR="00C20AA0" w:rsidTr="009C18F6">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Escalation</w:t>
            </w:r>
          </w:p>
        </w:tc>
        <w:tc>
          <w:tcPr>
            <w:tcW w:w="924"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0.6</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0.6</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0.9</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0.8</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0.9</w:t>
            </w:r>
          </w:p>
        </w:tc>
        <w:tc>
          <w:tcPr>
            <w:tcW w:w="926"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3.7</w:t>
            </w:r>
          </w:p>
        </w:tc>
      </w:tr>
      <w:tr w:rsidR="00C20AA0" w:rsidTr="009C18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Overheads</w:t>
            </w:r>
          </w:p>
        </w:tc>
        <w:tc>
          <w:tcPr>
            <w:tcW w:w="924"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1.1</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1.0</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1.0</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0.8</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0.9</w:t>
            </w:r>
          </w:p>
        </w:tc>
        <w:tc>
          <w:tcPr>
            <w:tcW w:w="926"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4.8</w:t>
            </w:r>
          </w:p>
        </w:tc>
      </w:tr>
      <w:tr w:rsidR="00C20AA0" w:rsidTr="009C18F6">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pStyle w:val="AERtablesource"/>
              <w:rPr>
                <w:rStyle w:val="Strong"/>
              </w:rPr>
            </w:pPr>
            <w:r w:rsidRPr="00C20AA0">
              <w:rPr>
                <w:rStyle w:val="Strong"/>
              </w:rPr>
              <w:t>GROSS TOTAL CAPEX</w:t>
            </w:r>
          </w:p>
        </w:tc>
        <w:tc>
          <w:tcPr>
            <w:tcW w:w="924" w:type="dxa"/>
          </w:tcPr>
          <w:p w:rsidR="00C20AA0" w:rsidRPr="00DB3D67" w:rsidRDefault="00C20AA0" w:rsidP="00C20AA0">
            <w:pPr>
              <w:cnfStyle w:val="000000000000" w:firstRow="0" w:lastRow="0" w:firstColumn="0" w:lastColumn="0" w:oddVBand="0" w:evenVBand="0" w:oddHBand="0" w:evenHBand="0" w:firstRowFirstColumn="0" w:firstRowLastColumn="0" w:lastRowFirstColumn="0" w:lastRowLastColumn="0"/>
              <w:rPr>
                <w:rStyle w:val="Strong"/>
              </w:rPr>
            </w:pPr>
            <w:r w:rsidRPr="00DB3D67">
              <w:rPr>
                <w:rStyle w:val="Strong"/>
              </w:rPr>
              <w:t>18.8</w:t>
            </w:r>
          </w:p>
        </w:tc>
        <w:tc>
          <w:tcPr>
            <w:tcW w:w="925" w:type="dxa"/>
          </w:tcPr>
          <w:p w:rsidR="00C20AA0" w:rsidRPr="00DB3D67" w:rsidRDefault="00C20AA0" w:rsidP="00C20AA0">
            <w:pPr>
              <w:cnfStyle w:val="000000000000" w:firstRow="0" w:lastRow="0" w:firstColumn="0" w:lastColumn="0" w:oddVBand="0" w:evenVBand="0" w:oddHBand="0" w:evenHBand="0" w:firstRowFirstColumn="0" w:firstRowLastColumn="0" w:lastRowFirstColumn="0" w:lastRowLastColumn="0"/>
              <w:rPr>
                <w:rStyle w:val="Strong"/>
              </w:rPr>
            </w:pPr>
            <w:r w:rsidRPr="00DB3D67">
              <w:rPr>
                <w:rStyle w:val="Strong"/>
              </w:rPr>
              <w:t>18.3</w:t>
            </w:r>
          </w:p>
        </w:tc>
        <w:tc>
          <w:tcPr>
            <w:tcW w:w="925" w:type="dxa"/>
          </w:tcPr>
          <w:p w:rsidR="00C20AA0" w:rsidRPr="00DB3D67" w:rsidRDefault="00C20AA0" w:rsidP="00C20AA0">
            <w:pPr>
              <w:cnfStyle w:val="000000000000" w:firstRow="0" w:lastRow="0" w:firstColumn="0" w:lastColumn="0" w:oddVBand="0" w:evenVBand="0" w:oddHBand="0" w:evenHBand="0" w:firstRowFirstColumn="0" w:firstRowLastColumn="0" w:lastRowFirstColumn="0" w:lastRowLastColumn="0"/>
              <w:rPr>
                <w:rStyle w:val="Strong"/>
              </w:rPr>
            </w:pPr>
            <w:r w:rsidRPr="00DB3D67">
              <w:rPr>
                <w:rStyle w:val="Strong"/>
              </w:rPr>
              <w:t>17.8</w:t>
            </w:r>
          </w:p>
        </w:tc>
        <w:tc>
          <w:tcPr>
            <w:tcW w:w="925" w:type="dxa"/>
          </w:tcPr>
          <w:p w:rsidR="00C20AA0" w:rsidRPr="00DB3D67" w:rsidRDefault="00C20AA0" w:rsidP="00C20AA0">
            <w:pPr>
              <w:cnfStyle w:val="000000000000" w:firstRow="0" w:lastRow="0" w:firstColumn="0" w:lastColumn="0" w:oddVBand="0" w:evenVBand="0" w:oddHBand="0" w:evenHBand="0" w:firstRowFirstColumn="0" w:firstRowLastColumn="0" w:lastRowFirstColumn="0" w:lastRowLastColumn="0"/>
              <w:rPr>
                <w:rStyle w:val="Strong"/>
              </w:rPr>
            </w:pPr>
            <w:r w:rsidRPr="00DB3D67">
              <w:rPr>
                <w:rStyle w:val="Strong"/>
              </w:rPr>
              <w:t>14.3</w:t>
            </w:r>
          </w:p>
        </w:tc>
        <w:tc>
          <w:tcPr>
            <w:tcW w:w="925" w:type="dxa"/>
          </w:tcPr>
          <w:p w:rsidR="00C20AA0" w:rsidRPr="00DB3D67" w:rsidRDefault="00C20AA0" w:rsidP="00C20AA0">
            <w:pPr>
              <w:cnfStyle w:val="000000000000" w:firstRow="0" w:lastRow="0" w:firstColumn="0" w:lastColumn="0" w:oddVBand="0" w:evenVBand="0" w:oddHBand="0" w:evenHBand="0" w:firstRowFirstColumn="0" w:firstRowLastColumn="0" w:lastRowFirstColumn="0" w:lastRowLastColumn="0"/>
              <w:rPr>
                <w:rStyle w:val="Strong"/>
              </w:rPr>
            </w:pPr>
            <w:r w:rsidRPr="00DB3D67">
              <w:rPr>
                <w:rStyle w:val="Strong"/>
              </w:rPr>
              <w:t>15.5</w:t>
            </w:r>
          </w:p>
        </w:tc>
        <w:tc>
          <w:tcPr>
            <w:tcW w:w="926" w:type="dxa"/>
          </w:tcPr>
          <w:p w:rsidR="00C20AA0" w:rsidRPr="00DB3D67" w:rsidRDefault="00C20AA0" w:rsidP="00C20AA0">
            <w:pPr>
              <w:cnfStyle w:val="000000000000" w:firstRow="0" w:lastRow="0" w:firstColumn="0" w:lastColumn="0" w:oddVBand="0" w:evenVBand="0" w:oddHBand="0" w:evenHBand="0" w:firstRowFirstColumn="0" w:firstRowLastColumn="0" w:lastRowFirstColumn="0" w:lastRowLastColumn="0"/>
              <w:rPr>
                <w:rStyle w:val="Strong"/>
              </w:rPr>
            </w:pPr>
            <w:r w:rsidRPr="00DB3D67">
              <w:rPr>
                <w:rStyle w:val="Strong"/>
              </w:rPr>
              <w:t>84.8</w:t>
            </w:r>
          </w:p>
        </w:tc>
      </w:tr>
      <w:tr w:rsidR="00C20AA0" w:rsidTr="009C18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r w:rsidRPr="00C20AA0">
              <w:t>Contributions</w:t>
            </w:r>
          </w:p>
        </w:tc>
        <w:tc>
          <w:tcPr>
            <w:tcW w:w="924"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0.7</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0.8</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0.8</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0.8</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0.8</w:t>
            </w:r>
          </w:p>
        </w:tc>
        <w:tc>
          <w:tcPr>
            <w:tcW w:w="926"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4.1</w:t>
            </w:r>
          </w:p>
        </w:tc>
      </w:tr>
      <w:tr w:rsidR="00C20AA0" w:rsidTr="009C18F6">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r w:rsidRPr="00C20AA0">
              <w:t>Asset disposals</w:t>
            </w:r>
          </w:p>
        </w:tc>
        <w:tc>
          <w:tcPr>
            <w:tcW w:w="924"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0.0</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0.0</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0.0</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0.0</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0.0</w:t>
            </w:r>
          </w:p>
        </w:tc>
        <w:tc>
          <w:tcPr>
            <w:tcW w:w="926"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0.0</w:t>
            </w:r>
          </w:p>
        </w:tc>
      </w:tr>
      <w:tr w:rsidR="00C20AA0" w:rsidTr="009C18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pStyle w:val="AERtablesource"/>
              <w:rPr>
                <w:rStyle w:val="Strong"/>
              </w:rPr>
            </w:pPr>
            <w:r w:rsidRPr="00C20AA0">
              <w:rPr>
                <w:rStyle w:val="Strong"/>
              </w:rPr>
              <w:t>NET TOTAL CAPEX</w:t>
            </w:r>
          </w:p>
        </w:tc>
        <w:tc>
          <w:tcPr>
            <w:tcW w:w="924"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rPr>
                <w:rStyle w:val="Strong"/>
              </w:rPr>
            </w:pPr>
            <w:r w:rsidRPr="00C20AA0">
              <w:rPr>
                <w:rStyle w:val="Strong"/>
              </w:rPr>
              <w:t>18.0</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rPr>
                <w:rStyle w:val="Strong"/>
              </w:rPr>
            </w:pPr>
            <w:r w:rsidRPr="00C20AA0">
              <w:rPr>
                <w:rStyle w:val="Strong"/>
              </w:rPr>
              <w:t>17.5</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rPr>
                <w:rStyle w:val="Strong"/>
              </w:rPr>
            </w:pPr>
            <w:r w:rsidRPr="00C20AA0">
              <w:rPr>
                <w:rStyle w:val="Strong"/>
              </w:rPr>
              <w:t>17.0</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rPr>
                <w:rStyle w:val="Strong"/>
              </w:rPr>
            </w:pPr>
            <w:r w:rsidRPr="00C20AA0">
              <w:rPr>
                <w:rStyle w:val="Strong"/>
              </w:rPr>
              <w:t>13.5</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rPr>
                <w:rStyle w:val="Strong"/>
              </w:rPr>
            </w:pPr>
            <w:r w:rsidRPr="00C20AA0">
              <w:rPr>
                <w:rStyle w:val="Strong"/>
              </w:rPr>
              <w:t>14.7</w:t>
            </w:r>
          </w:p>
        </w:tc>
        <w:tc>
          <w:tcPr>
            <w:tcW w:w="926"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rPr>
                <w:rStyle w:val="Strong"/>
              </w:rPr>
            </w:pPr>
            <w:r w:rsidRPr="00C20AA0">
              <w:rPr>
                <w:rStyle w:val="Strong"/>
              </w:rPr>
              <w:t>80.7</w:t>
            </w:r>
          </w:p>
        </w:tc>
      </w:tr>
    </w:tbl>
    <w:p w:rsidR="00516FBB" w:rsidRDefault="00B6616E" w:rsidP="00516FBB">
      <w:pPr>
        <w:pStyle w:val="AERtablesource"/>
      </w:pPr>
      <w:r>
        <w:t xml:space="preserve">Source: </w:t>
      </w:r>
      <w:r>
        <w:tab/>
        <w:t>AER analysis.</w:t>
      </w:r>
      <w:r w:rsidR="00516FBB" w:rsidRPr="00516FBB">
        <w:t xml:space="preserve"> </w:t>
      </w:r>
    </w:p>
    <w:p w:rsidR="00516FBB" w:rsidRPr="00516FBB" w:rsidRDefault="00516FBB" w:rsidP="00516FBB">
      <w:pPr>
        <w:pStyle w:val="AERtablesource"/>
      </w:pPr>
      <w:r>
        <w:t xml:space="preserve">Notes: </w:t>
      </w:r>
      <w:r>
        <w:tab/>
        <w:t>(a)</w:t>
      </w:r>
      <w:r>
        <w:tab/>
      </w:r>
      <w:r w:rsidRPr="00516FBB">
        <w:t xml:space="preserve">Some categories include </w:t>
      </w:r>
      <w:r>
        <w:t>a construction management fee (CMF) paid by ActewAGL</w:t>
      </w:r>
      <w:r w:rsidRPr="00516FBB">
        <w:t xml:space="preserve">. A confidential version of this table showing direct costs (excluding </w:t>
      </w:r>
      <w:r>
        <w:t>CMF</w:t>
      </w:r>
      <w:r w:rsidRPr="00516FBB">
        <w:t>) is avai</w:t>
      </w:r>
      <w:r>
        <w:t xml:space="preserve">lable in confidential appendix </w:t>
      </w:r>
      <w:r>
        <w:fldChar w:fldCharType="begin"/>
      </w:r>
      <w:r>
        <w:instrText xml:space="preserve"> REF _Ref448237293 \n \h </w:instrText>
      </w:r>
      <w:r>
        <w:fldChar w:fldCharType="separate"/>
      </w:r>
      <w:r w:rsidR="00D822F6">
        <w:rPr>
          <w:b/>
          <w:bCs/>
          <w:lang w:val="en-US"/>
        </w:rPr>
        <w:t>Error! Reference source not found.</w:t>
      </w:r>
      <w:r>
        <w:fldChar w:fldCharType="end"/>
      </w:r>
      <w:r w:rsidRPr="00516FBB">
        <w:t>.</w:t>
      </w:r>
    </w:p>
    <w:p w:rsidR="00AA4EB8" w:rsidRDefault="008B2230" w:rsidP="00AA4EB8">
      <w:r>
        <w:fldChar w:fldCharType="begin"/>
      </w:r>
      <w:r>
        <w:instrText xml:space="preserve"> REF _Ref443468179 \h </w:instrText>
      </w:r>
      <w:r>
        <w:fldChar w:fldCharType="separate"/>
      </w:r>
      <w:r w:rsidR="00D822F6">
        <w:t xml:space="preserve">Table </w:t>
      </w:r>
      <w:r w:rsidR="00D822F6">
        <w:rPr>
          <w:noProof/>
        </w:rPr>
        <w:t>6</w:t>
      </w:r>
      <w:r w:rsidR="00D822F6">
        <w:t>.</w:t>
      </w:r>
      <w:r w:rsidR="00D822F6">
        <w:rPr>
          <w:noProof/>
        </w:rPr>
        <w:t>3</w:t>
      </w:r>
      <w:r>
        <w:fldChar w:fldCharType="end"/>
      </w:r>
      <w:r>
        <w:t xml:space="preserve"> shows </w:t>
      </w:r>
      <w:proofErr w:type="spellStart"/>
      <w:r>
        <w:t>ActewAGL's</w:t>
      </w:r>
      <w:proofErr w:type="spellEnd"/>
      <w:r>
        <w:t xml:space="preserve"> proposed capex compared with the AER's approved capex for each category. In coming to our position, we assessed ActewAGL's forecast capex taking into account the available evidence</w:t>
      </w:r>
      <w:r w:rsidR="0031364B">
        <w:t xml:space="preserve"> and submissions from stakeholders</w:t>
      </w:r>
      <w:r>
        <w:t xml:space="preserve">. </w:t>
      </w:r>
    </w:p>
    <w:p w:rsidR="00734A70" w:rsidRDefault="00186C41" w:rsidP="00734A70">
      <w:pPr>
        <w:pStyle w:val="AERbulletlistfirststyle"/>
        <w:numPr>
          <w:ilvl w:val="0"/>
          <w:numId w:val="0"/>
        </w:numPr>
      </w:pPr>
      <w:r>
        <w:t xml:space="preserve">As </w:t>
      </w:r>
      <w:r>
        <w:fldChar w:fldCharType="begin"/>
      </w:r>
      <w:r>
        <w:instrText xml:space="preserve"> REF _Ref443468179 \h </w:instrText>
      </w:r>
      <w:r>
        <w:fldChar w:fldCharType="separate"/>
      </w:r>
      <w:r w:rsidR="00D822F6">
        <w:t xml:space="preserve">Table </w:t>
      </w:r>
      <w:r w:rsidR="00D822F6">
        <w:rPr>
          <w:noProof/>
        </w:rPr>
        <w:t>6</w:t>
      </w:r>
      <w:r w:rsidR="00D822F6">
        <w:t>.</w:t>
      </w:r>
      <w:r w:rsidR="00D822F6">
        <w:rPr>
          <w:noProof/>
        </w:rPr>
        <w:t>3</w:t>
      </w:r>
      <w:r>
        <w:fldChar w:fldCharType="end"/>
      </w:r>
      <w:r>
        <w:t xml:space="preserve"> shows, the main differences between our alternative capex estimate and ActewAGL's proposal relate to augmentation capex and </w:t>
      </w:r>
      <w:r w:rsidR="00EB4FBF">
        <w:t xml:space="preserve">capex for </w:t>
      </w:r>
      <w:r>
        <w:t>network renewal and upgrade</w:t>
      </w:r>
      <w:r w:rsidR="0031364B">
        <w:t>s</w:t>
      </w:r>
      <w:r>
        <w:t>.</w:t>
      </w:r>
      <w:r w:rsidR="00734A70" w:rsidRPr="00734A70">
        <w:t xml:space="preserve"> </w:t>
      </w:r>
    </w:p>
    <w:p w:rsidR="00186C41" w:rsidRDefault="00734A70" w:rsidP="00734A70">
      <w:pPr>
        <w:pStyle w:val="AERbulletlistfirststyle"/>
        <w:numPr>
          <w:ilvl w:val="0"/>
          <w:numId w:val="0"/>
        </w:numPr>
      </w:pPr>
      <w:r>
        <w:t>T</w:t>
      </w:r>
      <w:r w:rsidRPr="00186C41">
        <w:t>his capex attachment discusses our assessment of those capex categories which ActewAGL re-proposed in its revised proposal</w:t>
      </w:r>
      <w:r w:rsidR="00435948">
        <w:t>,</w:t>
      </w:r>
      <w:r w:rsidR="00435948" w:rsidRPr="00186C41">
        <w:t xml:space="preserve"> </w:t>
      </w:r>
      <w:r w:rsidRPr="00186C41">
        <w:t>these being market expansion capex, augmentation capex, and network renewal and upgrade.</w:t>
      </w:r>
    </w:p>
    <w:p w:rsidR="00186C41" w:rsidRDefault="00186C41" w:rsidP="00186C41">
      <w:r>
        <w:t>We accepted the following capex items in our draft decision:</w:t>
      </w:r>
      <w:r w:rsidRPr="00655A95">
        <w:rPr>
          <w:rStyle w:val="FootnoteReference"/>
        </w:rPr>
        <w:footnoteReference w:id="2"/>
      </w:r>
    </w:p>
    <w:p w:rsidR="00186C41" w:rsidRDefault="00435948" w:rsidP="00186C41">
      <w:pPr>
        <w:pStyle w:val="AERbulletlistfirststyle"/>
      </w:pPr>
      <w:r>
        <w:t xml:space="preserve">a </w:t>
      </w:r>
      <w:r w:rsidR="00186C41">
        <w:t>construction management fee;</w:t>
      </w:r>
    </w:p>
    <w:p w:rsidR="00186C41" w:rsidRPr="00CC230A" w:rsidRDefault="00435948" w:rsidP="00186C41">
      <w:pPr>
        <w:pStyle w:val="AERbulletlistfirststyle"/>
      </w:pPr>
      <w:r>
        <w:t>n</w:t>
      </w:r>
      <w:r w:rsidR="00186C41">
        <w:t>on-</w:t>
      </w:r>
      <w:r w:rsidR="00186C41" w:rsidRPr="00CC230A">
        <w:t>system IT; and</w:t>
      </w:r>
    </w:p>
    <w:p w:rsidR="00734A70" w:rsidRDefault="00435948" w:rsidP="00734A70">
      <w:pPr>
        <w:pStyle w:val="AERbulletlistfirststyle"/>
      </w:pPr>
      <w:proofErr w:type="gramStart"/>
      <w:r>
        <w:t>a</w:t>
      </w:r>
      <w:r w:rsidR="00186C41">
        <w:t>n</w:t>
      </w:r>
      <w:proofErr w:type="gramEnd"/>
      <w:r w:rsidR="00186C41">
        <w:t xml:space="preserve"> overhead </w:t>
      </w:r>
      <w:r w:rsidR="00186C41" w:rsidRPr="00CC230A">
        <w:t>allocation rate of six per cent to capex.</w:t>
      </w:r>
    </w:p>
    <w:p w:rsidR="00186C41" w:rsidRPr="00186C41" w:rsidRDefault="00186C41" w:rsidP="00734A70">
      <w:pPr>
        <w:pStyle w:val="AERbulletlistfirststyle"/>
        <w:numPr>
          <w:ilvl w:val="0"/>
          <w:numId w:val="0"/>
        </w:numPr>
      </w:pPr>
      <w:r>
        <w:t xml:space="preserve">ActewAGL accepted our draft decision on cost escalation. </w:t>
      </w:r>
    </w:p>
    <w:p w:rsidR="008B2230" w:rsidRDefault="008B2230" w:rsidP="008B2230">
      <w:pPr>
        <w:pStyle w:val="Caption"/>
      </w:pPr>
      <w:bookmarkStart w:id="16" w:name="_Ref443468179"/>
      <w:proofErr w:type="gramStart"/>
      <w:r>
        <w:t xml:space="preserve">Table </w:t>
      </w:r>
      <w:proofErr w:type="gramEnd"/>
      <w:r w:rsidR="003F5473">
        <w:fldChar w:fldCharType="begin"/>
      </w:r>
      <w:r w:rsidR="003F5473">
        <w:instrText xml:space="preserve"> STYLEREF 1 \s </w:instrText>
      </w:r>
      <w:r w:rsidR="003F5473">
        <w:fldChar w:fldCharType="separate"/>
      </w:r>
      <w:r w:rsidR="00D822F6">
        <w:rPr>
          <w:noProof/>
        </w:rPr>
        <w:t>6</w:t>
      </w:r>
      <w:r w:rsidR="003F5473">
        <w:rPr>
          <w:noProof/>
        </w:rPr>
        <w:fldChar w:fldCharType="end"/>
      </w:r>
      <w:proofErr w:type="gramStart"/>
      <w:r>
        <w:t>.</w:t>
      </w:r>
      <w:proofErr w:type="gramEnd"/>
      <w:r w:rsidR="00B37DDD">
        <w:fldChar w:fldCharType="begin"/>
      </w:r>
      <w:r w:rsidR="00B37DDD">
        <w:instrText xml:space="preserve"> SEQ Table \* ARABIC \s 1 </w:instrText>
      </w:r>
      <w:r w:rsidR="00B37DDD">
        <w:fldChar w:fldCharType="separate"/>
      </w:r>
      <w:r w:rsidR="00D822F6">
        <w:rPr>
          <w:noProof/>
        </w:rPr>
        <w:t>3</w:t>
      </w:r>
      <w:r w:rsidR="00B37DDD">
        <w:rPr>
          <w:noProof/>
        </w:rPr>
        <w:fldChar w:fldCharType="end"/>
      </w:r>
      <w:bookmarkEnd w:id="16"/>
      <w:r>
        <w:tab/>
        <w:t>Comparison of AER approved and ActewAGL's proposed capital expenditure over the 2016–21 access arrangement period ($million, 2015–16)</w:t>
      </w:r>
    </w:p>
    <w:tbl>
      <w:tblPr>
        <w:tblStyle w:val="AERtable-numbers"/>
        <w:tblW w:w="0" w:type="auto"/>
        <w:tblLayout w:type="fixed"/>
        <w:tblLook w:val="04A0" w:firstRow="1" w:lastRow="0" w:firstColumn="1" w:lastColumn="0" w:noHBand="0" w:noVBand="1"/>
      </w:tblPr>
      <w:tblGrid>
        <w:gridCol w:w="2217"/>
        <w:gridCol w:w="1293"/>
        <w:gridCol w:w="1276"/>
        <w:gridCol w:w="2410"/>
      </w:tblGrid>
      <w:tr w:rsidR="00B6616E" w:rsidTr="00350B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17" w:type="dxa"/>
          </w:tcPr>
          <w:p w:rsidR="00B6616E" w:rsidRDefault="00B6616E" w:rsidP="00B6616E">
            <w:pPr>
              <w:numPr>
                <w:ilvl w:val="0"/>
                <w:numId w:val="24"/>
              </w:numPr>
            </w:pPr>
            <w:r>
              <w:t>Category</w:t>
            </w:r>
          </w:p>
        </w:tc>
        <w:tc>
          <w:tcPr>
            <w:tcW w:w="1293" w:type="dxa"/>
          </w:tcPr>
          <w:p w:rsidR="00B6616E" w:rsidRDefault="00B6616E" w:rsidP="00B6616E">
            <w:pPr>
              <w:numPr>
                <w:ilvl w:val="0"/>
                <w:numId w:val="24"/>
              </w:numPr>
              <w:cnfStyle w:val="100000000000" w:firstRow="1" w:lastRow="0" w:firstColumn="0" w:lastColumn="0" w:oddVBand="0" w:evenVBand="0" w:oddHBand="0" w:evenHBand="0" w:firstRowFirstColumn="0" w:firstRowLastColumn="0" w:lastRowFirstColumn="0" w:lastRowLastColumn="0"/>
            </w:pPr>
            <w:r>
              <w:t>Proposed</w:t>
            </w:r>
          </w:p>
        </w:tc>
        <w:tc>
          <w:tcPr>
            <w:tcW w:w="1276" w:type="dxa"/>
          </w:tcPr>
          <w:p w:rsidR="00B6616E" w:rsidRDefault="00B6616E" w:rsidP="00B6616E">
            <w:pPr>
              <w:numPr>
                <w:ilvl w:val="0"/>
                <w:numId w:val="24"/>
              </w:numPr>
              <w:cnfStyle w:val="100000000000" w:firstRow="1" w:lastRow="0" w:firstColumn="0" w:lastColumn="0" w:oddVBand="0" w:evenVBand="0" w:oddHBand="0" w:evenHBand="0" w:firstRowFirstColumn="0" w:firstRowLastColumn="0" w:lastRowFirstColumn="0" w:lastRowLastColumn="0"/>
            </w:pPr>
            <w:r>
              <w:t>Approved</w:t>
            </w:r>
          </w:p>
        </w:tc>
        <w:tc>
          <w:tcPr>
            <w:tcW w:w="2410" w:type="dxa"/>
          </w:tcPr>
          <w:p w:rsidR="00B6616E" w:rsidRPr="00B6616E" w:rsidRDefault="00B6616E" w:rsidP="00B6616E">
            <w:pPr>
              <w:cnfStyle w:val="100000000000" w:firstRow="1" w:lastRow="0" w:firstColumn="0" w:lastColumn="0" w:oddVBand="0" w:evenVBand="0" w:oddHBand="0" w:evenHBand="0" w:firstRowFirstColumn="0" w:firstRowLastColumn="0" w:lastRowFirstColumn="0" w:lastRowLastColumn="0"/>
            </w:pPr>
            <w:r>
              <w:t>Difference ($millions)</w:t>
            </w:r>
          </w:p>
        </w:tc>
      </w:tr>
      <w:tr w:rsidR="00C20AA0" w:rsidTr="005C0C52">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Market expansion (connections)</w:t>
            </w:r>
          </w:p>
        </w:tc>
        <w:tc>
          <w:tcPr>
            <w:tcW w:w="1293"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42.2</w:t>
            </w:r>
          </w:p>
        </w:tc>
        <w:tc>
          <w:tcPr>
            <w:tcW w:w="1276"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42.2</w:t>
            </w:r>
          </w:p>
        </w:tc>
        <w:tc>
          <w:tcPr>
            <w:tcW w:w="2410"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0.0</w:t>
            </w:r>
          </w:p>
        </w:tc>
      </w:tr>
      <w:tr w:rsidR="00C20AA0" w:rsidTr="005C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Capacity development (augmentation)</w:t>
            </w:r>
          </w:p>
        </w:tc>
        <w:tc>
          <w:tcPr>
            <w:tcW w:w="1293"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14.4</w:t>
            </w:r>
          </w:p>
        </w:tc>
        <w:tc>
          <w:tcPr>
            <w:tcW w:w="1276"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6.0</w:t>
            </w:r>
          </w:p>
        </w:tc>
        <w:tc>
          <w:tcPr>
            <w:tcW w:w="2410"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-8.4</w:t>
            </w:r>
          </w:p>
        </w:tc>
      </w:tr>
      <w:tr w:rsidR="00C20AA0" w:rsidTr="005C0C52">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Stay in business</w:t>
            </w:r>
          </w:p>
        </w:tc>
        <w:tc>
          <w:tcPr>
            <w:tcW w:w="1293"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p>
        </w:tc>
        <w:tc>
          <w:tcPr>
            <w:tcW w:w="1276"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p>
        </w:tc>
        <w:tc>
          <w:tcPr>
            <w:tcW w:w="2410"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p>
        </w:tc>
      </w:tr>
      <w:tr w:rsidR="00C20AA0" w:rsidTr="005C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 xml:space="preserve"> - network renewal &amp; upgrade</w:t>
            </w:r>
          </w:p>
        </w:tc>
        <w:tc>
          <w:tcPr>
            <w:tcW w:w="1293"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16.7</w:t>
            </w:r>
          </w:p>
        </w:tc>
        <w:tc>
          <w:tcPr>
            <w:tcW w:w="1276"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14.0</w:t>
            </w:r>
          </w:p>
        </w:tc>
        <w:tc>
          <w:tcPr>
            <w:tcW w:w="2410"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-2.8</w:t>
            </w:r>
          </w:p>
        </w:tc>
      </w:tr>
      <w:tr w:rsidR="00C20AA0" w:rsidTr="005C0C52">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 xml:space="preserve"> - meter renewal</w:t>
            </w:r>
          </w:p>
        </w:tc>
        <w:tc>
          <w:tcPr>
            <w:tcW w:w="1293"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13.7</w:t>
            </w:r>
          </w:p>
        </w:tc>
        <w:tc>
          <w:tcPr>
            <w:tcW w:w="1276"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13.7</w:t>
            </w:r>
          </w:p>
        </w:tc>
        <w:tc>
          <w:tcPr>
            <w:tcW w:w="2410"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0.0</w:t>
            </w:r>
          </w:p>
        </w:tc>
      </w:tr>
      <w:tr w:rsidR="00C20AA0" w:rsidTr="005C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Non–system</w:t>
            </w:r>
          </w:p>
        </w:tc>
        <w:tc>
          <w:tcPr>
            <w:tcW w:w="1293"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0.5</w:t>
            </w:r>
          </w:p>
        </w:tc>
        <w:tc>
          <w:tcPr>
            <w:tcW w:w="1276"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0.5</w:t>
            </w:r>
          </w:p>
        </w:tc>
        <w:tc>
          <w:tcPr>
            <w:tcW w:w="2410"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0.0</w:t>
            </w:r>
          </w:p>
        </w:tc>
      </w:tr>
      <w:tr w:rsidR="00C20AA0" w:rsidTr="005C0C52">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Escalation</w:t>
            </w:r>
          </w:p>
        </w:tc>
        <w:tc>
          <w:tcPr>
            <w:tcW w:w="1293"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4.4</w:t>
            </w:r>
          </w:p>
        </w:tc>
        <w:tc>
          <w:tcPr>
            <w:tcW w:w="1276"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3.7</w:t>
            </w:r>
          </w:p>
        </w:tc>
        <w:tc>
          <w:tcPr>
            <w:tcW w:w="2410"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-0.7</w:t>
            </w:r>
          </w:p>
        </w:tc>
      </w:tr>
      <w:tr w:rsidR="00C20AA0" w:rsidTr="005C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Overheads</w:t>
            </w:r>
          </w:p>
        </w:tc>
        <w:tc>
          <w:tcPr>
            <w:tcW w:w="1293"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5.5</w:t>
            </w:r>
          </w:p>
        </w:tc>
        <w:tc>
          <w:tcPr>
            <w:tcW w:w="1276"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4.8</w:t>
            </w:r>
          </w:p>
        </w:tc>
        <w:tc>
          <w:tcPr>
            <w:tcW w:w="2410"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-0.7</w:t>
            </w:r>
          </w:p>
        </w:tc>
      </w:tr>
      <w:tr w:rsidR="00C20AA0" w:rsidTr="005C0C52">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pStyle w:val="AERtablesource"/>
              <w:rPr>
                <w:rStyle w:val="Strong"/>
              </w:rPr>
            </w:pPr>
            <w:r w:rsidRPr="00C20AA0">
              <w:rPr>
                <w:rStyle w:val="Strong"/>
              </w:rPr>
              <w:t>GROSS TOTAL CAPEX</w:t>
            </w:r>
          </w:p>
        </w:tc>
        <w:tc>
          <w:tcPr>
            <w:tcW w:w="1293"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rPr>
                <w:rStyle w:val="Strong"/>
              </w:rPr>
            </w:pPr>
            <w:r w:rsidRPr="00C20AA0">
              <w:rPr>
                <w:rStyle w:val="Strong"/>
              </w:rPr>
              <w:t>97.3</w:t>
            </w:r>
          </w:p>
        </w:tc>
        <w:tc>
          <w:tcPr>
            <w:tcW w:w="1276"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rPr>
                <w:rStyle w:val="Strong"/>
              </w:rPr>
            </w:pPr>
            <w:r w:rsidRPr="00C20AA0">
              <w:rPr>
                <w:rStyle w:val="Strong"/>
              </w:rPr>
              <w:t>84.8</w:t>
            </w:r>
          </w:p>
        </w:tc>
        <w:tc>
          <w:tcPr>
            <w:tcW w:w="2410"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rPr>
                <w:rStyle w:val="Strong"/>
              </w:rPr>
            </w:pPr>
            <w:r w:rsidRPr="00C20AA0">
              <w:rPr>
                <w:rStyle w:val="Strong"/>
              </w:rPr>
              <w:t>-12.6</w:t>
            </w:r>
          </w:p>
        </w:tc>
      </w:tr>
      <w:tr w:rsidR="00C20AA0" w:rsidTr="005C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r w:rsidRPr="00C20AA0">
              <w:t>Contributions</w:t>
            </w:r>
          </w:p>
        </w:tc>
        <w:tc>
          <w:tcPr>
            <w:tcW w:w="1293"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4.1</w:t>
            </w:r>
          </w:p>
        </w:tc>
        <w:tc>
          <w:tcPr>
            <w:tcW w:w="1276"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4.1</w:t>
            </w:r>
          </w:p>
        </w:tc>
        <w:tc>
          <w:tcPr>
            <w:tcW w:w="2410"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0.0</w:t>
            </w:r>
          </w:p>
        </w:tc>
      </w:tr>
      <w:tr w:rsidR="00C20AA0" w:rsidTr="005C0C52">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r w:rsidRPr="00C20AA0">
              <w:t>Asset disposals</w:t>
            </w:r>
          </w:p>
        </w:tc>
        <w:tc>
          <w:tcPr>
            <w:tcW w:w="1293"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0.0</w:t>
            </w:r>
          </w:p>
        </w:tc>
        <w:tc>
          <w:tcPr>
            <w:tcW w:w="1276"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0.0</w:t>
            </w:r>
          </w:p>
        </w:tc>
        <w:tc>
          <w:tcPr>
            <w:tcW w:w="2410"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0.0</w:t>
            </w:r>
          </w:p>
        </w:tc>
      </w:tr>
      <w:tr w:rsidR="00C20AA0" w:rsidTr="005C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pStyle w:val="AERtablesource"/>
              <w:rPr>
                <w:rStyle w:val="Strong"/>
              </w:rPr>
            </w:pPr>
            <w:r w:rsidRPr="00C20AA0">
              <w:rPr>
                <w:rStyle w:val="Strong"/>
              </w:rPr>
              <w:t>NET TOTAL CAPEX</w:t>
            </w:r>
          </w:p>
        </w:tc>
        <w:tc>
          <w:tcPr>
            <w:tcW w:w="1293"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rPr>
                <w:rStyle w:val="Strong"/>
              </w:rPr>
            </w:pPr>
            <w:r w:rsidRPr="00C20AA0">
              <w:rPr>
                <w:rStyle w:val="Strong"/>
              </w:rPr>
              <w:t>93.2</w:t>
            </w:r>
          </w:p>
        </w:tc>
        <w:tc>
          <w:tcPr>
            <w:tcW w:w="1276"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rPr>
                <w:rStyle w:val="Strong"/>
              </w:rPr>
            </w:pPr>
            <w:r w:rsidRPr="00C20AA0">
              <w:rPr>
                <w:rStyle w:val="Strong"/>
              </w:rPr>
              <w:t>80.7</w:t>
            </w:r>
          </w:p>
        </w:tc>
        <w:tc>
          <w:tcPr>
            <w:tcW w:w="2410"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rPr>
                <w:rStyle w:val="Strong"/>
              </w:rPr>
            </w:pPr>
            <w:r w:rsidRPr="00C20AA0">
              <w:rPr>
                <w:rStyle w:val="Strong"/>
              </w:rPr>
              <w:t>-12.6</w:t>
            </w:r>
          </w:p>
        </w:tc>
      </w:tr>
    </w:tbl>
    <w:p w:rsidR="00516FBB" w:rsidRDefault="00B6616E" w:rsidP="00B6616E">
      <w:pPr>
        <w:pStyle w:val="AERtablesource"/>
      </w:pPr>
      <w:r>
        <w:t xml:space="preserve">Source: </w:t>
      </w:r>
      <w:r>
        <w:tab/>
        <w:t>AER analysis.</w:t>
      </w:r>
      <w:r w:rsidR="00516FBB">
        <w:t xml:space="preserve"> </w:t>
      </w:r>
    </w:p>
    <w:p w:rsidR="00B6616E" w:rsidRDefault="00516FBB" w:rsidP="00B6616E">
      <w:pPr>
        <w:pStyle w:val="AERtablesource"/>
      </w:pPr>
      <w:r>
        <w:t xml:space="preserve">Notes: </w:t>
      </w:r>
      <w:r>
        <w:tab/>
        <w:t>(a)</w:t>
      </w:r>
      <w:r>
        <w:tab/>
      </w:r>
      <w:r w:rsidRPr="00516FBB">
        <w:t xml:space="preserve">Some categories include </w:t>
      </w:r>
      <w:r>
        <w:t>a construction management fee (CMF) paid by ActewAGL</w:t>
      </w:r>
      <w:r w:rsidRPr="00516FBB">
        <w:t xml:space="preserve">. A confidential version of this table showing direct costs (excluding </w:t>
      </w:r>
      <w:r>
        <w:t>CMF</w:t>
      </w:r>
      <w:r w:rsidRPr="00516FBB">
        <w:t>) is avai</w:t>
      </w:r>
      <w:r>
        <w:t xml:space="preserve">lable in confidential appendix </w:t>
      </w:r>
      <w:r>
        <w:fldChar w:fldCharType="begin"/>
      </w:r>
      <w:r>
        <w:instrText xml:space="preserve"> REF _Ref448237293 \n \h </w:instrText>
      </w:r>
      <w:r>
        <w:fldChar w:fldCharType="separate"/>
      </w:r>
      <w:r w:rsidR="00D822F6">
        <w:rPr>
          <w:b/>
          <w:bCs/>
          <w:lang w:val="en-US"/>
        </w:rPr>
        <w:t>Error! Reference source not found.</w:t>
      </w:r>
      <w:r>
        <w:fldChar w:fldCharType="end"/>
      </w:r>
      <w:r w:rsidRPr="00516FBB">
        <w:t>.</w:t>
      </w:r>
    </w:p>
    <w:p w:rsidR="00A2303E" w:rsidRDefault="00334BE0" w:rsidP="00A2303E">
      <w:pPr>
        <w:pStyle w:val="Heading2"/>
      </w:pPr>
      <w:bookmarkStart w:id="17" w:name="_Toc419366914"/>
      <w:bookmarkStart w:id="18" w:name="_Toc451762013"/>
      <w:r>
        <w:t>ActewAGL</w:t>
      </w:r>
      <w:r w:rsidR="00A2303E">
        <w:t>’s</w:t>
      </w:r>
      <w:r w:rsidR="00433C0A">
        <w:t xml:space="preserve"> revised</w:t>
      </w:r>
      <w:r w:rsidR="00A2303E">
        <w:t xml:space="preserve"> proposal</w:t>
      </w:r>
      <w:bookmarkEnd w:id="17"/>
      <w:bookmarkEnd w:id="18"/>
    </w:p>
    <w:p w:rsidR="00D40201" w:rsidRDefault="00D40201" w:rsidP="00D40201">
      <w:pPr>
        <w:pStyle w:val="HeadingBoldBlue"/>
      </w:pPr>
      <w:r>
        <w:t xml:space="preserve">2009–16 </w:t>
      </w:r>
      <w:proofErr w:type="gramStart"/>
      <w:r>
        <w:t>period</w:t>
      </w:r>
      <w:proofErr w:type="gramEnd"/>
    </w:p>
    <w:p w:rsidR="00D40201" w:rsidRDefault="00D40201" w:rsidP="00D40201">
      <w:r>
        <w:t xml:space="preserve">While the current period covers the 2009–16 period (due to the interval of delay), the AER only approved capex amounts for the 2009–15 period. </w:t>
      </w:r>
    </w:p>
    <w:p w:rsidR="00D40201" w:rsidRDefault="00544F82" w:rsidP="00D40201">
      <w:r>
        <w:t xml:space="preserve">ActewAGL proposed total net capex over the 2009–16 </w:t>
      </w:r>
      <w:proofErr w:type="gramStart"/>
      <w:r>
        <w:t>period</w:t>
      </w:r>
      <w:proofErr w:type="gramEnd"/>
      <w:r>
        <w:t xml:space="preserve"> of $</w:t>
      </w:r>
      <w:r w:rsidR="00FD7BD9" w:rsidRPr="00734A70">
        <w:rPr>
          <w:rStyle w:val="AERbody"/>
        </w:rPr>
        <w:t>13</w:t>
      </w:r>
      <w:r w:rsidR="00DB3D67">
        <w:rPr>
          <w:rStyle w:val="AERbody"/>
        </w:rPr>
        <w:t>2.9</w:t>
      </w:r>
      <w:r>
        <w:t> million ($2015–16), where capex in 2015–16 is an estimate. Without the estimate of capex for 2015–16</w:t>
      </w:r>
      <w:r w:rsidR="00435948">
        <w:t>,</w:t>
      </w:r>
      <w:r>
        <w:t xml:space="preserve"> ActewAGL proposed $</w:t>
      </w:r>
      <w:r w:rsidR="00FD7BD9" w:rsidRPr="00734A70">
        <w:rPr>
          <w:rStyle w:val="AERbody"/>
        </w:rPr>
        <w:t>102.</w:t>
      </w:r>
      <w:r w:rsidR="0024343A">
        <w:rPr>
          <w:rStyle w:val="AERbody"/>
        </w:rPr>
        <w:t>1</w:t>
      </w:r>
      <w:r>
        <w:t xml:space="preserve"> million ($2015–16) as conforming capex. This is shown in </w:t>
      </w:r>
      <w:r w:rsidR="00CD053D">
        <w:fldChar w:fldCharType="begin"/>
      </w:r>
      <w:r w:rsidR="00CD053D">
        <w:instrText xml:space="preserve"> REF _Ref441052514 \h </w:instrText>
      </w:r>
      <w:r w:rsidR="00CD053D">
        <w:fldChar w:fldCharType="separate"/>
      </w:r>
      <w:r w:rsidR="00D822F6">
        <w:t xml:space="preserve">Table </w:t>
      </w:r>
      <w:r w:rsidR="00D822F6">
        <w:rPr>
          <w:noProof/>
        </w:rPr>
        <w:t>6</w:t>
      </w:r>
      <w:r w:rsidR="00D822F6">
        <w:t>.</w:t>
      </w:r>
      <w:r w:rsidR="00D822F6">
        <w:rPr>
          <w:noProof/>
        </w:rPr>
        <w:t>4</w:t>
      </w:r>
      <w:r w:rsidR="00CD053D">
        <w:fldChar w:fldCharType="end"/>
      </w:r>
      <w:r>
        <w:t xml:space="preserve">. </w:t>
      </w:r>
    </w:p>
    <w:p w:rsidR="00544F82" w:rsidRPr="00EB0549" w:rsidRDefault="00CD053D" w:rsidP="00CD053D">
      <w:pPr>
        <w:pStyle w:val="Caption"/>
        <w:rPr>
          <w:rStyle w:val="AERtextblue"/>
        </w:rPr>
      </w:pPr>
      <w:bookmarkStart w:id="19" w:name="_Ref441052514"/>
      <w:proofErr w:type="gramStart"/>
      <w:r>
        <w:t xml:space="preserve">Table </w:t>
      </w:r>
      <w:proofErr w:type="gramEnd"/>
      <w:r w:rsidR="003F5473">
        <w:fldChar w:fldCharType="begin"/>
      </w:r>
      <w:r w:rsidR="003F5473">
        <w:instrText xml:space="preserve"> STYLEREF 1 \s </w:instrText>
      </w:r>
      <w:r w:rsidR="003F5473">
        <w:fldChar w:fldCharType="separate"/>
      </w:r>
      <w:r w:rsidR="00D822F6">
        <w:rPr>
          <w:noProof/>
        </w:rPr>
        <w:t>6</w:t>
      </w:r>
      <w:r w:rsidR="003F5473">
        <w:rPr>
          <w:noProof/>
        </w:rPr>
        <w:fldChar w:fldCharType="end"/>
      </w:r>
      <w:proofErr w:type="gramStart"/>
      <w:r w:rsidR="008B2230">
        <w:t>.</w:t>
      </w:r>
      <w:proofErr w:type="gramEnd"/>
      <w:r w:rsidR="00B37DDD">
        <w:fldChar w:fldCharType="begin"/>
      </w:r>
      <w:r w:rsidR="00B37DDD">
        <w:instrText xml:space="preserve"> SEQ Table \* ARABIC \s 1 </w:instrText>
      </w:r>
      <w:r w:rsidR="00B37DDD">
        <w:fldChar w:fldCharType="separate"/>
      </w:r>
      <w:r w:rsidR="00D822F6">
        <w:rPr>
          <w:noProof/>
        </w:rPr>
        <w:t>4</w:t>
      </w:r>
      <w:r w:rsidR="00B37DDD">
        <w:rPr>
          <w:noProof/>
        </w:rPr>
        <w:fldChar w:fldCharType="end"/>
      </w:r>
      <w:bookmarkEnd w:id="19"/>
      <w:r w:rsidR="00544F82" w:rsidRPr="00EB0549">
        <w:rPr>
          <w:rStyle w:val="AERtextblue"/>
        </w:rPr>
        <w:tab/>
        <w:t>ActewAGL proposed capex by category over the 2009–16 period ($million, 2015–16)</w:t>
      </w:r>
    </w:p>
    <w:tbl>
      <w:tblPr>
        <w:tblStyle w:val="AERtable-numbers"/>
        <w:tblW w:w="0" w:type="auto"/>
        <w:tblLayout w:type="fixed"/>
        <w:tblLook w:val="04A0" w:firstRow="1" w:lastRow="0" w:firstColumn="1" w:lastColumn="0" w:noHBand="0" w:noVBand="1"/>
      </w:tblPr>
      <w:tblGrid>
        <w:gridCol w:w="2217"/>
        <w:gridCol w:w="924"/>
        <w:gridCol w:w="925"/>
        <w:gridCol w:w="925"/>
        <w:gridCol w:w="925"/>
        <w:gridCol w:w="925"/>
        <w:gridCol w:w="926"/>
        <w:gridCol w:w="926"/>
      </w:tblGrid>
      <w:tr w:rsidR="00CD053D" w:rsidTr="00CD05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17" w:type="dxa"/>
          </w:tcPr>
          <w:p w:rsidR="00CD053D" w:rsidRDefault="00CD053D" w:rsidP="00544F82">
            <w:pPr>
              <w:numPr>
                <w:ilvl w:val="0"/>
                <w:numId w:val="24"/>
              </w:numPr>
            </w:pPr>
            <w:r>
              <w:t>Category</w:t>
            </w:r>
          </w:p>
        </w:tc>
        <w:tc>
          <w:tcPr>
            <w:tcW w:w="924" w:type="dxa"/>
          </w:tcPr>
          <w:p w:rsidR="00CD053D" w:rsidRDefault="00CD053D" w:rsidP="00CD053D">
            <w:pPr>
              <w:numPr>
                <w:ilvl w:val="0"/>
                <w:numId w:val="24"/>
              </w:numPr>
              <w:cnfStyle w:val="100000000000" w:firstRow="1" w:lastRow="0" w:firstColumn="0" w:lastColumn="0" w:oddVBand="0" w:evenVBand="0" w:oddHBand="0" w:evenHBand="0" w:firstRowFirstColumn="0" w:firstRowLastColumn="0" w:lastRowFirstColumn="0" w:lastRowLastColumn="0"/>
            </w:pPr>
            <w:r>
              <w:t>2009–10</w:t>
            </w:r>
          </w:p>
        </w:tc>
        <w:tc>
          <w:tcPr>
            <w:tcW w:w="925" w:type="dxa"/>
          </w:tcPr>
          <w:p w:rsidR="00CD053D" w:rsidRDefault="00CD053D" w:rsidP="00CD053D">
            <w:pPr>
              <w:numPr>
                <w:ilvl w:val="0"/>
                <w:numId w:val="24"/>
              </w:numPr>
              <w:cnfStyle w:val="100000000000" w:firstRow="1" w:lastRow="0" w:firstColumn="0" w:lastColumn="0" w:oddVBand="0" w:evenVBand="0" w:oddHBand="0" w:evenHBand="0" w:firstRowFirstColumn="0" w:firstRowLastColumn="0" w:lastRowFirstColumn="0" w:lastRowLastColumn="0"/>
            </w:pPr>
            <w:r>
              <w:t>2010–11</w:t>
            </w:r>
          </w:p>
        </w:tc>
        <w:tc>
          <w:tcPr>
            <w:tcW w:w="925" w:type="dxa"/>
          </w:tcPr>
          <w:p w:rsidR="00CD053D" w:rsidRPr="00544F82" w:rsidRDefault="00CD053D" w:rsidP="00CD053D">
            <w:pPr>
              <w:cnfStyle w:val="100000000000" w:firstRow="1" w:lastRow="0" w:firstColumn="0" w:lastColumn="0" w:oddVBand="0" w:evenVBand="0" w:oddHBand="0" w:evenHBand="0" w:firstRowFirstColumn="0" w:firstRowLastColumn="0" w:lastRowFirstColumn="0" w:lastRowLastColumn="0"/>
            </w:pPr>
            <w:r>
              <w:t>2011–</w:t>
            </w:r>
            <w:r w:rsidRPr="00544F82">
              <w:t>1</w:t>
            </w:r>
            <w:r>
              <w:t>2</w:t>
            </w:r>
          </w:p>
        </w:tc>
        <w:tc>
          <w:tcPr>
            <w:tcW w:w="925" w:type="dxa"/>
          </w:tcPr>
          <w:p w:rsidR="00CD053D" w:rsidRPr="00544F82" w:rsidRDefault="00CD053D" w:rsidP="00CD053D">
            <w:pPr>
              <w:cnfStyle w:val="100000000000" w:firstRow="1" w:lastRow="0" w:firstColumn="0" w:lastColumn="0" w:oddVBand="0" w:evenVBand="0" w:oddHBand="0" w:evenHBand="0" w:firstRowFirstColumn="0" w:firstRowLastColumn="0" w:lastRowFirstColumn="0" w:lastRowLastColumn="0"/>
            </w:pPr>
            <w:r>
              <w:t>2012–</w:t>
            </w:r>
            <w:r w:rsidRPr="00544F82">
              <w:t>1</w:t>
            </w:r>
            <w:r>
              <w:t>3</w:t>
            </w:r>
          </w:p>
        </w:tc>
        <w:tc>
          <w:tcPr>
            <w:tcW w:w="925" w:type="dxa"/>
          </w:tcPr>
          <w:p w:rsidR="00CD053D" w:rsidRPr="00544F82" w:rsidRDefault="00CD053D" w:rsidP="00CD053D">
            <w:pPr>
              <w:cnfStyle w:val="100000000000" w:firstRow="1" w:lastRow="0" w:firstColumn="0" w:lastColumn="0" w:oddVBand="0" w:evenVBand="0" w:oddHBand="0" w:evenHBand="0" w:firstRowFirstColumn="0" w:firstRowLastColumn="0" w:lastRowFirstColumn="0" w:lastRowLastColumn="0"/>
            </w:pPr>
            <w:r>
              <w:t>2013</w:t>
            </w:r>
            <w:r w:rsidRPr="00544F82">
              <w:t>–</w:t>
            </w:r>
            <w:r>
              <w:t>14</w:t>
            </w:r>
          </w:p>
        </w:tc>
        <w:tc>
          <w:tcPr>
            <w:tcW w:w="926" w:type="dxa"/>
          </w:tcPr>
          <w:p w:rsidR="00CD053D" w:rsidRDefault="00CD053D" w:rsidP="00544F82">
            <w:pPr>
              <w:numPr>
                <w:ilvl w:val="0"/>
                <w:numId w:val="24"/>
              </w:numPr>
              <w:cnfStyle w:val="100000000000" w:firstRow="1" w:lastRow="0" w:firstColumn="0" w:lastColumn="0" w:oddVBand="0" w:evenVBand="0" w:oddHBand="0" w:evenHBand="0" w:firstRowFirstColumn="0" w:firstRowLastColumn="0" w:lastRowFirstColumn="0" w:lastRowLastColumn="0"/>
            </w:pPr>
            <w:r>
              <w:t>2014–15</w:t>
            </w:r>
          </w:p>
        </w:tc>
        <w:tc>
          <w:tcPr>
            <w:tcW w:w="926" w:type="dxa"/>
          </w:tcPr>
          <w:p w:rsidR="00CD053D" w:rsidRDefault="00CD053D" w:rsidP="00CD053D">
            <w:pPr>
              <w:numPr>
                <w:ilvl w:val="0"/>
                <w:numId w:val="24"/>
              </w:numPr>
              <w:cnfStyle w:val="100000000000" w:firstRow="1" w:lastRow="0" w:firstColumn="0" w:lastColumn="0" w:oddVBand="0" w:evenVBand="0" w:oddHBand="0" w:evenHBand="0" w:firstRowFirstColumn="0" w:firstRowLastColumn="0" w:lastRowFirstColumn="0" w:lastRowLastColumn="0"/>
            </w:pPr>
            <w:r>
              <w:t>2015–16</w:t>
            </w:r>
          </w:p>
        </w:tc>
      </w:tr>
      <w:tr w:rsidR="00DB3D67" w:rsidTr="005C0C52">
        <w:tc>
          <w:tcPr>
            <w:cnfStyle w:val="001000000000" w:firstRow="0" w:lastRow="0" w:firstColumn="1" w:lastColumn="0" w:oddVBand="0" w:evenVBand="0" w:oddHBand="0" w:evenHBand="0" w:firstRowFirstColumn="0" w:firstRowLastColumn="0" w:lastRowFirstColumn="0" w:lastRowLastColumn="0"/>
            <w:tcW w:w="2217" w:type="dxa"/>
          </w:tcPr>
          <w:p w:rsidR="00DB3D67" w:rsidRPr="00DB3D67" w:rsidRDefault="00DB3D67" w:rsidP="00DB3D67">
            <w:pPr>
              <w:numPr>
                <w:ilvl w:val="0"/>
                <w:numId w:val="24"/>
              </w:numPr>
            </w:pPr>
            <w:r w:rsidRPr="00DB3D67">
              <w:t>Market expansion (connections)</w:t>
            </w:r>
          </w:p>
        </w:tc>
        <w:tc>
          <w:tcPr>
            <w:tcW w:w="924"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7.4</w:t>
            </w:r>
          </w:p>
        </w:tc>
        <w:tc>
          <w:tcPr>
            <w:tcW w:w="925"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8.6</w:t>
            </w:r>
          </w:p>
        </w:tc>
        <w:tc>
          <w:tcPr>
            <w:tcW w:w="925"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8.8</w:t>
            </w:r>
          </w:p>
        </w:tc>
        <w:tc>
          <w:tcPr>
            <w:tcW w:w="925"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9.5</w:t>
            </w:r>
          </w:p>
        </w:tc>
        <w:tc>
          <w:tcPr>
            <w:tcW w:w="925"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8.0</w:t>
            </w:r>
          </w:p>
        </w:tc>
        <w:tc>
          <w:tcPr>
            <w:tcW w:w="926"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8.5</w:t>
            </w:r>
          </w:p>
        </w:tc>
        <w:tc>
          <w:tcPr>
            <w:tcW w:w="926"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7.6</w:t>
            </w:r>
          </w:p>
        </w:tc>
      </w:tr>
      <w:tr w:rsidR="00DB3D67" w:rsidTr="005C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DB3D67" w:rsidRPr="00DB3D67" w:rsidRDefault="00DB3D67" w:rsidP="00DB3D67">
            <w:pPr>
              <w:numPr>
                <w:ilvl w:val="0"/>
                <w:numId w:val="24"/>
              </w:numPr>
            </w:pPr>
            <w:r w:rsidRPr="00DB3D67">
              <w:t>Capacity development (augmentation)</w:t>
            </w:r>
          </w:p>
        </w:tc>
        <w:tc>
          <w:tcPr>
            <w:tcW w:w="924"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3.0</w:t>
            </w:r>
          </w:p>
        </w:tc>
        <w:tc>
          <w:tcPr>
            <w:tcW w:w="925"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4.0</w:t>
            </w:r>
          </w:p>
        </w:tc>
        <w:tc>
          <w:tcPr>
            <w:tcW w:w="925"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2.8</w:t>
            </w:r>
          </w:p>
        </w:tc>
        <w:tc>
          <w:tcPr>
            <w:tcW w:w="925"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2.1</w:t>
            </w:r>
          </w:p>
        </w:tc>
        <w:tc>
          <w:tcPr>
            <w:tcW w:w="925"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8.0</w:t>
            </w:r>
          </w:p>
        </w:tc>
        <w:tc>
          <w:tcPr>
            <w:tcW w:w="926"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10.7</w:t>
            </w:r>
          </w:p>
        </w:tc>
        <w:tc>
          <w:tcPr>
            <w:tcW w:w="926"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11.5</w:t>
            </w:r>
          </w:p>
        </w:tc>
      </w:tr>
      <w:tr w:rsidR="00DB3D67" w:rsidTr="005C0C52">
        <w:tc>
          <w:tcPr>
            <w:cnfStyle w:val="001000000000" w:firstRow="0" w:lastRow="0" w:firstColumn="1" w:lastColumn="0" w:oddVBand="0" w:evenVBand="0" w:oddHBand="0" w:evenHBand="0" w:firstRowFirstColumn="0" w:firstRowLastColumn="0" w:lastRowFirstColumn="0" w:lastRowLastColumn="0"/>
            <w:tcW w:w="2217" w:type="dxa"/>
          </w:tcPr>
          <w:p w:rsidR="00DB3D67" w:rsidRPr="00DB3D67" w:rsidRDefault="00DB3D67" w:rsidP="00DB3D67">
            <w:pPr>
              <w:numPr>
                <w:ilvl w:val="0"/>
                <w:numId w:val="24"/>
              </w:numPr>
            </w:pPr>
            <w:r w:rsidRPr="00DB3D67">
              <w:t>Stay in business</w:t>
            </w:r>
          </w:p>
        </w:tc>
        <w:tc>
          <w:tcPr>
            <w:tcW w:w="924"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p>
        </w:tc>
        <w:tc>
          <w:tcPr>
            <w:tcW w:w="925"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p>
        </w:tc>
        <w:tc>
          <w:tcPr>
            <w:tcW w:w="925"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p>
        </w:tc>
        <w:tc>
          <w:tcPr>
            <w:tcW w:w="925"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p>
        </w:tc>
        <w:tc>
          <w:tcPr>
            <w:tcW w:w="925"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p>
        </w:tc>
        <w:tc>
          <w:tcPr>
            <w:tcW w:w="926"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p>
        </w:tc>
        <w:tc>
          <w:tcPr>
            <w:tcW w:w="926"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p>
        </w:tc>
      </w:tr>
      <w:tr w:rsidR="00DB3D67" w:rsidTr="005C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DB3D67" w:rsidRPr="00DB3D67" w:rsidRDefault="00DB3D67" w:rsidP="00DB3D67">
            <w:pPr>
              <w:numPr>
                <w:ilvl w:val="0"/>
                <w:numId w:val="24"/>
              </w:numPr>
            </w:pPr>
            <w:r w:rsidRPr="00DB3D67">
              <w:t xml:space="preserve"> - network renewal &amp; upgrade</w:t>
            </w:r>
          </w:p>
        </w:tc>
        <w:tc>
          <w:tcPr>
            <w:tcW w:w="924"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925"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0.1</w:t>
            </w:r>
          </w:p>
        </w:tc>
        <w:tc>
          <w:tcPr>
            <w:tcW w:w="925"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2.6</w:t>
            </w:r>
          </w:p>
        </w:tc>
        <w:tc>
          <w:tcPr>
            <w:tcW w:w="925"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7.4</w:t>
            </w:r>
          </w:p>
        </w:tc>
        <w:tc>
          <w:tcPr>
            <w:tcW w:w="925"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1.0</w:t>
            </w:r>
          </w:p>
        </w:tc>
        <w:tc>
          <w:tcPr>
            <w:tcW w:w="926"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2.7</w:t>
            </w:r>
          </w:p>
        </w:tc>
        <w:tc>
          <w:tcPr>
            <w:tcW w:w="926"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7.9</w:t>
            </w:r>
          </w:p>
        </w:tc>
      </w:tr>
      <w:tr w:rsidR="00DB3D67" w:rsidTr="00CD053D">
        <w:tc>
          <w:tcPr>
            <w:cnfStyle w:val="001000000000" w:firstRow="0" w:lastRow="0" w:firstColumn="1" w:lastColumn="0" w:oddVBand="0" w:evenVBand="0" w:oddHBand="0" w:evenHBand="0" w:firstRowFirstColumn="0" w:firstRowLastColumn="0" w:lastRowFirstColumn="0" w:lastRowLastColumn="0"/>
            <w:tcW w:w="2217" w:type="dxa"/>
          </w:tcPr>
          <w:p w:rsidR="00DB3D67" w:rsidRPr="00DB3D67" w:rsidRDefault="00DB3D67" w:rsidP="00DB3D67">
            <w:pPr>
              <w:numPr>
                <w:ilvl w:val="0"/>
                <w:numId w:val="24"/>
              </w:numPr>
            </w:pPr>
            <w:r w:rsidRPr="00DB3D67">
              <w:t xml:space="preserve"> - meter renewal</w:t>
            </w:r>
          </w:p>
        </w:tc>
        <w:tc>
          <w:tcPr>
            <w:tcW w:w="924"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0.5</w:t>
            </w:r>
          </w:p>
        </w:tc>
        <w:tc>
          <w:tcPr>
            <w:tcW w:w="925"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1.2</w:t>
            </w:r>
          </w:p>
        </w:tc>
        <w:tc>
          <w:tcPr>
            <w:tcW w:w="925"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1.2</w:t>
            </w:r>
          </w:p>
        </w:tc>
        <w:tc>
          <w:tcPr>
            <w:tcW w:w="925"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1.7</w:t>
            </w:r>
          </w:p>
        </w:tc>
        <w:tc>
          <w:tcPr>
            <w:tcW w:w="925"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2.0</w:t>
            </w:r>
          </w:p>
        </w:tc>
        <w:tc>
          <w:tcPr>
            <w:tcW w:w="926"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2.1</w:t>
            </w:r>
          </w:p>
        </w:tc>
        <w:tc>
          <w:tcPr>
            <w:tcW w:w="926"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2.8</w:t>
            </w:r>
          </w:p>
        </w:tc>
      </w:tr>
      <w:tr w:rsidR="00DB3D67" w:rsidTr="00CD0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DB3D67" w:rsidRPr="00DB3D67" w:rsidRDefault="00DB3D67" w:rsidP="00DB3D67">
            <w:pPr>
              <w:numPr>
                <w:ilvl w:val="0"/>
                <w:numId w:val="24"/>
              </w:numPr>
            </w:pPr>
            <w:r w:rsidRPr="00DB3D67">
              <w:t>Capitalised regulatory expenditure</w:t>
            </w:r>
          </w:p>
        </w:tc>
        <w:tc>
          <w:tcPr>
            <w:tcW w:w="924"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0.8</w:t>
            </w:r>
          </w:p>
        </w:tc>
        <w:tc>
          <w:tcPr>
            <w:tcW w:w="925"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925"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925"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925"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926"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926"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r>
      <w:tr w:rsidR="00DB3D67" w:rsidTr="005C0C52">
        <w:tc>
          <w:tcPr>
            <w:cnfStyle w:val="001000000000" w:firstRow="0" w:lastRow="0" w:firstColumn="1" w:lastColumn="0" w:oddVBand="0" w:evenVBand="0" w:oddHBand="0" w:evenHBand="0" w:firstRowFirstColumn="0" w:firstRowLastColumn="0" w:lastRowFirstColumn="0" w:lastRowLastColumn="0"/>
            <w:tcW w:w="2217" w:type="dxa"/>
          </w:tcPr>
          <w:p w:rsidR="00DB3D67" w:rsidRPr="00DB3D67" w:rsidRDefault="00DB3D67" w:rsidP="00DB3D67">
            <w:pPr>
              <w:numPr>
                <w:ilvl w:val="0"/>
                <w:numId w:val="24"/>
              </w:numPr>
            </w:pPr>
            <w:r w:rsidRPr="00DB3D67">
              <w:t>Non–system</w:t>
            </w:r>
          </w:p>
        </w:tc>
        <w:tc>
          <w:tcPr>
            <w:tcW w:w="924"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0.3</w:t>
            </w:r>
          </w:p>
        </w:tc>
        <w:tc>
          <w:tcPr>
            <w:tcW w:w="925"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0.4</w:t>
            </w:r>
          </w:p>
        </w:tc>
        <w:tc>
          <w:tcPr>
            <w:tcW w:w="925"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0.3</w:t>
            </w:r>
          </w:p>
        </w:tc>
        <w:tc>
          <w:tcPr>
            <w:tcW w:w="925"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0.2</w:t>
            </w:r>
          </w:p>
        </w:tc>
        <w:tc>
          <w:tcPr>
            <w:tcW w:w="925"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-0.3</w:t>
            </w:r>
          </w:p>
        </w:tc>
        <w:tc>
          <w:tcPr>
            <w:tcW w:w="926"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0.0</w:t>
            </w:r>
          </w:p>
        </w:tc>
        <w:tc>
          <w:tcPr>
            <w:tcW w:w="926" w:type="dxa"/>
          </w:tcPr>
          <w:p w:rsidR="00DB3D67" w:rsidRPr="00DB3D67" w:rsidRDefault="00DB3D67" w:rsidP="00DB3D67">
            <w:pPr>
              <w:cnfStyle w:val="000000000000" w:firstRow="0" w:lastRow="0" w:firstColumn="0" w:lastColumn="0" w:oddVBand="0" w:evenVBand="0" w:oddHBand="0" w:evenHBand="0" w:firstRowFirstColumn="0" w:firstRowLastColumn="0" w:lastRowFirstColumn="0" w:lastRowLastColumn="0"/>
            </w:pPr>
            <w:r w:rsidRPr="00DB3D67">
              <w:t>0.0</w:t>
            </w:r>
          </w:p>
        </w:tc>
      </w:tr>
      <w:tr w:rsidR="00DB3D67" w:rsidTr="005C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DB3D67" w:rsidRPr="00DB3D67" w:rsidRDefault="00DB3D67" w:rsidP="00DB3D67">
            <w:pPr>
              <w:numPr>
                <w:ilvl w:val="0"/>
                <w:numId w:val="24"/>
              </w:numPr>
            </w:pPr>
            <w:r w:rsidRPr="00DB3D67">
              <w:t>Overheads</w:t>
            </w:r>
          </w:p>
        </w:tc>
        <w:tc>
          <w:tcPr>
            <w:tcW w:w="924"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925"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925"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925"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925"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926"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926"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1.8</w:t>
            </w:r>
          </w:p>
        </w:tc>
      </w:tr>
      <w:tr w:rsidR="00DB3D67" w:rsidTr="005C0C52">
        <w:tc>
          <w:tcPr>
            <w:cnfStyle w:val="001000000000" w:firstRow="0" w:lastRow="0" w:firstColumn="1" w:lastColumn="0" w:oddVBand="0" w:evenVBand="0" w:oddHBand="0" w:evenHBand="0" w:firstRowFirstColumn="0" w:firstRowLastColumn="0" w:lastRowFirstColumn="0" w:lastRowLastColumn="0"/>
            <w:tcW w:w="2217" w:type="dxa"/>
          </w:tcPr>
          <w:p w:rsidR="00DB3D67" w:rsidRPr="00DB3D67" w:rsidRDefault="00DB3D67" w:rsidP="00DB3D67">
            <w:pPr>
              <w:pStyle w:val="AERtablesource"/>
              <w:rPr>
                <w:rStyle w:val="Strong"/>
              </w:rPr>
            </w:pPr>
            <w:r w:rsidRPr="00DB3D67">
              <w:rPr>
                <w:rStyle w:val="Strong"/>
              </w:rPr>
              <w:t>GROSS TOTAL CAPEX</w:t>
            </w:r>
          </w:p>
        </w:tc>
        <w:tc>
          <w:tcPr>
            <w:tcW w:w="924" w:type="dxa"/>
          </w:tcPr>
          <w:p w:rsidR="00DB3D67" w:rsidRPr="009A3D06" w:rsidRDefault="00DB3D67" w:rsidP="00DB3D67">
            <w:pPr>
              <w:cnfStyle w:val="000000000000" w:firstRow="0" w:lastRow="0" w:firstColumn="0" w:lastColumn="0" w:oddVBand="0" w:evenVBand="0" w:oddHBand="0" w:evenHBand="0" w:firstRowFirstColumn="0" w:firstRowLastColumn="0" w:lastRowFirstColumn="0" w:lastRowLastColumn="0"/>
              <w:rPr>
                <w:rStyle w:val="Strong"/>
              </w:rPr>
            </w:pPr>
            <w:r w:rsidRPr="009A3D06">
              <w:rPr>
                <w:rStyle w:val="Strong"/>
              </w:rPr>
              <w:t>12.1</w:t>
            </w:r>
          </w:p>
        </w:tc>
        <w:tc>
          <w:tcPr>
            <w:tcW w:w="925" w:type="dxa"/>
          </w:tcPr>
          <w:p w:rsidR="00DB3D67" w:rsidRPr="009A3D06" w:rsidRDefault="00DB3D67" w:rsidP="00DB3D67">
            <w:pPr>
              <w:cnfStyle w:val="000000000000" w:firstRow="0" w:lastRow="0" w:firstColumn="0" w:lastColumn="0" w:oddVBand="0" w:evenVBand="0" w:oddHBand="0" w:evenHBand="0" w:firstRowFirstColumn="0" w:firstRowLastColumn="0" w:lastRowFirstColumn="0" w:lastRowLastColumn="0"/>
              <w:rPr>
                <w:rStyle w:val="Strong"/>
              </w:rPr>
            </w:pPr>
            <w:r w:rsidRPr="009A3D06">
              <w:rPr>
                <w:rStyle w:val="Strong"/>
              </w:rPr>
              <w:t>14.4</w:t>
            </w:r>
          </w:p>
        </w:tc>
        <w:tc>
          <w:tcPr>
            <w:tcW w:w="925" w:type="dxa"/>
          </w:tcPr>
          <w:p w:rsidR="00DB3D67" w:rsidRPr="009A3D06" w:rsidRDefault="00DB3D67" w:rsidP="00DB3D67">
            <w:pPr>
              <w:cnfStyle w:val="000000000000" w:firstRow="0" w:lastRow="0" w:firstColumn="0" w:lastColumn="0" w:oddVBand="0" w:evenVBand="0" w:oddHBand="0" w:evenHBand="0" w:firstRowFirstColumn="0" w:firstRowLastColumn="0" w:lastRowFirstColumn="0" w:lastRowLastColumn="0"/>
              <w:rPr>
                <w:rStyle w:val="Strong"/>
              </w:rPr>
            </w:pPr>
            <w:r w:rsidRPr="009A3D06">
              <w:rPr>
                <w:rStyle w:val="Strong"/>
              </w:rPr>
              <w:t>15.6</w:t>
            </w:r>
          </w:p>
        </w:tc>
        <w:tc>
          <w:tcPr>
            <w:tcW w:w="925" w:type="dxa"/>
          </w:tcPr>
          <w:p w:rsidR="00DB3D67" w:rsidRPr="009A3D06" w:rsidRDefault="00DB3D67" w:rsidP="00DB3D67">
            <w:pPr>
              <w:cnfStyle w:val="000000000000" w:firstRow="0" w:lastRow="0" w:firstColumn="0" w:lastColumn="0" w:oddVBand="0" w:evenVBand="0" w:oddHBand="0" w:evenHBand="0" w:firstRowFirstColumn="0" w:firstRowLastColumn="0" w:lastRowFirstColumn="0" w:lastRowLastColumn="0"/>
              <w:rPr>
                <w:rStyle w:val="Strong"/>
              </w:rPr>
            </w:pPr>
            <w:r w:rsidRPr="009A3D06">
              <w:rPr>
                <w:rStyle w:val="Strong"/>
              </w:rPr>
              <w:t>20.8</w:t>
            </w:r>
          </w:p>
        </w:tc>
        <w:tc>
          <w:tcPr>
            <w:tcW w:w="925" w:type="dxa"/>
          </w:tcPr>
          <w:p w:rsidR="00DB3D67" w:rsidRPr="009A3D06" w:rsidRDefault="00DB3D67" w:rsidP="00DB3D67">
            <w:pPr>
              <w:cnfStyle w:val="000000000000" w:firstRow="0" w:lastRow="0" w:firstColumn="0" w:lastColumn="0" w:oddVBand="0" w:evenVBand="0" w:oddHBand="0" w:evenHBand="0" w:firstRowFirstColumn="0" w:firstRowLastColumn="0" w:lastRowFirstColumn="0" w:lastRowLastColumn="0"/>
              <w:rPr>
                <w:rStyle w:val="Strong"/>
              </w:rPr>
            </w:pPr>
            <w:r w:rsidRPr="009A3D06">
              <w:rPr>
                <w:rStyle w:val="Strong"/>
              </w:rPr>
              <w:t>18.6</w:t>
            </w:r>
          </w:p>
        </w:tc>
        <w:tc>
          <w:tcPr>
            <w:tcW w:w="926" w:type="dxa"/>
          </w:tcPr>
          <w:p w:rsidR="00DB3D67" w:rsidRPr="009A3D06" w:rsidRDefault="00DB3D67" w:rsidP="00DB3D67">
            <w:pPr>
              <w:cnfStyle w:val="000000000000" w:firstRow="0" w:lastRow="0" w:firstColumn="0" w:lastColumn="0" w:oddVBand="0" w:evenVBand="0" w:oddHBand="0" w:evenHBand="0" w:firstRowFirstColumn="0" w:firstRowLastColumn="0" w:lastRowFirstColumn="0" w:lastRowLastColumn="0"/>
              <w:rPr>
                <w:rStyle w:val="Strong"/>
              </w:rPr>
            </w:pPr>
            <w:r w:rsidRPr="009A3D06">
              <w:rPr>
                <w:rStyle w:val="Strong"/>
              </w:rPr>
              <w:t>24.0</w:t>
            </w:r>
          </w:p>
        </w:tc>
        <w:tc>
          <w:tcPr>
            <w:tcW w:w="926" w:type="dxa"/>
          </w:tcPr>
          <w:p w:rsidR="00DB3D67" w:rsidRPr="009A3D06" w:rsidRDefault="00DB3D67" w:rsidP="00DB3D67">
            <w:pPr>
              <w:cnfStyle w:val="000000000000" w:firstRow="0" w:lastRow="0" w:firstColumn="0" w:lastColumn="0" w:oddVBand="0" w:evenVBand="0" w:oddHBand="0" w:evenHBand="0" w:firstRowFirstColumn="0" w:firstRowLastColumn="0" w:lastRowFirstColumn="0" w:lastRowLastColumn="0"/>
              <w:rPr>
                <w:rStyle w:val="Strong"/>
              </w:rPr>
            </w:pPr>
            <w:r w:rsidRPr="009A3D06">
              <w:rPr>
                <w:rStyle w:val="Strong"/>
              </w:rPr>
              <w:t>31.6</w:t>
            </w:r>
          </w:p>
        </w:tc>
      </w:tr>
      <w:tr w:rsidR="00DB3D67" w:rsidTr="005C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DB3D67" w:rsidRPr="00DB3D67" w:rsidRDefault="00DB3D67" w:rsidP="00DB3D67">
            <w:r w:rsidRPr="00DB3D67">
              <w:t>Contributions</w:t>
            </w:r>
          </w:p>
        </w:tc>
        <w:tc>
          <w:tcPr>
            <w:tcW w:w="924"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0.3</w:t>
            </w:r>
          </w:p>
        </w:tc>
        <w:tc>
          <w:tcPr>
            <w:tcW w:w="925"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1.5</w:t>
            </w:r>
          </w:p>
        </w:tc>
        <w:tc>
          <w:tcPr>
            <w:tcW w:w="925"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0.1</w:t>
            </w:r>
          </w:p>
        </w:tc>
        <w:tc>
          <w:tcPr>
            <w:tcW w:w="925"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1.6</w:t>
            </w:r>
          </w:p>
        </w:tc>
        <w:tc>
          <w:tcPr>
            <w:tcW w:w="925"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0.1</w:t>
            </w:r>
          </w:p>
        </w:tc>
        <w:tc>
          <w:tcPr>
            <w:tcW w:w="926"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0.0</w:t>
            </w:r>
          </w:p>
        </w:tc>
        <w:tc>
          <w:tcPr>
            <w:tcW w:w="926" w:type="dxa"/>
          </w:tcPr>
          <w:p w:rsidR="00DB3D67" w:rsidRPr="00DB3D67" w:rsidRDefault="00DB3D67" w:rsidP="00DB3D67">
            <w:pPr>
              <w:cnfStyle w:val="000000010000" w:firstRow="0" w:lastRow="0" w:firstColumn="0" w:lastColumn="0" w:oddVBand="0" w:evenVBand="0" w:oddHBand="0" w:evenHBand="1" w:firstRowFirstColumn="0" w:firstRowLastColumn="0" w:lastRowFirstColumn="0" w:lastRowLastColumn="0"/>
            </w:pPr>
            <w:r w:rsidRPr="00DB3D67">
              <w:t>0.7</w:t>
            </w:r>
          </w:p>
        </w:tc>
      </w:tr>
      <w:tr w:rsidR="00DB3D67" w:rsidTr="005C0C52">
        <w:tc>
          <w:tcPr>
            <w:cnfStyle w:val="001000000000" w:firstRow="0" w:lastRow="0" w:firstColumn="1" w:lastColumn="0" w:oddVBand="0" w:evenVBand="0" w:oddHBand="0" w:evenHBand="0" w:firstRowFirstColumn="0" w:firstRowLastColumn="0" w:lastRowFirstColumn="0" w:lastRowLastColumn="0"/>
            <w:tcW w:w="2217" w:type="dxa"/>
          </w:tcPr>
          <w:p w:rsidR="00DB3D67" w:rsidRPr="00DB3D67" w:rsidRDefault="00DB3D67" w:rsidP="00DB3D67">
            <w:pPr>
              <w:pStyle w:val="AERtablesource"/>
              <w:rPr>
                <w:rStyle w:val="Strong"/>
              </w:rPr>
            </w:pPr>
            <w:r w:rsidRPr="00DB3D67">
              <w:rPr>
                <w:rStyle w:val="Strong"/>
              </w:rPr>
              <w:t>NET TOTAL CAPEX</w:t>
            </w:r>
          </w:p>
        </w:tc>
        <w:tc>
          <w:tcPr>
            <w:tcW w:w="924" w:type="dxa"/>
          </w:tcPr>
          <w:p w:rsidR="00DB3D67" w:rsidRPr="009A3D06" w:rsidRDefault="00DB3D67" w:rsidP="00DB3D67">
            <w:pPr>
              <w:cnfStyle w:val="000000000000" w:firstRow="0" w:lastRow="0" w:firstColumn="0" w:lastColumn="0" w:oddVBand="0" w:evenVBand="0" w:oddHBand="0" w:evenHBand="0" w:firstRowFirstColumn="0" w:firstRowLastColumn="0" w:lastRowFirstColumn="0" w:lastRowLastColumn="0"/>
              <w:rPr>
                <w:rStyle w:val="Strong"/>
              </w:rPr>
            </w:pPr>
            <w:r w:rsidRPr="009A3D06">
              <w:rPr>
                <w:rStyle w:val="Strong"/>
              </w:rPr>
              <w:t>11.8</w:t>
            </w:r>
          </w:p>
        </w:tc>
        <w:tc>
          <w:tcPr>
            <w:tcW w:w="925" w:type="dxa"/>
          </w:tcPr>
          <w:p w:rsidR="00DB3D67" w:rsidRPr="009A3D06" w:rsidRDefault="00DB3D67" w:rsidP="00DB3D67">
            <w:pPr>
              <w:cnfStyle w:val="000000000000" w:firstRow="0" w:lastRow="0" w:firstColumn="0" w:lastColumn="0" w:oddVBand="0" w:evenVBand="0" w:oddHBand="0" w:evenHBand="0" w:firstRowFirstColumn="0" w:firstRowLastColumn="0" w:lastRowFirstColumn="0" w:lastRowLastColumn="0"/>
              <w:rPr>
                <w:rStyle w:val="Strong"/>
              </w:rPr>
            </w:pPr>
            <w:r w:rsidRPr="009A3D06">
              <w:rPr>
                <w:rStyle w:val="Strong"/>
              </w:rPr>
              <w:t>12.9</w:t>
            </w:r>
          </w:p>
        </w:tc>
        <w:tc>
          <w:tcPr>
            <w:tcW w:w="925" w:type="dxa"/>
          </w:tcPr>
          <w:p w:rsidR="00DB3D67" w:rsidRPr="009A3D06" w:rsidRDefault="00DB3D67" w:rsidP="00DB3D67">
            <w:pPr>
              <w:cnfStyle w:val="000000000000" w:firstRow="0" w:lastRow="0" w:firstColumn="0" w:lastColumn="0" w:oddVBand="0" w:evenVBand="0" w:oddHBand="0" w:evenHBand="0" w:firstRowFirstColumn="0" w:firstRowLastColumn="0" w:lastRowFirstColumn="0" w:lastRowLastColumn="0"/>
              <w:rPr>
                <w:rStyle w:val="Strong"/>
              </w:rPr>
            </w:pPr>
            <w:r w:rsidRPr="009A3D06">
              <w:rPr>
                <w:rStyle w:val="Strong"/>
              </w:rPr>
              <w:t>15.5</w:t>
            </w:r>
          </w:p>
        </w:tc>
        <w:tc>
          <w:tcPr>
            <w:tcW w:w="925" w:type="dxa"/>
          </w:tcPr>
          <w:p w:rsidR="00DB3D67" w:rsidRPr="009A3D06" w:rsidRDefault="00DB3D67" w:rsidP="00DB3D67">
            <w:pPr>
              <w:cnfStyle w:val="000000000000" w:firstRow="0" w:lastRow="0" w:firstColumn="0" w:lastColumn="0" w:oddVBand="0" w:evenVBand="0" w:oddHBand="0" w:evenHBand="0" w:firstRowFirstColumn="0" w:firstRowLastColumn="0" w:lastRowFirstColumn="0" w:lastRowLastColumn="0"/>
              <w:rPr>
                <w:rStyle w:val="Strong"/>
              </w:rPr>
            </w:pPr>
            <w:r w:rsidRPr="009A3D06">
              <w:rPr>
                <w:rStyle w:val="Strong"/>
              </w:rPr>
              <w:t>19.2</w:t>
            </w:r>
          </w:p>
        </w:tc>
        <w:tc>
          <w:tcPr>
            <w:tcW w:w="925" w:type="dxa"/>
          </w:tcPr>
          <w:p w:rsidR="00DB3D67" w:rsidRPr="009A3D06" w:rsidRDefault="00DB3D67" w:rsidP="00DB3D67">
            <w:pPr>
              <w:cnfStyle w:val="000000000000" w:firstRow="0" w:lastRow="0" w:firstColumn="0" w:lastColumn="0" w:oddVBand="0" w:evenVBand="0" w:oddHBand="0" w:evenHBand="0" w:firstRowFirstColumn="0" w:firstRowLastColumn="0" w:lastRowFirstColumn="0" w:lastRowLastColumn="0"/>
              <w:rPr>
                <w:rStyle w:val="Strong"/>
              </w:rPr>
            </w:pPr>
            <w:r w:rsidRPr="009A3D06">
              <w:rPr>
                <w:rStyle w:val="Strong"/>
              </w:rPr>
              <w:t>18.6</w:t>
            </w:r>
          </w:p>
        </w:tc>
        <w:tc>
          <w:tcPr>
            <w:tcW w:w="926" w:type="dxa"/>
          </w:tcPr>
          <w:p w:rsidR="00DB3D67" w:rsidRPr="009A3D06" w:rsidRDefault="00DB3D67" w:rsidP="00DB3D67">
            <w:pPr>
              <w:cnfStyle w:val="000000000000" w:firstRow="0" w:lastRow="0" w:firstColumn="0" w:lastColumn="0" w:oddVBand="0" w:evenVBand="0" w:oddHBand="0" w:evenHBand="0" w:firstRowFirstColumn="0" w:firstRowLastColumn="0" w:lastRowFirstColumn="0" w:lastRowLastColumn="0"/>
              <w:rPr>
                <w:rStyle w:val="Strong"/>
              </w:rPr>
            </w:pPr>
            <w:r w:rsidRPr="009A3D06">
              <w:rPr>
                <w:rStyle w:val="Strong"/>
              </w:rPr>
              <w:t>24.0</w:t>
            </w:r>
          </w:p>
        </w:tc>
        <w:tc>
          <w:tcPr>
            <w:tcW w:w="926" w:type="dxa"/>
          </w:tcPr>
          <w:p w:rsidR="00DB3D67" w:rsidRPr="009A3D06" w:rsidRDefault="00DB3D67" w:rsidP="00DB3D67">
            <w:pPr>
              <w:cnfStyle w:val="000000000000" w:firstRow="0" w:lastRow="0" w:firstColumn="0" w:lastColumn="0" w:oddVBand="0" w:evenVBand="0" w:oddHBand="0" w:evenHBand="0" w:firstRowFirstColumn="0" w:firstRowLastColumn="0" w:lastRowFirstColumn="0" w:lastRowLastColumn="0"/>
              <w:rPr>
                <w:rStyle w:val="Strong"/>
              </w:rPr>
            </w:pPr>
            <w:r w:rsidRPr="009A3D06">
              <w:rPr>
                <w:rStyle w:val="Strong"/>
              </w:rPr>
              <w:t>30.8</w:t>
            </w:r>
          </w:p>
        </w:tc>
      </w:tr>
    </w:tbl>
    <w:p w:rsidR="00516FBB" w:rsidRDefault="00544F82" w:rsidP="00EB0549">
      <w:pPr>
        <w:pStyle w:val="AERtablesource"/>
      </w:pPr>
      <w:r w:rsidRPr="00D03D50">
        <w:t xml:space="preserve">Source: </w:t>
      </w:r>
      <w:r>
        <w:tab/>
      </w:r>
      <w:r w:rsidRPr="001B422F">
        <w:t>A</w:t>
      </w:r>
      <w:r w:rsidR="00CD053D">
        <w:t>ER analysis</w:t>
      </w:r>
      <w:r w:rsidRPr="001B422F">
        <w:t>.</w:t>
      </w:r>
      <w:r w:rsidR="00516FBB" w:rsidRPr="00516FBB">
        <w:t xml:space="preserve"> </w:t>
      </w:r>
    </w:p>
    <w:p w:rsidR="00544F82" w:rsidRDefault="00516FBB" w:rsidP="00EB0549">
      <w:pPr>
        <w:pStyle w:val="AERtablesource"/>
      </w:pPr>
      <w:r>
        <w:t xml:space="preserve">Notes: </w:t>
      </w:r>
      <w:r>
        <w:tab/>
        <w:t>(a)</w:t>
      </w:r>
      <w:r>
        <w:tab/>
      </w:r>
      <w:r w:rsidRPr="00516FBB">
        <w:t>Some categories include related party margins. A confidential version of this table showing direct costs (excluding related party margins) is avai</w:t>
      </w:r>
      <w:r>
        <w:t xml:space="preserve">lable in confidential appendix </w:t>
      </w:r>
      <w:r>
        <w:fldChar w:fldCharType="begin"/>
      </w:r>
      <w:r>
        <w:instrText xml:space="preserve"> REF _Ref448237293 \n \h </w:instrText>
      </w:r>
      <w:r>
        <w:fldChar w:fldCharType="separate"/>
      </w:r>
      <w:r w:rsidR="00D822F6">
        <w:rPr>
          <w:b/>
          <w:bCs/>
          <w:lang w:val="en-US"/>
        </w:rPr>
        <w:t>Error! Reference source not found.</w:t>
      </w:r>
      <w:r>
        <w:fldChar w:fldCharType="end"/>
      </w:r>
      <w:r w:rsidRPr="00516FBB">
        <w:t>.</w:t>
      </w:r>
    </w:p>
    <w:p w:rsidR="00CD053D" w:rsidRDefault="00CD053D" w:rsidP="00CD053D">
      <w:pPr>
        <w:pStyle w:val="HeadingBoldBlue"/>
      </w:pPr>
      <w:r>
        <w:t>2016–21 access arrangement period</w:t>
      </w:r>
    </w:p>
    <w:p w:rsidR="00544F82" w:rsidRDefault="0092359D" w:rsidP="00D40201">
      <w:r>
        <w:t>In its revised proposal ActewAGL included total net capex of $</w:t>
      </w:r>
      <w:r w:rsidR="00FD7BD9" w:rsidRPr="00734A70">
        <w:rPr>
          <w:rStyle w:val="AERbody"/>
        </w:rPr>
        <w:t>93.</w:t>
      </w:r>
      <w:r w:rsidR="00772007">
        <w:rPr>
          <w:rStyle w:val="AERbody"/>
        </w:rPr>
        <w:t>2</w:t>
      </w:r>
      <w:r>
        <w:t xml:space="preserve"> million ($2015–16) for the 2016–21 </w:t>
      </w:r>
      <w:r w:rsidR="00497243">
        <w:t xml:space="preserve">access arrangement </w:t>
      </w:r>
      <w:proofErr w:type="gramStart"/>
      <w:r>
        <w:t>period</w:t>
      </w:r>
      <w:proofErr w:type="gramEnd"/>
      <w:r>
        <w:t xml:space="preserve">. </w:t>
      </w:r>
      <w:r>
        <w:fldChar w:fldCharType="begin"/>
      </w:r>
      <w:r>
        <w:instrText xml:space="preserve"> REF _Ref441053259 \h </w:instrText>
      </w:r>
      <w:r>
        <w:fldChar w:fldCharType="separate"/>
      </w:r>
      <w:r w:rsidR="00D822F6">
        <w:t xml:space="preserve">Table </w:t>
      </w:r>
      <w:r w:rsidR="00D822F6">
        <w:rPr>
          <w:noProof/>
        </w:rPr>
        <w:t>6</w:t>
      </w:r>
      <w:r w:rsidR="00D822F6">
        <w:t>.</w:t>
      </w:r>
      <w:r w:rsidR="00D822F6">
        <w:rPr>
          <w:noProof/>
        </w:rPr>
        <w:t>5</w:t>
      </w:r>
      <w:r>
        <w:fldChar w:fldCharType="end"/>
      </w:r>
      <w:r>
        <w:t xml:space="preserve"> sets out </w:t>
      </w:r>
      <w:proofErr w:type="spellStart"/>
      <w:r>
        <w:t>ActewAGL's</w:t>
      </w:r>
      <w:proofErr w:type="spellEnd"/>
      <w:r>
        <w:t xml:space="preserve"> proposed capex by category over each year of the forecast period.  </w:t>
      </w:r>
    </w:p>
    <w:p w:rsidR="0092359D" w:rsidRPr="00EB0549" w:rsidRDefault="0092359D" w:rsidP="0092359D">
      <w:pPr>
        <w:pStyle w:val="Caption"/>
        <w:rPr>
          <w:rStyle w:val="AERtextblue"/>
        </w:rPr>
      </w:pPr>
      <w:bookmarkStart w:id="20" w:name="_Ref441053259"/>
      <w:proofErr w:type="gramStart"/>
      <w:r>
        <w:t xml:space="preserve">Table </w:t>
      </w:r>
      <w:proofErr w:type="gramEnd"/>
      <w:r w:rsidR="003F5473">
        <w:fldChar w:fldCharType="begin"/>
      </w:r>
      <w:r w:rsidR="003F5473">
        <w:instrText xml:space="preserve"> STYLEREF 1 \s </w:instrText>
      </w:r>
      <w:r w:rsidR="003F5473">
        <w:fldChar w:fldCharType="separate"/>
      </w:r>
      <w:r w:rsidR="00D822F6">
        <w:rPr>
          <w:noProof/>
        </w:rPr>
        <w:t>6</w:t>
      </w:r>
      <w:r w:rsidR="003F5473">
        <w:rPr>
          <w:noProof/>
        </w:rPr>
        <w:fldChar w:fldCharType="end"/>
      </w:r>
      <w:proofErr w:type="gramStart"/>
      <w:r w:rsidR="008B2230">
        <w:t>.</w:t>
      </w:r>
      <w:proofErr w:type="gramEnd"/>
      <w:r w:rsidR="00B37DDD">
        <w:fldChar w:fldCharType="begin"/>
      </w:r>
      <w:r w:rsidR="00B37DDD">
        <w:instrText xml:space="preserve"> SEQ Table \* ARABIC \s 1 </w:instrText>
      </w:r>
      <w:r w:rsidR="00B37DDD">
        <w:fldChar w:fldCharType="separate"/>
      </w:r>
      <w:r w:rsidR="00D822F6">
        <w:rPr>
          <w:noProof/>
        </w:rPr>
        <w:t>5</w:t>
      </w:r>
      <w:r w:rsidR="00B37DDD">
        <w:rPr>
          <w:noProof/>
        </w:rPr>
        <w:fldChar w:fldCharType="end"/>
      </w:r>
      <w:bookmarkEnd w:id="20"/>
      <w:r w:rsidRPr="00EB0549">
        <w:rPr>
          <w:rStyle w:val="AERtextblue"/>
        </w:rPr>
        <w:tab/>
        <w:t>ActewAGL proposed capex by category over the 20</w:t>
      </w:r>
      <w:r>
        <w:rPr>
          <w:rStyle w:val="AERtextblue"/>
        </w:rPr>
        <w:t>16</w:t>
      </w:r>
      <w:r w:rsidRPr="00EB0549">
        <w:rPr>
          <w:rStyle w:val="AERtextblue"/>
        </w:rPr>
        <w:t>–</w:t>
      </w:r>
      <w:r>
        <w:rPr>
          <w:rStyle w:val="AERtextblue"/>
        </w:rPr>
        <w:t>21</w:t>
      </w:r>
      <w:r w:rsidRPr="00EB0549">
        <w:rPr>
          <w:rStyle w:val="AERtextblue"/>
        </w:rPr>
        <w:t xml:space="preserve"> access arrangement period ($million, 2015–16)</w:t>
      </w:r>
      <w:r w:rsidR="00AF4413">
        <w:rPr>
          <w:rStyle w:val="AERtextblue"/>
        </w:rPr>
        <w:t xml:space="preserve"> </w:t>
      </w:r>
    </w:p>
    <w:tbl>
      <w:tblPr>
        <w:tblStyle w:val="AERtable-numbers"/>
        <w:tblW w:w="0" w:type="auto"/>
        <w:tblLayout w:type="fixed"/>
        <w:tblLook w:val="04A0" w:firstRow="1" w:lastRow="0" w:firstColumn="1" w:lastColumn="0" w:noHBand="0" w:noVBand="1"/>
      </w:tblPr>
      <w:tblGrid>
        <w:gridCol w:w="2217"/>
        <w:gridCol w:w="924"/>
        <w:gridCol w:w="925"/>
        <w:gridCol w:w="925"/>
        <w:gridCol w:w="925"/>
        <w:gridCol w:w="925"/>
        <w:gridCol w:w="926"/>
      </w:tblGrid>
      <w:tr w:rsidR="0092359D" w:rsidTr="007255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17" w:type="dxa"/>
          </w:tcPr>
          <w:p w:rsidR="0092359D" w:rsidRDefault="0092359D" w:rsidP="0092359D">
            <w:pPr>
              <w:numPr>
                <w:ilvl w:val="0"/>
                <w:numId w:val="24"/>
              </w:numPr>
            </w:pPr>
            <w:r>
              <w:t>Category</w:t>
            </w:r>
          </w:p>
        </w:tc>
        <w:tc>
          <w:tcPr>
            <w:tcW w:w="924" w:type="dxa"/>
          </w:tcPr>
          <w:p w:rsidR="0092359D" w:rsidRDefault="0092359D" w:rsidP="0092359D">
            <w:pPr>
              <w:numPr>
                <w:ilvl w:val="0"/>
                <w:numId w:val="24"/>
              </w:numPr>
              <w:cnfStyle w:val="100000000000" w:firstRow="1" w:lastRow="0" w:firstColumn="0" w:lastColumn="0" w:oddVBand="0" w:evenVBand="0" w:oddHBand="0" w:evenHBand="0" w:firstRowFirstColumn="0" w:firstRowLastColumn="0" w:lastRowFirstColumn="0" w:lastRowLastColumn="0"/>
            </w:pPr>
            <w:r>
              <w:t>2016–17</w:t>
            </w:r>
          </w:p>
        </w:tc>
        <w:tc>
          <w:tcPr>
            <w:tcW w:w="925" w:type="dxa"/>
          </w:tcPr>
          <w:p w:rsidR="0092359D" w:rsidRDefault="0092359D" w:rsidP="0092359D">
            <w:pPr>
              <w:numPr>
                <w:ilvl w:val="0"/>
                <w:numId w:val="24"/>
              </w:numPr>
              <w:cnfStyle w:val="100000000000" w:firstRow="1" w:lastRow="0" w:firstColumn="0" w:lastColumn="0" w:oddVBand="0" w:evenVBand="0" w:oddHBand="0" w:evenHBand="0" w:firstRowFirstColumn="0" w:firstRowLastColumn="0" w:lastRowFirstColumn="0" w:lastRowLastColumn="0"/>
            </w:pPr>
            <w:r>
              <w:t>2017–18</w:t>
            </w:r>
          </w:p>
        </w:tc>
        <w:tc>
          <w:tcPr>
            <w:tcW w:w="925" w:type="dxa"/>
          </w:tcPr>
          <w:p w:rsidR="0092359D" w:rsidRPr="0092359D" w:rsidRDefault="0092359D" w:rsidP="0092359D">
            <w:pPr>
              <w:cnfStyle w:val="100000000000" w:firstRow="1" w:lastRow="0" w:firstColumn="0" w:lastColumn="0" w:oddVBand="0" w:evenVBand="0" w:oddHBand="0" w:evenHBand="0" w:firstRowFirstColumn="0" w:firstRowLastColumn="0" w:lastRowFirstColumn="0" w:lastRowLastColumn="0"/>
            </w:pPr>
            <w:r>
              <w:t>2018–</w:t>
            </w:r>
            <w:r w:rsidRPr="0092359D">
              <w:t>1</w:t>
            </w:r>
            <w:r>
              <w:t>9</w:t>
            </w:r>
          </w:p>
        </w:tc>
        <w:tc>
          <w:tcPr>
            <w:tcW w:w="925" w:type="dxa"/>
          </w:tcPr>
          <w:p w:rsidR="0092359D" w:rsidRPr="0092359D" w:rsidRDefault="0092359D" w:rsidP="0092359D">
            <w:pPr>
              <w:cnfStyle w:val="100000000000" w:firstRow="1" w:lastRow="0" w:firstColumn="0" w:lastColumn="0" w:oddVBand="0" w:evenVBand="0" w:oddHBand="0" w:evenHBand="0" w:firstRowFirstColumn="0" w:firstRowLastColumn="0" w:lastRowFirstColumn="0" w:lastRowLastColumn="0"/>
            </w:pPr>
            <w:r>
              <w:t>2019–20</w:t>
            </w:r>
          </w:p>
        </w:tc>
        <w:tc>
          <w:tcPr>
            <w:tcW w:w="925" w:type="dxa"/>
          </w:tcPr>
          <w:p w:rsidR="0092359D" w:rsidRPr="0092359D" w:rsidRDefault="0092359D" w:rsidP="0092359D">
            <w:pPr>
              <w:cnfStyle w:val="100000000000" w:firstRow="1" w:lastRow="0" w:firstColumn="0" w:lastColumn="0" w:oddVBand="0" w:evenVBand="0" w:oddHBand="0" w:evenHBand="0" w:firstRowFirstColumn="0" w:firstRowLastColumn="0" w:lastRowFirstColumn="0" w:lastRowLastColumn="0"/>
            </w:pPr>
            <w:r>
              <w:t>2020</w:t>
            </w:r>
            <w:r w:rsidRPr="0092359D">
              <w:t>–</w:t>
            </w:r>
            <w:r>
              <w:t>2</w:t>
            </w:r>
            <w:r w:rsidRPr="0092359D">
              <w:t>1</w:t>
            </w:r>
          </w:p>
        </w:tc>
        <w:tc>
          <w:tcPr>
            <w:tcW w:w="926" w:type="dxa"/>
          </w:tcPr>
          <w:p w:rsidR="0092359D" w:rsidRDefault="0092359D" w:rsidP="0092359D">
            <w:pPr>
              <w:numPr>
                <w:ilvl w:val="0"/>
                <w:numId w:val="24"/>
              </w:numPr>
              <w:cnfStyle w:val="100000000000" w:firstRow="1" w:lastRow="0" w:firstColumn="0" w:lastColumn="0" w:oddVBand="0" w:evenVBand="0" w:oddHBand="0" w:evenHBand="0" w:firstRowFirstColumn="0" w:firstRowLastColumn="0" w:lastRowFirstColumn="0" w:lastRowLastColumn="0"/>
            </w:pPr>
            <w:r>
              <w:t>Total</w:t>
            </w:r>
          </w:p>
        </w:tc>
      </w:tr>
      <w:tr w:rsidR="00C20AA0" w:rsidTr="005C0C52">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Market expansion (connections)</w:t>
            </w:r>
          </w:p>
        </w:tc>
        <w:tc>
          <w:tcPr>
            <w:tcW w:w="924"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8.2</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8.6</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8.5</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8.5</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8.4</w:t>
            </w:r>
          </w:p>
        </w:tc>
        <w:tc>
          <w:tcPr>
            <w:tcW w:w="926"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42.2</w:t>
            </w:r>
          </w:p>
        </w:tc>
      </w:tr>
      <w:tr w:rsidR="00C20AA0" w:rsidTr="005C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Capacity development (augmentation)</w:t>
            </w:r>
          </w:p>
        </w:tc>
        <w:tc>
          <w:tcPr>
            <w:tcW w:w="924"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2.7</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1.2</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1.9</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6.2</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2.3</w:t>
            </w:r>
          </w:p>
        </w:tc>
        <w:tc>
          <w:tcPr>
            <w:tcW w:w="926"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14.4</w:t>
            </w:r>
          </w:p>
        </w:tc>
      </w:tr>
      <w:tr w:rsidR="00C20AA0" w:rsidTr="005C0C52">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Stay in business</w:t>
            </w:r>
          </w:p>
        </w:tc>
        <w:tc>
          <w:tcPr>
            <w:tcW w:w="924"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p>
        </w:tc>
        <w:tc>
          <w:tcPr>
            <w:tcW w:w="926"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p>
        </w:tc>
      </w:tr>
      <w:tr w:rsidR="00C20AA0" w:rsidTr="005C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 xml:space="preserve"> - network renewal &amp; upgrade</w:t>
            </w:r>
          </w:p>
        </w:tc>
        <w:tc>
          <w:tcPr>
            <w:tcW w:w="924"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4.3</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5.3</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4.6</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1.0</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1.5</w:t>
            </w:r>
          </w:p>
        </w:tc>
        <w:tc>
          <w:tcPr>
            <w:tcW w:w="926"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16.7</w:t>
            </w:r>
          </w:p>
        </w:tc>
      </w:tr>
      <w:tr w:rsidR="00C20AA0" w:rsidTr="0072555E">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 xml:space="preserve"> - meter renewal</w:t>
            </w:r>
          </w:p>
        </w:tc>
        <w:tc>
          <w:tcPr>
            <w:tcW w:w="924"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2.7</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2.4</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2.9</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3.0</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2.8</w:t>
            </w:r>
          </w:p>
        </w:tc>
        <w:tc>
          <w:tcPr>
            <w:tcW w:w="926"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13.7</w:t>
            </w:r>
          </w:p>
        </w:tc>
      </w:tr>
      <w:tr w:rsidR="00C20AA0" w:rsidTr="005C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Non–system</w:t>
            </w:r>
          </w:p>
        </w:tc>
        <w:tc>
          <w:tcPr>
            <w:tcW w:w="924"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0.2</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0.1</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0.2</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0.0</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0.0</w:t>
            </w:r>
          </w:p>
        </w:tc>
        <w:tc>
          <w:tcPr>
            <w:tcW w:w="926"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0.5</w:t>
            </w:r>
          </w:p>
        </w:tc>
      </w:tr>
      <w:tr w:rsidR="00C20AA0" w:rsidTr="0072555E">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Escalation</w:t>
            </w:r>
          </w:p>
        </w:tc>
        <w:tc>
          <w:tcPr>
            <w:tcW w:w="924"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0.6</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0.6</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1.0</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1.2</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1.0</w:t>
            </w:r>
          </w:p>
        </w:tc>
        <w:tc>
          <w:tcPr>
            <w:tcW w:w="926"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4.4</w:t>
            </w:r>
          </w:p>
        </w:tc>
      </w:tr>
      <w:tr w:rsidR="00C20AA0" w:rsidTr="007255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numPr>
                <w:ilvl w:val="0"/>
                <w:numId w:val="24"/>
              </w:numPr>
            </w:pPr>
            <w:r w:rsidRPr="00C20AA0">
              <w:t>Overheads</w:t>
            </w:r>
          </w:p>
        </w:tc>
        <w:tc>
          <w:tcPr>
            <w:tcW w:w="924"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1.1</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1.1</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1.1</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1.2</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1.0</w:t>
            </w:r>
          </w:p>
        </w:tc>
        <w:tc>
          <w:tcPr>
            <w:tcW w:w="926"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5.5</w:t>
            </w:r>
          </w:p>
        </w:tc>
      </w:tr>
      <w:tr w:rsidR="00C20AA0" w:rsidTr="005C0C52">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pStyle w:val="AERtablesource"/>
              <w:rPr>
                <w:rStyle w:val="Strong"/>
              </w:rPr>
            </w:pPr>
            <w:r w:rsidRPr="00C20AA0">
              <w:rPr>
                <w:rStyle w:val="Strong"/>
              </w:rPr>
              <w:t>GROSS TOTAL CAPEX</w:t>
            </w:r>
          </w:p>
        </w:tc>
        <w:tc>
          <w:tcPr>
            <w:tcW w:w="924"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rPr>
                <w:rStyle w:val="Strong"/>
              </w:rPr>
            </w:pPr>
            <w:r w:rsidRPr="00C20AA0">
              <w:rPr>
                <w:rStyle w:val="Strong"/>
              </w:rPr>
              <w:t>19.8</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rPr>
                <w:rStyle w:val="Strong"/>
              </w:rPr>
            </w:pPr>
            <w:r w:rsidRPr="00C20AA0">
              <w:rPr>
                <w:rStyle w:val="Strong"/>
              </w:rPr>
              <w:t>19.3</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rPr>
                <w:rStyle w:val="Strong"/>
              </w:rPr>
            </w:pPr>
            <w:r w:rsidRPr="00C20AA0">
              <w:rPr>
                <w:rStyle w:val="Strong"/>
              </w:rPr>
              <w:t>20.3</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rPr>
                <w:rStyle w:val="Strong"/>
              </w:rPr>
            </w:pPr>
            <w:r w:rsidRPr="00C20AA0">
              <w:rPr>
                <w:rStyle w:val="Strong"/>
              </w:rPr>
              <w:t>21.0</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rPr>
                <w:rStyle w:val="Strong"/>
              </w:rPr>
            </w:pPr>
            <w:r w:rsidRPr="00C20AA0">
              <w:rPr>
                <w:rStyle w:val="Strong"/>
              </w:rPr>
              <w:t>16.9</w:t>
            </w:r>
          </w:p>
        </w:tc>
        <w:tc>
          <w:tcPr>
            <w:tcW w:w="926"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rPr>
                <w:rStyle w:val="Strong"/>
              </w:rPr>
            </w:pPr>
            <w:r w:rsidRPr="00C20AA0">
              <w:rPr>
                <w:rStyle w:val="Strong"/>
              </w:rPr>
              <w:t>97.3</w:t>
            </w:r>
          </w:p>
        </w:tc>
      </w:tr>
      <w:tr w:rsidR="00C20AA0" w:rsidTr="005C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r w:rsidRPr="00C20AA0">
              <w:t>Contributions</w:t>
            </w:r>
          </w:p>
        </w:tc>
        <w:tc>
          <w:tcPr>
            <w:tcW w:w="924"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0.7</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0.8</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0.8</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0.8</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0.8</w:t>
            </w:r>
          </w:p>
        </w:tc>
        <w:tc>
          <w:tcPr>
            <w:tcW w:w="926"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pPr>
            <w:r w:rsidRPr="00C20AA0">
              <w:t>4.1</w:t>
            </w:r>
          </w:p>
        </w:tc>
      </w:tr>
      <w:tr w:rsidR="00C20AA0" w:rsidTr="005C0C52">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r w:rsidRPr="00C20AA0">
              <w:t>Asset disposals</w:t>
            </w:r>
          </w:p>
        </w:tc>
        <w:tc>
          <w:tcPr>
            <w:tcW w:w="924"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0.0</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0.0</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0.0</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0.0</w:t>
            </w:r>
          </w:p>
        </w:tc>
        <w:tc>
          <w:tcPr>
            <w:tcW w:w="925"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0.0</w:t>
            </w:r>
          </w:p>
        </w:tc>
        <w:tc>
          <w:tcPr>
            <w:tcW w:w="926" w:type="dxa"/>
          </w:tcPr>
          <w:p w:rsidR="00C20AA0" w:rsidRPr="00C20AA0" w:rsidRDefault="00C20AA0" w:rsidP="00C20AA0">
            <w:pPr>
              <w:cnfStyle w:val="000000000000" w:firstRow="0" w:lastRow="0" w:firstColumn="0" w:lastColumn="0" w:oddVBand="0" w:evenVBand="0" w:oddHBand="0" w:evenHBand="0" w:firstRowFirstColumn="0" w:firstRowLastColumn="0" w:lastRowFirstColumn="0" w:lastRowLastColumn="0"/>
            </w:pPr>
            <w:r w:rsidRPr="00C20AA0">
              <w:t>0.0</w:t>
            </w:r>
          </w:p>
        </w:tc>
      </w:tr>
      <w:tr w:rsidR="00C20AA0" w:rsidTr="005C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C20AA0" w:rsidRPr="00C20AA0" w:rsidRDefault="00C20AA0" w:rsidP="00C20AA0">
            <w:pPr>
              <w:pStyle w:val="AERtablesource"/>
              <w:rPr>
                <w:rStyle w:val="Strong"/>
              </w:rPr>
            </w:pPr>
            <w:r w:rsidRPr="00C20AA0">
              <w:rPr>
                <w:rStyle w:val="Strong"/>
              </w:rPr>
              <w:t>NET TOTAL CAPEX</w:t>
            </w:r>
          </w:p>
        </w:tc>
        <w:tc>
          <w:tcPr>
            <w:tcW w:w="924"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rPr>
                <w:rStyle w:val="Strong"/>
              </w:rPr>
            </w:pPr>
            <w:r w:rsidRPr="00C20AA0">
              <w:rPr>
                <w:rStyle w:val="Strong"/>
              </w:rPr>
              <w:t>19.0</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rPr>
                <w:rStyle w:val="Strong"/>
              </w:rPr>
            </w:pPr>
            <w:r w:rsidRPr="00C20AA0">
              <w:rPr>
                <w:rStyle w:val="Strong"/>
              </w:rPr>
              <w:t>18.5</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rPr>
                <w:rStyle w:val="Strong"/>
              </w:rPr>
            </w:pPr>
            <w:r w:rsidRPr="00C20AA0">
              <w:rPr>
                <w:rStyle w:val="Strong"/>
              </w:rPr>
              <w:t>19.4</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rPr>
                <w:rStyle w:val="Strong"/>
              </w:rPr>
            </w:pPr>
            <w:r w:rsidRPr="00C20AA0">
              <w:rPr>
                <w:rStyle w:val="Strong"/>
              </w:rPr>
              <w:t>20.2</w:t>
            </w:r>
          </w:p>
        </w:tc>
        <w:tc>
          <w:tcPr>
            <w:tcW w:w="925"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rPr>
                <w:rStyle w:val="Strong"/>
              </w:rPr>
            </w:pPr>
            <w:r w:rsidRPr="00C20AA0">
              <w:rPr>
                <w:rStyle w:val="Strong"/>
              </w:rPr>
              <w:t>16.1</w:t>
            </w:r>
          </w:p>
        </w:tc>
        <w:tc>
          <w:tcPr>
            <w:tcW w:w="926" w:type="dxa"/>
          </w:tcPr>
          <w:p w:rsidR="00C20AA0" w:rsidRPr="00C20AA0" w:rsidRDefault="00C20AA0" w:rsidP="00C20AA0">
            <w:pPr>
              <w:cnfStyle w:val="000000010000" w:firstRow="0" w:lastRow="0" w:firstColumn="0" w:lastColumn="0" w:oddVBand="0" w:evenVBand="0" w:oddHBand="0" w:evenHBand="1" w:firstRowFirstColumn="0" w:firstRowLastColumn="0" w:lastRowFirstColumn="0" w:lastRowLastColumn="0"/>
              <w:rPr>
                <w:rStyle w:val="Strong"/>
              </w:rPr>
            </w:pPr>
            <w:r w:rsidRPr="00C20AA0">
              <w:rPr>
                <w:rStyle w:val="Strong"/>
              </w:rPr>
              <w:t>93.2</w:t>
            </w:r>
          </w:p>
        </w:tc>
      </w:tr>
    </w:tbl>
    <w:p w:rsidR="00516FBB" w:rsidRDefault="0092359D" w:rsidP="00734A70">
      <w:pPr>
        <w:pStyle w:val="AERtablesource"/>
      </w:pPr>
      <w:r w:rsidRPr="00D03D50">
        <w:t xml:space="preserve">Source: </w:t>
      </w:r>
      <w:r>
        <w:tab/>
      </w:r>
      <w:r w:rsidRPr="001B422F">
        <w:t>A</w:t>
      </w:r>
      <w:r>
        <w:t>ER analysis</w:t>
      </w:r>
      <w:r w:rsidRPr="001B422F">
        <w:t>.</w:t>
      </w:r>
      <w:r w:rsidR="00516FBB" w:rsidRPr="00516FBB">
        <w:t xml:space="preserve"> </w:t>
      </w:r>
    </w:p>
    <w:p w:rsidR="00B75995" w:rsidRDefault="00516FBB" w:rsidP="00734A70">
      <w:pPr>
        <w:pStyle w:val="AERtablesource"/>
      </w:pPr>
      <w:r>
        <w:t xml:space="preserve">Notes: </w:t>
      </w:r>
      <w:r>
        <w:tab/>
        <w:t>(a)</w:t>
      </w:r>
      <w:r>
        <w:tab/>
      </w:r>
      <w:r w:rsidRPr="00516FBB">
        <w:t xml:space="preserve">Some categories include </w:t>
      </w:r>
      <w:r>
        <w:t>a construction management fee (CMF) paid by ActewAGL</w:t>
      </w:r>
      <w:r w:rsidRPr="00516FBB">
        <w:t xml:space="preserve">. A confidential version of this table showing direct costs (excluding </w:t>
      </w:r>
      <w:r>
        <w:t>CMF</w:t>
      </w:r>
      <w:r w:rsidRPr="00516FBB">
        <w:t>) is avai</w:t>
      </w:r>
      <w:r>
        <w:t xml:space="preserve">lable in confidential appendix </w:t>
      </w:r>
      <w:r>
        <w:fldChar w:fldCharType="begin"/>
      </w:r>
      <w:r>
        <w:instrText xml:space="preserve"> REF _Ref448237293 \n \h </w:instrText>
      </w:r>
      <w:r>
        <w:fldChar w:fldCharType="separate"/>
      </w:r>
      <w:r w:rsidR="00D822F6">
        <w:rPr>
          <w:b/>
          <w:bCs/>
          <w:lang w:val="en-US"/>
        </w:rPr>
        <w:t>Error! Reference source not found.</w:t>
      </w:r>
      <w:r>
        <w:fldChar w:fldCharType="end"/>
      </w:r>
      <w:r w:rsidRPr="00516FBB">
        <w:t>.</w:t>
      </w:r>
    </w:p>
    <w:p w:rsidR="00A2303E" w:rsidRDefault="00A2303E" w:rsidP="00A2303E">
      <w:pPr>
        <w:pStyle w:val="Heading2"/>
      </w:pPr>
      <w:bookmarkStart w:id="21" w:name="_Toc408404322"/>
      <w:bookmarkStart w:id="22" w:name="_Toc419366915"/>
      <w:bookmarkStart w:id="23" w:name="_Toc451762014"/>
      <w:r w:rsidRPr="0074565D">
        <w:t>AER’s assessment approach</w:t>
      </w:r>
      <w:bookmarkEnd w:id="21"/>
      <w:bookmarkEnd w:id="22"/>
      <w:bookmarkEnd w:id="23"/>
    </w:p>
    <w:p w:rsidR="00435948" w:rsidRDefault="00A02961" w:rsidP="00A02961">
      <w:bookmarkStart w:id="24" w:name="_Toc408404324"/>
      <w:bookmarkStart w:id="25" w:name="_Toc419366917"/>
      <w:r>
        <w:t>Under the NGR we are required to</w:t>
      </w:r>
      <w:r w:rsidRPr="00F745EE">
        <w:t xml:space="preserve"> make two decisions regarding </w:t>
      </w:r>
      <w:r>
        <w:t>ActewAGL</w:t>
      </w:r>
      <w:r w:rsidRPr="00F745EE">
        <w:t xml:space="preserve">'s capex. First, we are required to assess past </w:t>
      </w:r>
      <w:r>
        <w:t xml:space="preserve">capital </w:t>
      </w:r>
      <w:r w:rsidRPr="00F745EE">
        <w:t>expenditure and determine whether it meets</w:t>
      </w:r>
      <w:r>
        <w:t xml:space="preserve"> the criteria set out in the NGR, where approved capex is</w:t>
      </w:r>
      <w:r w:rsidRPr="00F745EE">
        <w:t xml:space="preserve"> added to the starting capital base.</w:t>
      </w:r>
      <w:r w:rsidRPr="00F745EE">
        <w:rPr>
          <w:rStyle w:val="FootnoteReference"/>
        </w:rPr>
        <w:footnoteReference w:id="3"/>
      </w:r>
      <w:r w:rsidRPr="00F745EE">
        <w:t xml:space="preserve"> Where capex meets these criteria, it is referred to as </w:t>
      </w:r>
      <w:r>
        <w:t>‘</w:t>
      </w:r>
      <w:r w:rsidRPr="00F745EE">
        <w:t>conforming</w:t>
      </w:r>
      <w:r w:rsidR="0031364B">
        <w:t xml:space="preserve"> capex</w:t>
      </w:r>
      <w:r>
        <w:t>’</w:t>
      </w:r>
      <w:r w:rsidRPr="00F745EE">
        <w:t>.</w:t>
      </w:r>
      <w:r w:rsidRPr="00F745EE">
        <w:rPr>
          <w:rStyle w:val="FootnoteReference"/>
        </w:rPr>
        <w:footnoteReference w:id="4"/>
      </w:r>
      <w:r w:rsidRPr="00F745EE">
        <w:t xml:space="preserve"> Second, we are required to assess </w:t>
      </w:r>
      <w:r>
        <w:t>ActewAGL</w:t>
      </w:r>
      <w:r w:rsidRPr="00F745EE">
        <w:t xml:space="preserve">'s proposed forecast of required capex for the </w:t>
      </w:r>
      <w:r>
        <w:t xml:space="preserve">2016–21 </w:t>
      </w:r>
      <w:r w:rsidR="000F7027">
        <w:t>access arrangement</w:t>
      </w:r>
      <w:r>
        <w:t xml:space="preserve"> period to determine whether it is </w:t>
      </w:r>
      <w:r w:rsidR="0031364B">
        <w:t xml:space="preserve">also </w:t>
      </w:r>
      <w:r>
        <w:t>'conforming</w:t>
      </w:r>
      <w:r w:rsidR="0031364B">
        <w:t xml:space="preserve"> capex</w:t>
      </w:r>
      <w:r w:rsidRPr="00F745EE">
        <w:t>.</w:t>
      </w:r>
      <w:r>
        <w:t>'</w:t>
      </w:r>
      <w:r w:rsidRPr="00F745EE">
        <w:t xml:space="preserve"> </w:t>
      </w:r>
    </w:p>
    <w:p w:rsidR="00A02961" w:rsidRDefault="00A02961" w:rsidP="00A02961">
      <w:r w:rsidRPr="00F745EE">
        <w:t xml:space="preserve">The following sections set out our approach and the tools and techniques we employ in </w:t>
      </w:r>
      <w:r w:rsidR="0031364B">
        <w:t>making</w:t>
      </w:r>
      <w:r w:rsidRPr="00F745EE">
        <w:t xml:space="preserve"> these</w:t>
      </w:r>
      <w:r>
        <w:t xml:space="preserve"> </w:t>
      </w:r>
      <w:r w:rsidRPr="00F745EE">
        <w:t xml:space="preserve">two </w:t>
      </w:r>
      <w:r>
        <w:t>decisions</w:t>
      </w:r>
      <w:r w:rsidRPr="00F745EE">
        <w:t xml:space="preserve">. We also need to take into account timing issues associated with the lag between actual capex data being available </w:t>
      </w:r>
      <w:r>
        <w:t xml:space="preserve">in the last year of the 2010–16 </w:t>
      </w:r>
      <w:proofErr w:type="gramStart"/>
      <w:r>
        <w:t>period</w:t>
      </w:r>
      <w:proofErr w:type="gramEnd"/>
      <w:r>
        <w:t xml:space="preserve"> </w:t>
      </w:r>
      <w:r w:rsidRPr="00F745EE">
        <w:t>and the need to forecast an opening capital base</w:t>
      </w:r>
      <w:r>
        <w:t xml:space="preserve"> for the 2016–21 </w:t>
      </w:r>
      <w:r w:rsidR="000F7027">
        <w:t>access arrangement</w:t>
      </w:r>
      <w:r>
        <w:t xml:space="preserve"> period</w:t>
      </w:r>
      <w:r w:rsidRPr="00F745EE">
        <w:t>. This is explained in the next section.</w:t>
      </w:r>
    </w:p>
    <w:p w:rsidR="00A02961" w:rsidRPr="00A02961" w:rsidRDefault="00A02961" w:rsidP="004E3ADD">
      <w:pPr>
        <w:pStyle w:val="Heading3"/>
        <w:keepNext/>
      </w:pPr>
      <w:bookmarkStart w:id="26" w:name="_Toc435692207"/>
      <w:bookmarkStart w:id="27" w:name="_Toc451762015"/>
      <w:r>
        <w:t>NGR requirements for conforming capital expenditure</w:t>
      </w:r>
      <w:bookmarkEnd w:id="26"/>
      <w:bookmarkEnd w:id="27"/>
    </w:p>
    <w:p w:rsidR="00A02961" w:rsidRDefault="00A02961" w:rsidP="00A02961">
      <w:r>
        <w:t xml:space="preserve">The definition of capex is set out in rule 69 of the NGR. </w:t>
      </w:r>
      <w:r w:rsidRPr="00A05144">
        <w:t>Capex is defined as costs and expenditure of a capital nature incurred to provide, or in providing, pipeline services</w:t>
      </w:r>
      <w:r>
        <w:t>.</w:t>
      </w:r>
      <w:r>
        <w:rPr>
          <w:rStyle w:val="FootnoteReference"/>
        </w:rPr>
        <w:footnoteReference w:id="5"/>
      </w:r>
      <w:r>
        <w:t xml:space="preserve"> </w:t>
      </w:r>
    </w:p>
    <w:p w:rsidR="00A02961" w:rsidRPr="00A05144" w:rsidRDefault="00A02961" w:rsidP="00A02961">
      <w:r>
        <w:t xml:space="preserve">Capex </w:t>
      </w:r>
      <w:r w:rsidRPr="00A05144">
        <w:t xml:space="preserve">is based on a forecast or estimate which </w:t>
      </w:r>
      <w:r>
        <w:t>must be</w:t>
      </w:r>
      <w:r w:rsidRPr="00A05144">
        <w:t xml:space="preserve"> supported by a statement of the basis of the forecast or estimate</w:t>
      </w:r>
      <w:r>
        <w:t xml:space="preserve"> (under rule 74(1) of the NGR)</w:t>
      </w:r>
      <w:r w:rsidRPr="00A05144">
        <w:t xml:space="preserve">. </w:t>
      </w:r>
      <w:r>
        <w:t>In accordance with rule 74(2) of the NGR, a</w:t>
      </w:r>
      <w:r w:rsidRPr="00A05144">
        <w:t>ny forecast or estimate submitted must:</w:t>
      </w:r>
    </w:p>
    <w:p w:rsidR="00A02961" w:rsidRPr="00A02961" w:rsidRDefault="00A02961" w:rsidP="00A02961">
      <w:pPr>
        <w:pStyle w:val="AERbulletlistfirststyle"/>
      </w:pPr>
      <w:r w:rsidRPr="00A05144">
        <w:t>be arrived at on a reasonable basis; and</w:t>
      </w:r>
    </w:p>
    <w:p w:rsidR="00A02961" w:rsidRPr="00A02961" w:rsidRDefault="00A02961" w:rsidP="00A02961">
      <w:pPr>
        <w:pStyle w:val="AERbulletlistfirststyle"/>
      </w:pPr>
      <w:proofErr w:type="gramStart"/>
      <w:r w:rsidRPr="00A05144">
        <w:t>represent</w:t>
      </w:r>
      <w:proofErr w:type="gramEnd"/>
      <w:r w:rsidRPr="00A05144">
        <w:t xml:space="preserve"> the best forecast or estimate possible in the circumstances.</w:t>
      </w:r>
      <w:r w:rsidRPr="00A02961">
        <w:rPr>
          <w:rStyle w:val="FootnoteReference"/>
        </w:rPr>
        <w:footnoteReference w:id="6"/>
      </w:r>
    </w:p>
    <w:p w:rsidR="00A02961" w:rsidRPr="00A02961" w:rsidRDefault="00A02961" w:rsidP="00A02961">
      <w:pPr>
        <w:pStyle w:val="AERbulletlistfirststyle"/>
      </w:pPr>
      <w:r>
        <w:t xml:space="preserve">Capex will be </w:t>
      </w:r>
      <w:r w:rsidRPr="00A02961">
        <w:t xml:space="preserve">‘conforming’ if it conforms </w:t>
      </w:r>
      <w:proofErr w:type="gramStart"/>
      <w:r w:rsidRPr="00A02961">
        <w:t>with</w:t>
      </w:r>
      <w:proofErr w:type="gramEnd"/>
      <w:r w:rsidRPr="00A02961">
        <w:t xml:space="preserve"> the new capex criteria in rule 79 of the NGR. There are two criteria that must be met under this rule:</w:t>
      </w:r>
    </w:p>
    <w:p w:rsidR="00A02961" w:rsidRPr="00A02961" w:rsidRDefault="00A02961" w:rsidP="004E3ADD">
      <w:pPr>
        <w:pStyle w:val="AERbulletlistsecondstyle"/>
      </w:pPr>
      <w:r>
        <w:t>t</w:t>
      </w:r>
      <w:r w:rsidRPr="00A02961">
        <w:t xml:space="preserve">he expenditure must be such as would be incurred by a prudent service provider acting efficiently, in accordance with </w:t>
      </w:r>
      <w:r w:rsidR="005D1D20">
        <w:t xml:space="preserve">accepted </w:t>
      </w:r>
      <w:r w:rsidRPr="00A02961">
        <w:t xml:space="preserve">good industry practice, to achieve the lowest sustainable cost of providing services; and </w:t>
      </w:r>
    </w:p>
    <w:p w:rsidR="00A02961" w:rsidRPr="00A02961" w:rsidRDefault="00A02961" w:rsidP="004E3ADD">
      <w:pPr>
        <w:pStyle w:val="AERbulletlistsecondstyle"/>
      </w:pPr>
      <w:proofErr w:type="gramStart"/>
      <w:r>
        <w:t>t</w:t>
      </w:r>
      <w:r w:rsidRPr="00A02961">
        <w:t>he</w:t>
      </w:r>
      <w:proofErr w:type="gramEnd"/>
      <w:r w:rsidRPr="00A02961">
        <w:t xml:space="preserve"> expenditure must be justifiable on one of four grounds set out in rule 79(2) of the NGR.</w:t>
      </w:r>
    </w:p>
    <w:p w:rsidR="00A02961" w:rsidRPr="00F745EE" w:rsidRDefault="00A02961" w:rsidP="00A02961">
      <w:r w:rsidRPr="00F745EE">
        <w:t>The four grounds set out in r</w:t>
      </w:r>
      <w:r>
        <w:t>ule</w:t>
      </w:r>
      <w:r w:rsidRPr="00F745EE">
        <w:t xml:space="preserve"> 79(2) of the NGR can be summarised as follows. The capex must either:</w:t>
      </w:r>
    </w:p>
    <w:p w:rsidR="00A02961" w:rsidRPr="00A02961" w:rsidRDefault="00A02961" w:rsidP="00A02961">
      <w:pPr>
        <w:pStyle w:val="AERbulletlistfirststyle"/>
      </w:pPr>
      <w:r w:rsidRPr="00A05144">
        <w:t>have an overall economic value that is positive</w:t>
      </w:r>
    </w:p>
    <w:p w:rsidR="00A02961" w:rsidRPr="00A02961" w:rsidRDefault="00A02961" w:rsidP="00A02961">
      <w:pPr>
        <w:pStyle w:val="AERbulletlistfirststyle"/>
      </w:pPr>
      <w:r w:rsidRPr="00A05144">
        <w:t xml:space="preserve">demonstrate an expected present value of the incremental revenue that exceeds the </w:t>
      </w:r>
      <w:r w:rsidRPr="00A02961">
        <w:t>present value of the capex</w:t>
      </w:r>
    </w:p>
    <w:p w:rsidR="00A02961" w:rsidRPr="00A02961" w:rsidRDefault="00A02961" w:rsidP="00A02961">
      <w:pPr>
        <w:pStyle w:val="AERbulletlistfirststyle"/>
      </w:pPr>
      <w:r w:rsidRPr="00A05144">
        <w:t>be necessary to maintain and improve the safety of services, or maintain the integrity of services, or comply with a regulatory obligation or requirement, or maintain capacity to meet levels of demand existing at the time the capex is incurred, or</w:t>
      </w:r>
    </w:p>
    <w:p w:rsidR="00A02961" w:rsidRPr="00A02961" w:rsidRDefault="00A02961" w:rsidP="00A02961">
      <w:pPr>
        <w:pStyle w:val="AERbulletlistfirststyle"/>
      </w:pPr>
      <w:proofErr w:type="gramStart"/>
      <w:r w:rsidRPr="00A05144">
        <w:t>be</w:t>
      </w:r>
      <w:proofErr w:type="gramEnd"/>
      <w:r w:rsidRPr="00A05144">
        <w:t xml:space="preserve"> justifiable as a combination of the preceding two dot points.</w:t>
      </w:r>
    </w:p>
    <w:p w:rsidR="00A02961" w:rsidRPr="00F745EE" w:rsidRDefault="00A02961" w:rsidP="00A02961">
      <w:r w:rsidRPr="00F745EE">
        <w:t>Rule 79(3) of the NGR provides:</w:t>
      </w:r>
    </w:p>
    <w:p w:rsidR="00A02961" w:rsidRPr="00A02961" w:rsidRDefault="00A02961" w:rsidP="00A02961">
      <w:pPr>
        <w:pStyle w:val="AERquoteindent1"/>
        <w:rPr>
          <w:rFonts w:eastAsia="Calibri"/>
        </w:rPr>
      </w:pPr>
      <w:r w:rsidRPr="00A02961">
        <w:rPr>
          <w:rFonts w:eastAsia="Calibri"/>
        </w:rPr>
        <w:t>In deciding whether the overall economic value of capital expenditure is positive, consideration is to be given only to economic value directly accruing to the service provider, gas providers, users and end users.</w:t>
      </w:r>
    </w:p>
    <w:p w:rsidR="00A02961" w:rsidRDefault="00A02961" w:rsidP="00A02961">
      <w:r w:rsidRPr="00A02961">
        <w:t>We have limited discretion when making decisions under rule 79 of the NGR.</w:t>
      </w:r>
      <w:r w:rsidRPr="00A02961">
        <w:rPr>
          <w:rStyle w:val="FootnoteReference"/>
        </w:rPr>
        <w:footnoteReference w:id="7"/>
      </w:r>
      <w:r w:rsidRPr="00A02961">
        <w:t xml:space="preserve"> This means we must approve a particular element of the </w:t>
      </w:r>
      <w:r w:rsidR="000F7027">
        <w:t>access arrangement</w:t>
      </w:r>
      <w:r w:rsidRPr="00A02961">
        <w:t xml:space="preserve"> proposal if we are satisfied that the element complies with the applicable requirements of the NGR and NGL and is consistent with any </w:t>
      </w:r>
      <w:r w:rsidR="005D1D20">
        <w:t xml:space="preserve">applicable </w:t>
      </w:r>
      <w:r w:rsidRPr="00A02961">
        <w:t>criteria set out in the NGR or NGL.</w:t>
      </w:r>
      <w:r w:rsidRPr="00A02961">
        <w:rPr>
          <w:rStyle w:val="FootnoteReference"/>
        </w:rPr>
        <w:footnoteReference w:id="8"/>
      </w:r>
    </w:p>
    <w:p w:rsidR="00A02961" w:rsidRDefault="00A02961" w:rsidP="00A02961">
      <w:pPr>
        <w:pStyle w:val="Heading3"/>
      </w:pPr>
      <w:bookmarkStart w:id="28" w:name="_Ref433029666"/>
      <w:bookmarkStart w:id="29" w:name="_Toc435692208"/>
      <w:bookmarkStart w:id="30" w:name="_Toc451762016"/>
      <w:r>
        <w:t>Assessment of conforming capital expenditure in the previous period</w:t>
      </w:r>
      <w:bookmarkEnd w:id="28"/>
      <w:bookmarkEnd w:id="29"/>
      <w:bookmarkEnd w:id="30"/>
    </w:p>
    <w:p w:rsidR="00A02961" w:rsidRPr="00765C97" w:rsidRDefault="00A02961" w:rsidP="00A02961">
      <w:r w:rsidRPr="00765C97">
        <w:t xml:space="preserve">In assessing ActewAGL’s proposed capex in the </w:t>
      </w:r>
      <w:r w:rsidR="00497243">
        <w:t>previous</w:t>
      </w:r>
      <w:r w:rsidR="00497243" w:rsidRPr="00765C97">
        <w:t xml:space="preserve"> </w:t>
      </w:r>
      <w:r w:rsidRPr="00765C97">
        <w:t xml:space="preserve">period, we reviewed ActewAGL's supporting material. This included information on ActewAGL’s reasoning and, where relevant, business cases, audited regulatory accounts, and other relevant information. </w:t>
      </w:r>
      <w:r w:rsidR="0031364B">
        <w:t>Using t</w:t>
      </w:r>
      <w:r w:rsidR="0031364B" w:rsidRPr="00765C97">
        <w:t xml:space="preserve">his </w:t>
      </w:r>
      <w:r w:rsidRPr="00765C97">
        <w:t xml:space="preserve">information </w:t>
      </w:r>
      <w:r w:rsidR="0031364B">
        <w:t xml:space="preserve">we assessed </w:t>
      </w:r>
      <w:r w:rsidRPr="00765C97">
        <w:t xml:space="preserve">whether capex over the </w:t>
      </w:r>
      <w:r w:rsidR="00497243">
        <w:t>previous</w:t>
      </w:r>
      <w:r w:rsidR="00497243" w:rsidRPr="00765C97">
        <w:t xml:space="preserve"> </w:t>
      </w:r>
      <w:r w:rsidRPr="00765C97">
        <w:t>period was conforming capex and, in turn, whether that capex should be included in the opening capital base in accordance with r</w:t>
      </w:r>
      <w:r>
        <w:t>ule</w:t>
      </w:r>
      <w:r w:rsidRPr="00765C97">
        <w:t xml:space="preserve"> 77(2)(b) of the NGR.</w:t>
      </w:r>
    </w:p>
    <w:p w:rsidR="00A02961" w:rsidRDefault="00A02961" w:rsidP="00A02961">
      <w:r w:rsidRPr="00F745EE">
        <w:t xml:space="preserve">We do not approve certain </w:t>
      </w:r>
      <w:r>
        <w:t>estimates</w:t>
      </w:r>
      <w:r w:rsidRPr="00F745EE">
        <w:t xml:space="preserve"> and forecasts provided by </w:t>
      </w:r>
      <w:r>
        <w:t>ActewAGL</w:t>
      </w:r>
      <w:r w:rsidRPr="00F745EE">
        <w:t xml:space="preserve"> if the information does not meet the requirements set out in the NGR.</w:t>
      </w:r>
      <w:r w:rsidRPr="00F745EE">
        <w:rPr>
          <w:rStyle w:val="FootnoteReference"/>
        </w:rPr>
        <w:footnoteReference w:id="9"/>
      </w:r>
      <w:r w:rsidRPr="00F745EE">
        <w:t xml:space="preserve"> </w:t>
      </w:r>
      <w:r>
        <w:t>We must</w:t>
      </w:r>
      <w:r w:rsidRPr="00F745EE">
        <w:t xml:space="preserve"> exercise </w:t>
      </w:r>
      <w:r>
        <w:t>our</w:t>
      </w:r>
      <w:r w:rsidRPr="00F745EE">
        <w:t xml:space="preserve"> economic regulatory functions in a manner that will or is likely to contribute to the achievement of the NGO.</w:t>
      </w:r>
      <w:r w:rsidRPr="00F745EE">
        <w:rPr>
          <w:rStyle w:val="FootnoteReference"/>
        </w:rPr>
        <w:footnoteReference w:id="10"/>
      </w:r>
      <w:r w:rsidRPr="00F745EE">
        <w:t xml:space="preserve"> For instance, having regard to the NGO, </w:t>
      </w:r>
      <w:r>
        <w:t>we</w:t>
      </w:r>
      <w:r w:rsidRPr="00F745EE">
        <w:t xml:space="preserve"> take the view that a prudent service provider will seek cost efficiencies through continuous improvements, and that customers ultimately share in these benefits. This also provides the service provider with a reasonable opportunity to recover at least its efficient costs in accordance with the revenue and pricing principles. </w:t>
      </w:r>
    </w:p>
    <w:p w:rsidR="00A02961" w:rsidRPr="00A02961" w:rsidRDefault="00A02961" w:rsidP="00A02961">
      <w:r w:rsidRPr="00A02961">
        <w:t xml:space="preserve">The revision commencement date in </w:t>
      </w:r>
      <w:proofErr w:type="spellStart"/>
      <w:r w:rsidRPr="00A02961">
        <w:t>ActewAGL’s</w:t>
      </w:r>
      <w:proofErr w:type="spellEnd"/>
      <w:r w:rsidRPr="00A02961">
        <w:t xml:space="preserve"> current </w:t>
      </w:r>
      <w:r w:rsidR="00497243">
        <w:t>access arrangement</w:t>
      </w:r>
      <w:r w:rsidR="001429AE" w:rsidRPr="00A02961">
        <w:t xml:space="preserve"> </w:t>
      </w:r>
      <w:r w:rsidRPr="00A02961">
        <w:t xml:space="preserve">was 30 June 2015. As part of the 2012 rule changes, however, the AEMC </w:t>
      </w:r>
      <w:r w:rsidR="005D1D20">
        <w:t xml:space="preserve">made provision for </w:t>
      </w:r>
      <w:r w:rsidRPr="00A02961">
        <w:t xml:space="preserve">the submission date for </w:t>
      </w:r>
      <w:proofErr w:type="spellStart"/>
      <w:r w:rsidR="001429AE">
        <w:t>ActewAGL's</w:t>
      </w:r>
      <w:proofErr w:type="spellEnd"/>
      <w:r w:rsidR="001429AE" w:rsidRPr="00A02961">
        <w:t xml:space="preserve"> </w:t>
      </w:r>
      <w:r w:rsidRPr="00A02961">
        <w:t xml:space="preserve">next </w:t>
      </w:r>
      <w:r w:rsidR="000F7027">
        <w:t>access arrangement</w:t>
      </w:r>
      <w:r w:rsidRPr="00A02961">
        <w:t xml:space="preserve"> </w:t>
      </w:r>
      <w:r w:rsidR="005D1D20">
        <w:t xml:space="preserve">to be extended </w:t>
      </w:r>
      <w:r w:rsidRPr="00A02961">
        <w:t>to 30 June 2015.</w:t>
      </w:r>
      <w:r>
        <w:rPr>
          <w:rStyle w:val="FootnoteReference"/>
        </w:rPr>
        <w:footnoteReference w:id="11"/>
      </w:r>
      <w:r w:rsidRPr="00A02961">
        <w:t xml:space="preserve"> This means that </w:t>
      </w:r>
      <w:proofErr w:type="spellStart"/>
      <w:r w:rsidRPr="00A02961">
        <w:t>ActewAGL’s</w:t>
      </w:r>
      <w:proofErr w:type="spellEnd"/>
      <w:r w:rsidRPr="00A02961">
        <w:t xml:space="preserve"> current period is six years in length: the original five years from 2010–11 to 2014–15, plus 2015–16.</w:t>
      </w:r>
      <w:r>
        <w:rPr>
          <w:rStyle w:val="FootnoteReference"/>
        </w:rPr>
        <w:footnoteReference w:id="12"/>
      </w:r>
      <w:r w:rsidRPr="00A02961">
        <w:t xml:space="preserve"> We therefore consider capex for six years, including 2015–16, when determining the opening capital base for the 2016–21 </w:t>
      </w:r>
      <w:r w:rsidR="000F7027">
        <w:t>access arrangement</w:t>
      </w:r>
      <w:r w:rsidRPr="00A02961">
        <w:t xml:space="preserve"> </w:t>
      </w:r>
      <w:proofErr w:type="gramStart"/>
      <w:r w:rsidRPr="00A02961">
        <w:t>period</w:t>
      </w:r>
      <w:proofErr w:type="gramEnd"/>
      <w:r w:rsidRPr="00A02961">
        <w:t>.</w:t>
      </w:r>
    </w:p>
    <w:p w:rsidR="00A02961" w:rsidRDefault="00A02961" w:rsidP="00A02961">
      <w:r w:rsidRPr="00B76164">
        <w:t>Although the capital base roll forward relates to the 2010–16 period, we are also required to adjust for the difference between actual and forecast capex in the capital base.</w:t>
      </w:r>
      <w:r w:rsidRPr="0032574A">
        <w:rPr>
          <w:rStyle w:val="AERsuperscript"/>
        </w:rPr>
        <w:footnoteReference w:id="13"/>
      </w:r>
      <w:r w:rsidRPr="00B76164">
        <w:t xml:space="preserve"> Generally, the final year of the previous period is based on forecast capex (in this case, 2009–10). Therefore, our assessment of conforming capex includes the </w:t>
      </w:r>
      <w:r w:rsidR="00021253">
        <w:t>period</w:t>
      </w:r>
      <w:r w:rsidRPr="00B76164">
        <w:t xml:space="preserve"> 2009–16. </w:t>
      </w:r>
      <w:r>
        <w:t xml:space="preserve">We consider the following when determining the opening capital base for </w:t>
      </w:r>
      <w:r w:rsidR="0031364B">
        <w:t xml:space="preserve">the </w:t>
      </w:r>
      <w:r>
        <w:t>2016–21</w:t>
      </w:r>
      <w:r w:rsidR="0031364B">
        <w:t xml:space="preserve"> </w:t>
      </w:r>
      <w:r w:rsidR="000F7027">
        <w:t>access arrangement</w:t>
      </w:r>
      <w:r w:rsidR="0031364B">
        <w:t xml:space="preserve"> </w:t>
      </w:r>
      <w:proofErr w:type="gramStart"/>
      <w:r w:rsidR="0031364B">
        <w:t>period</w:t>
      </w:r>
      <w:proofErr w:type="gramEnd"/>
      <w:r>
        <w:t xml:space="preserve">: </w:t>
      </w:r>
    </w:p>
    <w:p w:rsidR="00A02961" w:rsidRPr="00A02961" w:rsidRDefault="00A02961" w:rsidP="00A02961">
      <w:pPr>
        <w:pStyle w:val="AERbulletlistfirststyle"/>
      </w:pPr>
      <w:r>
        <w:t xml:space="preserve">2009–10 capex—when conducting the previous </w:t>
      </w:r>
      <w:r w:rsidR="00021253">
        <w:t xml:space="preserve">period's </w:t>
      </w:r>
      <w:r>
        <w:t xml:space="preserve">review, we did not have actual capex for 2009–10. We therefore included ActewAGL’s 2009–10 capex </w:t>
      </w:r>
      <w:proofErr w:type="gramStart"/>
      <w:r>
        <w:t>estimate</w:t>
      </w:r>
      <w:proofErr w:type="gramEnd"/>
      <w:r>
        <w:t xml:space="preserve"> in the capital base benchmark during that review. The NGR requires adjustment for differences between actual and estimated capex.</w:t>
      </w:r>
      <w:r w:rsidRPr="00A02961">
        <w:rPr>
          <w:rStyle w:val="FootnoteReference"/>
        </w:rPr>
        <w:footnoteReference w:id="14"/>
      </w:r>
      <w:r w:rsidRPr="00A02961">
        <w:t xml:space="preserve"> Since actual capex for 2009–10 is now available, we assessed whether this capex is conforming capex under </w:t>
      </w:r>
      <w:r w:rsidR="00794C29">
        <w:t>rule</w:t>
      </w:r>
      <w:r w:rsidR="00534817">
        <w:t xml:space="preserve"> 79 of </w:t>
      </w:r>
      <w:r w:rsidRPr="00A02961">
        <w:t>the NGR.</w:t>
      </w:r>
      <w:r w:rsidRPr="00A02961">
        <w:rPr>
          <w:rStyle w:val="FootnoteReference"/>
        </w:rPr>
        <w:footnoteReference w:id="15"/>
      </w:r>
      <w:r w:rsidRPr="00A02961">
        <w:t xml:space="preserve"> Where ActewAGL’s 2009–10 capex </w:t>
      </w:r>
      <w:proofErr w:type="gramStart"/>
      <w:r w:rsidRPr="00A02961">
        <w:t>estimate</w:t>
      </w:r>
      <w:proofErr w:type="gramEnd"/>
      <w:r w:rsidRPr="00A02961">
        <w:t xml:space="preserve"> differs from our conclusions on conforming capex, we adjusted the capital base roll forward.</w:t>
      </w:r>
      <w:r w:rsidRPr="00A02961">
        <w:rPr>
          <w:rStyle w:val="FootnoteReference"/>
        </w:rPr>
        <w:footnoteReference w:id="16"/>
      </w:r>
    </w:p>
    <w:p w:rsidR="00A02961" w:rsidRPr="00A02961" w:rsidRDefault="00A02961" w:rsidP="00A02961">
      <w:pPr>
        <w:pStyle w:val="AERbulletlistfirststyle"/>
      </w:pPr>
      <w:r>
        <w:t xml:space="preserve">2010–11 to </w:t>
      </w:r>
      <w:r w:rsidR="00003165" w:rsidRPr="00A02961">
        <w:t>201</w:t>
      </w:r>
      <w:r w:rsidR="00003165">
        <w:t>4</w:t>
      </w:r>
      <w:r w:rsidRPr="00A02961">
        <w:t>–</w:t>
      </w:r>
      <w:r w:rsidR="00003165" w:rsidRPr="00A02961">
        <w:t>1</w:t>
      </w:r>
      <w:r w:rsidR="00003165">
        <w:t>5</w:t>
      </w:r>
      <w:r w:rsidR="00003165" w:rsidRPr="00A02961">
        <w:t xml:space="preserve"> </w:t>
      </w:r>
      <w:r w:rsidRPr="00A02961">
        <w:t>capex—since we have actual capex for these years, we assessed whether they are conforming capex under the NGR.</w:t>
      </w:r>
      <w:r w:rsidRPr="00A02961">
        <w:rPr>
          <w:rStyle w:val="FootnoteReference"/>
        </w:rPr>
        <w:footnoteReference w:id="17"/>
      </w:r>
      <w:r w:rsidRPr="00A02961">
        <w:t xml:space="preserve"> We included conforming capex in the capital base roll forward.</w:t>
      </w:r>
      <w:r w:rsidRPr="00A02961">
        <w:rPr>
          <w:rStyle w:val="FootnoteReference"/>
        </w:rPr>
        <w:footnoteReference w:id="18"/>
      </w:r>
    </w:p>
    <w:p w:rsidR="00A02961" w:rsidRPr="00A02961" w:rsidRDefault="00A02961" w:rsidP="00E30A5A">
      <w:pPr>
        <w:pStyle w:val="AERbulletlistfirststyle"/>
      </w:pPr>
      <w:r>
        <w:t xml:space="preserve">ActewAGL included </w:t>
      </w:r>
      <w:r w:rsidR="00003165">
        <w:t xml:space="preserve">a </w:t>
      </w:r>
      <w:r>
        <w:t xml:space="preserve">capex estimate for 2015–16 due to the extension for submitting its </w:t>
      </w:r>
      <w:r w:rsidR="000F7027">
        <w:t>access arrangement</w:t>
      </w:r>
      <w:r>
        <w:t xml:space="preserve"> proposal. For </w:t>
      </w:r>
      <w:r w:rsidR="00E30A5A">
        <w:t xml:space="preserve">this final decision we do not yet have actual capex for 2015–16. </w:t>
      </w:r>
      <w:r>
        <w:t>The capital base roll forward therefore include</w:t>
      </w:r>
      <w:r w:rsidRPr="00A02961">
        <w:t xml:space="preserve">s the estimate for 2015–16 as an input. We will assess whether ActewAGL’s actual capex for 2015–16 is conforming capex under the NGR in the next </w:t>
      </w:r>
      <w:r w:rsidR="000F7027">
        <w:t>access arrangement</w:t>
      </w:r>
      <w:r w:rsidRPr="00A02961">
        <w:t xml:space="preserve"> review. Because the 2015–16 regulatory year was not subject to an ex ante review, we will conduct a detailed ex post review of capex for that year. We will adjust the capital base at that time as required.</w:t>
      </w:r>
    </w:p>
    <w:p w:rsidR="00A02961" w:rsidRDefault="00A02961" w:rsidP="00A02961">
      <w:pPr>
        <w:pStyle w:val="Heading3"/>
      </w:pPr>
      <w:bookmarkStart w:id="31" w:name="_Toc435692209"/>
      <w:bookmarkStart w:id="32" w:name="_Toc451762017"/>
      <w:r>
        <w:t>Assessing forecast capex for the 2016–21 access arrangement period</w:t>
      </w:r>
      <w:bookmarkEnd w:id="31"/>
      <w:bookmarkEnd w:id="32"/>
    </w:p>
    <w:p w:rsidR="00A02961" w:rsidRPr="00B76164" w:rsidRDefault="00A02961" w:rsidP="00A02961">
      <w:r w:rsidRPr="00B76164">
        <w:t xml:space="preserve">We assessed the key drivers for capex to assess whether ActewAGL’s proposed capex in the projected capital base </w:t>
      </w:r>
      <w:r w:rsidR="00534817">
        <w:t>is conforming capex under</w:t>
      </w:r>
      <w:r w:rsidRPr="00B76164">
        <w:t xml:space="preserve"> r</w:t>
      </w:r>
      <w:r>
        <w:t>ule</w:t>
      </w:r>
      <w:r w:rsidRPr="00B76164">
        <w:t xml:space="preserve"> 79 of the NGR. In doing so, we relied on information</w:t>
      </w:r>
      <w:r>
        <w:t xml:space="preserve"> including</w:t>
      </w:r>
      <w:r w:rsidRPr="00B76164">
        <w:t>:</w:t>
      </w:r>
    </w:p>
    <w:p w:rsidR="00A02961" w:rsidRPr="00A02961" w:rsidRDefault="00A02961" w:rsidP="00A02961">
      <w:pPr>
        <w:pStyle w:val="AERbulletlistfirststyle"/>
      </w:pPr>
      <w:r>
        <w:t>t</w:t>
      </w:r>
      <w:r w:rsidRPr="00A02961">
        <w:t xml:space="preserve">he access arrangement information—this document outlines </w:t>
      </w:r>
      <w:proofErr w:type="spellStart"/>
      <w:r w:rsidRPr="00A02961">
        <w:t>ActewAGL's</w:t>
      </w:r>
      <w:proofErr w:type="spellEnd"/>
      <w:r w:rsidRPr="00A02961">
        <w:t xml:space="preserve"> program of capital expenditure and describes the main drivers of increased capital expenditure</w:t>
      </w:r>
      <w:r w:rsidRPr="00A02961">
        <w:rPr>
          <w:rStyle w:val="FootnoteReference"/>
        </w:rPr>
        <w:footnoteReference w:id="19"/>
      </w:r>
    </w:p>
    <w:p w:rsidR="00A02961" w:rsidRPr="00A02961" w:rsidRDefault="00A02961" w:rsidP="00A02961">
      <w:pPr>
        <w:pStyle w:val="AERbulletlistfirststyle"/>
      </w:pPr>
      <w:r>
        <w:t>t</w:t>
      </w:r>
      <w:r w:rsidRPr="00A02961">
        <w:t>he Asset Management Plan, 20 Year Asset Strategy, Capacity Management Strategy and Plan, Delivery Plan, and other attachments which provided specific expenditure detail</w:t>
      </w:r>
      <w:r w:rsidRPr="00A02961">
        <w:rPr>
          <w:rStyle w:val="FootnoteReference"/>
        </w:rPr>
        <w:footnoteReference w:id="20"/>
      </w:r>
    </w:p>
    <w:p w:rsidR="00A02961" w:rsidRPr="00A02961" w:rsidRDefault="00A02961" w:rsidP="00A02961">
      <w:pPr>
        <w:pStyle w:val="AERbulletlistfirststyle"/>
      </w:pPr>
      <w:r>
        <w:t>ActewAGL</w:t>
      </w:r>
      <w:r w:rsidRPr="00A02961">
        <w:t>’s RIN template</w:t>
      </w:r>
      <w:r w:rsidRPr="00A02961">
        <w:rPr>
          <w:rStyle w:val="FootnoteReference"/>
        </w:rPr>
        <w:footnoteReference w:id="21"/>
      </w:r>
    </w:p>
    <w:p w:rsidR="00A02961" w:rsidRPr="00A02961" w:rsidRDefault="00A02961" w:rsidP="00A02961">
      <w:pPr>
        <w:pStyle w:val="AERbulletlistfirststyle"/>
      </w:pPr>
      <w:r>
        <w:t xml:space="preserve">opportunity </w:t>
      </w:r>
      <w:r w:rsidRPr="00A02961">
        <w:t>briefs which detail expenditure requirements of specific projects</w:t>
      </w:r>
      <w:r w:rsidRPr="00A02961">
        <w:rPr>
          <w:rStyle w:val="FootnoteReference"/>
        </w:rPr>
        <w:footnoteReference w:id="22"/>
      </w:r>
    </w:p>
    <w:p w:rsidR="00A02961" w:rsidRPr="00A02961" w:rsidRDefault="00A02961" w:rsidP="00A02961">
      <w:pPr>
        <w:pStyle w:val="AERbulletlistfirststyle"/>
      </w:pPr>
      <w:r>
        <w:t>ActewAGL</w:t>
      </w:r>
      <w:r w:rsidRPr="00A02961">
        <w:t>’s tender and contract documentation</w:t>
      </w:r>
      <w:r w:rsidRPr="00A02961">
        <w:rPr>
          <w:rStyle w:val="FootnoteReference"/>
        </w:rPr>
        <w:footnoteReference w:id="23"/>
      </w:r>
    </w:p>
    <w:p w:rsidR="00A02961" w:rsidRPr="00A02961" w:rsidRDefault="00A02961" w:rsidP="00A02961">
      <w:pPr>
        <w:pStyle w:val="AERbulletlistfirststyle"/>
      </w:pPr>
      <w:r>
        <w:t>ActewAGL</w:t>
      </w:r>
      <w:r w:rsidRPr="00A02961">
        <w:t>’s capex model.</w:t>
      </w:r>
      <w:r w:rsidRPr="00A02961">
        <w:rPr>
          <w:rStyle w:val="FootnoteReference"/>
        </w:rPr>
        <w:footnoteReference w:id="24"/>
      </w:r>
    </w:p>
    <w:p w:rsidR="00A02961" w:rsidRPr="00F745EE" w:rsidRDefault="00A02961" w:rsidP="00A02961">
      <w:r w:rsidRPr="00F745EE">
        <w:t>We then assessed the prudency and efficiency of the proposed capex. For analysis purposes the capex was broken into categories depending on whether the expenditure is driven by:</w:t>
      </w:r>
    </w:p>
    <w:p w:rsidR="00A02961" w:rsidRPr="00A02961" w:rsidRDefault="00727CC4" w:rsidP="00A02961">
      <w:pPr>
        <w:pStyle w:val="AERbulletlistfirststyle"/>
      </w:pPr>
      <w:r>
        <w:t>g</w:t>
      </w:r>
      <w:r w:rsidR="00A02961" w:rsidRPr="00450A54">
        <w:t>rowth in demand - extensions, connections, augmentation</w:t>
      </w:r>
    </w:p>
    <w:p w:rsidR="00A02961" w:rsidRPr="00A02961" w:rsidRDefault="00727CC4" w:rsidP="00A02961">
      <w:pPr>
        <w:pStyle w:val="AERbulletlistfirststyle"/>
      </w:pPr>
      <w:r>
        <w:t>r</w:t>
      </w:r>
      <w:r w:rsidR="00A02961" w:rsidRPr="00450A54">
        <w:t>eplacement on the basis of asset life, obsolescence, safety or regulatory obligations - mains, services, meters, regulators, city gates, IT, SCADA, or</w:t>
      </w:r>
    </w:p>
    <w:p w:rsidR="00A02961" w:rsidRPr="00A02961" w:rsidRDefault="00727CC4" w:rsidP="00A02961">
      <w:pPr>
        <w:pStyle w:val="AERbulletlistfirststyle"/>
      </w:pPr>
      <w:proofErr w:type="gramStart"/>
      <w:r>
        <w:t>o</w:t>
      </w:r>
      <w:r w:rsidR="00A02961" w:rsidRPr="00450A54">
        <w:t>ther</w:t>
      </w:r>
      <w:proofErr w:type="gramEnd"/>
      <w:r w:rsidR="00A02961" w:rsidRPr="00450A54">
        <w:t xml:space="preserve"> - new regulatory or safety obligations, opex or reliability improvements. </w:t>
      </w:r>
    </w:p>
    <w:p w:rsidR="00A02961" w:rsidRPr="005D0EE7" w:rsidRDefault="00A02961" w:rsidP="00A02961">
      <w:r w:rsidRPr="005D0EE7">
        <w:t xml:space="preserve">We assessed the proposed capex, to determine whether </w:t>
      </w:r>
      <w:r w:rsidR="00534817">
        <w:t>it</w:t>
      </w:r>
      <w:r w:rsidRPr="005D0EE7">
        <w:t xml:space="preserve"> </w:t>
      </w:r>
      <w:r>
        <w:t>would be incurred by a prudent operator acting efficiently in accordance with accepted good industry practice to achieve the lowest sustainable cost of providing services.</w:t>
      </w:r>
      <w:r>
        <w:rPr>
          <w:rStyle w:val="FootnoteReference"/>
        </w:rPr>
        <w:footnoteReference w:id="25"/>
      </w:r>
      <w:r>
        <w:t xml:space="preserve"> We also assessed whether the proposed capex is justified on one of the four grounds </w:t>
      </w:r>
      <w:r w:rsidR="00534817">
        <w:t xml:space="preserve">specified in </w:t>
      </w:r>
      <w:r>
        <w:t>rule 79(2) of the NGR.</w:t>
      </w:r>
    </w:p>
    <w:p w:rsidR="00A02961" w:rsidRDefault="00A02961" w:rsidP="00A02961">
      <w:r w:rsidRPr="004E695C">
        <w:t>For each category of expenditure the scope, timing and cost of the proposed</w:t>
      </w:r>
      <w:r w:rsidRPr="00A02961">
        <w:t xml:space="preserve"> expenditure was considered in order to form a view on the prudency and efficiency of the expenditure. </w:t>
      </w:r>
      <w:r>
        <w:t>Our</w:t>
      </w:r>
      <w:r w:rsidRPr="00F745EE">
        <w:t xml:space="preserve"> assessment also considered whether cost forecasts have been arrived at on a reasonable basis and represent the best forecast possible in the circumstances.</w:t>
      </w:r>
    </w:p>
    <w:p w:rsidR="00A02961" w:rsidRPr="00F745EE" w:rsidRDefault="00A02961" w:rsidP="00A02961">
      <w:r w:rsidRPr="00F745EE">
        <w:t xml:space="preserve">The following sections set out our approach to assessing </w:t>
      </w:r>
      <w:r>
        <w:t>ActewAGL</w:t>
      </w:r>
      <w:r w:rsidRPr="00F745EE">
        <w:t xml:space="preserve">'s forecast </w:t>
      </w:r>
      <w:r>
        <w:t>of required capex for the 2016–</w:t>
      </w:r>
      <w:r w:rsidRPr="00F745EE">
        <w:t>2</w:t>
      </w:r>
      <w:r>
        <w:t>1</w:t>
      </w:r>
      <w:r w:rsidRPr="00F745EE">
        <w:t xml:space="preserve"> </w:t>
      </w:r>
      <w:r w:rsidR="00497243">
        <w:t xml:space="preserve">access arrangement </w:t>
      </w:r>
      <w:proofErr w:type="gramStart"/>
      <w:r w:rsidRPr="00F745EE">
        <w:t>period</w:t>
      </w:r>
      <w:proofErr w:type="gramEnd"/>
      <w:r w:rsidRPr="00F745EE">
        <w:t>. Our tools and techniques cover:</w:t>
      </w:r>
    </w:p>
    <w:p w:rsidR="00A02961" w:rsidRPr="00A02961" w:rsidRDefault="00A02961" w:rsidP="00A02961">
      <w:pPr>
        <w:pStyle w:val="AERbulletlistfirststyle"/>
      </w:pPr>
      <w:r w:rsidRPr="005137F8">
        <w:t>assessing whether any outsourcing to third-parties reflect genuine arm's length arrangements</w:t>
      </w:r>
    </w:p>
    <w:p w:rsidR="00A02961" w:rsidRPr="00A02961" w:rsidRDefault="00A02961" w:rsidP="00A02961">
      <w:pPr>
        <w:pStyle w:val="AERbulletlistfirststyle"/>
      </w:pPr>
      <w:r w:rsidRPr="005137F8">
        <w:t>assessing historical expenditure under the revealed cost approach</w:t>
      </w:r>
    </w:p>
    <w:p w:rsidR="00A02961" w:rsidRPr="00A02961" w:rsidRDefault="00A02961" w:rsidP="00A02961">
      <w:pPr>
        <w:pStyle w:val="AERbulletlistfirststyle"/>
      </w:pPr>
      <w:r w:rsidRPr="005137F8">
        <w:t>how we compare costs against previous decisions we have made (benchmarking)</w:t>
      </w:r>
    </w:p>
    <w:p w:rsidR="00A02961" w:rsidRPr="00A02961" w:rsidRDefault="00A02961" w:rsidP="00A02961">
      <w:pPr>
        <w:pStyle w:val="AERbulletlistfirststyle"/>
      </w:pPr>
      <w:r w:rsidRPr="005137F8">
        <w:t>consideration of technical engineering advice</w:t>
      </w:r>
    </w:p>
    <w:p w:rsidR="00A02961" w:rsidRPr="00A02961" w:rsidRDefault="00A02961" w:rsidP="00A02961">
      <w:pPr>
        <w:pStyle w:val="AERbulletlistfirststyle"/>
      </w:pPr>
      <w:proofErr w:type="gramStart"/>
      <w:r w:rsidRPr="005137F8">
        <w:t>determining</w:t>
      </w:r>
      <w:proofErr w:type="gramEnd"/>
      <w:r w:rsidRPr="005137F8">
        <w:t xml:space="preserve"> the appropriate </w:t>
      </w:r>
      <w:r w:rsidRPr="00A02961">
        <w:t xml:space="preserve">estimate for equity raising costs. </w:t>
      </w:r>
    </w:p>
    <w:p w:rsidR="00A02961" w:rsidRDefault="00A02961" w:rsidP="004E3ADD">
      <w:pPr>
        <w:pStyle w:val="Heading4"/>
        <w:keepNext/>
        <w:ind w:left="862" w:hanging="862"/>
      </w:pPr>
      <w:r>
        <w:t>Assessing competitive tender processes for outsourced activities</w:t>
      </w:r>
    </w:p>
    <w:p w:rsidR="00A02961" w:rsidRPr="00F745EE" w:rsidRDefault="00A02961" w:rsidP="00A02961">
      <w:r w:rsidRPr="00F745EE">
        <w:t xml:space="preserve">Outsourcing to specialist providers of a particular service is a common means by which businesses in the economy are able to gain access to economies of scale and scope and other efficiencies. </w:t>
      </w:r>
    </w:p>
    <w:p w:rsidR="00A02961" w:rsidRPr="00F745EE" w:rsidRDefault="00A02961" w:rsidP="00A02961">
      <w:r w:rsidRPr="00F745EE">
        <w:t xml:space="preserve">Where </w:t>
      </w:r>
      <w:r>
        <w:t>ActewAGL has</w:t>
      </w:r>
      <w:r w:rsidRPr="00F745EE">
        <w:t xml:space="preserve"> used tendered rates as the basis of proposed unit costs, </w:t>
      </w:r>
      <w:r>
        <w:t>we</w:t>
      </w:r>
      <w:r w:rsidRPr="00F745EE">
        <w:t xml:space="preserve"> relied on </w:t>
      </w:r>
      <w:r>
        <w:t>our</w:t>
      </w:r>
      <w:r w:rsidRPr="00F745EE">
        <w:t xml:space="preserve"> approach to assessing outsourcing arrangements.</w:t>
      </w:r>
      <w:r>
        <w:rPr>
          <w:rStyle w:val="FootnoteReference"/>
        </w:rPr>
        <w:footnoteReference w:id="26"/>
      </w:r>
      <w:r w:rsidRPr="00F745EE">
        <w:t xml:space="preserve"> The first stage of the conceptual framework is a 'presumption threshold' designed to be an initial filter to determine which contracts can be presumed to reflect efficient costs that would be incurred by a prudent operator.</w:t>
      </w:r>
      <w:r>
        <w:rPr>
          <w:rStyle w:val="FootnoteReference"/>
        </w:rPr>
        <w:footnoteReference w:id="27"/>
      </w:r>
      <w:r w:rsidRPr="00F745EE">
        <w:t xml:space="preserve"> </w:t>
      </w:r>
    </w:p>
    <w:p w:rsidR="00A02961" w:rsidRPr="00F745EE" w:rsidRDefault="00A02961" w:rsidP="00A02961">
      <w:r w:rsidRPr="00F745EE">
        <w:t xml:space="preserve">In undertaking this ‘presumption threshold’ assessment, </w:t>
      </w:r>
      <w:r>
        <w:t>we</w:t>
      </w:r>
      <w:r w:rsidRPr="00F745EE">
        <w:t xml:space="preserve"> consider:</w:t>
      </w:r>
    </w:p>
    <w:p w:rsidR="00A02961" w:rsidRPr="00A02961" w:rsidRDefault="00A02961" w:rsidP="00A02961">
      <w:pPr>
        <w:pStyle w:val="AERbulletlistfirststyle"/>
      </w:pPr>
      <w:r w:rsidRPr="00FC4A16">
        <w:t xml:space="preserve">Did the service provider have an incentive to agree to non-arm’s length terms at the time the contract was negotiated (or at its most </w:t>
      </w:r>
      <w:r w:rsidRPr="00A02961">
        <w:t>recent re-negotiation)?</w:t>
      </w:r>
    </w:p>
    <w:p w:rsidR="00A02961" w:rsidRPr="00A02961" w:rsidRDefault="00A02961" w:rsidP="00A02961">
      <w:pPr>
        <w:pStyle w:val="AERbulletlistfirststyle"/>
      </w:pPr>
      <w:r w:rsidRPr="00FC4A16">
        <w:t>If yes, was a competitive open tender process conducted in a competitive market?</w:t>
      </w:r>
    </w:p>
    <w:p w:rsidR="00A02961" w:rsidRPr="00F745EE" w:rsidRDefault="00A02961" w:rsidP="00A02961">
      <w:r w:rsidRPr="00F745EE">
        <w:t xml:space="preserve">In the absence of an incentive to agree to non-arm’s length terms, </w:t>
      </w:r>
      <w:r>
        <w:t>we</w:t>
      </w:r>
      <w:r w:rsidRPr="00F745EE">
        <w:t xml:space="preserve"> consider it reasonable to presume a contract price reflects efficient costs. </w:t>
      </w:r>
      <w:r>
        <w:t>We</w:t>
      </w:r>
      <w:r w:rsidRPr="00F745EE">
        <w:t xml:space="preserve"> also consider this presumption to be reasonable where an incentive to agree to non-arm’s length terms exists but the contract was the outcome of a competitive open tender process in a competitive market.</w:t>
      </w:r>
      <w:r>
        <w:rPr>
          <w:rStyle w:val="FootnoteReference"/>
        </w:rPr>
        <w:footnoteReference w:id="28"/>
      </w:r>
    </w:p>
    <w:p w:rsidR="00A02961" w:rsidRPr="00F745EE" w:rsidRDefault="00A02961" w:rsidP="00A02961">
      <w:r w:rsidRPr="00F745EE">
        <w:t xml:space="preserve">Where an arrangement 'passes' the presumption threshold, </w:t>
      </w:r>
      <w:r>
        <w:t>we</w:t>
      </w:r>
      <w:r w:rsidRPr="00F745EE">
        <w:t xml:space="preserve"> consider the starting point for setting future expenditure should be the contract price itself, with limited further examination. This further examination involves checking whether the contract wholly relates to the relevant services and whether the contract price already compensates for risks or costs provided for elsewhere in the building blocks.</w:t>
      </w:r>
    </w:p>
    <w:p w:rsidR="00A02961" w:rsidRDefault="00A02961" w:rsidP="00A02961">
      <w:pPr>
        <w:pStyle w:val="Heading4"/>
      </w:pPr>
      <w:r>
        <w:t>Revealed cost approach</w:t>
      </w:r>
    </w:p>
    <w:p w:rsidR="00A02961" w:rsidRPr="00B76164" w:rsidRDefault="00A02961" w:rsidP="00A02961">
      <w:r w:rsidRPr="00B76164">
        <w:t>The revealed cost approach considers information revealed by the past performance of a gas business. Under the ex-ante regime, gas businesses are rewarded for spending less capex than allowed by the regulator. This incentive enables us to place some reliance on the historical costs of a gas business when reviewing its forecast capex. We used historical costs and volumes as an indicator of efficient costs and volumes for certain categories of capex</w:t>
      </w:r>
      <w:r>
        <w:t xml:space="preserve"> in this decision</w:t>
      </w:r>
      <w:r w:rsidRPr="00B76164">
        <w:t>. In particular, we used historical total costs, unit costs and volumes in assessing</w:t>
      </w:r>
      <w:r>
        <w:t xml:space="preserve"> capex related to market expansion</w:t>
      </w:r>
      <w:r w:rsidRPr="00B76164">
        <w:t xml:space="preserve"> </w:t>
      </w:r>
      <w:r>
        <w:t>(</w:t>
      </w:r>
      <w:r w:rsidRPr="00B76164">
        <w:t>connections</w:t>
      </w:r>
      <w:r>
        <w:t>)</w:t>
      </w:r>
      <w:r w:rsidRPr="00B76164">
        <w:t xml:space="preserve">, </w:t>
      </w:r>
      <w:r>
        <w:t>network renewal and upgrade</w:t>
      </w:r>
      <w:r w:rsidRPr="00B76164">
        <w:t>,</w:t>
      </w:r>
      <w:r>
        <w:t xml:space="preserve"> and</w:t>
      </w:r>
      <w:r w:rsidRPr="00B76164">
        <w:t xml:space="preserve"> meter </w:t>
      </w:r>
      <w:r>
        <w:t>renewal and upgrade</w:t>
      </w:r>
      <w:r w:rsidRPr="00B76164">
        <w:t xml:space="preserve">. </w:t>
      </w:r>
    </w:p>
    <w:p w:rsidR="00A02961" w:rsidRPr="00F745EE" w:rsidRDefault="00A02961" w:rsidP="00A02961">
      <w:r w:rsidRPr="00F745EE">
        <w:t xml:space="preserve">The revealed cost approach is an accepted industry practice. Many </w:t>
      </w:r>
      <w:r w:rsidRPr="00F745EE">
        <w:rPr>
          <w:rStyle w:val="AERbody"/>
        </w:rPr>
        <w:t>gas businesses</w:t>
      </w:r>
      <w:r w:rsidRPr="00F745EE">
        <w:t xml:space="preserve">, including </w:t>
      </w:r>
      <w:r>
        <w:t>ActewAGL</w:t>
      </w:r>
      <w:r w:rsidRPr="00F745EE">
        <w:t xml:space="preserve">, have used this approach as a basis to forecast expenditure proposals. </w:t>
      </w:r>
      <w:r>
        <w:t>We have also used t</w:t>
      </w:r>
      <w:r w:rsidRPr="00F745EE">
        <w:t xml:space="preserve">his approach previously in our assessment of </w:t>
      </w:r>
      <w:r w:rsidR="000F7027">
        <w:t>access arrangement</w:t>
      </w:r>
      <w:r w:rsidRPr="00F745EE">
        <w:t xml:space="preserve"> proposals for the Victorian </w:t>
      </w:r>
      <w:r>
        <w:t xml:space="preserve">and NSW </w:t>
      </w:r>
      <w:r w:rsidRPr="00F745EE">
        <w:t>gas businesses.</w:t>
      </w:r>
    </w:p>
    <w:p w:rsidR="00A02961" w:rsidRDefault="00A02961" w:rsidP="00A02961">
      <w:pPr>
        <w:pStyle w:val="Heading4"/>
      </w:pPr>
      <w:r>
        <w:t>Benchmarking against the other businesses’ proposed unit costs and volumes</w:t>
      </w:r>
    </w:p>
    <w:p w:rsidR="00A02961" w:rsidRPr="00F745EE" w:rsidRDefault="00A02961" w:rsidP="00A02961">
      <w:r>
        <w:t>We</w:t>
      </w:r>
      <w:r w:rsidRPr="00F745EE">
        <w:t xml:space="preserve"> also conducted comparative analysis of unit costs </w:t>
      </w:r>
      <w:r>
        <w:t>ActewAGL</w:t>
      </w:r>
      <w:r w:rsidRPr="00F745EE">
        <w:t xml:space="preserve"> used to develop its capex forecast. Comparing the costs incurred by one regulated entity against the costs incurred by other regulated entities in similar circumstances, and using the comparison to assess the efficiency and prudency of those costs, is known as 'benchmarking'. </w:t>
      </w:r>
      <w:r>
        <w:t>We</w:t>
      </w:r>
      <w:r w:rsidRPr="00F745EE">
        <w:t xml:space="preserve"> consider that the use of benchmarking to assess whether capex is conforming is consistent with the requirements of the NGR.</w:t>
      </w:r>
    </w:p>
    <w:p w:rsidR="00A02961" w:rsidRPr="00B76164" w:rsidRDefault="00A02961" w:rsidP="00A02961">
      <w:r w:rsidRPr="00B76164">
        <w:t>We undertook a high level benchmarking of a selection of ActewAGL‘s unit costs against similar unit costs of the Victorian</w:t>
      </w:r>
      <w:r>
        <w:t>, NSW and South Australian</w:t>
      </w:r>
      <w:r w:rsidRPr="00B76164">
        <w:t xml:space="preserve"> gas businesses. Where required some adjustment for compositional difference was made. </w:t>
      </w:r>
      <w:r>
        <w:t>We used t</w:t>
      </w:r>
      <w:r w:rsidRPr="00B76164">
        <w:t xml:space="preserve">his comparison </w:t>
      </w:r>
      <w:r>
        <w:t xml:space="preserve">to </w:t>
      </w:r>
      <w:r w:rsidRPr="00B76164">
        <w:t>assess connections</w:t>
      </w:r>
      <w:r>
        <w:t>/market expansion and meter renewal expenditure</w:t>
      </w:r>
      <w:r w:rsidRPr="00B76164">
        <w:t>.</w:t>
      </w:r>
    </w:p>
    <w:p w:rsidR="00A02961" w:rsidRPr="00F745EE" w:rsidRDefault="00A02961" w:rsidP="00A02961">
      <w:r w:rsidRPr="00F745EE">
        <w:t xml:space="preserve">Where this benchmarking indicated that </w:t>
      </w:r>
      <w:r>
        <w:t>ActewAGL</w:t>
      </w:r>
      <w:r w:rsidRPr="00F745EE">
        <w:t xml:space="preserve">'s capex may not be efficient, </w:t>
      </w:r>
      <w:r>
        <w:t>we</w:t>
      </w:r>
      <w:r w:rsidRPr="00F745EE">
        <w:t xml:space="preserve"> undertook a detailed review of </w:t>
      </w:r>
      <w:r>
        <w:t>ActewAGL</w:t>
      </w:r>
      <w:r w:rsidRPr="00F745EE">
        <w:t xml:space="preserve">‘s proposal. </w:t>
      </w:r>
      <w:r>
        <w:t>Our</w:t>
      </w:r>
      <w:r w:rsidRPr="00F745EE">
        <w:t xml:space="preserve"> detailed review involved consideration of relevant documentation and the impact of factors expected to differ from the past and/or from the Victorian</w:t>
      </w:r>
      <w:r>
        <w:t>, NSW and South Australian</w:t>
      </w:r>
      <w:r w:rsidRPr="00F745EE">
        <w:t xml:space="preserve"> gas businesses. </w:t>
      </w:r>
    </w:p>
    <w:p w:rsidR="00A02961" w:rsidRDefault="00A02961" w:rsidP="00A02961">
      <w:r>
        <w:t>We</w:t>
      </w:r>
      <w:r w:rsidRPr="00F745EE">
        <w:t xml:space="preserve"> recognise that forecast efficient costs may legitimately depart from those revealed through past performance, and compared with other gas businesses. For example, gas businesses may discover more efficient processes over time. The gas businesses may propose that they can best achieve their safety, reliability or regulatory obligations by incurring expenditure to implement new, more efficient processes and include such expenditure in their proposed forecast capex. </w:t>
      </w:r>
      <w:r>
        <w:t>We</w:t>
      </w:r>
      <w:r w:rsidRPr="00F745EE">
        <w:t xml:space="preserve"> consider</w:t>
      </w:r>
      <w:r>
        <w:t xml:space="preserve"> </w:t>
      </w:r>
      <w:r w:rsidRPr="00F745EE">
        <w:t xml:space="preserve">it likely that a prudent service provider, acting efficiently, would only change operating processes (from revealed, or otherwise efficient processes) if they are likely to result in efficiency gains (in the absence of any information to suggest other reasons for the change). Where </w:t>
      </w:r>
      <w:r>
        <w:t>we</w:t>
      </w:r>
      <w:r w:rsidRPr="00F745EE">
        <w:t xml:space="preserve"> consider that future cost savings should result from capex investments, </w:t>
      </w:r>
      <w:r>
        <w:t xml:space="preserve">we have taken this </w:t>
      </w:r>
      <w:r w:rsidRPr="00F745EE">
        <w:t>int</w:t>
      </w:r>
      <w:r>
        <w:t>o consideration in determining ActewAGL</w:t>
      </w:r>
      <w:r w:rsidR="00727CC4">
        <w:t>'</w:t>
      </w:r>
      <w:r w:rsidRPr="00F745EE">
        <w:t xml:space="preserve">s </w:t>
      </w:r>
      <w:r>
        <w:t xml:space="preserve">forecast </w:t>
      </w:r>
      <w:r w:rsidRPr="00F745EE">
        <w:t>opex.</w:t>
      </w:r>
    </w:p>
    <w:p w:rsidR="00A02961" w:rsidRPr="00A02961" w:rsidRDefault="00A02961" w:rsidP="00A02961">
      <w:pPr>
        <w:pStyle w:val="Heading4"/>
      </w:pPr>
      <w:r>
        <w:t>Specialist technical advice</w:t>
      </w:r>
    </w:p>
    <w:p w:rsidR="00A02961" w:rsidRDefault="00A02961" w:rsidP="00A02961">
      <w:r w:rsidRPr="000C4C72">
        <w:t>We drew on engineering and other technical expertise within the AER to assist with</w:t>
      </w:r>
      <w:r>
        <w:t xml:space="preserve"> our review on the prud</w:t>
      </w:r>
      <w:r w:rsidR="00727CC4">
        <w:t>ency and efficiency of ActewAGL'</w:t>
      </w:r>
      <w:r>
        <w:t>s proposed market expansion capex.</w:t>
      </w:r>
    </w:p>
    <w:p w:rsidR="00A02961" w:rsidRPr="00F745EE" w:rsidRDefault="00A02961" w:rsidP="00A02961">
      <w:r>
        <w:t>We</w:t>
      </w:r>
      <w:r w:rsidRPr="00F745EE">
        <w:t xml:space="preserve"> </w:t>
      </w:r>
      <w:r>
        <w:t xml:space="preserve">also </w:t>
      </w:r>
      <w:r w:rsidRPr="00F745EE">
        <w:t xml:space="preserve">engaged an engineering consultant, </w:t>
      </w:r>
      <w:proofErr w:type="spellStart"/>
      <w:r w:rsidRPr="00F745EE">
        <w:t>Sleeman</w:t>
      </w:r>
      <w:proofErr w:type="spellEnd"/>
      <w:r w:rsidRPr="00F745EE">
        <w:t xml:space="preserve"> Consulting, to provide specialist technical advice on the prudency and efficiency of </w:t>
      </w:r>
      <w:r>
        <w:t>ActewAGL</w:t>
      </w:r>
      <w:r w:rsidRPr="00F745EE">
        <w:t>'s proposed</w:t>
      </w:r>
      <w:r>
        <w:t xml:space="preserve"> capex related to</w:t>
      </w:r>
      <w:r w:rsidRPr="00F745EE">
        <w:t xml:space="preserve"> </w:t>
      </w:r>
      <w:r>
        <w:t>capacity development and</w:t>
      </w:r>
      <w:r w:rsidRPr="00F745EE">
        <w:t xml:space="preserve"> </w:t>
      </w:r>
      <w:r>
        <w:t>network</w:t>
      </w:r>
      <w:r w:rsidRPr="00F745EE">
        <w:t xml:space="preserve"> renewal and upgrade.</w:t>
      </w:r>
      <w:r w:rsidRPr="00F745EE">
        <w:rPr>
          <w:rStyle w:val="FootnoteReference"/>
        </w:rPr>
        <w:footnoteReference w:id="29"/>
      </w:r>
      <w:r w:rsidRPr="00F745EE">
        <w:t xml:space="preserve"> </w:t>
      </w:r>
    </w:p>
    <w:p w:rsidR="00A02961" w:rsidRPr="00F745EE" w:rsidRDefault="00A02961" w:rsidP="00A02961">
      <w:pPr>
        <w:pStyle w:val="Heading4"/>
      </w:pPr>
      <w:r>
        <w:t>Cash flow analysis for equity raising costs</w:t>
      </w:r>
    </w:p>
    <w:p w:rsidR="00A02961" w:rsidRPr="00FE066C" w:rsidRDefault="00A02961" w:rsidP="00A02961">
      <w:r w:rsidRPr="00D16568">
        <w:t xml:space="preserve">To determine the amount of equity raising costs, we have undertaken an assessment of benchmark cash flows calculated in the PTRM. Under this method, a prudent service provider, acting efficiently, would first exhaust the cheapest sources of funding, such as internal cash flows, before using more expensive external sources of funding, such as equity financing. The cash flow modelling approach used by the AER incorporates this assumption to determine if any external equity financing would be required based on the AER’s capex forecast for </w:t>
      </w:r>
      <w:r>
        <w:t>ActewAGL</w:t>
      </w:r>
      <w:r w:rsidRPr="00D16568">
        <w:t>. For further discussion see attachment 3</w:t>
      </w:r>
      <w:r>
        <w:t xml:space="preserve"> of this decision (rate of return)</w:t>
      </w:r>
      <w:r w:rsidRPr="00D16568">
        <w:t>.</w:t>
      </w:r>
    </w:p>
    <w:p w:rsidR="00A02961" w:rsidRDefault="00A02961" w:rsidP="00A02961">
      <w:pPr>
        <w:pStyle w:val="Heading3"/>
      </w:pPr>
      <w:bookmarkStart w:id="33" w:name="_Toc435692210"/>
      <w:bookmarkStart w:id="34" w:name="_Toc451762018"/>
      <w:r>
        <w:t>Interrelationships</w:t>
      </w:r>
      <w:bookmarkEnd w:id="33"/>
      <w:bookmarkEnd w:id="34"/>
    </w:p>
    <w:p w:rsidR="00A02961" w:rsidRPr="00553F2C" w:rsidRDefault="00A02961" w:rsidP="00A02961">
      <w:r w:rsidRPr="00553F2C">
        <w:t xml:space="preserve">In assessing </w:t>
      </w:r>
      <w:r>
        <w:t>ActewAGL's</w:t>
      </w:r>
      <w:r w:rsidRPr="00553F2C">
        <w:t xml:space="preserve"> total forecast </w:t>
      </w:r>
      <w:r>
        <w:t>capex</w:t>
      </w:r>
      <w:r w:rsidRPr="00553F2C">
        <w:t xml:space="preserve"> we took into account other components of its proposal, including:</w:t>
      </w:r>
    </w:p>
    <w:p w:rsidR="00A02961" w:rsidRPr="00A02961" w:rsidRDefault="00A02961" w:rsidP="00A02961">
      <w:pPr>
        <w:pStyle w:val="AERbulletlistfirststyle"/>
      </w:pPr>
      <w:r w:rsidRPr="008C3133">
        <w:t xml:space="preserve">the trade-off between potential capex and opex solutions in our assessment of </w:t>
      </w:r>
      <w:proofErr w:type="spellStart"/>
      <w:r w:rsidRPr="00A02961">
        <w:t>ActewAGL's</w:t>
      </w:r>
      <w:proofErr w:type="spellEnd"/>
      <w:r w:rsidRPr="00A02961">
        <w:t xml:space="preserve"> proposed capex</w:t>
      </w:r>
    </w:p>
    <w:p w:rsidR="00A02961" w:rsidRPr="00A02961" w:rsidRDefault="00A02961" w:rsidP="00A02961">
      <w:pPr>
        <w:pStyle w:val="AERbulletlistfirststyle"/>
      </w:pPr>
      <w:proofErr w:type="gramStart"/>
      <w:r>
        <w:t>any</w:t>
      </w:r>
      <w:proofErr w:type="gramEnd"/>
      <w:r w:rsidRPr="00A02961">
        <w:t xml:space="preserve"> change in the capitalisation policy applied between the current </w:t>
      </w:r>
      <w:r w:rsidR="00C644EA">
        <w:t>period</w:t>
      </w:r>
      <w:r w:rsidRPr="00A02961">
        <w:t xml:space="preserve"> and the 2016–21 </w:t>
      </w:r>
      <w:r w:rsidR="00497243">
        <w:t xml:space="preserve">access arrangement </w:t>
      </w:r>
      <w:r w:rsidRPr="00A02961">
        <w:t xml:space="preserve">period. This relates to the change from the expensing of in–line inspection (pigging), integrity </w:t>
      </w:r>
      <w:proofErr w:type="gramStart"/>
      <w:r w:rsidRPr="00A02961">
        <w:t>digs,</w:t>
      </w:r>
      <w:proofErr w:type="gramEnd"/>
      <w:r w:rsidRPr="00A02961">
        <w:t xml:space="preserve"> and corporate overhead expenditure in the current period to capitalising in the next </w:t>
      </w:r>
      <w:r w:rsidR="000F7027">
        <w:t>access arrangement</w:t>
      </w:r>
      <w:r w:rsidRPr="00A02961">
        <w:t xml:space="preserve"> period. </w:t>
      </w:r>
    </w:p>
    <w:p w:rsidR="00A2303E" w:rsidRDefault="00A2303E" w:rsidP="00A2303E">
      <w:pPr>
        <w:pStyle w:val="Heading2"/>
      </w:pPr>
      <w:bookmarkStart w:id="35" w:name="_Toc451762019"/>
      <w:r w:rsidRPr="0074565D">
        <w:t xml:space="preserve">Reasons for </w:t>
      </w:r>
      <w:r>
        <w:t>final</w:t>
      </w:r>
      <w:r w:rsidRPr="0074565D">
        <w:t xml:space="preserve"> decision</w:t>
      </w:r>
      <w:bookmarkEnd w:id="24"/>
      <w:bookmarkEnd w:id="25"/>
      <w:bookmarkEnd w:id="35"/>
      <w:r w:rsidRPr="0074565D">
        <w:t xml:space="preserve"> </w:t>
      </w:r>
    </w:p>
    <w:p w:rsidR="007A4910" w:rsidRDefault="007A4910" w:rsidP="007A4910">
      <w:pPr>
        <w:pStyle w:val="Heading3"/>
      </w:pPr>
      <w:bookmarkStart w:id="36" w:name="_Ref451240248"/>
      <w:bookmarkStart w:id="37" w:name="_Toc451762020"/>
      <w:r>
        <w:t>Conforming capital expenditure for 2009–1</w:t>
      </w:r>
      <w:r w:rsidR="0024343A">
        <w:t>5</w:t>
      </w:r>
      <w:bookmarkEnd w:id="36"/>
      <w:bookmarkEnd w:id="37"/>
    </w:p>
    <w:p w:rsidR="007A4910" w:rsidRDefault="00A85AF8" w:rsidP="00734A70">
      <w:r>
        <w:t>We consider that the $</w:t>
      </w:r>
      <w:r w:rsidR="00FD7BD9" w:rsidRPr="00734A70">
        <w:rPr>
          <w:rStyle w:val="AERbody"/>
        </w:rPr>
        <w:t>102.</w:t>
      </w:r>
      <w:r w:rsidR="0024343A">
        <w:rPr>
          <w:rStyle w:val="AERbody"/>
        </w:rPr>
        <w:t>1</w:t>
      </w:r>
      <w:r>
        <w:t xml:space="preserve"> million ($2015–16) of net capex incurred by ActewAGL for 2009–15 is conforming capex </w:t>
      </w:r>
      <w:r w:rsidR="00C3043E">
        <w:t>under</w:t>
      </w:r>
      <w:r>
        <w:t xml:space="preserve"> </w:t>
      </w:r>
      <w:r w:rsidR="00794C29">
        <w:t>rule</w:t>
      </w:r>
      <w:r>
        <w:t xml:space="preserve"> 79 of the NGR. </w:t>
      </w:r>
    </w:p>
    <w:p w:rsidR="00A85AF8" w:rsidRDefault="00A85AF8" w:rsidP="007A4910">
      <w:r>
        <w:t xml:space="preserve">In reaching this view we have considered the following factors: </w:t>
      </w:r>
    </w:p>
    <w:p w:rsidR="00831F6A" w:rsidRDefault="00831F6A" w:rsidP="00734A70">
      <w:pPr>
        <w:pStyle w:val="AERbulletlistfirststyle"/>
      </w:pPr>
      <w:r>
        <w:t>ActewAGL's a</w:t>
      </w:r>
      <w:r w:rsidR="009A3D06">
        <w:t>ctual capex was $2.3 million (23</w:t>
      </w:r>
      <w:r>
        <w:t>.</w:t>
      </w:r>
      <w:r w:rsidR="00BA144A">
        <w:t>7</w:t>
      </w:r>
      <w:r>
        <w:t xml:space="preserve"> per cent) </w:t>
      </w:r>
      <w:r w:rsidR="00C3043E">
        <w:t xml:space="preserve">more than </w:t>
      </w:r>
      <w:r>
        <w:t xml:space="preserve">the $9.5 million ($2015–16) </w:t>
      </w:r>
      <w:r w:rsidR="00C3043E">
        <w:t xml:space="preserve">approved by </w:t>
      </w:r>
      <w:r>
        <w:t>the Independent Competition and Regulatory Commission (ICRC) for 2009–10</w:t>
      </w:r>
    </w:p>
    <w:p w:rsidR="00831F6A" w:rsidRDefault="00831F6A" w:rsidP="00734A70">
      <w:pPr>
        <w:pStyle w:val="AERbulletlistfirststyle"/>
      </w:pPr>
      <w:r>
        <w:t xml:space="preserve">ActewAGL's actual capex was </w:t>
      </w:r>
      <w:r w:rsidR="00C3043E">
        <w:t>$</w:t>
      </w:r>
      <w:r w:rsidR="00367DE1">
        <w:t>8.</w:t>
      </w:r>
      <w:r w:rsidR="00A42CED">
        <w:t>1</w:t>
      </w:r>
      <w:r>
        <w:t xml:space="preserve"> million (</w:t>
      </w:r>
      <w:r w:rsidR="00367DE1">
        <w:t>8.</w:t>
      </w:r>
      <w:r w:rsidR="00A42CED">
        <w:t>2</w:t>
      </w:r>
      <w:r>
        <w:t xml:space="preserve"> per cent) </w:t>
      </w:r>
      <w:r w:rsidR="00C3043E">
        <w:t xml:space="preserve">less than </w:t>
      </w:r>
      <w:r w:rsidR="00A42CED">
        <w:t>the $98.4</w:t>
      </w:r>
      <w:r>
        <w:t xml:space="preserve"> million ($2015–16) </w:t>
      </w:r>
      <w:r w:rsidR="00C3043E">
        <w:t xml:space="preserve">that we approved </w:t>
      </w:r>
      <w:r>
        <w:t>for 2010–15</w:t>
      </w:r>
    </w:p>
    <w:p w:rsidR="00831F6A" w:rsidRDefault="00367DE1" w:rsidP="00734A70">
      <w:pPr>
        <w:pStyle w:val="AERbulletlistfirststyle"/>
      </w:pPr>
      <w:r>
        <w:t>ActewAGL's actual capex for the market expansion (connections) category was $2.</w:t>
      </w:r>
      <w:r w:rsidR="00BA144A">
        <w:t>6</w:t>
      </w:r>
      <w:r>
        <w:t> million (</w:t>
      </w:r>
      <w:r w:rsidR="00BA144A">
        <w:t>6.3</w:t>
      </w:r>
      <w:r>
        <w:t xml:space="preserve"> per cent) </w:t>
      </w:r>
      <w:r w:rsidR="00C3043E">
        <w:t>more than the</w:t>
      </w:r>
      <w:r>
        <w:t xml:space="preserve"> $40.</w:t>
      </w:r>
      <w:r w:rsidR="00BA144A">
        <w:t>7</w:t>
      </w:r>
      <w:r>
        <w:t xml:space="preserve"> million ($2015–16) </w:t>
      </w:r>
      <w:r w:rsidR="00C3043E">
        <w:t xml:space="preserve">that we approved </w:t>
      </w:r>
      <w:r>
        <w:t xml:space="preserve">for 2010–15. </w:t>
      </w:r>
      <w:r w:rsidR="00CB0C82">
        <w:t>ActewAGL explained that this was due to two unanticipated projects during the period. This also resulted in actual capital contributions being $</w:t>
      </w:r>
      <w:r w:rsidR="00582AFE">
        <w:t>2.</w:t>
      </w:r>
      <w:r w:rsidR="00357782">
        <w:t>9</w:t>
      </w:r>
      <w:r w:rsidR="00CB0C82">
        <w:t xml:space="preserve"> million </w:t>
      </w:r>
      <w:r w:rsidR="00C3043E">
        <w:t>more than the</w:t>
      </w:r>
      <w:r w:rsidR="00CB0C82">
        <w:t xml:space="preserve"> $0.4 million ($2015–16)</w:t>
      </w:r>
      <w:r w:rsidR="00C3043E">
        <w:t xml:space="preserve"> that we approved</w:t>
      </w:r>
      <w:r w:rsidR="00CB0C82">
        <w:rPr>
          <w:rStyle w:val="FootnoteReference"/>
        </w:rPr>
        <w:footnoteReference w:id="30"/>
      </w:r>
    </w:p>
    <w:p w:rsidR="00CB0C82" w:rsidRDefault="00CB0C82" w:rsidP="00734A70">
      <w:pPr>
        <w:pStyle w:val="AERbulletlistfirststyle"/>
      </w:pPr>
      <w:r>
        <w:t xml:space="preserve">ActewAGL's actual capex was </w:t>
      </w:r>
      <w:r w:rsidR="00C3043E">
        <w:t>less than that which we previously approved</w:t>
      </w:r>
      <w:r>
        <w:t xml:space="preserve"> for the other </w:t>
      </w:r>
      <w:r w:rsidR="00C3043E">
        <w:t xml:space="preserve">capex </w:t>
      </w:r>
      <w:r>
        <w:t xml:space="preserve">categories as follows: </w:t>
      </w:r>
    </w:p>
    <w:p w:rsidR="00CB0C82" w:rsidRDefault="00CB0C82" w:rsidP="00734A70">
      <w:pPr>
        <w:pStyle w:val="AERbulletlistsecondstyle"/>
      </w:pPr>
      <w:r>
        <w:t>in the capacity development (augmentation) category, ActewAGL spent $0.</w:t>
      </w:r>
      <w:r w:rsidR="00582AFE">
        <w:t>5</w:t>
      </w:r>
      <w:r>
        <w:t> million (</w:t>
      </w:r>
      <w:r w:rsidR="007A231C">
        <w:t>1.7 per cent) less than the $28.1</w:t>
      </w:r>
      <w:r>
        <w:t> million ($2015–16)</w:t>
      </w:r>
      <w:r w:rsidR="00C3043E">
        <w:t xml:space="preserve"> that we approved</w:t>
      </w:r>
    </w:p>
    <w:p w:rsidR="00CB0C82" w:rsidRDefault="00CB0C82" w:rsidP="00734A70">
      <w:pPr>
        <w:pStyle w:val="AERbulletlistsecondstyle"/>
      </w:pPr>
      <w:proofErr w:type="gramStart"/>
      <w:r>
        <w:t>in</w:t>
      </w:r>
      <w:proofErr w:type="gramEnd"/>
      <w:r>
        <w:t xml:space="preserve"> the stay in business category, ActewAGL spent $6.</w:t>
      </w:r>
      <w:r w:rsidR="00582AFE">
        <w:t>5</w:t>
      </w:r>
      <w:r>
        <w:t> million (2</w:t>
      </w:r>
      <w:r w:rsidR="007A231C">
        <w:t>2.8 per cent) less than the $28.5</w:t>
      </w:r>
      <w:r>
        <w:t> million ($2015–16)</w:t>
      </w:r>
      <w:r w:rsidR="00C3043E">
        <w:t xml:space="preserve"> that we approved</w:t>
      </w:r>
      <w:r>
        <w:t>. ActewAGL stated that this was primarily due to statistical sampling which indicated it could extend the economic life of residential gas meters. ActewAGL was therefore able to defer metering capex</w:t>
      </w:r>
      <w:r>
        <w:rPr>
          <w:rStyle w:val="FootnoteReference"/>
        </w:rPr>
        <w:footnoteReference w:id="31"/>
      </w:r>
    </w:p>
    <w:p w:rsidR="00CB0C82" w:rsidRDefault="00CB0C82" w:rsidP="00734A70">
      <w:pPr>
        <w:pStyle w:val="AERbulletlistsecondstyle"/>
      </w:pPr>
      <w:proofErr w:type="gramStart"/>
      <w:r>
        <w:t>in</w:t>
      </w:r>
      <w:proofErr w:type="gramEnd"/>
      <w:r>
        <w:t xml:space="preserve"> the non–system category, ActewAGL spent $0.</w:t>
      </w:r>
      <w:r w:rsidR="00582AFE">
        <w:t>8</w:t>
      </w:r>
      <w:r>
        <w:t> million (</w:t>
      </w:r>
      <w:r w:rsidR="00582AFE">
        <w:t>5</w:t>
      </w:r>
      <w:r w:rsidR="007A231C">
        <w:t>6.4</w:t>
      </w:r>
      <w:r>
        <w:t> per cent)</w:t>
      </w:r>
      <w:r w:rsidR="00E02841">
        <w:t xml:space="preserve"> less than the $1.4 million ($2015–16)</w:t>
      </w:r>
      <w:r w:rsidR="00C3043E">
        <w:t xml:space="preserve"> that we approved</w:t>
      </w:r>
      <w:r w:rsidR="00E02841">
        <w:t xml:space="preserve">. ActewAGL stated that the GIS portion of the forecast ($0.3 million) was subsequently identified as opex and therefore not rolled into the </w:t>
      </w:r>
      <w:r w:rsidR="00C3043E">
        <w:t xml:space="preserve">capital </w:t>
      </w:r>
      <w:r w:rsidR="00E02841">
        <w:t>base.</w:t>
      </w:r>
      <w:r w:rsidR="00E02841">
        <w:rPr>
          <w:rStyle w:val="FootnoteReference"/>
        </w:rPr>
        <w:footnoteReference w:id="32"/>
      </w:r>
    </w:p>
    <w:p w:rsidR="007A4910" w:rsidRDefault="007A4910" w:rsidP="007A4910">
      <w:pPr>
        <w:pStyle w:val="Heading3"/>
      </w:pPr>
      <w:bookmarkStart w:id="38" w:name="_Toc451762021"/>
      <w:r>
        <w:t>Conforming capital expenditure for the 2016–21 access arrangement period</w:t>
      </w:r>
      <w:bookmarkEnd w:id="38"/>
    </w:p>
    <w:p w:rsidR="00347B08" w:rsidRPr="007A4B70" w:rsidRDefault="00347B08" w:rsidP="00347B08">
      <w:r>
        <w:t xml:space="preserve">We received a number of submissions in response to ActewAGL's revised proposal. The AER's Consumer Challenge Panel (CCP) expressed concern over ActewAGL's revised capex over the 2016–21 </w:t>
      </w:r>
      <w:r w:rsidR="000F7027">
        <w:t>access arrangement</w:t>
      </w:r>
      <w:r w:rsidRPr="007A4B70">
        <w:t xml:space="preserve"> </w:t>
      </w:r>
      <w:proofErr w:type="gramStart"/>
      <w:r w:rsidRPr="007A4B70">
        <w:t>period</w:t>
      </w:r>
      <w:proofErr w:type="gramEnd"/>
      <w:r w:rsidRPr="007A4B70">
        <w:t xml:space="preserve">. The CCP submitted that the revised proposal will have the effect of increasing the regulatory asset base (RAB) by 18 per cent over the period (or by 55 per cent over the 11 year period spanning the current and previous </w:t>
      </w:r>
      <w:r w:rsidR="00100D23">
        <w:t>periods</w:t>
      </w:r>
      <w:r w:rsidRPr="007A4B70">
        <w:t>). The CCP does not consider that these increases in the RAB are consistent with actual demand trends.</w:t>
      </w:r>
      <w:r w:rsidRPr="007A4B70">
        <w:rPr>
          <w:rStyle w:val="FootnoteReference"/>
        </w:rPr>
        <w:footnoteReference w:id="33"/>
      </w:r>
      <w:r w:rsidRPr="007A4B70">
        <w:t xml:space="preserve"> </w:t>
      </w:r>
    </w:p>
    <w:p w:rsidR="00347B08" w:rsidRPr="007A4B70" w:rsidRDefault="00347B08" w:rsidP="00347B08">
      <w:r>
        <w:t xml:space="preserve">A further submission received from Peter Sutherland, </w:t>
      </w:r>
      <w:r w:rsidRPr="007A4B70">
        <w:t>Australian National University College of Law, welcomed the reduction in capex in the draft decision compared to ActewAGL's initial proposal.</w:t>
      </w:r>
      <w:r w:rsidRPr="007A4B70">
        <w:rPr>
          <w:rStyle w:val="FootnoteReference"/>
        </w:rPr>
        <w:footnoteReference w:id="34"/>
      </w:r>
      <w:r w:rsidRPr="007A4B70">
        <w:t xml:space="preserve"> </w:t>
      </w:r>
    </w:p>
    <w:p w:rsidR="000C5FCD" w:rsidRDefault="00347B08" w:rsidP="000C5FCD">
      <w:r>
        <w:t>Having regard to the information before us, w</w:t>
      </w:r>
      <w:r w:rsidR="000C5FCD">
        <w:t>e</w:t>
      </w:r>
      <w:r w:rsidR="000C5FCD" w:rsidRPr="004F59EE">
        <w:t xml:space="preserve"> approve $</w:t>
      </w:r>
      <w:r w:rsidR="005953C5" w:rsidRPr="00734A70">
        <w:rPr>
          <w:rStyle w:val="AERbody"/>
        </w:rPr>
        <w:t>80.7</w:t>
      </w:r>
      <w:r w:rsidR="000C5FCD" w:rsidRPr="004F59EE">
        <w:t xml:space="preserve"> million ($2014–15) of </w:t>
      </w:r>
      <w:r w:rsidR="000C5FCD">
        <w:t>ActewAGL'</w:t>
      </w:r>
      <w:r w:rsidR="000C5FCD" w:rsidRPr="004F59EE">
        <w:t xml:space="preserve">s proposed </w:t>
      </w:r>
      <w:r w:rsidR="000C5FCD">
        <w:t>$</w:t>
      </w:r>
      <w:r w:rsidR="00FD7BD9">
        <w:t>93.</w:t>
      </w:r>
      <w:r w:rsidR="000C4CE6">
        <w:t>2</w:t>
      </w:r>
      <w:r w:rsidR="000C4CE6" w:rsidRPr="004F59EE">
        <w:t xml:space="preserve"> </w:t>
      </w:r>
      <w:r w:rsidR="000C5FCD" w:rsidRPr="004F59EE">
        <w:t xml:space="preserve">million ($2014–15) total net capex for the 2016–21 </w:t>
      </w:r>
      <w:r w:rsidR="000F7027">
        <w:t>access arrangement</w:t>
      </w:r>
      <w:r w:rsidR="000C5FCD" w:rsidRPr="004F59EE">
        <w:t xml:space="preserve"> </w:t>
      </w:r>
      <w:proofErr w:type="gramStart"/>
      <w:r w:rsidR="000C5FCD" w:rsidRPr="004F59EE">
        <w:t>period</w:t>
      </w:r>
      <w:proofErr w:type="gramEnd"/>
      <w:r w:rsidR="000C5FCD" w:rsidRPr="004F59EE">
        <w:t xml:space="preserve"> as conforming capex under rule 79(1) of the NGR.</w:t>
      </w:r>
      <w:r w:rsidR="00F01C0B" w:rsidRPr="00F01C0B">
        <w:t xml:space="preserve"> </w:t>
      </w:r>
      <w:r w:rsidR="00F01C0B">
        <w:t xml:space="preserve">Some of the cost drivers in this section include a construction management fee (CMF) paid </w:t>
      </w:r>
      <w:r w:rsidR="00F01C0B" w:rsidRPr="007B077F">
        <w:rPr>
          <w:rStyle w:val="AERbody"/>
        </w:rPr>
        <w:t>to a subcontractor</w:t>
      </w:r>
      <w:r w:rsidR="00F01C0B">
        <w:rPr>
          <w:rStyle w:val="AERbody"/>
        </w:rPr>
        <w:t xml:space="preserve">, </w:t>
      </w:r>
      <w:proofErr w:type="spellStart"/>
      <w:r w:rsidR="00F01C0B">
        <w:rPr>
          <w:rStyle w:val="AERbody"/>
        </w:rPr>
        <w:t>Zinfra</w:t>
      </w:r>
      <w:proofErr w:type="spellEnd"/>
      <w:r w:rsidR="00F01C0B">
        <w:rPr>
          <w:rStyle w:val="AERbody"/>
        </w:rPr>
        <w:t xml:space="preserve">, who is a related party. </w:t>
      </w:r>
      <w:r w:rsidR="00F01C0B">
        <w:t xml:space="preserve">Direct costs for each capex driver excluding the CMF are set out in confidential Appendix </w:t>
      </w:r>
      <w:r w:rsidR="00261FCA">
        <w:fldChar w:fldCharType="begin"/>
      </w:r>
      <w:r w:rsidR="00261FCA">
        <w:instrText xml:space="preserve"> REF _Ref448237293 \n \h </w:instrText>
      </w:r>
      <w:r w:rsidR="00261FCA">
        <w:fldChar w:fldCharType="separate"/>
      </w:r>
      <w:r w:rsidR="00D822F6">
        <w:rPr>
          <w:b/>
          <w:bCs/>
          <w:lang w:val="en-US"/>
        </w:rPr>
        <w:t>Error! Reference source not found.</w:t>
      </w:r>
      <w:r w:rsidR="00261FCA">
        <w:fldChar w:fldCharType="end"/>
      </w:r>
      <w:r w:rsidR="00F01C0B">
        <w:t xml:space="preserve">. </w:t>
      </w:r>
    </w:p>
    <w:p w:rsidR="007A4B70" w:rsidRDefault="000C5FCD" w:rsidP="000C5FCD">
      <w:r w:rsidRPr="007A5ABC">
        <w:t xml:space="preserve">The rest of this attachment sets out </w:t>
      </w:r>
      <w:r>
        <w:t xml:space="preserve">our final decision on those capex items which ActewAGL has re-proposed in its revised proposal.  </w:t>
      </w:r>
    </w:p>
    <w:p w:rsidR="00917D1D" w:rsidRDefault="00917D1D" w:rsidP="00917D1D">
      <w:pPr>
        <w:pStyle w:val="Heading4"/>
      </w:pPr>
      <w:r>
        <w:t>Growth assets (connections)</w:t>
      </w:r>
    </w:p>
    <w:p w:rsidR="001D461C" w:rsidRPr="006E4F86" w:rsidRDefault="001D461C" w:rsidP="001D461C">
      <w:r w:rsidRPr="006E4F86">
        <w:t>Distribution businesses have a regulatory obligation to make a connection offer to residential and commercial/industrial customers making an application to connect to its distribution network.</w:t>
      </w:r>
      <w:r w:rsidRPr="006E4F86">
        <w:rPr>
          <w:rStyle w:val="FootnoteReference"/>
        </w:rPr>
        <w:footnoteReference w:id="35"/>
      </w:r>
      <w:r w:rsidRPr="006E4F86">
        <w:t xml:space="preserve"> The capex associated with these connections includes the cost of new mains, the service pipe from the main to the meter and the meter itself.</w:t>
      </w:r>
      <w:r>
        <w:t xml:space="preserve"> </w:t>
      </w:r>
      <w:r w:rsidRPr="006E4F86">
        <w:t xml:space="preserve">The make-up of these assets generally differs depending on whether the connection is for a Tariff V customer or a Tariff D </w:t>
      </w:r>
      <w:r w:rsidR="00347B08">
        <w:t xml:space="preserve">(Industrial and Commercial (I&amp;C) contract) </w:t>
      </w:r>
      <w:r w:rsidRPr="006E4F86">
        <w:t>customer.</w:t>
      </w:r>
      <w:r w:rsidRPr="006E4F86">
        <w:rPr>
          <w:rStyle w:val="FootnoteReference"/>
        </w:rPr>
        <w:footnoteReference w:id="36"/>
      </w:r>
      <w:r w:rsidRPr="006E4F86">
        <w:rPr>
          <w:rStyle w:val="FootnoteReference"/>
        </w:rPr>
        <w:t xml:space="preserve"> </w:t>
      </w:r>
    </w:p>
    <w:p w:rsidR="001D461C" w:rsidRPr="006E4F86" w:rsidRDefault="001D461C" w:rsidP="001D461C">
      <w:r w:rsidRPr="006E4F86">
        <w:t xml:space="preserve">Connections capex is conforming capital expenditure if it would be incurred by a prudent service provider acting efficiently, in accordance with accepted good industry practice, to achieve the lowest sustainable cost of providing services and is justified on a ground stated in rule 79(2). Connections capex is justified if the present value of the </w:t>
      </w:r>
      <w:r>
        <w:t xml:space="preserve">expected </w:t>
      </w:r>
      <w:r w:rsidRPr="006E4F86">
        <w:t xml:space="preserve">incremental revenue </w:t>
      </w:r>
      <w:r>
        <w:t xml:space="preserve">to be </w:t>
      </w:r>
      <w:r w:rsidRPr="006E4F86">
        <w:t>generate</w:t>
      </w:r>
      <w:r>
        <w:t>d</w:t>
      </w:r>
      <w:r w:rsidRPr="006E4F86">
        <w:t xml:space="preserve"> exceeds the present value of the </w:t>
      </w:r>
      <w:r>
        <w:t xml:space="preserve">capital </w:t>
      </w:r>
      <w:r w:rsidRPr="006E4F86">
        <w:t>expenditure.</w:t>
      </w:r>
      <w:r w:rsidRPr="006E4F86">
        <w:rPr>
          <w:rStyle w:val="FootnoteReference"/>
        </w:rPr>
        <w:footnoteReference w:id="37"/>
      </w:r>
    </w:p>
    <w:p w:rsidR="001D461C" w:rsidRPr="006E4F86" w:rsidRDefault="001D461C" w:rsidP="001D461C">
      <w:r w:rsidRPr="006E4F86">
        <w:t>In its revised proposal, ActewAGL proposed forecast expenditure of $</w:t>
      </w:r>
      <w:r w:rsidR="00617A1C">
        <w:t>42.2</w:t>
      </w:r>
      <w:r w:rsidRPr="006E4F86">
        <w:t xml:space="preserve"> million ($2015–16, unescalated) during the 2016–21 </w:t>
      </w:r>
      <w:r w:rsidR="000F7027">
        <w:t>access arrangement</w:t>
      </w:r>
      <w:r w:rsidRPr="006E4F86">
        <w:t xml:space="preserve"> period.</w:t>
      </w:r>
      <w:r w:rsidRPr="006E4F86">
        <w:rPr>
          <w:rStyle w:val="FootnoteReference"/>
        </w:rPr>
        <w:footnoteReference w:id="38"/>
      </w:r>
      <w:r w:rsidRPr="006E4F86">
        <w:t xml:space="preserve"> ActewAGL's revised proposal is 2</w:t>
      </w:r>
      <w:r w:rsidR="00C10394">
        <w:t>4</w:t>
      </w:r>
      <w:r w:rsidRPr="006E4F86">
        <w:t xml:space="preserve"> per cent </w:t>
      </w:r>
      <w:r>
        <w:t>less than</w:t>
      </w:r>
      <w:r w:rsidRPr="006E4F86">
        <w:t xml:space="preserve"> its initial proposal of $</w:t>
      </w:r>
      <w:r w:rsidR="00C10394">
        <w:t>55.5</w:t>
      </w:r>
      <w:r w:rsidRPr="006E4F86">
        <w:t xml:space="preserve"> million and is </w:t>
      </w:r>
      <w:r w:rsidR="00C10394">
        <w:t>3.8</w:t>
      </w:r>
      <w:r w:rsidRPr="006E4F86">
        <w:t xml:space="preserve"> per cent </w:t>
      </w:r>
      <w:r>
        <w:t>more than</w:t>
      </w:r>
      <w:r w:rsidRPr="006E4F86">
        <w:t xml:space="preserve"> our draft decision of $</w:t>
      </w:r>
      <w:r w:rsidR="00C10394">
        <w:t>40.6</w:t>
      </w:r>
      <w:r w:rsidRPr="006E4F86">
        <w:t xml:space="preserve"> million.</w:t>
      </w:r>
    </w:p>
    <w:p w:rsidR="001D461C" w:rsidRPr="006E4F86" w:rsidRDefault="001D461C" w:rsidP="001D461C">
      <w:r w:rsidRPr="006E4F86">
        <w:t xml:space="preserve">As we discuss below, we </w:t>
      </w:r>
      <w:r>
        <w:t>are satisfied that</w:t>
      </w:r>
      <w:r w:rsidRPr="006E4F86">
        <w:t xml:space="preserve"> ActewAGL’s revised proposal of $</w:t>
      </w:r>
      <w:r w:rsidR="00C10394">
        <w:t>42.2</w:t>
      </w:r>
      <w:r w:rsidRPr="006E4F86">
        <w:t xml:space="preserve"> million ($2015–16, unescalated) </w:t>
      </w:r>
      <w:r>
        <w:t xml:space="preserve">is </w:t>
      </w:r>
      <w:r w:rsidRPr="006E4F86">
        <w:t xml:space="preserve">conforming </w:t>
      </w:r>
      <w:r>
        <w:t>capex under rule 79 of the NGR</w:t>
      </w:r>
      <w:r w:rsidRPr="006E4F86">
        <w:t xml:space="preserve">. </w:t>
      </w:r>
    </w:p>
    <w:p w:rsidR="001D461C" w:rsidRPr="006E4F86" w:rsidRDefault="001D461C" w:rsidP="001D461C">
      <w:pPr>
        <w:pStyle w:val="HeadingBoldItalic"/>
      </w:pPr>
      <w:r w:rsidRPr="006E4F86">
        <w:t>Tariff V connections</w:t>
      </w:r>
    </w:p>
    <w:p w:rsidR="001D461C" w:rsidRPr="006E4F86" w:rsidRDefault="001D461C" w:rsidP="001D461C">
      <w:r w:rsidRPr="006E4F86">
        <w:t>ActewAGL forecast capital expenditure for Tariff V connections for four categories of Tariff V customers. In doing so, ActewAGL relied on estimates of the unit costs fo</w:t>
      </w:r>
      <w:r>
        <w:t>r the components of the connecti</w:t>
      </w:r>
      <w:r w:rsidRPr="006E4F86">
        <w:t>on (mains, services and meters)</w:t>
      </w:r>
      <w:r w:rsidRPr="004535D2">
        <w:rPr>
          <w:rStyle w:val="FootnoteReference"/>
        </w:rPr>
        <w:footnoteReference w:id="39"/>
      </w:r>
      <w:r w:rsidRPr="006E4F86">
        <w:t xml:space="preserve"> which it </w:t>
      </w:r>
      <w:r>
        <w:t>applied to volume forecasts</w:t>
      </w:r>
      <w:r w:rsidRPr="006E4F86">
        <w:t xml:space="preserve">. The categories of connection are set out below in </w:t>
      </w:r>
      <w:r w:rsidRPr="006E4F86">
        <w:fldChar w:fldCharType="begin"/>
      </w:r>
      <w:r w:rsidRPr="006E4F86">
        <w:instrText xml:space="preserve"> REF _Ref435521304 \h </w:instrText>
      </w:r>
      <w:r w:rsidRPr="006E4F86">
        <w:fldChar w:fldCharType="separate"/>
      </w:r>
      <w:r w:rsidR="00D822F6" w:rsidRPr="006E4F86">
        <w:t xml:space="preserve">Table </w:t>
      </w:r>
      <w:r w:rsidR="00D822F6">
        <w:rPr>
          <w:noProof/>
        </w:rPr>
        <w:t>6</w:t>
      </w:r>
      <w:r w:rsidR="00D822F6" w:rsidRPr="006E4F86">
        <w:t>.</w:t>
      </w:r>
      <w:r w:rsidR="00D822F6">
        <w:rPr>
          <w:noProof/>
        </w:rPr>
        <w:t>6</w:t>
      </w:r>
      <w:r w:rsidRPr="006E4F86">
        <w:fldChar w:fldCharType="end"/>
      </w:r>
      <w:r w:rsidRPr="006E4F86">
        <w:t>.</w:t>
      </w:r>
    </w:p>
    <w:p w:rsidR="001D461C" w:rsidRPr="006E4F86" w:rsidRDefault="001D461C" w:rsidP="001D461C">
      <w:pPr>
        <w:pStyle w:val="Caption"/>
      </w:pPr>
      <w:bookmarkStart w:id="39" w:name="_Ref435521304"/>
      <w:proofErr w:type="gramStart"/>
      <w:r w:rsidRPr="006E4F86">
        <w:t xml:space="preserve">Table </w:t>
      </w:r>
      <w:proofErr w:type="gramEnd"/>
      <w:r w:rsidRPr="001D461C">
        <w:fldChar w:fldCharType="begin"/>
      </w:r>
      <w:r>
        <w:instrText xml:space="preserve"> STYLEREF 1 \s </w:instrText>
      </w:r>
      <w:r w:rsidRPr="001D461C">
        <w:fldChar w:fldCharType="separate"/>
      </w:r>
      <w:r w:rsidR="00D822F6">
        <w:rPr>
          <w:noProof/>
        </w:rPr>
        <w:t>6</w:t>
      </w:r>
      <w:r w:rsidRPr="001D461C">
        <w:fldChar w:fldCharType="end"/>
      </w:r>
      <w:proofErr w:type="gramStart"/>
      <w:r w:rsidRPr="006E4F86">
        <w:t>.</w:t>
      </w:r>
      <w:proofErr w:type="gramEnd"/>
      <w:r w:rsidRPr="001D461C">
        <w:fldChar w:fldCharType="begin"/>
      </w:r>
      <w:r>
        <w:instrText xml:space="preserve"> SEQ Table \* ARABIC \s 1 </w:instrText>
      </w:r>
      <w:r w:rsidRPr="001D461C">
        <w:fldChar w:fldCharType="separate"/>
      </w:r>
      <w:r w:rsidR="00D822F6">
        <w:rPr>
          <w:noProof/>
        </w:rPr>
        <w:t>6</w:t>
      </w:r>
      <w:r w:rsidRPr="001D461C">
        <w:fldChar w:fldCharType="end"/>
      </w:r>
      <w:bookmarkEnd w:id="39"/>
      <w:r w:rsidRPr="006E4F86">
        <w:t xml:space="preserve"> Tariff V connection categories</w:t>
      </w:r>
    </w:p>
    <w:tbl>
      <w:tblPr>
        <w:tblStyle w:val="AERtable-text0"/>
        <w:tblW w:w="4954" w:type="pct"/>
        <w:tblLook w:val="04A0" w:firstRow="1" w:lastRow="0" w:firstColumn="1" w:lastColumn="0" w:noHBand="0" w:noVBand="1"/>
      </w:tblPr>
      <w:tblGrid>
        <w:gridCol w:w="2346"/>
        <w:gridCol w:w="6267"/>
      </w:tblGrid>
      <w:tr w:rsidR="001D461C" w:rsidRPr="006E4F86" w:rsidTr="001D461C">
        <w:trPr>
          <w:cnfStyle w:val="100000000000" w:firstRow="1" w:lastRow="0" w:firstColumn="0" w:lastColumn="0" w:oddVBand="0" w:evenVBand="0" w:oddHBand="0" w:evenHBand="0" w:firstRowFirstColumn="0" w:firstRowLastColumn="0" w:lastRowFirstColumn="0" w:lastRowLastColumn="0"/>
          <w:trHeight w:val="608"/>
        </w:trPr>
        <w:tc>
          <w:tcPr>
            <w:tcW w:w="1362" w:type="pct"/>
          </w:tcPr>
          <w:p w:rsidR="001D461C" w:rsidRPr="001D461C" w:rsidRDefault="001D461C" w:rsidP="001D461C">
            <w:r w:rsidRPr="006E4F86">
              <w:t>Connection type</w:t>
            </w:r>
          </w:p>
        </w:tc>
        <w:tc>
          <w:tcPr>
            <w:tcW w:w="3638" w:type="pct"/>
          </w:tcPr>
          <w:p w:rsidR="001D461C" w:rsidRPr="001D461C" w:rsidRDefault="001D461C" w:rsidP="001D461C">
            <w:r w:rsidRPr="006E4F86">
              <w:t>Description</w:t>
            </w:r>
          </w:p>
        </w:tc>
      </w:tr>
      <w:tr w:rsidR="001D461C" w:rsidRPr="006E4F86" w:rsidTr="001D461C">
        <w:trPr>
          <w:trHeight w:val="418"/>
        </w:trPr>
        <w:tc>
          <w:tcPr>
            <w:tcW w:w="5000" w:type="pct"/>
            <w:gridSpan w:val="2"/>
          </w:tcPr>
          <w:p w:rsidR="001D461C" w:rsidRPr="001D461C" w:rsidRDefault="001D461C" w:rsidP="001D461C">
            <w:r w:rsidRPr="006E4F86">
              <w:t>Residential</w:t>
            </w:r>
          </w:p>
        </w:tc>
      </w:tr>
      <w:tr w:rsidR="001D461C" w:rsidRPr="006E4F86" w:rsidTr="001D461C">
        <w:trPr>
          <w:cnfStyle w:val="000000010000" w:firstRow="0" w:lastRow="0" w:firstColumn="0" w:lastColumn="0" w:oddVBand="0" w:evenVBand="0" w:oddHBand="0" w:evenHBand="1" w:firstRowFirstColumn="0" w:firstRowLastColumn="0" w:lastRowFirstColumn="0" w:lastRowLastColumn="0"/>
          <w:trHeight w:val="1580"/>
        </w:trPr>
        <w:tc>
          <w:tcPr>
            <w:tcW w:w="1362" w:type="pct"/>
          </w:tcPr>
          <w:p w:rsidR="001D461C" w:rsidRPr="001D461C" w:rsidRDefault="001D461C" w:rsidP="001D461C">
            <w:r w:rsidRPr="006E4F86">
              <w:t>Electricity-to-gas (E to G)</w:t>
            </w:r>
          </w:p>
        </w:tc>
        <w:tc>
          <w:tcPr>
            <w:tcW w:w="3638" w:type="pct"/>
          </w:tcPr>
          <w:p w:rsidR="001D461C" w:rsidRPr="001D461C" w:rsidRDefault="001D461C" w:rsidP="001D461C">
            <w:r w:rsidRPr="006E4F86">
              <w:t xml:space="preserve">Customers currently not using gas, generally converting from electricity and/or LPG. May be on the line-of-main or may require a short main extension. It also includes infill connections, </w:t>
            </w:r>
            <w:r w:rsidRPr="001D461C">
              <w:t>where an existing home is demolished and less than three new dwellings are constructed in its place. If three or more dwellings are constructed they are classified as medium density connections.</w:t>
            </w:r>
          </w:p>
        </w:tc>
      </w:tr>
      <w:tr w:rsidR="001D461C" w:rsidRPr="006E4F86" w:rsidTr="001D461C">
        <w:trPr>
          <w:trHeight w:val="1580"/>
        </w:trPr>
        <w:tc>
          <w:tcPr>
            <w:tcW w:w="1362" w:type="pct"/>
          </w:tcPr>
          <w:p w:rsidR="001D461C" w:rsidRPr="001D461C" w:rsidRDefault="001D461C" w:rsidP="001D461C">
            <w:r w:rsidRPr="006E4F86">
              <w:t xml:space="preserve">New estates </w:t>
            </w:r>
          </w:p>
        </w:tc>
        <w:tc>
          <w:tcPr>
            <w:tcW w:w="3638" w:type="pct"/>
          </w:tcPr>
          <w:p w:rsidR="001D461C" w:rsidRPr="001D461C" w:rsidRDefault="001D461C" w:rsidP="001D461C">
            <w:r w:rsidRPr="006E4F86">
              <w:t xml:space="preserve">Customers connected in new estate developments. Typically these are constructed in parallel with other services in the estate development with the benefits of greenfield construction and shared trenching. </w:t>
            </w:r>
          </w:p>
        </w:tc>
      </w:tr>
      <w:tr w:rsidR="001D461C" w:rsidRPr="006E4F86" w:rsidTr="001D461C">
        <w:trPr>
          <w:cnfStyle w:val="000000010000" w:firstRow="0" w:lastRow="0" w:firstColumn="0" w:lastColumn="0" w:oddVBand="0" w:evenVBand="0" w:oddHBand="0" w:evenHBand="1" w:firstRowFirstColumn="0" w:firstRowLastColumn="0" w:lastRowFirstColumn="0" w:lastRowLastColumn="0"/>
          <w:trHeight w:val="1580"/>
        </w:trPr>
        <w:tc>
          <w:tcPr>
            <w:tcW w:w="1362" w:type="pct"/>
          </w:tcPr>
          <w:p w:rsidR="001D461C" w:rsidRPr="001D461C" w:rsidRDefault="001D461C" w:rsidP="001D461C">
            <w:r w:rsidRPr="006E4F86">
              <w:t xml:space="preserve">Medium/high density </w:t>
            </w:r>
          </w:p>
        </w:tc>
        <w:tc>
          <w:tcPr>
            <w:tcW w:w="3638" w:type="pct"/>
          </w:tcPr>
          <w:p w:rsidR="001D461C" w:rsidRPr="001D461C" w:rsidRDefault="001D461C" w:rsidP="001D461C">
            <w:r w:rsidRPr="006E4F86">
              <w:t xml:space="preserve">Customers in medium/high density apartments. These usually involve gas for cooking and hot water using a centralised hot water system, and may include heating. This involves a service to the apartments and provision of a hot water meter and gas meter for each residence. </w:t>
            </w:r>
          </w:p>
        </w:tc>
      </w:tr>
      <w:tr w:rsidR="001D461C" w:rsidRPr="006E4F86" w:rsidTr="001D461C">
        <w:trPr>
          <w:trHeight w:val="450"/>
        </w:trPr>
        <w:tc>
          <w:tcPr>
            <w:tcW w:w="5000" w:type="pct"/>
            <w:gridSpan w:val="2"/>
          </w:tcPr>
          <w:p w:rsidR="001D461C" w:rsidRPr="001D461C" w:rsidRDefault="001D461C" w:rsidP="001D461C">
            <w:r w:rsidRPr="006E4F86">
              <w:t>Industrial and commercial (I&amp;C)</w:t>
            </w:r>
          </w:p>
        </w:tc>
      </w:tr>
      <w:tr w:rsidR="001D461C" w:rsidRPr="006E4F86" w:rsidTr="001D461C">
        <w:trPr>
          <w:cnfStyle w:val="000000010000" w:firstRow="0" w:lastRow="0" w:firstColumn="0" w:lastColumn="0" w:oddVBand="0" w:evenVBand="0" w:oddHBand="0" w:evenHBand="1" w:firstRowFirstColumn="0" w:firstRowLastColumn="0" w:lastRowFirstColumn="0" w:lastRowLastColumn="0"/>
          <w:trHeight w:val="826"/>
        </w:trPr>
        <w:tc>
          <w:tcPr>
            <w:tcW w:w="1362" w:type="pct"/>
          </w:tcPr>
          <w:p w:rsidR="001D461C" w:rsidRPr="001D461C" w:rsidRDefault="001D461C" w:rsidP="001D461C">
            <w:r w:rsidRPr="006E4F86">
              <w:t xml:space="preserve">Volume market  </w:t>
            </w:r>
          </w:p>
        </w:tc>
        <w:tc>
          <w:tcPr>
            <w:tcW w:w="3638" w:type="pct"/>
          </w:tcPr>
          <w:p w:rsidR="001D461C" w:rsidRPr="001D461C" w:rsidRDefault="001D461C" w:rsidP="001D461C">
            <w:r w:rsidRPr="006E4F86">
              <w:t xml:space="preserve">This </w:t>
            </w:r>
            <w:r w:rsidRPr="001D461C">
              <w:t>includes small business and industrial and commercial (I&amp;C) customers which are not on contract. The 2011-14 historical average use was ~512 GJ p.a.</w:t>
            </w:r>
          </w:p>
        </w:tc>
      </w:tr>
    </w:tbl>
    <w:p w:rsidR="001D461C" w:rsidRPr="006E4F86" w:rsidRDefault="001D461C" w:rsidP="001D461C">
      <w:pPr>
        <w:pStyle w:val="AERtablesource"/>
      </w:pPr>
      <w:r w:rsidRPr="006E4F86">
        <w:t xml:space="preserve">Source: </w:t>
      </w:r>
      <w:r w:rsidRPr="006E4F86">
        <w:tab/>
        <w:t xml:space="preserve">AER analysis; ActewAGL, </w:t>
      </w:r>
      <w:r w:rsidRPr="004E3ADD">
        <w:rPr>
          <w:rStyle w:val="Emphasis"/>
        </w:rPr>
        <w:t>ACT Gas Networks Asset Management Plan RY16</w:t>
      </w:r>
      <w:r w:rsidR="00C353B7" w:rsidRPr="004E3ADD">
        <w:rPr>
          <w:rStyle w:val="Emphasis"/>
        </w:rPr>
        <w:t>–</w:t>
      </w:r>
      <w:r w:rsidRPr="004E3ADD">
        <w:rPr>
          <w:rStyle w:val="Emphasis"/>
        </w:rPr>
        <w:t>RY21</w:t>
      </w:r>
      <w:r w:rsidRPr="006E4F86">
        <w:t>, 30 June 2015.</w:t>
      </w:r>
    </w:p>
    <w:p w:rsidR="001D461C" w:rsidRPr="006E4F86" w:rsidRDefault="001D461C" w:rsidP="001D461C">
      <w:pPr>
        <w:pStyle w:val="HeadingBoldItalic"/>
      </w:pPr>
      <w:r w:rsidRPr="006E4F86">
        <w:t>Volumes</w:t>
      </w:r>
    </w:p>
    <w:p w:rsidR="001D461C" w:rsidRPr="006E4F86" w:rsidRDefault="001D461C" w:rsidP="001D461C">
      <w:r w:rsidRPr="006E4F86">
        <w:t xml:space="preserve">We are satisfied that ActewAGL’s revised forecast of new residential connections is the best estimate in the circumstances. </w:t>
      </w:r>
    </w:p>
    <w:p w:rsidR="001D461C" w:rsidRPr="006E4F86" w:rsidRDefault="001D461C" w:rsidP="001D461C">
      <w:r w:rsidRPr="006E4F86">
        <w:t xml:space="preserve">In </w:t>
      </w:r>
      <w:r>
        <w:t>the</w:t>
      </w:r>
      <w:r w:rsidRPr="006E4F86">
        <w:t xml:space="preserve"> draft decision we were not satisfied of this. In particular</w:t>
      </w:r>
      <w:r w:rsidR="00677CB3">
        <w:t>,</w:t>
      </w:r>
      <w:r w:rsidRPr="006E4F86">
        <w:t xml:space="preserve"> we did not agree with ActewAGL's forecast of a significant increase in new medium density/high rise </w:t>
      </w:r>
      <w:r>
        <w:t xml:space="preserve">(MD/HR) </w:t>
      </w:r>
      <w:r w:rsidRPr="006E4F86">
        <w:t>connections, wh</w:t>
      </w:r>
      <w:r>
        <w:t xml:space="preserve">ich were driven by </w:t>
      </w:r>
      <w:r w:rsidRPr="006E4F86">
        <w:t xml:space="preserve">the assumption of a 90 per cent gas </w:t>
      </w:r>
      <w:r w:rsidR="004F3D4F">
        <w:t>penetration</w:t>
      </w:r>
      <w:r w:rsidR="004F3D4F" w:rsidRPr="006E4F86">
        <w:t xml:space="preserve"> </w:t>
      </w:r>
      <w:r w:rsidRPr="006E4F86">
        <w:t>rate.</w:t>
      </w:r>
      <w:r w:rsidRPr="004535D2">
        <w:rPr>
          <w:rStyle w:val="FootnoteReference"/>
        </w:rPr>
        <w:footnoteReference w:id="40"/>
      </w:r>
      <w:r w:rsidRPr="006E4F86">
        <w:t xml:space="preserve"> Our alternative estimate was based on applying the historical gas connections rate of 62 per cent for all new dwellings over the forecast period</w:t>
      </w:r>
      <w:r>
        <w:t>,</w:t>
      </w:r>
      <w:r w:rsidRPr="004535D2">
        <w:rPr>
          <w:rStyle w:val="FootnoteReference"/>
        </w:rPr>
        <w:footnoteReference w:id="41"/>
      </w:r>
      <w:r>
        <w:t xml:space="preserve"> with a gas connection rate of 36 per cent for MD/HR dwellings.</w:t>
      </w:r>
    </w:p>
    <w:p w:rsidR="001D461C" w:rsidRPr="006E4F86" w:rsidRDefault="001D461C" w:rsidP="001D461C">
      <w:r w:rsidRPr="006E4F86">
        <w:t xml:space="preserve">In its revised proposal, ActewAGL adopted a gas connection rate of 72 per cent based on historical connections data over the 2010–11 to 2013–14 </w:t>
      </w:r>
      <w:proofErr w:type="gramStart"/>
      <w:r w:rsidRPr="006E4F86">
        <w:t>period</w:t>
      </w:r>
      <w:proofErr w:type="gramEnd"/>
      <w:r w:rsidRPr="006E4F86">
        <w:t xml:space="preserve"> to update its forecast new connections for </w:t>
      </w:r>
      <w:r w:rsidR="004F3D4F">
        <w:t>MD/HR</w:t>
      </w:r>
      <w:r w:rsidRPr="006E4F86">
        <w:t xml:space="preserve"> dwellings. We are satisfied that this revised </w:t>
      </w:r>
      <w:r>
        <w:t xml:space="preserve">gas </w:t>
      </w:r>
      <w:r w:rsidRPr="006E4F86">
        <w:t xml:space="preserve">connection rate for </w:t>
      </w:r>
      <w:r>
        <w:t>MD/HR dwellings</w:t>
      </w:r>
      <w:r w:rsidRPr="006E4F86">
        <w:t xml:space="preserve"> will result in a connections forecast that is reasonable and the best estimate in the circumstances. The reasons for our position are set out in attachment 13 (demand).</w:t>
      </w:r>
    </w:p>
    <w:p w:rsidR="001D461C" w:rsidRPr="006E4F86" w:rsidRDefault="001D461C" w:rsidP="001D461C">
      <w:pPr>
        <w:pStyle w:val="HeadingBoldItalic"/>
      </w:pPr>
      <w:r w:rsidRPr="006E4F86">
        <w:t>Connection unit rates</w:t>
      </w:r>
    </w:p>
    <w:p w:rsidR="001D461C" w:rsidRPr="006E4F86" w:rsidRDefault="001D461C" w:rsidP="001D461C">
      <w:r w:rsidRPr="006E4F86">
        <w:t xml:space="preserve">We are satisfied that ActewAGL's connection unit rates result in an estimate of market expansions capex that is arrived at on a reasonable basis. In </w:t>
      </w:r>
      <w:r>
        <w:t>the</w:t>
      </w:r>
      <w:r w:rsidRPr="006E4F86">
        <w:t xml:space="preserve"> draft decision, while we accepted the contract unit rates applied by ActewAGL, we did not acce</w:t>
      </w:r>
      <w:r>
        <w:t>p</w:t>
      </w:r>
      <w:r w:rsidRPr="006E4F86">
        <w:t>t that the forecasting approach and the cost step changes applied by ActewAGL would result in an estimate arrived at on a reasonable basis.</w:t>
      </w:r>
      <w:r w:rsidRPr="004535D2">
        <w:rPr>
          <w:rStyle w:val="FootnoteReference"/>
        </w:rPr>
        <w:footnoteReference w:id="42"/>
      </w:r>
      <w:r w:rsidRPr="006E4F86">
        <w:t xml:space="preserve"> </w:t>
      </w:r>
    </w:p>
    <w:p w:rsidR="001D461C" w:rsidRPr="006E4F86" w:rsidRDefault="001D461C" w:rsidP="001D461C">
      <w:r w:rsidRPr="006E4F86">
        <w:t xml:space="preserve">In </w:t>
      </w:r>
      <w:r>
        <w:t>the</w:t>
      </w:r>
      <w:r w:rsidRPr="006E4F86">
        <w:t xml:space="preserve"> draft decision we raised concerns regarding ActewAGL's:</w:t>
      </w:r>
    </w:p>
    <w:p w:rsidR="001D461C" w:rsidRPr="006E4F86" w:rsidRDefault="001D461C" w:rsidP="001D461C">
      <w:pPr>
        <w:pStyle w:val="ListNumber"/>
      </w:pPr>
      <w:r w:rsidRPr="006E4F86">
        <w:t>forecasting approach</w:t>
      </w:r>
    </w:p>
    <w:p w:rsidR="001D461C" w:rsidRPr="006E4F86" w:rsidRDefault="001D461C" w:rsidP="001D461C">
      <w:pPr>
        <w:pStyle w:val="ListNumber"/>
      </w:pPr>
      <w:r w:rsidRPr="006E4F86">
        <w:t>cost step change for energisation costs</w:t>
      </w:r>
    </w:p>
    <w:p w:rsidR="001D461C" w:rsidRPr="006E4F86" w:rsidRDefault="001D461C" w:rsidP="001D461C">
      <w:pPr>
        <w:pStyle w:val="ListNumber"/>
      </w:pPr>
      <w:r w:rsidRPr="006E4F86">
        <w:t>cost step change for hot water meters</w:t>
      </w:r>
    </w:p>
    <w:p w:rsidR="001D461C" w:rsidRPr="006E4F86" w:rsidRDefault="001D461C" w:rsidP="001D461C">
      <w:pPr>
        <w:pStyle w:val="ListNumber"/>
      </w:pPr>
      <w:r w:rsidRPr="006E4F86">
        <w:t>escalation of unit rates</w:t>
      </w:r>
    </w:p>
    <w:p w:rsidR="001D461C" w:rsidRPr="006E4F86" w:rsidRDefault="001D461C" w:rsidP="001D461C">
      <w:pPr>
        <w:pStyle w:val="ListNumber"/>
      </w:pPr>
      <w:proofErr w:type="gramStart"/>
      <w:r w:rsidRPr="006E4F86">
        <w:t>inclusion</w:t>
      </w:r>
      <w:proofErr w:type="gramEnd"/>
      <w:r w:rsidRPr="006E4F86">
        <w:t xml:space="preserve"> of an internal main for medium density/high rise connections.</w:t>
      </w:r>
    </w:p>
    <w:p w:rsidR="001D461C" w:rsidRPr="006E4F86" w:rsidRDefault="001D461C" w:rsidP="001D461C">
      <w:r>
        <w:t>W</w:t>
      </w:r>
      <w:r w:rsidRPr="006E4F86">
        <w:t xml:space="preserve">e are satisfied that ActewAGL addressed these issues </w:t>
      </w:r>
      <w:r>
        <w:t>in its revised proposal</w:t>
      </w:r>
      <w:r w:rsidRPr="006E4F86">
        <w:t xml:space="preserve"> such that </w:t>
      </w:r>
      <w:r>
        <w:t>its</w:t>
      </w:r>
      <w:r w:rsidRPr="006E4F86">
        <w:t xml:space="preserve"> revised unit rates model produces unit rates that result in an estimate of market expansion capex </w:t>
      </w:r>
      <w:r>
        <w:t>that is arrived at on a reason</w:t>
      </w:r>
      <w:r w:rsidRPr="006E4F86">
        <w:t xml:space="preserve">able basis. We consider each of </w:t>
      </w:r>
      <w:r>
        <w:t xml:space="preserve">these issues </w:t>
      </w:r>
      <w:r w:rsidRPr="006E4F86">
        <w:t>in turn below.</w:t>
      </w:r>
    </w:p>
    <w:p w:rsidR="001D461C" w:rsidRPr="006E4F86" w:rsidRDefault="001D461C" w:rsidP="001D461C">
      <w:pPr>
        <w:pStyle w:val="HeadingItalic"/>
      </w:pPr>
      <w:r w:rsidRPr="006E4F86">
        <w:t>Forecasting approach</w:t>
      </w:r>
    </w:p>
    <w:p w:rsidR="001D461C" w:rsidRPr="006E4F86" w:rsidRDefault="001D461C" w:rsidP="001D461C">
      <w:r w:rsidRPr="006E4F86">
        <w:t xml:space="preserve">In </w:t>
      </w:r>
      <w:r>
        <w:t>the</w:t>
      </w:r>
      <w:r w:rsidRPr="006E4F86">
        <w:t xml:space="preserve"> draft decision, we were not satisfied that ActewAGL's forecasting approach for connections unit rates would result in a forecast that is arrived at on a reasonable basis. We raised concerns regarding the data used in ActewAGL's unit rate model, the meter data logger and hot water meter roll out assumptions and forecasts and the number of connections </w:t>
      </w:r>
      <w:r>
        <w:t xml:space="preserve">used </w:t>
      </w:r>
      <w:r w:rsidRPr="006E4F86">
        <w:t xml:space="preserve">in </w:t>
      </w:r>
      <w:r>
        <w:t>its</w:t>
      </w:r>
      <w:r w:rsidRPr="006E4F86">
        <w:t xml:space="preserve"> unit rate model.</w:t>
      </w:r>
      <w:r w:rsidRPr="006E4F86">
        <w:rPr>
          <w:rStyle w:val="FootnoteReference"/>
        </w:rPr>
        <w:footnoteReference w:id="43"/>
      </w:r>
      <w:r>
        <w:t xml:space="preserve"> W</w:t>
      </w:r>
      <w:r w:rsidRPr="006E4F86">
        <w:t>e considered that ActewAGL could improve its estimate by taking into account the expected downturn in large apartment developments and separately forecasting a number of elements of the medium density and high rise dwelling unit rates.</w:t>
      </w:r>
      <w:r w:rsidRPr="006E4F86">
        <w:rPr>
          <w:rStyle w:val="FootnoteReference"/>
        </w:rPr>
        <w:footnoteReference w:id="44"/>
      </w:r>
    </w:p>
    <w:p w:rsidR="001D461C" w:rsidRPr="006E4F86" w:rsidRDefault="001D461C" w:rsidP="001D461C">
      <w:r>
        <w:t>W</w:t>
      </w:r>
      <w:r w:rsidRPr="006E4F86">
        <w:t xml:space="preserve">e are satisfied that ActewAGL </w:t>
      </w:r>
      <w:r>
        <w:t xml:space="preserve">has </w:t>
      </w:r>
      <w:r w:rsidRPr="006E4F86">
        <w:t xml:space="preserve">addressed </w:t>
      </w:r>
      <w:r>
        <w:t>our</w:t>
      </w:r>
      <w:r w:rsidRPr="006E4F86">
        <w:t xml:space="preserve"> concerns </w:t>
      </w:r>
      <w:r>
        <w:t>i</w:t>
      </w:r>
      <w:r w:rsidRPr="006E4F86">
        <w:t>n its r</w:t>
      </w:r>
      <w:r>
        <w:t>evised proposal</w:t>
      </w:r>
      <w:r w:rsidRPr="006E4F86">
        <w:t xml:space="preserve"> by developing a new forecasting method</w:t>
      </w:r>
      <w:r>
        <w:t>o</w:t>
      </w:r>
      <w:r w:rsidRPr="006E4F86">
        <w:t>logy that:</w:t>
      </w:r>
    </w:p>
    <w:p w:rsidR="001D461C" w:rsidRPr="006E4F86" w:rsidRDefault="001D461C" w:rsidP="001D461C">
      <w:pPr>
        <w:pStyle w:val="AERbulletlistfirststyle"/>
      </w:pPr>
      <w:r w:rsidRPr="006E4F86">
        <w:t>disaggregate</w:t>
      </w:r>
      <w:r>
        <w:t>s</w:t>
      </w:r>
      <w:r w:rsidRPr="006E4F86">
        <w:t xml:space="preserve"> the forecast of </w:t>
      </w:r>
      <w:r w:rsidR="004F3D4F">
        <w:t>MD/HR</w:t>
      </w:r>
      <w:r w:rsidRPr="006E4F86">
        <w:t xml:space="preserve"> connections into separate medium density connection forecast and high rise connection forecast;</w:t>
      </w:r>
    </w:p>
    <w:p w:rsidR="001D461C" w:rsidRPr="006E4F86" w:rsidRDefault="001D461C" w:rsidP="001D461C">
      <w:pPr>
        <w:pStyle w:val="AERbulletlistfirststyle"/>
      </w:pPr>
      <w:r w:rsidRPr="006E4F86">
        <w:t>predict</w:t>
      </w:r>
      <w:r>
        <w:t>s</w:t>
      </w:r>
      <w:r w:rsidRPr="006E4F86">
        <w:t xml:space="preserve"> how gas will be used by developers in those two scenarios and</w:t>
      </w:r>
      <w:r w:rsidR="00D050E9">
        <w:t>,</w:t>
      </w:r>
      <w:r w:rsidRPr="006E4F86">
        <w:t xml:space="preserve"> on that basis</w:t>
      </w:r>
      <w:r w:rsidR="00D050E9">
        <w:t>,</w:t>
      </w:r>
      <w:r w:rsidRPr="006E4F86">
        <w:t xml:space="preserve"> what type of connection assets will likely be required for those connections;</w:t>
      </w:r>
    </w:p>
    <w:p w:rsidR="001D461C" w:rsidRPr="006E4F86" w:rsidRDefault="001D461C" w:rsidP="001D461C">
      <w:pPr>
        <w:pStyle w:val="AERbulletlistfirststyle"/>
      </w:pPr>
      <w:proofErr w:type="gramStart"/>
      <w:r w:rsidRPr="006E4F86">
        <w:t>forecast</w:t>
      </w:r>
      <w:r>
        <w:t>s</w:t>
      </w:r>
      <w:proofErr w:type="gramEnd"/>
      <w:r w:rsidRPr="006E4F86">
        <w:t xml:space="preserve"> unit rates based on those two scenarios.</w:t>
      </w:r>
      <w:r w:rsidRPr="006E4F86">
        <w:rPr>
          <w:rStyle w:val="FootnoteReference"/>
        </w:rPr>
        <w:footnoteReference w:id="45"/>
      </w:r>
    </w:p>
    <w:p w:rsidR="001D461C" w:rsidRPr="006E4F86" w:rsidRDefault="001D461C" w:rsidP="001D461C">
      <w:r w:rsidRPr="006E4F86">
        <w:t xml:space="preserve">ActewAGL has relied on HIA housing forecasts to determine the number and ratio of medium density and high rise connections that are likely </w:t>
      </w:r>
      <w:r>
        <w:t xml:space="preserve">to be required </w:t>
      </w:r>
      <w:r w:rsidRPr="006E4F86">
        <w:t xml:space="preserve">over the </w:t>
      </w:r>
      <w:r>
        <w:t>2016</w:t>
      </w:r>
      <w:r w:rsidR="00C353B7">
        <w:t>–</w:t>
      </w:r>
      <w:r>
        <w:t xml:space="preserve">21 </w:t>
      </w:r>
      <w:r w:rsidR="000F7027">
        <w:t>access arrangement</w:t>
      </w:r>
      <w:r>
        <w:t xml:space="preserve"> </w:t>
      </w:r>
      <w:proofErr w:type="gramStart"/>
      <w:r w:rsidRPr="006E4F86">
        <w:t>period</w:t>
      </w:r>
      <w:proofErr w:type="gramEnd"/>
      <w:r w:rsidRPr="006E4F86">
        <w:t>.</w:t>
      </w:r>
      <w:r w:rsidRPr="006E4F86">
        <w:rPr>
          <w:rStyle w:val="FootnoteReference"/>
        </w:rPr>
        <w:footnoteReference w:id="46"/>
      </w:r>
      <w:r w:rsidRPr="006E4F86">
        <w:t xml:space="preserve"> ActewAGL </w:t>
      </w:r>
      <w:r>
        <w:t xml:space="preserve">then </w:t>
      </w:r>
      <w:r w:rsidRPr="006E4F86">
        <w:t>forecast</w:t>
      </w:r>
      <w:r>
        <w:t>s</w:t>
      </w:r>
      <w:r w:rsidRPr="006E4F86">
        <w:t xml:space="preserve"> how gas was likely to be used in those two scenarios</w:t>
      </w:r>
      <w:r>
        <w:t xml:space="preserve"> as follows</w:t>
      </w:r>
      <w:r w:rsidRPr="006E4F86">
        <w:t>:</w:t>
      </w:r>
    </w:p>
    <w:p w:rsidR="001D461C" w:rsidRPr="006E4F86" w:rsidRDefault="00727CC4" w:rsidP="001D461C">
      <w:pPr>
        <w:pStyle w:val="AERbulletlistfirststyle"/>
      </w:pPr>
      <w:r>
        <w:t>O</w:t>
      </w:r>
      <w:r w:rsidR="001D461C" w:rsidRPr="006E4F86">
        <w:t>ne dominant medium density configuration of each end customer having an individual gas meter for cooking and/or heating and/or an individual gas instantaneous hot water unit (no hot water meter required)</w:t>
      </w:r>
    </w:p>
    <w:p w:rsidR="001D461C" w:rsidRPr="006E4F86" w:rsidRDefault="00727CC4" w:rsidP="001D461C">
      <w:pPr>
        <w:pStyle w:val="AERbulletlistfirststyle"/>
      </w:pPr>
      <w:r>
        <w:t>T</w:t>
      </w:r>
      <w:r w:rsidR="001D461C" w:rsidRPr="006E4F86">
        <w:t>wo potential high rise configurations, each with 50</w:t>
      </w:r>
      <w:r w:rsidR="001D461C">
        <w:t xml:space="preserve"> per cent</w:t>
      </w:r>
      <w:r w:rsidR="001D461C" w:rsidRPr="006E4F86">
        <w:t xml:space="preserve"> market share:</w:t>
      </w:r>
    </w:p>
    <w:p w:rsidR="001D461C" w:rsidRPr="006E4F86" w:rsidRDefault="001D461C" w:rsidP="001D461C">
      <w:pPr>
        <w:pStyle w:val="AERbulletlistsecondstyle"/>
      </w:pPr>
      <w:r w:rsidRPr="006E4F86">
        <w:t>boundary metered gas cooking and/or heating with a central hot water system (requires boundary gas meters and individual hot water meters), and</w:t>
      </w:r>
    </w:p>
    <w:p w:rsidR="001D461C" w:rsidRPr="006E4F86" w:rsidRDefault="001D461C" w:rsidP="001D461C">
      <w:pPr>
        <w:pStyle w:val="AERbulletlistsecondstyle"/>
      </w:pPr>
      <w:proofErr w:type="gramStart"/>
      <w:r w:rsidRPr="006E4F86">
        <w:t>central</w:t>
      </w:r>
      <w:proofErr w:type="gramEnd"/>
      <w:r w:rsidRPr="006E4F86">
        <w:t xml:space="preserve"> hot water system only  (requires a boundary gas meter and individual hot water meters).</w:t>
      </w:r>
      <w:r w:rsidRPr="006E4F86">
        <w:rPr>
          <w:rStyle w:val="FootnoteReference"/>
        </w:rPr>
        <w:footnoteReference w:id="47"/>
      </w:r>
      <w:r w:rsidRPr="006E4F86">
        <w:rPr>
          <w:rStyle w:val="FootnoteReference"/>
        </w:rPr>
        <w:t xml:space="preserve"> </w:t>
      </w:r>
    </w:p>
    <w:p w:rsidR="001D461C" w:rsidRPr="006E4F86" w:rsidRDefault="001D461C" w:rsidP="001D461C">
      <w:r w:rsidRPr="006E4F86">
        <w:t xml:space="preserve">ActewAGL acknowledged that this 50/50 split was based on a significant degree of judgment. Due to the introduction of the Gas Service and Installation Rules Code and the Gas Network Boundary Code Amendment, gas meters </w:t>
      </w:r>
      <w:r w:rsidR="004F3D4F">
        <w:t>must be installed external to</w:t>
      </w:r>
      <w:r w:rsidRPr="006E4F86">
        <w:t xml:space="preserve"> high rise </w:t>
      </w:r>
      <w:r w:rsidR="004F3D4F">
        <w:t>building</w:t>
      </w:r>
      <w:r w:rsidRPr="006E4F86">
        <w:t xml:space="preserve">s. This </w:t>
      </w:r>
      <w:r>
        <w:t>means that</w:t>
      </w:r>
      <w:r w:rsidRPr="006E4F86">
        <w:t xml:space="preserve"> gas for cooking </w:t>
      </w:r>
      <w:r>
        <w:t xml:space="preserve">can </w:t>
      </w:r>
      <w:r w:rsidRPr="006E4F86">
        <w:t>only be supplied to high rise apartments using a boundary gas meter. Therefore</w:t>
      </w:r>
      <w:r>
        <w:t>,</w:t>
      </w:r>
      <w:r w:rsidRPr="006E4F86">
        <w:t xml:space="preserve"> </w:t>
      </w:r>
      <w:r>
        <w:t xml:space="preserve">there is little merit in using </w:t>
      </w:r>
      <w:r w:rsidRPr="006E4F86">
        <w:t>histori</w:t>
      </w:r>
      <w:r>
        <w:t>c</w:t>
      </w:r>
      <w:r w:rsidRPr="006E4F86">
        <w:t>al metering configurations as a basis for forecasts.</w:t>
      </w:r>
      <w:r w:rsidRPr="006E4F86">
        <w:rPr>
          <w:rStyle w:val="FootnoteReference"/>
        </w:rPr>
        <w:footnoteReference w:id="48"/>
      </w:r>
      <w:r w:rsidRPr="006E4F86">
        <w:rPr>
          <w:rStyle w:val="FootnoteReference"/>
        </w:rPr>
        <w:t xml:space="preserve"> </w:t>
      </w:r>
    </w:p>
    <w:p w:rsidR="001D461C" w:rsidRPr="006E4F86" w:rsidRDefault="001D461C" w:rsidP="001D461C">
      <w:r w:rsidRPr="006E4F86">
        <w:t>We accept that these asset requirements are a reasonable estimate of the required assets for these connection types. In determining this:</w:t>
      </w:r>
    </w:p>
    <w:p w:rsidR="001D461C" w:rsidRPr="006E4F86" w:rsidRDefault="001D461C" w:rsidP="001D461C">
      <w:pPr>
        <w:pStyle w:val="AERbulletlistfirststyle"/>
      </w:pPr>
      <w:proofErr w:type="gramStart"/>
      <w:r>
        <w:t>we</w:t>
      </w:r>
      <w:proofErr w:type="gramEnd"/>
      <w:r>
        <w:t xml:space="preserve"> recognise that </w:t>
      </w:r>
      <w:r w:rsidRPr="006E4F86">
        <w:t xml:space="preserve">relying on the HIA disaggregated forecast of medium density/high rise connections </w:t>
      </w:r>
      <w:r>
        <w:t xml:space="preserve">data, which is </w:t>
      </w:r>
      <w:r w:rsidRPr="006E4F86">
        <w:t>a well</w:t>
      </w:r>
      <w:r>
        <w:t>-</w:t>
      </w:r>
      <w:r w:rsidRPr="006E4F86">
        <w:t>accepted industry standard indicator of connection activity</w:t>
      </w:r>
      <w:r>
        <w:t xml:space="preserve">, </w:t>
      </w:r>
      <w:r w:rsidRPr="006E4F86">
        <w:t xml:space="preserve">is reasonable in the circumstances. </w:t>
      </w:r>
      <w:r w:rsidRPr="006E4F86">
        <w:rPr>
          <w:rStyle w:val="FootnoteReference"/>
        </w:rPr>
        <w:footnoteReference w:id="49"/>
      </w:r>
      <w:r>
        <w:t xml:space="preserve"> </w:t>
      </w:r>
    </w:p>
    <w:p w:rsidR="001D461C" w:rsidRPr="006E4F86" w:rsidRDefault="001D461C" w:rsidP="001D461C">
      <w:pPr>
        <w:pStyle w:val="AERbulletlistfirststyle"/>
      </w:pPr>
      <w:proofErr w:type="gramStart"/>
      <w:r>
        <w:t>w</w:t>
      </w:r>
      <w:r w:rsidRPr="006E4F86">
        <w:t>e</w:t>
      </w:r>
      <w:proofErr w:type="gramEnd"/>
      <w:r w:rsidRPr="006E4F86">
        <w:t xml:space="preserve"> agree that there is a degree of uncertainty in forecasting the split for high rise meter configurations and accept that ActewAGL's forecast is reasonable in the circumstances. </w:t>
      </w:r>
    </w:p>
    <w:p w:rsidR="001D461C" w:rsidRPr="006E4F86" w:rsidRDefault="001D461C" w:rsidP="001D461C">
      <w:r w:rsidRPr="006E4F86">
        <w:t>Using this 50/50 split, ActewAGL assessed the asset requirements for each medium density and high rise connection type</w:t>
      </w:r>
      <w:r w:rsidRPr="00460088">
        <w:t xml:space="preserve"> </w:t>
      </w:r>
      <w:r>
        <w:t xml:space="preserve">in order </w:t>
      </w:r>
      <w:r w:rsidRPr="006E4F86">
        <w:t>to forecast unit rates for these connection types.</w:t>
      </w:r>
      <w:r w:rsidRPr="006E4F86">
        <w:rPr>
          <w:rStyle w:val="FootnoteReference"/>
        </w:rPr>
        <w:footnoteReference w:id="50"/>
      </w:r>
      <w:r w:rsidRPr="006E4F86">
        <w:t xml:space="preserve"> </w:t>
      </w:r>
    </w:p>
    <w:p w:rsidR="001D461C" w:rsidRPr="006E4F86" w:rsidRDefault="001D461C" w:rsidP="001D461C">
      <w:r>
        <w:t>Since</w:t>
      </w:r>
      <w:r w:rsidRPr="006E4F86">
        <w:t xml:space="preserve"> we accepted the contract unit rates in </w:t>
      </w:r>
      <w:r>
        <w:t>the</w:t>
      </w:r>
      <w:r w:rsidRPr="006E4F86">
        <w:t xml:space="preserve"> </w:t>
      </w:r>
      <w:r>
        <w:t>draft decision and</w:t>
      </w:r>
      <w:r w:rsidRPr="006E4F86">
        <w:t xml:space="preserve"> ActewAGL has addressed </w:t>
      </w:r>
      <w:r>
        <w:t>our</w:t>
      </w:r>
      <w:r w:rsidRPr="006E4F86">
        <w:t xml:space="preserve"> concerns</w:t>
      </w:r>
      <w:r>
        <w:t>,</w:t>
      </w:r>
      <w:r w:rsidRPr="006E4F86">
        <w:t xml:space="preserve"> we are satisfied that resulting unit rates for </w:t>
      </w:r>
      <w:r>
        <w:t xml:space="preserve">MD/HR </w:t>
      </w:r>
      <w:r w:rsidRPr="006E4F86">
        <w:t xml:space="preserve">connections are </w:t>
      </w:r>
      <w:r>
        <w:t>estimates that are</w:t>
      </w:r>
      <w:r w:rsidRPr="006E4F86">
        <w:t xml:space="preserve"> arrived at on a reasonable basis.</w:t>
      </w:r>
    </w:p>
    <w:p w:rsidR="001D461C" w:rsidRPr="006E4F86" w:rsidRDefault="001D461C" w:rsidP="001D461C">
      <w:pPr>
        <w:pStyle w:val="HeadingItalic"/>
      </w:pPr>
      <w:r w:rsidRPr="006E4F86">
        <w:t>Cost step change for energisation costs</w:t>
      </w:r>
    </w:p>
    <w:p w:rsidR="001D461C" w:rsidRPr="006E4F86" w:rsidRDefault="001D461C" w:rsidP="001D461C">
      <w:r w:rsidRPr="006E4F86">
        <w:t>In its initial proposal, ActewAGL proposed a step change for energisation costs for medium density connections that it attributed to the introduction of the National Energy Customer Framework (NECF).</w:t>
      </w:r>
      <w:r w:rsidRPr="006E4F86">
        <w:rPr>
          <w:rStyle w:val="FootnoteReference"/>
        </w:rPr>
        <w:footnoteReference w:id="51"/>
      </w:r>
      <w:r w:rsidRPr="006E4F86">
        <w:t xml:space="preserve"> In </w:t>
      </w:r>
      <w:r>
        <w:t>the</w:t>
      </w:r>
      <w:r w:rsidRPr="006E4F86">
        <w:t xml:space="preserve"> draft decision, we rejected this step change because ActewAGL is able to allocate energisation costs to the connecting party, by requiring a retail contract to be in place before establishing a new connection.</w:t>
      </w:r>
      <w:r w:rsidRPr="006E4F86">
        <w:rPr>
          <w:rStyle w:val="FootnoteReference"/>
        </w:rPr>
        <w:footnoteReference w:id="52"/>
      </w:r>
      <w:r w:rsidRPr="006E4F86">
        <w:t xml:space="preserve"> ActewAGL has removed these energisation costs from its connections unit rates model </w:t>
      </w:r>
      <w:r>
        <w:t>in</w:t>
      </w:r>
      <w:r w:rsidRPr="006E4F86">
        <w:t xml:space="preserve"> its revised proposal.</w:t>
      </w:r>
      <w:r w:rsidRPr="006E4F86">
        <w:rPr>
          <w:rStyle w:val="FootnoteReference"/>
        </w:rPr>
        <w:footnoteReference w:id="53"/>
      </w:r>
    </w:p>
    <w:p w:rsidR="001D461C" w:rsidRPr="006E4F86" w:rsidRDefault="001D461C" w:rsidP="001D461C">
      <w:pPr>
        <w:pStyle w:val="HeadingItalic"/>
      </w:pPr>
      <w:r w:rsidRPr="006E4F86">
        <w:t>Cost step change for hot water meters</w:t>
      </w:r>
    </w:p>
    <w:p w:rsidR="001D461C" w:rsidRPr="006E4F86" w:rsidRDefault="001D461C" w:rsidP="001D461C">
      <w:r w:rsidRPr="006E4F86">
        <w:t>In its initial proposal unit rate model, ActewAGL referred to three different types of hot water meters, but applied the unit rate for a hot water meter which is materially more expensive than the other hot water meter types.</w:t>
      </w:r>
      <w:r w:rsidRPr="006E4F86">
        <w:rPr>
          <w:rStyle w:val="FootnoteReference"/>
        </w:rPr>
        <w:footnoteReference w:id="54"/>
      </w:r>
      <w:r w:rsidRPr="006E4F86">
        <w:t xml:space="preserve"> In </w:t>
      </w:r>
      <w:r>
        <w:t>the</w:t>
      </w:r>
      <w:r w:rsidRPr="006E4F86">
        <w:t xml:space="preserve"> draft decision, based on the information available, we were concerned </w:t>
      </w:r>
      <w:r>
        <w:t>about</w:t>
      </w:r>
      <w:r w:rsidRPr="006E4F86">
        <w:t xml:space="preserve"> the use of a materially more expensive hot water meter than the alternative </w:t>
      </w:r>
      <w:r>
        <w:t xml:space="preserve">that was </w:t>
      </w:r>
      <w:r w:rsidRPr="006E4F86">
        <w:t>proposed in the tender reports</w:t>
      </w:r>
      <w:r>
        <w:t xml:space="preserve"> which ActewAGL obtained</w:t>
      </w:r>
      <w:r w:rsidRPr="006E4F86">
        <w:t>. Therefore, we did not accept this proposed step change for hot water meters on the basis that using the more expensive hot water meters would result in a forecast that was not arrived at on a reasonable basis.</w:t>
      </w:r>
      <w:r w:rsidRPr="006E4F86">
        <w:rPr>
          <w:rStyle w:val="FootnoteReference"/>
        </w:rPr>
        <w:footnoteReference w:id="55"/>
      </w:r>
      <w:r w:rsidRPr="006E4F86">
        <w:t xml:space="preserve"> </w:t>
      </w:r>
    </w:p>
    <w:p w:rsidR="001D461C" w:rsidRPr="006E4F86" w:rsidRDefault="001D461C" w:rsidP="001D461C">
      <w:r w:rsidRPr="006E4F86">
        <w:t>In a confidential appendix to its revised proposal, ActewAGL submitted further information regarding the costs, features and life cycle costs of the meters it proposed to use.</w:t>
      </w:r>
      <w:r w:rsidRPr="006E4F86">
        <w:rPr>
          <w:rStyle w:val="FootnoteReference"/>
        </w:rPr>
        <w:footnoteReference w:id="56"/>
      </w:r>
      <w:r w:rsidRPr="006E4F86">
        <w:t xml:space="preserve"> On the basis of this information, we accept that using the proposed hot water meters results in a forecast that was arrived at on a reasonable basis.</w:t>
      </w:r>
    </w:p>
    <w:p w:rsidR="001D461C" w:rsidRPr="006E4F86" w:rsidRDefault="001D461C" w:rsidP="001D461C">
      <w:pPr>
        <w:pStyle w:val="HeadingItalic"/>
      </w:pPr>
      <w:r w:rsidRPr="006E4F86">
        <w:t>Escalation of unit rates</w:t>
      </w:r>
    </w:p>
    <w:p w:rsidR="001D461C" w:rsidRPr="006E4F86" w:rsidRDefault="001D461C" w:rsidP="001D461C">
      <w:r w:rsidRPr="006E4F86">
        <w:t xml:space="preserve">Initially, ActewAGL proposed to escalate unit rates in the same way as it did for forecast opex to account for expected component price changes over the 2016–21 </w:t>
      </w:r>
      <w:r w:rsidR="000F7027">
        <w:t>access arrangement</w:t>
      </w:r>
      <w:r w:rsidRPr="006E4F86">
        <w:t xml:space="preserve"> </w:t>
      </w:r>
      <w:proofErr w:type="gramStart"/>
      <w:r w:rsidRPr="006E4F86">
        <w:t>period</w:t>
      </w:r>
      <w:proofErr w:type="gramEnd"/>
      <w:r w:rsidRPr="006E4F86">
        <w:t>.</w:t>
      </w:r>
      <w:r w:rsidRPr="006E4F86">
        <w:rPr>
          <w:rStyle w:val="FootnoteReference"/>
        </w:rPr>
        <w:footnoteReference w:id="57"/>
      </w:r>
      <w:r w:rsidRPr="006E4F86">
        <w:t xml:space="preserve"> </w:t>
      </w:r>
      <w:r>
        <w:t>In preparing the draft decision,</w:t>
      </w:r>
      <w:r w:rsidRPr="006E4F86">
        <w:t xml:space="preserve"> we were unable to identify these escalations</w:t>
      </w:r>
      <w:r w:rsidR="00A6224A">
        <w:t>. We</w:t>
      </w:r>
      <w:r w:rsidRPr="006E4F86">
        <w:t xml:space="preserve"> therefore did not include escalation in the unit rates.</w:t>
      </w:r>
      <w:r w:rsidRPr="006E4F86">
        <w:rPr>
          <w:rStyle w:val="FootnoteReference"/>
        </w:rPr>
        <w:footnoteReference w:id="58"/>
      </w:r>
    </w:p>
    <w:p w:rsidR="001D461C" w:rsidRPr="006E4F86" w:rsidRDefault="001D461C" w:rsidP="001D461C">
      <w:r w:rsidRPr="006E4F86">
        <w:t xml:space="preserve">ActewAGL </w:t>
      </w:r>
      <w:r>
        <w:t xml:space="preserve">provided a </w:t>
      </w:r>
      <w:r w:rsidRPr="006E4F86">
        <w:t xml:space="preserve">further </w:t>
      </w:r>
      <w:r>
        <w:t xml:space="preserve">explanation about </w:t>
      </w:r>
      <w:r w:rsidRPr="006E4F86">
        <w:t>how it implemented escalation of its unit rates</w:t>
      </w:r>
      <w:r>
        <w:t xml:space="preserve"> in</w:t>
      </w:r>
      <w:r w:rsidRPr="006E4F86">
        <w:t xml:space="preserve"> its</w:t>
      </w:r>
      <w:r>
        <w:t xml:space="preserve"> revised proposal</w:t>
      </w:r>
      <w:r w:rsidRPr="006E4F86">
        <w:t xml:space="preserve">. It noted that the </w:t>
      </w:r>
      <w:r w:rsidR="0021632F">
        <w:t>Distribution Asset Management Services Agreement (</w:t>
      </w:r>
      <w:r w:rsidRPr="006E4F86">
        <w:t>DAMS requires that unit rates be reset against benchmark market rates on the fifth anniversary of the Effective Time (practically, on 1 July 2018). Therefore ActewAGL proposed real price escalation only for 2018/19 to reflect the escalation required by the contract. It also proposed no real price escalation for 2016</w:t>
      </w:r>
      <w:r w:rsidR="00C353B7">
        <w:t>–</w:t>
      </w:r>
      <w:r w:rsidRPr="006E4F86">
        <w:t>17, 2017</w:t>
      </w:r>
      <w:r w:rsidR="00C353B7">
        <w:t>–</w:t>
      </w:r>
      <w:r w:rsidRPr="006E4F86">
        <w:t>18, 2019</w:t>
      </w:r>
      <w:r w:rsidR="00C353B7">
        <w:t>–</w:t>
      </w:r>
      <w:r w:rsidRPr="006E4F86">
        <w:t>20 and 2020</w:t>
      </w:r>
      <w:r w:rsidR="00C353B7">
        <w:t>–</w:t>
      </w:r>
      <w:r w:rsidRPr="006E4F86">
        <w:t>21.</w:t>
      </w:r>
      <w:r w:rsidRPr="006E4F86">
        <w:rPr>
          <w:rStyle w:val="FootnoteReference"/>
        </w:rPr>
        <w:footnoteReference w:id="59"/>
      </w:r>
      <w:r w:rsidRPr="006E4F86">
        <w:t xml:space="preserve"> Further</w:t>
      </w:r>
      <w:r>
        <w:t>,</w:t>
      </w:r>
      <w:r w:rsidRPr="006E4F86">
        <w:t xml:space="preserve"> ActewAGL accepted our </w:t>
      </w:r>
      <w:r>
        <w:t xml:space="preserve">position in the </w:t>
      </w:r>
      <w:r w:rsidRPr="006E4F86">
        <w:t>draft decision that material cost escalation should not be applied and our labour cost escalators.</w:t>
      </w:r>
      <w:r w:rsidRPr="006E4F86">
        <w:rPr>
          <w:rStyle w:val="FootnoteReference"/>
        </w:rPr>
        <w:footnoteReference w:id="60"/>
      </w:r>
      <w:r w:rsidRPr="006E4F86">
        <w:t xml:space="preserve"> Therefore, </w:t>
      </w:r>
      <w:r>
        <w:t>in this</w:t>
      </w:r>
      <w:r w:rsidRPr="006E4F86">
        <w:t xml:space="preserve"> final decision we will apply our labour escalators to the unit rates for the year 2018</w:t>
      </w:r>
      <w:r w:rsidR="00C353B7">
        <w:t>–</w:t>
      </w:r>
      <w:r w:rsidRPr="006E4F86">
        <w:t>19 only to address the escalation required by the DAMS.</w:t>
      </w:r>
    </w:p>
    <w:p w:rsidR="001D461C" w:rsidRPr="006E4F86" w:rsidRDefault="001D461C" w:rsidP="001D461C">
      <w:pPr>
        <w:pStyle w:val="HeadingItalic"/>
      </w:pPr>
      <w:r w:rsidRPr="006E4F86">
        <w:t>Inclusion of an internal main for medium density/high rise connections</w:t>
      </w:r>
    </w:p>
    <w:p w:rsidR="001D461C" w:rsidRPr="006E4F86" w:rsidRDefault="001D461C" w:rsidP="001D461C">
      <w:r w:rsidRPr="006E4F86">
        <w:t>In its initial proposal, ActewAGL indicated that, unlike networks in other jurisdictions, it includes the internal main within the site of the villa complex in its connections capex proposal.</w:t>
      </w:r>
      <w:r w:rsidRPr="006E4F86">
        <w:rPr>
          <w:rStyle w:val="FootnoteReference"/>
        </w:rPr>
        <w:footnoteReference w:id="61"/>
      </w:r>
      <w:r w:rsidRPr="006E4F86">
        <w:t xml:space="preserve"> In </w:t>
      </w:r>
      <w:r>
        <w:t>the</w:t>
      </w:r>
      <w:r w:rsidRPr="006E4F86">
        <w:t xml:space="preserve"> draft decision, we rejected this approach </w:t>
      </w:r>
      <w:r>
        <w:t>on the basis that</w:t>
      </w:r>
      <w:r w:rsidRPr="006E4F86">
        <w:t xml:space="preserve"> the internal main is contained within the property and therefore should be paid for by the developer.</w:t>
      </w:r>
      <w:r w:rsidRPr="006E4F86">
        <w:rPr>
          <w:rStyle w:val="FootnoteReference"/>
        </w:rPr>
        <w:footnoteReference w:id="62"/>
      </w:r>
    </w:p>
    <w:p w:rsidR="001D461C" w:rsidRPr="006E4F86" w:rsidRDefault="001D461C" w:rsidP="001D461C">
      <w:r w:rsidRPr="006E4F86">
        <w:t>In its revised proposal, ActewAGL presented further information on this issue. It cited clause 3.3 of the Boundary Code that stipulates that the boundary between a gas distribution network and a customer's premises is at the point of supply, which is the outlet of the meter assembly. ActewAGL noted that for villas and similar developments, the connection assets up to the outlet of the meter assemb</w:t>
      </w:r>
      <w:r>
        <w:t>l</w:t>
      </w:r>
      <w:r w:rsidRPr="006E4F86">
        <w:t>y include mains, internal mains, services and the meter assembly and therefore they are a part of ActewAGL's owned network. ActewAGL stated that it does not charge developers for internal mains simply because they are on the villa site.</w:t>
      </w:r>
      <w:r w:rsidRPr="006E4F86">
        <w:rPr>
          <w:rStyle w:val="FootnoteReference"/>
        </w:rPr>
        <w:footnoteReference w:id="63"/>
      </w:r>
      <w:r w:rsidRPr="006E4F86">
        <w:t xml:space="preserve"> Based on this information, we are satisfied that internal mains should be included in the connections unit rate for medium density/high rise for ActewAGL.</w:t>
      </w:r>
    </w:p>
    <w:p w:rsidR="001D461C" w:rsidRPr="006E4F86" w:rsidRDefault="001D461C" w:rsidP="001D461C">
      <w:pPr>
        <w:pStyle w:val="HeadingItalic"/>
      </w:pPr>
      <w:r w:rsidRPr="006E4F86">
        <w:t>Conclusion on connections unit rates</w:t>
      </w:r>
    </w:p>
    <w:p w:rsidR="001D461C" w:rsidRPr="006E4F86" w:rsidRDefault="001D461C" w:rsidP="001D461C">
      <w:r w:rsidRPr="006E4F86">
        <w:t xml:space="preserve">We are satisfied that ActewAGL has addressed all the issues raised in </w:t>
      </w:r>
      <w:r>
        <w:t>the</w:t>
      </w:r>
      <w:r w:rsidRPr="006E4F86">
        <w:t xml:space="preserve"> draft decision regarding the connections unit rates. As such, we </w:t>
      </w:r>
      <w:r>
        <w:t>consider</w:t>
      </w:r>
      <w:r w:rsidRPr="006E4F86">
        <w:t xml:space="preserve"> that these unit rates will result in a</w:t>
      </w:r>
      <w:r>
        <w:t>n</w:t>
      </w:r>
      <w:r w:rsidRPr="006E4F86">
        <w:t xml:space="preserve"> estimate of market expansion capex that is arrived at on a reasonable basis.</w:t>
      </w:r>
      <w:r w:rsidRPr="006E4F86">
        <w:rPr>
          <w:rStyle w:val="FootnoteReference"/>
        </w:rPr>
        <w:footnoteReference w:id="64"/>
      </w:r>
    </w:p>
    <w:p w:rsidR="001D461C" w:rsidRPr="006E4F86" w:rsidRDefault="001D461C" w:rsidP="001D461C">
      <w:pPr>
        <w:pStyle w:val="HeadingBoldItalic"/>
      </w:pPr>
      <w:r w:rsidRPr="006E4F86">
        <w:t xml:space="preserve">Tariff </w:t>
      </w:r>
      <w:r w:rsidR="00872F54">
        <w:t xml:space="preserve">Industrial and Commercial (I&amp;C) contract and non-routine </w:t>
      </w:r>
      <w:r w:rsidRPr="006E4F86">
        <w:t>connections</w:t>
      </w:r>
    </w:p>
    <w:p w:rsidR="00872F54" w:rsidRDefault="00872F54" w:rsidP="00872F54">
      <w:r w:rsidRPr="006E4F86">
        <w:t>We are satisfied that ActewAGL's proposed expenditure</w:t>
      </w:r>
      <w:r w:rsidR="004F3D4F">
        <w:t xml:space="preserve"> of $1.2 million</w:t>
      </w:r>
      <w:r w:rsidRPr="006E4F86">
        <w:t xml:space="preserve"> for </w:t>
      </w:r>
      <w:r>
        <w:t>tariff I&amp;C contract</w:t>
      </w:r>
      <w:r w:rsidRPr="006E4F86">
        <w:t xml:space="preserve"> </w:t>
      </w:r>
      <w:r>
        <w:t xml:space="preserve">(and non-routine) </w:t>
      </w:r>
      <w:r w:rsidRPr="006E4F86">
        <w:t xml:space="preserve">connections is the best forecast or estimate possible in the circumstances and have included this amount in our alternative </w:t>
      </w:r>
      <w:r>
        <w:t>capex estimate.</w:t>
      </w:r>
      <w:r w:rsidR="005D6C4A">
        <w:t xml:space="preserve"> </w:t>
      </w:r>
      <w:r w:rsidR="004F3D4F" w:rsidRPr="006E4F86">
        <w:t>This is the same amount ActewAGL included in its initial proposal.</w:t>
      </w:r>
    </w:p>
    <w:p w:rsidR="004F3D4F" w:rsidRDefault="004F3D4F" w:rsidP="004F3D4F">
      <w:r w:rsidRPr="006E4F86">
        <w:t>In its revised proposal,</w:t>
      </w:r>
      <w:r>
        <w:t xml:space="preserve"> ActewAGL submit that tariff I&amp;C contract expenditure also includes non-routine connection expenditure, which is incurred where a high-pressure connection is made using steel pipes, for instance in providing a high-pressure connection to a new development.</w:t>
      </w:r>
      <w:r>
        <w:rPr>
          <w:rStyle w:val="FootnoteReference"/>
        </w:rPr>
        <w:footnoteReference w:id="65"/>
      </w:r>
    </w:p>
    <w:p w:rsidR="001D461C" w:rsidRPr="006E4F86" w:rsidRDefault="004F3D4F" w:rsidP="001D461C">
      <w:r>
        <w:t>In our draft decision, w</w:t>
      </w:r>
      <w:r w:rsidR="001D461C" w:rsidRPr="006E4F86">
        <w:t>e did n</w:t>
      </w:r>
      <w:r w:rsidR="00872F54">
        <w:t>ot include any expenditure for t</w:t>
      </w:r>
      <w:r w:rsidR="001D461C" w:rsidRPr="006E4F86">
        <w:t xml:space="preserve">ariff </w:t>
      </w:r>
      <w:r w:rsidR="00872F54">
        <w:t xml:space="preserve">I&amp;C contract </w:t>
      </w:r>
      <w:r w:rsidR="001D461C" w:rsidRPr="006E4F86">
        <w:t xml:space="preserve">connections because we were unable to verify the historical expenditure which ActewAGL indicated was the basis for </w:t>
      </w:r>
      <w:r w:rsidR="001D461C">
        <w:t>its proposal</w:t>
      </w:r>
      <w:r w:rsidR="001D461C" w:rsidRPr="006E4F86">
        <w:t>.</w:t>
      </w:r>
    </w:p>
    <w:p w:rsidR="00B31552" w:rsidRDefault="004F3D4F" w:rsidP="001D461C">
      <w:r>
        <w:t xml:space="preserve">In response to the draft decision, </w:t>
      </w:r>
      <w:r w:rsidR="001D461C" w:rsidRPr="006E4F86">
        <w:t>ActewAGL noted that the historical costs were no</w:t>
      </w:r>
      <w:r w:rsidR="001D461C">
        <w:t>t separately reported in the historical RIN data, but w</w:t>
      </w:r>
      <w:r w:rsidR="001D461C" w:rsidRPr="006E4F86">
        <w:t>ere included in the 'I&amp;C tariff category'. ActewAGL confirmed that there was no double counting of this expenditure in the market expansion capex forecast.</w:t>
      </w:r>
      <w:r w:rsidR="001D461C" w:rsidRPr="006E4F86">
        <w:rPr>
          <w:rStyle w:val="FootnoteReference"/>
        </w:rPr>
        <w:footnoteReference w:id="66"/>
      </w:r>
      <w:r w:rsidR="001D461C">
        <w:rPr>
          <w:rStyle w:val="FootnoteReference"/>
        </w:rPr>
        <w:t xml:space="preserve"> </w:t>
      </w:r>
      <w:r w:rsidR="001D461C" w:rsidRPr="006E4F86">
        <w:t xml:space="preserve">We are satisfied because the forecast is based on an historical average over 2010–11 to 2013–14 as </w:t>
      </w:r>
      <w:r w:rsidR="001D461C">
        <w:t>revealed</w:t>
      </w:r>
      <w:r w:rsidR="001D461C" w:rsidRPr="006E4F86">
        <w:t xml:space="preserve"> in the further information provided by ActewAGL.</w:t>
      </w:r>
      <w:r w:rsidR="00B31552">
        <w:t xml:space="preserve"> </w:t>
      </w:r>
    </w:p>
    <w:p w:rsidR="00917D1D" w:rsidRPr="00C30434" w:rsidRDefault="00917D1D" w:rsidP="00917D1D">
      <w:pPr>
        <w:pStyle w:val="Heading4"/>
        <w:rPr>
          <w:rStyle w:val="AERtexthighlight"/>
        </w:rPr>
      </w:pPr>
      <w:r>
        <w:t>Capital contributions</w:t>
      </w:r>
      <w:r w:rsidR="00C30434">
        <w:t xml:space="preserve"> </w:t>
      </w:r>
    </w:p>
    <w:p w:rsidR="002C660F" w:rsidRDefault="002C660F" w:rsidP="002C660F">
      <w:r>
        <w:t>A customer may make a capital contribution, where the revenue generated by a new connection is less than the capex and opex cost incurred in making and maintaining the new connection.</w:t>
      </w:r>
      <w:r>
        <w:rPr>
          <w:rStyle w:val="FootnoteReference"/>
        </w:rPr>
        <w:footnoteReference w:id="67"/>
      </w:r>
    </w:p>
    <w:p w:rsidR="00AE5BA6" w:rsidRDefault="00AE5BA6" w:rsidP="002C660F">
      <w:r>
        <w:t>We accept ActewAGL's proposed capital contribution of $4.1 million for all tariff classes.</w:t>
      </w:r>
    </w:p>
    <w:p w:rsidR="002C660F" w:rsidRDefault="002C660F" w:rsidP="002C660F">
      <w:r>
        <w:t>For tariff V customers, ActewAGL proposed capital contributions of $0.5 million (2015–16, unescalated)</w:t>
      </w:r>
      <w:r w:rsidR="00234F38">
        <w:t xml:space="preserve"> in its initial proposal</w:t>
      </w:r>
      <w:r>
        <w:t>.</w:t>
      </w:r>
      <w:r>
        <w:rPr>
          <w:rStyle w:val="FootnoteReference"/>
        </w:rPr>
        <w:footnoteReference w:id="68"/>
      </w:r>
      <w:r>
        <w:t xml:space="preserve"> </w:t>
      </w:r>
      <w:r w:rsidR="00234F38">
        <w:t xml:space="preserve">In </w:t>
      </w:r>
      <w:r w:rsidR="00A30C80">
        <w:t xml:space="preserve">the </w:t>
      </w:r>
      <w:r w:rsidR="00234F38">
        <w:t>draft decision w</w:t>
      </w:r>
      <w:r>
        <w:t>e</w:t>
      </w:r>
      <w:r w:rsidR="00727CC4">
        <w:t xml:space="preserve"> were unable to verify ActewAGL'</w:t>
      </w:r>
      <w:r>
        <w:t>s proposed capital contribution amounts</w:t>
      </w:r>
      <w:r w:rsidR="00A30C80">
        <w:t>. These amounts</w:t>
      </w:r>
      <w:r>
        <w:t xml:space="preserve"> were hardcoded in the </w:t>
      </w:r>
      <w:r w:rsidR="000F7027">
        <w:t>access arrangement</w:t>
      </w:r>
      <w:r>
        <w:t xml:space="preserve"> RIN.</w:t>
      </w:r>
      <w:r>
        <w:rPr>
          <w:rStyle w:val="FootnoteReference"/>
        </w:rPr>
        <w:footnoteReference w:id="69"/>
      </w:r>
      <w:r>
        <w:t xml:space="preserve"> We </w:t>
      </w:r>
      <w:r w:rsidR="00234F38">
        <w:t xml:space="preserve">therefore </w:t>
      </w:r>
      <w:r>
        <w:t>forecast a capital contribution of $4.1 million ($2015–16, unescalated), applying the method described by ActewAGL.</w:t>
      </w:r>
      <w:r w:rsidR="00234F38">
        <w:t xml:space="preserve"> ActewAGL accepted our alternative forecast in its revised proposal.</w:t>
      </w:r>
      <w:r w:rsidR="00234F38">
        <w:rPr>
          <w:rStyle w:val="FootnoteReference"/>
        </w:rPr>
        <w:footnoteReference w:id="70"/>
      </w:r>
    </w:p>
    <w:p w:rsidR="007A4910" w:rsidRDefault="00234F38" w:rsidP="007A4910">
      <w:r>
        <w:t xml:space="preserve">In our draft decision we also noted that </w:t>
      </w:r>
      <w:r w:rsidR="002C660F">
        <w:t>ActewAGL did not submit ca</w:t>
      </w:r>
      <w:r w:rsidR="00AE5BA6">
        <w:t>pital contributions for tariff I&amp;C</w:t>
      </w:r>
      <w:r w:rsidR="002C660F">
        <w:t xml:space="preserve"> </w:t>
      </w:r>
      <w:r w:rsidR="00A72E44">
        <w:t xml:space="preserve">contract </w:t>
      </w:r>
      <w:r w:rsidR="002C660F">
        <w:t>customers</w:t>
      </w:r>
      <w:r w:rsidR="001821DB">
        <w:t xml:space="preserve">; </w:t>
      </w:r>
      <w:r w:rsidR="002C660F">
        <w:t>however, it state</w:t>
      </w:r>
      <w:r>
        <w:t>d</w:t>
      </w:r>
      <w:r w:rsidR="002C660F">
        <w:t xml:space="preserve"> that ‘[a]</w:t>
      </w:r>
      <w:r w:rsidR="002C660F" w:rsidRPr="004872DE">
        <w:t xml:space="preserve"> forecast will be included in the revised proposal</w:t>
      </w:r>
      <w:r w:rsidR="002C660F">
        <w:t>’</w:t>
      </w:r>
      <w:r w:rsidR="002C660F" w:rsidRPr="004872DE">
        <w:t>.</w:t>
      </w:r>
      <w:r w:rsidR="002C660F">
        <w:rPr>
          <w:rStyle w:val="FootnoteReference"/>
        </w:rPr>
        <w:footnoteReference w:id="71"/>
      </w:r>
      <w:r w:rsidR="002C660F">
        <w:t xml:space="preserve">  </w:t>
      </w:r>
      <w:r w:rsidR="00A72E44">
        <w:t xml:space="preserve">In its revised proposal, ActewAGL did not provide a separate capital contribution forecast for these customers, and in response to an information request indicated that the Tariff V capital contribution of $4.1 million already includes the capital contribution for </w:t>
      </w:r>
      <w:r w:rsidR="00AE5BA6">
        <w:t xml:space="preserve">tariff I&amp;C </w:t>
      </w:r>
      <w:r w:rsidR="00A72E44">
        <w:t>contract</w:t>
      </w:r>
      <w:r w:rsidR="00AE5BA6">
        <w:t xml:space="preserve"> and tariff</w:t>
      </w:r>
      <w:r w:rsidR="00A72E44">
        <w:t xml:space="preserve"> customers. </w:t>
      </w:r>
      <w:r w:rsidR="00B31552">
        <w:t>ActewAGL</w:t>
      </w:r>
      <w:r w:rsidR="00A72E44">
        <w:t xml:space="preserve"> note that given the </w:t>
      </w:r>
      <w:r w:rsidR="00B31552">
        <w:t>small</w:t>
      </w:r>
      <w:r w:rsidR="00A72E44">
        <w:t xml:space="preserve"> number and dollar value of </w:t>
      </w:r>
      <w:r w:rsidR="00B31552">
        <w:t xml:space="preserve">historical tariff </w:t>
      </w:r>
      <w:r w:rsidR="00AE5BA6">
        <w:t xml:space="preserve">I&amp;C </w:t>
      </w:r>
      <w:r w:rsidR="00B31552">
        <w:t>contract capital contributions, they did not try to forecast capital contribution for contract and tariff customers separately.</w:t>
      </w:r>
      <w:r w:rsidR="00AE5BA6">
        <w:t xml:space="preserve"> We note that we have concerns with the lack of transparency in </w:t>
      </w:r>
      <w:r w:rsidR="003C1327">
        <w:t xml:space="preserve">ActewAGL's </w:t>
      </w:r>
      <w:r w:rsidR="00AE5BA6">
        <w:t xml:space="preserve">historical reporting of tariff I&amp;C contract and tariff expenditure and contributions together. For future reporting purposes, we note that ActewAGL consider reporting of these tariff sub-classes separately. </w:t>
      </w:r>
    </w:p>
    <w:p w:rsidR="007A4910" w:rsidRDefault="007A4910" w:rsidP="007A4910">
      <w:pPr>
        <w:pStyle w:val="Heading4"/>
      </w:pPr>
      <w:r>
        <w:t>Capacity development/augmentation</w:t>
      </w:r>
    </w:p>
    <w:p w:rsidR="00655A95" w:rsidRPr="00655A95" w:rsidRDefault="00655A95" w:rsidP="004E3ADD">
      <w:pPr>
        <w:jc w:val="both"/>
      </w:pPr>
      <w:r w:rsidRPr="00655A95">
        <w:t xml:space="preserve">Capacity development, or augmentation, capex is directed at increasing the capacity of the existing network to meet the demand of existing and future </w:t>
      </w:r>
      <w:r w:rsidR="0021632F">
        <w:t xml:space="preserve">customers. </w:t>
      </w:r>
      <w:r w:rsidRPr="00655A95">
        <w:t>Augmentation</w:t>
      </w:r>
      <w:r w:rsidR="0021632F">
        <w:t xml:space="preserve"> </w:t>
      </w:r>
      <w:r w:rsidRPr="00655A95">
        <w:t xml:space="preserve">capex is required to maintain gas pressure and minimise the risk of gas outages. </w:t>
      </w:r>
    </w:p>
    <w:p w:rsidR="00655A95" w:rsidRPr="00655A95" w:rsidRDefault="00655A95" w:rsidP="00655A95">
      <w:r w:rsidRPr="00655A95">
        <w:t>We have included $</w:t>
      </w:r>
      <w:r w:rsidR="000C4CE6">
        <w:t>6.0</w:t>
      </w:r>
      <w:r w:rsidRPr="00655A95">
        <w:t xml:space="preserve"> million ($2015–16) of augmentation capex in our alternative estimate (see</w:t>
      </w:r>
      <w:r>
        <w:t xml:space="preserve"> </w:t>
      </w:r>
      <w:r>
        <w:fldChar w:fldCharType="begin"/>
      </w:r>
      <w:r>
        <w:instrText xml:space="preserve"> REF _Ref443467849 \h </w:instrText>
      </w:r>
      <w:r>
        <w:fldChar w:fldCharType="separate"/>
      </w:r>
      <w:r w:rsidR="00D822F6">
        <w:t xml:space="preserve">Table </w:t>
      </w:r>
      <w:r w:rsidR="00D822F6">
        <w:rPr>
          <w:noProof/>
        </w:rPr>
        <w:t>6</w:t>
      </w:r>
      <w:r w:rsidR="00D822F6">
        <w:t>.</w:t>
      </w:r>
      <w:r w:rsidR="00D822F6">
        <w:rPr>
          <w:noProof/>
        </w:rPr>
        <w:t>2</w:t>
      </w:r>
      <w:r>
        <w:fldChar w:fldCharType="end"/>
      </w:r>
      <w:r w:rsidRPr="00655A95">
        <w:t xml:space="preserve">). We are not satisfied that ActewAGL’s revised proposal </w:t>
      </w:r>
      <w:r w:rsidR="001431B6">
        <w:t xml:space="preserve">of </w:t>
      </w:r>
      <w:r w:rsidRPr="00655A95">
        <w:t>$</w:t>
      </w:r>
      <w:r w:rsidR="000C4CE6">
        <w:t>14.4</w:t>
      </w:r>
      <w:r w:rsidRPr="00655A95">
        <w:t xml:space="preserve"> million ($2015–16) is conforming </w:t>
      </w:r>
      <w:r w:rsidR="00493A8F">
        <w:t xml:space="preserve">under </w:t>
      </w:r>
      <w:r w:rsidRPr="00655A95">
        <w:t>rule 79</w:t>
      </w:r>
      <w:r w:rsidR="00C353B7">
        <w:t xml:space="preserve"> of the NGR</w:t>
      </w:r>
      <w:r w:rsidRPr="00655A95">
        <w:t>.</w:t>
      </w:r>
    </w:p>
    <w:p w:rsidR="00655A95" w:rsidRPr="00655A95" w:rsidRDefault="00655A95" w:rsidP="00655A95">
      <w:r w:rsidRPr="00655A95">
        <w:t>ActewAGL proposed augmentation capex to meet growth in peak hourly load on its distribution network. This is to accommodate demand from new customers and to meet growth in peak load from existing customers as they upgrade or add appliances.</w:t>
      </w:r>
      <w:r w:rsidRPr="00655A95">
        <w:rPr>
          <w:rStyle w:val="FootnoteReference"/>
        </w:rPr>
        <w:footnoteReference w:id="72"/>
      </w:r>
      <w:r w:rsidRPr="00655A95">
        <w:t xml:space="preserve"> ActewAGL stated its augmentation capex provides ‘supply security and maintenance of supply reliability’, and maintains ‘capacity to supply existing services’, pursuant to rule</w:t>
      </w:r>
      <w:r w:rsidR="00C644EA">
        <w:t>s</w:t>
      </w:r>
      <w:r w:rsidRPr="00655A95">
        <w:t xml:space="preserve"> 79(2</w:t>
      </w:r>
      <w:proofErr w:type="gramStart"/>
      <w:r w:rsidRPr="00655A95">
        <w:t>)(</w:t>
      </w:r>
      <w:proofErr w:type="gramEnd"/>
      <w:r w:rsidRPr="00655A95">
        <w:t>c)(ii) and (iv), respectively, of the NGR.</w:t>
      </w:r>
      <w:r w:rsidRPr="00655A95">
        <w:rPr>
          <w:rStyle w:val="FootnoteReference"/>
        </w:rPr>
        <w:footnoteReference w:id="73"/>
      </w:r>
      <w:r w:rsidRPr="00655A95">
        <w:t xml:space="preserve"> </w:t>
      </w:r>
    </w:p>
    <w:p w:rsidR="00655A95" w:rsidRPr="00655A95" w:rsidRDefault="00655A95" w:rsidP="00655A95">
      <w:r w:rsidRPr="00655A95">
        <w:t xml:space="preserve">In its revised proposal, ActewAGL did not agree with the draft decision that the Molonglo primary and Molonglo secondary projects will not be required in the 2016–21 period. </w:t>
      </w:r>
      <w:r w:rsidR="001431B6">
        <w:t xml:space="preserve">Based on </w:t>
      </w:r>
      <w:r w:rsidRPr="00655A95">
        <w:t>new information, ActewAGL agreed it can defer two projects</w:t>
      </w:r>
      <w:r w:rsidR="00102283">
        <w:t xml:space="preserve"> (although Molonglo Primary </w:t>
      </w:r>
      <w:r w:rsidR="00985998">
        <w:t xml:space="preserve">still needs to be </w:t>
      </w:r>
      <w:r w:rsidR="00102283">
        <w:t>undertaken in the 2016</w:t>
      </w:r>
      <w:r w:rsidR="00C353B7">
        <w:t>–</w:t>
      </w:r>
      <w:r w:rsidR="00102283">
        <w:t xml:space="preserve">21 </w:t>
      </w:r>
      <w:r w:rsidR="000F7027">
        <w:t>access arrangement</w:t>
      </w:r>
      <w:r w:rsidR="00102283">
        <w:t xml:space="preserve"> period) </w:t>
      </w:r>
      <w:r w:rsidR="001431B6">
        <w:t xml:space="preserve">reducing its proposed augmentation capex from its initially proposed amount of </w:t>
      </w:r>
      <w:r w:rsidR="00A61DBD">
        <w:t>$17.7 million ($2015–16).</w:t>
      </w:r>
    </w:p>
    <w:p w:rsidR="00AD7EA1" w:rsidRDefault="00AD7EA1" w:rsidP="00655A95">
      <w:r>
        <w:t xml:space="preserve">Our final decision is that augmentation </w:t>
      </w:r>
      <w:r w:rsidRPr="00655A95">
        <w:t xml:space="preserve">capex </w:t>
      </w:r>
      <w:r>
        <w:t xml:space="preserve">of </w:t>
      </w:r>
      <w:r w:rsidRPr="00655A95">
        <w:t>$8.4 million</w:t>
      </w:r>
      <w:r w:rsidR="00A61DBD">
        <w:t xml:space="preserve"> ($2015–16)</w:t>
      </w:r>
      <w:r w:rsidRPr="00655A95">
        <w:t xml:space="preserve"> associated with the Molonglo Primary and Molonglo Secondary projects</w:t>
      </w:r>
      <w:r>
        <w:t xml:space="preserve"> </w:t>
      </w:r>
      <w:r w:rsidRPr="00655A95">
        <w:t xml:space="preserve">is </w:t>
      </w:r>
      <w:r>
        <w:t xml:space="preserve">not </w:t>
      </w:r>
      <w:r w:rsidR="0066701E">
        <w:t xml:space="preserve">such </w:t>
      </w:r>
      <w:r w:rsidR="0066701E" w:rsidRPr="006A1F19">
        <w:t>as would be incurred by a prudent service provider acting efficiently</w:t>
      </w:r>
      <w:r w:rsidRPr="00655A95">
        <w:t>.</w:t>
      </w:r>
      <w:r w:rsidR="006A1F19">
        <w:rPr>
          <w:rStyle w:val="FootnoteReference"/>
        </w:rPr>
        <w:footnoteReference w:id="74"/>
      </w:r>
      <w:r w:rsidRPr="00655A95">
        <w:t xml:space="preserve"> </w:t>
      </w:r>
      <w:r>
        <w:t>Based on the information before us, w</w:t>
      </w:r>
      <w:r w:rsidRPr="00655A95">
        <w:t>e consider</w:t>
      </w:r>
      <w:r w:rsidR="006A1F19">
        <w:t xml:space="preserve"> the </w:t>
      </w:r>
      <w:r>
        <w:t xml:space="preserve">capex </w:t>
      </w:r>
      <w:r w:rsidR="006A1F19">
        <w:t xml:space="preserve">ActewAGL proposed </w:t>
      </w:r>
      <w:r>
        <w:t xml:space="preserve">for </w:t>
      </w:r>
      <w:proofErr w:type="gramStart"/>
      <w:r>
        <w:t>these projects</w:t>
      </w:r>
      <w:r w:rsidRPr="00655A95">
        <w:t xml:space="preserve"> </w:t>
      </w:r>
      <w:r w:rsidR="006A1F19">
        <w:t>is</w:t>
      </w:r>
      <w:proofErr w:type="gramEnd"/>
      <w:r w:rsidR="006A1F19">
        <w:t xml:space="preserve"> </w:t>
      </w:r>
      <w:r w:rsidRPr="00655A95">
        <w:t>not</w:t>
      </w:r>
      <w:r w:rsidR="00DA4E01">
        <w:t xml:space="preserve"> </w:t>
      </w:r>
      <w:r w:rsidR="00AD4294">
        <w:t>necessary under the NGR</w:t>
      </w:r>
      <w:r w:rsidRPr="00655A95">
        <w:t xml:space="preserve"> in the 2016–21 </w:t>
      </w:r>
      <w:r w:rsidR="000F7027">
        <w:t>access arrangement</w:t>
      </w:r>
      <w:r w:rsidRPr="00655A95">
        <w:t xml:space="preserve"> period.</w:t>
      </w:r>
      <w:r w:rsidR="006A1F19">
        <w:rPr>
          <w:rStyle w:val="FootnoteReference"/>
        </w:rPr>
        <w:footnoteReference w:id="75"/>
      </w:r>
      <w:r w:rsidR="0066701E">
        <w:t xml:space="preserve"> </w:t>
      </w:r>
      <w:r w:rsidRPr="00655A95">
        <w:t xml:space="preserve">In </w:t>
      </w:r>
      <w:r>
        <w:t xml:space="preserve">coming to this position, </w:t>
      </w:r>
      <w:r w:rsidRPr="00655A95">
        <w:t xml:space="preserve">we </w:t>
      </w:r>
      <w:r>
        <w:t xml:space="preserve">had regard to technical </w:t>
      </w:r>
      <w:r w:rsidRPr="00655A95">
        <w:t xml:space="preserve">advice from our engineering consultant, </w:t>
      </w:r>
      <w:proofErr w:type="spellStart"/>
      <w:r w:rsidRPr="00655A95">
        <w:t>Sleeman</w:t>
      </w:r>
      <w:proofErr w:type="spellEnd"/>
      <w:r w:rsidRPr="00655A95">
        <w:t xml:space="preserve"> Consulting</w:t>
      </w:r>
      <w:r w:rsidR="00893292">
        <w:t>.</w:t>
      </w:r>
    </w:p>
    <w:p w:rsidR="00655A95" w:rsidRPr="00655A95" w:rsidRDefault="00655A95" w:rsidP="00C30434">
      <w:pPr>
        <w:pStyle w:val="HeadingBoldItalic"/>
      </w:pPr>
      <w:r w:rsidRPr="00655A95">
        <w:t>Molonglo Primary</w:t>
      </w:r>
    </w:p>
    <w:p w:rsidR="001A76CC" w:rsidRDefault="00655A95" w:rsidP="00655A95">
      <w:r w:rsidRPr="00655A95">
        <w:t xml:space="preserve">We do not consider ActewAGL’s proposed capex of $8.2 million ($2015–16) for this project is conforming capex </w:t>
      </w:r>
      <w:r w:rsidR="00493A8F">
        <w:t xml:space="preserve">under </w:t>
      </w:r>
      <w:r w:rsidRPr="00655A95">
        <w:t xml:space="preserve">rule 79 of the NGR. We </w:t>
      </w:r>
      <w:r w:rsidR="00493A8F">
        <w:t xml:space="preserve">also do not </w:t>
      </w:r>
      <w:r w:rsidRPr="00655A95">
        <w:t>consider ActewAGL arrive</w:t>
      </w:r>
      <w:r w:rsidR="00493A8F">
        <w:t>d</w:t>
      </w:r>
      <w:r w:rsidRPr="00655A95">
        <w:t xml:space="preserve"> at its capital expenditure forecast on a reasonable basis.</w:t>
      </w:r>
      <w:r w:rsidRPr="00655A95">
        <w:rPr>
          <w:rStyle w:val="FootnoteReference"/>
        </w:rPr>
        <w:footnoteReference w:id="76"/>
      </w:r>
      <w:r w:rsidRPr="00655A95">
        <w:t xml:space="preserve"> </w:t>
      </w:r>
    </w:p>
    <w:p w:rsidR="00655A95" w:rsidRPr="00655A95" w:rsidRDefault="001A76CC" w:rsidP="00655A95">
      <w:r>
        <w:t>Based on the information before us</w:t>
      </w:r>
      <w:proofErr w:type="gramStart"/>
      <w:r>
        <w:t>,</w:t>
      </w:r>
      <w:proofErr w:type="gramEnd"/>
      <w:r w:rsidR="006920AD" w:rsidRPr="006920AD">
        <w:rPr>
          <w:rStyle w:val="FootnoteReference"/>
        </w:rPr>
        <w:t xml:space="preserve"> </w:t>
      </w:r>
      <w:r>
        <w:t xml:space="preserve">including advice from </w:t>
      </w:r>
      <w:proofErr w:type="spellStart"/>
      <w:r>
        <w:t>Sleeman</w:t>
      </w:r>
      <w:proofErr w:type="spellEnd"/>
      <w:r>
        <w:t xml:space="preserve"> Consulting, we assess that ActewAGL's revised </w:t>
      </w:r>
      <w:r w:rsidR="008220A4">
        <w:t xml:space="preserve">peak </w:t>
      </w:r>
      <w:r>
        <w:t>demand forecasts</w:t>
      </w:r>
      <w:r w:rsidR="00A61DBD">
        <w:t>—</w:t>
      </w:r>
      <w:r>
        <w:t>the underlying basis of its proposed augmentation capex</w:t>
      </w:r>
      <w:r w:rsidR="00A61DBD">
        <w:t>—</w:t>
      </w:r>
      <w:r>
        <w:t xml:space="preserve">is </w:t>
      </w:r>
      <w:r w:rsidR="00655A95" w:rsidRPr="00655A95">
        <w:t>overstated</w:t>
      </w:r>
      <w:r>
        <w:t>.</w:t>
      </w:r>
      <w:r w:rsidR="00A61DBD" w:rsidRPr="00655A95">
        <w:rPr>
          <w:rStyle w:val="FootnoteReference"/>
        </w:rPr>
        <w:footnoteReference w:id="77"/>
      </w:r>
      <w:r>
        <w:t xml:space="preserve"> Thus, we consider that </w:t>
      </w:r>
      <w:r w:rsidR="00655A95" w:rsidRPr="00655A95">
        <w:t>augmentation capex</w:t>
      </w:r>
      <w:r w:rsidR="006A1F19">
        <w:t xml:space="preserve"> ActewAGL proposed</w:t>
      </w:r>
      <w:r>
        <w:t xml:space="preserve"> for Molonglo Primary</w:t>
      </w:r>
      <w:r w:rsidR="00655A95" w:rsidRPr="00655A95">
        <w:t xml:space="preserve"> is not </w:t>
      </w:r>
      <w:r w:rsidR="00AD4294">
        <w:t xml:space="preserve">necessary under the NGR </w:t>
      </w:r>
      <w:r w:rsidR="00655A95" w:rsidRPr="00655A95">
        <w:t xml:space="preserve">over </w:t>
      </w:r>
      <w:r>
        <w:t>the 2016</w:t>
      </w:r>
      <w:r w:rsidR="00A61DBD">
        <w:t>–</w:t>
      </w:r>
      <w:r>
        <w:t xml:space="preserve">21 </w:t>
      </w:r>
      <w:r w:rsidR="00655A95" w:rsidRPr="00655A95">
        <w:t>period, and can be deferred to subsequent</w:t>
      </w:r>
      <w:r w:rsidR="00493A8F">
        <w:t xml:space="preserve"> </w:t>
      </w:r>
      <w:r w:rsidR="000F7027">
        <w:t>access arrangement</w:t>
      </w:r>
      <w:r w:rsidR="00655A95" w:rsidRPr="00655A95">
        <w:t xml:space="preserve"> periods.</w:t>
      </w:r>
      <w:r w:rsidR="00655A95" w:rsidRPr="00655A95">
        <w:rPr>
          <w:rStyle w:val="FootnoteReference"/>
        </w:rPr>
        <w:footnoteReference w:id="78"/>
      </w:r>
      <w:r w:rsidR="00655A95" w:rsidRPr="00655A95">
        <w:t xml:space="preserve"> We therefore do not consider ActewAGL’s proposed expenditure for Molonglo Primary is consistent with expenditure by a prudent service provider acting efficiently.</w:t>
      </w:r>
      <w:r w:rsidR="00655A95" w:rsidRPr="00655A95">
        <w:rPr>
          <w:rStyle w:val="FootnoteReference"/>
        </w:rPr>
        <w:footnoteReference w:id="79"/>
      </w:r>
    </w:p>
    <w:p w:rsidR="006920AD" w:rsidRDefault="00655A95" w:rsidP="00655A95">
      <w:r w:rsidRPr="00655A95">
        <w:t xml:space="preserve">In </w:t>
      </w:r>
      <w:r w:rsidR="00FE63FA">
        <w:t>the</w:t>
      </w:r>
      <w:r w:rsidRPr="00655A95">
        <w:t xml:space="preserve"> initial proposal, ActewAGL included $8.2 million ($2015–16) for this project. </w:t>
      </w:r>
      <w:r w:rsidR="00493A8F">
        <w:t xml:space="preserve">In the </w:t>
      </w:r>
      <w:r w:rsidRPr="00655A95">
        <w:t xml:space="preserve">draft decision </w:t>
      </w:r>
      <w:r w:rsidR="00493A8F">
        <w:t xml:space="preserve">we </w:t>
      </w:r>
      <w:r w:rsidRPr="00655A95">
        <w:t xml:space="preserve">did not include this project in </w:t>
      </w:r>
      <w:r w:rsidR="00493A8F">
        <w:t xml:space="preserve">our alternative </w:t>
      </w:r>
      <w:r w:rsidRPr="00655A95">
        <w:t xml:space="preserve">capex forecast because we considered ActewAGL’s forecast new dwellings and peak </w:t>
      </w:r>
      <w:r w:rsidR="006920AD">
        <w:t xml:space="preserve">demand </w:t>
      </w:r>
      <w:r w:rsidRPr="00655A95">
        <w:t xml:space="preserve">forecasts were excessive. In addition, ActewAGL did not </w:t>
      </w:r>
      <w:r w:rsidR="00493A8F">
        <w:t xml:space="preserve">demonstrate </w:t>
      </w:r>
      <w:r w:rsidRPr="00655A95">
        <w:t xml:space="preserve">that it </w:t>
      </w:r>
      <w:r w:rsidR="00493A8F">
        <w:t xml:space="preserve">had </w:t>
      </w:r>
      <w:r w:rsidRPr="00655A95">
        <w:t>considered other options to ensure integrity of supply to the Molonglo area as new loads arise.</w:t>
      </w:r>
      <w:r w:rsidRPr="00655A95">
        <w:rPr>
          <w:rStyle w:val="FootnoteReference"/>
        </w:rPr>
        <w:footnoteReference w:id="80"/>
      </w:r>
    </w:p>
    <w:p w:rsidR="00462C03" w:rsidRDefault="006920AD" w:rsidP="00655A95">
      <w:r>
        <w:t>ActewAGL</w:t>
      </w:r>
      <w:r w:rsidR="00CA2F6F">
        <w:t>'s</w:t>
      </w:r>
      <w:r>
        <w:t xml:space="preserve"> revised proposal provided an analysis of other options it considered,</w:t>
      </w:r>
      <w:r w:rsidR="00CB1FC3">
        <w:t xml:space="preserve"> and updated modelling numbers.</w:t>
      </w:r>
      <w:r w:rsidR="00CB1FC3" w:rsidRPr="00655A95">
        <w:rPr>
          <w:rStyle w:val="FootnoteReference"/>
        </w:rPr>
        <w:footnoteReference w:id="81"/>
      </w:r>
      <w:r w:rsidR="00CB1FC3">
        <w:t xml:space="preserve"> ActewAGL also</w:t>
      </w:r>
      <w:r w:rsidR="00CA2F6F" w:rsidRPr="00655A95" w:rsidDel="00CA2F6F">
        <w:rPr>
          <w:rStyle w:val="FootnoteReference"/>
        </w:rPr>
        <w:t xml:space="preserve"> </w:t>
      </w:r>
      <w:r w:rsidR="00BE7544">
        <w:t xml:space="preserve">clarified how it </w:t>
      </w:r>
      <w:r w:rsidR="00FE63FA">
        <w:t>derived</w:t>
      </w:r>
      <w:r w:rsidR="00BE7544">
        <w:t xml:space="preserve"> its 1 in 20 peak demand forecasts</w:t>
      </w:r>
      <w:r w:rsidR="00CB1FC3">
        <w:t>.</w:t>
      </w:r>
      <w:r w:rsidR="00CB1FC3">
        <w:rPr>
          <w:rStyle w:val="FootnoteReference"/>
        </w:rPr>
        <w:footnoteReference w:id="82"/>
      </w:r>
      <w:r w:rsidR="00BE7544">
        <w:t xml:space="preserve"> </w:t>
      </w:r>
      <w:r w:rsidR="00462C03" w:rsidRPr="00462C03">
        <w:t>To determine an overall peak demand, ActewAGL applie</w:t>
      </w:r>
      <w:r w:rsidR="00493A8F">
        <w:t>d</w:t>
      </w:r>
      <w:r w:rsidR="00462C03" w:rsidRPr="00462C03">
        <w:t xml:space="preserve"> its estimate of 1 in 20 peak hourly gas demand</w:t>
      </w:r>
      <w:r w:rsidR="00936C27">
        <w:t xml:space="preserve"> per customer</w:t>
      </w:r>
      <w:r w:rsidR="00462C03" w:rsidRPr="00462C03">
        <w:t xml:space="preserve"> to the total number of dwellings to be developed in the Molonglo area.</w:t>
      </w:r>
      <w:r w:rsidR="00462C03">
        <w:t xml:space="preserve"> W</w:t>
      </w:r>
      <w:r w:rsidR="00CA2F6F">
        <w:t xml:space="preserve">e consider </w:t>
      </w:r>
      <w:r w:rsidR="00727CC4">
        <w:t>ActewAGL'</w:t>
      </w:r>
      <w:r w:rsidR="00214786">
        <w:t>s</w:t>
      </w:r>
      <w:r>
        <w:t xml:space="preserve"> </w:t>
      </w:r>
      <w:r w:rsidR="00462C03">
        <w:t xml:space="preserve">estimated overall peak demand forecast to supply the Molonglo area is </w:t>
      </w:r>
      <w:r>
        <w:t>still excessive</w:t>
      </w:r>
      <w:r w:rsidR="008220A4">
        <w:t xml:space="preserve"> </w:t>
      </w:r>
      <w:r w:rsidR="00462C03">
        <w:t>as:</w:t>
      </w:r>
    </w:p>
    <w:p w:rsidR="00BE7544" w:rsidRDefault="00CA2F6F" w:rsidP="00C30434">
      <w:pPr>
        <w:pStyle w:val="AERbulletlistfirststyle"/>
      </w:pPr>
      <w:r>
        <w:t>i</w:t>
      </w:r>
      <w:r w:rsidR="00BE7544">
        <w:t xml:space="preserve">ts assumption of a 100 per cent gas </w:t>
      </w:r>
      <w:r w:rsidR="006423EC">
        <w:t xml:space="preserve">penetration </w:t>
      </w:r>
      <w:r w:rsidR="00BE7544">
        <w:t>rate in Molonglo is not reasonable</w:t>
      </w:r>
      <w:r w:rsidR="00E4633D">
        <w:t xml:space="preserve">, </w:t>
      </w:r>
      <w:r w:rsidR="00462C03">
        <w:t>and</w:t>
      </w:r>
    </w:p>
    <w:p w:rsidR="001578E5" w:rsidRDefault="001578E5" w:rsidP="001578E5">
      <w:pPr>
        <w:pStyle w:val="AERbulletlistfirststyle"/>
      </w:pPr>
      <w:proofErr w:type="gramStart"/>
      <w:r>
        <w:t>it</w:t>
      </w:r>
      <w:proofErr w:type="gramEnd"/>
      <w:r>
        <w:t xml:space="preserve"> does not account for the trend of declining peak load per customer, </w:t>
      </w:r>
      <w:r w:rsidR="007E5FBD">
        <w:t xml:space="preserve">which </w:t>
      </w:r>
      <w:r w:rsidR="00364C62">
        <w:t>overstates</w:t>
      </w:r>
      <w:r>
        <w:t xml:space="preserve"> the 1 in 20 peak demand forecast</w:t>
      </w:r>
      <w:r w:rsidR="00E4633D">
        <w:t>.</w:t>
      </w:r>
    </w:p>
    <w:p w:rsidR="00462C03" w:rsidRPr="00462C03" w:rsidRDefault="00462C03" w:rsidP="00C30434">
      <w:pPr>
        <w:pStyle w:val="AERbulletlistfirststyle"/>
        <w:numPr>
          <w:ilvl w:val="0"/>
          <w:numId w:val="0"/>
        </w:numPr>
      </w:pPr>
      <w:r w:rsidRPr="00462C03">
        <w:t xml:space="preserve">We also </w:t>
      </w:r>
      <w:r w:rsidR="00493A8F">
        <w:t xml:space="preserve">consider </w:t>
      </w:r>
      <w:r w:rsidRPr="00462C03">
        <w:t xml:space="preserve">that </w:t>
      </w:r>
      <w:r w:rsidR="00493A8F">
        <w:t xml:space="preserve">ActewAGL's </w:t>
      </w:r>
      <w:r w:rsidRPr="00462C03">
        <w:t>forecasting approach lacks transparency.</w:t>
      </w:r>
    </w:p>
    <w:p w:rsidR="006920AD" w:rsidRDefault="00BE7544" w:rsidP="00655A95">
      <w:r>
        <w:t xml:space="preserve">Given these reasons, our final decision is </w:t>
      </w:r>
      <w:r w:rsidR="006920AD">
        <w:t xml:space="preserve">that augmentation capex for Molonglo Primary is not </w:t>
      </w:r>
      <w:r w:rsidR="00DA4E01">
        <w:t xml:space="preserve">such </w:t>
      </w:r>
      <w:r w:rsidR="00DA4E01" w:rsidRPr="006A1F19">
        <w:t>as would be incurred by a prudent service provider acting efficiently</w:t>
      </w:r>
      <w:r w:rsidR="006920AD">
        <w:t>.</w:t>
      </w:r>
      <w:r w:rsidR="0066701E">
        <w:rPr>
          <w:rStyle w:val="FootnoteReference"/>
        </w:rPr>
        <w:footnoteReference w:id="83"/>
      </w:r>
      <w:r w:rsidR="006920AD">
        <w:t xml:space="preserve"> </w:t>
      </w:r>
    </w:p>
    <w:p w:rsidR="0066701E" w:rsidRPr="00655A95" w:rsidRDefault="0066701E" w:rsidP="0066701E">
      <w:r w:rsidRPr="00655A95">
        <w:t>The Master Builders Association (MBA) submitted</w:t>
      </w:r>
      <w:r w:rsidR="00493A8F">
        <w:t xml:space="preserve"> that</w:t>
      </w:r>
      <w:r w:rsidRPr="00655A95">
        <w:t xml:space="preserve"> the pace of development in new areas such as Molonglo is often difficult to forecast. The MBA stated it is important ActewAGL retain the flexibility to respond to changes in urban development in order to provide gas network infrastructure. Without this flexibility, ActewAGL may not be able to provide </w:t>
      </w:r>
      <w:r w:rsidR="00493A8F">
        <w:t xml:space="preserve">the </w:t>
      </w:r>
      <w:r w:rsidRPr="00655A95">
        <w:t xml:space="preserve">infrastructure to </w:t>
      </w:r>
      <w:r w:rsidR="00493A8F">
        <w:t xml:space="preserve">meet </w:t>
      </w:r>
      <w:r w:rsidRPr="00655A95">
        <w:t>demand. This risks reducing the gas network customer base, which would increase long term costs for other users.</w:t>
      </w:r>
      <w:r w:rsidRPr="00655A95">
        <w:rPr>
          <w:rStyle w:val="FootnoteReference"/>
        </w:rPr>
        <w:footnoteReference w:id="84"/>
      </w:r>
    </w:p>
    <w:p w:rsidR="0066701E" w:rsidRDefault="0066701E" w:rsidP="0066701E">
      <w:r>
        <w:t xml:space="preserve">We acknowledge forecasting the pace of new developments is difficult. However, we would expect a gas distributor to use rigorous methods underpinned by reasonable assumptions to produce peak load forecasts (and forecasts in general). As we detail below, we do not consider ActewAGL arrived at its peak load forecasts, and its capex forecast, on a reasonable basis. </w:t>
      </w:r>
    </w:p>
    <w:p w:rsidR="0066701E" w:rsidRPr="00655A95" w:rsidRDefault="0066701E" w:rsidP="00655A95">
      <w:r>
        <w:t xml:space="preserve">In addition, the regulatory regime provides flexibility to gas distributors like ActewAGL during an </w:t>
      </w:r>
      <w:r w:rsidR="000F7027">
        <w:t>access arrangement</w:t>
      </w:r>
      <w:r>
        <w:t xml:space="preserve"> period. </w:t>
      </w:r>
      <w:r w:rsidRPr="00437E8F">
        <w:t xml:space="preserve">We determine </w:t>
      </w:r>
      <w:r>
        <w:t xml:space="preserve">conforming capex level </w:t>
      </w:r>
      <w:r w:rsidRPr="00437E8F">
        <w:t>by reference to our analysis of the proposed capex</w:t>
      </w:r>
      <w:r>
        <w:t xml:space="preserve"> under the NGR</w:t>
      </w:r>
      <w:r w:rsidRPr="00437E8F">
        <w:t>.</w:t>
      </w:r>
      <w:r>
        <w:rPr>
          <w:rStyle w:val="FootnoteReference"/>
        </w:rPr>
        <w:footnoteReference w:id="85"/>
      </w:r>
      <w:r w:rsidRPr="00437E8F">
        <w:t xml:space="preserve"> Once we </w:t>
      </w:r>
      <w:r>
        <w:t>determine conforming capex</w:t>
      </w:r>
      <w:r w:rsidRPr="00437E8F">
        <w:t xml:space="preserve">, the </w:t>
      </w:r>
      <w:r>
        <w:t xml:space="preserve">gas </w:t>
      </w:r>
      <w:r w:rsidRPr="00437E8F">
        <w:t xml:space="preserve">distributor is able to prioritise its capex program given its circumstances over the course of the </w:t>
      </w:r>
      <w:r w:rsidR="000F7027">
        <w:t>access arrangement</w:t>
      </w:r>
      <w:r>
        <w:t xml:space="preserve"> </w:t>
      </w:r>
      <w:r w:rsidRPr="00437E8F">
        <w:t xml:space="preserve">period. The </w:t>
      </w:r>
      <w:r>
        <w:t xml:space="preserve">gas </w:t>
      </w:r>
      <w:r w:rsidRPr="00437E8F">
        <w:t xml:space="preserve">distributor may need to undertake projects or programs it did not anticipate during the </w:t>
      </w:r>
      <w:r w:rsidR="000F7027">
        <w:t>access arrangement</w:t>
      </w:r>
      <w:r w:rsidR="006423EC">
        <w:t xml:space="preserve"> period</w:t>
      </w:r>
      <w:r w:rsidRPr="00437E8F">
        <w:t xml:space="preserve">. The </w:t>
      </w:r>
      <w:r>
        <w:t xml:space="preserve">gas </w:t>
      </w:r>
      <w:r w:rsidRPr="00437E8F">
        <w:t xml:space="preserve">distributor may also not require some of the projects or programs it proposed for the period. We consider a prudent and efficient </w:t>
      </w:r>
      <w:r>
        <w:t xml:space="preserve">gas </w:t>
      </w:r>
      <w:r w:rsidRPr="00437E8F">
        <w:t xml:space="preserve">distributor would consider the changing environment throughout the </w:t>
      </w:r>
      <w:r w:rsidR="000F7027">
        <w:t>access arrangement</w:t>
      </w:r>
      <w:r>
        <w:t xml:space="preserve"> </w:t>
      </w:r>
      <w:r w:rsidRPr="00437E8F">
        <w:t>period in its decision-making.</w:t>
      </w:r>
    </w:p>
    <w:p w:rsidR="00D110E6" w:rsidRDefault="0063087F" w:rsidP="004E3ADD">
      <w:pPr>
        <w:pStyle w:val="HeadingItalic"/>
        <w:keepNext/>
      </w:pPr>
      <w:r>
        <w:t xml:space="preserve">Assumed </w:t>
      </w:r>
      <w:r w:rsidR="00D110E6">
        <w:t>gas connection ra</w:t>
      </w:r>
      <w:r w:rsidR="00D110E6" w:rsidRPr="00D110E6">
        <w:t>t</w:t>
      </w:r>
      <w:r>
        <w:t xml:space="preserve">e for </w:t>
      </w:r>
      <w:r w:rsidR="00D110E6" w:rsidRPr="00D110E6">
        <w:t xml:space="preserve">Molonglo is not </w:t>
      </w:r>
      <w:r w:rsidR="00D110E6">
        <w:t>reasonable</w:t>
      </w:r>
    </w:p>
    <w:p w:rsidR="00D6352A" w:rsidRPr="00655A95" w:rsidRDefault="00D6352A" w:rsidP="00D6352A">
      <w:r w:rsidRPr="00655A95">
        <w:t xml:space="preserve">In response to the draft decision, ActewAGL updated the peak load forecasts for a </w:t>
      </w:r>
      <w:r w:rsidR="00FE63FA">
        <w:t>1 in 20</w:t>
      </w:r>
      <w:r w:rsidR="00FE63FA" w:rsidRPr="00655A95">
        <w:t xml:space="preserve"> </w:t>
      </w:r>
      <w:r w:rsidRPr="00655A95">
        <w:t xml:space="preserve">winter in its modelling for Molonglo Primary (see </w:t>
      </w:r>
      <w:r w:rsidRPr="00655A95">
        <w:fldChar w:fldCharType="begin"/>
      </w:r>
      <w:r w:rsidRPr="00655A95">
        <w:instrText xml:space="preserve"> REF _Ref444774920 \h </w:instrText>
      </w:r>
      <w:r w:rsidRPr="00655A95">
        <w:fldChar w:fldCharType="separate"/>
      </w:r>
      <w:r w:rsidR="00D822F6" w:rsidRPr="00655A95">
        <w:t xml:space="preserve">Table </w:t>
      </w:r>
      <w:r w:rsidR="00D822F6">
        <w:rPr>
          <w:noProof/>
        </w:rPr>
        <w:t>6</w:t>
      </w:r>
      <w:r w:rsidR="00D822F6" w:rsidRPr="00655A95">
        <w:t>.</w:t>
      </w:r>
      <w:r w:rsidR="00D822F6">
        <w:rPr>
          <w:noProof/>
        </w:rPr>
        <w:t>7</w:t>
      </w:r>
      <w:r w:rsidRPr="00655A95">
        <w:fldChar w:fldCharType="end"/>
      </w:r>
      <w:r w:rsidRPr="00655A95">
        <w:t xml:space="preserve">). ActewAGL submitted pressures will reach critical levels in the Molonglo area by 2021, hence its proposal to complete Molonglo Primary in the 2016–21 </w:t>
      </w:r>
      <w:proofErr w:type="gramStart"/>
      <w:r w:rsidRPr="00655A95">
        <w:t>period</w:t>
      </w:r>
      <w:proofErr w:type="gramEnd"/>
      <w:r w:rsidRPr="00655A95">
        <w:t>.</w:t>
      </w:r>
      <w:r w:rsidRPr="00655A95">
        <w:rPr>
          <w:rStyle w:val="FootnoteReference"/>
        </w:rPr>
        <w:footnoteReference w:id="86"/>
      </w:r>
      <w:r w:rsidRPr="00655A95">
        <w:t xml:space="preserve"> ActewAGL clarified it assumed a 100 per cent </w:t>
      </w:r>
      <w:r w:rsidR="006423EC">
        <w:t xml:space="preserve">penetration </w:t>
      </w:r>
      <w:r w:rsidRPr="00655A95">
        <w:t>rate for new dwellings in the Molonglo area when deriving its peak load forecast</w:t>
      </w:r>
      <w:r w:rsidR="00FE63FA" w:rsidRPr="00FE63FA">
        <w:t xml:space="preserve"> </w:t>
      </w:r>
      <w:r w:rsidR="00FE63FA" w:rsidRPr="00655A95">
        <w:t>because they did not include non-residential load in their calculations</w:t>
      </w:r>
      <w:r w:rsidRPr="00655A95">
        <w:t xml:space="preserve">. </w:t>
      </w:r>
      <w:r w:rsidR="009E36B0">
        <w:t xml:space="preserve">It also assumes a total of 6000 new dwellings in Molonglo and a </w:t>
      </w:r>
      <w:r w:rsidR="00F41982" w:rsidRPr="00655A95">
        <w:t>peak load per customer of 0.98m</w:t>
      </w:r>
      <w:r w:rsidR="00F41982" w:rsidRPr="006423EC">
        <w:rPr>
          <w:rStyle w:val="AERsuperscript"/>
        </w:rPr>
        <w:t>3</w:t>
      </w:r>
      <w:r w:rsidR="00F41982" w:rsidRPr="00655A95">
        <w:t>/h</w:t>
      </w:r>
      <w:r w:rsidR="00F41982">
        <w:t>.</w:t>
      </w:r>
    </w:p>
    <w:p w:rsidR="00D6352A" w:rsidRPr="00655A95" w:rsidRDefault="00D6352A" w:rsidP="00D6352A">
      <w:pPr>
        <w:pStyle w:val="Caption"/>
      </w:pPr>
      <w:bookmarkStart w:id="40" w:name="_Ref444774920"/>
      <w:proofErr w:type="gramStart"/>
      <w:r w:rsidRPr="00655A95">
        <w:t xml:space="preserve">Table </w:t>
      </w:r>
      <w:proofErr w:type="gramEnd"/>
      <w:r w:rsidR="003F5473">
        <w:fldChar w:fldCharType="begin"/>
      </w:r>
      <w:r w:rsidR="003F5473">
        <w:instrText xml:space="preserve"> STYLEREF 1 \s </w:instrText>
      </w:r>
      <w:r w:rsidR="003F5473">
        <w:fldChar w:fldCharType="separate"/>
      </w:r>
      <w:r w:rsidR="00D822F6">
        <w:rPr>
          <w:noProof/>
        </w:rPr>
        <w:t>6</w:t>
      </w:r>
      <w:r w:rsidR="003F5473">
        <w:rPr>
          <w:noProof/>
        </w:rPr>
        <w:fldChar w:fldCharType="end"/>
      </w:r>
      <w:proofErr w:type="gramStart"/>
      <w:r w:rsidRPr="00655A95">
        <w:t>.</w:t>
      </w:r>
      <w:proofErr w:type="gramEnd"/>
      <w:r w:rsidR="00B37DDD">
        <w:fldChar w:fldCharType="begin"/>
      </w:r>
      <w:r w:rsidR="00B37DDD">
        <w:instrText xml:space="preserve"> SEQ Table \* ARABIC \s 1 </w:instrText>
      </w:r>
      <w:r w:rsidR="00B37DDD">
        <w:fldChar w:fldCharType="separate"/>
      </w:r>
      <w:r w:rsidR="00D822F6">
        <w:rPr>
          <w:noProof/>
        </w:rPr>
        <w:t>7</w:t>
      </w:r>
      <w:r w:rsidR="00B37DDD">
        <w:rPr>
          <w:noProof/>
        </w:rPr>
        <w:fldChar w:fldCharType="end"/>
      </w:r>
      <w:bookmarkEnd w:id="40"/>
      <w:r w:rsidRPr="00655A95">
        <w:tab/>
        <w:t>ActewAGL peak load forecast for Molonglo</w:t>
      </w:r>
      <w:r w:rsidR="008A3B16">
        <w:rPr>
          <w:rStyle w:val="FootnoteReference"/>
        </w:rPr>
        <w:footnoteReference w:id="87"/>
      </w:r>
    </w:p>
    <w:tbl>
      <w:tblPr>
        <w:tblStyle w:val="AERtable-numbers"/>
        <w:tblW w:w="0" w:type="auto"/>
        <w:tblLook w:val="04A0" w:firstRow="1" w:lastRow="0" w:firstColumn="1" w:lastColumn="0" w:noHBand="0" w:noVBand="1"/>
      </w:tblPr>
      <w:tblGrid>
        <w:gridCol w:w="2173"/>
        <w:gridCol w:w="2173"/>
        <w:gridCol w:w="2173"/>
        <w:gridCol w:w="2174"/>
      </w:tblGrid>
      <w:tr w:rsidR="00D6352A" w:rsidRPr="00C52199" w:rsidTr="004F29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D6352A" w:rsidRPr="00655A95" w:rsidRDefault="00D6352A" w:rsidP="00D6352A"/>
        </w:tc>
        <w:tc>
          <w:tcPr>
            <w:tcW w:w="2173" w:type="dxa"/>
          </w:tcPr>
          <w:p w:rsidR="00D6352A" w:rsidRPr="00655A95" w:rsidRDefault="009E36B0" w:rsidP="009E36B0">
            <w:pPr>
              <w:cnfStyle w:val="100000000000" w:firstRow="1" w:lastRow="0" w:firstColumn="0" w:lastColumn="0" w:oddVBand="0" w:evenVBand="0" w:oddHBand="0" w:evenHBand="0" w:firstRowFirstColumn="0" w:firstRowLastColumn="0" w:lastRowFirstColumn="0" w:lastRowLastColumn="0"/>
            </w:pPr>
            <w:r w:rsidRPr="00655A95">
              <w:t>Base</w:t>
            </w:r>
            <w:r>
              <w:t xml:space="preserve"> </w:t>
            </w:r>
            <w:r w:rsidR="00D6352A" w:rsidRPr="00655A95">
              <w:t>(m3/hour)</w:t>
            </w:r>
          </w:p>
        </w:tc>
        <w:tc>
          <w:tcPr>
            <w:tcW w:w="2173" w:type="dxa"/>
          </w:tcPr>
          <w:p w:rsidR="00D6352A" w:rsidRPr="00655A95" w:rsidRDefault="00B05483" w:rsidP="00D6352A">
            <w:pPr>
              <w:cnfStyle w:val="100000000000" w:firstRow="1" w:lastRow="0" w:firstColumn="0" w:lastColumn="0" w:oddVBand="0" w:evenVBand="0" w:oddHBand="0" w:evenHBand="0" w:firstRowFirstColumn="0" w:firstRowLastColumn="0" w:lastRowFirstColumn="0" w:lastRowLastColumn="0"/>
            </w:pPr>
            <w:r>
              <w:t>1 in 20</w:t>
            </w:r>
            <w:r w:rsidRPr="00655A95">
              <w:t xml:space="preserve"> </w:t>
            </w:r>
            <w:r w:rsidR="00D6352A" w:rsidRPr="00655A95">
              <w:t>winter (m</w:t>
            </w:r>
            <w:r w:rsidR="00D6352A" w:rsidRPr="006423EC">
              <w:rPr>
                <w:rStyle w:val="AERsuperscript"/>
              </w:rPr>
              <w:t>3</w:t>
            </w:r>
            <w:r w:rsidR="00D6352A" w:rsidRPr="00655A95">
              <w:t>/hour)</w:t>
            </w:r>
          </w:p>
        </w:tc>
        <w:tc>
          <w:tcPr>
            <w:tcW w:w="2174" w:type="dxa"/>
          </w:tcPr>
          <w:p w:rsidR="00D6352A" w:rsidRPr="00655A95" w:rsidRDefault="00D6352A" w:rsidP="00D6352A">
            <w:pPr>
              <w:cnfStyle w:val="100000000000" w:firstRow="1" w:lastRow="0" w:firstColumn="0" w:lastColumn="0" w:oddVBand="0" w:evenVBand="0" w:oddHBand="0" w:evenHBand="0" w:firstRowFirstColumn="0" w:firstRowLastColumn="0" w:lastRowFirstColumn="0" w:lastRowLastColumn="0"/>
            </w:pPr>
            <w:r w:rsidRPr="00655A95">
              <w:t>Minimum pressure (</w:t>
            </w:r>
            <w:proofErr w:type="spellStart"/>
            <w:r w:rsidRPr="00655A95">
              <w:t>kPa</w:t>
            </w:r>
            <w:proofErr w:type="spellEnd"/>
            <w:r w:rsidRPr="00655A95">
              <w:t>)</w:t>
            </w:r>
          </w:p>
        </w:tc>
      </w:tr>
      <w:tr w:rsidR="00D6352A" w:rsidRPr="00C52199" w:rsidTr="004F29C3">
        <w:tc>
          <w:tcPr>
            <w:cnfStyle w:val="001000000000" w:firstRow="0" w:lastRow="0" w:firstColumn="1" w:lastColumn="0" w:oddVBand="0" w:evenVBand="0" w:oddHBand="0" w:evenHBand="0" w:firstRowFirstColumn="0" w:firstRowLastColumn="0" w:lastRowFirstColumn="0" w:lastRowLastColumn="0"/>
            <w:tcW w:w="2173" w:type="dxa"/>
          </w:tcPr>
          <w:p w:rsidR="00D6352A" w:rsidRPr="00655A95" w:rsidRDefault="00D6352A" w:rsidP="00D6352A">
            <w:r w:rsidRPr="00655A95">
              <w:t>Winter 2018</w:t>
            </w:r>
          </w:p>
        </w:tc>
        <w:tc>
          <w:tcPr>
            <w:tcW w:w="2173" w:type="dxa"/>
          </w:tcPr>
          <w:p w:rsidR="00D6352A" w:rsidRPr="00655A95" w:rsidRDefault="00D6352A" w:rsidP="00D6352A">
            <w:pPr>
              <w:cnfStyle w:val="000000000000" w:firstRow="0" w:lastRow="0" w:firstColumn="0" w:lastColumn="0" w:oddVBand="0" w:evenVBand="0" w:oddHBand="0" w:evenHBand="0" w:firstRowFirstColumn="0" w:firstRowLastColumn="0" w:lastRowFirstColumn="0" w:lastRowLastColumn="0"/>
            </w:pPr>
            <w:r w:rsidRPr="00655A95">
              <w:t>3623</w:t>
            </w:r>
          </w:p>
        </w:tc>
        <w:tc>
          <w:tcPr>
            <w:tcW w:w="2173" w:type="dxa"/>
          </w:tcPr>
          <w:p w:rsidR="00D6352A" w:rsidRPr="00655A95" w:rsidRDefault="00D6352A" w:rsidP="00D6352A">
            <w:pPr>
              <w:cnfStyle w:val="000000000000" w:firstRow="0" w:lastRow="0" w:firstColumn="0" w:lastColumn="0" w:oddVBand="0" w:evenVBand="0" w:oddHBand="0" w:evenHBand="0" w:firstRowFirstColumn="0" w:firstRowLastColumn="0" w:lastRowFirstColumn="0" w:lastRowLastColumn="0"/>
            </w:pPr>
            <w:r w:rsidRPr="00655A95">
              <w:t>4203</w:t>
            </w:r>
          </w:p>
        </w:tc>
        <w:tc>
          <w:tcPr>
            <w:tcW w:w="2174" w:type="dxa"/>
          </w:tcPr>
          <w:p w:rsidR="00D6352A" w:rsidRPr="00655A95" w:rsidRDefault="00D6352A" w:rsidP="00D6352A">
            <w:pPr>
              <w:cnfStyle w:val="000000000000" w:firstRow="0" w:lastRow="0" w:firstColumn="0" w:lastColumn="0" w:oddVBand="0" w:evenVBand="0" w:oddHBand="0" w:evenHBand="0" w:firstRowFirstColumn="0" w:firstRowLastColumn="0" w:lastRowFirstColumn="0" w:lastRowLastColumn="0"/>
            </w:pPr>
            <w:r w:rsidRPr="00655A95">
              <w:t>709</w:t>
            </w:r>
          </w:p>
        </w:tc>
      </w:tr>
      <w:tr w:rsidR="00D6352A" w:rsidRPr="00C52199" w:rsidTr="004F29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D6352A" w:rsidRPr="00655A95" w:rsidRDefault="00D6352A" w:rsidP="00D6352A">
            <w:r w:rsidRPr="00655A95">
              <w:t>Winter 2019</w:t>
            </w:r>
          </w:p>
        </w:tc>
        <w:tc>
          <w:tcPr>
            <w:tcW w:w="2173" w:type="dxa"/>
          </w:tcPr>
          <w:p w:rsidR="00D6352A" w:rsidRPr="00655A95" w:rsidRDefault="00D6352A" w:rsidP="00D6352A">
            <w:pPr>
              <w:cnfStyle w:val="000000010000" w:firstRow="0" w:lastRow="0" w:firstColumn="0" w:lastColumn="0" w:oddVBand="0" w:evenVBand="0" w:oddHBand="0" w:evenHBand="1" w:firstRowFirstColumn="0" w:firstRowLastColumn="0" w:lastRowFirstColumn="0" w:lastRowLastColumn="0"/>
            </w:pPr>
            <w:r w:rsidRPr="00655A95">
              <w:t>4342</w:t>
            </w:r>
          </w:p>
        </w:tc>
        <w:tc>
          <w:tcPr>
            <w:tcW w:w="2173" w:type="dxa"/>
          </w:tcPr>
          <w:p w:rsidR="00D6352A" w:rsidRPr="00655A95" w:rsidRDefault="00D6352A" w:rsidP="00D6352A">
            <w:pPr>
              <w:cnfStyle w:val="000000010000" w:firstRow="0" w:lastRow="0" w:firstColumn="0" w:lastColumn="0" w:oddVBand="0" w:evenVBand="0" w:oddHBand="0" w:evenHBand="1" w:firstRowFirstColumn="0" w:firstRowLastColumn="0" w:lastRowFirstColumn="0" w:lastRowLastColumn="0"/>
            </w:pPr>
            <w:r w:rsidRPr="00655A95">
              <w:t>5037</w:t>
            </w:r>
          </w:p>
        </w:tc>
        <w:tc>
          <w:tcPr>
            <w:tcW w:w="2174" w:type="dxa"/>
          </w:tcPr>
          <w:p w:rsidR="00D6352A" w:rsidRPr="00655A95" w:rsidRDefault="00D6352A" w:rsidP="00D6352A">
            <w:pPr>
              <w:cnfStyle w:val="000000010000" w:firstRow="0" w:lastRow="0" w:firstColumn="0" w:lastColumn="0" w:oddVBand="0" w:evenVBand="0" w:oddHBand="0" w:evenHBand="1" w:firstRowFirstColumn="0" w:firstRowLastColumn="0" w:lastRowFirstColumn="0" w:lastRowLastColumn="0"/>
            </w:pPr>
            <w:r w:rsidRPr="00655A95">
              <w:t>655</w:t>
            </w:r>
          </w:p>
        </w:tc>
      </w:tr>
      <w:tr w:rsidR="00D6352A" w:rsidRPr="00C52199" w:rsidTr="004F29C3">
        <w:tc>
          <w:tcPr>
            <w:cnfStyle w:val="001000000000" w:firstRow="0" w:lastRow="0" w:firstColumn="1" w:lastColumn="0" w:oddVBand="0" w:evenVBand="0" w:oddHBand="0" w:evenHBand="0" w:firstRowFirstColumn="0" w:firstRowLastColumn="0" w:lastRowFirstColumn="0" w:lastRowLastColumn="0"/>
            <w:tcW w:w="2173" w:type="dxa"/>
          </w:tcPr>
          <w:p w:rsidR="00D6352A" w:rsidRPr="00655A95" w:rsidRDefault="00D6352A" w:rsidP="00D6352A">
            <w:r w:rsidRPr="00655A95">
              <w:t>Winter 2020</w:t>
            </w:r>
          </w:p>
        </w:tc>
        <w:tc>
          <w:tcPr>
            <w:tcW w:w="2173" w:type="dxa"/>
          </w:tcPr>
          <w:p w:rsidR="00D6352A" w:rsidRPr="00655A95" w:rsidRDefault="00D6352A" w:rsidP="00D6352A">
            <w:pPr>
              <w:cnfStyle w:val="000000000000" w:firstRow="0" w:lastRow="0" w:firstColumn="0" w:lastColumn="0" w:oddVBand="0" w:evenVBand="0" w:oddHBand="0" w:evenHBand="0" w:firstRowFirstColumn="0" w:firstRowLastColumn="0" w:lastRowFirstColumn="0" w:lastRowLastColumn="0"/>
            </w:pPr>
            <w:r w:rsidRPr="00655A95">
              <w:t>5061</w:t>
            </w:r>
          </w:p>
        </w:tc>
        <w:tc>
          <w:tcPr>
            <w:tcW w:w="2173" w:type="dxa"/>
          </w:tcPr>
          <w:p w:rsidR="00D6352A" w:rsidRPr="00655A95" w:rsidRDefault="00D6352A" w:rsidP="00D6352A">
            <w:pPr>
              <w:cnfStyle w:val="000000000000" w:firstRow="0" w:lastRow="0" w:firstColumn="0" w:lastColumn="0" w:oddVBand="0" w:evenVBand="0" w:oddHBand="0" w:evenHBand="0" w:firstRowFirstColumn="0" w:firstRowLastColumn="0" w:lastRowFirstColumn="0" w:lastRowLastColumn="0"/>
            </w:pPr>
            <w:r w:rsidRPr="00655A95">
              <w:t>5870</w:t>
            </w:r>
          </w:p>
        </w:tc>
        <w:tc>
          <w:tcPr>
            <w:tcW w:w="2174" w:type="dxa"/>
          </w:tcPr>
          <w:p w:rsidR="00D6352A" w:rsidRPr="00655A95" w:rsidRDefault="00D6352A" w:rsidP="00D6352A">
            <w:pPr>
              <w:cnfStyle w:val="000000000000" w:firstRow="0" w:lastRow="0" w:firstColumn="0" w:lastColumn="0" w:oddVBand="0" w:evenVBand="0" w:oddHBand="0" w:evenHBand="0" w:firstRowFirstColumn="0" w:firstRowLastColumn="0" w:lastRowFirstColumn="0" w:lastRowLastColumn="0"/>
            </w:pPr>
            <w:r w:rsidRPr="00655A95">
              <w:t>599</w:t>
            </w:r>
          </w:p>
        </w:tc>
      </w:tr>
      <w:tr w:rsidR="00D6352A" w:rsidRPr="00C52199" w:rsidTr="004F29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D6352A" w:rsidRPr="00655A95" w:rsidRDefault="00D6352A" w:rsidP="00D6352A">
            <w:r w:rsidRPr="00655A95">
              <w:t>Winter 2021</w:t>
            </w:r>
          </w:p>
        </w:tc>
        <w:tc>
          <w:tcPr>
            <w:tcW w:w="2173" w:type="dxa"/>
          </w:tcPr>
          <w:p w:rsidR="00D6352A" w:rsidRPr="00655A95" w:rsidRDefault="00D6352A" w:rsidP="00D6352A">
            <w:pPr>
              <w:cnfStyle w:val="000000010000" w:firstRow="0" w:lastRow="0" w:firstColumn="0" w:lastColumn="0" w:oddVBand="0" w:evenVBand="0" w:oddHBand="0" w:evenHBand="1" w:firstRowFirstColumn="0" w:firstRowLastColumn="0" w:lastRowFirstColumn="0" w:lastRowLastColumn="0"/>
            </w:pPr>
            <w:r w:rsidRPr="00655A95">
              <w:t>5779</w:t>
            </w:r>
          </w:p>
        </w:tc>
        <w:tc>
          <w:tcPr>
            <w:tcW w:w="2173" w:type="dxa"/>
          </w:tcPr>
          <w:p w:rsidR="00D6352A" w:rsidRPr="00655A95" w:rsidRDefault="00D6352A" w:rsidP="00D6352A">
            <w:pPr>
              <w:cnfStyle w:val="000000010000" w:firstRow="0" w:lastRow="0" w:firstColumn="0" w:lastColumn="0" w:oddVBand="0" w:evenVBand="0" w:oddHBand="0" w:evenHBand="1" w:firstRowFirstColumn="0" w:firstRowLastColumn="0" w:lastRowFirstColumn="0" w:lastRowLastColumn="0"/>
            </w:pPr>
            <w:r w:rsidRPr="00655A95">
              <w:t>6704</w:t>
            </w:r>
          </w:p>
        </w:tc>
        <w:tc>
          <w:tcPr>
            <w:tcW w:w="2174" w:type="dxa"/>
          </w:tcPr>
          <w:p w:rsidR="00D6352A" w:rsidRPr="00655A95" w:rsidRDefault="00D6352A" w:rsidP="00D6352A">
            <w:pPr>
              <w:cnfStyle w:val="000000010000" w:firstRow="0" w:lastRow="0" w:firstColumn="0" w:lastColumn="0" w:oddVBand="0" w:evenVBand="0" w:oddHBand="0" w:evenHBand="1" w:firstRowFirstColumn="0" w:firstRowLastColumn="0" w:lastRowFirstColumn="0" w:lastRowLastColumn="0"/>
            </w:pPr>
            <w:r w:rsidRPr="00655A95">
              <w:t>533 (Critical)</w:t>
            </w:r>
          </w:p>
        </w:tc>
      </w:tr>
      <w:tr w:rsidR="00D6352A" w:rsidRPr="00C52199" w:rsidTr="004F29C3">
        <w:tc>
          <w:tcPr>
            <w:cnfStyle w:val="001000000000" w:firstRow="0" w:lastRow="0" w:firstColumn="1" w:lastColumn="0" w:oddVBand="0" w:evenVBand="0" w:oddHBand="0" w:evenHBand="0" w:firstRowFirstColumn="0" w:firstRowLastColumn="0" w:lastRowFirstColumn="0" w:lastRowLastColumn="0"/>
            <w:tcW w:w="2173" w:type="dxa"/>
          </w:tcPr>
          <w:p w:rsidR="00D6352A" w:rsidRPr="00655A95" w:rsidRDefault="00D6352A" w:rsidP="00D6352A">
            <w:r w:rsidRPr="00655A95">
              <w:t>Winter 2022</w:t>
            </w:r>
          </w:p>
        </w:tc>
        <w:tc>
          <w:tcPr>
            <w:tcW w:w="2173" w:type="dxa"/>
          </w:tcPr>
          <w:p w:rsidR="00D6352A" w:rsidRPr="00655A95" w:rsidRDefault="00D6352A" w:rsidP="00D6352A">
            <w:pPr>
              <w:cnfStyle w:val="000000000000" w:firstRow="0" w:lastRow="0" w:firstColumn="0" w:lastColumn="0" w:oddVBand="0" w:evenVBand="0" w:oddHBand="0" w:evenHBand="0" w:firstRowFirstColumn="0" w:firstRowLastColumn="0" w:lastRowFirstColumn="0" w:lastRowLastColumn="0"/>
            </w:pPr>
            <w:r w:rsidRPr="00655A95">
              <w:t>6498</w:t>
            </w:r>
          </w:p>
        </w:tc>
        <w:tc>
          <w:tcPr>
            <w:tcW w:w="2173" w:type="dxa"/>
          </w:tcPr>
          <w:p w:rsidR="00D6352A" w:rsidRPr="00655A95" w:rsidRDefault="00D6352A" w:rsidP="00D6352A">
            <w:pPr>
              <w:cnfStyle w:val="000000000000" w:firstRow="0" w:lastRow="0" w:firstColumn="0" w:lastColumn="0" w:oddVBand="0" w:evenVBand="0" w:oddHBand="0" w:evenHBand="0" w:firstRowFirstColumn="0" w:firstRowLastColumn="0" w:lastRowFirstColumn="0" w:lastRowLastColumn="0"/>
            </w:pPr>
            <w:r w:rsidRPr="00655A95">
              <w:t>7538</w:t>
            </w:r>
          </w:p>
        </w:tc>
        <w:tc>
          <w:tcPr>
            <w:tcW w:w="2174" w:type="dxa"/>
          </w:tcPr>
          <w:p w:rsidR="00D6352A" w:rsidRPr="00655A95" w:rsidRDefault="00D6352A" w:rsidP="00D6352A">
            <w:pPr>
              <w:cnfStyle w:val="000000000000" w:firstRow="0" w:lastRow="0" w:firstColumn="0" w:lastColumn="0" w:oddVBand="0" w:evenVBand="0" w:oddHBand="0" w:evenHBand="0" w:firstRowFirstColumn="0" w:firstRowLastColumn="0" w:lastRowFirstColumn="0" w:lastRowLastColumn="0"/>
            </w:pPr>
            <w:r w:rsidRPr="00655A95">
              <w:t>454 (Critical)</w:t>
            </w:r>
          </w:p>
        </w:tc>
      </w:tr>
    </w:tbl>
    <w:p w:rsidR="00657B78" w:rsidRDefault="00D6352A" w:rsidP="00657B78">
      <w:pPr>
        <w:pStyle w:val="AERtablesource"/>
      </w:pPr>
      <w:r w:rsidRPr="00655A95">
        <w:t>Source:</w:t>
      </w:r>
      <w:r w:rsidRPr="00655A95">
        <w:tab/>
        <w:t xml:space="preserve">ActewAGL, </w:t>
      </w:r>
      <w:r w:rsidRPr="00655A95">
        <w:rPr>
          <w:rStyle w:val="AERtextitalic"/>
        </w:rPr>
        <w:t>2016–21 access arrangement: Response to draft decision</w:t>
      </w:r>
      <w:r w:rsidRPr="00655A95">
        <w:t xml:space="preserve">, 6 January 2016, p. 59; ActewAGL, </w:t>
      </w:r>
      <w:r w:rsidRPr="00655A95">
        <w:rPr>
          <w:rStyle w:val="AERtextitalic"/>
        </w:rPr>
        <w:t>2016–21 access arrangement: Response to draft decision: Appendix 6.03</w:t>
      </w:r>
      <w:r w:rsidRPr="00655A95">
        <w:t>, 6 January 2016, pp. 4–6</w:t>
      </w:r>
    </w:p>
    <w:p w:rsidR="009E36B0" w:rsidRDefault="009E36B0" w:rsidP="00657B78">
      <w:r>
        <w:t xml:space="preserve">As </w:t>
      </w:r>
      <w:r w:rsidR="007538E0">
        <w:fldChar w:fldCharType="begin"/>
      </w:r>
      <w:r w:rsidR="007538E0">
        <w:instrText xml:space="preserve"> REF  _Ref444774920 \* Lower \h </w:instrText>
      </w:r>
      <w:r w:rsidR="007538E0">
        <w:fldChar w:fldCharType="separate"/>
      </w:r>
      <w:r w:rsidR="00D822F6" w:rsidRPr="00655A95">
        <w:t xml:space="preserve">table </w:t>
      </w:r>
      <w:r w:rsidR="00D822F6">
        <w:rPr>
          <w:noProof/>
        </w:rPr>
        <w:t>6</w:t>
      </w:r>
      <w:r w:rsidR="00D822F6" w:rsidRPr="00655A95">
        <w:t>.</w:t>
      </w:r>
      <w:r w:rsidR="00D822F6">
        <w:rPr>
          <w:noProof/>
        </w:rPr>
        <w:t>7</w:t>
      </w:r>
      <w:r w:rsidR="007538E0">
        <w:fldChar w:fldCharType="end"/>
      </w:r>
      <w:r>
        <w:t xml:space="preserve"> sh</w:t>
      </w:r>
      <w:r w:rsidR="006423EC">
        <w:t>ows, ActewAGL estimates that by</w:t>
      </w:r>
      <w:r w:rsidR="00497243">
        <w:t xml:space="preserve"> w</w:t>
      </w:r>
      <w:r>
        <w:t>inter 2020, non-severe demand is estimated a</w:t>
      </w:r>
      <w:r w:rsidR="0019554C">
        <w:t>t</w:t>
      </w:r>
      <w:r>
        <w:t xml:space="preserve"> 5061m</w:t>
      </w:r>
      <w:r w:rsidRPr="00C30434">
        <w:rPr>
          <w:rStyle w:val="AERsuperscript"/>
        </w:rPr>
        <w:t>3</w:t>
      </w:r>
      <w:r>
        <w:t>/hour, and a</w:t>
      </w:r>
      <w:r w:rsidR="0019554C">
        <w:t>t</w:t>
      </w:r>
      <w:r>
        <w:t xml:space="preserve"> 5870m</w:t>
      </w:r>
      <w:r w:rsidRPr="00C30434">
        <w:rPr>
          <w:rStyle w:val="AERsuperscript"/>
        </w:rPr>
        <w:t>3</w:t>
      </w:r>
      <w:r>
        <w:t xml:space="preserve">/hour for a 1 in 20 peak. We note that </w:t>
      </w:r>
      <w:proofErr w:type="spellStart"/>
      <w:r>
        <w:t>Sleeman</w:t>
      </w:r>
      <w:proofErr w:type="spellEnd"/>
      <w:r>
        <w:t xml:space="preserve"> Consulting in its </w:t>
      </w:r>
      <w:r w:rsidR="00F41982">
        <w:t>advice to our draft decision had</w:t>
      </w:r>
      <w:r>
        <w:t xml:space="preserve"> assumed that the 5061 m</w:t>
      </w:r>
      <w:r w:rsidRPr="00C30434">
        <w:rPr>
          <w:rStyle w:val="AERsuperscript"/>
        </w:rPr>
        <w:t>3</w:t>
      </w:r>
      <w:r>
        <w:t xml:space="preserve">/hour was based on a </w:t>
      </w:r>
      <w:r w:rsidR="00531CE4">
        <w:t xml:space="preserve">planning (that is, </w:t>
      </w:r>
      <w:r>
        <w:t>severe</w:t>
      </w:r>
      <w:r w:rsidR="00531CE4">
        <w:t>)</w:t>
      </w:r>
      <w:r>
        <w:t xml:space="preserve"> scenario, and had therefore taken the view that this estimate </w:t>
      </w:r>
      <w:r w:rsidRPr="009E36B0">
        <w:t>was “marginally high but not unrealistic”.</w:t>
      </w:r>
      <w:r w:rsidR="0019554C">
        <w:rPr>
          <w:rStyle w:val="FootnoteReference"/>
        </w:rPr>
        <w:footnoteReference w:id="88"/>
      </w:r>
      <w:r>
        <w:t xml:space="preserve"> Upon ActewAGL's clarificat</w:t>
      </w:r>
      <w:r w:rsidR="00531CE4">
        <w:t>i</w:t>
      </w:r>
      <w:r>
        <w:t>on that in fact the 5061m</w:t>
      </w:r>
      <w:r w:rsidRPr="00C30434">
        <w:rPr>
          <w:rStyle w:val="AERsuperscript"/>
        </w:rPr>
        <w:t>3</w:t>
      </w:r>
      <w:r>
        <w:t xml:space="preserve">/hour relates to a </w:t>
      </w:r>
      <w:r w:rsidR="00985998">
        <w:t>non-severe</w:t>
      </w:r>
      <w:r>
        <w:t xml:space="preserve"> winter peak demand, </w:t>
      </w:r>
      <w:proofErr w:type="spellStart"/>
      <w:r>
        <w:t>Sleeman</w:t>
      </w:r>
      <w:proofErr w:type="spellEnd"/>
      <w:r>
        <w:t xml:space="preserve"> Consulting now considers his previous estimate to be generous.</w:t>
      </w:r>
      <w:r w:rsidR="00985998">
        <w:rPr>
          <w:rStyle w:val="FootnoteReference"/>
        </w:rPr>
        <w:footnoteReference w:id="89"/>
      </w:r>
      <w:r>
        <w:t xml:space="preserve">  </w:t>
      </w:r>
    </w:p>
    <w:p w:rsidR="00B854CA" w:rsidRDefault="00F41982" w:rsidP="00D6352A">
      <w:r>
        <w:t>We assess that</w:t>
      </w:r>
      <w:r w:rsidR="00401502">
        <w:t xml:space="preserve"> a</w:t>
      </w:r>
      <w:r>
        <w:t xml:space="preserve"> </w:t>
      </w:r>
      <w:r w:rsidR="00D6352A" w:rsidRPr="00655A95">
        <w:t xml:space="preserve">100 per cent </w:t>
      </w:r>
      <w:r w:rsidR="00893292">
        <w:t xml:space="preserve">gas </w:t>
      </w:r>
      <w:r w:rsidR="006423EC">
        <w:t xml:space="preserve">penetration rate </w:t>
      </w:r>
      <w:r w:rsidR="00D6352A" w:rsidRPr="00655A95">
        <w:t>overstates the number of dwellings that connect to gas</w:t>
      </w:r>
      <w:r w:rsidR="00E4633D">
        <w:t>,</w:t>
      </w:r>
      <w:r w:rsidR="00D6352A" w:rsidRPr="00655A95">
        <w:t xml:space="preserve"> </w:t>
      </w:r>
      <w:r w:rsidR="00893292">
        <w:t>particularly in light of</w:t>
      </w:r>
      <w:r w:rsidR="00D6352A" w:rsidRPr="00655A95">
        <w:t xml:space="preserve"> ActewAGL’s </w:t>
      </w:r>
      <w:r w:rsidR="00893292">
        <w:t xml:space="preserve">historical estimate of a gas </w:t>
      </w:r>
      <w:r w:rsidR="006423EC">
        <w:t>penetration rate</w:t>
      </w:r>
      <w:r w:rsidR="00893292">
        <w:t xml:space="preserve"> of </w:t>
      </w:r>
      <w:r w:rsidR="00733610">
        <w:t>71.3</w:t>
      </w:r>
      <w:r w:rsidR="00893292">
        <w:t xml:space="preserve"> per cent for new dwellings</w:t>
      </w:r>
      <w:r w:rsidR="00D6352A" w:rsidRPr="00655A95">
        <w:t>.</w:t>
      </w:r>
      <w:r w:rsidR="00B854CA">
        <w:rPr>
          <w:rStyle w:val="FootnoteReference"/>
        </w:rPr>
        <w:footnoteReference w:id="90"/>
      </w:r>
    </w:p>
    <w:p w:rsidR="00F41982" w:rsidRDefault="00D6352A" w:rsidP="00F41982">
      <w:r w:rsidRPr="00655A95">
        <w:t xml:space="preserve">Using </w:t>
      </w:r>
      <w:r w:rsidR="00B854CA">
        <w:t xml:space="preserve">a </w:t>
      </w:r>
      <w:r w:rsidR="00733610">
        <w:t>71.3</w:t>
      </w:r>
      <w:r w:rsidR="00E44864">
        <w:t xml:space="preserve"> </w:t>
      </w:r>
      <w:r w:rsidRPr="00655A95">
        <w:t>per cent</w:t>
      </w:r>
      <w:r w:rsidR="00FE63FA" w:rsidRPr="00FE63FA">
        <w:t xml:space="preserve"> </w:t>
      </w:r>
      <w:r w:rsidR="00B854CA">
        <w:t xml:space="preserve">overall dwellings gas </w:t>
      </w:r>
      <w:r w:rsidR="006423EC">
        <w:t xml:space="preserve">penetration </w:t>
      </w:r>
      <w:r w:rsidR="00FE63FA" w:rsidRPr="00655A95">
        <w:t>rate</w:t>
      </w:r>
      <w:r w:rsidRPr="00655A95">
        <w:t xml:space="preserve">, </w:t>
      </w:r>
      <w:proofErr w:type="spellStart"/>
      <w:r w:rsidRPr="00655A95">
        <w:t>Sleeman</w:t>
      </w:r>
      <w:proofErr w:type="spellEnd"/>
      <w:r w:rsidRPr="00655A95">
        <w:t xml:space="preserve"> Consulting estimated Molonglo</w:t>
      </w:r>
      <w:r w:rsidR="003232ED">
        <w:t>'s</w:t>
      </w:r>
      <w:r w:rsidRPr="00655A95">
        <w:t xml:space="preserve"> peak demand for winter 2020 </w:t>
      </w:r>
      <w:r w:rsidR="003232ED">
        <w:t xml:space="preserve">to be </w:t>
      </w:r>
      <w:r w:rsidR="00BD0672">
        <w:t>4184</w:t>
      </w:r>
      <w:r w:rsidR="00E44864">
        <w:t xml:space="preserve"> </w:t>
      </w:r>
      <w:r w:rsidRPr="00655A95">
        <w:t>m</w:t>
      </w:r>
      <w:r w:rsidRPr="006423EC">
        <w:rPr>
          <w:rStyle w:val="AERsuperscript"/>
        </w:rPr>
        <w:t>3</w:t>
      </w:r>
      <w:r w:rsidRPr="00655A95">
        <w:t xml:space="preserve">/h. </w:t>
      </w:r>
      <w:r w:rsidR="00B854CA">
        <w:t xml:space="preserve">Applying </w:t>
      </w:r>
      <w:r w:rsidRPr="00655A95">
        <w:t>ActewAGL's assumptions of 6,000 new dwellings and peak load per customer of 0.98m</w:t>
      </w:r>
      <w:r w:rsidRPr="006423EC">
        <w:rPr>
          <w:rStyle w:val="AERsuperscript"/>
        </w:rPr>
        <w:t>3</w:t>
      </w:r>
      <w:r w:rsidRPr="00655A95">
        <w:t>/h</w:t>
      </w:r>
      <w:r w:rsidR="00B854CA">
        <w:t xml:space="preserve">, we estimate that </w:t>
      </w:r>
      <w:r w:rsidR="00F74C0D">
        <w:t>pressures would not reach critical levels until winter 2024 at the earliest</w:t>
      </w:r>
      <w:r w:rsidR="004F2BC7">
        <w:t xml:space="preserve"> where the </w:t>
      </w:r>
      <w:r w:rsidR="00B05483">
        <w:t>1 in 20</w:t>
      </w:r>
      <w:r w:rsidR="004F2BC7">
        <w:t xml:space="preserve"> winter peak demand would be 6,4</w:t>
      </w:r>
      <w:r w:rsidR="006C3CAA">
        <w:t>15</w:t>
      </w:r>
      <w:r w:rsidR="004F2BC7">
        <w:t xml:space="preserve"> </w:t>
      </w:r>
      <w:r w:rsidR="0053441E">
        <w:t>m</w:t>
      </w:r>
      <w:r w:rsidR="0053441E" w:rsidRPr="006423EC">
        <w:rPr>
          <w:rStyle w:val="AERsuperscript"/>
        </w:rPr>
        <w:t>3</w:t>
      </w:r>
      <w:r w:rsidR="0053441E">
        <w:t>/hour</w:t>
      </w:r>
      <w:r w:rsidR="00F74C0D">
        <w:t>.</w:t>
      </w:r>
      <w:r w:rsidR="00F74C0D">
        <w:rPr>
          <w:rStyle w:val="FootnoteReference"/>
        </w:rPr>
        <w:footnoteReference w:id="91"/>
      </w:r>
      <w:r w:rsidRPr="00655A95">
        <w:t xml:space="preserve"> </w:t>
      </w:r>
      <w:r w:rsidR="00401502">
        <w:t xml:space="preserve">It follows that </w:t>
      </w:r>
      <w:r w:rsidR="00F41982">
        <w:t xml:space="preserve">as pressures </w:t>
      </w:r>
      <w:r w:rsidR="00401502">
        <w:t xml:space="preserve">will </w:t>
      </w:r>
      <w:r w:rsidR="00F41982">
        <w:t>not reach critical levels until after the 2016</w:t>
      </w:r>
      <w:r w:rsidR="00C353B7">
        <w:t>–</w:t>
      </w:r>
      <w:r w:rsidR="00F41982">
        <w:t xml:space="preserve">21 </w:t>
      </w:r>
      <w:r w:rsidR="000F7027">
        <w:t>access arrangement</w:t>
      </w:r>
      <w:r w:rsidR="00F41982">
        <w:t xml:space="preserve"> period, augmentation capex for Molonglo Primary is not </w:t>
      </w:r>
      <w:r w:rsidR="00AD4294">
        <w:t xml:space="preserve">necessary under the NGR </w:t>
      </w:r>
      <w:r w:rsidR="00F41982">
        <w:t xml:space="preserve">for </w:t>
      </w:r>
      <w:r w:rsidR="00A50560">
        <w:t xml:space="preserve">the </w:t>
      </w:r>
      <w:r w:rsidR="00F41982">
        <w:t xml:space="preserve">next </w:t>
      </w:r>
      <w:r w:rsidR="000F7027">
        <w:t>access arrangement</w:t>
      </w:r>
      <w:r w:rsidR="00F41982">
        <w:t xml:space="preserve"> period.</w:t>
      </w:r>
      <w:r w:rsidR="00AD4294">
        <w:rPr>
          <w:rStyle w:val="FootnoteReference"/>
        </w:rPr>
        <w:footnoteReference w:id="92"/>
      </w:r>
      <w:r w:rsidR="00F41982">
        <w:t xml:space="preserve"> Further, we note that our analysis is conservative (that is, pressures ma</w:t>
      </w:r>
      <w:r w:rsidR="007E23D5">
        <w:t xml:space="preserve">y not reach critical levels well beyond 2024) as we applied ActewAGL's assumption of 6000 new dwellings in Molonglo and its assumption of a peak load per customer of </w:t>
      </w:r>
      <w:r w:rsidR="007E23D5" w:rsidRPr="00655A95">
        <w:t>0.98 m</w:t>
      </w:r>
      <w:r w:rsidR="007E23D5" w:rsidRPr="006423EC">
        <w:rPr>
          <w:rStyle w:val="AERsuperscript"/>
        </w:rPr>
        <w:t>3</w:t>
      </w:r>
      <w:r w:rsidR="007E23D5" w:rsidRPr="00655A95">
        <w:t xml:space="preserve">/h </w:t>
      </w:r>
      <w:r w:rsidR="007E23D5">
        <w:t xml:space="preserve">per customer. </w:t>
      </w:r>
      <w:r w:rsidR="00F41982">
        <w:t>We note</w:t>
      </w:r>
      <w:r w:rsidR="00F41982" w:rsidRPr="00655A95">
        <w:t xml:space="preserve"> </w:t>
      </w:r>
      <w:proofErr w:type="spellStart"/>
      <w:r w:rsidR="00F41982" w:rsidRPr="00655A95">
        <w:t>Sleeman</w:t>
      </w:r>
      <w:proofErr w:type="spellEnd"/>
      <w:r w:rsidR="00F41982" w:rsidRPr="00655A95">
        <w:t xml:space="preserve"> Consulting considered there </w:t>
      </w:r>
      <w:r w:rsidR="00F41982">
        <w:t xml:space="preserve">is </w:t>
      </w:r>
      <w:r w:rsidR="00F41982" w:rsidRPr="00655A95">
        <w:t>potential for 6,000 new dwellings in Molonglo, but not all dwellings will necessarily be developed by 2020.</w:t>
      </w:r>
      <w:r w:rsidR="00F41982" w:rsidRPr="00655A95">
        <w:rPr>
          <w:rStyle w:val="FootnoteReference"/>
        </w:rPr>
        <w:footnoteReference w:id="93"/>
      </w:r>
      <w:r w:rsidR="00F41982" w:rsidRPr="00655A95">
        <w:t xml:space="preserve"> </w:t>
      </w:r>
      <w:r w:rsidR="00F41982">
        <w:t>W</w:t>
      </w:r>
      <w:r w:rsidR="00F41982" w:rsidRPr="00655A95">
        <w:t xml:space="preserve">e and </w:t>
      </w:r>
      <w:proofErr w:type="spellStart"/>
      <w:r w:rsidR="00F41982" w:rsidRPr="00655A95">
        <w:t>Sleeman</w:t>
      </w:r>
      <w:proofErr w:type="spellEnd"/>
      <w:r w:rsidR="00F41982" w:rsidRPr="00655A95">
        <w:t xml:space="preserve"> Consulting </w:t>
      </w:r>
      <w:r w:rsidR="00F41982">
        <w:t xml:space="preserve">also </w:t>
      </w:r>
      <w:r w:rsidR="00F41982" w:rsidRPr="00655A95">
        <w:t xml:space="preserve">consider ActewAGL's </w:t>
      </w:r>
      <w:r w:rsidR="00F41982">
        <w:t xml:space="preserve">assumption </w:t>
      </w:r>
      <w:r w:rsidR="00F41982" w:rsidRPr="00655A95">
        <w:t>of 0.98 m</w:t>
      </w:r>
      <w:r w:rsidR="00F41982" w:rsidRPr="006423EC">
        <w:rPr>
          <w:rStyle w:val="AERsuperscript"/>
        </w:rPr>
        <w:t>3</w:t>
      </w:r>
      <w:r w:rsidR="00F41982" w:rsidRPr="00655A95">
        <w:t xml:space="preserve">/h </w:t>
      </w:r>
      <w:r w:rsidR="00F41982">
        <w:t xml:space="preserve">per customer may be </w:t>
      </w:r>
      <w:r w:rsidR="00F41982" w:rsidRPr="00655A95">
        <w:t>overstated</w:t>
      </w:r>
      <w:r w:rsidR="00F41982">
        <w:t>, as discussed further below.</w:t>
      </w:r>
      <w:r w:rsidR="007E23D5" w:rsidRPr="007E23D5">
        <w:t xml:space="preserve"> </w:t>
      </w:r>
      <w:r w:rsidR="007E23D5" w:rsidRPr="00655A95">
        <w:t xml:space="preserve">At best, </w:t>
      </w:r>
      <w:proofErr w:type="spellStart"/>
      <w:r w:rsidR="007E23D5" w:rsidRPr="00655A95">
        <w:t>Sleeman</w:t>
      </w:r>
      <w:proofErr w:type="spellEnd"/>
      <w:r w:rsidR="007E23D5" w:rsidRPr="00655A95">
        <w:t xml:space="preserve"> Consulting considered </w:t>
      </w:r>
      <w:r w:rsidR="007E23D5">
        <w:t xml:space="preserve">this figure </w:t>
      </w:r>
      <w:r w:rsidR="007E23D5" w:rsidRPr="00655A95">
        <w:t>is at the very top of the reasonable range.</w:t>
      </w:r>
      <w:r w:rsidR="007E23D5" w:rsidRPr="00655A95">
        <w:rPr>
          <w:rStyle w:val="FootnoteReference"/>
        </w:rPr>
        <w:footnoteReference w:id="94"/>
      </w:r>
    </w:p>
    <w:p w:rsidR="00D6352A" w:rsidRPr="00655A95" w:rsidRDefault="00D6352A" w:rsidP="00D6352A">
      <w:r w:rsidRPr="00655A95">
        <w:t xml:space="preserve">We acknowledge this analysis does not </w:t>
      </w:r>
      <w:r w:rsidR="006E6BA7">
        <w:t xml:space="preserve">include </w:t>
      </w:r>
      <w:r w:rsidRPr="00655A95">
        <w:t>non-residential customers</w:t>
      </w:r>
      <w:r w:rsidR="0053441E">
        <w:t xml:space="preserve">. However, ActewAGL provided little evidence regarding the potential contribution such load would have </w:t>
      </w:r>
      <w:r w:rsidR="006E6BA7">
        <w:t>on peak demand</w:t>
      </w:r>
      <w:r w:rsidR="0053441E">
        <w:t>.</w:t>
      </w:r>
      <w:r w:rsidRPr="00655A95">
        <w:t xml:space="preserve"> </w:t>
      </w:r>
      <w:r w:rsidR="0053441E">
        <w:t>W</w:t>
      </w:r>
      <w:r w:rsidRPr="00655A95">
        <w:t xml:space="preserve">e discuss </w:t>
      </w:r>
      <w:r w:rsidR="00B05483">
        <w:t>this in more detail</w:t>
      </w:r>
      <w:r w:rsidR="0053441E">
        <w:t xml:space="preserve"> </w:t>
      </w:r>
      <w:r w:rsidR="00B854CA">
        <w:t>later in our reasons.</w:t>
      </w:r>
      <w:r w:rsidRPr="00655A95">
        <w:t xml:space="preserve"> </w:t>
      </w:r>
    </w:p>
    <w:p w:rsidR="004F5CEA" w:rsidRDefault="004F5CEA" w:rsidP="00E44864">
      <w:pPr>
        <w:pStyle w:val="HeadingItalic"/>
      </w:pPr>
      <w:r>
        <w:t>Trends in peak load per customer</w:t>
      </w:r>
    </w:p>
    <w:p w:rsidR="00D6352A" w:rsidRPr="00655A95" w:rsidRDefault="00D6352A" w:rsidP="00D6352A">
      <w:r w:rsidRPr="00655A95">
        <w:t xml:space="preserve">In their initial and revised proposals, ActewAGL used the </w:t>
      </w:r>
      <w:r w:rsidR="00DB1596">
        <w:t>figure</w:t>
      </w:r>
      <w:r w:rsidRPr="00655A95">
        <w:t xml:space="preserve"> </w:t>
      </w:r>
      <w:proofErr w:type="gramStart"/>
      <w:r w:rsidRPr="00655A95">
        <w:t>of 0.98 m</w:t>
      </w:r>
      <w:r w:rsidRPr="006423EC">
        <w:rPr>
          <w:rStyle w:val="AERsuperscript"/>
        </w:rPr>
        <w:t>3</w:t>
      </w:r>
      <w:r w:rsidRPr="00655A95">
        <w:t>/</w:t>
      </w:r>
      <w:r w:rsidR="00DB1596">
        <w:t>hour per customer</w:t>
      </w:r>
      <w:proofErr w:type="gramEnd"/>
      <w:r w:rsidR="00DB1596" w:rsidRPr="00655A95">
        <w:t xml:space="preserve"> </w:t>
      </w:r>
      <w:r w:rsidRPr="00655A95">
        <w:t xml:space="preserve">for a </w:t>
      </w:r>
      <w:r w:rsidR="00B05483">
        <w:t>1 in 20</w:t>
      </w:r>
      <w:r w:rsidR="00B05483" w:rsidRPr="00655A95">
        <w:t xml:space="preserve"> </w:t>
      </w:r>
      <w:r w:rsidRPr="00655A95">
        <w:t xml:space="preserve">winter. This figure, multiplied by the forecast number of new dwellings, approximates the peak load forecasts ActewAGL used in its pipeline pressure modelling to justify Molonglo Primary. We consider ActewAGL’s forecast </w:t>
      </w:r>
      <w:proofErr w:type="gramStart"/>
      <w:r w:rsidRPr="00655A95">
        <w:t>of 0.98 m</w:t>
      </w:r>
      <w:r w:rsidRPr="006423EC">
        <w:rPr>
          <w:rStyle w:val="AERsuperscript"/>
        </w:rPr>
        <w:t>3</w:t>
      </w:r>
      <w:r w:rsidRPr="00655A95">
        <w:t xml:space="preserve">/customer for a </w:t>
      </w:r>
      <w:r w:rsidR="00B05483">
        <w:t>1 in 20</w:t>
      </w:r>
      <w:r w:rsidR="00B05483" w:rsidRPr="00655A95">
        <w:t xml:space="preserve"> </w:t>
      </w:r>
      <w:r w:rsidRPr="00655A95">
        <w:t>winter</w:t>
      </w:r>
      <w:proofErr w:type="gramEnd"/>
      <w:r w:rsidRPr="00655A95">
        <w:t xml:space="preserve"> is overstated given the overall </w:t>
      </w:r>
      <w:r w:rsidR="007E23D5">
        <w:t xml:space="preserve">historical </w:t>
      </w:r>
      <w:r w:rsidRPr="00655A95">
        <w:t>trend in peak load per customer.</w:t>
      </w:r>
    </w:p>
    <w:p w:rsidR="00D6352A" w:rsidRPr="00655A95" w:rsidRDefault="00D6352A" w:rsidP="00D6352A">
      <w:r w:rsidRPr="00655A95">
        <w:t xml:space="preserve">ActewAGL derived its </w:t>
      </w:r>
      <w:r w:rsidR="00B05483">
        <w:t>1 in 20</w:t>
      </w:r>
      <w:r w:rsidR="00B05483" w:rsidRPr="00655A95">
        <w:t xml:space="preserve"> </w:t>
      </w:r>
      <w:r w:rsidRPr="00655A95">
        <w:t>winter peak load per customer by multiplying its forecast for non-severe peak load per customer by a ‘severity factor’.</w:t>
      </w:r>
      <w:r w:rsidRPr="00655A95">
        <w:rPr>
          <w:rStyle w:val="FootnoteReference"/>
        </w:rPr>
        <w:footnoteReference w:id="95"/>
      </w:r>
      <w:r w:rsidRPr="00655A95">
        <w:t xml:space="preserve"> </w:t>
      </w:r>
      <w:r w:rsidR="00DF14F5" w:rsidRPr="00655A95">
        <w:t xml:space="preserve">ActewAGL derived the non-severe winter figure </w:t>
      </w:r>
      <w:proofErr w:type="gramStart"/>
      <w:r w:rsidR="00DF14F5" w:rsidRPr="00655A95">
        <w:t>(0.84 m</w:t>
      </w:r>
      <w:r w:rsidR="00DF14F5" w:rsidRPr="006423EC">
        <w:rPr>
          <w:rStyle w:val="AERsuperscript"/>
        </w:rPr>
        <w:t>3</w:t>
      </w:r>
      <w:r w:rsidR="00DF14F5" w:rsidRPr="00655A95">
        <w:t>/hour per customer)</w:t>
      </w:r>
      <w:proofErr w:type="gramEnd"/>
      <w:r w:rsidR="00DF14F5" w:rsidRPr="00655A95">
        <w:t xml:space="preserve"> for 2020 from the non-severe peak gas demand figure for 2013.</w:t>
      </w:r>
      <w:r w:rsidR="00DF14F5" w:rsidRPr="00655A95">
        <w:rPr>
          <w:rStyle w:val="FootnoteReference"/>
        </w:rPr>
        <w:footnoteReference w:id="96"/>
      </w:r>
      <w:r w:rsidR="00DF14F5">
        <w:t xml:space="preserve"> </w:t>
      </w:r>
      <w:r w:rsidRPr="00655A95">
        <w:t xml:space="preserve">Applying the 16 per cent </w:t>
      </w:r>
      <w:r w:rsidR="00DB1596" w:rsidRPr="00655A95">
        <w:t xml:space="preserve">severity factor </w:t>
      </w:r>
      <w:r w:rsidRPr="00655A95">
        <w:t>derives 0.98m</w:t>
      </w:r>
      <w:r w:rsidRPr="006423EC">
        <w:rPr>
          <w:rStyle w:val="AERsuperscript"/>
        </w:rPr>
        <w:t>3</w:t>
      </w:r>
      <w:r w:rsidRPr="00655A95">
        <w:t xml:space="preserve">/hour per customer for a </w:t>
      </w:r>
      <w:r w:rsidR="00B05483">
        <w:t>1 in 20</w:t>
      </w:r>
      <w:r w:rsidR="00B05483" w:rsidRPr="00655A95">
        <w:t xml:space="preserve"> </w:t>
      </w:r>
      <w:r w:rsidRPr="00655A95">
        <w:t>winter.</w:t>
      </w:r>
      <w:r w:rsidRPr="00655A95">
        <w:rPr>
          <w:rStyle w:val="FootnoteReference"/>
        </w:rPr>
        <w:footnoteReference w:id="97"/>
      </w:r>
    </w:p>
    <w:p w:rsidR="00D6352A" w:rsidRPr="00655A95" w:rsidRDefault="00D6352A" w:rsidP="00D6352A">
      <w:proofErr w:type="spellStart"/>
      <w:r w:rsidRPr="00655A95">
        <w:t>Sleeman</w:t>
      </w:r>
      <w:proofErr w:type="spellEnd"/>
      <w:r w:rsidRPr="00655A95">
        <w:t xml:space="preserve"> Consulting considers the use of a fixed (2013) non-severe peak load per customer figure is likely to progressively overstate peak demand forecasts in the 2016–21 </w:t>
      </w:r>
      <w:proofErr w:type="gramStart"/>
      <w:r w:rsidRPr="00655A95">
        <w:t>period</w:t>
      </w:r>
      <w:proofErr w:type="gramEnd"/>
      <w:r w:rsidRPr="00655A95">
        <w:t>. A fixed figure does not provide for potential ongoing decline in peak hourly demand and as overall residential gas demand declines.</w:t>
      </w:r>
      <w:r w:rsidRPr="00655A95">
        <w:rPr>
          <w:rStyle w:val="FootnoteReference"/>
        </w:rPr>
        <w:footnoteReference w:id="98"/>
      </w:r>
    </w:p>
    <w:p w:rsidR="00D6352A" w:rsidRPr="00655A95" w:rsidRDefault="00D6352A" w:rsidP="00D6352A">
      <w:r w:rsidRPr="00655A95">
        <w:t>ActewAGL stated its estimate of 0.98m</w:t>
      </w:r>
      <w:r w:rsidRPr="00683055">
        <w:rPr>
          <w:rStyle w:val="AERsuperscript"/>
        </w:rPr>
        <w:t>3</w:t>
      </w:r>
      <w:r w:rsidRPr="00655A95">
        <w:t xml:space="preserve">/customer for a severe peak is well below the actual peak per customer in </w:t>
      </w:r>
      <w:r w:rsidR="00C65496">
        <w:t>eight</w:t>
      </w:r>
      <w:r w:rsidR="00C65496" w:rsidRPr="00655A95">
        <w:t xml:space="preserve"> </w:t>
      </w:r>
      <w:r w:rsidRPr="00655A95">
        <w:t>of the last 12 winters.</w:t>
      </w:r>
      <w:r w:rsidRPr="00655A95">
        <w:rPr>
          <w:rStyle w:val="FootnoteReference"/>
        </w:rPr>
        <w:footnoteReference w:id="99"/>
      </w:r>
      <w:r w:rsidRPr="00655A95">
        <w:t xml:space="preserve"> While </w:t>
      </w:r>
      <w:r w:rsidR="00401502">
        <w:t>this may be the case</w:t>
      </w:r>
      <w:r w:rsidRPr="00655A95">
        <w:t xml:space="preserve">, </w:t>
      </w:r>
      <w:r w:rsidR="003D3D97">
        <w:t xml:space="preserve">this </w:t>
      </w:r>
      <w:r w:rsidR="00401502">
        <w:t xml:space="preserve">does not account for </w:t>
      </w:r>
      <w:r w:rsidR="00E038A9">
        <w:t xml:space="preserve">the trend in </w:t>
      </w:r>
      <w:r w:rsidRPr="00655A95">
        <w:t xml:space="preserve">peak per customer </w:t>
      </w:r>
      <w:r w:rsidR="00E038A9">
        <w:t xml:space="preserve">numbers </w:t>
      </w:r>
      <w:r w:rsidRPr="00655A95">
        <w:t>over</w:t>
      </w:r>
      <w:r w:rsidR="00E038A9">
        <w:t xml:space="preserve"> </w:t>
      </w:r>
      <w:r w:rsidRPr="00655A95">
        <w:t xml:space="preserve">time. </w:t>
      </w:r>
      <w:r w:rsidRPr="00655A95">
        <w:fldChar w:fldCharType="begin"/>
      </w:r>
      <w:r w:rsidRPr="00655A95">
        <w:instrText xml:space="preserve"> REF _Ref445111272 \h </w:instrText>
      </w:r>
      <w:r w:rsidRPr="00655A95">
        <w:fldChar w:fldCharType="separate"/>
      </w:r>
      <w:r w:rsidR="00D822F6" w:rsidRPr="00655A95">
        <w:t xml:space="preserve">Figure </w:t>
      </w:r>
      <w:r w:rsidR="00D822F6">
        <w:rPr>
          <w:noProof/>
        </w:rPr>
        <w:t>6</w:t>
      </w:r>
      <w:r w:rsidR="00D822F6" w:rsidRPr="00655A95">
        <w:t>.</w:t>
      </w:r>
      <w:r w:rsidR="00D822F6">
        <w:rPr>
          <w:noProof/>
        </w:rPr>
        <w:t>1</w:t>
      </w:r>
      <w:r w:rsidRPr="00655A95">
        <w:fldChar w:fldCharType="end"/>
      </w:r>
      <w:r w:rsidRPr="00655A95">
        <w:t xml:space="preserve"> shows </w:t>
      </w:r>
      <w:r w:rsidR="00DF14F5">
        <w:t xml:space="preserve">the steady decline in </w:t>
      </w:r>
      <w:r w:rsidRPr="00655A95">
        <w:t xml:space="preserve">peak demand per customer since 2006. </w:t>
      </w:r>
    </w:p>
    <w:p w:rsidR="00D6352A" w:rsidRPr="00655A95" w:rsidRDefault="00D6352A" w:rsidP="00D6352A">
      <w:pPr>
        <w:pStyle w:val="Caption"/>
      </w:pPr>
      <w:bookmarkStart w:id="41" w:name="_Ref445111272"/>
      <w:proofErr w:type="gramStart"/>
      <w:r w:rsidRPr="00655A95">
        <w:t xml:space="preserve">Figure </w:t>
      </w:r>
      <w:proofErr w:type="gramEnd"/>
      <w:r w:rsidR="003F5473">
        <w:fldChar w:fldCharType="begin"/>
      </w:r>
      <w:r w:rsidR="003F5473">
        <w:instrText xml:space="preserve"> STYLEREF 1 \s </w:instrText>
      </w:r>
      <w:r w:rsidR="003F5473">
        <w:fldChar w:fldCharType="separate"/>
      </w:r>
      <w:r w:rsidR="00D822F6">
        <w:rPr>
          <w:noProof/>
        </w:rPr>
        <w:t>6</w:t>
      </w:r>
      <w:r w:rsidR="003F5473">
        <w:rPr>
          <w:noProof/>
        </w:rPr>
        <w:fldChar w:fldCharType="end"/>
      </w:r>
      <w:proofErr w:type="gramStart"/>
      <w:r w:rsidRPr="00655A95">
        <w:t>.</w:t>
      </w:r>
      <w:proofErr w:type="gramEnd"/>
      <w:r w:rsidR="00B37DDD">
        <w:fldChar w:fldCharType="begin"/>
      </w:r>
      <w:r w:rsidR="00B37DDD">
        <w:instrText xml:space="preserve"> SEQ Figure \* ARABIC \s 1 </w:instrText>
      </w:r>
      <w:r w:rsidR="00B37DDD">
        <w:fldChar w:fldCharType="separate"/>
      </w:r>
      <w:r w:rsidR="00D822F6">
        <w:rPr>
          <w:noProof/>
        </w:rPr>
        <w:t>1</w:t>
      </w:r>
      <w:r w:rsidR="00B37DDD">
        <w:rPr>
          <w:noProof/>
        </w:rPr>
        <w:fldChar w:fldCharType="end"/>
      </w:r>
      <w:bookmarkEnd w:id="41"/>
      <w:r w:rsidRPr="00655A95">
        <w:tab/>
        <w:t>ActewAGL peak load per customer 2003–2014 (m3/hour per customer)</w:t>
      </w:r>
    </w:p>
    <w:p w:rsidR="00D6352A" w:rsidRPr="00655A95" w:rsidRDefault="00D6352A" w:rsidP="00D6352A">
      <w:r w:rsidRPr="00D6352A">
        <w:rPr>
          <w:noProof/>
          <w:lang w:eastAsia="en-AU"/>
        </w:rPr>
        <w:drawing>
          <wp:inline distT="0" distB="0" distL="0" distR="0" wp14:anchorId="18945785" wp14:editId="0DEE3BE5">
            <wp:extent cx="5382895" cy="324500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2895" cy="3245008"/>
                    </a:xfrm>
                    <a:prstGeom prst="rect">
                      <a:avLst/>
                    </a:prstGeom>
                    <a:noFill/>
                    <a:ln>
                      <a:noFill/>
                    </a:ln>
                  </pic:spPr>
                </pic:pic>
              </a:graphicData>
            </a:graphic>
          </wp:inline>
        </w:drawing>
      </w:r>
    </w:p>
    <w:p w:rsidR="00D6352A" w:rsidRPr="00655A95" w:rsidRDefault="00D6352A" w:rsidP="00D6352A">
      <w:pPr>
        <w:pStyle w:val="AERtablesource"/>
      </w:pPr>
      <w:r w:rsidRPr="00655A95">
        <w:t>Source:</w:t>
      </w:r>
      <w:r w:rsidRPr="00655A95">
        <w:tab/>
        <w:t xml:space="preserve">ActewAGL, </w:t>
      </w:r>
      <w:r w:rsidRPr="00655A95">
        <w:rPr>
          <w:rStyle w:val="AERtextitalic"/>
        </w:rPr>
        <w:t>Response to AER information request 051</w:t>
      </w:r>
      <w:r w:rsidRPr="00655A95">
        <w:t>, 17 February 2016, attachment 1.</w:t>
      </w:r>
    </w:p>
    <w:p w:rsidR="00D6352A" w:rsidRPr="00655A95" w:rsidRDefault="00D6352A" w:rsidP="00D6352A">
      <w:r w:rsidRPr="00655A95">
        <w:t xml:space="preserve">A linear extrapolation of </w:t>
      </w:r>
      <w:r w:rsidRPr="00655A95">
        <w:fldChar w:fldCharType="begin"/>
      </w:r>
      <w:r w:rsidRPr="00655A95">
        <w:instrText xml:space="preserve"> REF _Ref445111272 \h </w:instrText>
      </w:r>
      <w:r w:rsidRPr="00655A95">
        <w:fldChar w:fldCharType="separate"/>
      </w:r>
      <w:r w:rsidR="00D822F6" w:rsidRPr="00655A95">
        <w:t xml:space="preserve">Figure </w:t>
      </w:r>
      <w:r w:rsidR="00D822F6">
        <w:rPr>
          <w:noProof/>
        </w:rPr>
        <w:t>6</w:t>
      </w:r>
      <w:r w:rsidR="00D822F6" w:rsidRPr="00655A95">
        <w:t>.</w:t>
      </w:r>
      <w:r w:rsidR="00D822F6">
        <w:rPr>
          <w:noProof/>
        </w:rPr>
        <w:t>1</w:t>
      </w:r>
      <w:r w:rsidRPr="00655A95">
        <w:fldChar w:fldCharType="end"/>
      </w:r>
      <w:r w:rsidRPr="00655A95">
        <w:t xml:space="preserve"> suggests </w:t>
      </w:r>
      <w:r>
        <w:t xml:space="preserve">(non-severe) </w:t>
      </w:r>
      <w:r w:rsidRPr="00655A95">
        <w:t xml:space="preserve">peak per customer would be </w:t>
      </w:r>
      <w:proofErr w:type="gramStart"/>
      <w:r w:rsidRPr="00655A95">
        <w:t>0.79 m</w:t>
      </w:r>
      <w:r w:rsidRPr="00683055">
        <w:rPr>
          <w:rStyle w:val="AERsuperscript"/>
        </w:rPr>
        <w:t>3</w:t>
      </w:r>
      <w:r w:rsidRPr="00655A95">
        <w:t>/hour per customer</w:t>
      </w:r>
      <w:proofErr w:type="gramEnd"/>
      <w:r w:rsidRPr="00655A95">
        <w:t xml:space="preserve"> in 2020. If we use only </w:t>
      </w:r>
      <w:r w:rsidR="00401502">
        <w:t xml:space="preserve">the </w:t>
      </w:r>
      <w:r w:rsidRPr="00655A95">
        <w:t xml:space="preserve">data from 2006 onwards, this figure would be </w:t>
      </w:r>
      <w:proofErr w:type="gramStart"/>
      <w:r w:rsidRPr="00655A95">
        <w:t>0.48 m</w:t>
      </w:r>
      <w:r w:rsidRPr="00683055">
        <w:rPr>
          <w:rStyle w:val="AERsuperscript"/>
        </w:rPr>
        <w:t>3</w:t>
      </w:r>
      <w:r w:rsidRPr="00655A95">
        <w:t>/hour per customer</w:t>
      </w:r>
      <w:proofErr w:type="gramEnd"/>
      <w:r w:rsidRPr="00655A95">
        <w:t xml:space="preserve">. We also investigated the effects of other functional forms (such as exponential, log and power forms) on the data (see </w:t>
      </w:r>
      <w:r w:rsidRPr="00655A95">
        <w:fldChar w:fldCharType="begin"/>
      </w:r>
      <w:r w:rsidRPr="00655A95">
        <w:instrText xml:space="preserve"> REF _Ref445113983 \h </w:instrText>
      </w:r>
      <w:r w:rsidRPr="00655A95">
        <w:fldChar w:fldCharType="separate"/>
      </w:r>
      <w:r w:rsidR="00D822F6" w:rsidRPr="00655A95">
        <w:t xml:space="preserve">Table </w:t>
      </w:r>
      <w:r w:rsidR="00D822F6">
        <w:rPr>
          <w:noProof/>
        </w:rPr>
        <w:t>6</w:t>
      </w:r>
      <w:r w:rsidR="00D822F6" w:rsidRPr="00655A95">
        <w:t>.</w:t>
      </w:r>
      <w:r w:rsidR="00D822F6">
        <w:rPr>
          <w:noProof/>
        </w:rPr>
        <w:t>8</w:t>
      </w:r>
      <w:r w:rsidRPr="00655A95">
        <w:fldChar w:fldCharType="end"/>
      </w:r>
      <w:r w:rsidRPr="00655A95">
        <w:t>). These tests suggest</w:t>
      </w:r>
      <w:r>
        <w:t xml:space="preserve"> non-severe</w:t>
      </w:r>
      <w:r w:rsidRPr="00655A95">
        <w:t xml:space="preserve"> peak per customer figures for 2020 of between 0.5 and 0.8 m</w:t>
      </w:r>
      <w:r w:rsidRPr="00683055">
        <w:rPr>
          <w:rStyle w:val="AERsuperscript"/>
        </w:rPr>
        <w:t>3</w:t>
      </w:r>
      <w:r w:rsidRPr="00655A95">
        <w:t xml:space="preserve">/hour per customer. </w:t>
      </w:r>
    </w:p>
    <w:p w:rsidR="00E038A9" w:rsidRPr="00655A95" w:rsidRDefault="00E038A9" w:rsidP="00D6352A">
      <w:r w:rsidRPr="00655A95">
        <w:t>While the merits of these functional forms can be debated, they suggest the</w:t>
      </w:r>
      <w:r w:rsidR="003D3D97">
        <w:t xml:space="preserve"> 0.84</w:t>
      </w:r>
      <w:r w:rsidR="003D3D97" w:rsidRPr="003D3D97">
        <w:t xml:space="preserve"> </w:t>
      </w:r>
      <w:r w:rsidR="003D3D97" w:rsidRPr="00655A95">
        <w:t>m</w:t>
      </w:r>
      <w:r w:rsidR="003D3D97" w:rsidRPr="00683055">
        <w:rPr>
          <w:rStyle w:val="AERsuperscript"/>
        </w:rPr>
        <w:t>3</w:t>
      </w:r>
      <w:r w:rsidR="003D3D97" w:rsidRPr="00655A95">
        <w:t>/customer</w:t>
      </w:r>
      <w:r w:rsidR="003D3D97">
        <w:t xml:space="preserve"> figure</w:t>
      </w:r>
      <w:r w:rsidRPr="00655A95">
        <w:t xml:space="preserve"> </w:t>
      </w:r>
      <w:r w:rsidR="003D3D97">
        <w:t xml:space="preserve">(and hence, </w:t>
      </w:r>
      <w:r w:rsidRPr="00655A95">
        <w:t>0.98 m</w:t>
      </w:r>
      <w:r w:rsidRPr="00683055">
        <w:rPr>
          <w:rStyle w:val="AERsuperscript"/>
        </w:rPr>
        <w:t>3</w:t>
      </w:r>
      <w:r w:rsidRPr="00655A95">
        <w:t>/</w:t>
      </w:r>
      <w:r w:rsidR="003D3D97">
        <w:t xml:space="preserve">hour per customer) </w:t>
      </w:r>
      <w:r w:rsidRPr="00655A95">
        <w:t xml:space="preserve">may be outside of a reasonable range. This is consistent with </w:t>
      </w:r>
      <w:proofErr w:type="spellStart"/>
      <w:r w:rsidRPr="00655A95">
        <w:t>Sleeman</w:t>
      </w:r>
      <w:proofErr w:type="spellEnd"/>
      <w:r w:rsidRPr="00655A95">
        <w:t xml:space="preserve"> Consulting’s assessment that 0.98 m</w:t>
      </w:r>
      <w:r w:rsidRPr="00683055">
        <w:rPr>
          <w:rStyle w:val="AERsuperscript"/>
        </w:rPr>
        <w:t>3</w:t>
      </w:r>
      <w:r w:rsidRPr="00655A95">
        <w:t>/hour per customer would be at the very top of the range.</w:t>
      </w:r>
      <w:r w:rsidRPr="00655A95">
        <w:rPr>
          <w:rStyle w:val="FootnoteReference"/>
        </w:rPr>
        <w:footnoteReference w:id="100"/>
      </w:r>
      <w:r w:rsidR="00E95737">
        <w:t xml:space="preserve"> </w:t>
      </w:r>
    </w:p>
    <w:p w:rsidR="00D6352A" w:rsidRPr="00655A95" w:rsidRDefault="00D6352A" w:rsidP="00D6352A">
      <w:pPr>
        <w:pStyle w:val="Caption"/>
      </w:pPr>
      <w:bookmarkStart w:id="42" w:name="_Ref445113983"/>
      <w:proofErr w:type="gramStart"/>
      <w:r w:rsidRPr="00655A95">
        <w:t xml:space="preserve">Table </w:t>
      </w:r>
      <w:proofErr w:type="gramEnd"/>
      <w:r w:rsidR="003F5473">
        <w:fldChar w:fldCharType="begin"/>
      </w:r>
      <w:r w:rsidR="003F5473">
        <w:instrText xml:space="preserve"> STYLEREF 1 \s </w:instrText>
      </w:r>
      <w:r w:rsidR="003F5473">
        <w:fldChar w:fldCharType="separate"/>
      </w:r>
      <w:r w:rsidR="00D822F6">
        <w:rPr>
          <w:noProof/>
        </w:rPr>
        <w:t>6</w:t>
      </w:r>
      <w:r w:rsidR="003F5473">
        <w:rPr>
          <w:noProof/>
        </w:rPr>
        <w:fldChar w:fldCharType="end"/>
      </w:r>
      <w:proofErr w:type="gramStart"/>
      <w:r w:rsidRPr="00655A95">
        <w:t>.</w:t>
      </w:r>
      <w:proofErr w:type="gramEnd"/>
      <w:r w:rsidR="00B37DDD">
        <w:fldChar w:fldCharType="begin"/>
      </w:r>
      <w:r w:rsidR="00B37DDD">
        <w:instrText xml:space="preserve"> SEQ Table \* ARABIC \s 1 </w:instrText>
      </w:r>
      <w:r w:rsidR="00B37DDD">
        <w:fldChar w:fldCharType="separate"/>
      </w:r>
      <w:r w:rsidR="00D822F6">
        <w:rPr>
          <w:noProof/>
        </w:rPr>
        <w:t>8</w:t>
      </w:r>
      <w:r w:rsidR="00B37DDD">
        <w:rPr>
          <w:noProof/>
        </w:rPr>
        <w:fldChar w:fldCharType="end"/>
      </w:r>
      <w:bookmarkEnd w:id="42"/>
      <w:r w:rsidRPr="00655A95">
        <w:tab/>
        <w:t>Non-severe winter 2020 peak load per customer using various functional forms</w:t>
      </w:r>
    </w:p>
    <w:tbl>
      <w:tblPr>
        <w:tblStyle w:val="AERtable-numbers"/>
        <w:tblW w:w="0" w:type="auto"/>
        <w:tblLook w:val="04A0" w:firstRow="1" w:lastRow="0" w:firstColumn="1" w:lastColumn="0" w:noHBand="0" w:noVBand="1"/>
      </w:tblPr>
      <w:tblGrid>
        <w:gridCol w:w="2235"/>
        <w:gridCol w:w="1701"/>
        <w:gridCol w:w="2409"/>
      </w:tblGrid>
      <w:tr w:rsidR="00D6352A" w:rsidRPr="005B3877" w:rsidTr="004F29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D6352A" w:rsidRPr="00655A95" w:rsidRDefault="00D6352A" w:rsidP="00D6352A"/>
        </w:tc>
        <w:tc>
          <w:tcPr>
            <w:tcW w:w="1701" w:type="dxa"/>
          </w:tcPr>
          <w:p w:rsidR="00D6352A" w:rsidRPr="00655A95" w:rsidRDefault="00D6352A" w:rsidP="00D6352A">
            <w:pPr>
              <w:cnfStyle w:val="100000000000" w:firstRow="1" w:lastRow="0" w:firstColumn="0" w:lastColumn="0" w:oddVBand="0" w:evenVBand="0" w:oddHBand="0" w:evenHBand="0" w:firstRowFirstColumn="0" w:firstRowLastColumn="0" w:lastRowFirstColumn="0" w:lastRowLastColumn="0"/>
            </w:pPr>
            <w:r w:rsidRPr="00655A95">
              <w:t>R-squared value</w:t>
            </w:r>
          </w:p>
        </w:tc>
        <w:tc>
          <w:tcPr>
            <w:tcW w:w="2409" w:type="dxa"/>
          </w:tcPr>
          <w:p w:rsidR="00D6352A" w:rsidRPr="00655A95" w:rsidRDefault="00D6352A" w:rsidP="00D6352A">
            <w:pPr>
              <w:cnfStyle w:val="100000000000" w:firstRow="1" w:lastRow="0" w:firstColumn="0" w:lastColumn="0" w:oddVBand="0" w:evenVBand="0" w:oddHBand="0" w:evenHBand="0" w:firstRowFirstColumn="0" w:firstRowLastColumn="0" w:lastRowFirstColumn="0" w:lastRowLastColumn="0"/>
            </w:pPr>
            <w:r w:rsidRPr="00655A95">
              <w:t>Non-severe winter 2020 (m3/hour per customer)</w:t>
            </w:r>
          </w:p>
        </w:tc>
      </w:tr>
      <w:tr w:rsidR="00D6352A" w:rsidRPr="005B3877" w:rsidTr="004F29C3">
        <w:tc>
          <w:tcPr>
            <w:cnfStyle w:val="001000000000" w:firstRow="0" w:lastRow="0" w:firstColumn="1" w:lastColumn="0" w:oddVBand="0" w:evenVBand="0" w:oddHBand="0" w:evenHBand="0" w:firstRowFirstColumn="0" w:firstRowLastColumn="0" w:lastRowFirstColumn="0" w:lastRowLastColumn="0"/>
            <w:tcW w:w="2235" w:type="dxa"/>
          </w:tcPr>
          <w:p w:rsidR="00D6352A" w:rsidRPr="00655A95" w:rsidRDefault="00D6352A" w:rsidP="00D6352A">
            <w:pPr>
              <w:rPr>
                <w:rStyle w:val="Strong"/>
              </w:rPr>
            </w:pPr>
            <w:r w:rsidRPr="00655A95">
              <w:rPr>
                <w:rStyle w:val="Strong"/>
              </w:rPr>
              <w:t>All data</w:t>
            </w:r>
          </w:p>
        </w:tc>
        <w:tc>
          <w:tcPr>
            <w:tcW w:w="1701" w:type="dxa"/>
          </w:tcPr>
          <w:p w:rsidR="00D6352A" w:rsidRPr="00655A95" w:rsidRDefault="00D6352A" w:rsidP="00D6352A">
            <w:pPr>
              <w:cnfStyle w:val="000000000000" w:firstRow="0" w:lastRow="0" w:firstColumn="0" w:lastColumn="0" w:oddVBand="0" w:evenVBand="0" w:oddHBand="0" w:evenHBand="0" w:firstRowFirstColumn="0" w:firstRowLastColumn="0" w:lastRowFirstColumn="0" w:lastRowLastColumn="0"/>
            </w:pPr>
          </w:p>
        </w:tc>
        <w:tc>
          <w:tcPr>
            <w:tcW w:w="2409" w:type="dxa"/>
          </w:tcPr>
          <w:p w:rsidR="00D6352A" w:rsidRPr="00655A95" w:rsidRDefault="00D6352A" w:rsidP="00D6352A">
            <w:pPr>
              <w:cnfStyle w:val="000000000000" w:firstRow="0" w:lastRow="0" w:firstColumn="0" w:lastColumn="0" w:oddVBand="0" w:evenVBand="0" w:oddHBand="0" w:evenHBand="0" w:firstRowFirstColumn="0" w:firstRowLastColumn="0" w:lastRowFirstColumn="0" w:lastRowLastColumn="0"/>
            </w:pPr>
          </w:p>
        </w:tc>
      </w:tr>
      <w:tr w:rsidR="00D6352A" w:rsidRPr="005B3877" w:rsidTr="004F29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D6352A" w:rsidRPr="00655A95" w:rsidRDefault="00D6352A" w:rsidP="00D6352A">
            <w:r w:rsidRPr="00655A95">
              <w:t xml:space="preserve">Linear </w:t>
            </w:r>
          </w:p>
        </w:tc>
        <w:tc>
          <w:tcPr>
            <w:tcW w:w="1701" w:type="dxa"/>
            <w:vAlign w:val="bottom"/>
          </w:tcPr>
          <w:p w:rsidR="00D6352A" w:rsidRPr="00655A95" w:rsidRDefault="00D6352A" w:rsidP="00D6352A">
            <w:pPr>
              <w:cnfStyle w:val="000000010000" w:firstRow="0" w:lastRow="0" w:firstColumn="0" w:lastColumn="0" w:oddVBand="0" w:evenVBand="0" w:oddHBand="0" w:evenHBand="1" w:firstRowFirstColumn="0" w:firstRowLastColumn="0" w:lastRowFirstColumn="0" w:lastRowLastColumn="0"/>
            </w:pPr>
            <w:r w:rsidRPr="00655A95">
              <w:t>0.31</w:t>
            </w:r>
          </w:p>
        </w:tc>
        <w:tc>
          <w:tcPr>
            <w:tcW w:w="2409" w:type="dxa"/>
            <w:vAlign w:val="bottom"/>
          </w:tcPr>
          <w:p w:rsidR="00D6352A" w:rsidRPr="00655A95" w:rsidRDefault="00D6352A" w:rsidP="00D6352A">
            <w:pPr>
              <w:cnfStyle w:val="000000010000" w:firstRow="0" w:lastRow="0" w:firstColumn="0" w:lastColumn="0" w:oddVBand="0" w:evenVBand="0" w:oddHBand="0" w:evenHBand="1" w:firstRowFirstColumn="0" w:firstRowLastColumn="0" w:lastRowFirstColumn="0" w:lastRowLastColumn="0"/>
            </w:pPr>
            <w:r w:rsidRPr="00655A95">
              <w:t>0.79</w:t>
            </w:r>
          </w:p>
        </w:tc>
      </w:tr>
      <w:tr w:rsidR="00D6352A" w:rsidRPr="005B3877" w:rsidTr="004F29C3">
        <w:tc>
          <w:tcPr>
            <w:cnfStyle w:val="001000000000" w:firstRow="0" w:lastRow="0" w:firstColumn="1" w:lastColumn="0" w:oddVBand="0" w:evenVBand="0" w:oddHBand="0" w:evenHBand="0" w:firstRowFirstColumn="0" w:firstRowLastColumn="0" w:lastRowFirstColumn="0" w:lastRowLastColumn="0"/>
            <w:tcW w:w="2235" w:type="dxa"/>
          </w:tcPr>
          <w:p w:rsidR="00D6352A" w:rsidRPr="00655A95" w:rsidRDefault="00D6352A" w:rsidP="00D6352A">
            <w:r w:rsidRPr="00655A95">
              <w:t>Exponential</w:t>
            </w:r>
          </w:p>
        </w:tc>
        <w:tc>
          <w:tcPr>
            <w:tcW w:w="1701" w:type="dxa"/>
            <w:vAlign w:val="bottom"/>
          </w:tcPr>
          <w:p w:rsidR="00D6352A" w:rsidRPr="00655A95" w:rsidRDefault="00D6352A" w:rsidP="00D6352A">
            <w:pPr>
              <w:cnfStyle w:val="000000000000" w:firstRow="0" w:lastRow="0" w:firstColumn="0" w:lastColumn="0" w:oddVBand="0" w:evenVBand="0" w:oddHBand="0" w:evenHBand="0" w:firstRowFirstColumn="0" w:firstRowLastColumn="0" w:lastRowFirstColumn="0" w:lastRowLastColumn="0"/>
            </w:pPr>
            <w:r w:rsidRPr="00655A95">
              <w:t>0.34</w:t>
            </w:r>
          </w:p>
        </w:tc>
        <w:tc>
          <w:tcPr>
            <w:tcW w:w="2409" w:type="dxa"/>
            <w:vAlign w:val="bottom"/>
          </w:tcPr>
          <w:p w:rsidR="00D6352A" w:rsidRPr="00655A95" w:rsidRDefault="00D6352A" w:rsidP="00D6352A">
            <w:pPr>
              <w:cnfStyle w:val="000000000000" w:firstRow="0" w:lastRow="0" w:firstColumn="0" w:lastColumn="0" w:oddVBand="0" w:evenVBand="0" w:oddHBand="0" w:evenHBand="0" w:firstRowFirstColumn="0" w:firstRowLastColumn="0" w:lastRowFirstColumn="0" w:lastRowLastColumn="0"/>
            </w:pPr>
            <w:r w:rsidRPr="00655A95">
              <w:t>0.81</w:t>
            </w:r>
          </w:p>
        </w:tc>
      </w:tr>
      <w:tr w:rsidR="00D6352A" w:rsidRPr="005B3877" w:rsidTr="004F29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D6352A" w:rsidRPr="00655A95" w:rsidRDefault="00D6352A" w:rsidP="00D6352A">
            <w:pPr>
              <w:rPr>
                <w:rStyle w:val="Strong"/>
              </w:rPr>
            </w:pPr>
            <w:r w:rsidRPr="00655A95">
              <w:rPr>
                <w:rStyle w:val="Strong"/>
              </w:rPr>
              <w:t>From 2006</w:t>
            </w:r>
          </w:p>
        </w:tc>
        <w:tc>
          <w:tcPr>
            <w:tcW w:w="1701" w:type="dxa"/>
          </w:tcPr>
          <w:p w:rsidR="00D6352A" w:rsidRPr="00655A95" w:rsidRDefault="00D6352A" w:rsidP="00D6352A">
            <w:pPr>
              <w:cnfStyle w:val="000000010000" w:firstRow="0" w:lastRow="0" w:firstColumn="0" w:lastColumn="0" w:oddVBand="0" w:evenVBand="0" w:oddHBand="0" w:evenHBand="1" w:firstRowFirstColumn="0" w:firstRowLastColumn="0" w:lastRowFirstColumn="0" w:lastRowLastColumn="0"/>
            </w:pPr>
          </w:p>
        </w:tc>
        <w:tc>
          <w:tcPr>
            <w:tcW w:w="2409" w:type="dxa"/>
          </w:tcPr>
          <w:p w:rsidR="00D6352A" w:rsidRPr="00655A95" w:rsidRDefault="00D6352A" w:rsidP="00D6352A">
            <w:pPr>
              <w:cnfStyle w:val="000000010000" w:firstRow="0" w:lastRow="0" w:firstColumn="0" w:lastColumn="0" w:oddVBand="0" w:evenVBand="0" w:oddHBand="0" w:evenHBand="1" w:firstRowFirstColumn="0" w:firstRowLastColumn="0" w:lastRowFirstColumn="0" w:lastRowLastColumn="0"/>
            </w:pPr>
          </w:p>
        </w:tc>
      </w:tr>
      <w:tr w:rsidR="00D6352A" w:rsidRPr="005B3877" w:rsidTr="004F29C3">
        <w:tc>
          <w:tcPr>
            <w:cnfStyle w:val="001000000000" w:firstRow="0" w:lastRow="0" w:firstColumn="1" w:lastColumn="0" w:oddVBand="0" w:evenVBand="0" w:oddHBand="0" w:evenHBand="0" w:firstRowFirstColumn="0" w:firstRowLastColumn="0" w:lastRowFirstColumn="0" w:lastRowLastColumn="0"/>
            <w:tcW w:w="2235" w:type="dxa"/>
          </w:tcPr>
          <w:p w:rsidR="00D6352A" w:rsidRPr="00655A95" w:rsidRDefault="00D6352A" w:rsidP="00D6352A">
            <w:r w:rsidRPr="00655A95">
              <w:t xml:space="preserve">Linear </w:t>
            </w:r>
          </w:p>
        </w:tc>
        <w:tc>
          <w:tcPr>
            <w:tcW w:w="1701" w:type="dxa"/>
            <w:vAlign w:val="bottom"/>
          </w:tcPr>
          <w:p w:rsidR="00D6352A" w:rsidRPr="00655A95" w:rsidRDefault="00D6352A" w:rsidP="00D6352A">
            <w:pPr>
              <w:cnfStyle w:val="000000000000" w:firstRow="0" w:lastRow="0" w:firstColumn="0" w:lastColumn="0" w:oddVBand="0" w:evenVBand="0" w:oddHBand="0" w:evenHBand="0" w:firstRowFirstColumn="0" w:firstRowLastColumn="0" w:lastRowFirstColumn="0" w:lastRowLastColumn="0"/>
            </w:pPr>
            <w:r w:rsidRPr="00655A95">
              <w:t>0.90</w:t>
            </w:r>
          </w:p>
        </w:tc>
        <w:tc>
          <w:tcPr>
            <w:tcW w:w="2409" w:type="dxa"/>
            <w:vAlign w:val="bottom"/>
          </w:tcPr>
          <w:p w:rsidR="00D6352A" w:rsidRPr="00655A95" w:rsidRDefault="00D6352A" w:rsidP="00D6352A">
            <w:pPr>
              <w:cnfStyle w:val="000000000000" w:firstRow="0" w:lastRow="0" w:firstColumn="0" w:lastColumn="0" w:oddVBand="0" w:evenVBand="0" w:oddHBand="0" w:evenHBand="0" w:firstRowFirstColumn="0" w:firstRowLastColumn="0" w:lastRowFirstColumn="0" w:lastRowLastColumn="0"/>
            </w:pPr>
            <w:r w:rsidRPr="00655A95">
              <w:t>0.48</w:t>
            </w:r>
          </w:p>
        </w:tc>
      </w:tr>
      <w:tr w:rsidR="00D6352A" w:rsidRPr="005B3877" w:rsidTr="004F29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D6352A" w:rsidRPr="00655A95" w:rsidRDefault="00D6352A" w:rsidP="00D6352A">
            <w:r w:rsidRPr="00655A95">
              <w:t>Exponential</w:t>
            </w:r>
          </w:p>
        </w:tc>
        <w:tc>
          <w:tcPr>
            <w:tcW w:w="1701" w:type="dxa"/>
            <w:vAlign w:val="bottom"/>
          </w:tcPr>
          <w:p w:rsidR="00D6352A" w:rsidRPr="00655A95" w:rsidRDefault="00D6352A" w:rsidP="00D6352A">
            <w:pPr>
              <w:cnfStyle w:val="000000010000" w:firstRow="0" w:lastRow="0" w:firstColumn="0" w:lastColumn="0" w:oddVBand="0" w:evenVBand="0" w:oddHBand="0" w:evenHBand="1" w:firstRowFirstColumn="0" w:firstRowLastColumn="0" w:lastRowFirstColumn="0" w:lastRowLastColumn="0"/>
            </w:pPr>
            <w:r w:rsidRPr="00655A95">
              <w:t>0.90</w:t>
            </w:r>
          </w:p>
        </w:tc>
        <w:tc>
          <w:tcPr>
            <w:tcW w:w="2409" w:type="dxa"/>
            <w:vAlign w:val="bottom"/>
          </w:tcPr>
          <w:p w:rsidR="00D6352A" w:rsidRPr="00655A95" w:rsidRDefault="00D6352A" w:rsidP="00D6352A">
            <w:pPr>
              <w:cnfStyle w:val="000000010000" w:firstRow="0" w:lastRow="0" w:firstColumn="0" w:lastColumn="0" w:oddVBand="0" w:evenVBand="0" w:oddHBand="0" w:evenHBand="1" w:firstRowFirstColumn="0" w:firstRowLastColumn="0" w:lastRowFirstColumn="0" w:lastRowLastColumn="0"/>
            </w:pPr>
            <w:r w:rsidRPr="00655A95">
              <w:t>0.61</w:t>
            </w:r>
          </w:p>
        </w:tc>
      </w:tr>
      <w:tr w:rsidR="00D6352A" w:rsidRPr="005B3877" w:rsidTr="004F29C3">
        <w:tc>
          <w:tcPr>
            <w:cnfStyle w:val="001000000000" w:firstRow="0" w:lastRow="0" w:firstColumn="1" w:lastColumn="0" w:oddVBand="0" w:evenVBand="0" w:oddHBand="0" w:evenHBand="0" w:firstRowFirstColumn="0" w:firstRowLastColumn="0" w:lastRowFirstColumn="0" w:lastRowLastColumn="0"/>
            <w:tcW w:w="2235" w:type="dxa"/>
          </w:tcPr>
          <w:p w:rsidR="00D6352A" w:rsidRPr="00655A95" w:rsidRDefault="00D6352A" w:rsidP="00D6352A">
            <w:r w:rsidRPr="00655A95">
              <w:t>Log</w:t>
            </w:r>
          </w:p>
        </w:tc>
        <w:tc>
          <w:tcPr>
            <w:tcW w:w="1701" w:type="dxa"/>
            <w:vAlign w:val="bottom"/>
          </w:tcPr>
          <w:p w:rsidR="00D6352A" w:rsidRPr="00655A95" w:rsidRDefault="00D6352A" w:rsidP="00D6352A">
            <w:pPr>
              <w:cnfStyle w:val="000000000000" w:firstRow="0" w:lastRow="0" w:firstColumn="0" w:lastColumn="0" w:oddVBand="0" w:evenVBand="0" w:oddHBand="0" w:evenHBand="0" w:firstRowFirstColumn="0" w:firstRowLastColumn="0" w:lastRowFirstColumn="0" w:lastRowLastColumn="0"/>
            </w:pPr>
            <w:r w:rsidRPr="00655A95">
              <w:t>0.88</w:t>
            </w:r>
          </w:p>
        </w:tc>
        <w:tc>
          <w:tcPr>
            <w:tcW w:w="2409" w:type="dxa"/>
            <w:vAlign w:val="bottom"/>
          </w:tcPr>
          <w:p w:rsidR="00D6352A" w:rsidRPr="00655A95" w:rsidRDefault="00D6352A" w:rsidP="00D6352A">
            <w:pPr>
              <w:cnfStyle w:val="000000000000" w:firstRow="0" w:lastRow="0" w:firstColumn="0" w:lastColumn="0" w:oddVBand="0" w:evenVBand="0" w:oddHBand="0" w:evenHBand="0" w:firstRowFirstColumn="0" w:firstRowLastColumn="0" w:lastRowFirstColumn="0" w:lastRowLastColumn="0"/>
            </w:pPr>
            <w:r w:rsidRPr="00655A95">
              <w:t>0.77</w:t>
            </w:r>
          </w:p>
        </w:tc>
      </w:tr>
      <w:tr w:rsidR="00D6352A" w:rsidRPr="005B3877" w:rsidTr="004F29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D6352A" w:rsidRPr="00655A95" w:rsidRDefault="00D6352A" w:rsidP="00D6352A">
            <w:r w:rsidRPr="00655A95">
              <w:t>Polynomial (2nd order)</w:t>
            </w:r>
          </w:p>
        </w:tc>
        <w:tc>
          <w:tcPr>
            <w:tcW w:w="1701" w:type="dxa"/>
            <w:vAlign w:val="bottom"/>
          </w:tcPr>
          <w:p w:rsidR="00D6352A" w:rsidRPr="00655A95" w:rsidRDefault="00D6352A" w:rsidP="00D6352A">
            <w:pPr>
              <w:cnfStyle w:val="000000010000" w:firstRow="0" w:lastRow="0" w:firstColumn="0" w:lastColumn="0" w:oddVBand="0" w:evenVBand="0" w:oddHBand="0" w:evenHBand="1" w:firstRowFirstColumn="0" w:firstRowLastColumn="0" w:lastRowFirstColumn="0" w:lastRowLastColumn="0"/>
            </w:pPr>
            <w:r w:rsidRPr="00655A95">
              <w:t>0.91</w:t>
            </w:r>
          </w:p>
        </w:tc>
        <w:tc>
          <w:tcPr>
            <w:tcW w:w="2409" w:type="dxa"/>
            <w:vAlign w:val="bottom"/>
          </w:tcPr>
          <w:p w:rsidR="00D6352A" w:rsidRPr="00655A95" w:rsidRDefault="00D6352A" w:rsidP="00D6352A">
            <w:pPr>
              <w:cnfStyle w:val="000000010000" w:firstRow="0" w:lastRow="0" w:firstColumn="0" w:lastColumn="0" w:oddVBand="0" w:evenVBand="0" w:oddHBand="0" w:evenHBand="1" w:firstRowFirstColumn="0" w:firstRowLastColumn="0" w:lastRowFirstColumn="0" w:lastRowLastColumn="0"/>
            </w:pPr>
            <w:r w:rsidRPr="00655A95">
              <w:t>0.67</w:t>
            </w:r>
          </w:p>
        </w:tc>
      </w:tr>
      <w:tr w:rsidR="00D6352A" w:rsidRPr="005B3877" w:rsidTr="004F29C3">
        <w:tc>
          <w:tcPr>
            <w:cnfStyle w:val="001000000000" w:firstRow="0" w:lastRow="0" w:firstColumn="1" w:lastColumn="0" w:oddVBand="0" w:evenVBand="0" w:oddHBand="0" w:evenHBand="0" w:firstRowFirstColumn="0" w:firstRowLastColumn="0" w:lastRowFirstColumn="0" w:lastRowLastColumn="0"/>
            <w:tcW w:w="2235" w:type="dxa"/>
          </w:tcPr>
          <w:p w:rsidR="00D6352A" w:rsidRPr="00655A95" w:rsidRDefault="00D6352A" w:rsidP="00D6352A">
            <w:r w:rsidRPr="00655A95">
              <w:t>Power</w:t>
            </w:r>
          </w:p>
        </w:tc>
        <w:tc>
          <w:tcPr>
            <w:tcW w:w="1701" w:type="dxa"/>
            <w:vAlign w:val="bottom"/>
          </w:tcPr>
          <w:p w:rsidR="00D6352A" w:rsidRPr="00655A95" w:rsidRDefault="00D6352A" w:rsidP="00D6352A">
            <w:pPr>
              <w:cnfStyle w:val="000000000000" w:firstRow="0" w:lastRow="0" w:firstColumn="0" w:lastColumn="0" w:oddVBand="0" w:evenVBand="0" w:oddHBand="0" w:evenHBand="0" w:firstRowFirstColumn="0" w:firstRowLastColumn="0" w:lastRowFirstColumn="0" w:lastRowLastColumn="0"/>
            </w:pPr>
            <w:r w:rsidRPr="00655A95">
              <w:t>0.85</w:t>
            </w:r>
          </w:p>
        </w:tc>
        <w:tc>
          <w:tcPr>
            <w:tcW w:w="2409" w:type="dxa"/>
            <w:vAlign w:val="bottom"/>
          </w:tcPr>
          <w:p w:rsidR="00D6352A" w:rsidRPr="00655A95" w:rsidRDefault="00D6352A" w:rsidP="00D6352A">
            <w:pPr>
              <w:cnfStyle w:val="000000000000" w:firstRow="0" w:lastRow="0" w:firstColumn="0" w:lastColumn="0" w:oddVBand="0" w:evenVBand="0" w:oddHBand="0" w:evenHBand="0" w:firstRowFirstColumn="0" w:firstRowLastColumn="0" w:lastRowFirstColumn="0" w:lastRowLastColumn="0"/>
            </w:pPr>
            <w:r w:rsidRPr="00655A95">
              <w:t>0.80</w:t>
            </w:r>
          </w:p>
        </w:tc>
      </w:tr>
    </w:tbl>
    <w:p w:rsidR="00D6352A" w:rsidRPr="00655A95" w:rsidRDefault="00D6352A" w:rsidP="00D6352A">
      <w:pPr>
        <w:pStyle w:val="AERtablesource"/>
      </w:pPr>
      <w:r w:rsidRPr="00655A95">
        <w:t>Source:</w:t>
      </w:r>
      <w:r w:rsidRPr="00655A95">
        <w:tab/>
        <w:t xml:space="preserve">AER analysis; ActewAGL, </w:t>
      </w:r>
      <w:r w:rsidRPr="00655A95">
        <w:rPr>
          <w:rStyle w:val="AERtextitalic"/>
        </w:rPr>
        <w:t>Response to AER information request 051</w:t>
      </w:r>
      <w:r w:rsidRPr="00655A95">
        <w:t>, 17 February 2016, attachment 1.</w:t>
      </w:r>
    </w:p>
    <w:p w:rsidR="00147D10" w:rsidRPr="00147D10" w:rsidRDefault="00147D10" w:rsidP="00E44864">
      <w:pPr>
        <w:pStyle w:val="HeadingItalic"/>
      </w:pPr>
      <w:r>
        <w:t>F</w:t>
      </w:r>
      <w:r w:rsidRPr="00147D10">
        <w:t>orecasting approach lacks transparency</w:t>
      </w:r>
    </w:p>
    <w:p w:rsidR="007C3E37" w:rsidRPr="00655A95" w:rsidRDefault="007C3E37" w:rsidP="007C3E37">
      <w:r w:rsidRPr="00655A95">
        <w:t xml:space="preserve">We consider ActewAGL’s use of a 100 per cent gas </w:t>
      </w:r>
      <w:r w:rsidR="00683055">
        <w:t>pen</w:t>
      </w:r>
      <w:r w:rsidR="00C65496">
        <w:t>e</w:t>
      </w:r>
      <w:r w:rsidR="00683055">
        <w:t>tration</w:t>
      </w:r>
      <w:r w:rsidRPr="00655A95">
        <w:t xml:space="preserve"> rate for all customer types lacks transparency around actual penetration rates for individual connection types. This is not standard practice in demand forecasting. It is also not the approach ActewAGL used in its initial and revised proposals on demand f</w:t>
      </w:r>
      <w:r w:rsidR="00683055">
        <w:t xml:space="preserve">orecasts where it used separate demand forecasts </w:t>
      </w:r>
      <w:r w:rsidRPr="00655A95">
        <w:t>for each individual connection type.</w:t>
      </w:r>
    </w:p>
    <w:p w:rsidR="00147D10" w:rsidRPr="00655A95" w:rsidRDefault="00147D10" w:rsidP="00147D10">
      <w:r w:rsidRPr="00655A95">
        <w:t xml:space="preserve">This method implicitly assumes the contribution of non-residential customers to peak load will at least make up for errors in adopting a 100 per cent connection rate. Similar to the </w:t>
      </w:r>
      <w:r w:rsidR="00E95737">
        <w:t xml:space="preserve">concept of </w:t>
      </w:r>
      <w:r w:rsidRPr="00655A95">
        <w:t xml:space="preserve">forecasting residential </w:t>
      </w:r>
      <w:r w:rsidR="00683055">
        <w:t>connection numbers</w:t>
      </w:r>
      <w:r w:rsidRPr="00655A95">
        <w:t xml:space="preserve"> by dwelling type, we consider including a separate forecast for non-residential customers is more transparent.</w:t>
      </w:r>
    </w:p>
    <w:p w:rsidR="00147D10" w:rsidRPr="00655A95" w:rsidRDefault="00147D10" w:rsidP="00147D10">
      <w:r w:rsidRPr="00655A95">
        <w:t>ActewAGL stated peak load per customer would be higher</w:t>
      </w:r>
      <w:r w:rsidR="00E95737">
        <w:t xml:space="preserve"> </w:t>
      </w:r>
      <w:proofErr w:type="gramStart"/>
      <w:r w:rsidR="00E95737">
        <w:t>(than 0.98 m</w:t>
      </w:r>
      <w:r w:rsidR="00E95737" w:rsidRPr="00683055">
        <w:rPr>
          <w:rStyle w:val="AERsuperscript"/>
        </w:rPr>
        <w:t>3</w:t>
      </w:r>
      <w:r w:rsidR="00E95737">
        <w:t>/hour per customer)</w:t>
      </w:r>
      <w:proofErr w:type="gramEnd"/>
      <w:r w:rsidRPr="00655A95">
        <w:t xml:space="preserve"> if they included non-residential usage in its forecasts.</w:t>
      </w:r>
      <w:r w:rsidRPr="00655A95">
        <w:rPr>
          <w:rStyle w:val="FootnoteReference"/>
        </w:rPr>
        <w:footnoteReference w:id="101"/>
      </w:r>
      <w:r w:rsidRPr="00655A95">
        <w:t xml:space="preserve"> ActewAGL provide</w:t>
      </w:r>
      <w:r w:rsidR="00A97B7A">
        <w:t xml:space="preserve">d </w:t>
      </w:r>
      <w:r w:rsidR="00E95737">
        <w:t xml:space="preserve">little </w:t>
      </w:r>
      <w:r w:rsidRPr="00655A95">
        <w:t>evidence to support this claim. ActewAGL provided media releases for prospective schools, an aquatic centre in Stromlo Forest Park, and other facilities.</w:t>
      </w:r>
      <w:r w:rsidRPr="00655A95">
        <w:rPr>
          <w:rStyle w:val="FootnoteReference"/>
        </w:rPr>
        <w:footnoteReference w:id="102"/>
      </w:r>
      <w:r w:rsidRPr="00655A95">
        <w:t xml:space="preserve"> These did not include any information on gas connection or usage. ActewAGL also submitted advertisements for the auction of sites proposed to </w:t>
      </w:r>
      <w:r w:rsidR="00E95737">
        <w:t>include various types of businesses</w:t>
      </w:r>
      <w:r w:rsidRPr="00655A95">
        <w:t xml:space="preserve">. </w:t>
      </w:r>
      <w:r w:rsidR="00E95737">
        <w:t>T</w:t>
      </w:r>
      <w:r w:rsidRPr="00655A95">
        <w:t>he date for the auction of these sites was 4 March 2015.</w:t>
      </w:r>
      <w:r w:rsidRPr="00655A95">
        <w:rPr>
          <w:rStyle w:val="FootnoteReference"/>
        </w:rPr>
        <w:footnoteReference w:id="103"/>
      </w:r>
      <w:r w:rsidRPr="00655A95">
        <w:t xml:space="preserve"> ActewAGL did not provide any information on the results of these auctions or whether these resulted in connection inquiries.</w:t>
      </w:r>
    </w:p>
    <w:p w:rsidR="00655A95" w:rsidRPr="00655A95" w:rsidRDefault="00655A95" w:rsidP="004E3ADD">
      <w:pPr>
        <w:pStyle w:val="HeadingBoldItalic"/>
        <w:keepNext/>
      </w:pPr>
      <w:r w:rsidRPr="00655A95">
        <w:t>Molonglo Secondary</w:t>
      </w:r>
    </w:p>
    <w:p w:rsidR="00655A95" w:rsidRPr="00655A95" w:rsidRDefault="00655A95" w:rsidP="00655A95">
      <w:r w:rsidRPr="00655A95">
        <w:t xml:space="preserve">We do not consider ActewAGL’s proposed capex of $0.2 million ($2015–16) for this project is conforming capex </w:t>
      </w:r>
      <w:r w:rsidR="001F7FF6">
        <w:t xml:space="preserve">under </w:t>
      </w:r>
      <w:r w:rsidRPr="00655A95">
        <w:t>rule 79 of the NGR. We consider ActewAGL did not arrive at its capital expenditure forecast on a reasonable basis.</w:t>
      </w:r>
      <w:r w:rsidRPr="00655A95">
        <w:rPr>
          <w:rStyle w:val="FootnoteReference"/>
        </w:rPr>
        <w:footnoteReference w:id="104"/>
      </w:r>
      <w:r w:rsidRPr="00655A95">
        <w:t xml:space="preserve"> </w:t>
      </w:r>
    </w:p>
    <w:p w:rsidR="00655A95" w:rsidRPr="00655A95" w:rsidRDefault="00655A95" w:rsidP="00655A95">
      <w:r w:rsidRPr="00655A95">
        <w:t>Molonglo Secondary and Molonglo Primary are separate and independent projects. Molonglo primary is proposed to reinforce supply into the whole Molonglo Valley area</w:t>
      </w:r>
      <w:r w:rsidR="000F256D">
        <w:t>.</w:t>
      </w:r>
      <w:r w:rsidRPr="00655A95">
        <w:t xml:space="preserve"> </w:t>
      </w:r>
      <w:r w:rsidR="000F256D">
        <w:t>I</w:t>
      </w:r>
      <w:r w:rsidRPr="00655A95">
        <w:t>t is also intended to form part of a primary mains loop in the ACT. Molonglo Secondary also reinforces supply to the Molonglo Valley area, but particularly new estates in Denman Prospect.</w:t>
      </w:r>
      <w:r w:rsidRPr="00655A95">
        <w:rPr>
          <w:rStyle w:val="FootnoteReference"/>
        </w:rPr>
        <w:footnoteReference w:id="105"/>
      </w:r>
    </w:p>
    <w:p w:rsidR="00655A95" w:rsidRPr="00655A95" w:rsidRDefault="001F7FF6" w:rsidP="00655A95">
      <w:r>
        <w:t>In the</w:t>
      </w:r>
      <w:r w:rsidRPr="00655A95">
        <w:t xml:space="preserve"> </w:t>
      </w:r>
      <w:r w:rsidR="00655A95" w:rsidRPr="00655A95">
        <w:t>draft decision</w:t>
      </w:r>
      <w:r w:rsidR="005808B2">
        <w:t xml:space="preserve"> </w:t>
      </w:r>
      <w:r>
        <w:t xml:space="preserve">we </w:t>
      </w:r>
      <w:r w:rsidR="005808B2">
        <w:t xml:space="preserve">did not include the $3.7 million ($2015–16, unescalated) </w:t>
      </w:r>
      <w:r w:rsidR="00E44864">
        <w:t>which ActewAGL initially proposed</w:t>
      </w:r>
      <w:r w:rsidR="005808B2">
        <w:t>.</w:t>
      </w:r>
      <w:r w:rsidR="00655A95" w:rsidRPr="00655A95">
        <w:t xml:space="preserve"> </w:t>
      </w:r>
      <w:r w:rsidR="005808B2">
        <w:t xml:space="preserve">We </w:t>
      </w:r>
      <w:r w:rsidR="00655A95" w:rsidRPr="00655A95">
        <w:t>noted that the driver for Molonglo Secondary is the gas requirements arising from development of the Molonglo land subdivision. We noted a developer for these early stages was only recently announced and there were no commitments yet for the latter stages of the development.</w:t>
      </w:r>
      <w:r w:rsidR="00655A95" w:rsidRPr="00655A95">
        <w:rPr>
          <w:rStyle w:val="FootnoteReference"/>
        </w:rPr>
        <w:footnoteReference w:id="106"/>
      </w:r>
      <w:r w:rsidR="00655A95" w:rsidRPr="00655A95">
        <w:t xml:space="preserve"> </w:t>
      </w:r>
      <w:proofErr w:type="spellStart"/>
      <w:r w:rsidR="00655A95" w:rsidRPr="00655A95">
        <w:t>Sleeman</w:t>
      </w:r>
      <w:proofErr w:type="spellEnd"/>
      <w:r w:rsidR="00655A95" w:rsidRPr="00655A95">
        <w:t xml:space="preserve"> Consulting advised us that any gas requirements in the early stages of this development can be accommodated by the existing infrastructure arising from the Molonglo Secondary Extension Stage 1 project.</w:t>
      </w:r>
      <w:r w:rsidR="00655A95" w:rsidRPr="00655A95">
        <w:rPr>
          <w:rStyle w:val="FootnoteReference"/>
        </w:rPr>
        <w:footnoteReference w:id="107"/>
      </w:r>
      <w:r w:rsidR="00655A95" w:rsidRPr="00655A95">
        <w:t xml:space="preserve"> We therefore did not consider Molonglo Secondary is likely to be required in the 2016–21 </w:t>
      </w:r>
      <w:proofErr w:type="gramStart"/>
      <w:r w:rsidR="00655A95" w:rsidRPr="00655A95">
        <w:t>period</w:t>
      </w:r>
      <w:proofErr w:type="gramEnd"/>
      <w:r w:rsidR="00655A95" w:rsidRPr="00655A95">
        <w:t>.</w:t>
      </w:r>
      <w:r w:rsidR="00655A95" w:rsidRPr="00655A95">
        <w:rPr>
          <w:rStyle w:val="FootnoteReference"/>
        </w:rPr>
        <w:footnoteReference w:id="108"/>
      </w:r>
      <w:r w:rsidR="00655A95" w:rsidRPr="00655A95">
        <w:t xml:space="preserve">  </w:t>
      </w:r>
    </w:p>
    <w:p w:rsidR="00655A95" w:rsidRPr="00655A95" w:rsidRDefault="00BB1BB6" w:rsidP="00655A95">
      <w:r>
        <w:t>In its revised proposal</w:t>
      </w:r>
      <w:r w:rsidR="00655A95" w:rsidRPr="00655A95">
        <w:t>, ActewAGL stated it considered the updated dwelling forecasts from the ACT Government Land Development Agency when developing the revised capex forecast for Molonglo Secondary.</w:t>
      </w:r>
      <w:r w:rsidR="00655A95" w:rsidRPr="00655A95">
        <w:rPr>
          <w:rStyle w:val="FootnoteReference"/>
        </w:rPr>
        <w:footnoteReference w:id="109"/>
      </w:r>
      <w:r w:rsidR="00C938E7">
        <w:t xml:space="preserve"> </w:t>
      </w:r>
      <w:r w:rsidR="005E7F5A">
        <w:t xml:space="preserve">We note </w:t>
      </w:r>
      <w:r w:rsidR="005E7F5A" w:rsidRPr="00BB1BB6">
        <w:t xml:space="preserve">ActewAGL stated the driver for the project is a 1 in 20 load forecast of 7538 m3/h by winter 2022. This is the same load forecast for Molonglo Primary (see </w:t>
      </w:r>
      <w:r w:rsidR="005E7F5A">
        <w:fldChar w:fldCharType="begin"/>
      </w:r>
      <w:r w:rsidR="005E7F5A">
        <w:instrText xml:space="preserve"> REF _Ref444774920 \h </w:instrText>
      </w:r>
      <w:r w:rsidR="005E7F5A">
        <w:fldChar w:fldCharType="separate"/>
      </w:r>
      <w:r w:rsidR="00D822F6" w:rsidRPr="00655A95">
        <w:t xml:space="preserve">Table </w:t>
      </w:r>
      <w:r w:rsidR="00D822F6">
        <w:rPr>
          <w:noProof/>
        </w:rPr>
        <w:t>6</w:t>
      </w:r>
      <w:r w:rsidR="00D822F6" w:rsidRPr="00655A95">
        <w:t>.</w:t>
      </w:r>
      <w:r w:rsidR="00D822F6">
        <w:rPr>
          <w:noProof/>
        </w:rPr>
        <w:t>7</w:t>
      </w:r>
      <w:r w:rsidR="005E7F5A">
        <w:fldChar w:fldCharType="end"/>
      </w:r>
      <w:r w:rsidR="005E7F5A" w:rsidRPr="00BB1BB6">
        <w:t>).</w:t>
      </w:r>
      <w:r w:rsidR="005E7F5A">
        <w:rPr>
          <w:rStyle w:val="FootnoteReference"/>
        </w:rPr>
        <w:footnoteReference w:id="110"/>
      </w:r>
      <w:r w:rsidR="00C938E7">
        <w:t xml:space="preserve">, </w:t>
      </w:r>
      <w:r w:rsidR="005E7F5A">
        <w:t xml:space="preserve">Hence, ActewAGL  </w:t>
      </w:r>
      <w:r w:rsidR="00C938E7">
        <w:t>also applie</w:t>
      </w:r>
      <w:r w:rsidR="005E7F5A">
        <w:t>d</w:t>
      </w:r>
      <w:r w:rsidR="00C938E7">
        <w:t xml:space="preserve"> a 100 per cent gas </w:t>
      </w:r>
      <w:r w:rsidR="00683055">
        <w:t>penetration</w:t>
      </w:r>
      <w:r w:rsidR="00C938E7">
        <w:t xml:space="preserve"> rate to new dwellings and a peak load hourly demand of 0.98m</w:t>
      </w:r>
      <w:r w:rsidR="00C938E7" w:rsidRPr="00E44864">
        <w:rPr>
          <w:rStyle w:val="AERsuperscript"/>
        </w:rPr>
        <w:t>3</w:t>
      </w:r>
      <w:r w:rsidR="00C938E7">
        <w:t>/hour</w:t>
      </w:r>
      <w:r w:rsidR="005E7F5A" w:rsidRPr="005E7F5A">
        <w:t xml:space="preserve"> </w:t>
      </w:r>
      <w:r w:rsidR="005E7F5A">
        <w:t>(as ActewAGL did for Molonglo Primary)</w:t>
      </w:r>
      <w:r w:rsidR="00C938E7">
        <w:t>.</w:t>
      </w:r>
      <w:r>
        <w:t xml:space="preserve"> </w:t>
      </w:r>
    </w:p>
    <w:p w:rsidR="00655A95" w:rsidRPr="00655A95" w:rsidRDefault="00655A95" w:rsidP="00655A95">
      <w:r w:rsidRPr="00655A95">
        <w:t xml:space="preserve">ActewAGL agreed with </w:t>
      </w:r>
      <w:proofErr w:type="spellStart"/>
      <w:r w:rsidRPr="00655A95">
        <w:t>Sleeman</w:t>
      </w:r>
      <w:proofErr w:type="spellEnd"/>
      <w:r w:rsidRPr="00655A95">
        <w:t xml:space="preserve"> Consulting that the existing district regulator set can supply gas to the initial stages of the Denman Prospect development. ActewAGL agreed that it can defer the bulk of the expenditure for Molonglo Secondary into the 2021–26 </w:t>
      </w:r>
      <w:proofErr w:type="gramStart"/>
      <w:r w:rsidRPr="00655A95">
        <w:t>period</w:t>
      </w:r>
      <w:proofErr w:type="gramEnd"/>
      <w:r w:rsidRPr="00655A95">
        <w:t xml:space="preserve">. However, </w:t>
      </w:r>
      <w:r w:rsidR="001F7FF6">
        <w:t>ActewAGL</w:t>
      </w:r>
      <w:r w:rsidR="001F7FF6" w:rsidRPr="00655A95">
        <w:t xml:space="preserve"> </w:t>
      </w:r>
      <w:r w:rsidRPr="00655A95">
        <w:t xml:space="preserve">submitted </w:t>
      </w:r>
      <w:r w:rsidR="001F7FF6">
        <w:t xml:space="preserve">that </w:t>
      </w:r>
      <w:r w:rsidRPr="00655A95">
        <w:t xml:space="preserve">it will require </w:t>
      </w:r>
      <w:r w:rsidR="005808B2">
        <w:t>$0.2 million ($2015–16, unescalated)</w:t>
      </w:r>
      <w:r w:rsidRPr="00655A95">
        <w:t xml:space="preserve"> in the final year of the 2016–21period </w:t>
      </w:r>
      <w:r w:rsidR="007F5AEC">
        <w:t>for the</w:t>
      </w:r>
      <w:r w:rsidRPr="00655A95">
        <w:t xml:space="preserve"> </w:t>
      </w:r>
      <w:r w:rsidR="007F5AEC">
        <w:t>'</w:t>
      </w:r>
      <w:r w:rsidRPr="00655A95">
        <w:t>assessment, requirements and definition phases</w:t>
      </w:r>
      <w:r w:rsidR="007F5AEC">
        <w:t>'</w:t>
      </w:r>
      <w:r w:rsidRPr="00655A95">
        <w:t>.</w:t>
      </w:r>
      <w:r w:rsidRPr="00655A95">
        <w:rPr>
          <w:rStyle w:val="FootnoteReference"/>
        </w:rPr>
        <w:footnoteReference w:id="111"/>
      </w:r>
    </w:p>
    <w:p w:rsidR="007A4910" w:rsidRDefault="00655A95" w:rsidP="007A4910">
      <w:r w:rsidRPr="00655A95">
        <w:t xml:space="preserve">For the same reasons outlined in our assessment of Molonglo </w:t>
      </w:r>
      <w:r w:rsidR="00C61368">
        <w:t>P</w:t>
      </w:r>
      <w:r w:rsidRPr="00655A95">
        <w:t>rimary</w:t>
      </w:r>
      <w:r w:rsidR="00C61368">
        <w:t xml:space="preserve"> above</w:t>
      </w:r>
      <w:r w:rsidR="00BB1BB6">
        <w:t xml:space="preserve"> and having regard to </w:t>
      </w:r>
      <w:proofErr w:type="spellStart"/>
      <w:r w:rsidR="00BB1BB6">
        <w:t>Sleeman</w:t>
      </w:r>
      <w:proofErr w:type="spellEnd"/>
      <w:r w:rsidR="00BB1BB6">
        <w:t xml:space="preserve"> Consulting's assessment of this project</w:t>
      </w:r>
      <w:r w:rsidRPr="00655A95">
        <w:t>, we do not consider ActewAGL arrived at its demand forecasts on a reasonable basis.</w:t>
      </w:r>
      <w:r w:rsidR="005E7F5A">
        <w:t xml:space="preserve"> As we discussed in the Molonglo Primary section above, we consider ActewAGL's peak load forecasts are overstated.</w:t>
      </w:r>
      <w:r w:rsidRPr="00655A95">
        <w:t xml:space="preserve"> Hence, we do not consider th</w:t>
      </w:r>
      <w:r w:rsidR="0062510B">
        <w:t>e capex ActewAG</w:t>
      </w:r>
      <w:r w:rsidR="003C1327">
        <w:t>L</w:t>
      </w:r>
      <w:r w:rsidR="0062510B">
        <w:t xml:space="preserve"> proposed for this</w:t>
      </w:r>
      <w:r w:rsidRPr="00655A95">
        <w:t xml:space="preserve"> project </w:t>
      </w:r>
      <w:r w:rsidR="005E7F5A">
        <w:t xml:space="preserve">is </w:t>
      </w:r>
      <w:r w:rsidR="007F5AEC">
        <w:t>conforming capex</w:t>
      </w:r>
      <w:r w:rsidR="005E7F5A">
        <w:t xml:space="preserve"> under the NGR in the 2016–21 </w:t>
      </w:r>
      <w:r w:rsidR="000F7027">
        <w:t>access arrangement</w:t>
      </w:r>
      <w:r w:rsidR="005E7F5A">
        <w:t xml:space="preserve"> </w:t>
      </w:r>
      <w:proofErr w:type="gramStart"/>
      <w:r w:rsidR="005E7F5A">
        <w:t>period</w:t>
      </w:r>
      <w:proofErr w:type="gramEnd"/>
      <w:r w:rsidRPr="00655A95">
        <w:t>.</w:t>
      </w:r>
      <w:r w:rsidR="005E7F5A">
        <w:rPr>
          <w:rStyle w:val="FootnoteReference"/>
        </w:rPr>
        <w:footnoteReference w:id="112"/>
      </w:r>
      <w:r w:rsidRPr="00655A95">
        <w:t xml:space="preserve"> </w:t>
      </w:r>
      <w:r w:rsidR="00BB1BB6">
        <w:t>We note t</w:t>
      </w:r>
      <w:r w:rsidRPr="00655A95">
        <w:t xml:space="preserve">his is consistent with </w:t>
      </w:r>
      <w:proofErr w:type="spellStart"/>
      <w:r w:rsidRPr="00655A95">
        <w:t>Sleeman</w:t>
      </w:r>
      <w:proofErr w:type="spellEnd"/>
      <w:r w:rsidRPr="00655A95">
        <w:t xml:space="preserve"> Consulting's assessment of this project.</w:t>
      </w:r>
      <w:r w:rsidRPr="00655A95">
        <w:rPr>
          <w:rStyle w:val="FootnoteReference"/>
        </w:rPr>
        <w:footnoteReference w:id="113"/>
      </w:r>
    </w:p>
    <w:p w:rsidR="00917D1D" w:rsidRDefault="00917D1D" w:rsidP="00917D1D">
      <w:pPr>
        <w:pStyle w:val="Heading4"/>
      </w:pPr>
      <w:r>
        <w:t>Network renewal and upgrade</w:t>
      </w:r>
    </w:p>
    <w:p w:rsidR="00350B06" w:rsidRPr="00350B06" w:rsidRDefault="00350B06" w:rsidP="00350B06">
      <w:r w:rsidRPr="00350B06">
        <w:t>Network renewal and upgrade expenditure is related to the replacement and upgrade of network infrastructure (mains and facilities) to:</w:t>
      </w:r>
      <w:r>
        <w:rPr>
          <w:rStyle w:val="FootnoteReference"/>
        </w:rPr>
        <w:footnoteReference w:id="114"/>
      </w:r>
    </w:p>
    <w:p w:rsidR="00350B06" w:rsidRPr="00350B06" w:rsidRDefault="00350B06" w:rsidP="00FB1F84">
      <w:pPr>
        <w:pStyle w:val="AERbulletlistfirststyle"/>
      </w:pPr>
      <w:r w:rsidRPr="00350B06">
        <w:tab/>
        <w:t>ensure the reliable transport of gas through the ACT network</w:t>
      </w:r>
    </w:p>
    <w:p w:rsidR="00350B06" w:rsidRPr="00350B06" w:rsidRDefault="00350B06" w:rsidP="00FB1F84">
      <w:pPr>
        <w:pStyle w:val="AERbulletlistfirststyle"/>
      </w:pPr>
      <w:r w:rsidRPr="00350B06">
        <w:tab/>
        <w:t>ensure the integrity of the gas network infrastructure</w:t>
      </w:r>
    </w:p>
    <w:p w:rsidR="00350B06" w:rsidRPr="00350B06" w:rsidRDefault="00350B06" w:rsidP="00FB1F84">
      <w:pPr>
        <w:pStyle w:val="AERbulletlistfirststyle"/>
      </w:pPr>
      <w:r w:rsidRPr="00350B06">
        <w:tab/>
      </w:r>
      <w:proofErr w:type="gramStart"/>
      <w:r w:rsidRPr="00350B06">
        <w:t>replace</w:t>
      </w:r>
      <w:proofErr w:type="gramEnd"/>
      <w:r w:rsidRPr="00350B06">
        <w:t xml:space="preserve"> any outdated equipment.</w:t>
      </w:r>
    </w:p>
    <w:p w:rsidR="00350B06" w:rsidRPr="00350B06" w:rsidRDefault="00350B06" w:rsidP="00350B06">
      <w:r w:rsidRPr="00350B06">
        <w:t xml:space="preserve">We have included </w:t>
      </w:r>
      <w:r w:rsidR="00B07B92">
        <w:t>$</w:t>
      </w:r>
      <w:r w:rsidR="002312F2">
        <w:t>14.0</w:t>
      </w:r>
      <w:r w:rsidRPr="00350B06">
        <w:t xml:space="preserve"> million ($2015–16</w:t>
      </w:r>
      <w:r w:rsidR="00E91E10">
        <w:t>, unescalated</w:t>
      </w:r>
      <w:r w:rsidRPr="00350B06">
        <w:t xml:space="preserve">) of network renewal and upgrade expenditure in our final decision, which is </w:t>
      </w:r>
      <w:r w:rsidR="00FB1F84">
        <w:t>$2.</w:t>
      </w:r>
      <w:r w:rsidR="00200539">
        <w:t>8</w:t>
      </w:r>
      <w:r w:rsidR="004B4C8A">
        <w:t xml:space="preserve"> </w:t>
      </w:r>
      <w:r w:rsidR="00FB1F84">
        <w:t xml:space="preserve">million </w:t>
      </w:r>
      <w:r w:rsidR="00A30C80">
        <w:t xml:space="preserve">less than </w:t>
      </w:r>
      <w:r w:rsidRPr="00350B06">
        <w:t>ActewAGL’s revised capex of $16.</w:t>
      </w:r>
      <w:r w:rsidR="005C0C52">
        <w:t>7</w:t>
      </w:r>
      <w:r w:rsidR="005C0C52" w:rsidRPr="00350B06">
        <w:t xml:space="preserve"> </w:t>
      </w:r>
      <w:r w:rsidRPr="00350B06">
        <w:t>million ($2015–16</w:t>
      </w:r>
      <w:r w:rsidR="00E91E10">
        <w:t>, unescalated</w:t>
      </w:r>
      <w:r w:rsidRPr="00350B06">
        <w:t xml:space="preserve">). </w:t>
      </w:r>
    </w:p>
    <w:p w:rsidR="00350B06" w:rsidRPr="00350B06" w:rsidRDefault="00350B06" w:rsidP="00350B06">
      <w:r w:rsidRPr="00350B06">
        <w:t xml:space="preserve">In its revised proposal, ActewAGL accepted our </w:t>
      </w:r>
      <w:r w:rsidR="00A30C80">
        <w:t xml:space="preserve">position in the </w:t>
      </w:r>
      <w:r w:rsidRPr="00350B06">
        <w:t xml:space="preserve">draft decision to reduce its proposed capex for the construction of the Watson CTS pressure limiting station by $0.6 million, where ActewAGL </w:t>
      </w:r>
      <w:r w:rsidR="00A30C80">
        <w:t xml:space="preserve">had initially </w:t>
      </w:r>
      <w:r w:rsidRPr="00350B06">
        <w:t xml:space="preserve">proposed $1.9 million ($2015–16). </w:t>
      </w:r>
      <w:r w:rsidR="00A30C80">
        <w:t xml:space="preserve">However, </w:t>
      </w:r>
      <w:r w:rsidRPr="00350B06">
        <w:t xml:space="preserve">ActewAGL did not accept our </w:t>
      </w:r>
      <w:r w:rsidR="00A30C80">
        <w:t xml:space="preserve">position in the </w:t>
      </w:r>
      <w:r w:rsidRPr="00350B06">
        <w:t>draft decision on its proposed capex for the ACT facilities compliance program.</w:t>
      </w:r>
      <w:r w:rsidR="00FB1F84">
        <w:rPr>
          <w:rStyle w:val="FootnoteReference"/>
        </w:rPr>
        <w:footnoteReference w:id="115"/>
      </w:r>
      <w:r w:rsidRPr="00350B06">
        <w:t xml:space="preserve"> In its revised proposal, ActewAGL has more than doubled its proposed capex for the program from $1.4 million to $3.1 million ($2015–16).  We did not accept capex for this program in the draft decision as we did not consider the proposed costs were conforming capex </w:t>
      </w:r>
      <w:r w:rsidR="00A30C80">
        <w:t>under</w:t>
      </w:r>
      <w:r w:rsidRPr="00350B06">
        <w:t xml:space="preserve"> </w:t>
      </w:r>
      <w:r w:rsidR="00794C29">
        <w:t>rule</w:t>
      </w:r>
      <w:r w:rsidRPr="00350B06">
        <w:t xml:space="preserve"> 79 of the NGR. We continue to hold this position in our final decision. </w:t>
      </w:r>
    </w:p>
    <w:p w:rsidR="00350B06" w:rsidRPr="00350B06" w:rsidRDefault="00350B06" w:rsidP="00350B06">
      <w:r w:rsidRPr="00350B06">
        <w:t xml:space="preserve">ActewAGL also submitted that </w:t>
      </w:r>
      <w:r w:rsidR="00A30C80">
        <w:t>in the</w:t>
      </w:r>
      <w:r w:rsidR="00A30C80" w:rsidRPr="00350B06">
        <w:t xml:space="preserve"> </w:t>
      </w:r>
      <w:r w:rsidRPr="00350B06">
        <w:t xml:space="preserve">draft decision </w:t>
      </w:r>
      <w:r w:rsidR="00A30C80">
        <w:t xml:space="preserve">we </w:t>
      </w:r>
      <w:r w:rsidRPr="00350B06">
        <w:t>removed $20,000 in costs associated with ActewAGL funded relocation projects.</w:t>
      </w:r>
      <w:r w:rsidR="00FB1F84">
        <w:rPr>
          <w:rStyle w:val="FootnoteReference"/>
        </w:rPr>
        <w:footnoteReference w:id="116"/>
      </w:r>
      <w:r w:rsidRPr="00350B06">
        <w:t xml:space="preserve"> Upon </w:t>
      </w:r>
      <w:r w:rsidR="00A30C80">
        <w:t>reconsidering</w:t>
      </w:r>
      <w:r w:rsidRPr="00350B06">
        <w:t xml:space="preserve"> the material in support of the inclusion of these costs</w:t>
      </w:r>
      <w:r w:rsidR="00A30C80">
        <w:t xml:space="preserve"> in this final decision</w:t>
      </w:r>
      <w:r w:rsidRPr="00350B06">
        <w:t>,</w:t>
      </w:r>
      <w:r w:rsidR="00FB1F84">
        <w:rPr>
          <w:rStyle w:val="FootnoteReference"/>
        </w:rPr>
        <w:footnoteReference w:id="117"/>
      </w:r>
      <w:r w:rsidRPr="00350B06">
        <w:t xml:space="preserve"> we have reinstated </w:t>
      </w:r>
      <w:r w:rsidR="00A30C80">
        <w:t>the $20,000 we erroneously removed in the draft decision</w:t>
      </w:r>
      <w:r w:rsidRPr="00350B06">
        <w:t xml:space="preserve">. </w:t>
      </w:r>
    </w:p>
    <w:p w:rsidR="00350B06" w:rsidRPr="00350B06" w:rsidRDefault="00350B06" w:rsidP="00C1151D">
      <w:pPr>
        <w:pStyle w:val="Heading4"/>
      </w:pPr>
      <w:r w:rsidRPr="00350B06">
        <w:t>ACT facilities compliance program</w:t>
      </w:r>
    </w:p>
    <w:p w:rsidR="00350B06" w:rsidRPr="00350B06" w:rsidRDefault="00350B06" w:rsidP="00350B06">
      <w:r w:rsidRPr="00350B06">
        <w:t>We have not included ActewAG</w:t>
      </w:r>
      <w:r w:rsidR="00683055">
        <w:t>L’s revised capex forecast of $</w:t>
      </w:r>
      <w:r w:rsidR="00855F85">
        <w:t>3.1</w:t>
      </w:r>
      <w:r w:rsidRPr="00350B06">
        <w:t xml:space="preserve"> million ($2015–16) for a facilities compliance program</w:t>
      </w:r>
      <w:r w:rsidR="00683055">
        <w:t xml:space="preserve"> for the 2016-21 </w:t>
      </w:r>
      <w:r w:rsidR="000F7027">
        <w:t>access arrangement</w:t>
      </w:r>
      <w:r w:rsidR="00683055">
        <w:t xml:space="preserve"> period</w:t>
      </w:r>
      <w:r w:rsidR="00B07B92">
        <w:t>.</w:t>
      </w:r>
      <w:r w:rsidR="00B07B92">
        <w:rPr>
          <w:rStyle w:val="FootnoteReference"/>
        </w:rPr>
        <w:footnoteReference w:id="118"/>
      </w:r>
      <w:r w:rsidR="001E475D">
        <w:t xml:space="preserve"> </w:t>
      </w:r>
      <w:r w:rsidRPr="00350B06">
        <w:t xml:space="preserve">We are not satisfied that ActewAGL has </w:t>
      </w:r>
      <w:r w:rsidR="00A30C80">
        <w:t>demonstrated</w:t>
      </w:r>
      <w:r w:rsidRPr="00350B06">
        <w:t xml:space="preserve"> that the proposed expenditure is conforming capex </w:t>
      </w:r>
      <w:r w:rsidR="00A30C80">
        <w:t xml:space="preserve">under </w:t>
      </w:r>
      <w:r w:rsidR="00794C29">
        <w:t>rule</w:t>
      </w:r>
      <w:r w:rsidR="00A30C80">
        <w:t> 79 of</w:t>
      </w:r>
      <w:r w:rsidRPr="00350B06">
        <w:t xml:space="preserve"> the NGR. This position is consistent with the advice of </w:t>
      </w:r>
      <w:proofErr w:type="spellStart"/>
      <w:r w:rsidRPr="00350B06">
        <w:t>Sleeman</w:t>
      </w:r>
      <w:proofErr w:type="spellEnd"/>
      <w:r w:rsidRPr="00350B06">
        <w:t xml:space="preserve"> Consulting.</w:t>
      </w:r>
    </w:p>
    <w:p w:rsidR="00350B06" w:rsidRPr="00350B06" w:rsidRDefault="00350B06" w:rsidP="00350B06">
      <w:r w:rsidRPr="00350B06">
        <w:t xml:space="preserve">ActewAGL proposed this program on the basis that </w:t>
      </w:r>
      <w:r w:rsidR="00E43524">
        <w:t xml:space="preserve">Jemena Asset Management </w:t>
      </w:r>
      <w:r w:rsidRPr="00350B06">
        <w:t xml:space="preserve">identified electrical non–conformances on Jemena’s NSW gas network and it anticipated that similar non–conformances would be identified on ActewAGL’s network. ActewAGL </w:t>
      </w:r>
      <w:r w:rsidR="00E43524" w:rsidRPr="00350B06">
        <w:t>submit</w:t>
      </w:r>
      <w:r w:rsidR="00E43524">
        <w:t>ted</w:t>
      </w:r>
      <w:r w:rsidR="00E43524" w:rsidRPr="00350B06">
        <w:t xml:space="preserve"> </w:t>
      </w:r>
      <w:r w:rsidRPr="00350B06">
        <w:t>that the objective of this project is to deliver electrically and mechanically compliant facilities by assessing non-conformances, revising existing station design documentation, procuring new hardware (as required), and implementing a revised design.</w:t>
      </w:r>
      <w:r w:rsidR="00FB1F84">
        <w:rPr>
          <w:rStyle w:val="FootnoteReference"/>
        </w:rPr>
        <w:footnoteReference w:id="119"/>
      </w:r>
    </w:p>
    <w:p w:rsidR="00350B06" w:rsidRPr="00350B06" w:rsidRDefault="00350B06" w:rsidP="00350B06">
      <w:r w:rsidRPr="00350B06">
        <w:t xml:space="preserve">In </w:t>
      </w:r>
      <w:r w:rsidR="00E43524">
        <w:t>the</w:t>
      </w:r>
      <w:r w:rsidR="00E43524" w:rsidRPr="00350B06">
        <w:t xml:space="preserve"> </w:t>
      </w:r>
      <w:r w:rsidRPr="00350B06">
        <w:t>draft decision, we did not accept ActewAGL’s capex of $1.4 million ($2015–16) for this program</w:t>
      </w:r>
      <w:r w:rsidR="00B07B92">
        <w:t xml:space="preserve">. </w:t>
      </w:r>
      <w:r w:rsidR="00E43524">
        <w:t>We did not consider</w:t>
      </w:r>
      <w:r w:rsidRPr="00350B06">
        <w:t xml:space="preserve"> that instances of non–conformance on one gas distribution system </w:t>
      </w:r>
      <w:r w:rsidR="00E43524">
        <w:t>meant</w:t>
      </w:r>
      <w:r w:rsidRPr="00350B06">
        <w:t xml:space="preserve"> that non–conformances also exist on another network.</w:t>
      </w:r>
      <w:r w:rsidR="00FB1F84">
        <w:rPr>
          <w:rStyle w:val="FootnoteReference"/>
        </w:rPr>
        <w:footnoteReference w:id="120"/>
      </w:r>
    </w:p>
    <w:p w:rsidR="00350B06" w:rsidRPr="00350B06" w:rsidRDefault="00350B06" w:rsidP="00350B06">
      <w:r w:rsidRPr="00350B06">
        <w:t>In its revised proposal, ActewAGL submitted that it has since undertaken electrical and instrumentation audits at four sites which confirm that the facilities compliance program is required. ActewAGL also increased its forecast for the program from $1.4 million to $3.1 million ($2015–16), noting that the updated costs reflect the outcome of the audit reports.</w:t>
      </w:r>
      <w:r w:rsidR="00FB1F84">
        <w:rPr>
          <w:rStyle w:val="FootnoteReference"/>
        </w:rPr>
        <w:footnoteReference w:id="121"/>
      </w:r>
      <w:r w:rsidRPr="00350B06">
        <w:t xml:space="preserve"> It also provided further information in response to our information requests.</w:t>
      </w:r>
      <w:r w:rsidR="00FB1F84">
        <w:rPr>
          <w:rStyle w:val="FootnoteReference"/>
        </w:rPr>
        <w:footnoteReference w:id="122"/>
      </w:r>
    </w:p>
    <w:p w:rsidR="00350B06" w:rsidRPr="00350B06" w:rsidRDefault="00350B06" w:rsidP="004E3ADD">
      <w:pPr>
        <w:pStyle w:val="HeadingBoldItalic"/>
        <w:keepNext/>
      </w:pPr>
      <w:r w:rsidRPr="00350B06">
        <w:t>Prudency of the program</w:t>
      </w:r>
    </w:p>
    <w:p w:rsidR="00350B06" w:rsidRPr="00350B06" w:rsidRDefault="00350B06" w:rsidP="004E3ADD">
      <w:pPr>
        <w:keepNext/>
      </w:pPr>
      <w:r w:rsidRPr="00350B06">
        <w:t xml:space="preserve">ActewAGL </w:t>
      </w:r>
      <w:r w:rsidR="00E43524" w:rsidRPr="00350B06">
        <w:t>state</w:t>
      </w:r>
      <w:r w:rsidR="00E43524">
        <w:t>d</w:t>
      </w:r>
      <w:r w:rsidR="00E43524" w:rsidRPr="00350B06">
        <w:t xml:space="preserve"> </w:t>
      </w:r>
      <w:r w:rsidRPr="00350B06">
        <w:t>that regulatory compliance requirements in terms of Acts and Standards have significantly changed since each of the affected facilities were built or upgraded.</w:t>
      </w:r>
      <w:r w:rsidR="000355D7">
        <w:rPr>
          <w:rStyle w:val="FootnoteReference"/>
        </w:rPr>
        <w:footnoteReference w:id="123"/>
      </w:r>
      <w:r w:rsidRPr="00350B06">
        <w:t xml:space="preserve"> </w:t>
      </w:r>
      <w:proofErr w:type="spellStart"/>
      <w:r w:rsidRPr="00350B06">
        <w:t>Sleeman</w:t>
      </w:r>
      <w:proofErr w:type="spellEnd"/>
      <w:r w:rsidRPr="00350B06">
        <w:t xml:space="preserve"> Consulting observe</w:t>
      </w:r>
      <w:r w:rsidR="00E43524">
        <w:t>d</w:t>
      </w:r>
      <w:r w:rsidRPr="00350B06">
        <w:t xml:space="preserve"> that the key standards referenced</w:t>
      </w:r>
      <w:r w:rsidR="000355D7">
        <w:rPr>
          <w:rStyle w:val="FootnoteReference"/>
        </w:rPr>
        <w:footnoteReference w:id="124"/>
      </w:r>
      <w:r w:rsidRPr="00350B06">
        <w:t xml:space="preserve"> by ActewAGL are those that form the AS/NZS 60079 series, relating to the use of electrical apparatus in explosive atmospheres. These standards have been in force for more than six years since 2009.</w:t>
      </w:r>
      <w:r w:rsidR="000355D7" w:rsidRPr="00F745EE">
        <w:rPr>
          <w:rStyle w:val="FootnoteReference"/>
        </w:rPr>
        <w:footnoteReference w:id="125"/>
      </w:r>
    </w:p>
    <w:p w:rsidR="00350B06" w:rsidRPr="00350B06" w:rsidRDefault="00350B06" w:rsidP="00350B06">
      <w:r w:rsidRPr="00350B06">
        <w:t xml:space="preserve">We </w:t>
      </w:r>
      <w:r w:rsidR="00E43524">
        <w:t>consider</w:t>
      </w:r>
      <w:r w:rsidR="00E43524" w:rsidRPr="00350B06">
        <w:t xml:space="preserve"> </w:t>
      </w:r>
      <w:r w:rsidRPr="00350B06">
        <w:t xml:space="preserve">that </w:t>
      </w:r>
      <w:r w:rsidR="00E43524">
        <w:t>since</w:t>
      </w:r>
      <w:r w:rsidR="00E43524" w:rsidRPr="00350B06">
        <w:t xml:space="preserve"> </w:t>
      </w:r>
      <w:r w:rsidRPr="00350B06">
        <w:t xml:space="preserve">these compliance requirements have been in place for the last six years, a prudent operator should have addressed non-conformances as they arose. In particular, </w:t>
      </w:r>
      <w:proofErr w:type="spellStart"/>
      <w:r w:rsidRPr="00350B06">
        <w:t>Sleeman</w:t>
      </w:r>
      <w:proofErr w:type="spellEnd"/>
      <w:r w:rsidRPr="00350B06">
        <w:t xml:space="preserve"> Consulting </w:t>
      </w:r>
      <w:r w:rsidR="00E43524" w:rsidRPr="00350B06">
        <w:t>observe</w:t>
      </w:r>
      <w:r w:rsidR="00E43524">
        <w:t>d</w:t>
      </w:r>
      <w:r w:rsidR="00E43524" w:rsidRPr="00350B06">
        <w:t xml:space="preserve"> </w:t>
      </w:r>
      <w:r w:rsidRPr="00350B06">
        <w:t>that the majority of the suggested non-conformances appear to relate to matters that a reasonable and prudent operator should attend to in the normal course of business.</w:t>
      </w:r>
      <w:r w:rsidR="00761015" w:rsidRPr="00F745EE">
        <w:rPr>
          <w:rStyle w:val="FootnoteReference"/>
        </w:rPr>
        <w:footnoteReference w:id="126"/>
      </w:r>
      <w:r w:rsidRPr="00350B06">
        <w:t xml:space="preserve"> Some of the</w:t>
      </w:r>
      <w:r w:rsidR="00E43524">
        <w:t>se</w:t>
      </w:r>
      <w:r w:rsidRPr="00350B06">
        <w:t xml:space="preserve"> non-conformances </w:t>
      </w:r>
      <w:r w:rsidR="00E43524">
        <w:t xml:space="preserve">that </w:t>
      </w:r>
      <w:r w:rsidRPr="00350B06">
        <w:t xml:space="preserve">should </w:t>
      </w:r>
      <w:r w:rsidR="00E43524">
        <w:t xml:space="preserve">have </w:t>
      </w:r>
      <w:r w:rsidRPr="00350B06">
        <w:t>be</w:t>
      </w:r>
      <w:r w:rsidR="00E43524">
        <w:t>en</w:t>
      </w:r>
      <w:r w:rsidRPr="00350B06">
        <w:t xml:space="preserve"> dealt with include maintaining documents such as inspection sheets, hazardous area documentation, equipment identification and installation documentation, and non–conformance registers.</w:t>
      </w:r>
    </w:p>
    <w:p w:rsidR="00350B06" w:rsidRPr="00350B06" w:rsidRDefault="00350B06" w:rsidP="00350B06">
      <w:r w:rsidRPr="00350B06">
        <w:t>In situations where there is a potential threat to staff or possibility of loss of containment as suggested by ActewAGL</w:t>
      </w:r>
      <w:r w:rsidR="00E43524">
        <w:t>,</w:t>
      </w:r>
      <w:r w:rsidR="006624BB">
        <w:rPr>
          <w:rStyle w:val="FootnoteReference"/>
        </w:rPr>
        <w:footnoteReference w:id="127"/>
      </w:r>
      <w:r w:rsidRPr="00350B06">
        <w:t xml:space="preserve"> we consider that a prudent service provider would rectify non–conformances as a matter of priority. </w:t>
      </w:r>
      <w:r w:rsidR="00E43524">
        <w:t>W</w:t>
      </w:r>
      <w:r w:rsidRPr="00350B06">
        <w:t xml:space="preserve">e note </w:t>
      </w:r>
      <w:proofErr w:type="spellStart"/>
      <w:r w:rsidRPr="00350B06">
        <w:t>Sleeman</w:t>
      </w:r>
      <w:proofErr w:type="spellEnd"/>
      <w:r w:rsidRPr="00350B06">
        <w:t xml:space="preserve"> Consulting advi</w:t>
      </w:r>
      <w:r w:rsidR="00E43524">
        <w:t>sed</w:t>
      </w:r>
      <w:r w:rsidRPr="00350B06">
        <w:t xml:space="preserve"> that it is unlikely that ActewAGL would allow operations to be non–compliant for an extended period. In the case of lightning protection systems, </w:t>
      </w:r>
      <w:proofErr w:type="spellStart"/>
      <w:r w:rsidRPr="00350B06">
        <w:t>Sleeman</w:t>
      </w:r>
      <w:proofErr w:type="spellEnd"/>
      <w:r w:rsidRPr="00350B06">
        <w:t xml:space="preserve"> Consulting noted that the relevant standard</w:t>
      </w:r>
      <w:r w:rsidR="000355D7">
        <w:rPr>
          <w:rStyle w:val="FootnoteReference"/>
        </w:rPr>
        <w:footnoteReference w:id="128"/>
      </w:r>
      <w:r w:rsidRPr="00350B06">
        <w:t xml:space="preserve"> has been in place since 2007, and in any case, the standard is non–mandatory. </w:t>
      </w:r>
    </w:p>
    <w:p w:rsidR="00350B06" w:rsidRPr="00350B06" w:rsidRDefault="00350B06" w:rsidP="00350B06">
      <w:r w:rsidRPr="00350B06">
        <w:t xml:space="preserve">We also </w:t>
      </w:r>
      <w:r w:rsidR="00E43524">
        <w:t>note that</w:t>
      </w:r>
      <w:r w:rsidRPr="00350B06">
        <w:t xml:space="preserve"> ActewAGL is required to report to the Independent Competition and Regulatory Commission each year on compliance with the Utilities Act, industry and technical codes and any other licence requirements.</w:t>
      </w:r>
      <w:r w:rsidR="000355D7">
        <w:rPr>
          <w:rStyle w:val="FootnoteReference"/>
        </w:rPr>
        <w:footnoteReference w:id="129"/>
      </w:r>
      <w:r w:rsidRPr="00350B06">
        <w:t xml:space="preserve"> ActewAGL has not reported any known breach</w:t>
      </w:r>
      <w:r w:rsidR="00E43524">
        <w:t>es</w:t>
      </w:r>
      <w:r w:rsidRPr="00350B06">
        <w:t xml:space="preserve"> of any licence or authorisation</w:t>
      </w:r>
      <w:r w:rsidR="00E43524">
        <w:t xml:space="preserve"> requirements</w:t>
      </w:r>
      <w:r w:rsidRPr="00350B06">
        <w:t>.</w:t>
      </w:r>
      <w:r w:rsidR="000355D7">
        <w:rPr>
          <w:rStyle w:val="FootnoteReference"/>
        </w:rPr>
        <w:footnoteReference w:id="130"/>
      </w:r>
      <w:r w:rsidRPr="00350B06">
        <w:t xml:space="preserve"> This indicates that the non–conformances </w:t>
      </w:r>
      <w:r w:rsidR="00E43524">
        <w:t>which</w:t>
      </w:r>
      <w:r w:rsidR="00727CC4">
        <w:t xml:space="preserve"> ActewAGL'</w:t>
      </w:r>
      <w:r w:rsidRPr="00350B06">
        <w:t xml:space="preserve">s proposed capex </w:t>
      </w:r>
      <w:r w:rsidR="00E43524">
        <w:t xml:space="preserve">is intended to rectify </w:t>
      </w:r>
      <w:proofErr w:type="gramStart"/>
      <w:r w:rsidRPr="00350B06">
        <w:t>is</w:t>
      </w:r>
      <w:proofErr w:type="gramEnd"/>
      <w:r w:rsidRPr="00350B06">
        <w:t xml:space="preserve"> not justified</w:t>
      </w:r>
      <w:r w:rsidR="005D1D20">
        <w:t xml:space="preserve"> under </w:t>
      </w:r>
      <w:r w:rsidR="00794C29">
        <w:t>rule</w:t>
      </w:r>
      <w:r w:rsidR="005D1D20">
        <w:t> 79(2) of the NGR</w:t>
      </w:r>
      <w:r w:rsidRPr="00350B06">
        <w:t>.</w:t>
      </w:r>
    </w:p>
    <w:p w:rsidR="00350B06" w:rsidRPr="00350B06" w:rsidRDefault="00350B06" w:rsidP="00FB1F84">
      <w:pPr>
        <w:pStyle w:val="HeadingBoldItalic"/>
      </w:pPr>
      <w:r w:rsidRPr="00350B06">
        <w:t>Efficiency of the program</w:t>
      </w:r>
    </w:p>
    <w:p w:rsidR="000355D7" w:rsidRDefault="00350B06" w:rsidP="00350B06">
      <w:r w:rsidRPr="00350B06">
        <w:t xml:space="preserve">We </w:t>
      </w:r>
      <w:r w:rsidR="00E43524">
        <w:t xml:space="preserve">consider </w:t>
      </w:r>
      <w:r w:rsidRPr="00350B06">
        <w:t xml:space="preserve">that the proposed capex for the program is not efficient. </w:t>
      </w:r>
      <w:r w:rsidR="005D1D20">
        <w:t xml:space="preserve">Having regard to </w:t>
      </w:r>
      <w:proofErr w:type="spellStart"/>
      <w:r w:rsidRPr="00350B06">
        <w:t>Sleeman</w:t>
      </w:r>
      <w:proofErr w:type="spellEnd"/>
      <w:r w:rsidRPr="00350B06">
        <w:t xml:space="preserve"> Consulting’s advice</w:t>
      </w:r>
      <w:r w:rsidR="005D1D20">
        <w:t>, we consider</w:t>
      </w:r>
      <w:r w:rsidRPr="00350B06">
        <w:t xml:space="preserve"> that the cost estimate is excessive. In particular, </w:t>
      </w:r>
      <w:r w:rsidR="00E43524">
        <w:t xml:space="preserve">when the scope of work was reduced from seven to five facilities, </w:t>
      </w:r>
      <w:r w:rsidRPr="00350B06">
        <w:t xml:space="preserve">it does not seem reasonable that estimated project costs should </w:t>
      </w:r>
      <w:r w:rsidR="00E43524">
        <w:t xml:space="preserve">have </w:t>
      </w:r>
      <w:r w:rsidRPr="00350B06">
        <w:t>more than double</w:t>
      </w:r>
      <w:r w:rsidR="00E43524">
        <w:t>d</w:t>
      </w:r>
      <w:r w:rsidRPr="00350B06">
        <w:t xml:space="preserve"> </w:t>
      </w:r>
      <w:r w:rsidR="00E43524">
        <w:t>between ActewAGL's initial proposal and revised proposal</w:t>
      </w:r>
      <w:r w:rsidRPr="00350B06">
        <w:t>.</w:t>
      </w:r>
      <w:r w:rsidR="000355D7">
        <w:rPr>
          <w:rStyle w:val="FootnoteReference"/>
        </w:rPr>
        <w:footnoteReference w:id="131"/>
      </w:r>
      <w:r w:rsidRPr="00350B06">
        <w:t xml:space="preserve"> This is </w:t>
      </w:r>
      <w:r w:rsidR="00E43524">
        <w:t>particularly so</w:t>
      </w:r>
      <w:r w:rsidR="00E43524" w:rsidRPr="00350B06">
        <w:t xml:space="preserve"> </w:t>
      </w:r>
      <w:r w:rsidRPr="00350B06">
        <w:t xml:space="preserve">in light of </w:t>
      </w:r>
      <w:r w:rsidR="00727CC4">
        <w:t>ActewAGL'</w:t>
      </w:r>
      <w:r w:rsidRPr="00350B06">
        <w:t>s submission that the non-conformances identified by the holistic audits are identical to those identified in similar audits by JGN of its network.</w:t>
      </w:r>
      <w:r w:rsidR="000355D7">
        <w:rPr>
          <w:rStyle w:val="FootnoteReference"/>
        </w:rPr>
        <w:footnoteReference w:id="132"/>
      </w:r>
    </w:p>
    <w:p w:rsidR="00350B06" w:rsidRDefault="00350B06" w:rsidP="00350B06">
      <w:r w:rsidRPr="00350B06">
        <w:t xml:space="preserve">It also appears that ActewAGL has not undertaken an analysis of how it can coordinate the program with other works to potentially reduce costs. In </w:t>
      </w:r>
      <w:r w:rsidR="00E43524">
        <w:t>the</w:t>
      </w:r>
      <w:r w:rsidR="00E43524" w:rsidRPr="00350B06">
        <w:t xml:space="preserve"> </w:t>
      </w:r>
      <w:r w:rsidRPr="00350B06">
        <w:t xml:space="preserve">draft decision we noted that major works are separately proposed for the </w:t>
      </w:r>
      <w:proofErr w:type="spellStart"/>
      <w:r w:rsidRPr="00350B06">
        <w:t>Hoskinstown</w:t>
      </w:r>
      <w:proofErr w:type="spellEnd"/>
      <w:r w:rsidRPr="00350B06">
        <w:t xml:space="preserve"> CTS and, if compliance work did actually prove necessary at this site, it would be prudent for the various programs of work to be coordinated.</w:t>
      </w:r>
      <w:r w:rsidR="000355D7">
        <w:rPr>
          <w:rStyle w:val="FootnoteReference"/>
        </w:rPr>
        <w:footnoteReference w:id="133"/>
      </w:r>
      <w:r w:rsidRPr="00350B06">
        <w:t xml:space="preserve"> ActewAGL did not respond to this comment in its revised proposal or</w:t>
      </w:r>
      <w:r w:rsidR="00E43524">
        <w:t xml:space="preserve"> in its responses to</w:t>
      </w:r>
      <w:r w:rsidRPr="00350B06">
        <w:t xml:space="preserve"> subsequent information </w:t>
      </w:r>
      <w:r w:rsidR="00E43524">
        <w:t>requests</w:t>
      </w:r>
      <w:r w:rsidRPr="00350B06">
        <w:t>. Similarly, while ActewAGL now intends on applying its facilities compliance program to its Watson facility,</w:t>
      </w:r>
      <w:r w:rsidR="000355D7">
        <w:rPr>
          <w:rStyle w:val="FootnoteReference"/>
        </w:rPr>
        <w:footnoteReference w:id="134"/>
      </w:r>
      <w:r w:rsidRPr="00350B06">
        <w:t xml:space="preserve"> it has not considered the option of coordinating work programs in costing this program. </w:t>
      </w:r>
      <w:proofErr w:type="spellStart"/>
      <w:r w:rsidRPr="00350B06">
        <w:t>Sleeman</w:t>
      </w:r>
      <w:proofErr w:type="spellEnd"/>
      <w:r w:rsidRPr="00350B06">
        <w:t xml:space="preserve"> Consulting noted that this facility is also due to undergo a major upgrade which presents an opportunity for coordination of work programs.</w:t>
      </w:r>
      <w:r w:rsidR="000355D7">
        <w:rPr>
          <w:rStyle w:val="FootnoteReference"/>
        </w:rPr>
        <w:footnoteReference w:id="135"/>
      </w:r>
    </w:p>
    <w:p w:rsidR="00560304" w:rsidRDefault="00560304" w:rsidP="00560304">
      <w:pPr>
        <w:pStyle w:val="Heading4"/>
      </w:pPr>
      <w:r>
        <w:t>Meter renewal and upgrade</w:t>
      </w:r>
    </w:p>
    <w:p w:rsidR="00560304" w:rsidRDefault="00560304" w:rsidP="00560304">
      <w:r>
        <w:t>Meter renewal and upgrade expenditure relates to the replacement of meters and associated equipment as it reaches the end of its economic life (or is found to be defective). This is to ensure the safety of customers and accurate customer billing.</w:t>
      </w:r>
      <w:r>
        <w:rPr>
          <w:rStyle w:val="FootnoteReference"/>
        </w:rPr>
        <w:footnoteReference w:id="136"/>
      </w:r>
      <w:r>
        <w:t xml:space="preserve"> In </w:t>
      </w:r>
      <w:r w:rsidR="00E43524">
        <w:t xml:space="preserve">this </w:t>
      </w:r>
      <w:r>
        <w:t xml:space="preserve">final decision we have accepted ActewAGL's revised proposed meter renewal capex amount of </w:t>
      </w:r>
      <w:r w:rsidR="00D561A9">
        <w:t>$13.7</w:t>
      </w:r>
      <w:r>
        <w:t> million ($2015–16</w:t>
      </w:r>
      <w:r w:rsidR="00E91E10">
        <w:t>, unescalated</w:t>
      </w:r>
      <w:r>
        <w:t xml:space="preserve">). </w:t>
      </w:r>
    </w:p>
    <w:p w:rsidR="005E138D" w:rsidRDefault="00560304" w:rsidP="00560304">
      <w:r>
        <w:t xml:space="preserve">In </w:t>
      </w:r>
      <w:r w:rsidR="00E43524">
        <w:t xml:space="preserve">the </w:t>
      </w:r>
      <w:r>
        <w:t>draft decision we reduced ActewAGL's proposed meter renewal and upgrade capex by $0.4 million. This was driven by a reduction in the unit rate for hot water meters. We were not satisfied that ActewAGL’s proposed unit rates complied with rule 79(1</w:t>
      </w:r>
      <w:proofErr w:type="gramStart"/>
      <w:r>
        <w:t>)(</w:t>
      </w:r>
      <w:proofErr w:type="gramEnd"/>
      <w:r>
        <w:t xml:space="preserve">a) of the NER. As discussed earlier in this attachment, </w:t>
      </w:r>
      <w:r w:rsidR="005E138D">
        <w:t xml:space="preserve">after further consideration of the information provided by ActewAGL as part of its revised proposal, </w:t>
      </w:r>
      <w:r>
        <w:t>we now consider that ActewAGL</w:t>
      </w:r>
      <w:r w:rsidR="005E138D">
        <w:t xml:space="preserve">'s proposed hot water meter unit rate is reasonable. </w:t>
      </w:r>
    </w:p>
    <w:bookmarkEnd w:id="0"/>
    <w:p w:rsidR="00A02961" w:rsidRPr="00497243" w:rsidRDefault="00A02961" w:rsidP="004E3ADD"/>
    <w:sectPr w:rsidR="00A02961" w:rsidRPr="00497243" w:rsidSect="00B757A6">
      <w:headerReference w:type="even" r:id="rId13"/>
      <w:footerReference w:type="even" r:id="rId14"/>
      <w:footerReference w:type="default" r:id="rId15"/>
      <w:headerReference w:type="first" r:id="rId16"/>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027" w:rsidRPr="00290C63" w:rsidRDefault="000F7027" w:rsidP="00290C63">
      <w:r>
        <w:separator/>
      </w:r>
    </w:p>
    <w:p w:rsidR="000F7027" w:rsidRDefault="000F7027"/>
  </w:endnote>
  <w:endnote w:type="continuationSeparator" w:id="0">
    <w:p w:rsidR="000F7027" w:rsidRPr="00290C63" w:rsidRDefault="000F7027" w:rsidP="00290C63">
      <w:r>
        <w:continuationSeparator/>
      </w:r>
    </w:p>
    <w:p w:rsidR="000F7027" w:rsidRDefault="000F7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027" w:rsidRDefault="000F702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0F7027" w:rsidRDefault="000F7027">
    <w:pPr>
      <w:pStyle w:val="Footer"/>
    </w:pPr>
  </w:p>
  <w:p w:rsidR="000F7027" w:rsidRDefault="000F7027">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0F7027" w:rsidRPr="00CA52A2" w:rsidRDefault="000F7027" w:rsidP="00CA52A2">
        <w:pPr>
          <w:pStyle w:val="Footer"/>
        </w:pPr>
        <w:r w:rsidRPr="00CA52A2">
          <w:fldChar w:fldCharType="begin"/>
        </w:r>
        <w:r>
          <w:instrText xml:space="preserve"> PAGE   \* MERGEFORMAT </w:instrText>
        </w:r>
        <w:r w:rsidRPr="00CA52A2">
          <w:fldChar w:fldCharType="separate"/>
        </w:r>
        <w:r w:rsidR="003A6311">
          <w:rPr>
            <w:noProof/>
          </w:rPr>
          <w:t>6-3</w:t>
        </w:r>
        <w:r w:rsidRPr="00CA52A2">
          <w:fldChar w:fldCharType="end"/>
        </w:r>
        <w:r w:rsidRPr="00CA52A2">
          <w:t xml:space="preserve">          Attachment </w:t>
        </w:r>
        <w:r>
          <w:t xml:space="preserve">6 </w:t>
        </w:r>
        <w:r w:rsidRPr="00CA52A2">
          <w:t xml:space="preserve">– </w:t>
        </w:r>
        <w:r>
          <w:t xml:space="preserve">Capital expenditure </w:t>
        </w:r>
        <w:r w:rsidRPr="00CA52A2">
          <w:t xml:space="preserve">| </w:t>
        </w:r>
        <w:r>
          <w:t>Final decision: ActewAGL Distribution Access Arrangement 2016</w:t>
        </w:r>
        <w:r w:rsidRPr="00CA52A2">
          <w:t>–</w:t>
        </w:r>
        <w:r>
          <w:t>21</w:t>
        </w:r>
      </w:p>
    </w:sdtContent>
  </w:sdt>
  <w:p w:rsidR="000F7027" w:rsidRDefault="000F7027">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027" w:rsidRPr="00290C63" w:rsidRDefault="000F7027" w:rsidP="00290C63">
      <w:r>
        <w:separator/>
      </w:r>
    </w:p>
    <w:p w:rsidR="000F7027" w:rsidRDefault="000F7027"/>
  </w:footnote>
  <w:footnote w:type="continuationSeparator" w:id="0">
    <w:p w:rsidR="000F7027" w:rsidRPr="00290C63" w:rsidRDefault="000F7027" w:rsidP="00290C63">
      <w:r>
        <w:continuationSeparator/>
      </w:r>
    </w:p>
    <w:p w:rsidR="000F7027" w:rsidRDefault="000F7027"/>
  </w:footnote>
  <w:footnote w:id="1">
    <w:p w:rsidR="000F7027" w:rsidRDefault="000F7027" w:rsidP="00AA4EB8">
      <w:pPr>
        <w:pStyle w:val="FootnoteText"/>
      </w:pPr>
      <w:r>
        <w:rPr>
          <w:rStyle w:val="FootnoteReference"/>
        </w:rPr>
        <w:footnoteRef/>
      </w:r>
      <w:r>
        <w:t xml:space="preserve"> </w:t>
      </w:r>
      <w:r>
        <w:tab/>
        <w:t xml:space="preserve">NGR, </w:t>
      </w:r>
      <w:proofErr w:type="gramStart"/>
      <w:r>
        <w:t>rr</w:t>
      </w:r>
      <w:proofErr w:type="gramEnd"/>
      <w:r>
        <w:t>. </w:t>
      </w:r>
      <w:proofErr w:type="gramStart"/>
      <w:r>
        <w:t>64(1), (5).</w:t>
      </w:r>
      <w:proofErr w:type="gramEnd"/>
      <w:r>
        <w:t xml:space="preserve"> </w:t>
      </w:r>
    </w:p>
  </w:footnote>
  <w:footnote w:id="2">
    <w:p w:rsidR="000F7027" w:rsidRDefault="000F7027" w:rsidP="00186C41">
      <w:pPr>
        <w:pStyle w:val="FootnoteText"/>
      </w:pPr>
      <w:r>
        <w:rPr>
          <w:rStyle w:val="FootnoteReference"/>
        </w:rPr>
        <w:footnoteRef/>
      </w:r>
      <w:r>
        <w:t xml:space="preserve"> </w:t>
      </w:r>
      <w:r>
        <w:tab/>
        <w:t xml:space="preserve">AER, </w:t>
      </w:r>
      <w:r w:rsidRPr="00055E14">
        <w:rPr>
          <w:rStyle w:val="AERtextitalic"/>
        </w:rPr>
        <w:t>Draft decision: ActewAGL Distribution access arrangement 2016 to 2021: Attachment 6 – Capital expenditure</w:t>
      </w:r>
      <w:r w:rsidRPr="00055E14">
        <w:t>, November 2015</w:t>
      </w:r>
      <w:r>
        <w:t>.</w:t>
      </w:r>
    </w:p>
  </w:footnote>
  <w:footnote w:id="3">
    <w:p w:rsidR="000F7027" w:rsidRDefault="000F7027" w:rsidP="00A02961">
      <w:pPr>
        <w:pStyle w:val="FootnoteText"/>
      </w:pPr>
      <w:r>
        <w:rPr>
          <w:rStyle w:val="FootnoteReference"/>
        </w:rPr>
        <w:footnoteRef/>
      </w:r>
      <w:r>
        <w:t xml:space="preserve"> </w:t>
      </w:r>
      <w:r>
        <w:tab/>
        <w:t>NGR, r. 77(2</w:t>
      </w:r>
      <w:proofErr w:type="gramStart"/>
      <w:r>
        <w:t>)(</w:t>
      </w:r>
      <w:proofErr w:type="gramEnd"/>
      <w:r>
        <w:t>b).</w:t>
      </w:r>
    </w:p>
  </w:footnote>
  <w:footnote w:id="4">
    <w:p w:rsidR="000F7027" w:rsidRDefault="000F7027" w:rsidP="00A02961">
      <w:pPr>
        <w:pStyle w:val="FootnoteText"/>
      </w:pPr>
      <w:r>
        <w:rPr>
          <w:rStyle w:val="FootnoteReference"/>
        </w:rPr>
        <w:footnoteRef/>
      </w:r>
      <w:r>
        <w:t xml:space="preserve"> </w:t>
      </w:r>
      <w:r>
        <w:tab/>
      </w:r>
      <w:proofErr w:type="gramStart"/>
      <w:r>
        <w:t>NGR, r. 79.</w:t>
      </w:r>
      <w:proofErr w:type="gramEnd"/>
    </w:p>
  </w:footnote>
  <w:footnote w:id="5">
    <w:p w:rsidR="000F7027" w:rsidRDefault="000F7027" w:rsidP="00A02961">
      <w:pPr>
        <w:pStyle w:val="FootnoteText"/>
      </w:pPr>
      <w:r>
        <w:rPr>
          <w:rStyle w:val="FootnoteReference"/>
        </w:rPr>
        <w:footnoteRef/>
      </w:r>
      <w:r>
        <w:t xml:space="preserve"> </w:t>
      </w:r>
      <w:r>
        <w:tab/>
      </w:r>
      <w:proofErr w:type="gramStart"/>
      <w:r>
        <w:t>NGR, r. 69.</w:t>
      </w:r>
      <w:proofErr w:type="gramEnd"/>
    </w:p>
  </w:footnote>
  <w:footnote w:id="6">
    <w:p w:rsidR="000F7027" w:rsidRDefault="000F7027" w:rsidP="00A02961">
      <w:pPr>
        <w:pStyle w:val="FootnoteText"/>
      </w:pPr>
      <w:r>
        <w:rPr>
          <w:rStyle w:val="FootnoteReference"/>
        </w:rPr>
        <w:footnoteRef/>
      </w:r>
      <w:r>
        <w:t xml:space="preserve"> </w:t>
      </w:r>
      <w:r>
        <w:tab/>
      </w:r>
      <w:proofErr w:type="gramStart"/>
      <w:r>
        <w:rPr>
          <w:rFonts w:eastAsia="Calibri"/>
        </w:rPr>
        <w:t>NGR, r. 74(2).</w:t>
      </w:r>
      <w:proofErr w:type="gramEnd"/>
    </w:p>
  </w:footnote>
  <w:footnote w:id="7">
    <w:p w:rsidR="000F7027" w:rsidRDefault="000F7027" w:rsidP="00A02961">
      <w:pPr>
        <w:pStyle w:val="FootnoteText"/>
      </w:pPr>
      <w:r>
        <w:rPr>
          <w:rStyle w:val="FootnoteReference"/>
        </w:rPr>
        <w:footnoteRef/>
      </w:r>
      <w:r>
        <w:t xml:space="preserve"> </w:t>
      </w:r>
      <w:r>
        <w:tab/>
      </w:r>
      <w:proofErr w:type="gramStart"/>
      <w:r>
        <w:t>NGR, r. 79(6).</w:t>
      </w:r>
      <w:proofErr w:type="gramEnd"/>
    </w:p>
  </w:footnote>
  <w:footnote w:id="8">
    <w:p w:rsidR="000F7027" w:rsidRDefault="000F7027" w:rsidP="00A02961">
      <w:pPr>
        <w:pStyle w:val="FootnoteText"/>
      </w:pPr>
      <w:r>
        <w:rPr>
          <w:rStyle w:val="FootnoteReference"/>
        </w:rPr>
        <w:footnoteRef/>
      </w:r>
      <w:r>
        <w:t xml:space="preserve"> </w:t>
      </w:r>
      <w:r>
        <w:tab/>
      </w:r>
      <w:proofErr w:type="gramStart"/>
      <w:r>
        <w:t>NGR, r. 40(2).</w:t>
      </w:r>
      <w:proofErr w:type="gramEnd"/>
    </w:p>
  </w:footnote>
  <w:footnote w:id="9">
    <w:p w:rsidR="000F7027" w:rsidRDefault="000F7027" w:rsidP="00A02961">
      <w:pPr>
        <w:pStyle w:val="FootnoteText"/>
        <w:rPr>
          <w:rFonts w:eastAsia="Calibri"/>
        </w:rPr>
      </w:pPr>
      <w:r>
        <w:rPr>
          <w:rStyle w:val="FootnoteReference"/>
        </w:rPr>
        <w:footnoteRef/>
      </w:r>
      <w:r>
        <w:t xml:space="preserve"> </w:t>
      </w:r>
      <w:r>
        <w:tab/>
      </w:r>
      <w:r>
        <w:rPr>
          <w:rFonts w:eastAsia="Calibri"/>
        </w:rPr>
        <w:t>For instance, r. 74 of the NGR requires estimates and forecasts to be made on a reasonable basis, amongst</w:t>
      </w:r>
    </w:p>
    <w:p w:rsidR="000F7027" w:rsidRDefault="000F7027" w:rsidP="00A02961">
      <w:pPr>
        <w:pStyle w:val="FootnoteText"/>
      </w:pPr>
      <w:r>
        <w:rPr>
          <w:rFonts w:eastAsia="Calibri"/>
        </w:rPr>
        <w:tab/>
      </w:r>
      <w:proofErr w:type="gramStart"/>
      <w:r>
        <w:rPr>
          <w:rFonts w:eastAsia="Calibri"/>
        </w:rPr>
        <w:t>other</w:t>
      </w:r>
      <w:proofErr w:type="gramEnd"/>
      <w:r>
        <w:rPr>
          <w:rFonts w:eastAsia="Calibri"/>
        </w:rPr>
        <w:t xml:space="preserve"> things.</w:t>
      </w:r>
    </w:p>
  </w:footnote>
  <w:footnote w:id="10">
    <w:p w:rsidR="000F7027" w:rsidRDefault="000F7027" w:rsidP="00A02961">
      <w:pPr>
        <w:pStyle w:val="FootnoteText"/>
      </w:pPr>
      <w:r>
        <w:rPr>
          <w:rStyle w:val="FootnoteReference"/>
        </w:rPr>
        <w:footnoteRef/>
      </w:r>
      <w:r>
        <w:t xml:space="preserve"> </w:t>
      </w:r>
      <w:r>
        <w:tab/>
      </w:r>
      <w:proofErr w:type="gramStart"/>
      <w:r>
        <w:rPr>
          <w:rFonts w:eastAsia="Calibri"/>
        </w:rPr>
        <w:t>NGL, s. 28(1).</w:t>
      </w:r>
      <w:proofErr w:type="gramEnd"/>
    </w:p>
  </w:footnote>
  <w:footnote w:id="11">
    <w:p w:rsidR="000F7027" w:rsidRDefault="000F7027" w:rsidP="00A02961">
      <w:pPr>
        <w:pStyle w:val="FootnoteText"/>
      </w:pPr>
      <w:r>
        <w:rPr>
          <w:rStyle w:val="FootnoteReference"/>
        </w:rPr>
        <w:footnoteRef/>
      </w:r>
      <w:r>
        <w:t xml:space="preserve"> </w:t>
      </w:r>
      <w:r>
        <w:tab/>
      </w:r>
      <w:proofErr w:type="gramStart"/>
      <w:r>
        <w:t>NGR, schedule 1, r. 35(3).</w:t>
      </w:r>
      <w:proofErr w:type="gramEnd"/>
    </w:p>
  </w:footnote>
  <w:footnote w:id="12">
    <w:p w:rsidR="000F7027" w:rsidRDefault="000F7027" w:rsidP="00A02961">
      <w:pPr>
        <w:pStyle w:val="FootnoteText"/>
      </w:pPr>
      <w:r>
        <w:rPr>
          <w:rStyle w:val="FootnoteReference"/>
        </w:rPr>
        <w:footnoteRef/>
      </w:r>
      <w:r>
        <w:t xml:space="preserve"> </w:t>
      </w:r>
      <w:r>
        <w:tab/>
      </w:r>
      <w:r w:rsidRPr="000853A5">
        <w:t>The forthcoming period is</w:t>
      </w:r>
      <w:r>
        <w:t xml:space="preserve"> </w:t>
      </w:r>
      <w:r w:rsidRPr="000853A5">
        <w:t xml:space="preserve">five years in length from 2016–17 to 2020–21. </w:t>
      </w:r>
      <w:r>
        <w:t xml:space="preserve">AER, </w:t>
      </w:r>
      <w:r w:rsidRPr="00D81C01">
        <w:rPr>
          <w:i/>
        </w:rPr>
        <w:t>Letter to ActewAGL – gas access arrangement period</w:t>
      </w:r>
      <w:r>
        <w:t xml:space="preserve">, 24 November 2014. </w:t>
      </w:r>
    </w:p>
  </w:footnote>
  <w:footnote w:id="13">
    <w:p w:rsidR="000F7027" w:rsidRDefault="000F7027" w:rsidP="00A02961">
      <w:pPr>
        <w:pStyle w:val="FootnoteText"/>
      </w:pPr>
      <w:r>
        <w:rPr>
          <w:rStyle w:val="FootnoteReference"/>
        </w:rPr>
        <w:footnoteRef/>
      </w:r>
      <w:r>
        <w:t xml:space="preserve"> </w:t>
      </w:r>
      <w:r>
        <w:tab/>
        <w:t>NGR, r. 77(2</w:t>
      </w:r>
      <w:proofErr w:type="gramStart"/>
      <w:r>
        <w:t>)(</w:t>
      </w:r>
      <w:proofErr w:type="gramEnd"/>
      <w:r>
        <w:t>a).</w:t>
      </w:r>
    </w:p>
  </w:footnote>
  <w:footnote w:id="14">
    <w:p w:rsidR="000F7027" w:rsidRDefault="000F7027" w:rsidP="00A02961">
      <w:pPr>
        <w:pStyle w:val="FootnoteText"/>
      </w:pPr>
      <w:r>
        <w:rPr>
          <w:rStyle w:val="FootnoteReference"/>
        </w:rPr>
        <w:footnoteRef/>
      </w:r>
      <w:r>
        <w:t xml:space="preserve"> </w:t>
      </w:r>
      <w:r>
        <w:tab/>
        <w:t>NGR, r. 77(2</w:t>
      </w:r>
      <w:proofErr w:type="gramStart"/>
      <w:r>
        <w:t>)(</w:t>
      </w:r>
      <w:proofErr w:type="gramEnd"/>
      <w:r>
        <w:t>a).</w:t>
      </w:r>
    </w:p>
  </w:footnote>
  <w:footnote w:id="15">
    <w:p w:rsidR="000F7027" w:rsidRDefault="000F7027" w:rsidP="00A02961">
      <w:pPr>
        <w:pStyle w:val="FootnoteText"/>
      </w:pPr>
      <w:r>
        <w:rPr>
          <w:rStyle w:val="FootnoteReference"/>
        </w:rPr>
        <w:footnoteRef/>
      </w:r>
      <w:r>
        <w:t xml:space="preserve"> </w:t>
      </w:r>
      <w:r>
        <w:tab/>
      </w:r>
      <w:proofErr w:type="gramStart"/>
      <w:r>
        <w:t>NGR, r. 79.</w:t>
      </w:r>
      <w:proofErr w:type="gramEnd"/>
    </w:p>
  </w:footnote>
  <w:footnote w:id="16">
    <w:p w:rsidR="000F7027" w:rsidRDefault="000F7027" w:rsidP="00A02961">
      <w:pPr>
        <w:pStyle w:val="FootnoteText"/>
      </w:pPr>
      <w:r>
        <w:rPr>
          <w:rStyle w:val="FootnoteReference"/>
        </w:rPr>
        <w:footnoteRef/>
      </w:r>
      <w:r>
        <w:t xml:space="preserve"> </w:t>
      </w:r>
      <w:r>
        <w:tab/>
        <w:t>NGR, r. 77(2</w:t>
      </w:r>
      <w:proofErr w:type="gramStart"/>
      <w:r>
        <w:t>)(</w:t>
      </w:r>
      <w:proofErr w:type="gramEnd"/>
      <w:r>
        <w:t>b).</w:t>
      </w:r>
    </w:p>
  </w:footnote>
  <w:footnote w:id="17">
    <w:p w:rsidR="000F7027" w:rsidRDefault="000F7027" w:rsidP="00A02961">
      <w:pPr>
        <w:pStyle w:val="FootnoteText"/>
      </w:pPr>
      <w:r>
        <w:rPr>
          <w:rStyle w:val="FootnoteReference"/>
        </w:rPr>
        <w:footnoteRef/>
      </w:r>
      <w:r>
        <w:t xml:space="preserve"> </w:t>
      </w:r>
      <w:r>
        <w:tab/>
        <w:t xml:space="preserve">NGR, </w:t>
      </w:r>
      <w:proofErr w:type="gramStart"/>
      <w:r>
        <w:t>rr</w:t>
      </w:r>
      <w:proofErr w:type="gramEnd"/>
      <w:r>
        <w:t>. 77(2</w:t>
      </w:r>
      <w:proofErr w:type="gramStart"/>
      <w:r>
        <w:t>)(</w:t>
      </w:r>
      <w:proofErr w:type="gramEnd"/>
      <w:r>
        <w:t>b), 79.</w:t>
      </w:r>
    </w:p>
  </w:footnote>
  <w:footnote w:id="18">
    <w:p w:rsidR="000F7027" w:rsidRDefault="000F7027" w:rsidP="00A02961">
      <w:pPr>
        <w:pStyle w:val="FootnoteText"/>
      </w:pPr>
      <w:r>
        <w:rPr>
          <w:rStyle w:val="FootnoteReference"/>
        </w:rPr>
        <w:footnoteRef/>
      </w:r>
      <w:r>
        <w:t xml:space="preserve"> </w:t>
      </w:r>
      <w:r>
        <w:tab/>
        <w:t>NGR, r. 77(2</w:t>
      </w:r>
      <w:proofErr w:type="gramStart"/>
      <w:r>
        <w:t>)(</w:t>
      </w:r>
      <w:proofErr w:type="gramEnd"/>
      <w:r>
        <w:t>b).</w:t>
      </w:r>
    </w:p>
  </w:footnote>
  <w:footnote w:id="19">
    <w:p w:rsidR="000F7027" w:rsidRDefault="000F7027" w:rsidP="00A02961">
      <w:pPr>
        <w:pStyle w:val="FootnoteText"/>
      </w:pPr>
      <w:r>
        <w:rPr>
          <w:rStyle w:val="FootnoteReference"/>
        </w:rPr>
        <w:footnoteRef/>
      </w:r>
      <w:r>
        <w:t xml:space="preserve"> </w:t>
      </w:r>
      <w:r>
        <w:tab/>
        <w:t xml:space="preserve">ActewAGL, </w:t>
      </w:r>
      <w:r w:rsidRPr="001E2F1C">
        <w:rPr>
          <w:i/>
        </w:rPr>
        <w:t>Attachment 6: Capital expenditure</w:t>
      </w:r>
      <w:r>
        <w:rPr>
          <w:i/>
        </w:rPr>
        <w:t xml:space="preserve">: </w:t>
      </w:r>
      <w:r w:rsidRPr="001E2F1C">
        <w:rPr>
          <w:i/>
        </w:rPr>
        <w:t xml:space="preserve">Access </w:t>
      </w:r>
      <w:r>
        <w:rPr>
          <w:i/>
        </w:rPr>
        <w:t>a</w:t>
      </w:r>
      <w:r w:rsidRPr="001E2F1C">
        <w:rPr>
          <w:i/>
        </w:rPr>
        <w:t xml:space="preserve">rrangement </w:t>
      </w:r>
      <w:r>
        <w:rPr>
          <w:i/>
        </w:rPr>
        <w:t>i</w:t>
      </w:r>
      <w:r w:rsidRPr="001E2F1C">
        <w:rPr>
          <w:i/>
        </w:rPr>
        <w:t>nformation for the 2016</w:t>
      </w:r>
      <w:r>
        <w:rPr>
          <w:i/>
        </w:rPr>
        <w:t>–</w:t>
      </w:r>
      <w:r w:rsidRPr="001E2F1C">
        <w:rPr>
          <w:i/>
        </w:rPr>
        <w:t xml:space="preserve">21 ACT, Queanbeyan and Palerang </w:t>
      </w:r>
      <w:r>
        <w:rPr>
          <w:i/>
        </w:rPr>
        <w:t>a</w:t>
      </w:r>
      <w:r w:rsidRPr="001E2F1C">
        <w:rPr>
          <w:i/>
        </w:rPr>
        <w:t xml:space="preserve">ccess </w:t>
      </w:r>
      <w:r>
        <w:rPr>
          <w:i/>
        </w:rPr>
        <w:t>a</w:t>
      </w:r>
      <w:r w:rsidRPr="001E2F1C">
        <w:rPr>
          <w:i/>
        </w:rPr>
        <w:t>rrangement</w:t>
      </w:r>
      <w:r>
        <w:t>, June</w:t>
      </w:r>
      <w:r w:rsidRPr="00007A3F">
        <w:t xml:space="preserve"> 2015</w:t>
      </w:r>
      <w:r>
        <w:t>; ActewAGL,</w:t>
      </w:r>
      <w:r w:rsidRPr="00734A70">
        <w:rPr>
          <w:rStyle w:val="AERtextitalic"/>
        </w:rPr>
        <w:t xml:space="preserve"> Access arrangement information for the 2016–21 ACT, Queanbeyan and Palerang access arrangement,</w:t>
      </w:r>
      <w:r>
        <w:t xml:space="preserve"> January 2016. </w:t>
      </w:r>
    </w:p>
  </w:footnote>
  <w:footnote w:id="20">
    <w:p w:rsidR="000F7027" w:rsidRDefault="000F7027" w:rsidP="00A02961">
      <w:pPr>
        <w:pStyle w:val="FootnoteText"/>
      </w:pPr>
      <w:r>
        <w:rPr>
          <w:rStyle w:val="FootnoteReference"/>
        </w:rPr>
        <w:footnoteRef/>
      </w:r>
      <w:r>
        <w:t xml:space="preserve"> </w:t>
      </w:r>
      <w:r>
        <w:tab/>
      </w:r>
      <w:proofErr w:type="gramStart"/>
      <w:r>
        <w:t xml:space="preserve">ActewAGL, </w:t>
      </w:r>
      <w:r w:rsidRPr="00E14E22">
        <w:rPr>
          <w:i/>
        </w:rPr>
        <w:t xml:space="preserve">Access </w:t>
      </w:r>
      <w:r>
        <w:rPr>
          <w:i/>
        </w:rPr>
        <w:t>a</w:t>
      </w:r>
      <w:r w:rsidRPr="00E14E22">
        <w:rPr>
          <w:i/>
        </w:rPr>
        <w:t xml:space="preserve">rrangement </w:t>
      </w:r>
      <w:r>
        <w:rPr>
          <w:i/>
        </w:rPr>
        <w:t>i</w:t>
      </w:r>
      <w:r w:rsidRPr="00E14E22">
        <w:rPr>
          <w:i/>
        </w:rPr>
        <w:t>nformation</w:t>
      </w:r>
      <w:r>
        <w:t>,</w:t>
      </w:r>
      <w:r w:rsidRPr="00007A3F">
        <w:t xml:space="preserve"> J</w:t>
      </w:r>
      <w:r>
        <w:t>une</w:t>
      </w:r>
      <w:r w:rsidRPr="00007A3F">
        <w:t xml:space="preserve"> 2015</w:t>
      </w:r>
      <w:r>
        <w:t>, Appendices 6.01, 6.02, 6.03, 6.06, 6.07</w:t>
      </w:r>
      <w:r>
        <w:rPr>
          <w:rStyle w:val="AERtextitalic"/>
        </w:rPr>
        <w:t>.</w:t>
      </w:r>
      <w:proofErr w:type="gramEnd"/>
    </w:p>
  </w:footnote>
  <w:footnote w:id="21">
    <w:p w:rsidR="000F7027" w:rsidRDefault="000F7027" w:rsidP="00A02961">
      <w:pPr>
        <w:pStyle w:val="FootnoteText"/>
      </w:pPr>
      <w:r>
        <w:rPr>
          <w:rStyle w:val="FootnoteReference"/>
        </w:rPr>
        <w:footnoteRef/>
      </w:r>
      <w:r>
        <w:t xml:space="preserve"> </w:t>
      </w:r>
      <w:r>
        <w:tab/>
      </w:r>
      <w:proofErr w:type="gramStart"/>
      <w:r>
        <w:t xml:space="preserve">ActewAGL, </w:t>
      </w:r>
      <w:r w:rsidRPr="00E14E22">
        <w:rPr>
          <w:i/>
        </w:rPr>
        <w:t xml:space="preserve">Access </w:t>
      </w:r>
      <w:r>
        <w:rPr>
          <w:i/>
        </w:rPr>
        <w:t>a</w:t>
      </w:r>
      <w:r w:rsidRPr="00E14E22">
        <w:rPr>
          <w:i/>
        </w:rPr>
        <w:t xml:space="preserve">rrangement </w:t>
      </w:r>
      <w:r>
        <w:rPr>
          <w:i/>
        </w:rPr>
        <w:t>i</w:t>
      </w:r>
      <w:r w:rsidRPr="00E14E22">
        <w:rPr>
          <w:i/>
        </w:rPr>
        <w:t>nformation</w:t>
      </w:r>
      <w:r>
        <w:t>,</w:t>
      </w:r>
      <w:r w:rsidRPr="00007A3F">
        <w:t xml:space="preserve"> J</w:t>
      </w:r>
      <w:r>
        <w:t>une</w:t>
      </w:r>
      <w:r w:rsidRPr="00007A3F">
        <w:t xml:space="preserve"> 2015</w:t>
      </w:r>
      <w:r>
        <w:t xml:space="preserve">, 2016–21 – </w:t>
      </w:r>
      <w:r w:rsidRPr="003B108B">
        <w:rPr>
          <w:caps/>
        </w:rPr>
        <w:t>public</w:t>
      </w:r>
      <w:r>
        <w:t xml:space="preserve"> Gas Reset RIN MASTER FINAL_revised_6 July2015.xls; ActewAGL, </w:t>
      </w:r>
      <w:r w:rsidRPr="00734A70">
        <w:rPr>
          <w:rStyle w:val="AERtextitalic"/>
        </w:rPr>
        <w:t>Revised RIN data 14_15 – Master revised February 2016 (revised in response to IR 046).</w:t>
      </w:r>
      <w:proofErr w:type="spellStart"/>
      <w:r w:rsidRPr="00734A70">
        <w:rPr>
          <w:rStyle w:val="AERtextitalic"/>
        </w:rPr>
        <w:t>xls</w:t>
      </w:r>
      <w:proofErr w:type="spellEnd"/>
      <w:r>
        <w:rPr>
          <w:rStyle w:val="AERtextitalic"/>
        </w:rPr>
        <w:t>.</w:t>
      </w:r>
      <w:proofErr w:type="gramEnd"/>
    </w:p>
  </w:footnote>
  <w:footnote w:id="22">
    <w:p w:rsidR="000F7027" w:rsidRDefault="000F7027" w:rsidP="00A02961">
      <w:pPr>
        <w:pStyle w:val="FootnoteText"/>
      </w:pPr>
      <w:r>
        <w:rPr>
          <w:rStyle w:val="FootnoteReference"/>
        </w:rPr>
        <w:footnoteRef/>
      </w:r>
      <w:r>
        <w:t xml:space="preserve"> </w:t>
      </w:r>
      <w:r>
        <w:tab/>
      </w:r>
      <w:proofErr w:type="gramStart"/>
      <w:r>
        <w:t xml:space="preserve">ActewAGL, </w:t>
      </w:r>
      <w:r w:rsidRPr="00E14E22">
        <w:rPr>
          <w:i/>
        </w:rPr>
        <w:t xml:space="preserve">Access </w:t>
      </w:r>
      <w:r>
        <w:rPr>
          <w:i/>
        </w:rPr>
        <w:t>a</w:t>
      </w:r>
      <w:r w:rsidRPr="00E14E22">
        <w:rPr>
          <w:i/>
        </w:rPr>
        <w:t xml:space="preserve">rrangement </w:t>
      </w:r>
      <w:r>
        <w:rPr>
          <w:i/>
        </w:rPr>
        <w:t>i</w:t>
      </w:r>
      <w:r w:rsidRPr="00E14E22">
        <w:rPr>
          <w:i/>
        </w:rPr>
        <w:t>nformation</w:t>
      </w:r>
      <w:r>
        <w:t>,</w:t>
      </w:r>
      <w:r w:rsidRPr="00007A3F">
        <w:t xml:space="preserve"> J</w:t>
      </w:r>
      <w:r>
        <w:t>une</w:t>
      </w:r>
      <w:r w:rsidRPr="00007A3F">
        <w:t xml:space="preserve"> 2015</w:t>
      </w:r>
      <w:r>
        <w:t xml:space="preserve">, Appendices 6.05.1, 6.05.2, 6.05.3, 6.05.4, 6.05.5 (all </w:t>
      </w:r>
      <w:r w:rsidRPr="00597704">
        <w:rPr>
          <w:caps/>
        </w:rPr>
        <w:t>confidential</w:t>
      </w:r>
      <w:r>
        <w:t>).</w:t>
      </w:r>
      <w:proofErr w:type="gramEnd"/>
    </w:p>
  </w:footnote>
  <w:footnote w:id="23">
    <w:p w:rsidR="000F7027" w:rsidRDefault="000F7027" w:rsidP="00A02961">
      <w:pPr>
        <w:pStyle w:val="FootnoteText"/>
      </w:pPr>
      <w:r>
        <w:rPr>
          <w:rStyle w:val="FootnoteReference"/>
        </w:rPr>
        <w:footnoteRef/>
      </w:r>
      <w:r>
        <w:t xml:space="preserve"> </w:t>
      </w:r>
      <w:r>
        <w:tab/>
        <w:t xml:space="preserve">ActewAGL, </w:t>
      </w:r>
      <w:r w:rsidRPr="00E14E22">
        <w:rPr>
          <w:i/>
        </w:rPr>
        <w:t xml:space="preserve">Access </w:t>
      </w:r>
      <w:r>
        <w:rPr>
          <w:i/>
        </w:rPr>
        <w:t>a</w:t>
      </w:r>
      <w:r w:rsidRPr="00E14E22">
        <w:rPr>
          <w:i/>
        </w:rPr>
        <w:t xml:space="preserve">rrangement </w:t>
      </w:r>
      <w:r>
        <w:rPr>
          <w:i/>
        </w:rPr>
        <w:t>i</w:t>
      </w:r>
      <w:r w:rsidRPr="00E14E22">
        <w:rPr>
          <w:i/>
        </w:rPr>
        <w:t>nformation</w:t>
      </w:r>
      <w:r>
        <w:t>,</w:t>
      </w:r>
      <w:r w:rsidRPr="00007A3F">
        <w:t xml:space="preserve"> J</w:t>
      </w:r>
      <w:r>
        <w:t>une</w:t>
      </w:r>
      <w:r w:rsidRPr="00007A3F">
        <w:t xml:space="preserve"> 2015</w:t>
      </w:r>
      <w:r>
        <w:t>, Attachment 4 (</w:t>
      </w:r>
      <w:r w:rsidRPr="009967F3">
        <w:rPr>
          <w:caps/>
        </w:rPr>
        <w:t>confidential</w:t>
      </w:r>
      <w:r>
        <w:t>), Appendices 4.01 – ASA, 4.01 – DAMS, 4.02, 4.03, 4.04, 4.05a, 4.05b (all CONFIDENTIAL except 4.03 and 4.04).</w:t>
      </w:r>
    </w:p>
  </w:footnote>
  <w:footnote w:id="24">
    <w:p w:rsidR="000F7027" w:rsidRDefault="000F7027" w:rsidP="00A02961">
      <w:pPr>
        <w:pStyle w:val="FootnoteText"/>
      </w:pPr>
      <w:r>
        <w:rPr>
          <w:rStyle w:val="FootnoteReference"/>
        </w:rPr>
        <w:footnoteRef/>
      </w:r>
      <w:r>
        <w:t xml:space="preserve"> </w:t>
      </w:r>
      <w:r>
        <w:tab/>
      </w:r>
      <w:proofErr w:type="gramStart"/>
      <w:r>
        <w:t xml:space="preserve">ActewAGL, </w:t>
      </w:r>
      <w:r w:rsidRPr="00E14E22">
        <w:rPr>
          <w:i/>
        </w:rPr>
        <w:t xml:space="preserve">Access </w:t>
      </w:r>
      <w:r>
        <w:rPr>
          <w:i/>
        </w:rPr>
        <w:t>a</w:t>
      </w:r>
      <w:r w:rsidRPr="00E14E22">
        <w:rPr>
          <w:i/>
        </w:rPr>
        <w:t xml:space="preserve">rrangement </w:t>
      </w:r>
      <w:r>
        <w:rPr>
          <w:i/>
        </w:rPr>
        <w:t>i</w:t>
      </w:r>
      <w:r w:rsidRPr="00E14E22">
        <w:rPr>
          <w:i/>
        </w:rPr>
        <w:t>nformation</w:t>
      </w:r>
      <w:r>
        <w:t>,</w:t>
      </w:r>
      <w:r w:rsidRPr="00007A3F">
        <w:t xml:space="preserve"> </w:t>
      </w:r>
      <w:r>
        <w:t>June</w:t>
      </w:r>
      <w:r w:rsidRPr="00007A3F">
        <w:t xml:space="preserve"> 2015</w:t>
      </w:r>
      <w:r>
        <w:t>,</w:t>
      </w:r>
      <w:r w:rsidRPr="000A5673">
        <w:t xml:space="preserve"> Attachment </w:t>
      </w:r>
      <w:r>
        <w:t xml:space="preserve">6.04.1 – CONFIDENTIAL - CapexForecastModel.xls; ActewAGL, </w:t>
      </w:r>
      <w:r w:rsidRPr="00E30A5A">
        <w:t>Access arrangement information</w:t>
      </w:r>
      <w:r>
        <w:t>,</w:t>
      </w:r>
      <w:r w:rsidRPr="00007A3F">
        <w:t xml:space="preserve"> </w:t>
      </w:r>
      <w:r>
        <w:t>January 2016,</w:t>
      </w:r>
      <w:r w:rsidRPr="000A5673">
        <w:t xml:space="preserve"> Attachment </w:t>
      </w:r>
      <w:r>
        <w:t>6.01.01 – CONFIDENTIAL - CapexForecastModel.xls.</w:t>
      </w:r>
      <w:proofErr w:type="gramEnd"/>
    </w:p>
  </w:footnote>
  <w:footnote w:id="25">
    <w:p w:rsidR="000F7027" w:rsidRDefault="000F7027" w:rsidP="00A02961">
      <w:pPr>
        <w:pStyle w:val="FootnoteText"/>
      </w:pPr>
      <w:r>
        <w:rPr>
          <w:rStyle w:val="FootnoteReference"/>
        </w:rPr>
        <w:footnoteRef/>
      </w:r>
      <w:r>
        <w:t xml:space="preserve"> </w:t>
      </w:r>
      <w:r>
        <w:tab/>
        <w:t>NGR, r. 79(1</w:t>
      </w:r>
      <w:proofErr w:type="gramStart"/>
      <w:r>
        <w:t>)(</w:t>
      </w:r>
      <w:proofErr w:type="gramEnd"/>
      <w:r>
        <w:t xml:space="preserve">a). </w:t>
      </w:r>
    </w:p>
  </w:footnote>
  <w:footnote w:id="26">
    <w:p w:rsidR="000F7027" w:rsidRDefault="000F7027" w:rsidP="00A02961">
      <w:pPr>
        <w:pStyle w:val="FootnoteText"/>
      </w:pPr>
      <w:r>
        <w:rPr>
          <w:rStyle w:val="FootnoteReference"/>
        </w:rPr>
        <w:footnoteRef/>
      </w:r>
      <w:r>
        <w:t xml:space="preserve"> </w:t>
      </w:r>
      <w:r>
        <w:tab/>
        <w:t xml:space="preserve">AER, </w:t>
      </w:r>
      <w:r w:rsidRPr="00963704">
        <w:rPr>
          <w:rStyle w:val="AERtextitalic"/>
        </w:rPr>
        <w:t>Better Regulation: Expenditure Forecast Assessment Guideline for Electricity Distribution</w:t>
      </w:r>
      <w:r>
        <w:t xml:space="preserve">, </w:t>
      </w:r>
      <w:r w:rsidRPr="000D0C7C">
        <w:t>November 2013</w:t>
      </w:r>
      <w:r>
        <w:t>, pp. 9–10.</w:t>
      </w:r>
    </w:p>
  </w:footnote>
  <w:footnote w:id="27">
    <w:p w:rsidR="000F7027" w:rsidRDefault="000F7027" w:rsidP="00A02961">
      <w:pPr>
        <w:pStyle w:val="FootnoteText"/>
      </w:pPr>
      <w:r>
        <w:rPr>
          <w:rStyle w:val="FootnoteReference"/>
        </w:rPr>
        <w:footnoteRef/>
      </w:r>
      <w:r>
        <w:t xml:space="preserve"> </w:t>
      </w:r>
      <w:r>
        <w:tab/>
      </w:r>
      <w:proofErr w:type="gramStart"/>
      <w:r>
        <w:t>NGR, r. 71(1).</w:t>
      </w:r>
      <w:proofErr w:type="gramEnd"/>
    </w:p>
  </w:footnote>
  <w:footnote w:id="28">
    <w:p w:rsidR="000F7027" w:rsidRDefault="000F7027" w:rsidP="00A02961">
      <w:pPr>
        <w:pStyle w:val="FootnoteText"/>
      </w:pPr>
      <w:r>
        <w:rPr>
          <w:rStyle w:val="FootnoteReference"/>
        </w:rPr>
        <w:footnoteRef/>
      </w:r>
      <w:r>
        <w:t xml:space="preserve"> </w:t>
      </w:r>
      <w:r>
        <w:tab/>
      </w:r>
      <w:proofErr w:type="gramStart"/>
      <w:r>
        <w:t>NGR, r. 71(1).</w:t>
      </w:r>
      <w:proofErr w:type="gramEnd"/>
    </w:p>
  </w:footnote>
  <w:footnote w:id="29">
    <w:p w:rsidR="000F7027" w:rsidRDefault="000F7027" w:rsidP="00734A70">
      <w:pPr>
        <w:pStyle w:val="FootnoteText"/>
      </w:pPr>
      <w:r>
        <w:rPr>
          <w:rStyle w:val="FootnoteReference"/>
        </w:rPr>
        <w:footnoteRef/>
      </w:r>
      <w:r>
        <w:t xml:space="preserve"> </w:t>
      </w:r>
      <w:r>
        <w:tab/>
      </w:r>
      <w:proofErr w:type="spellStart"/>
      <w:r>
        <w:t>Sleeman</w:t>
      </w:r>
      <w:proofErr w:type="spellEnd"/>
      <w:r>
        <w:t xml:space="preserve"> Consulting, </w:t>
      </w:r>
      <w:r w:rsidRPr="0024187F">
        <w:rPr>
          <w:rStyle w:val="AERtextitalic"/>
        </w:rPr>
        <w:t>ActewAGL access arrangement 2016–21: Review of capex forecasts for selected projects</w:t>
      </w:r>
      <w:r>
        <w:t xml:space="preserve">, 18 November 2015; </w:t>
      </w:r>
      <w:proofErr w:type="spellStart"/>
      <w:r>
        <w:t>Sleeman</w:t>
      </w:r>
      <w:proofErr w:type="spellEnd"/>
      <w:r>
        <w:t xml:space="preserve"> Consulting, </w:t>
      </w:r>
      <w:r w:rsidRPr="0024187F">
        <w:rPr>
          <w:rStyle w:val="AERtextitalic"/>
        </w:rPr>
        <w:t xml:space="preserve">ActewAGL access arrangement 2016–21: </w:t>
      </w:r>
      <w:r>
        <w:rPr>
          <w:rStyle w:val="AERtextitalic"/>
        </w:rPr>
        <w:t>Comments on ActewAGL response to the AER's draft decision</w:t>
      </w:r>
      <w:r>
        <w:t>, 28 March</w:t>
      </w:r>
      <w:r w:rsidRPr="00734A70">
        <w:rPr>
          <w:rStyle w:val="AERtexthighlight"/>
          <w:shd w:val="clear" w:color="auto" w:fill="auto"/>
        </w:rPr>
        <w:t xml:space="preserve"> 2016</w:t>
      </w:r>
      <w:r w:rsidRPr="00734A70">
        <w:t>.</w:t>
      </w:r>
    </w:p>
  </w:footnote>
  <w:footnote w:id="30">
    <w:p w:rsidR="000F7027" w:rsidRDefault="000F7027">
      <w:pPr>
        <w:pStyle w:val="FootnoteText"/>
      </w:pPr>
      <w:r>
        <w:rPr>
          <w:rStyle w:val="FootnoteReference"/>
        </w:rPr>
        <w:footnoteRef/>
      </w:r>
      <w:r>
        <w:t xml:space="preserve"> </w:t>
      </w:r>
      <w:r>
        <w:tab/>
        <w:t>ActewAGL,</w:t>
      </w:r>
      <w:r w:rsidRPr="00734A70">
        <w:rPr>
          <w:rStyle w:val="AERtextitalic"/>
        </w:rPr>
        <w:t xml:space="preserve"> 2016–20 access arrangement </w:t>
      </w:r>
      <w:proofErr w:type="gramStart"/>
      <w:r w:rsidRPr="00734A70">
        <w:rPr>
          <w:rStyle w:val="AERtextitalic"/>
        </w:rPr>
        <w:t>period</w:t>
      </w:r>
      <w:proofErr w:type="gramEnd"/>
      <w:r w:rsidRPr="00734A70">
        <w:rPr>
          <w:rStyle w:val="AERtextitalic"/>
        </w:rPr>
        <w:t>: Attachment 6: Capital expenditure,</w:t>
      </w:r>
      <w:r>
        <w:t xml:space="preserve"> June 2015, p. 18. </w:t>
      </w:r>
    </w:p>
  </w:footnote>
  <w:footnote w:id="31">
    <w:p w:rsidR="000F7027" w:rsidRDefault="000F7027" w:rsidP="00CB0C82">
      <w:pPr>
        <w:pStyle w:val="FootnoteText"/>
      </w:pPr>
      <w:r>
        <w:rPr>
          <w:rStyle w:val="FootnoteReference"/>
        </w:rPr>
        <w:footnoteRef/>
      </w:r>
      <w:r>
        <w:t xml:space="preserve"> </w:t>
      </w:r>
      <w:r>
        <w:tab/>
        <w:t>ActewAGL,</w:t>
      </w:r>
      <w:r w:rsidRPr="00891526">
        <w:rPr>
          <w:rStyle w:val="AERtextitalic"/>
        </w:rPr>
        <w:t xml:space="preserve"> 2016–20 access arrangement </w:t>
      </w:r>
      <w:proofErr w:type="gramStart"/>
      <w:r w:rsidRPr="00891526">
        <w:rPr>
          <w:rStyle w:val="AERtextitalic"/>
        </w:rPr>
        <w:t>period</w:t>
      </w:r>
      <w:proofErr w:type="gramEnd"/>
      <w:r w:rsidRPr="00891526">
        <w:rPr>
          <w:rStyle w:val="AERtextitalic"/>
        </w:rPr>
        <w:t>: Attachment 6: Capital expenditure,</w:t>
      </w:r>
      <w:r>
        <w:t xml:space="preserve"> June 2015, p. 22. </w:t>
      </w:r>
    </w:p>
  </w:footnote>
  <w:footnote w:id="32">
    <w:p w:rsidR="000F7027" w:rsidRDefault="000F7027" w:rsidP="00E02841">
      <w:pPr>
        <w:pStyle w:val="FootnoteText"/>
      </w:pPr>
      <w:r>
        <w:rPr>
          <w:rStyle w:val="FootnoteReference"/>
        </w:rPr>
        <w:footnoteRef/>
      </w:r>
      <w:r>
        <w:t xml:space="preserve"> </w:t>
      </w:r>
      <w:r>
        <w:tab/>
        <w:t>ActewAGL,</w:t>
      </w:r>
      <w:r w:rsidRPr="00891526">
        <w:rPr>
          <w:rStyle w:val="AERtextitalic"/>
        </w:rPr>
        <w:t xml:space="preserve"> 2016–20 access arrangement </w:t>
      </w:r>
      <w:proofErr w:type="gramStart"/>
      <w:r w:rsidRPr="00891526">
        <w:rPr>
          <w:rStyle w:val="AERtextitalic"/>
        </w:rPr>
        <w:t>period</w:t>
      </w:r>
      <w:proofErr w:type="gramEnd"/>
      <w:r w:rsidRPr="00891526">
        <w:rPr>
          <w:rStyle w:val="AERtextitalic"/>
        </w:rPr>
        <w:t>: Attachment 6: Capital expenditure,</w:t>
      </w:r>
      <w:r>
        <w:t xml:space="preserve"> June 2015, pp. 28–29. GIS refers to Geographic Information System.</w:t>
      </w:r>
    </w:p>
  </w:footnote>
  <w:footnote w:id="33">
    <w:p w:rsidR="000F7027" w:rsidRDefault="000F7027" w:rsidP="00347B08">
      <w:pPr>
        <w:pStyle w:val="FootnoteText"/>
      </w:pPr>
      <w:r>
        <w:rPr>
          <w:rStyle w:val="FootnoteReference"/>
        </w:rPr>
        <w:footnoteRef/>
      </w:r>
      <w:r>
        <w:t xml:space="preserve"> </w:t>
      </w:r>
      <w:r>
        <w:tab/>
        <w:t xml:space="preserve">CCP, </w:t>
      </w:r>
      <w:r w:rsidRPr="00347B08">
        <w:rPr>
          <w:rStyle w:val="AERtextitalic"/>
        </w:rPr>
        <w:t>Advice to the AER from CCP sub-panel 8 regarding the AER draft decision and ActewAGL's revised access arrangement 2016–21 proposal,</w:t>
      </w:r>
      <w:r>
        <w:t xml:space="preserve"> March 2016, p. 3. </w:t>
      </w:r>
    </w:p>
  </w:footnote>
  <w:footnote w:id="34">
    <w:p w:rsidR="000F7027" w:rsidRDefault="000F7027" w:rsidP="00347B08">
      <w:pPr>
        <w:pStyle w:val="FootnoteText"/>
      </w:pPr>
      <w:r>
        <w:rPr>
          <w:rStyle w:val="FootnoteReference"/>
        </w:rPr>
        <w:footnoteRef/>
      </w:r>
      <w:r>
        <w:t xml:space="preserve"> </w:t>
      </w:r>
      <w:r>
        <w:tab/>
        <w:t xml:space="preserve">Sutherland, P, </w:t>
      </w:r>
      <w:r w:rsidRPr="00347B08">
        <w:rPr>
          <w:rStyle w:val="AERtextitalic"/>
        </w:rPr>
        <w:t>Response to the AER draft decision, ActewAGL distribution access arrangement 2016–21,</w:t>
      </w:r>
      <w:r>
        <w:t xml:space="preserve"> 4 February 2016, p. 1. </w:t>
      </w:r>
    </w:p>
  </w:footnote>
  <w:footnote w:id="35">
    <w:p w:rsidR="000F7027" w:rsidRDefault="000F7027" w:rsidP="001D461C">
      <w:pPr>
        <w:pStyle w:val="FootnoteText"/>
      </w:pPr>
      <w:r>
        <w:rPr>
          <w:rStyle w:val="FootnoteReference"/>
        </w:rPr>
        <w:footnoteRef/>
      </w:r>
      <w:r>
        <w:t xml:space="preserve"> </w:t>
      </w:r>
      <w:r>
        <w:tab/>
      </w:r>
      <w:proofErr w:type="gramStart"/>
      <w:r>
        <w:t>NGR r. 119S for basic and standard connections and NGR r. 119V for negotiated connections.</w:t>
      </w:r>
      <w:proofErr w:type="gramEnd"/>
    </w:p>
  </w:footnote>
  <w:footnote w:id="36">
    <w:p w:rsidR="000F7027" w:rsidRDefault="000F7027" w:rsidP="001D461C">
      <w:pPr>
        <w:pStyle w:val="FootnoteText"/>
      </w:pPr>
      <w:r>
        <w:rPr>
          <w:rStyle w:val="FootnoteReference"/>
        </w:rPr>
        <w:footnoteRef/>
      </w:r>
      <w:r>
        <w:t xml:space="preserve"> </w:t>
      </w:r>
      <w:r>
        <w:tab/>
        <w:t>Tariff V customers are residential and commercial/industrial customers who consume less than 10 TJ/year. Tariff D customers are major industrial customers who consume more than 10 TJ/year.</w:t>
      </w:r>
    </w:p>
  </w:footnote>
  <w:footnote w:id="37">
    <w:p w:rsidR="000F7027" w:rsidRDefault="000F7027" w:rsidP="001D461C">
      <w:pPr>
        <w:pStyle w:val="FootnoteText"/>
      </w:pPr>
      <w:r>
        <w:rPr>
          <w:rStyle w:val="FootnoteReference"/>
        </w:rPr>
        <w:footnoteRef/>
      </w:r>
      <w:r>
        <w:t xml:space="preserve"> </w:t>
      </w:r>
      <w:r>
        <w:tab/>
        <w:t>NGR r. 79(2</w:t>
      </w:r>
      <w:proofErr w:type="gramStart"/>
      <w:r>
        <w:t>)(</w:t>
      </w:r>
      <w:proofErr w:type="gramEnd"/>
      <w:r>
        <w:t>b).</w:t>
      </w:r>
    </w:p>
  </w:footnote>
  <w:footnote w:id="38">
    <w:p w:rsidR="000F7027" w:rsidRDefault="000F7027" w:rsidP="001D461C">
      <w:pPr>
        <w:pStyle w:val="FootnoteText"/>
      </w:pPr>
      <w:r>
        <w:rPr>
          <w:rStyle w:val="FootnoteReference"/>
        </w:rPr>
        <w:footnoteRef/>
      </w:r>
      <w:r>
        <w:t xml:space="preserve"> </w:t>
      </w:r>
      <w:r>
        <w:tab/>
        <w:t xml:space="preserve">ActewAGL </w:t>
      </w:r>
      <w:proofErr w:type="gramStart"/>
      <w:r>
        <w:t>Distribution,</w:t>
      </w:r>
      <w:proofErr w:type="gramEnd"/>
      <w:r>
        <w:t xml:space="preserve"> </w:t>
      </w:r>
      <w:r w:rsidRPr="006D14BC">
        <w:rPr>
          <w:rStyle w:val="AERtextitalic"/>
        </w:rPr>
        <w:t>Revised 2016-21 access arrangement proposal - Appendix 6.01.01 Capex Forecast Model-CONFIDENTIAL.xlsm</w:t>
      </w:r>
      <w:r>
        <w:t>, January 2016.</w:t>
      </w:r>
    </w:p>
  </w:footnote>
  <w:footnote w:id="39">
    <w:p w:rsidR="000F7027" w:rsidRDefault="000F7027" w:rsidP="001D461C">
      <w:pPr>
        <w:pStyle w:val="FootnoteText"/>
      </w:pPr>
      <w:r>
        <w:rPr>
          <w:rStyle w:val="FootnoteReference"/>
        </w:rPr>
        <w:footnoteRef/>
      </w:r>
      <w:r>
        <w:t xml:space="preserve"> </w:t>
      </w:r>
      <w:r>
        <w:tab/>
        <w:t>This includes the cost of meter data loggers (MDLs) with Tariff V residential medium density/high rise connections.</w:t>
      </w:r>
    </w:p>
  </w:footnote>
  <w:footnote w:id="40">
    <w:p w:rsidR="000F7027" w:rsidRDefault="000F7027" w:rsidP="001D461C">
      <w:pPr>
        <w:pStyle w:val="FootnoteText"/>
      </w:pPr>
      <w:r>
        <w:rPr>
          <w:rStyle w:val="FootnoteReference"/>
        </w:rPr>
        <w:footnoteRef/>
      </w:r>
      <w:r>
        <w:t xml:space="preserve"> </w:t>
      </w:r>
      <w:r>
        <w:tab/>
        <w:t xml:space="preserve">AER, </w:t>
      </w:r>
      <w:r w:rsidRPr="00945474">
        <w:rPr>
          <w:rStyle w:val="AERtextitalic"/>
        </w:rPr>
        <w:t>Draft Decision: ActewAGL Distribution Access Arrangement 2016–21, Attachment 6 - Capital Expenditure</w:t>
      </w:r>
      <w:r>
        <w:t>, November 2015, p. 6-23.</w:t>
      </w:r>
    </w:p>
  </w:footnote>
  <w:footnote w:id="41">
    <w:p w:rsidR="000F7027" w:rsidRDefault="000F7027" w:rsidP="001D461C">
      <w:pPr>
        <w:pStyle w:val="FootnoteText"/>
      </w:pPr>
      <w:r>
        <w:rPr>
          <w:rStyle w:val="FootnoteReference"/>
        </w:rPr>
        <w:footnoteRef/>
      </w:r>
      <w:r>
        <w:t xml:space="preserve"> </w:t>
      </w:r>
      <w:r>
        <w:tab/>
        <w:t xml:space="preserve">AER, </w:t>
      </w:r>
      <w:r w:rsidRPr="00945474">
        <w:rPr>
          <w:rStyle w:val="AERtextitalic"/>
        </w:rPr>
        <w:t>Draft Decision: ActewAGL Distribution Access Arrangement 2016–21, Attachment 6 - Capital Expenditure</w:t>
      </w:r>
      <w:r>
        <w:t>, November 2015, p. 6-24.</w:t>
      </w:r>
    </w:p>
  </w:footnote>
  <w:footnote w:id="42">
    <w:p w:rsidR="000F7027" w:rsidRDefault="000F7027" w:rsidP="001D461C">
      <w:pPr>
        <w:pStyle w:val="FootnoteText"/>
      </w:pPr>
      <w:r>
        <w:rPr>
          <w:rStyle w:val="FootnoteReference"/>
        </w:rPr>
        <w:footnoteRef/>
      </w:r>
      <w:r>
        <w:t xml:space="preserve"> </w:t>
      </w:r>
      <w:r>
        <w:tab/>
        <w:t xml:space="preserve">AER, </w:t>
      </w:r>
      <w:r w:rsidRPr="00945474">
        <w:rPr>
          <w:rStyle w:val="AERtextitalic"/>
        </w:rPr>
        <w:t>Draft Decision: ActewAGL Distribution Access Arrangement 2016–21, Attachment 6 - Capital Expenditure</w:t>
      </w:r>
      <w:r>
        <w:t>, November 2015, p. 6-24.</w:t>
      </w:r>
    </w:p>
  </w:footnote>
  <w:footnote w:id="43">
    <w:p w:rsidR="000F7027" w:rsidRDefault="000F7027" w:rsidP="001D461C">
      <w:pPr>
        <w:pStyle w:val="FootnoteText"/>
      </w:pPr>
      <w:r>
        <w:rPr>
          <w:rStyle w:val="FootnoteReference"/>
        </w:rPr>
        <w:footnoteRef/>
      </w:r>
      <w:r>
        <w:t xml:space="preserve"> </w:t>
      </w:r>
      <w:r>
        <w:tab/>
      </w:r>
      <w:r w:rsidRPr="008D4099">
        <w:t xml:space="preserve">AER, </w:t>
      </w:r>
      <w:r w:rsidRPr="008D4099">
        <w:rPr>
          <w:rStyle w:val="AERtextitalic"/>
        </w:rPr>
        <w:t>Draft Decision: ActewAGL Distribution Access Arrangement 2016–21, Attachment 6 - Capital Expenditure</w:t>
      </w:r>
      <w:r>
        <w:t>, November 2015, p. 6-25</w:t>
      </w:r>
      <w:r w:rsidRPr="008D4099">
        <w:t>.</w:t>
      </w:r>
    </w:p>
  </w:footnote>
  <w:footnote w:id="44">
    <w:p w:rsidR="000F7027" w:rsidRDefault="000F7027" w:rsidP="001D461C">
      <w:pPr>
        <w:pStyle w:val="FootnoteText"/>
      </w:pPr>
      <w:r>
        <w:rPr>
          <w:rStyle w:val="FootnoteReference"/>
        </w:rPr>
        <w:footnoteRef/>
      </w:r>
      <w:r>
        <w:t xml:space="preserve"> </w:t>
      </w:r>
      <w:r>
        <w:tab/>
      </w:r>
      <w:r w:rsidRPr="008D4099">
        <w:t xml:space="preserve">AER, </w:t>
      </w:r>
      <w:r w:rsidRPr="008D4099">
        <w:rPr>
          <w:rStyle w:val="AERtextitalic"/>
        </w:rPr>
        <w:t>Draft Decision: ActewAGL Distribution Access Arrangement 2016–21, Attachment 6 - Capital Expenditure</w:t>
      </w:r>
      <w:r>
        <w:t>, November 2015, p. 6-25</w:t>
      </w:r>
      <w:r w:rsidRPr="008D4099">
        <w:t>.</w:t>
      </w:r>
    </w:p>
  </w:footnote>
  <w:footnote w:id="45">
    <w:p w:rsidR="000F7027" w:rsidRDefault="000F7027" w:rsidP="001D461C">
      <w:pPr>
        <w:pStyle w:val="FootnoteText"/>
      </w:pPr>
      <w:r>
        <w:rPr>
          <w:rStyle w:val="FootnoteReference"/>
        </w:rPr>
        <w:footnoteRef/>
      </w:r>
      <w:r>
        <w:t xml:space="preserve"> </w:t>
      </w:r>
      <w:r>
        <w:tab/>
      </w:r>
      <w:proofErr w:type="gramStart"/>
      <w:r w:rsidRPr="008D4099">
        <w:t xml:space="preserve">ActewAGL Distribution, </w:t>
      </w:r>
      <w:r w:rsidRPr="008D4099">
        <w:rPr>
          <w:rStyle w:val="AERtextitalic"/>
        </w:rPr>
        <w:t>Response to the AER's draft decision -2016-21 ACT, Queanbeyan and Palerang Gas Network Access Arrangement</w:t>
      </w:r>
      <w:r w:rsidRPr="008D4099">
        <w:t xml:space="preserve">, 6 January 2016, </w:t>
      </w:r>
      <w:r>
        <w:t>p. 48</w:t>
      </w:r>
      <w:r w:rsidRPr="008D4099">
        <w:t>.</w:t>
      </w:r>
      <w:proofErr w:type="gramEnd"/>
    </w:p>
  </w:footnote>
  <w:footnote w:id="46">
    <w:p w:rsidR="000F7027" w:rsidRDefault="000F7027" w:rsidP="001D461C">
      <w:pPr>
        <w:pStyle w:val="FootnoteText"/>
      </w:pPr>
      <w:r>
        <w:rPr>
          <w:rStyle w:val="FootnoteReference"/>
        </w:rPr>
        <w:footnoteRef/>
      </w:r>
      <w:r>
        <w:t xml:space="preserve"> </w:t>
      </w:r>
      <w:r>
        <w:tab/>
      </w:r>
      <w:proofErr w:type="gramStart"/>
      <w:r w:rsidRPr="00D6541A">
        <w:t xml:space="preserve">ActewAGL Distribution, </w:t>
      </w:r>
      <w:r w:rsidRPr="00D6541A">
        <w:rPr>
          <w:rStyle w:val="AERtextitalic"/>
        </w:rPr>
        <w:t>Response to the AER's draft decision -2016-21 ACT, Queanbeyan and Palerang Gas Network Access Arrangement</w:t>
      </w:r>
      <w:r w:rsidRPr="00D6541A">
        <w:t xml:space="preserve">, 6 January 2016, pp. </w:t>
      </w:r>
      <w:r>
        <w:t>49–50</w:t>
      </w:r>
      <w:r w:rsidRPr="00D6541A">
        <w:t>.</w:t>
      </w:r>
      <w:proofErr w:type="gramEnd"/>
    </w:p>
  </w:footnote>
  <w:footnote w:id="47">
    <w:p w:rsidR="000F7027" w:rsidRDefault="000F7027" w:rsidP="001D461C">
      <w:pPr>
        <w:pStyle w:val="FootnoteText"/>
      </w:pPr>
      <w:r>
        <w:rPr>
          <w:rStyle w:val="FootnoteReference"/>
        </w:rPr>
        <w:footnoteRef/>
      </w:r>
      <w:r>
        <w:t xml:space="preserve"> </w:t>
      </w:r>
      <w:r>
        <w:tab/>
      </w:r>
      <w:proofErr w:type="gramStart"/>
      <w:r w:rsidRPr="007235BE">
        <w:t xml:space="preserve">ActewAGL Distribution, </w:t>
      </w:r>
      <w:r w:rsidRPr="007235BE">
        <w:rPr>
          <w:rStyle w:val="AERtextitalic"/>
        </w:rPr>
        <w:t>Response to the AER's draft decision -2016-21 ACT, Queanbeyan and Palerang Gas Network Access Arrangement</w:t>
      </w:r>
      <w:r w:rsidRPr="007235BE">
        <w:t xml:space="preserve">, 6 January 2016, </w:t>
      </w:r>
      <w:r>
        <w:t>p. 50</w:t>
      </w:r>
      <w:r w:rsidRPr="007235BE">
        <w:t>.</w:t>
      </w:r>
      <w:proofErr w:type="gramEnd"/>
    </w:p>
  </w:footnote>
  <w:footnote w:id="48">
    <w:p w:rsidR="000F7027" w:rsidRDefault="000F7027" w:rsidP="001D461C">
      <w:pPr>
        <w:pStyle w:val="FootnoteText"/>
      </w:pPr>
      <w:r>
        <w:rPr>
          <w:rStyle w:val="FootnoteReference"/>
        </w:rPr>
        <w:footnoteRef/>
      </w:r>
      <w:r>
        <w:t xml:space="preserve"> </w:t>
      </w:r>
      <w:r>
        <w:tab/>
      </w:r>
      <w:proofErr w:type="gramStart"/>
      <w:r>
        <w:t>ActewAGL Distribution, Response to AER information request 050 [email to AER], 12 February 2016, p. 4.</w:t>
      </w:r>
      <w:proofErr w:type="gramEnd"/>
    </w:p>
  </w:footnote>
  <w:footnote w:id="49">
    <w:p w:rsidR="000F7027" w:rsidRDefault="000F7027" w:rsidP="001D461C">
      <w:pPr>
        <w:pStyle w:val="FootnoteText"/>
      </w:pPr>
      <w:r>
        <w:rPr>
          <w:rStyle w:val="FootnoteReference"/>
        </w:rPr>
        <w:footnoteRef/>
      </w:r>
      <w:r>
        <w:t xml:space="preserve"> </w:t>
      </w:r>
      <w:r>
        <w:tab/>
      </w:r>
      <w:r w:rsidRPr="006E4F86">
        <w:t>HIA is a private-sector industry association comprising mainly house construction contractors. HIA forecasts have been used by the industry since 1984</w:t>
      </w:r>
      <w:r>
        <w:t xml:space="preserve">: see </w:t>
      </w:r>
      <w:r w:rsidRPr="004A42B3">
        <w:t xml:space="preserve">Mills, Anthony and Harris, David and </w:t>
      </w:r>
      <w:proofErr w:type="spellStart"/>
      <w:r w:rsidRPr="004A42B3">
        <w:t>Skitmore</w:t>
      </w:r>
      <w:proofErr w:type="spellEnd"/>
      <w:r w:rsidRPr="004A42B3">
        <w:t xml:space="preserve">, Martin R, </w:t>
      </w:r>
      <w:r w:rsidRPr="004E3ADD">
        <w:rPr>
          <w:rStyle w:val="Emphasis"/>
        </w:rPr>
        <w:t>The Accuracy of Housing Forecasting in Australia</w:t>
      </w:r>
      <w:r w:rsidRPr="004A42B3">
        <w:t xml:space="preserve">, Engineering Construction and Architectural, Management 10(4), 2003, pp. 245-253. </w:t>
      </w:r>
      <w:proofErr w:type="gramStart"/>
      <w:r w:rsidRPr="004A42B3">
        <w:t xml:space="preserve">Accessed from: </w:t>
      </w:r>
      <w:hyperlink r:id="rId1" w:history="1">
        <w:r w:rsidR="00497243" w:rsidRPr="00750F0A">
          <w:rPr>
            <w:rStyle w:val="Hyperlink"/>
            <w:sz w:val="16"/>
          </w:rPr>
          <w:t>http://eprints.qut.edu.au/archive/00004441/</w:t>
        </w:r>
      </w:hyperlink>
      <w:r w:rsidRPr="004A42B3">
        <w:t>.</w:t>
      </w:r>
      <w:proofErr w:type="gramEnd"/>
      <w:r w:rsidRPr="004A42B3">
        <w:t xml:space="preserve"> </w:t>
      </w:r>
      <w:r>
        <w:t xml:space="preserve"> </w:t>
      </w:r>
    </w:p>
  </w:footnote>
  <w:footnote w:id="50">
    <w:p w:rsidR="000F7027" w:rsidRDefault="000F7027" w:rsidP="001D461C">
      <w:pPr>
        <w:pStyle w:val="FootnoteText"/>
      </w:pPr>
      <w:r>
        <w:rPr>
          <w:rStyle w:val="FootnoteReference"/>
        </w:rPr>
        <w:footnoteRef/>
      </w:r>
      <w:r>
        <w:t xml:space="preserve"> </w:t>
      </w:r>
      <w:r>
        <w:tab/>
      </w:r>
      <w:r w:rsidRPr="00980AA1">
        <w:t xml:space="preserve">ActewAGL Distribution, </w:t>
      </w:r>
      <w:r w:rsidRPr="00980AA1">
        <w:rPr>
          <w:rStyle w:val="AERtextitalic"/>
        </w:rPr>
        <w:t>Response to the AER's draft decision -2016-21 ACT, Queanbeyan and Palerang Gas Network Access Arrangement</w:t>
      </w:r>
      <w:r w:rsidRPr="00980AA1">
        <w:t xml:space="preserve">, 6 January 2016, </w:t>
      </w:r>
      <w:r>
        <w:t xml:space="preserve">p. 51; ActewAGL Distribution, </w:t>
      </w:r>
      <w:r w:rsidRPr="00980AA1">
        <w:rPr>
          <w:rStyle w:val="AERtextitalic"/>
        </w:rPr>
        <w:t>Revised 2016-21 access arrangement proposal - Appendix 6.01.02 ME unit rates model-CONFIDENTIAL.xlsx</w:t>
      </w:r>
      <w:r>
        <w:t>, January 2016.</w:t>
      </w:r>
    </w:p>
  </w:footnote>
  <w:footnote w:id="51">
    <w:p w:rsidR="000F7027" w:rsidRDefault="000F7027" w:rsidP="001D461C">
      <w:pPr>
        <w:pStyle w:val="FootnoteText"/>
      </w:pPr>
      <w:r>
        <w:rPr>
          <w:rStyle w:val="FootnoteReference"/>
        </w:rPr>
        <w:footnoteRef/>
      </w:r>
      <w:r>
        <w:t xml:space="preserve"> </w:t>
      </w:r>
      <w:r>
        <w:tab/>
        <w:t>ActewAGL Distribution, Access Arrangement Information for the 2016–21 ACT, Queanbeyan and Palerang Access Arrangement: Attachment 6: Capital expenditure, June 2015, p. 45.</w:t>
      </w:r>
    </w:p>
  </w:footnote>
  <w:footnote w:id="52">
    <w:p w:rsidR="000F7027" w:rsidRDefault="000F7027" w:rsidP="001D461C">
      <w:pPr>
        <w:pStyle w:val="FootnoteText"/>
      </w:pPr>
      <w:r>
        <w:rPr>
          <w:rStyle w:val="FootnoteReference"/>
        </w:rPr>
        <w:footnoteRef/>
      </w:r>
      <w:r>
        <w:t xml:space="preserve"> </w:t>
      </w:r>
      <w:r>
        <w:tab/>
      </w:r>
      <w:r w:rsidRPr="00A07280">
        <w:t xml:space="preserve">AER, </w:t>
      </w:r>
      <w:r w:rsidRPr="00A07280">
        <w:rPr>
          <w:rStyle w:val="AERtextitalic"/>
        </w:rPr>
        <w:t>Draft Decision: ActewAGL Distribution Access Arrangement 2016–21, Attachment 6 - Capital Expenditure</w:t>
      </w:r>
      <w:r w:rsidRPr="00A07280">
        <w:t xml:space="preserve">, </w:t>
      </w:r>
      <w:r>
        <w:t xml:space="preserve">November 2015, </w:t>
      </w:r>
      <w:r w:rsidRPr="00A07280">
        <w:t>p. </w:t>
      </w:r>
      <w:r>
        <w:t>6-26</w:t>
      </w:r>
      <w:r w:rsidRPr="00A07280">
        <w:t>.</w:t>
      </w:r>
    </w:p>
  </w:footnote>
  <w:footnote w:id="53">
    <w:p w:rsidR="000F7027" w:rsidRDefault="000F7027" w:rsidP="001D461C">
      <w:pPr>
        <w:pStyle w:val="FootnoteText"/>
      </w:pPr>
      <w:r>
        <w:rPr>
          <w:rStyle w:val="FootnoteReference"/>
        </w:rPr>
        <w:footnoteRef/>
      </w:r>
      <w:r>
        <w:t xml:space="preserve"> </w:t>
      </w:r>
      <w:r>
        <w:tab/>
        <w:t xml:space="preserve">ActewAGL Distribution, </w:t>
      </w:r>
      <w:r w:rsidRPr="00A07280">
        <w:rPr>
          <w:rStyle w:val="AERtextitalic"/>
        </w:rPr>
        <w:t>Revised 2016-21 access arrangement proposal - Appendix 6.01.02 ME unit rates model-CONFIDENTIAL.xlsx</w:t>
      </w:r>
      <w:r>
        <w:t>, January 2016.  ActewAGL Distribution,</w:t>
      </w:r>
      <w:r w:rsidRPr="008D14E8">
        <w:rPr>
          <w:rStyle w:val="AERtextitalic"/>
        </w:rPr>
        <w:t xml:space="preserve"> ActewAGL </w:t>
      </w:r>
      <w:r>
        <w:rPr>
          <w:rStyle w:val="AERtextitalic"/>
        </w:rPr>
        <w:t>Distribution response to AER information r</w:t>
      </w:r>
      <w:r w:rsidRPr="008D14E8">
        <w:rPr>
          <w:rStyle w:val="AERtextitalic"/>
        </w:rPr>
        <w:t>equest 048</w:t>
      </w:r>
      <w:r>
        <w:t xml:space="preserve">, 8 February 2016, pp. 2-3. </w:t>
      </w:r>
    </w:p>
  </w:footnote>
  <w:footnote w:id="54">
    <w:p w:rsidR="000F7027" w:rsidRDefault="000F7027" w:rsidP="001D461C">
      <w:pPr>
        <w:pStyle w:val="FootnoteText"/>
      </w:pPr>
      <w:r>
        <w:rPr>
          <w:rStyle w:val="FootnoteReference"/>
        </w:rPr>
        <w:footnoteRef/>
      </w:r>
      <w:r>
        <w:t xml:space="preserve"> </w:t>
      </w:r>
      <w:r>
        <w:tab/>
      </w:r>
      <w:r w:rsidRPr="00011706">
        <w:t>ActewAGL</w:t>
      </w:r>
      <w:r>
        <w:t xml:space="preserve"> Distribution</w:t>
      </w:r>
      <w:r w:rsidRPr="00011706">
        <w:t xml:space="preserve">, </w:t>
      </w:r>
      <w:proofErr w:type="gramStart"/>
      <w:r w:rsidRPr="00011706">
        <w:rPr>
          <w:rStyle w:val="AERtextitalic"/>
        </w:rPr>
        <w:t>2016–21 Access Arrangement Information</w:t>
      </w:r>
      <w:r w:rsidRPr="00011706">
        <w:t>, June 2015</w:t>
      </w:r>
      <w:proofErr w:type="gramEnd"/>
      <w:r w:rsidRPr="00011706">
        <w:t>, 6.04.2-CONFIDENTIAL-MarketExpansionUnitRatesModel.xls, tab ‘</w:t>
      </w:r>
      <w:proofErr w:type="spellStart"/>
      <w:r w:rsidRPr="00011706">
        <w:t>Input|Rates</w:t>
      </w:r>
      <w:proofErr w:type="spellEnd"/>
      <w:r w:rsidRPr="00011706">
        <w:t>’ cells I167, I171, I173.</w:t>
      </w:r>
    </w:p>
  </w:footnote>
  <w:footnote w:id="55">
    <w:p w:rsidR="000F7027" w:rsidRDefault="000F7027" w:rsidP="001D461C">
      <w:pPr>
        <w:pStyle w:val="FootnoteText"/>
      </w:pPr>
      <w:r>
        <w:rPr>
          <w:rStyle w:val="FootnoteReference"/>
        </w:rPr>
        <w:footnoteRef/>
      </w:r>
      <w:r>
        <w:t xml:space="preserve"> </w:t>
      </w:r>
      <w:r>
        <w:tab/>
      </w:r>
      <w:r w:rsidRPr="00011706">
        <w:t xml:space="preserve">AER, </w:t>
      </w:r>
      <w:r w:rsidRPr="00011706">
        <w:rPr>
          <w:rStyle w:val="AERtextitalic"/>
        </w:rPr>
        <w:t>Draft Decision: ActewAGL Distribution Access Arrangement 2016–21, Attachment 6 - Capital Expenditure</w:t>
      </w:r>
      <w:r w:rsidRPr="00011706">
        <w:t xml:space="preserve">, </w:t>
      </w:r>
      <w:r>
        <w:t xml:space="preserve">November 2015, </w:t>
      </w:r>
      <w:r w:rsidRPr="00011706">
        <w:t>p. </w:t>
      </w:r>
      <w:r>
        <w:t>6-27</w:t>
      </w:r>
      <w:r w:rsidRPr="00011706">
        <w:t>.</w:t>
      </w:r>
    </w:p>
  </w:footnote>
  <w:footnote w:id="56">
    <w:p w:rsidR="000F7027" w:rsidRDefault="000F7027" w:rsidP="001D461C">
      <w:pPr>
        <w:pStyle w:val="FootnoteText"/>
      </w:pPr>
      <w:r>
        <w:rPr>
          <w:rStyle w:val="FootnoteReference"/>
        </w:rPr>
        <w:footnoteRef/>
      </w:r>
      <w:r>
        <w:t xml:space="preserve"> </w:t>
      </w:r>
      <w:r>
        <w:tab/>
      </w:r>
      <w:r w:rsidRPr="00DF7E13">
        <w:t xml:space="preserve">ActewAGL </w:t>
      </w:r>
      <w:proofErr w:type="gramStart"/>
      <w:r w:rsidRPr="00DF7E13">
        <w:t>Distribution</w:t>
      </w:r>
      <w:r>
        <w:t>,</w:t>
      </w:r>
      <w:proofErr w:type="gramEnd"/>
      <w:r w:rsidRPr="00DF7E13">
        <w:t xml:space="preserve"> </w:t>
      </w:r>
      <w:r w:rsidRPr="00DF7E13">
        <w:rPr>
          <w:rStyle w:val="AERtextitalic"/>
        </w:rPr>
        <w:t>Revised 2016-21 access arrangement proposal - Appendix 6.07 Hot Water Meters Approach-CONFIDENTIAL</w:t>
      </w:r>
      <w:r>
        <w:t>, January 2016.</w:t>
      </w:r>
    </w:p>
  </w:footnote>
  <w:footnote w:id="57">
    <w:p w:rsidR="000F7027" w:rsidRDefault="000F7027" w:rsidP="001D461C">
      <w:pPr>
        <w:pStyle w:val="FootnoteText"/>
      </w:pPr>
      <w:r>
        <w:rPr>
          <w:rStyle w:val="FootnoteReference"/>
        </w:rPr>
        <w:footnoteRef/>
      </w:r>
      <w:r>
        <w:t xml:space="preserve"> </w:t>
      </w:r>
      <w:r>
        <w:tab/>
      </w:r>
      <w:r w:rsidRPr="00F841C9">
        <w:t xml:space="preserve">ActewAGL, </w:t>
      </w:r>
      <w:r w:rsidRPr="00F841C9">
        <w:rPr>
          <w:rStyle w:val="AERtextitalic"/>
        </w:rPr>
        <w:t>ActewAGL Distribution response to AER ActewAGL 019 – construction management fee</w:t>
      </w:r>
      <w:r w:rsidRPr="00F841C9">
        <w:t>, 7 August 2015, question 3, p. 4.</w:t>
      </w:r>
    </w:p>
  </w:footnote>
  <w:footnote w:id="58">
    <w:p w:rsidR="000F7027" w:rsidRDefault="000F7027" w:rsidP="001D461C">
      <w:pPr>
        <w:pStyle w:val="FootnoteText"/>
      </w:pPr>
      <w:r>
        <w:rPr>
          <w:rStyle w:val="FootnoteReference"/>
        </w:rPr>
        <w:footnoteRef/>
      </w:r>
      <w:r>
        <w:t xml:space="preserve"> </w:t>
      </w:r>
      <w:r>
        <w:tab/>
      </w:r>
      <w:r w:rsidRPr="00F841C9">
        <w:t xml:space="preserve">AER, </w:t>
      </w:r>
      <w:r w:rsidRPr="00F841C9">
        <w:rPr>
          <w:rStyle w:val="AERtextitalic"/>
        </w:rPr>
        <w:t>Draft Decision: ActewAGL Distribution Access Arrangement 2016–21, Attachment 6 - Capital Expenditure</w:t>
      </w:r>
      <w:r w:rsidRPr="00F841C9">
        <w:t xml:space="preserve">, </w:t>
      </w:r>
      <w:r>
        <w:t xml:space="preserve">November 2015, </w:t>
      </w:r>
      <w:r w:rsidRPr="00F841C9">
        <w:t>p. 6-27.</w:t>
      </w:r>
    </w:p>
  </w:footnote>
  <w:footnote w:id="59">
    <w:p w:rsidR="000F7027" w:rsidRDefault="000F7027" w:rsidP="001D461C">
      <w:pPr>
        <w:pStyle w:val="FootnoteText"/>
      </w:pPr>
      <w:r>
        <w:rPr>
          <w:rStyle w:val="FootnoteReference"/>
        </w:rPr>
        <w:footnoteRef/>
      </w:r>
      <w:r>
        <w:t xml:space="preserve"> </w:t>
      </w:r>
      <w:r>
        <w:tab/>
      </w:r>
      <w:proofErr w:type="gramStart"/>
      <w:r>
        <w:t xml:space="preserve">ActewAGL Distribution, </w:t>
      </w:r>
      <w:r w:rsidRPr="00D9693D">
        <w:rPr>
          <w:rStyle w:val="AERtextitalic"/>
        </w:rPr>
        <w:t>Response to the AER's draft decision -2016-21 ACT, Queanbeyan and Palerang Gas Network Access Arrangement</w:t>
      </w:r>
      <w:r>
        <w:t xml:space="preserve">, </w:t>
      </w:r>
      <w:r w:rsidRPr="00D9693D">
        <w:t>6 January 2016</w:t>
      </w:r>
      <w:r>
        <w:t>, pp. 52-53.</w:t>
      </w:r>
      <w:proofErr w:type="gramEnd"/>
      <w:r>
        <w:t xml:space="preserve"> </w:t>
      </w:r>
    </w:p>
  </w:footnote>
  <w:footnote w:id="60">
    <w:p w:rsidR="000F7027" w:rsidRDefault="000F7027" w:rsidP="001D461C">
      <w:pPr>
        <w:pStyle w:val="FootnoteText"/>
      </w:pPr>
      <w:r>
        <w:rPr>
          <w:rStyle w:val="FootnoteReference"/>
        </w:rPr>
        <w:footnoteRef/>
      </w:r>
      <w:r>
        <w:t xml:space="preserve"> </w:t>
      </w:r>
      <w:r>
        <w:tab/>
      </w:r>
      <w:proofErr w:type="gramStart"/>
      <w:r w:rsidRPr="00D9693D">
        <w:t xml:space="preserve">ActewAGL Distribution, </w:t>
      </w:r>
      <w:r w:rsidRPr="00D9693D">
        <w:rPr>
          <w:rStyle w:val="AERtextitalic"/>
        </w:rPr>
        <w:t>Response to the AER's draft decision -2016-21 ACT, Queanbeyan and Palerang Gas Network Access Arrangement</w:t>
      </w:r>
      <w:r w:rsidRPr="00D9693D">
        <w:t>, 6 January 2016, p</w:t>
      </w:r>
      <w:r>
        <w:t>. 67</w:t>
      </w:r>
      <w:r w:rsidRPr="00D9693D">
        <w:t>.</w:t>
      </w:r>
      <w:proofErr w:type="gramEnd"/>
    </w:p>
  </w:footnote>
  <w:footnote w:id="61">
    <w:p w:rsidR="000F7027" w:rsidRDefault="000F7027" w:rsidP="001D461C">
      <w:pPr>
        <w:pStyle w:val="FootnoteText"/>
      </w:pPr>
      <w:r>
        <w:rPr>
          <w:rStyle w:val="FootnoteReference"/>
        </w:rPr>
        <w:footnoteRef/>
      </w:r>
      <w:r>
        <w:t xml:space="preserve"> </w:t>
      </w:r>
      <w:r>
        <w:tab/>
        <w:t xml:space="preserve">ActewAGL Distribution, </w:t>
      </w:r>
      <w:proofErr w:type="gramStart"/>
      <w:r w:rsidRPr="0074441F">
        <w:rPr>
          <w:rStyle w:val="AERtextitalic"/>
        </w:rPr>
        <w:t>2016–21 Access Arrangement Information</w:t>
      </w:r>
      <w:proofErr w:type="gramEnd"/>
      <w:r>
        <w:rPr>
          <w:rStyle w:val="AERtextitalic"/>
        </w:rPr>
        <w:t>: Attachment 6 Capital expenditure</w:t>
      </w:r>
      <w:r w:rsidRPr="0074441F">
        <w:t>, June 2015</w:t>
      </w:r>
      <w:r>
        <w:t>, p. 45.</w:t>
      </w:r>
    </w:p>
  </w:footnote>
  <w:footnote w:id="62">
    <w:p w:rsidR="000F7027" w:rsidRDefault="000F7027" w:rsidP="001D461C">
      <w:pPr>
        <w:pStyle w:val="FootnoteText"/>
      </w:pPr>
      <w:r>
        <w:rPr>
          <w:rStyle w:val="FootnoteReference"/>
        </w:rPr>
        <w:footnoteRef/>
      </w:r>
      <w:r>
        <w:t xml:space="preserve"> </w:t>
      </w:r>
      <w:r>
        <w:tab/>
      </w:r>
      <w:r w:rsidRPr="0074441F">
        <w:t xml:space="preserve">AER, </w:t>
      </w:r>
      <w:r w:rsidRPr="0074441F">
        <w:rPr>
          <w:rStyle w:val="AERtextitalic"/>
        </w:rPr>
        <w:t>Draft Decision: ActewAGL Distribution Access Arrangement 2016–21, Attachment 6 - Capital Expenditure</w:t>
      </w:r>
      <w:r w:rsidRPr="0074441F">
        <w:t xml:space="preserve">, </w:t>
      </w:r>
      <w:r>
        <w:t xml:space="preserve">November 2015, </w:t>
      </w:r>
      <w:r w:rsidRPr="0074441F">
        <w:t>p. </w:t>
      </w:r>
      <w:r>
        <w:t>6-28</w:t>
      </w:r>
      <w:r w:rsidRPr="0074441F">
        <w:t>.</w:t>
      </w:r>
    </w:p>
  </w:footnote>
  <w:footnote w:id="63">
    <w:p w:rsidR="000F7027" w:rsidRDefault="000F7027" w:rsidP="001D461C">
      <w:pPr>
        <w:pStyle w:val="FootnoteText"/>
      </w:pPr>
      <w:r>
        <w:rPr>
          <w:rStyle w:val="FootnoteReference"/>
        </w:rPr>
        <w:footnoteRef/>
      </w:r>
      <w:r>
        <w:t xml:space="preserve"> </w:t>
      </w:r>
      <w:r>
        <w:tab/>
      </w:r>
      <w:proofErr w:type="gramStart"/>
      <w:r w:rsidRPr="00C60E76">
        <w:t xml:space="preserve">ActewAGL Distribution, </w:t>
      </w:r>
      <w:r w:rsidRPr="00C60E76">
        <w:rPr>
          <w:rStyle w:val="AERtextitalic"/>
        </w:rPr>
        <w:t>Response to the AER's draft decision -2016-21 ACT, Queanbeyan and Palerang Gas Network Access Arrangement</w:t>
      </w:r>
      <w:r w:rsidRPr="00C60E76">
        <w:t>, 6 January 2016, p</w:t>
      </w:r>
      <w:r>
        <w:t>p</w:t>
      </w:r>
      <w:r w:rsidRPr="00C60E76">
        <w:t xml:space="preserve">. </w:t>
      </w:r>
      <w:r>
        <w:t>53–54</w:t>
      </w:r>
      <w:r w:rsidRPr="00C60E76">
        <w:t>.</w:t>
      </w:r>
      <w:proofErr w:type="gramEnd"/>
    </w:p>
  </w:footnote>
  <w:footnote w:id="64">
    <w:p w:rsidR="000F7027" w:rsidRDefault="000F7027" w:rsidP="001D461C">
      <w:pPr>
        <w:pStyle w:val="FootnoteText"/>
      </w:pPr>
      <w:r>
        <w:rPr>
          <w:rStyle w:val="FootnoteReference"/>
        </w:rPr>
        <w:footnoteRef/>
      </w:r>
      <w:r>
        <w:t xml:space="preserve"> </w:t>
      </w:r>
      <w:r>
        <w:tab/>
      </w:r>
      <w:proofErr w:type="gramStart"/>
      <w:r>
        <w:t>NGR, r. 74.</w:t>
      </w:r>
      <w:proofErr w:type="gramEnd"/>
    </w:p>
  </w:footnote>
  <w:footnote w:id="65">
    <w:p w:rsidR="000F7027" w:rsidRDefault="000F7027" w:rsidP="00727CC4">
      <w:pPr>
        <w:pStyle w:val="FootnoteText"/>
      </w:pPr>
      <w:r>
        <w:rPr>
          <w:rStyle w:val="FootnoteReference"/>
        </w:rPr>
        <w:footnoteRef/>
      </w:r>
      <w:r>
        <w:t xml:space="preserve"> </w:t>
      </w:r>
      <w:r>
        <w:tab/>
      </w:r>
      <w:proofErr w:type="gramStart"/>
      <w:r w:rsidRPr="00C60E76">
        <w:t xml:space="preserve">ActewAGL Distribution, </w:t>
      </w:r>
      <w:r w:rsidRPr="00C60E76">
        <w:rPr>
          <w:rStyle w:val="AERtextitalic"/>
        </w:rPr>
        <w:t>Response to the AER's draft decision -2016-21 ACT, Queanbeyan and Palerang Gas Network Access Arrangement</w:t>
      </w:r>
      <w:r w:rsidRPr="00C60E76">
        <w:t>, 6 January 2016, p</w:t>
      </w:r>
      <w:r>
        <w:t>p</w:t>
      </w:r>
      <w:r w:rsidRPr="00C60E76">
        <w:t xml:space="preserve">. </w:t>
      </w:r>
      <w:r>
        <w:t>55.</w:t>
      </w:r>
      <w:proofErr w:type="gramEnd"/>
    </w:p>
  </w:footnote>
  <w:footnote w:id="66">
    <w:p w:rsidR="000F7027" w:rsidRDefault="000F7027" w:rsidP="001D461C">
      <w:pPr>
        <w:pStyle w:val="FootnoteText"/>
      </w:pPr>
      <w:r>
        <w:rPr>
          <w:rStyle w:val="FootnoteReference"/>
        </w:rPr>
        <w:footnoteRef/>
      </w:r>
      <w:r>
        <w:t xml:space="preserve"> </w:t>
      </w:r>
      <w:r>
        <w:tab/>
      </w:r>
      <w:proofErr w:type="gramStart"/>
      <w:r w:rsidRPr="002B02E2">
        <w:t xml:space="preserve">ActewAGL, </w:t>
      </w:r>
      <w:r>
        <w:rPr>
          <w:rStyle w:val="AERtextitalic"/>
        </w:rPr>
        <w:t>Response to the AER's draft decision - 2</w:t>
      </w:r>
      <w:r w:rsidRPr="002B02E2">
        <w:rPr>
          <w:rStyle w:val="AERtextitalic"/>
        </w:rPr>
        <w:t xml:space="preserve">016–21 </w:t>
      </w:r>
      <w:r>
        <w:rPr>
          <w:rStyle w:val="AERtextitalic"/>
        </w:rPr>
        <w:t xml:space="preserve">ACT, Queanbeyan and Palerang Gas Networks </w:t>
      </w:r>
      <w:r w:rsidRPr="002B02E2">
        <w:rPr>
          <w:rStyle w:val="AERtextitalic"/>
        </w:rPr>
        <w:t>Access Arrangement</w:t>
      </w:r>
      <w:r w:rsidRPr="002B02E2">
        <w:t>, J</w:t>
      </w:r>
      <w:r>
        <w:t>anuary 2016</w:t>
      </w:r>
      <w:r w:rsidRPr="002B02E2">
        <w:t xml:space="preserve">, </w:t>
      </w:r>
      <w:r>
        <w:t>p. 5</w:t>
      </w:r>
      <w:r w:rsidRPr="002B02E2">
        <w:t>5.</w:t>
      </w:r>
      <w:proofErr w:type="gramEnd"/>
    </w:p>
  </w:footnote>
  <w:footnote w:id="67">
    <w:p w:rsidR="000F7027" w:rsidRDefault="000F7027" w:rsidP="002C660F">
      <w:pPr>
        <w:pStyle w:val="FootnoteText"/>
      </w:pPr>
      <w:r>
        <w:rPr>
          <w:rStyle w:val="FootnoteReference"/>
        </w:rPr>
        <w:footnoteRef/>
      </w:r>
      <w:r>
        <w:t xml:space="preserve"> </w:t>
      </w:r>
      <w:r>
        <w:tab/>
        <w:t xml:space="preserve">ActewAGL, </w:t>
      </w:r>
      <w:r w:rsidRPr="00390641">
        <w:rPr>
          <w:rStyle w:val="AERtextitalic"/>
        </w:rPr>
        <w:t>201</w:t>
      </w:r>
      <w:r>
        <w:rPr>
          <w:rStyle w:val="AERtextitalic"/>
        </w:rPr>
        <w:t>6–</w:t>
      </w:r>
      <w:r w:rsidRPr="00390641">
        <w:rPr>
          <w:rStyle w:val="AERtextitalic"/>
        </w:rPr>
        <w:t>2</w:t>
      </w:r>
      <w:r>
        <w:rPr>
          <w:rStyle w:val="AERtextitalic"/>
        </w:rPr>
        <w:t>1</w:t>
      </w:r>
      <w:r w:rsidRPr="00390641">
        <w:rPr>
          <w:rStyle w:val="AERtextitalic"/>
        </w:rPr>
        <w:t xml:space="preserve"> Access Arrangement Information</w:t>
      </w:r>
      <w:r>
        <w:t xml:space="preserve">, </w:t>
      </w:r>
      <w:r w:rsidRPr="004E3ADD">
        <w:rPr>
          <w:rStyle w:val="Emphasis"/>
        </w:rPr>
        <w:t xml:space="preserve">ActewAGL Distribution </w:t>
      </w:r>
      <w:proofErr w:type="spellStart"/>
      <w:r w:rsidRPr="004E3ADD">
        <w:rPr>
          <w:rStyle w:val="Emphasis"/>
        </w:rPr>
        <w:t>AAI_Attachment</w:t>
      </w:r>
      <w:proofErr w:type="spellEnd"/>
      <w:r w:rsidRPr="004E3ADD">
        <w:rPr>
          <w:rStyle w:val="Emphasis"/>
        </w:rPr>
        <w:t xml:space="preserve"> 6 Capital expenditure</w:t>
      </w:r>
      <w:r>
        <w:t>, June 2015, p. 44; NGR r. 79(2)(b).</w:t>
      </w:r>
    </w:p>
  </w:footnote>
  <w:footnote w:id="68">
    <w:p w:rsidR="000F7027" w:rsidRDefault="000F7027" w:rsidP="002C660F">
      <w:pPr>
        <w:pStyle w:val="FootnoteText"/>
      </w:pPr>
      <w:r>
        <w:rPr>
          <w:rStyle w:val="FootnoteReference"/>
        </w:rPr>
        <w:footnoteRef/>
      </w:r>
      <w:r>
        <w:t xml:space="preserve"> </w:t>
      </w:r>
      <w:r>
        <w:tab/>
      </w:r>
      <w:r w:rsidRPr="0061777C">
        <w:t>These are forecast contributions for E-to-G, New Homes and I&amp;C tariff connections based on historic patterns, excluding contributions for medium density connections.</w:t>
      </w:r>
    </w:p>
  </w:footnote>
  <w:footnote w:id="69">
    <w:p w:rsidR="000F7027" w:rsidRDefault="000F7027" w:rsidP="002C660F">
      <w:pPr>
        <w:pStyle w:val="FootnoteText"/>
      </w:pPr>
      <w:r w:rsidRPr="00E834E1">
        <w:rPr>
          <w:rStyle w:val="AERsuperscript"/>
        </w:rPr>
        <w:footnoteRef/>
      </w:r>
      <w:r>
        <w:t xml:space="preserve"> </w:t>
      </w:r>
      <w:r>
        <w:tab/>
      </w:r>
      <w:r w:rsidRPr="00E834E1">
        <w:t>ActewAGL submitted that it forecast the amount of capital contributions by taking the five-year average of capital contributions as a percentage of gross capex for each connection type and applying this percentage to the forecast capex for each connection type.</w:t>
      </w:r>
    </w:p>
  </w:footnote>
  <w:footnote w:id="70">
    <w:p w:rsidR="000F7027" w:rsidRDefault="000F7027" w:rsidP="00234F38">
      <w:pPr>
        <w:pStyle w:val="FootnoteText"/>
      </w:pPr>
      <w:r>
        <w:rPr>
          <w:rStyle w:val="FootnoteReference"/>
        </w:rPr>
        <w:footnoteRef/>
      </w:r>
      <w:r>
        <w:t xml:space="preserve"> </w:t>
      </w:r>
      <w:r>
        <w:tab/>
      </w:r>
      <w:proofErr w:type="gramStart"/>
      <w:r>
        <w:t xml:space="preserve">ActewAGL, </w:t>
      </w:r>
      <w:r w:rsidRPr="000A2055">
        <w:rPr>
          <w:rStyle w:val="AERtextitalic"/>
        </w:rPr>
        <w:t>Response to the AER's draft decision,</w:t>
      </w:r>
      <w:r>
        <w:t xml:space="preserve"> January 2016, pp. 55–56.</w:t>
      </w:r>
      <w:proofErr w:type="gramEnd"/>
      <w:r>
        <w:t xml:space="preserve"> </w:t>
      </w:r>
    </w:p>
  </w:footnote>
  <w:footnote w:id="71">
    <w:p w:rsidR="000F7027" w:rsidRDefault="000F7027" w:rsidP="002C660F">
      <w:pPr>
        <w:pStyle w:val="FootnoteText"/>
      </w:pPr>
      <w:r>
        <w:rPr>
          <w:rStyle w:val="FootnoteReference"/>
        </w:rPr>
        <w:footnoteRef/>
      </w:r>
      <w:r>
        <w:t xml:space="preserve"> </w:t>
      </w:r>
      <w:r>
        <w:tab/>
        <w:t xml:space="preserve">ActewAGL, </w:t>
      </w:r>
      <w:r w:rsidRPr="00277D80">
        <w:rPr>
          <w:rStyle w:val="AERtextitalic"/>
        </w:rPr>
        <w:t>ActewAGL Distribution response to various information requests</w:t>
      </w:r>
      <w:r>
        <w:t>, 31 July 2015, p. 4.</w:t>
      </w:r>
    </w:p>
  </w:footnote>
  <w:footnote w:id="72">
    <w:p w:rsidR="000F7027" w:rsidRDefault="000F7027" w:rsidP="00655A95">
      <w:pPr>
        <w:pStyle w:val="FootnoteText"/>
      </w:pPr>
      <w:r>
        <w:rPr>
          <w:rStyle w:val="FootnoteReference"/>
        </w:rPr>
        <w:footnoteRef/>
      </w:r>
      <w:r>
        <w:t xml:space="preserve"> </w:t>
      </w:r>
      <w:r>
        <w:tab/>
        <w:t xml:space="preserve">ActewAGL, </w:t>
      </w:r>
      <w:r w:rsidRPr="00EC5CDD">
        <w:rPr>
          <w:rStyle w:val="AERtextitalic"/>
        </w:rPr>
        <w:t>Response to the AER's draft decision</w:t>
      </w:r>
      <w:r>
        <w:t xml:space="preserve">, 6 January 2016, pp. 56–57; </w:t>
      </w:r>
      <w:r w:rsidRPr="00EC5CDD">
        <w:t xml:space="preserve">ActewAGL, </w:t>
      </w:r>
      <w:r w:rsidRPr="00EC5CDD">
        <w:rPr>
          <w:rStyle w:val="AERtextitalic"/>
        </w:rPr>
        <w:t>2016–20 access arrangement period: Attachment 6: Capital expenditure</w:t>
      </w:r>
      <w:r w:rsidRPr="00EC5CDD">
        <w:t>, June 2015, pp. 47–49.</w:t>
      </w:r>
    </w:p>
  </w:footnote>
  <w:footnote w:id="73">
    <w:p w:rsidR="000F7027" w:rsidRDefault="000F7027" w:rsidP="00655A95">
      <w:pPr>
        <w:pStyle w:val="FootnoteText"/>
      </w:pPr>
      <w:r>
        <w:rPr>
          <w:rStyle w:val="FootnoteReference"/>
        </w:rPr>
        <w:footnoteRef/>
      </w:r>
      <w:r>
        <w:t xml:space="preserve"> </w:t>
      </w:r>
      <w:r>
        <w:tab/>
      </w:r>
      <w:r w:rsidRPr="0066468D">
        <w:t xml:space="preserve">ActewAGL, </w:t>
      </w:r>
      <w:r w:rsidRPr="0066468D">
        <w:rPr>
          <w:rStyle w:val="AERtextitalic"/>
        </w:rPr>
        <w:t xml:space="preserve">2016–20 access arrangement </w:t>
      </w:r>
      <w:proofErr w:type="gramStart"/>
      <w:r w:rsidRPr="0066468D">
        <w:rPr>
          <w:rStyle w:val="AERtextitalic"/>
        </w:rPr>
        <w:t>period</w:t>
      </w:r>
      <w:proofErr w:type="gramEnd"/>
      <w:r w:rsidRPr="0066468D">
        <w:rPr>
          <w:rStyle w:val="AERtextitalic"/>
        </w:rPr>
        <w:t>: Attachment 6: Capital expenditure</w:t>
      </w:r>
      <w:r w:rsidRPr="0066468D">
        <w:t>, June 2015, p. 48.</w:t>
      </w:r>
    </w:p>
  </w:footnote>
  <w:footnote w:id="74">
    <w:p w:rsidR="000F7027" w:rsidRDefault="000F7027">
      <w:pPr>
        <w:pStyle w:val="FootnoteText"/>
      </w:pPr>
      <w:r>
        <w:rPr>
          <w:rStyle w:val="FootnoteReference"/>
        </w:rPr>
        <w:footnoteRef/>
      </w:r>
      <w:r>
        <w:t xml:space="preserve"> </w:t>
      </w:r>
      <w:r>
        <w:tab/>
        <w:t>NGR, r. 79(1</w:t>
      </w:r>
      <w:proofErr w:type="gramStart"/>
      <w:r>
        <w:t>)(</w:t>
      </w:r>
      <w:proofErr w:type="gramEnd"/>
      <w:r>
        <w:t>a).</w:t>
      </w:r>
    </w:p>
  </w:footnote>
  <w:footnote w:id="75">
    <w:p w:rsidR="000F7027" w:rsidRDefault="000F7027">
      <w:pPr>
        <w:pStyle w:val="FootnoteText"/>
      </w:pPr>
      <w:r>
        <w:rPr>
          <w:rStyle w:val="FootnoteReference"/>
        </w:rPr>
        <w:footnoteRef/>
      </w:r>
      <w:r>
        <w:t xml:space="preserve"> </w:t>
      </w:r>
      <w:r>
        <w:tab/>
        <w:t xml:space="preserve">NGR, </w:t>
      </w:r>
      <w:proofErr w:type="gramStart"/>
      <w:r>
        <w:t>rr</w:t>
      </w:r>
      <w:proofErr w:type="gramEnd"/>
      <w:r>
        <w:t>. 79(1</w:t>
      </w:r>
      <w:proofErr w:type="gramStart"/>
      <w:r>
        <w:t>)(</w:t>
      </w:r>
      <w:proofErr w:type="gramEnd"/>
      <w:r>
        <w:t>a), 79(2)(c)(ii) and (iv).</w:t>
      </w:r>
    </w:p>
  </w:footnote>
  <w:footnote w:id="76">
    <w:p w:rsidR="000F7027" w:rsidRDefault="000F7027" w:rsidP="00655A95">
      <w:pPr>
        <w:pStyle w:val="FootnoteText"/>
      </w:pPr>
      <w:r>
        <w:rPr>
          <w:rStyle w:val="FootnoteReference"/>
        </w:rPr>
        <w:footnoteRef/>
      </w:r>
      <w:r>
        <w:t xml:space="preserve"> </w:t>
      </w:r>
      <w:r>
        <w:tab/>
      </w:r>
      <w:r w:rsidRPr="0001590B">
        <w:t>NGR, r. 74(2</w:t>
      </w:r>
      <w:proofErr w:type="gramStart"/>
      <w:r w:rsidRPr="0001590B">
        <w:t>)(</w:t>
      </w:r>
      <w:proofErr w:type="gramEnd"/>
      <w:r w:rsidRPr="0001590B">
        <w:t>a).</w:t>
      </w:r>
    </w:p>
  </w:footnote>
  <w:footnote w:id="77">
    <w:p w:rsidR="000F7027" w:rsidRDefault="000F7027" w:rsidP="00A61DBD">
      <w:pPr>
        <w:pStyle w:val="FootnoteText"/>
      </w:pPr>
      <w:r>
        <w:rPr>
          <w:rStyle w:val="FootnoteReference"/>
        </w:rPr>
        <w:footnoteRef/>
      </w:r>
      <w:r>
        <w:t xml:space="preserve"> </w:t>
      </w:r>
      <w:r>
        <w:tab/>
      </w:r>
      <w:r w:rsidRPr="002A18FD">
        <w:rPr>
          <w:rStyle w:val="AERtextitalic"/>
        </w:rPr>
        <w:t>Meeting between ActewAGL Distribution and AER staff</w:t>
      </w:r>
      <w:r w:rsidRPr="002A18FD">
        <w:t xml:space="preserve">, 2 February 2016; ActewAGL, </w:t>
      </w:r>
      <w:r w:rsidRPr="002A18FD">
        <w:rPr>
          <w:rStyle w:val="AERtextitalic"/>
        </w:rPr>
        <w:t>Revised access arrangement proposal: Appendix 6.03: Capacity development capex</w:t>
      </w:r>
      <w:r w:rsidRPr="002A18FD">
        <w:t>, 6 January 2016.</w:t>
      </w:r>
    </w:p>
  </w:footnote>
  <w:footnote w:id="78">
    <w:p w:rsidR="000F7027" w:rsidRDefault="000F7027" w:rsidP="00855F85">
      <w:pPr>
        <w:pStyle w:val="FootnoteText"/>
      </w:pPr>
      <w:r>
        <w:rPr>
          <w:rStyle w:val="FootnoteReference"/>
        </w:rPr>
        <w:footnoteRef/>
      </w:r>
      <w:r>
        <w:t xml:space="preserve"> </w:t>
      </w:r>
      <w:r>
        <w:tab/>
        <w:t xml:space="preserve">NGR, </w:t>
      </w:r>
      <w:proofErr w:type="gramStart"/>
      <w:r>
        <w:t>rr</w:t>
      </w:r>
      <w:proofErr w:type="gramEnd"/>
      <w:r>
        <w:t>. 79(1</w:t>
      </w:r>
      <w:proofErr w:type="gramStart"/>
      <w:r>
        <w:t>)(</w:t>
      </w:r>
      <w:proofErr w:type="gramEnd"/>
      <w:r>
        <w:t xml:space="preserve">a), </w:t>
      </w:r>
      <w:r w:rsidRPr="0001590B">
        <w:t>79(2)(c)(ii), 79(2)(c) (iv).</w:t>
      </w:r>
      <w:r>
        <w:t xml:space="preserve"> </w:t>
      </w:r>
      <w:r w:rsidRPr="0001590B">
        <w:t xml:space="preserve">ActewAGL stated the key driver for Molonglo Primary is capacity constraints within the secondary network in the Molonglo area caused by growth in the Molonglo Valley Development. ActewAGL, </w:t>
      </w:r>
      <w:r w:rsidRPr="0001590B">
        <w:rPr>
          <w:rStyle w:val="AERtextitalic"/>
        </w:rPr>
        <w:t>Revised access arrangement proposal: Appendix 6.03: Capacity development capex</w:t>
      </w:r>
      <w:r w:rsidRPr="0001590B">
        <w:t>, 6 January 2016, p. 4.</w:t>
      </w:r>
    </w:p>
  </w:footnote>
  <w:footnote w:id="79">
    <w:p w:rsidR="000F7027" w:rsidRDefault="000F7027" w:rsidP="00855F85">
      <w:pPr>
        <w:pStyle w:val="FootnoteText"/>
        <w:ind w:left="0" w:firstLine="0"/>
      </w:pPr>
    </w:p>
  </w:footnote>
  <w:footnote w:id="80">
    <w:p w:rsidR="000F7027" w:rsidRDefault="000F7027" w:rsidP="00655A95">
      <w:pPr>
        <w:pStyle w:val="FootnoteText"/>
      </w:pPr>
      <w:r>
        <w:rPr>
          <w:rStyle w:val="FootnoteReference"/>
        </w:rPr>
        <w:footnoteRef/>
      </w:r>
      <w:r>
        <w:t xml:space="preserve"> </w:t>
      </w:r>
      <w:r>
        <w:tab/>
        <w:t xml:space="preserve">AER, </w:t>
      </w:r>
      <w:r w:rsidRPr="001E5D3D">
        <w:rPr>
          <w:rStyle w:val="AERtextitalic"/>
        </w:rPr>
        <w:t>Draft decision: ActewAGL Distribution access arrangement 2016 to 2021: Attachment 6 – Capital expenditure</w:t>
      </w:r>
      <w:r>
        <w:t xml:space="preserve">, </w:t>
      </w:r>
      <w:r w:rsidRPr="001E5D3D">
        <w:t>November 2015</w:t>
      </w:r>
      <w:r>
        <w:t>, p. 34.</w:t>
      </w:r>
    </w:p>
  </w:footnote>
  <w:footnote w:id="81">
    <w:p w:rsidR="000F7027" w:rsidRDefault="000F7027" w:rsidP="00CB1FC3">
      <w:pPr>
        <w:pStyle w:val="FootnoteText"/>
      </w:pPr>
      <w:r>
        <w:rPr>
          <w:rStyle w:val="FootnoteReference"/>
        </w:rPr>
        <w:footnoteRef/>
      </w:r>
      <w:r>
        <w:t xml:space="preserve"> </w:t>
      </w:r>
      <w:r>
        <w:tab/>
        <w:t xml:space="preserve">ActewAGL, </w:t>
      </w:r>
      <w:r w:rsidRPr="00E47962">
        <w:rPr>
          <w:rStyle w:val="AERtextitalic"/>
        </w:rPr>
        <w:t>2016–21 access arrangement: Response to draft decision</w:t>
      </w:r>
      <w:r>
        <w:t xml:space="preserve">, 6 January 2016, p. 61; ActewAGL, </w:t>
      </w:r>
      <w:r w:rsidRPr="00E47962">
        <w:rPr>
          <w:rStyle w:val="AERtextitalic"/>
        </w:rPr>
        <w:t>2016–21 access arrangement: Response to draft decision</w:t>
      </w:r>
      <w:r>
        <w:rPr>
          <w:rStyle w:val="AERtextitalic"/>
        </w:rPr>
        <w:t>: Appendix 6.03</w:t>
      </w:r>
      <w:r>
        <w:t>, 6 January 2016, p. 14.</w:t>
      </w:r>
      <w:r>
        <w:tab/>
      </w:r>
    </w:p>
  </w:footnote>
  <w:footnote w:id="82">
    <w:p w:rsidR="000F7027" w:rsidRDefault="000F7027">
      <w:pPr>
        <w:pStyle w:val="FootnoteText"/>
      </w:pPr>
      <w:r>
        <w:rPr>
          <w:rStyle w:val="FootnoteReference"/>
        </w:rPr>
        <w:footnoteRef/>
      </w:r>
      <w:r>
        <w:t xml:space="preserve"> </w:t>
      </w:r>
      <w:r>
        <w:tab/>
        <w:t xml:space="preserve">ActewAGL clarified it designs and builds its gas network to ensure it can supply gas during a 'severe', or 1 in 20, winter. ActewAGL, </w:t>
      </w:r>
      <w:r w:rsidRPr="00E47962">
        <w:rPr>
          <w:rStyle w:val="AERtextitalic"/>
        </w:rPr>
        <w:t>2016–21 access arrangement: Response to draft decision</w:t>
      </w:r>
      <w:r>
        <w:t>, 6 January 2016, p. 59.</w:t>
      </w:r>
    </w:p>
  </w:footnote>
  <w:footnote w:id="83">
    <w:p w:rsidR="000F7027" w:rsidRDefault="000F7027">
      <w:pPr>
        <w:pStyle w:val="FootnoteText"/>
      </w:pPr>
      <w:r>
        <w:rPr>
          <w:rStyle w:val="FootnoteReference"/>
        </w:rPr>
        <w:footnoteRef/>
      </w:r>
      <w:r>
        <w:t xml:space="preserve"> </w:t>
      </w:r>
      <w:r>
        <w:tab/>
        <w:t>NGR, r 79(1</w:t>
      </w:r>
      <w:proofErr w:type="gramStart"/>
      <w:r>
        <w:t>)(</w:t>
      </w:r>
      <w:proofErr w:type="gramEnd"/>
      <w:r>
        <w:t>a).</w:t>
      </w:r>
    </w:p>
  </w:footnote>
  <w:footnote w:id="84">
    <w:p w:rsidR="000F7027" w:rsidRDefault="000F7027" w:rsidP="0066701E">
      <w:pPr>
        <w:pStyle w:val="FootnoteText"/>
      </w:pPr>
      <w:r>
        <w:rPr>
          <w:rStyle w:val="FootnoteReference"/>
        </w:rPr>
        <w:footnoteRef/>
      </w:r>
      <w:r>
        <w:t xml:space="preserve"> </w:t>
      </w:r>
      <w:r>
        <w:tab/>
        <w:t xml:space="preserve">MBA, </w:t>
      </w:r>
      <w:r w:rsidRPr="00BD7474">
        <w:rPr>
          <w:rStyle w:val="AERtextitalic"/>
        </w:rPr>
        <w:t>Submission: ACT AER draft decision for ActewAGL gas distribution 2016-2021</w:t>
      </w:r>
      <w:r>
        <w:t>, 29 January 2016, pp. 1–2.</w:t>
      </w:r>
    </w:p>
  </w:footnote>
  <w:footnote w:id="85">
    <w:p w:rsidR="000F7027" w:rsidRDefault="000F7027" w:rsidP="0066701E">
      <w:pPr>
        <w:pStyle w:val="FootnoteText"/>
      </w:pPr>
      <w:r>
        <w:rPr>
          <w:rStyle w:val="FootnoteReference"/>
        </w:rPr>
        <w:footnoteRef/>
      </w:r>
      <w:r>
        <w:t xml:space="preserve"> </w:t>
      </w:r>
      <w:r>
        <w:tab/>
      </w:r>
      <w:proofErr w:type="gramStart"/>
      <w:r>
        <w:t>NGR, r. 79.</w:t>
      </w:r>
      <w:proofErr w:type="gramEnd"/>
    </w:p>
  </w:footnote>
  <w:footnote w:id="86">
    <w:p w:rsidR="000F7027" w:rsidRDefault="000F7027" w:rsidP="00D6352A">
      <w:pPr>
        <w:pStyle w:val="FootnoteText"/>
      </w:pPr>
      <w:r>
        <w:rPr>
          <w:rStyle w:val="FootnoteReference"/>
        </w:rPr>
        <w:footnoteRef/>
      </w:r>
      <w:r>
        <w:t xml:space="preserve"> </w:t>
      </w:r>
      <w:r>
        <w:tab/>
        <w:t xml:space="preserve">ActewAGL, </w:t>
      </w:r>
      <w:r w:rsidRPr="00E47962">
        <w:rPr>
          <w:rStyle w:val="AERtextitalic"/>
        </w:rPr>
        <w:t>2016–21 access arrangement: Response to draft decision</w:t>
      </w:r>
      <w:r>
        <w:t>, 6 January 2016, p. 59.</w:t>
      </w:r>
    </w:p>
  </w:footnote>
  <w:footnote w:id="87">
    <w:p w:rsidR="000F7027" w:rsidRDefault="000F7027">
      <w:pPr>
        <w:pStyle w:val="FootnoteText"/>
      </w:pPr>
      <w:r>
        <w:rPr>
          <w:rStyle w:val="FootnoteReference"/>
        </w:rPr>
        <w:footnoteRef/>
      </w:r>
      <w:r>
        <w:t xml:space="preserve"> </w:t>
      </w:r>
      <w:r>
        <w:tab/>
      </w:r>
      <w:r w:rsidRPr="008A3B16">
        <w:t xml:space="preserve">ActewAGL clarified that the peak load forecasts it used in its revised proposal </w:t>
      </w:r>
      <w:r>
        <w:t xml:space="preserve">(as in </w:t>
      </w:r>
      <w:r>
        <w:fldChar w:fldCharType="begin"/>
      </w:r>
      <w:r>
        <w:instrText xml:space="preserve"> REF _Ref444774920 \h </w:instrText>
      </w:r>
      <w:r>
        <w:fldChar w:fldCharType="separate"/>
      </w:r>
      <w:r w:rsidRPr="00655A95">
        <w:t xml:space="preserve">Table </w:t>
      </w:r>
      <w:r>
        <w:rPr>
          <w:noProof/>
        </w:rPr>
        <w:t>6</w:t>
      </w:r>
      <w:r w:rsidRPr="00655A95">
        <w:t>.</w:t>
      </w:r>
      <w:r>
        <w:rPr>
          <w:noProof/>
        </w:rPr>
        <w:t>7</w:t>
      </w:r>
      <w:r>
        <w:fldChar w:fldCharType="end"/>
      </w:r>
      <w:r>
        <w:t xml:space="preserve">) </w:t>
      </w:r>
      <w:r w:rsidRPr="008A3B16">
        <w:t>correspond to the 'low' forecast in its initial proposal.</w:t>
      </w:r>
      <w:r>
        <w:t xml:space="preserve"> </w:t>
      </w:r>
      <w:r w:rsidRPr="008A3B16">
        <w:t>ActewAGL did not consider this scenario to be realistic</w:t>
      </w:r>
      <w:r>
        <w:t xml:space="preserve"> for various reasons</w:t>
      </w:r>
      <w:r w:rsidRPr="008A3B16">
        <w:t xml:space="preserve"> and did not use its low forecast in the modelling for its initial proposal.</w:t>
      </w:r>
      <w:r>
        <w:t xml:space="preserve"> See ActewAGL, </w:t>
      </w:r>
      <w:r w:rsidRPr="008A6370">
        <w:rPr>
          <w:rStyle w:val="AERtextitalic"/>
        </w:rPr>
        <w:t>Response to AER information request 051</w:t>
      </w:r>
      <w:r w:rsidRPr="008A6370">
        <w:t>, 17 February 2016</w:t>
      </w:r>
      <w:r>
        <w:t>, pp. 5–9.</w:t>
      </w:r>
    </w:p>
  </w:footnote>
  <w:footnote w:id="88">
    <w:p w:rsidR="000F7027" w:rsidRDefault="000F7027">
      <w:pPr>
        <w:pStyle w:val="FootnoteText"/>
      </w:pPr>
      <w:r>
        <w:rPr>
          <w:rStyle w:val="FootnoteReference"/>
        </w:rPr>
        <w:footnoteRef/>
      </w:r>
      <w:r>
        <w:t xml:space="preserve"> </w:t>
      </w:r>
      <w:r>
        <w:tab/>
      </w:r>
      <w:proofErr w:type="spellStart"/>
      <w:r>
        <w:t>Sleeman</w:t>
      </w:r>
      <w:proofErr w:type="spellEnd"/>
      <w:r>
        <w:t xml:space="preserve"> Consulting, </w:t>
      </w:r>
      <w:r w:rsidRPr="006423EC">
        <w:rPr>
          <w:rStyle w:val="AERtextitalic"/>
        </w:rPr>
        <w:t>Review of capex forecasts for selected projects (Public)</w:t>
      </w:r>
      <w:r>
        <w:t>, 18 November 2015, p. 3.</w:t>
      </w:r>
    </w:p>
  </w:footnote>
  <w:footnote w:id="89">
    <w:p w:rsidR="000F7027" w:rsidRDefault="000F7027" w:rsidP="00BD4582">
      <w:pPr>
        <w:pStyle w:val="FootnoteText"/>
      </w:pPr>
      <w:r>
        <w:rPr>
          <w:rStyle w:val="FootnoteReference"/>
        </w:rPr>
        <w:footnoteRef/>
      </w:r>
      <w:r>
        <w:t xml:space="preserve"> </w:t>
      </w:r>
      <w:r>
        <w:tab/>
      </w:r>
      <w:proofErr w:type="spellStart"/>
      <w:r>
        <w:t>Sleeman</w:t>
      </w:r>
      <w:proofErr w:type="spellEnd"/>
      <w:r>
        <w:t xml:space="preserve"> Consulting, </w:t>
      </w:r>
      <w:r w:rsidRPr="005B3D90">
        <w:rPr>
          <w:rStyle w:val="AERtextitalic"/>
        </w:rPr>
        <w:t>Comments on ActewAGL response to the AER's draft decision</w:t>
      </w:r>
      <w:r>
        <w:t>, 28 March 2016</w:t>
      </w:r>
      <w:r w:rsidRPr="00E44864">
        <w:t xml:space="preserve">, </w:t>
      </w:r>
      <w:r w:rsidRPr="00E44864">
        <w:rPr>
          <w:rStyle w:val="AERtexthighlight"/>
          <w:shd w:val="clear" w:color="auto" w:fill="auto"/>
        </w:rPr>
        <w:t>section 2.1.4(ix</w:t>
      </w:r>
      <w:r w:rsidRPr="006423EC">
        <w:t>)–(x)</w:t>
      </w:r>
      <w:r w:rsidRPr="00BD4582">
        <w:t>.</w:t>
      </w:r>
    </w:p>
  </w:footnote>
  <w:footnote w:id="90">
    <w:p w:rsidR="000F7027" w:rsidRDefault="000F7027" w:rsidP="00AA6A6F">
      <w:pPr>
        <w:pStyle w:val="FootnoteText"/>
      </w:pPr>
      <w:r>
        <w:rPr>
          <w:rStyle w:val="FootnoteReference"/>
        </w:rPr>
        <w:footnoteRef/>
      </w:r>
      <w:r>
        <w:t xml:space="preserve"> </w:t>
      </w:r>
      <w:r>
        <w:tab/>
        <w:t xml:space="preserve">See Attachment </w:t>
      </w:r>
      <w:r w:rsidRPr="00AA6A6F">
        <w:rPr>
          <w:rStyle w:val="AERtexthighlight"/>
          <w:shd w:val="clear" w:color="auto" w:fill="auto"/>
        </w:rPr>
        <w:t>13 (demand)</w:t>
      </w:r>
      <w:r>
        <w:t xml:space="preserve">. </w:t>
      </w:r>
    </w:p>
  </w:footnote>
  <w:footnote w:id="91">
    <w:p w:rsidR="000F7027" w:rsidRDefault="000F7027">
      <w:pPr>
        <w:pStyle w:val="FootnoteText"/>
      </w:pPr>
      <w:r>
        <w:rPr>
          <w:rStyle w:val="FootnoteReference"/>
        </w:rPr>
        <w:footnoteRef/>
      </w:r>
      <w:r>
        <w:t xml:space="preserve"> </w:t>
      </w:r>
      <w:r>
        <w:tab/>
      </w:r>
      <w:r w:rsidRPr="00BA6165">
        <w:t>We</w:t>
      </w:r>
      <w:r>
        <w:t xml:space="preserve"> use linear extrapolation because it is consistent with </w:t>
      </w:r>
      <w:r w:rsidRPr="00BA6165">
        <w:t>ActewAGL's peak demand forecasts for the Molonglo area</w:t>
      </w:r>
      <w:r>
        <w:t xml:space="preserve">, which </w:t>
      </w:r>
      <w:r w:rsidRPr="00BA6165">
        <w:t>follow a linear pattern</w:t>
      </w:r>
      <w:r>
        <w:t xml:space="preserve">. See ActewAGL, </w:t>
      </w:r>
      <w:r w:rsidRPr="00B52707">
        <w:rPr>
          <w:rStyle w:val="AERtextitalic"/>
        </w:rPr>
        <w:t>Access arrangement information: Attachment 6.07.4: Canberra primary and secondary network capacity assessment</w:t>
      </w:r>
      <w:r>
        <w:t xml:space="preserve">, July 2015, figures 5-2, 5-6, 5-8, 5-10, 5-12, 5-14, 5-16, 5-18, 5-19, 5-21, 5-24; </w:t>
      </w:r>
      <w:r w:rsidRPr="00643CCE">
        <w:t xml:space="preserve">ActewAGL, </w:t>
      </w:r>
      <w:r w:rsidRPr="00643CCE">
        <w:rPr>
          <w:rStyle w:val="AERtextitalic"/>
        </w:rPr>
        <w:t>Revised proposal: Appendix 6.03: Capacity development capex</w:t>
      </w:r>
      <w:r w:rsidRPr="00643CCE">
        <w:t>, January 2016, p</w:t>
      </w:r>
      <w:r>
        <w:t>. 4.</w:t>
      </w:r>
    </w:p>
  </w:footnote>
  <w:footnote w:id="92">
    <w:p w:rsidR="000F7027" w:rsidRDefault="000F7027">
      <w:pPr>
        <w:pStyle w:val="FootnoteText"/>
      </w:pPr>
      <w:r>
        <w:rPr>
          <w:rStyle w:val="FootnoteReference"/>
        </w:rPr>
        <w:footnoteRef/>
      </w:r>
      <w:r>
        <w:t xml:space="preserve"> </w:t>
      </w:r>
      <w:r>
        <w:tab/>
        <w:t xml:space="preserve">NGR, </w:t>
      </w:r>
      <w:proofErr w:type="gramStart"/>
      <w:r>
        <w:t>rr</w:t>
      </w:r>
      <w:proofErr w:type="gramEnd"/>
      <w:r>
        <w:t>. 79(2</w:t>
      </w:r>
      <w:proofErr w:type="gramStart"/>
      <w:r>
        <w:t>)(</w:t>
      </w:r>
      <w:proofErr w:type="gramEnd"/>
      <w:r>
        <w:t>c)(ii) and (iv).</w:t>
      </w:r>
    </w:p>
  </w:footnote>
  <w:footnote w:id="93">
    <w:p w:rsidR="000F7027" w:rsidRDefault="000F7027" w:rsidP="00F41982">
      <w:pPr>
        <w:pStyle w:val="FootnoteText"/>
      </w:pPr>
      <w:r>
        <w:rPr>
          <w:rStyle w:val="FootnoteReference"/>
        </w:rPr>
        <w:footnoteRef/>
      </w:r>
      <w:r>
        <w:t xml:space="preserve"> </w:t>
      </w:r>
      <w:r>
        <w:tab/>
      </w:r>
      <w:proofErr w:type="spellStart"/>
      <w:r>
        <w:t>Sleeman</w:t>
      </w:r>
      <w:proofErr w:type="spellEnd"/>
      <w:r>
        <w:t xml:space="preserve"> Consulting, </w:t>
      </w:r>
      <w:r w:rsidRPr="00A95DA9">
        <w:rPr>
          <w:rStyle w:val="AERtextitalic"/>
        </w:rPr>
        <w:t>Review of capex forecasts for selected projects</w:t>
      </w:r>
      <w:r>
        <w:t>, 18 November 2015, p. 3.</w:t>
      </w:r>
    </w:p>
  </w:footnote>
  <w:footnote w:id="94">
    <w:p w:rsidR="000F7027" w:rsidRPr="00E44864" w:rsidRDefault="000F7027" w:rsidP="00E44864">
      <w:pPr>
        <w:pStyle w:val="FootnoteText"/>
      </w:pPr>
      <w:r>
        <w:rPr>
          <w:rStyle w:val="FootnoteReference"/>
        </w:rPr>
        <w:footnoteRef/>
      </w:r>
      <w:r>
        <w:t xml:space="preserve"> </w:t>
      </w:r>
      <w:r>
        <w:tab/>
      </w:r>
      <w:proofErr w:type="spellStart"/>
      <w:r>
        <w:t>Sleeman</w:t>
      </w:r>
      <w:proofErr w:type="spellEnd"/>
      <w:r>
        <w:t xml:space="preserve"> Consulting, </w:t>
      </w:r>
      <w:r w:rsidRPr="005B3D90">
        <w:rPr>
          <w:rStyle w:val="AERtextitalic"/>
        </w:rPr>
        <w:t>Comments on ActewAGL response to the AER's draft decision</w:t>
      </w:r>
      <w:r>
        <w:t>, 28 March 2016</w:t>
      </w:r>
      <w:r w:rsidRPr="00E44864">
        <w:t xml:space="preserve">, </w:t>
      </w:r>
      <w:r w:rsidRPr="00E44864">
        <w:rPr>
          <w:rStyle w:val="AERtexthighlight"/>
          <w:shd w:val="clear" w:color="auto" w:fill="auto"/>
        </w:rPr>
        <w:t>section 2.1.4(viii)</w:t>
      </w:r>
      <w:r w:rsidRPr="00E44864">
        <w:t>.</w:t>
      </w:r>
    </w:p>
  </w:footnote>
  <w:footnote w:id="95">
    <w:p w:rsidR="000F7027" w:rsidRDefault="000F7027" w:rsidP="00D6352A">
      <w:pPr>
        <w:pStyle w:val="FootnoteText"/>
      </w:pPr>
      <w:r>
        <w:rPr>
          <w:rStyle w:val="FootnoteReference"/>
        </w:rPr>
        <w:footnoteRef/>
      </w:r>
      <w:r>
        <w:t xml:space="preserve"> </w:t>
      </w:r>
      <w:r>
        <w:tab/>
      </w:r>
      <w:r w:rsidRPr="005F64F0">
        <w:t>ActewAGL stated it derived the severity factor by comparing the maximum daily throughput for a given year against the daily throughput on 15 June 2006, the highest daily throughput recorded.</w:t>
      </w:r>
    </w:p>
  </w:footnote>
  <w:footnote w:id="96">
    <w:p w:rsidR="000F7027" w:rsidRDefault="000F7027" w:rsidP="00DF14F5">
      <w:pPr>
        <w:pStyle w:val="FootnoteText"/>
      </w:pPr>
      <w:r>
        <w:rPr>
          <w:rStyle w:val="FootnoteReference"/>
        </w:rPr>
        <w:footnoteRef/>
      </w:r>
      <w:r>
        <w:t xml:space="preserve"> </w:t>
      </w:r>
      <w:r>
        <w:tab/>
      </w:r>
      <w:r w:rsidRPr="008A6370">
        <w:t xml:space="preserve">ActewAGL, </w:t>
      </w:r>
      <w:r w:rsidRPr="008A6370">
        <w:rPr>
          <w:rStyle w:val="AERtextitalic"/>
        </w:rPr>
        <w:t>Response to AER information request 051</w:t>
      </w:r>
      <w:r w:rsidRPr="008A6370">
        <w:t>,</w:t>
      </w:r>
      <w:r>
        <w:t xml:space="preserve"> 17 February 2016, p. 6; ActewAGL,</w:t>
      </w:r>
      <w:r w:rsidRPr="008A6370">
        <w:t xml:space="preserve"> </w:t>
      </w:r>
      <w:r w:rsidRPr="008A6370">
        <w:rPr>
          <w:rStyle w:val="AERtextitalic"/>
        </w:rPr>
        <w:t xml:space="preserve">Response to AER information </w:t>
      </w:r>
      <w:r>
        <w:rPr>
          <w:rStyle w:val="AERtextitalic"/>
        </w:rPr>
        <w:t xml:space="preserve">request </w:t>
      </w:r>
      <w:r w:rsidRPr="008A6370">
        <w:rPr>
          <w:rStyle w:val="AERtextitalic"/>
        </w:rPr>
        <w:t>51</w:t>
      </w:r>
      <w:r>
        <w:rPr>
          <w:rStyle w:val="AERtextitalic"/>
        </w:rPr>
        <w:t xml:space="preserve">A </w:t>
      </w:r>
      <w:r w:rsidRPr="004E3ADD">
        <w:rPr>
          <w:rStyle w:val="AERtextsize8"/>
        </w:rPr>
        <w:t>[email to AER]</w:t>
      </w:r>
      <w:r w:rsidRPr="008A6370">
        <w:t>,</w:t>
      </w:r>
      <w:r>
        <w:t xml:space="preserve"> 11 March 2016. </w:t>
      </w:r>
    </w:p>
  </w:footnote>
  <w:footnote w:id="97">
    <w:p w:rsidR="000F7027" w:rsidRDefault="000F7027" w:rsidP="00D6352A">
      <w:pPr>
        <w:pStyle w:val="FootnoteText"/>
      </w:pPr>
      <w:r>
        <w:rPr>
          <w:rStyle w:val="FootnoteReference"/>
        </w:rPr>
        <w:footnoteRef/>
      </w:r>
      <w:r>
        <w:t xml:space="preserve"> </w:t>
      </w:r>
      <w:r>
        <w:tab/>
      </w:r>
      <w:proofErr w:type="gramStart"/>
      <w:r w:rsidRPr="008A6370">
        <w:t xml:space="preserve">ActewAGL, </w:t>
      </w:r>
      <w:r w:rsidRPr="008A6370">
        <w:rPr>
          <w:rStyle w:val="AERtextitalic"/>
        </w:rPr>
        <w:t>Response to AER information request 051</w:t>
      </w:r>
      <w:r>
        <w:rPr>
          <w:rStyle w:val="AERtextitalic"/>
        </w:rPr>
        <w:t xml:space="preserve"> </w:t>
      </w:r>
      <w:r w:rsidRPr="004E3ADD">
        <w:rPr>
          <w:rStyle w:val="AERtextsize8"/>
        </w:rPr>
        <w:t>[email to AER]</w:t>
      </w:r>
      <w:r w:rsidRPr="008A6370">
        <w:t>,</w:t>
      </w:r>
      <w:r>
        <w:t xml:space="preserve"> 17 February 2016, p. 6</w:t>
      </w:r>
      <w:r w:rsidRPr="008A6370">
        <w:t>.</w:t>
      </w:r>
      <w:proofErr w:type="gramEnd"/>
    </w:p>
  </w:footnote>
  <w:footnote w:id="98">
    <w:p w:rsidR="000F7027" w:rsidRPr="00E44864" w:rsidRDefault="000F7027" w:rsidP="00E44864">
      <w:pPr>
        <w:pStyle w:val="FootnoteText"/>
      </w:pPr>
      <w:r>
        <w:rPr>
          <w:rStyle w:val="FootnoteReference"/>
        </w:rPr>
        <w:footnoteRef/>
      </w:r>
      <w:r>
        <w:t xml:space="preserve"> </w:t>
      </w:r>
      <w:r>
        <w:tab/>
      </w:r>
      <w:proofErr w:type="spellStart"/>
      <w:r>
        <w:t>Sleeman</w:t>
      </w:r>
      <w:proofErr w:type="spellEnd"/>
      <w:r>
        <w:t xml:space="preserve"> Consulting, </w:t>
      </w:r>
      <w:r w:rsidRPr="005B3D90">
        <w:rPr>
          <w:rStyle w:val="AERtextitalic"/>
        </w:rPr>
        <w:t>Comments on ActewAGL response to the AER's draft decision</w:t>
      </w:r>
      <w:r>
        <w:t>, 28 March 2016</w:t>
      </w:r>
      <w:r w:rsidRPr="00E44864">
        <w:t xml:space="preserve">, </w:t>
      </w:r>
      <w:r w:rsidRPr="00E44864">
        <w:rPr>
          <w:rStyle w:val="AERtexthighlight"/>
          <w:shd w:val="clear" w:color="auto" w:fill="auto"/>
        </w:rPr>
        <w:t>section 2.1.4(</w:t>
      </w:r>
      <w:proofErr w:type="gramStart"/>
      <w:r w:rsidRPr="00E44864">
        <w:rPr>
          <w:rStyle w:val="AERtexthighlight"/>
          <w:shd w:val="clear" w:color="auto" w:fill="auto"/>
        </w:rPr>
        <w:t>vi</w:t>
      </w:r>
      <w:proofErr w:type="gramEnd"/>
      <w:r w:rsidRPr="00E44864">
        <w:rPr>
          <w:rStyle w:val="AERtexthighlight"/>
          <w:shd w:val="clear" w:color="auto" w:fill="auto"/>
        </w:rPr>
        <w:t>)</w:t>
      </w:r>
      <w:r w:rsidRPr="00E44864">
        <w:t>.</w:t>
      </w:r>
    </w:p>
  </w:footnote>
  <w:footnote w:id="99">
    <w:p w:rsidR="000F7027" w:rsidRDefault="000F7027" w:rsidP="00D6352A">
      <w:pPr>
        <w:pStyle w:val="FootnoteText"/>
      </w:pPr>
      <w:r>
        <w:rPr>
          <w:rStyle w:val="FootnoteReference"/>
        </w:rPr>
        <w:footnoteRef/>
      </w:r>
      <w:r>
        <w:t xml:space="preserve"> </w:t>
      </w:r>
      <w:r>
        <w:tab/>
      </w:r>
      <w:proofErr w:type="gramStart"/>
      <w:r w:rsidRPr="008A6370">
        <w:t xml:space="preserve">ActewAGL, </w:t>
      </w:r>
      <w:r w:rsidRPr="008A6370">
        <w:rPr>
          <w:rStyle w:val="AERtextitalic"/>
        </w:rPr>
        <w:t>Response to AER information request 051</w:t>
      </w:r>
      <w:r>
        <w:rPr>
          <w:rStyle w:val="AERtextitalic"/>
        </w:rPr>
        <w:t xml:space="preserve"> </w:t>
      </w:r>
      <w:r w:rsidRPr="004E3ADD">
        <w:rPr>
          <w:rStyle w:val="AERtextsize8"/>
        </w:rPr>
        <w:t>[email to AER]</w:t>
      </w:r>
      <w:r w:rsidRPr="008A6370">
        <w:t>, 17 February 2016, p. 7.</w:t>
      </w:r>
      <w:proofErr w:type="gramEnd"/>
    </w:p>
  </w:footnote>
  <w:footnote w:id="100">
    <w:p w:rsidR="000F7027" w:rsidRPr="00E44864" w:rsidRDefault="000F7027" w:rsidP="00E44864">
      <w:pPr>
        <w:pStyle w:val="FootnoteText"/>
      </w:pPr>
      <w:r>
        <w:rPr>
          <w:rStyle w:val="FootnoteReference"/>
        </w:rPr>
        <w:footnoteRef/>
      </w:r>
      <w:r>
        <w:t xml:space="preserve"> </w:t>
      </w:r>
      <w:r>
        <w:tab/>
      </w:r>
      <w:proofErr w:type="spellStart"/>
      <w:r w:rsidRPr="00643CCE">
        <w:t>Sleeman</w:t>
      </w:r>
      <w:proofErr w:type="spellEnd"/>
      <w:r w:rsidRPr="00643CCE">
        <w:t xml:space="preserve"> Consulting, </w:t>
      </w:r>
      <w:r w:rsidRPr="00643CCE">
        <w:rPr>
          <w:rStyle w:val="AERtextitalic"/>
        </w:rPr>
        <w:t>Comments on ActewAGL response to the AER's draft decision</w:t>
      </w:r>
      <w:r w:rsidRPr="00643CCE">
        <w:t xml:space="preserve">, </w:t>
      </w:r>
      <w:r>
        <w:t>28 March 2016</w:t>
      </w:r>
      <w:r w:rsidRPr="00E44864">
        <w:t xml:space="preserve">, </w:t>
      </w:r>
      <w:r w:rsidRPr="00E44864">
        <w:rPr>
          <w:rStyle w:val="AERtexthighlight"/>
          <w:shd w:val="clear" w:color="auto" w:fill="auto"/>
        </w:rPr>
        <w:t>section 2.1.4(viii)</w:t>
      </w:r>
      <w:r w:rsidRPr="00E44864">
        <w:t>.</w:t>
      </w:r>
    </w:p>
  </w:footnote>
  <w:footnote w:id="101">
    <w:p w:rsidR="000F7027" w:rsidRDefault="000F7027" w:rsidP="00147D10">
      <w:pPr>
        <w:pStyle w:val="FootnoteText"/>
      </w:pPr>
      <w:r>
        <w:rPr>
          <w:rStyle w:val="FootnoteReference"/>
        </w:rPr>
        <w:footnoteRef/>
      </w:r>
      <w:r>
        <w:t xml:space="preserve"> </w:t>
      </w:r>
      <w:r>
        <w:tab/>
        <w:t xml:space="preserve">ActewAGL, </w:t>
      </w:r>
      <w:r w:rsidRPr="008A6370">
        <w:rPr>
          <w:rStyle w:val="AERtextitalic"/>
        </w:rPr>
        <w:t>Response to AER information request 051</w:t>
      </w:r>
      <w:r w:rsidRPr="008A6370">
        <w:t>, 17 February 2016</w:t>
      </w:r>
      <w:r>
        <w:t>, pp. 7–8.</w:t>
      </w:r>
    </w:p>
  </w:footnote>
  <w:footnote w:id="102">
    <w:p w:rsidR="000F7027" w:rsidRDefault="000F7027" w:rsidP="00147D10">
      <w:pPr>
        <w:pStyle w:val="FootnoteText"/>
      </w:pPr>
      <w:r>
        <w:rPr>
          <w:rStyle w:val="FootnoteReference"/>
        </w:rPr>
        <w:footnoteRef/>
      </w:r>
      <w:r>
        <w:t xml:space="preserve"> </w:t>
      </w:r>
      <w:r>
        <w:tab/>
        <w:t xml:space="preserve">ActewAGL, </w:t>
      </w:r>
      <w:r w:rsidRPr="008A6370">
        <w:rPr>
          <w:rStyle w:val="AERtextitalic"/>
        </w:rPr>
        <w:t>Response to AER information request 051</w:t>
      </w:r>
      <w:r w:rsidRPr="008A6370">
        <w:t>, 17 February 2016</w:t>
      </w:r>
      <w:r>
        <w:t>, attachments 2, 3 and 6. (Note that attachments 2, 3 and 6 were provided to the AER on 18 February 2016).</w:t>
      </w:r>
    </w:p>
  </w:footnote>
  <w:footnote w:id="103">
    <w:p w:rsidR="000F7027" w:rsidRDefault="000F7027" w:rsidP="00147D10">
      <w:pPr>
        <w:pStyle w:val="FootnoteText"/>
      </w:pPr>
      <w:r>
        <w:rPr>
          <w:rStyle w:val="FootnoteReference"/>
        </w:rPr>
        <w:footnoteRef/>
      </w:r>
      <w:r>
        <w:t xml:space="preserve"> </w:t>
      </w:r>
      <w:r>
        <w:tab/>
        <w:t xml:space="preserve">ActewAGL, </w:t>
      </w:r>
      <w:r w:rsidRPr="008A6370">
        <w:rPr>
          <w:rStyle w:val="AERtextitalic"/>
        </w:rPr>
        <w:t>Response to AER information request 051</w:t>
      </w:r>
      <w:r w:rsidRPr="008A6370">
        <w:t>, 17 February 2016</w:t>
      </w:r>
      <w:r>
        <w:t>, attachments 4 and 5.</w:t>
      </w:r>
    </w:p>
  </w:footnote>
  <w:footnote w:id="104">
    <w:p w:rsidR="000F7027" w:rsidRDefault="000F7027" w:rsidP="00655A95">
      <w:pPr>
        <w:pStyle w:val="FootnoteText"/>
      </w:pPr>
      <w:r>
        <w:rPr>
          <w:rStyle w:val="FootnoteReference"/>
        </w:rPr>
        <w:footnoteRef/>
      </w:r>
      <w:r>
        <w:t xml:space="preserve"> </w:t>
      </w:r>
      <w:r>
        <w:tab/>
      </w:r>
      <w:r w:rsidRPr="00643CCE">
        <w:t>NGR, r. 74(2</w:t>
      </w:r>
      <w:proofErr w:type="gramStart"/>
      <w:r w:rsidRPr="00643CCE">
        <w:t>)(</w:t>
      </w:r>
      <w:proofErr w:type="gramEnd"/>
      <w:r w:rsidRPr="00643CCE">
        <w:t>a).</w:t>
      </w:r>
    </w:p>
  </w:footnote>
  <w:footnote w:id="105">
    <w:p w:rsidR="000F7027" w:rsidRDefault="000F7027" w:rsidP="00655A95">
      <w:pPr>
        <w:pStyle w:val="FootnoteText"/>
      </w:pPr>
      <w:r>
        <w:rPr>
          <w:rStyle w:val="FootnoteReference"/>
        </w:rPr>
        <w:footnoteRef/>
      </w:r>
      <w:r>
        <w:t xml:space="preserve"> </w:t>
      </w:r>
      <w:r>
        <w:tab/>
      </w:r>
      <w:r w:rsidRPr="00643CCE">
        <w:t xml:space="preserve">ActewAGL, </w:t>
      </w:r>
      <w:r w:rsidRPr="00643CCE">
        <w:rPr>
          <w:rStyle w:val="AERtextitalic"/>
        </w:rPr>
        <w:t>Revised proposal: Appendix 6.03: Capacity development capex</w:t>
      </w:r>
      <w:r w:rsidRPr="00643CCE">
        <w:t>, January 2016, p. 17.</w:t>
      </w:r>
    </w:p>
  </w:footnote>
  <w:footnote w:id="106">
    <w:p w:rsidR="000F7027" w:rsidRDefault="000F7027" w:rsidP="00655A95">
      <w:pPr>
        <w:pStyle w:val="FootnoteText"/>
      </w:pPr>
      <w:r>
        <w:rPr>
          <w:rStyle w:val="FootnoteReference"/>
        </w:rPr>
        <w:footnoteRef/>
      </w:r>
      <w:r>
        <w:t xml:space="preserve"> </w:t>
      </w:r>
      <w:r>
        <w:tab/>
        <w:t xml:space="preserve">AER, </w:t>
      </w:r>
      <w:r w:rsidRPr="00055E14">
        <w:rPr>
          <w:rStyle w:val="AERtextitalic"/>
        </w:rPr>
        <w:t>Draft decision: ActewAGL Distribution access arrangement 2016 to 2021: Attachment 6 – Capital expenditure</w:t>
      </w:r>
      <w:r w:rsidRPr="00055E14">
        <w:t>, November 2015,</w:t>
      </w:r>
      <w:r>
        <w:t xml:space="preserve"> p. 34.</w:t>
      </w:r>
    </w:p>
  </w:footnote>
  <w:footnote w:id="107">
    <w:p w:rsidR="000F7027" w:rsidRDefault="000F7027" w:rsidP="00655A95">
      <w:pPr>
        <w:pStyle w:val="FootnoteText"/>
      </w:pPr>
      <w:r>
        <w:rPr>
          <w:rStyle w:val="FootnoteReference"/>
        </w:rPr>
        <w:footnoteRef/>
      </w:r>
      <w:r>
        <w:t xml:space="preserve"> </w:t>
      </w:r>
      <w:r>
        <w:tab/>
      </w:r>
      <w:proofErr w:type="spellStart"/>
      <w:r>
        <w:t>Sleeman</w:t>
      </w:r>
      <w:proofErr w:type="spellEnd"/>
      <w:r>
        <w:t xml:space="preserve"> Consulting, </w:t>
      </w:r>
      <w:r w:rsidRPr="00055E14">
        <w:rPr>
          <w:rStyle w:val="AERtextitalic"/>
        </w:rPr>
        <w:t>ActewAGL access arrangement 2016–21: Review of capex forecasts for selected projects</w:t>
      </w:r>
      <w:r w:rsidRPr="00055E14">
        <w:t>, 18 November 2015, section 2.2</w:t>
      </w:r>
      <w:r>
        <w:t>.</w:t>
      </w:r>
    </w:p>
  </w:footnote>
  <w:footnote w:id="108">
    <w:p w:rsidR="000F7027" w:rsidRDefault="000F7027" w:rsidP="00655A95">
      <w:pPr>
        <w:pStyle w:val="FootnoteText"/>
      </w:pPr>
      <w:r>
        <w:rPr>
          <w:rStyle w:val="FootnoteReference"/>
        </w:rPr>
        <w:footnoteRef/>
      </w:r>
      <w:r>
        <w:t xml:space="preserve"> </w:t>
      </w:r>
      <w:r>
        <w:tab/>
        <w:t xml:space="preserve">AER, </w:t>
      </w:r>
      <w:r w:rsidRPr="00211A85">
        <w:rPr>
          <w:rStyle w:val="AERtextitalic"/>
        </w:rPr>
        <w:t>Draft decision: ActewAGL Distribution access arrangement 2016 to 2021: Attachment 6 – Capital expenditure</w:t>
      </w:r>
      <w:r>
        <w:t xml:space="preserve">, </w:t>
      </w:r>
      <w:r w:rsidRPr="00211A85">
        <w:t>November 2015</w:t>
      </w:r>
      <w:r>
        <w:t>, p. 34.</w:t>
      </w:r>
    </w:p>
  </w:footnote>
  <w:footnote w:id="109">
    <w:p w:rsidR="000F7027" w:rsidRDefault="000F7027" w:rsidP="00655A95">
      <w:pPr>
        <w:pStyle w:val="FootnoteText"/>
      </w:pPr>
      <w:r>
        <w:rPr>
          <w:rStyle w:val="FootnoteReference"/>
        </w:rPr>
        <w:footnoteRef/>
      </w:r>
      <w:r>
        <w:t xml:space="preserve"> </w:t>
      </w:r>
      <w:r>
        <w:tab/>
        <w:t xml:space="preserve">ActewAGL, </w:t>
      </w:r>
      <w:r w:rsidRPr="00E47962">
        <w:rPr>
          <w:rStyle w:val="AERtextitalic"/>
        </w:rPr>
        <w:t>2016–21 access arrangement: Response to draft decision</w:t>
      </w:r>
      <w:r>
        <w:t>, 6 January 2016, p. 61.</w:t>
      </w:r>
    </w:p>
  </w:footnote>
  <w:footnote w:id="110">
    <w:p w:rsidR="000F7027" w:rsidRDefault="000F7027" w:rsidP="005E7F5A">
      <w:pPr>
        <w:pStyle w:val="FootnoteText"/>
      </w:pPr>
      <w:r>
        <w:rPr>
          <w:rStyle w:val="FootnoteReference"/>
        </w:rPr>
        <w:footnoteRef/>
      </w:r>
      <w:r>
        <w:t xml:space="preserve"> </w:t>
      </w:r>
      <w:r>
        <w:tab/>
        <w:t>See ActewAGL</w:t>
      </w:r>
      <w:r w:rsidRPr="002A18FD">
        <w:t xml:space="preserve">, </w:t>
      </w:r>
      <w:r w:rsidRPr="002A18FD">
        <w:rPr>
          <w:rStyle w:val="AERtextitalic"/>
        </w:rPr>
        <w:t>Revised access arrangement proposal: Appendix 6.03: Capacity development capex</w:t>
      </w:r>
      <w:r w:rsidRPr="002A18FD">
        <w:t>, 6 January 2016</w:t>
      </w:r>
      <w:r>
        <w:t>, pp. 4 and 17.</w:t>
      </w:r>
    </w:p>
  </w:footnote>
  <w:footnote w:id="111">
    <w:p w:rsidR="000F7027" w:rsidRDefault="000F7027" w:rsidP="00655A95">
      <w:pPr>
        <w:pStyle w:val="FootnoteText"/>
      </w:pPr>
      <w:r>
        <w:rPr>
          <w:rStyle w:val="FootnoteReference"/>
        </w:rPr>
        <w:footnoteRef/>
      </w:r>
      <w:r>
        <w:t xml:space="preserve"> </w:t>
      </w:r>
      <w:r>
        <w:tab/>
        <w:t xml:space="preserve">ActewAGL, </w:t>
      </w:r>
      <w:r w:rsidRPr="00E47962">
        <w:rPr>
          <w:rStyle w:val="AERtextitalic"/>
        </w:rPr>
        <w:t>2016–21 access arrangement: Response to draft decision</w:t>
      </w:r>
      <w:r>
        <w:t>, 6 January 2016, p. 62.</w:t>
      </w:r>
    </w:p>
  </w:footnote>
  <w:footnote w:id="112">
    <w:p w:rsidR="000F7027" w:rsidRDefault="000F7027">
      <w:pPr>
        <w:pStyle w:val="FootnoteText"/>
      </w:pPr>
      <w:r>
        <w:rPr>
          <w:rStyle w:val="FootnoteReference"/>
        </w:rPr>
        <w:footnoteRef/>
      </w:r>
      <w:r>
        <w:t xml:space="preserve"> </w:t>
      </w:r>
      <w:r>
        <w:tab/>
        <w:t xml:space="preserve">NGR, </w:t>
      </w:r>
      <w:proofErr w:type="gramStart"/>
      <w:r>
        <w:t>rr</w:t>
      </w:r>
      <w:proofErr w:type="gramEnd"/>
      <w:r>
        <w:t>. 79(1</w:t>
      </w:r>
      <w:proofErr w:type="gramStart"/>
      <w:r>
        <w:t>)(</w:t>
      </w:r>
      <w:proofErr w:type="gramEnd"/>
      <w:r>
        <w:t>a), 79(2)(c)(ii) and (iv).</w:t>
      </w:r>
    </w:p>
  </w:footnote>
  <w:footnote w:id="113">
    <w:p w:rsidR="000F7027" w:rsidRPr="00FA5D84" w:rsidRDefault="000F7027" w:rsidP="00FA5D84">
      <w:pPr>
        <w:pStyle w:val="FootnoteText"/>
      </w:pPr>
      <w:r>
        <w:rPr>
          <w:rStyle w:val="FootnoteReference"/>
        </w:rPr>
        <w:footnoteRef/>
      </w:r>
      <w:r>
        <w:t xml:space="preserve"> </w:t>
      </w:r>
      <w:r>
        <w:tab/>
      </w:r>
      <w:proofErr w:type="spellStart"/>
      <w:r w:rsidRPr="00E449D3">
        <w:t>Sleeman</w:t>
      </w:r>
      <w:proofErr w:type="spellEnd"/>
      <w:r w:rsidRPr="00E449D3">
        <w:t xml:space="preserve"> Consulting, </w:t>
      </w:r>
      <w:r w:rsidRPr="00E449D3">
        <w:rPr>
          <w:rStyle w:val="AERtextitalic"/>
        </w:rPr>
        <w:t>Comments on ActewAGL response to the AER's draft decision</w:t>
      </w:r>
      <w:r w:rsidRPr="00E449D3">
        <w:t xml:space="preserve">, </w:t>
      </w:r>
      <w:r>
        <w:t>28 March 2016</w:t>
      </w:r>
      <w:r w:rsidRPr="00FA5D84">
        <w:t xml:space="preserve">, </w:t>
      </w:r>
      <w:r w:rsidRPr="00FA5D84">
        <w:rPr>
          <w:rStyle w:val="AERtexthighlight"/>
          <w:shd w:val="clear" w:color="auto" w:fill="auto"/>
        </w:rPr>
        <w:t>section 2.2.5 and 2.2.6</w:t>
      </w:r>
      <w:r w:rsidRPr="00FA5D84">
        <w:t>.</w:t>
      </w:r>
    </w:p>
  </w:footnote>
  <w:footnote w:id="114">
    <w:p w:rsidR="000F7027" w:rsidRDefault="000F7027" w:rsidP="00350B06">
      <w:pPr>
        <w:pStyle w:val="FootnoteText"/>
      </w:pPr>
      <w:r>
        <w:rPr>
          <w:rStyle w:val="FootnoteReference"/>
        </w:rPr>
        <w:footnoteRef/>
      </w:r>
      <w:r>
        <w:t xml:space="preserve"> </w:t>
      </w:r>
      <w:r>
        <w:tab/>
        <w:t>ActewAGL,</w:t>
      </w:r>
      <w:r w:rsidRPr="00777007">
        <w:rPr>
          <w:rStyle w:val="AERtextitalic"/>
        </w:rPr>
        <w:t xml:space="preserve"> Access arrangement information, Attachment 6: Capital expenditure,</w:t>
      </w:r>
      <w:r>
        <w:t xml:space="preserve"> June 2015, p. 51. </w:t>
      </w:r>
    </w:p>
  </w:footnote>
  <w:footnote w:id="115">
    <w:p w:rsidR="000F7027" w:rsidRDefault="000F7027" w:rsidP="00FB1F84">
      <w:pPr>
        <w:pStyle w:val="FootnoteText"/>
      </w:pPr>
      <w:r>
        <w:rPr>
          <w:rStyle w:val="FootnoteReference"/>
        </w:rPr>
        <w:footnoteRef/>
      </w:r>
      <w:r>
        <w:t xml:space="preserve"> </w:t>
      </w:r>
      <w:r>
        <w:tab/>
      </w:r>
      <w:proofErr w:type="gramStart"/>
      <w:r>
        <w:t xml:space="preserve">ActewAGL, </w:t>
      </w:r>
      <w:r w:rsidRPr="000A2055">
        <w:rPr>
          <w:rStyle w:val="AERtextitalic"/>
        </w:rPr>
        <w:t>Response to the AER's draft decision,</w:t>
      </w:r>
      <w:r>
        <w:t xml:space="preserve"> January 2016, pp. 62–64.</w:t>
      </w:r>
      <w:proofErr w:type="gramEnd"/>
      <w:r>
        <w:t xml:space="preserve"> </w:t>
      </w:r>
    </w:p>
  </w:footnote>
  <w:footnote w:id="116">
    <w:p w:rsidR="000F7027" w:rsidRDefault="000F7027" w:rsidP="00FB1F84">
      <w:pPr>
        <w:pStyle w:val="FootnoteText"/>
      </w:pPr>
      <w:r>
        <w:rPr>
          <w:rStyle w:val="FootnoteReference"/>
        </w:rPr>
        <w:footnoteRef/>
      </w:r>
      <w:r>
        <w:t xml:space="preserve"> </w:t>
      </w:r>
      <w:r>
        <w:tab/>
      </w:r>
      <w:proofErr w:type="gramStart"/>
      <w:r>
        <w:t xml:space="preserve">ActewAGL, </w:t>
      </w:r>
      <w:r w:rsidRPr="000A2055">
        <w:rPr>
          <w:rStyle w:val="AERtextitalic"/>
        </w:rPr>
        <w:t>Response to the AER's draft decision,</w:t>
      </w:r>
      <w:r>
        <w:t xml:space="preserve"> January 2016, p. 65.</w:t>
      </w:r>
      <w:proofErr w:type="gramEnd"/>
    </w:p>
  </w:footnote>
  <w:footnote w:id="117">
    <w:p w:rsidR="000F7027" w:rsidRDefault="000F7027" w:rsidP="00FB1F84">
      <w:pPr>
        <w:pStyle w:val="FootnoteText"/>
      </w:pPr>
      <w:r>
        <w:rPr>
          <w:rStyle w:val="FootnoteReference"/>
        </w:rPr>
        <w:footnoteRef/>
      </w:r>
      <w:r>
        <w:t xml:space="preserve"> </w:t>
      </w:r>
      <w:r>
        <w:tab/>
        <w:t>ActewAGL provided two historical examples where infrastructure was required to be relocated and the costs could not be recovered from third parties. ActewAGL,</w:t>
      </w:r>
      <w:r w:rsidRPr="0074334C">
        <w:rPr>
          <w:rStyle w:val="AERtextitalic"/>
        </w:rPr>
        <w:t xml:space="preserve"> Response to AER information request 007,</w:t>
      </w:r>
      <w:r>
        <w:t xml:space="preserve"> 22 July 2015, pp. 1–2. </w:t>
      </w:r>
    </w:p>
  </w:footnote>
  <w:footnote w:id="118">
    <w:p w:rsidR="000F7027" w:rsidRDefault="000F7027">
      <w:pPr>
        <w:pStyle w:val="FootnoteText"/>
      </w:pPr>
      <w:r>
        <w:rPr>
          <w:rStyle w:val="FootnoteReference"/>
        </w:rPr>
        <w:footnoteRef/>
      </w:r>
      <w:r>
        <w:t xml:space="preserve"> </w:t>
      </w:r>
      <w:r>
        <w:tab/>
        <w:t xml:space="preserve">ActewAGL forecast $0.4 million of this expenditure to be incurred over 2015–16, with the remainder to be incurred in the 2016–21 access arrangement period. </w:t>
      </w:r>
    </w:p>
  </w:footnote>
  <w:footnote w:id="119">
    <w:p w:rsidR="000F7027" w:rsidRDefault="000F7027" w:rsidP="00FB1F84">
      <w:pPr>
        <w:pStyle w:val="FootnoteText"/>
      </w:pPr>
      <w:r>
        <w:rPr>
          <w:rStyle w:val="FootnoteReference"/>
        </w:rPr>
        <w:footnoteRef/>
      </w:r>
      <w:r>
        <w:t xml:space="preserve"> </w:t>
      </w:r>
      <w:r>
        <w:tab/>
      </w:r>
      <w:proofErr w:type="gramStart"/>
      <w:r>
        <w:t xml:space="preserve">Jemena, </w:t>
      </w:r>
      <w:r w:rsidRPr="00195A7F">
        <w:rPr>
          <w:rStyle w:val="AERtextitalic"/>
        </w:rPr>
        <w:t xml:space="preserve">Opportunity brief, Facilities </w:t>
      </w:r>
      <w:r>
        <w:rPr>
          <w:rStyle w:val="AERtextitalic"/>
        </w:rPr>
        <w:t>c</w:t>
      </w:r>
      <w:r w:rsidRPr="00195A7F">
        <w:rPr>
          <w:rStyle w:val="AERtextitalic"/>
        </w:rPr>
        <w:t xml:space="preserve">ompliance </w:t>
      </w:r>
      <w:r>
        <w:rPr>
          <w:rStyle w:val="AERtextitalic"/>
        </w:rPr>
        <w:t>u</w:t>
      </w:r>
      <w:r w:rsidRPr="00195A7F">
        <w:rPr>
          <w:rStyle w:val="AERtextitalic"/>
        </w:rPr>
        <w:t xml:space="preserve">pgrade program, </w:t>
      </w:r>
      <w:r>
        <w:t>13 March 2015, p. 1.</w:t>
      </w:r>
      <w:proofErr w:type="gramEnd"/>
    </w:p>
  </w:footnote>
  <w:footnote w:id="120">
    <w:p w:rsidR="000F7027" w:rsidRDefault="000F7027" w:rsidP="00FB1F84">
      <w:pPr>
        <w:pStyle w:val="FootnoteText"/>
      </w:pPr>
      <w:r>
        <w:rPr>
          <w:rStyle w:val="FootnoteReference"/>
        </w:rPr>
        <w:footnoteRef/>
      </w:r>
      <w:r>
        <w:t xml:space="preserve"> </w:t>
      </w:r>
      <w:r>
        <w:tab/>
        <w:t xml:space="preserve">AER, </w:t>
      </w:r>
      <w:r w:rsidRPr="00A767CA">
        <w:rPr>
          <w:rStyle w:val="AERtextitalic"/>
        </w:rPr>
        <w:t>Draft decision, ActewAGL Distribution 2016 to 2021, Attachment 6: Capital expenditure,</w:t>
      </w:r>
      <w:r>
        <w:t xml:space="preserve"> November 2015, p. 6-37. </w:t>
      </w:r>
    </w:p>
  </w:footnote>
  <w:footnote w:id="121">
    <w:p w:rsidR="000F7027" w:rsidRDefault="000F7027" w:rsidP="00FB1F84">
      <w:pPr>
        <w:pStyle w:val="FootnoteText"/>
      </w:pPr>
      <w:r>
        <w:rPr>
          <w:rStyle w:val="FootnoteReference"/>
        </w:rPr>
        <w:footnoteRef/>
      </w:r>
      <w:r>
        <w:t xml:space="preserve"> </w:t>
      </w:r>
      <w:r>
        <w:tab/>
      </w:r>
      <w:proofErr w:type="gramStart"/>
      <w:r>
        <w:t xml:space="preserve">ActewAGL, </w:t>
      </w:r>
      <w:r w:rsidRPr="000A2055">
        <w:rPr>
          <w:rStyle w:val="AERtextitalic"/>
        </w:rPr>
        <w:t>Response to the AER's draft decision,</w:t>
      </w:r>
      <w:r>
        <w:t xml:space="preserve"> January 2016, p. 64.</w:t>
      </w:r>
      <w:proofErr w:type="gramEnd"/>
      <w:r>
        <w:t xml:space="preserve"> </w:t>
      </w:r>
    </w:p>
  </w:footnote>
  <w:footnote w:id="122">
    <w:p w:rsidR="000F7027" w:rsidRDefault="000F7027" w:rsidP="00FB1F84">
      <w:pPr>
        <w:pStyle w:val="FootnoteText"/>
      </w:pPr>
      <w:r>
        <w:rPr>
          <w:rStyle w:val="FootnoteReference"/>
        </w:rPr>
        <w:footnoteRef/>
      </w:r>
      <w:r>
        <w:t xml:space="preserve"> </w:t>
      </w:r>
      <w:r>
        <w:tab/>
        <w:t xml:space="preserve">ActewAGL, </w:t>
      </w:r>
      <w:r w:rsidRPr="00C05079">
        <w:rPr>
          <w:rStyle w:val="AERtextitalic"/>
        </w:rPr>
        <w:t>Response to AER information request 045</w:t>
      </w:r>
      <w:r>
        <w:t xml:space="preserve">, 4 February 2016. </w:t>
      </w:r>
    </w:p>
  </w:footnote>
  <w:footnote w:id="123">
    <w:p w:rsidR="000F7027" w:rsidRDefault="000F7027">
      <w:pPr>
        <w:pStyle w:val="FootnoteText"/>
      </w:pPr>
      <w:r>
        <w:rPr>
          <w:rStyle w:val="FootnoteReference"/>
        </w:rPr>
        <w:footnoteRef/>
      </w:r>
      <w:r>
        <w:t xml:space="preserve"> </w:t>
      </w:r>
      <w:r>
        <w:tab/>
        <w:t xml:space="preserve">Jemena, </w:t>
      </w:r>
      <w:r w:rsidRPr="0049451F">
        <w:rPr>
          <w:rStyle w:val="AERtextitalic"/>
        </w:rPr>
        <w:t>Gungahlin PRS electrical and instrumentation holistic audit,</w:t>
      </w:r>
      <w:r>
        <w:t xml:space="preserve"> 10 December 2015, p. 4; Jemena, </w:t>
      </w:r>
      <w:r>
        <w:rPr>
          <w:rStyle w:val="AERtextitalic"/>
        </w:rPr>
        <w:t>B</w:t>
      </w:r>
      <w:r w:rsidRPr="0049451F">
        <w:rPr>
          <w:rStyle w:val="AERtextitalic"/>
        </w:rPr>
        <w:t>ung</w:t>
      </w:r>
      <w:r>
        <w:rPr>
          <w:rStyle w:val="AERtextitalic"/>
        </w:rPr>
        <w:t xml:space="preserve">endore POTS </w:t>
      </w:r>
      <w:r w:rsidRPr="0049451F">
        <w:rPr>
          <w:rStyle w:val="AERtextitalic"/>
        </w:rPr>
        <w:t>electrical and instrumentation holistic audit,</w:t>
      </w:r>
      <w:r>
        <w:t xml:space="preserve"> 10 December 2015, p. 4; Jemena, </w:t>
      </w:r>
      <w:proofErr w:type="spellStart"/>
      <w:r>
        <w:rPr>
          <w:rStyle w:val="AERtextitalic"/>
        </w:rPr>
        <w:t>Hoskinstown</w:t>
      </w:r>
      <w:proofErr w:type="spellEnd"/>
      <w:r>
        <w:rPr>
          <w:rStyle w:val="AERtextitalic"/>
        </w:rPr>
        <w:t xml:space="preserve"> CTS</w:t>
      </w:r>
      <w:r w:rsidRPr="0049451F">
        <w:rPr>
          <w:rStyle w:val="AERtextitalic"/>
        </w:rPr>
        <w:t xml:space="preserve"> electrical and instrumentation holistic audit,</w:t>
      </w:r>
      <w:r>
        <w:t xml:space="preserve"> 10 December 2015, p. 4; Jemena, </w:t>
      </w:r>
      <w:r>
        <w:rPr>
          <w:rStyle w:val="AERtextitalic"/>
        </w:rPr>
        <w:t>Watson</w:t>
      </w:r>
      <w:r w:rsidRPr="0049451F">
        <w:rPr>
          <w:rStyle w:val="AERtextitalic"/>
        </w:rPr>
        <w:t xml:space="preserve"> PRS electrical and instrumentation holistic audit,</w:t>
      </w:r>
      <w:r>
        <w:t xml:space="preserve"> 10 December 2015, p. 4.</w:t>
      </w:r>
    </w:p>
  </w:footnote>
  <w:footnote w:id="124">
    <w:p w:rsidR="000F7027" w:rsidRDefault="000F7027" w:rsidP="001E475D">
      <w:pPr>
        <w:pStyle w:val="FootnoteText"/>
      </w:pPr>
      <w:r>
        <w:rPr>
          <w:rStyle w:val="FootnoteReference"/>
        </w:rPr>
        <w:footnoteRef/>
      </w:r>
      <w:r>
        <w:t xml:space="preserve"> </w:t>
      </w:r>
      <w:r>
        <w:tab/>
        <w:t xml:space="preserve">See section 1.3 </w:t>
      </w:r>
      <w:r w:rsidRPr="001E475D">
        <w:t>of</w:t>
      </w:r>
      <w:r>
        <w:t xml:space="preserve"> Gungahlin PRS Electrical and Instrumentation Holistic audit (confidential).</w:t>
      </w:r>
    </w:p>
  </w:footnote>
  <w:footnote w:id="125">
    <w:p w:rsidR="000F7027" w:rsidRPr="001E475D" w:rsidRDefault="000F7027" w:rsidP="001E475D">
      <w:pPr>
        <w:pStyle w:val="FootnoteText"/>
      </w:pPr>
      <w:r>
        <w:rPr>
          <w:rStyle w:val="FootnoteReference"/>
        </w:rPr>
        <w:footnoteRef/>
      </w:r>
      <w:r>
        <w:t xml:space="preserve"> </w:t>
      </w:r>
      <w:r>
        <w:tab/>
      </w:r>
      <w:proofErr w:type="spellStart"/>
      <w:r>
        <w:t>Sleeman</w:t>
      </w:r>
      <w:proofErr w:type="spellEnd"/>
      <w:r>
        <w:t xml:space="preserve"> Consulting, </w:t>
      </w:r>
      <w:r w:rsidRPr="0024187F">
        <w:rPr>
          <w:rStyle w:val="AERtextitalic"/>
        </w:rPr>
        <w:t xml:space="preserve">ActewAGL access arrangement 2016–21: </w:t>
      </w:r>
      <w:r>
        <w:rPr>
          <w:rStyle w:val="AERtextitalic"/>
        </w:rPr>
        <w:t>Comments on ActewAGL response to the AER's draft decision</w:t>
      </w:r>
      <w:r>
        <w:t>, March 2016, pp. 7–8</w:t>
      </w:r>
      <w:r w:rsidRPr="001E475D">
        <w:t>.</w:t>
      </w:r>
    </w:p>
  </w:footnote>
  <w:footnote w:id="126">
    <w:p w:rsidR="000F7027" w:rsidRPr="001E475D" w:rsidRDefault="000F7027" w:rsidP="00761015">
      <w:pPr>
        <w:pStyle w:val="FootnoteText"/>
      </w:pPr>
      <w:r>
        <w:rPr>
          <w:rStyle w:val="FootnoteReference"/>
        </w:rPr>
        <w:footnoteRef/>
      </w:r>
      <w:r>
        <w:t xml:space="preserve"> </w:t>
      </w:r>
      <w:r>
        <w:tab/>
      </w:r>
      <w:proofErr w:type="spellStart"/>
      <w:r>
        <w:t>Sleeman</w:t>
      </w:r>
      <w:proofErr w:type="spellEnd"/>
      <w:r>
        <w:t xml:space="preserve"> Consulting, </w:t>
      </w:r>
      <w:r w:rsidRPr="0024187F">
        <w:rPr>
          <w:rStyle w:val="AERtextitalic"/>
        </w:rPr>
        <w:t xml:space="preserve">ActewAGL access arrangement 2016–21: </w:t>
      </w:r>
      <w:r>
        <w:rPr>
          <w:rStyle w:val="AERtextitalic"/>
        </w:rPr>
        <w:t>Comments on ActewAGL response to the AER's draft decision</w:t>
      </w:r>
      <w:r>
        <w:t>, March 2016, p. 8</w:t>
      </w:r>
      <w:r w:rsidRPr="001E475D">
        <w:t>.</w:t>
      </w:r>
    </w:p>
  </w:footnote>
  <w:footnote w:id="127">
    <w:p w:rsidR="000F7027" w:rsidRDefault="000F7027" w:rsidP="006624BB">
      <w:pPr>
        <w:pStyle w:val="FootnoteText"/>
      </w:pPr>
      <w:r>
        <w:rPr>
          <w:rStyle w:val="FootnoteReference"/>
        </w:rPr>
        <w:footnoteRef/>
      </w:r>
      <w:r>
        <w:t xml:space="preserve"> </w:t>
      </w:r>
      <w:r>
        <w:tab/>
      </w:r>
      <w:proofErr w:type="gramStart"/>
      <w:r>
        <w:t xml:space="preserve">ActewAGL, </w:t>
      </w:r>
      <w:r w:rsidRPr="00C05079">
        <w:rPr>
          <w:rStyle w:val="AERtextitalic"/>
        </w:rPr>
        <w:t>Response to AER information request 045</w:t>
      </w:r>
      <w:r>
        <w:rPr>
          <w:rStyle w:val="AERtextitalic"/>
        </w:rPr>
        <w:t xml:space="preserve"> </w:t>
      </w:r>
      <w:r w:rsidRPr="004E3ADD">
        <w:rPr>
          <w:rStyle w:val="AERtextsize8"/>
        </w:rPr>
        <w:t>[email to AER]</w:t>
      </w:r>
      <w:r>
        <w:t>, 4 February 2016, p. 5.</w:t>
      </w:r>
      <w:proofErr w:type="gramEnd"/>
      <w:r>
        <w:t xml:space="preserve"> </w:t>
      </w:r>
    </w:p>
  </w:footnote>
  <w:footnote w:id="128">
    <w:p w:rsidR="000F7027" w:rsidRDefault="000F7027">
      <w:pPr>
        <w:pStyle w:val="FootnoteText"/>
      </w:pPr>
      <w:r>
        <w:rPr>
          <w:rStyle w:val="FootnoteReference"/>
        </w:rPr>
        <w:footnoteRef/>
      </w:r>
      <w:r>
        <w:t xml:space="preserve"> </w:t>
      </w:r>
      <w:r>
        <w:tab/>
        <w:t>AS/NZS 1768:2007 'Lightning Protection' was introduced in 2007, to replace AS/NZS 1768:2003.</w:t>
      </w:r>
    </w:p>
  </w:footnote>
  <w:footnote w:id="129">
    <w:p w:rsidR="000F7027" w:rsidRDefault="000F7027">
      <w:pPr>
        <w:pStyle w:val="FootnoteText"/>
      </w:pPr>
      <w:r>
        <w:rPr>
          <w:rStyle w:val="FootnoteReference"/>
        </w:rPr>
        <w:footnoteRef/>
      </w:r>
      <w:r>
        <w:t xml:space="preserve"> </w:t>
      </w:r>
      <w:r>
        <w:tab/>
        <w:t xml:space="preserve">Under the </w:t>
      </w:r>
      <w:r w:rsidRPr="00D212CB">
        <w:rPr>
          <w:rStyle w:val="AERtextitalic"/>
        </w:rPr>
        <w:t>Utilities Act 2000</w:t>
      </w:r>
      <w:r>
        <w:t xml:space="preserve"> (ACT) and the </w:t>
      </w:r>
      <w:r w:rsidRPr="00D212CB">
        <w:rPr>
          <w:rStyle w:val="AERtextitalic"/>
        </w:rPr>
        <w:t>Gas Supply Act 1996</w:t>
      </w:r>
      <w:r>
        <w:t xml:space="preserve"> (NSW).</w:t>
      </w:r>
    </w:p>
  </w:footnote>
  <w:footnote w:id="130">
    <w:p w:rsidR="000F7027" w:rsidRPr="001E475D" w:rsidRDefault="000F7027" w:rsidP="001E475D">
      <w:pPr>
        <w:pStyle w:val="FootnoteText"/>
      </w:pPr>
      <w:r>
        <w:rPr>
          <w:rStyle w:val="FootnoteReference"/>
        </w:rPr>
        <w:footnoteRef/>
      </w:r>
      <w:r>
        <w:t xml:space="preserve"> </w:t>
      </w:r>
      <w:r>
        <w:tab/>
      </w:r>
      <w:proofErr w:type="spellStart"/>
      <w:r>
        <w:t>Sleeman</w:t>
      </w:r>
      <w:proofErr w:type="spellEnd"/>
      <w:r>
        <w:t xml:space="preserve"> Consulting, </w:t>
      </w:r>
      <w:r w:rsidRPr="0024187F">
        <w:rPr>
          <w:rStyle w:val="AERtextitalic"/>
        </w:rPr>
        <w:t xml:space="preserve">ActewAGL access arrangement 2016–21: </w:t>
      </w:r>
      <w:r>
        <w:rPr>
          <w:rStyle w:val="AERtextitalic"/>
        </w:rPr>
        <w:t>Comments on ActewAGL response to the AER's draft decision</w:t>
      </w:r>
      <w:r>
        <w:t>, March 2016, p. 8</w:t>
      </w:r>
      <w:r w:rsidRPr="001E475D">
        <w:t>.</w:t>
      </w:r>
    </w:p>
  </w:footnote>
  <w:footnote w:id="131">
    <w:p w:rsidR="000F7027" w:rsidRDefault="000F7027" w:rsidP="000E0AC9">
      <w:pPr>
        <w:pStyle w:val="FootnoteText"/>
      </w:pPr>
      <w:r>
        <w:rPr>
          <w:rStyle w:val="FootnoteReference"/>
        </w:rPr>
        <w:footnoteRef/>
      </w:r>
      <w:r>
        <w:t xml:space="preserve"> </w:t>
      </w:r>
      <w:r>
        <w:tab/>
      </w:r>
      <w:proofErr w:type="spellStart"/>
      <w:r>
        <w:t>Sleeman</w:t>
      </w:r>
      <w:proofErr w:type="spellEnd"/>
      <w:r>
        <w:t xml:space="preserve"> Consulting, </w:t>
      </w:r>
      <w:r w:rsidRPr="0024187F">
        <w:rPr>
          <w:rStyle w:val="AERtextitalic"/>
        </w:rPr>
        <w:t xml:space="preserve">ActewAGL access arrangement 2016–21: </w:t>
      </w:r>
      <w:r>
        <w:rPr>
          <w:rStyle w:val="AERtextitalic"/>
        </w:rPr>
        <w:t>Comments on ActewAGL response to the AER's draft decision</w:t>
      </w:r>
      <w:r>
        <w:t>, March 2016, pp. 8–9.</w:t>
      </w:r>
    </w:p>
  </w:footnote>
  <w:footnote w:id="132">
    <w:p w:rsidR="000F7027" w:rsidRDefault="000F7027">
      <w:pPr>
        <w:pStyle w:val="FootnoteText"/>
      </w:pPr>
      <w:r>
        <w:rPr>
          <w:rStyle w:val="FootnoteReference"/>
        </w:rPr>
        <w:footnoteRef/>
      </w:r>
      <w:r>
        <w:t xml:space="preserve"> </w:t>
      </w:r>
      <w:r>
        <w:tab/>
        <w:t xml:space="preserve">ActewAGL Distribution, </w:t>
      </w:r>
      <w:r w:rsidRPr="004E3ADD">
        <w:rPr>
          <w:i/>
        </w:rPr>
        <w:t>Response to the AER’s Draft Decision</w:t>
      </w:r>
      <w:r>
        <w:t>, January 2016, p. 64</w:t>
      </w:r>
      <w:proofErr w:type="gramStart"/>
      <w:r>
        <w:t>..</w:t>
      </w:r>
      <w:proofErr w:type="gramEnd"/>
    </w:p>
  </w:footnote>
  <w:footnote w:id="133">
    <w:p w:rsidR="000F7027" w:rsidRDefault="000F7027">
      <w:pPr>
        <w:pStyle w:val="FootnoteText"/>
      </w:pPr>
      <w:r>
        <w:rPr>
          <w:rStyle w:val="FootnoteReference"/>
        </w:rPr>
        <w:footnoteRef/>
      </w:r>
      <w:r>
        <w:t xml:space="preserve"> </w:t>
      </w:r>
      <w:r>
        <w:tab/>
        <w:t xml:space="preserve">AER, </w:t>
      </w:r>
      <w:r w:rsidRPr="00A767CA">
        <w:rPr>
          <w:rStyle w:val="AERtextitalic"/>
        </w:rPr>
        <w:t>Draft decision, ActewAGL Distribution 2016 to 2021, Attachment 6: Capital expenditure,</w:t>
      </w:r>
      <w:r>
        <w:t xml:space="preserve"> November 2015, p. 37.</w:t>
      </w:r>
    </w:p>
  </w:footnote>
  <w:footnote w:id="134">
    <w:p w:rsidR="000F7027" w:rsidRDefault="000F7027">
      <w:pPr>
        <w:pStyle w:val="FootnoteText"/>
      </w:pPr>
      <w:r>
        <w:rPr>
          <w:rStyle w:val="FootnoteReference"/>
        </w:rPr>
        <w:footnoteRef/>
      </w:r>
      <w:r>
        <w:t xml:space="preserve"> </w:t>
      </w:r>
      <w:r>
        <w:tab/>
      </w:r>
      <w:proofErr w:type="gramStart"/>
      <w:r>
        <w:t xml:space="preserve">Jemena, </w:t>
      </w:r>
      <w:r w:rsidRPr="00D34002">
        <w:rPr>
          <w:rStyle w:val="AERtextitalic"/>
        </w:rPr>
        <w:t>Project estimating model, Summary page,</w:t>
      </w:r>
      <w:r>
        <w:t xml:space="preserve"> December 2015.</w:t>
      </w:r>
      <w:proofErr w:type="gramEnd"/>
    </w:p>
  </w:footnote>
  <w:footnote w:id="135">
    <w:p w:rsidR="000F7027" w:rsidRDefault="000F7027" w:rsidP="001E475D">
      <w:pPr>
        <w:pStyle w:val="FootnoteText"/>
      </w:pPr>
      <w:r>
        <w:rPr>
          <w:rStyle w:val="FootnoteReference"/>
        </w:rPr>
        <w:footnoteRef/>
      </w:r>
      <w:r>
        <w:t xml:space="preserve"> </w:t>
      </w:r>
      <w:r>
        <w:tab/>
      </w:r>
      <w:proofErr w:type="spellStart"/>
      <w:r>
        <w:t>Sleeman</w:t>
      </w:r>
      <w:proofErr w:type="spellEnd"/>
      <w:r>
        <w:t xml:space="preserve"> Consulting, </w:t>
      </w:r>
      <w:r w:rsidRPr="0024187F">
        <w:rPr>
          <w:rStyle w:val="AERtextitalic"/>
        </w:rPr>
        <w:t xml:space="preserve">ActewAGL access arrangement 2016–21: </w:t>
      </w:r>
      <w:r>
        <w:rPr>
          <w:rStyle w:val="AERtextitalic"/>
        </w:rPr>
        <w:t>Comments on ActewAGL response to the AER's draft decision</w:t>
      </w:r>
      <w:r>
        <w:t>, March 2016, p. 9</w:t>
      </w:r>
      <w:r w:rsidRPr="001E475D">
        <w:t>.</w:t>
      </w:r>
    </w:p>
  </w:footnote>
  <w:footnote w:id="136">
    <w:p w:rsidR="000F7027" w:rsidRDefault="000F7027" w:rsidP="00560304">
      <w:pPr>
        <w:pStyle w:val="FootnoteText"/>
      </w:pPr>
      <w:r>
        <w:rPr>
          <w:rStyle w:val="FootnoteReference"/>
        </w:rPr>
        <w:footnoteRef/>
      </w:r>
      <w:r>
        <w:t xml:space="preserve"> </w:t>
      </w:r>
      <w:r>
        <w:tab/>
        <w:t xml:space="preserve">ActewAGL, </w:t>
      </w:r>
      <w:proofErr w:type="gramStart"/>
      <w:r w:rsidRPr="00390641">
        <w:rPr>
          <w:rStyle w:val="AERtextitalic"/>
        </w:rPr>
        <w:t>201</w:t>
      </w:r>
      <w:r>
        <w:rPr>
          <w:rStyle w:val="AERtextitalic"/>
        </w:rPr>
        <w:t>6–</w:t>
      </w:r>
      <w:r w:rsidRPr="00390641">
        <w:rPr>
          <w:rStyle w:val="AERtextitalic"/>
        </w:rPr>
        <w:t>2</w:t>
      </w:r>
      <w:r>
        <w:rPr>
          <w:rStyle w:val="AERtextitalic"/>
        </w:rPr>
        <w:t>1</w:t>
      </w:r>
      <w:r w:rsidRPr="00390641">
        <w:rPr>
          <w:rStyle w:val="AERtextitalic"/>
        </w:rPr>
        <w:t xml:space="preserve"> Access Arrangement Information</w:t>
      </w:r>
      <w:r>
        <w:t>, June 2015,</w:t>
      </w:r>
      <w:proofErr w:type="gramEnd"/>
      <w:r>
        <w:t xml:space="preserve"> </w:t>
      </w:r>
      <w:r w:rsidRPr="00F763E8">
        <w:t xml:space="preserve">ActewAGL Distribution </w:t>
      </w:r>
      <w:proofErr w:type="spellStart"/>
      <w:r w:rsidRPr="00F763E8">
        <w:t>AAI_Attachment</w:t>
      </w:r>
      <w:proofErr w:type="spellEnd"/>
      <w:r w:rsidRPr="00F763E8">
        <w:t xml:space="preserve"> 6 Capital expenditure</w:t>
      </w:r>
      <w:r>
        <w:t>.pdf, p.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027" w:rsidRDefault="003A6311">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55168;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57216;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0F7027">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027" w:rsidRDefault="003A631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5619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5824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922065"/>
    <w:multiLevelType w:val="multilevel"/>
    <w:tmpl w:val="3508C774"/>
    <w:lvl w:ilvl="0">
      <w:start w:val="1"/>
      <w:numFmt w:val="decimal"/>
      <w:lvlText w:val="%1."/>
      <w:lvlJc w:val="left"/>
      <w:pPr>
        <w:ind w:left="1080" w:hanging="360"/>
      </w:pPr>
      <w:rPr>
        <w:rFonts w:hint="default"/>
        <w:b/>
      </w:rPr>
    </w:lvl>
    <w:lvl w:ilvl="1">
      <w:start w:val="1"/>
      <w:numFmt w:val="decimal"/>
      <w:lvlText w:val="%1.%2"/>
      <w:lvlJc w:val="left"/>
      <w:pPr>
        <w:ind w:left="1512" w:hanging="432"/>
      </w:pPr>
      <w:rPr>
        <w:rFonts w:hint="default"/>
        <w:color w:val="076A92" w:themeColor="text1"/>
        <w:sz w:val="16"/>
        <w:szCs w:val="16"/>
      </w:rPr>
    </w:lvl>
    <w:lvl w:ilvl="2">
      <w:start w:val="1"/>
      <w:numFmt w:val="decimal"/>
      <w:lvlText w:val="%1.%2.%3."/>
      <w:lvlJc w:val="left"/>
      <w:pPr>
        <w:ind w:left="1944" w:hanging="504"/>
      </w:pPr>
      <w:rPr>
        <w:rFonts w:hint="default"/>
        <w:sz w:val="16"/>
        <w:szCs w:val="16"/>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3741C83"/>
    <w:multiLevelType w:val="hybridMultilevel"/>
    <w:tmpl w:val="12E0586A"/>
    <w:lvl w:ilvl="0" w:tplc="08EE147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A2730A"/>
    <w:multiLevelType w:val="hybridMultilevel"/>
    <w:tmpl w:val="11A446CC"/>
    <w:lvl w:ilvl="0" w:tplc="08EE147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0248C69A"/>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3"/>
  </w:num>
  <w:num w:numId="16">
    <w:abstractNumId w:val="20"/>
  </w:num>
  <w:num w:numId="17">
    <w:abstractNumId w:val="10"/>
  </w:num>
  <w:num w:numId="18">
    <w:abstractNumId w:val="15"/>
  </w:num>
  <w:num w:numId="19">
    <w:abstractNumId w:val="21"/>
  </w:num>
  <w:num w:numId="20">
    <w:abstractNumId w:val="28"/>
  </w:num>
  <w:num w:numId="21">
    <w:abstractNumId w:val="25"/>
  </w:num>
  <w:num w:numId="22">
    <w:abstractNumId w:val="22"/>
  </w:num>
  <w:num w:numId="23">
    <w:abstractNumId w:val="16"/>
  </w:num>
  <w:num w:numId="24">
    <w:abstractNumId w:val="23"/>
  </w:num>
  <w:num w:numId="25">
    <w:abstractNumId w:val="26"/>
  </w:num>
  <w:num w:numId="26">
    <w:abstractNumId w:val="18"/>
  </w:num>
  <w:num w:numId="27">
    <w:abstractNumId w:val="1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4"/>
  </w:num>
  <w:num w:numId="31">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676\AER15 4327  AER - Final decision Amadeus Gas Pipeline Access Arrangement - Attachment 6 - Capital expenditure - April 2016.DOCX"/>
  </w:docVars>
  <w:rsids>
    <w:rsidRoot w:val="00961A4A"/>
    <w:rsid w:val="000006AD"/>
    <w:rsid w:val="00003165"/>
    <w:rsid w:val="00004633"/>
    <w:rsid w:val="00010286"/>
    <w:rsid w:val="00021202"/>
    <w:rsid w:val="00021253"/>
    <w:rsid w:val="00021C2B"/>
    <w:rsid w:val="00024A23"/>
    <w:rsid w:val="0002517F"/>
    <w:rsid w:val="00026495"/>
    <w:rsid w:val="0003069C"/>
    <w:rsid w:val="000355D7"/>
    <w:rsid w:val="0003578C"/>
    <w:rsid w:val="000358A5"/>
    <w:rsid w:val="000401AF"/>
    <w:rsid w:val="00041DDA"/>
    <w:rsid w:val="00046A00"/>
    <w:rsid w:val="000517AC"/>
    <w:rsid w:val="000630AA"/>
    <w:rsid w:val="00063247"/>
    <w:rsid w:val="00063A92"/>
    <w:rsid w:val="00070F9F"/>
    <w:rsid w:val="0007137B"/>
    <w:rsid w:val="00085663"/>
    <w:rsid w:val="00085EBF"/>
    <w:rsid w:val="00085F93"/>
    <w:rsid w:val="00091B15"/>
    <w:rsid w:val="000A1E7C"/>
    <w:rsid w:val="000A2055"/>
    <w:rsid w:val="000A26B6"/>
    <w:rsid w:val="000A3020"/>
    <w:rsid w:val="000A6C7B"/>
    <w:rsid w:val="000B0360"/>
    <w:rsid w:val="000C2B40"/>
    <w:rsid w:val="000C33F3"/>
    <w:rsid w:val="000C4CE6"/>
    <w:rsid w:val="000C5807"/>
    <w:rsid w:val="000C5FCD"/>
    <w:rsid w:val="000D01F4"/>
    <w:rsid w:val="000D06C1"/>
    <w:rsid w:val="000D122C"/>
    <w:rsid w:val="000D3016"/>
    <w:rsid w:val="000D64F2"/>
    <w:rsid w:val="000D7F32"/>
    <w:rsid w:val="000E0AC9"/>
    <w:rsid w:val="000E1819"/>
    <w:rsid w:val="000E19D0"/>
    <w:rsid w:val="000E4821"/>
    <w:rsid w:val="000E6C72"/>
    <w:rsid w:val="000F0B2B"/>
    <w:rsid w:val="000F11B9"/>
    <w:rsid w:val="000F256D"/>
    <w:rsid w:val="000F3E72"/>
    <w:rsid w:val="000F48B1"/>
    <w:rsid w:val="000F6A28"/>
    <w:rsid w:val="000F7027"/>
    <w:rsid w:val="000F723D"/>
    <w:rsid w:val="00100D23"/>
    <w:rsid w:val="00102283"/>
    <w:rsid w:val="00103A67"/>
    <w:rsid w:val="0011570E"/>
    <w:rsid w:val="00116EB2"/>
    <w:rsid w:val="00121A55"/>
    <w:rsid w:val="00124609"/>
    <w:rsid w:val="00126926"/>
    <w:rsid w:val="00126A4C"/>
    <w:rsid w:val="00134106"/>
    <w:rsid w:val="001373CB"/>
    <w:rsid w:val="001429AE"/>
    <w:rsid w:val="00142AB6"/>
    <w:rsid w:val="001431B6"/>
    <w:rsid w:val="0014573B"/>
    <w:rsid w:val="00147D10"/>
    <w:rsid w:val="00147E70"/>
    <w:rsid w:val="00150424"/>
    <w:rsid w:val="00156DCC"/>
    <w:rsid w:val="001573E4"/>
    <w:rsid w:val="001578E5"/>
    <w:rsid w:val="001604EF"/>
    <w:rsid w:val="00160756"/>
    <w:rsid w:val="0017232E"/>
    <w:rsid w:val="00174102"/>
    <w:rsid w:val="0017480F"/>
    <w:rsid w:val="00175037"/>
    <w:rsid w:val="001754EE"/>
    <w:rsid w:val="001758B9"/>
    <w:rsid w:val="00180157"/>
    <w:rsid w:val="001821DB"/>
    <w:rsid w:val="00182467"/>
    <w:rsid w:val="00185CB9"/>
    <w:rsid w:val="00186C41"/>
    <w:rsid w:val="00186F77"/>
    <w:rsid w:val="001926A4"/>
    <w:rsid w:val="00192AD5"/>
    <w:rsid w:val="0019554C"/>
    <w:rsid w:val="00195A7F"/>
    <w:rsid w:val="001A76CC"/>
    <w:rsid w:val="001B3F62"/>
    <w:rsid w:val="001B45A0"/>
    <w:rsid w:val="001B45C0"/>
    <w:rsid w:val="001B6F2E"/>
    <w:rsid w:val="001B6F7F"/>
    <w:rsid w:val="001B7D00"/>
    <w:rsid w:val="001C17E7"/>
    <w:rsid w:val="001D055E"/>
    <w:rsid w:val="001D461C"/>
    <w:rsid w:val="001E009C"/>
    <w:rsid w:val="001E475D"/>
    <w:rsid w:val="001E5FE2"/>
    <w:rsid w:val="001E749F"/>
    <w:rsid w:val="001F05A4"/>
    <w:rsid w:val="001F492E"/>
    <w:rsid w:val="001F5D87"/>
    <w:rsid w:val="001F6DA3"/>
    <w:rsid w:val="001F7FF6"/>
    <w:rsid w:val="00200539"/>
    <w:rsid w:val="002010BC"/>
    <w:rsid w:val="002016E7"/>
    <w:rsid w:val="00201F98"/>
    <w:rsid w:val="00202E03"/>
    <w:rsid w:val="0020478D"/>
    <w:rsid w:val="0020492C"/>
    <w:rsid w:val="00205A33"/>
    <w:rsid w:val="00214786"/>
    <w:rsid w:val="0021632F"/>
    <w:rsid w:val="0022444D"/>
    <w:rsid w:val="00224DB9"/>
    <w:rsid w:val="00227DCE"/>
    <w:rsid w:val="002312F2"/>
    <w:rsid w:val="0023233E"/>
    <w:rsid w:val="0023276C"/>
    <w:rsid w:val="00233775"/>
    <w:rsid w:val="00234F38"/>
    <w:rsid w:val="002371AA"/>
    <w:rsid w:val="0024343A"/>
    <w:rsid w:val="00251745"/>
    <w:rsid w:val="00253F40"/>
    <w:rsid w:val="00261FCA"/>
    <w:rsid w:val="00263AC0"/>
    <w:rsid w:val="00264264"/>
    <w:rsid w:val="0026772D"/>
    <w:rsid w:val="00277554"/>
    <w:rsid w:val="00286874"/>
    <w:rsid w:val="00290C63"/>
    <w:rsid w:val="00296B65"/>
    <w:rsid w:val="0029724D"/>
    <w:rsid w:val="002A0633"/>
    <w:rsid w:val="002A0988"/>
    <w:rsid w:val="002A6688"/>
    <w:rsid w:val="002A7930"/>
    <w:rsid w:val="002A7DEF"/>
    <w:rsid w:val="002B1003"/>
    <w:rsid w:val="002B573C"/>
    <w:rsid w:val="002C0F01"/>
    <w:rsid w:val="002C233C"/>
    <w:rsid w:val="002C2F89"/>
    <w:rsid w:val="002C660F"/>
    <w:rsid w:val="002D72E8"/>
    <w:rsid w:val="002E7B22"/>
    <w:rsid w:val="002F10D2"/>
    <w:rsid w:val="002F1E72"/>
    <w:rsid w:val="002F6ABD"/>
    <w:rsid w:val="002F7986"/>
    <w:rsid w:val="00301B40"/>
    <w:rsid w:val="00301F1F"/>
    <w:rsid w:val="003029A5"/>
    <w:rsid w:val="003029EE"/>
    <w:rsid w:val="0030370B"/>
    <w:rsid w:val="00305CC8"/>
    <w:rsid w:val="00307F6D"/>
    <w:rsid w:val="003130C9"/>
    <w:rsid w:val="0031364B"/>
    <w:rsid w:val="003177A2"/>
    <w:rsid w:val="00320869"/>
    <w:rsid w:val="003232ED"/>
    <w:rsid w:val="00323AF2"/>
    <w:rsid w:val="00326B1D"/>
    <w:rsid w:val="003271B5"/>
    <w:rsid w:val="00327A1E"/>
    <w:rsid w:val="00331264"/>
    <w:rsid w:val="003338A2"/>
    <w:rsid w:val="00334BE0"/>
    <w:rsid w:val="00334C8D"/>
    <w:rsid w:val="0033548E"/>
    <w:rsid w:val="00343A18"/>
    <w:rsid w:val="00344473"/>
    <w:rsid w:val="00344D08"/>
    <w:rsid w:val="003457F9"/>
    <w:rsid w:val="00347114"/>
    <w:rsid w:val="00347B08"/>
    <w:rsid w:val="00350B06"/>
    <w:rsid w:val="003518B3"/>
    <w:rsid w:val="00357782"/>
    <w:rsid w:val="003578CD"/>
    <w:rsid w:val="0036334B"/>
    <w:rsid w:val="00364C62"/>
    <w:rsid w:val="003666F2"/>
    <w:rsid w:val="00367DE1"/>
    <w:rsid w:val="003717D8"/>
    <w:rsid w:val="00380BD4"/>
    <w:rsid w:val="003846F1"/>
    <w:rsid w:val="003903D4"/>
    <w:rsid w:val="00391BF0"/>
    <w:rsid w:val="003931A7"/>
    <w:rsid w:val="00393646"/>
    <w:rsid w:val="003A6311"/>
    <w:rsid w:val="003B2B4D"/>
    <w:rsid w:val="003B484F"/>
    <w:rsid w:val="003B4C48"/>
    <w:rsid w:val="003B7FBA"/>
    <w:rsid w:val="003C1327"/>
    <w:rsid w:val="003D31BD"/>
    <w:rsid w:val="003D3D97"/>
    <w:rsid w:val="003D6F95"/>
    <w:rsid w:val="003E4F5E"/>
    <w:rsid w:val="003F174D"/>
    <w:rsid w:val="003F19A1"/>
    <w:rsid w:val="003F3B89"/>
    <w:rsid w:val="003F5473"/>
    <w:rsid w:val="003F572D"/>
    <w:rsid w:val="003F7442"/>
    <w:rsid w:val="00401502"/>
    <w:rsid w:val="00406BBA"/>
    <w:rsid w:val="00415F31"/>
    <w:rsid w:val="0042205D"/>
    <w:rsid w:val="00423A77"/>
    <w:rsid w:val="004246A9"/>
    <w:rsid w:val="00433C0A"/>
    <w:rsid w:val="00435948"/>
    <w:rsid w:val="00436ECD"/>
    <w:rsid w:val="00437E8F"/>
    <w:rsid w:val="004455ED"/>
    <w:rsid w:val="00446382"/>
    <w:rsid w:val="00452473"/>
    <w:rsid w:val="004535D2"/>
    <w:rsid w:val="0045777E"/>
    <w:rsid w:val="00461B0F"/>
    <w:rsid w:val="00461C29"/>
    <w:rsid w:val="00462C03"/>
    <w:rsid w:val="00470D90"/>
    <w:rsid w:val="00472617"/>
    <w:rsid w:val="00474EC7"/>
    <w:rsid w:val="00480765"/>
    <w:rsid w:val="00480B4B"/>
    <w:rsid w:val="00485DC4"/>
    <w:rsid w:val="00486DA9"/>
    <w:rsid w:val="00493A8F"/>
    <w:rsid w:val="0049451F"/>
    <w:rsid w:val="00496B60"/>
    <w:rsid w:val="00497243"/>
    <w:rsid w:val="004A0A5E"/>
    <w:rsid w:val="004A2352"/>
    <w:rsid w:val="004A43D1"/>
    <w:rsid w:val="004A7083"/>
    <w:rsid w:val="004B355D"/>
    <w:rsid w:val="004B4412"/>
    <w:rsid w:val="004B4C8A"/>
    <w:rsid w:val="004C0C43"/>
    <w:rsid w:val="004C124D"/>
    <w:rsid w:val="004C348C"/>
    <w:rsid w:val="004C3A4B"/>
    <w:rsid w:val="004C5E32"/>
    <w:rsid w:val="004C6A30"/>
    <w:rsid w:val="004D1A96"/>
    <w:rsid w:val="004D55BA"/>
    <w:rsid w:val="004E22EC"/>
    <w:rsid w:val="004E2A4C"/>
    <w:rsid w:val="004E3ADD"/>
    <w:rsid w:val="004F29C3"/>
    <w:rsid w:val="004F2BC7"/>
    <w:rsid w:val="004F3D4F"/>
    <w:rsid w:val="004F5CEA"/>
    <w:rsid w:val="004F6A0E"/>
    <w:rsid w:val="00516FBB"/>
    <w:rsid w:val="00520DE9"/>
    <w:rsid w:val="00530128"/>
    <w:rsid w:val="00530E0B"/>
    <w:rsid w:val="00531CE4"/>
    <w:rsid w:val="00532467"/>
    <w:rsid w:val="0053441E"/>
    <w:rsid w:val="00534817"/>
    <w:rsid w:val="00537FD6"/>
    <w:rsid w:val="00544F82"/>
    <w:rsid w:val="005509AA"/>
    <w:rsid w:val="00560304"/>
    <w:rsid w:val="00564A4D"/>
    <w:rsid w:val="0056588A"/>
    <w:rsid w:val="00567BA5"/>
    <w:rsid w:val="00571B35"/>
    <w:rsid w:val="00571D57"/>
    <w:rsid w:val="00573C38"/>
    <w:rsid w:val="00577A09"/>
    <w:rsid w:val="005808B2"/>
    <w:rsid w:val="005829C2"/>
    <w:rsid w:val="00582AFE"/>
    <w:rsid w:val="00584D8F"/>
    <w:rsid w:val="00585A4E"/>
    <w:rsid w:val="00586819"/>
    <w:rsid w:val="005953C5"/>
    <w:rsid w:val="0059704C"/>
    <w:rsid w:val="005A0BEC"/>
    <w:rsid w:val="005A35EC"/>
    <w:rsid w:val="005A404D"/>
    <w:rsid w:val="005A63ED"/>
    <w:rsid w:val="005A7EAB"/>
    <w:rsid w:val="005B1E3C"/>
    <w:rsid w:val="005B3FB7"/>
    <w:rsid w:val="005B4D33"/>
    <w:rsid w:val="005B704A"/>
    <w:rsid w:val="005C0A7F"/>
    <w:rsid w:val="005C0C52"/>
    <w:rsid w:val="005C26CC"/>
    <w:rsid w:val="005C4C9C"/>
    <w:rsid w:val="005C6218"/>
    <w:rsid w:val="005D03B1"/>
    <w:rsid w:val="005D07E6"/>
    <w:rsid w:val="005D1D20"/>
    <w:rsid w:val="005D6C4A"/>
    <w:rsid w:val="005D7BA2"/>
    <w:rsid w:val="005E138D"/>
    <w:rsid w:val="005E36C2"/>
    <w:rsid w:val="005E7F5A"/>
    <w:rsid w:val="005F0183"/>
    <w:rsid w:val="005F727F"/>
    <w:rsid w:val="006007DE"/>
    <w:rsid w:val="00601638"/>
    <w:rsid w:val="00604211"/>
    <w:rsid w:val="00610EF9"/>
    <w:rsid w:val="00612F4F"/>
    <w:rsid w:val="00615C6B"/>
    <w:rsid w:val="00617A1C"/>
    <w:rsid w:val="00620DC3"/>
    <w:rsid w:val="00621DCE"/>
    <w:rsid w:val="0062510B"/>
    <w:rsid w:val="0063087F"/>
    <w:rsid w:val="006310C4"/>
    <w:rsid w:val="00632D6D"/>
    <w:rsid w:val="00634C63"/>
    <w:rsid w:val="00640812"/>
    <w:rsid w:val="006423EC"/>
    <w:rsid w:val="00642C3E"/>
    <w:rsid w:val="00644F47"/>
    <w:rsid w:val="00651C3A"/>
    <w:rsid w:val="00651CB2"/>
    <w:rsid w:val="00654B9A"/>
    <w:rsid w:val="00655A95"/>
    <w:rsid w:val="006560CA"/>
    <w:rsid w:val="00657B78"/>
    <w:rsid w:val="0066104A"/>
    <w:rsid w:val="006615F2"/>
    <w:rsid w:val="006624BB"/>
    <w:rsid w:val="00663DAD"/>
    <w:rsid w:val="00665649"/>
    <w:rsid w:val="00666E20"/>
    <w:rsid w:val="0066701E"/>
    <w:rsid w:val="006672AA"/>
    <w:rsid w:val="00675A4F"/>
    <w:rsid w:val="00675E20"/>
    <w:rsid w:val="00676679"/>
    <w:rsid w:val="00677CB3"/>
    <w:rsid w:val="006812E7"/>
    <w:rsid w:val="00683055"/>
    <w:rsid w:val="00683C89"/>
    <w:rsid w:val="00684747"/>
    <w:rsid w:val="00684C16"/>
    <w:rsid w:val="0068594F"/>
    <w:rsid w:val="00691D9A"/>
    <w:rsid w:val="006920AD"/>
    <w:rsid w:val="006977D1"/>
    <w:rsid w:val="006A1F19"/>
    <w:rsid w:val="006A7CB9"/>
    <w:rsid w:val="006A7D76"/>
    <w:rsid w:val="006A7F6E"/>
    <w:rsid w:val="006B2395"/>
    <w:rsid w:val="006B3408"/>
    <w:rsid w:val="006B45A4"/>
    <w:rsid w:val="006B4CF9"/>
    <w:rsid w:val="006B785B"/>
    <w:rsid w:val="006B7AC8"/>
    <w:rsid w:val="006C1736"/>
    <w:rsid w:val="006C3CAA"/>
    <w:rsid w:val="006C4798"/>
    <w:rsid w:val="006C774D"/>
    <w:rsid w:val="006D22F2"/>
    <w:rsid w:val="006D550F"/>
    <w:rsid w:val="006E3F76"/>
    <w:rsid w:val="006E4F86"/>
    <w:rsid w:val="006E6BA7"/>
    <w:rsid w:val="006F1F83"/>
    <w:rsid w:val="006F3AD1"/>
    <w:rsid w:val="006F3FC8"/>
    <w:rsid w:val="006F6183"/>
    <w:rsid w:val="0070011E"/>
    <w:rsid w:val="00701CAB"/>
    <w:rsid w:val="00707563"/>
    <w:rsid w:val="0072348C"/>
    <w:rsid w:val="00724A37"/>
    <w:rsid w:val="0072555E"/>
    <w:rsid w:val="00727CC4"/>
    <w:rsid w:val="007303C3"/>
    <w:rsid w:val="00733610"/>
    <w:rsid w:val="00734A70"/>
    <w:rsid w:val="00741C46"/>
    <w:rsid w:val="00741E23"/>
    <w:rsid w:val="007429BE"/>
    <w:rsid w:val="00743223"/>
    <w:rsid w:val="0074334C"/>
    <w:rsid w:val="00746E01"/>
    <w:rsid w:val="00747EEA"/>
    <w:rsid w:val="00752C8D"/>
    <w:rsid w:val="007538E0"/>
    <w:rsid w:val="00757364"/>
    <w:rsid w:val="00757BDF"/>
    <w:rsid w:val="007609D0"/>
    <w:rsid w:val="00761015"/>
    <w:rsid w:val="00763618"/>
    <w:rsid w:val="00763E5D"/>
    <w:rsid w:val="00767740"/>
    <w:rsid w:val="007704E5"/>
    <w:rsid w:val="00772007"/>
    <w:rsid w:val="00775166"/>
    <w:rsid w:val="00777007"/>
    <w:rsid w:val="00777EE6"/>
    <w:rsid w:val="00782EEA"/>
    <w:rsid w:val="00794C29"/>
    <w:rsid w:val="007A231C"/>
    <w:rsid w:val="007A4910"/>
    <w:rsid w:val="007A49D7"/>
    <w:rsid w:val="007A4B70"/>
    <w:rsid w:val="007A7002"/>
    <w:rsid w:val="007A7136"/>
    <w:rsid w:val="007A7F63"/>
    <w:rsid w:val="007B011C"/>
    <w:rsid w:val="007B186E"/>
    <w:rsid w:val="007B2C72"/>
    <w:rsid w:val="007B6C52"/>
    <w:rsid w:val="007C006B"/>
    <w:rsid w:val="007C1C53"/>
    <w:rsid w:val="007C3E37"/>
    <w:rsid w:val="007C74BB"/>
    <w:rsid w:val="007D456E"/>
    <w:rsid w:val="007D7170"/>
    <w:rsid w:val="007E23D5"/>
    <w:rsid w:val="007E42F4"/>
    <w:rsid w:val="007E4904"/>
    <w:rsid w:val="007E4CB5"/>
    <w:rsid w:val="007E5FBD"/>
    <w:rsid w:val="007F066B"/>
    <w:rsid w:val="007F213A"/>
    <w:rsid w:val="007F5AEC"/>
    <w:rsid w:val="007F75C4"/>
    <w:rsid w:val="008033C4"/>
    <w:rsid w:val="00804512"/>
    <w:rsid w:val="008057DE"/>
    <w:rsid w:val="0080651D"/>
    <w:rsid w:val="00806C88"/>
    <w:rsid w:val="00810070"/>
    <w:rsid w:val="0081034E"/>
    <w:rsid w:val="00811828"/>
    <w:rsid w:val="00812B03"/>
    <w:rsid w:val="00815CAC"/>
    <w:rsid w:val="008168E7"/>
    <w:rsid w:val="00821004"/>
    <w:rsid w:val="0082112C"/>
    <w:rsid w:val="008220A4"/>
    <w:rsid w:val="008221F2"/>
    <w:rsid w:val="00825985"/>
    <w:rsid w:val="008301A7"/>
    <w:rsid w:val="008301B2"/>
    <w:rsid w:val="00831F6A"/>
    <w:rsid w:val="008344F6"/>
    <w:rsid w:val="0083510F"/>
    <w:rsid w:val="008408C5"/>
    <w:rsid w:val="008414FC"/>
    <w:rsid w:val="00845286"/>
    <w:rsid w:val="00847887"/>
    <w:rsid w:val="00851209"/>
    <w:rsid w:val="008514E0"/>
    <w:rsid w:val="00855F85"/>
    <w:rsid w:val="0085722A"/>
    <w:rsid w:val="00862B19"/>
    <w:rsid w:val="00864B35"/>
    <w:rsid w:val="00866D99"/>
    <w:rsid w:val="00867CF6"/>
    <w:rsid w:val="00872F54"/>
    <w:rsid w:val="008749E0"/>
    <w:rsid w:val="00874CD0"/>
    <w:rsid w:val="008762D0"/>
    <w:rsid w:val="00876BF8"/>
    <w:rsid w:val="00882481"/>
    <w:rsid w:val="008837AC"/>
    <w:rsid w:val="00893292"/>
    <w:rsid w:val="008A07EC"/>
    <w:rsid w:val="008A278A"/>
    <w:rsid w:val="008A3B16"/>
    <w:rsid w:val="008A587D"/>
    <w:rsid w:val="008B2230"/>
    <w:rsid w:val="008B35CD"/>
    <w:rsid w:val="008B5789"/>
    <w:rsid w:val="008B5FCC"/>
    <w:rsid w:val="008B7544"/>
    <w:rsid w:val="008C3374"/>
    <w:rsid w:val="008C39F0"/>
    <w:rsid w:val="008C5486"/>
    <w:rsid w:val="008C58DD"/>
    <w:rsid w:val="008C63DF"/>
    <w:rsid w:val="008C708B"/>
    <w:rsid w:val="008D1661"/>
    <w:rsid w:val="008D6800"/>
    <w:rsid w:val="008E7031"/>
    <w:rsid w:val="008E77DE"/>
    <w:rsid w:val="008F07A3"/>
    <w:rsid w:val="008F16B3"/>
    <w:rsid w:val="008F34DD"/>
    <w:rsid w:val="008F6B27"/>
    <w:rsid w:val="009001B6"/>
    <w:rsid w:val="00900E1B"/>
    <w:rsid w:val="00901C3C"/>
    <w:rsid w:val="009038ED"/>
    <w:rsid w:val="00904B7D"/>
    <w:rsid w:val="00917D1D"/>
    <w:rsid w:val="009233EE"/>
    <w:rsid w:val="0092359D"/>
    <w:rsid w:val="00923CFC"/>
    <w:rsid w:val="00923FA9"/>
    <w:rsid w:val="00925662"/>
    <w:rsid w:val="009272AD"/>
    <w:rsid w:val="009277DC"/>
    <w:rsid w:val="00936C27"/>
    <w:rsid w:val="009460AA"/>
    <w:rsid w:val="0094641C"/>
    <w:rsid w:val="00951978"/>
    <w:rsid w:val="00961115"/>
    <w:rsid w:val="00961A4A"/>
    <w:rsid w:val="009661DE"/>
    <w:rsid w:val="00967C22"/>
    <w:rsid w:val="009716D4"/>
    <w:rsid w:val="00974856"/>
    <w:rsid w:val="00981B48"/>
    <w:rsid w:val="00983C25"/>
    <w:rsid w:val="009856B7"/>
    <w:rsid w:val="00985998"/>
    <w:rsid w:val="00985C86"/>
    <w:rsid w:val="00996BAF"/>
    <w:rsid w:val="009972D8"/>
    <w:rsid w:val="00997EB5"/>
    <w:rsid w:val="009A15CE"/>
    <w:rsid w:val="009A3D06"/>
    <w:rsid w:val="009A4FAA"/>
    <w:rsid w:val="009A5113"/>
    <w:rsid w:val="009A539D"/>
    <w:rsid w:val="009A5FC3"/>
    <w:rsid w:val="009B5DC8"/>
    <w:rsid w:val="009B6F84"/>
    <w:rsid w:val="009B7343"/>
    <w:rsid w:val="009B74B0"/>
    <w:rsid w:val="009C18F6"/>
    <w:rsid w:val="009C19DE"/>
    <w:rsid w:val="009C691D"/>
    <w:rsid w:val="009D2B38"/>
    <w:rsid w:val="009D3906"/>
    <w:rsid w:val="009D6B46"/>
    <w:rsid w:val="009E36B0"/>
    <w:rsid w:val="009F4940"/>
    <w:rsid w:val="009F5BA1"/>
    <w:rsid w:val="00A02961"/>
    <w:rsid w:val="00A02A88"/>
    <w:rsid w:val="00A0562E"/>
    <w:rsid w:val="00A06085"/>
    <w:rsid w:val="00A0726D"/>
    <w:rsid w:val="00A13288"/>
    <w:rsid w:val="00A16596"/>
    <w:rsid w:val="00A22B52"/>
    <w:rsid w:val="00A2303E"/>
    <w:rsid w:val="00A25F03"/>
    <w:rsid w:val="00A30C80"/>
    <w:rsid w:val="00A32FBB"/>
    <w:rsid w:val="00A428EE"/>
    <w:rsid w:val="00A42CED"/>
    <w:rsid w:val="00A4478A"/>
    <w:rsid w:val="00A44852"/>
    <w:rsid w:val="00A4650A"/>
    <w:rsid w:val="00A46D07"/>
    <w:rsid w:val="00A50502"/>
    <w:rsid w:val="00A50560"/>
    <w:rsid w:val="00A53CE6"/>
    <w:rsid w:val="00A55089"/>
    <w:rsid w:val="00A57D04"/>
    <w:rsid w:val="00A60A26"/>
    <w:rsid w:val="00A61598"/>
    <w:rsid w:val="00A61DBD"/>
    <w:rsid w:val="00A6224A"/>
    <w:rsid w:val="00A72E44"/>
    <w:rsid w:val="00A767CA"/>
    <w:rsid w:val="00A84A99"/>
    <w:rsid w:val="00A84F46"/>
    <w:rsid w:val="00A85AF8"/>
    <w:rsid w:val="00A871F4"/>
    <w:rsid w:val="00A90AA4"/>
    <w:rsid w:val="00A923BF"/>
    <w:rsid w:val="00A97B7A"/>
    <w:rsid w:val="00AA4EB8"/>
    <w:rsid w:val="00AA6A6F"/>
    <w:rsid w:val="00AA7DF8"/>
    <w:rsid w:val="00AB47E1"/>
    <w:rsid w:val="00AC186A"/>
    <w:rsid w:val="00AC1B2C"/>
    <w:rsid w:val="00AC3264"/>
    <w:rsid w:val="00AD0B6B"/>
    <w:rsid w:val="00AD3884"/>
    <w:rsid w:val="00AD4294"/>
    <w:rsid w:val="00AD7B56"/>
    <w:rsid w:val="00AD7EA1"/>
    <w:rsid w:val="00AE1BF1"/>
    <w:rsid w:val="00AE5BA6"/>
    <w:rsid w:val="00AE65A5"/>
    <w:rsid w:val="00AF0DD2"/>
    <w:rsid w:val="00AF4413"/>
    <w:rsid w:val="00B0209D"/>
    <w:rsid w:val="00B02961"/>
    <w:rsid w:val="00B04908"/>
    <w:rsid w:val="00B04B4C"/>
    <w:rsid w:val="00B05483"/>
    <w:rsid w:val="00B07B92"/>
    <w:rsid w:val="00B07CEA"/>
    <w:rsid w:val="00B13048"/>
    <w:rsid w:val="00B1716D"/>
    <w:rsid w:val="00B17A1D"/>
    <w:rsid w:val="00B207A0"/>
    <w:rsid w:val="00B31552"/>
    <w:rsid w:val="00B37DDD"/>
    <w:rsid w:val="00B40CAA"/>
    <w:rsid w:val="00B42E86"/>
    <w:rsid w:val="00B514DD"/>
    <w:rsid w:val="00B51724"/>
    <w:rsid w:val="00B51F3F"/>
    <w:rsid w:val="00B52AF0"/>
    <w:rsid w:val="00B561BD"/>
    <w:rsid w:val="00B56E03"/>
    <w:rsid w:val="00B61EDF"/>
    <w:rsid w:val="00B6616E"/>
    <w:rsid w:val="00B72773"/>
    <w:rsid w:val="00B74AC5"/>
    <w:rsid w:val="00B757A6"/>
    <w:rsid w:val="00B75995"/>
    <w:rsid w:val="00B8080B"/>
    <w:rsid w:val="00B82223"/>
    <w:rsid w:val="00B854CA"/>
    <w:rsid w:val="00B87BA5"/>
    <w:rsid w:val="00B87C39"/>
    <w:rsid w:val="00B9562D"/>
    <w:rsid w:val="00B977F9"/>
    <w:rsid w:val="00BA0731"/>
    <w:rsid w:val="00BA144A"/>
    <w:rsid w:val="00BA4665"/>
    <w:rsid w:val="00BA47EE"/>
    <w:rsid w:val="00BA6165"/>
    <w:rsid w:val="00BB1BB6"/>
    <w:rsid w:val="00BB24B5"/>
    <w:rsid w:val="00BB2FB2"/>
    <w:rsid w:val="00BB3304"/>
    <w:rsid w:val="00BB3FD7"/>
    <w:rsid w:val="00BB6848"/>
    <w:rsid w:val="00BB7528"/>
    <w:rsid w:val="00BC18DE"/>
    <w:rsid w:val="00BC2FAF"/>
    <w:rsid w:val="00BC42EF"/>
    <w:rsid w:val="00BD0672"/>
    <w:rsid w:val="00BD0920"/>
    <w:rsid w:val="00BD0C45"/>
    <w:rsid w:val="00BD310B"/>
    <w:rsid w:val="00BD3446"/>
    <w:rsid w:val="00BD4582"/>
    <w:rsid w:val="00BD7474"/>
    <w:rsid w:val="00BE1F1B"/>
    <w:rsid w:val="00BE47B5"/>
    <w:rsid w:val="00BE7544"/>
    <w:rsid w:val="00BF0C8F"/>
    <w:rsid w:val="00BF0CD7"/>
    <w:rsid w:val="00C04223"/>
    <w:rsid w:val="00C05079"/>
    <w:rsid w:val="00C10394"/>
    <w:rsid w:val="00C1151D"/>
    <w:rsid w:val="00C20AA0"/>
    <w:rsid w:val="00C2122F"/>
    <w:rsid w:val="00C2375E"/>
    <w:rsid w:val="00C23CD6"/>
    <w:rsid w:val="00C25FA6"/>
    <w:rsid w:val="00C275C4"/>
    <w:rsid w:val="00C30434"/>
    <w:rsid w:val="00C3043E"/>
    <w:rsid w:val="00C30637"/>
    <w:rsid w:val="00C353B7"/>
    <w:rsid w:val="00C36F19"/>
    <w:rsid w:val="00C42ACA"/>
    <w:rsid w:val="00C47199"/>
    <w:rsid w:val="00C47E86"/>
    <w:rsid w:val="00C5122C"/>
    <w:rsid w:val="00C53787"/>
    <w:rsid w:val="00C538A9"/>
    <w:rsid w:val="00C53B5A"/>
    <w:rsid w:val="00C54F5A"/>
    <w:rsid w:val="00C569B4"/>
    <w:rsid w:val="00C56A01"/>
    <w:rsid w:val="00C56A3E"/>
    <w:rsid w:val="00C61368"/>
    <w:rsid w:val="00C6175F"/>
    <w:rsid w:val="00C622C4"/>
    <w:rsid w:val="00C644EA"/>
    <w:rsid w:val="00C65496"/>
    <w:rsid w:val="00C67A92"/>
    <w:rsid w:val="00C7497E"/>
    <w:rsid w:val="00C74D43"/>
    <w:rsid w:val="00C81568"/>
    <w:rsid w:val="00C81BC5"/>
    <w:rsid w:val="00C84560"/>
    <w:rsid w:val="00C84F52"/>
    <w:rsid w:val="00C86679"/>
    <w:rsid w:val="00C938E7"/>
    <w:rsid w:val="00C97CDF"/>
    <w:rsid w:val="00CA2ABF"/>
    <w:rsid w:val="00CA2C1D"/>
    <w:rsid w:val="00CA2F6F"/>
    <w:rsid w:val="00CA489E"/>
    <w:rsid w:val="00CA52A2"/>
    <w:rsid w:val="00CB0279"/>
    <w:rsid w:val="00CB0C82"/>
    <w:rsid w:val="00CB1FC3"/>
    <w:rsid w:val="00CB2354"/>
    <w:rsid w:val="00CB666B"/>
    <w:rsid w:val="00CC230A"/>
    <w:rsid w:val="00CC7F1D"/>
    <w:rsid w:val="00CD053D"/>
    <w:rsid w:val="00CD123A"/>
    <w:rsid w:val="00CD19EE"/>
    <w:rsid w:val="00CD4A65"/>
    <w:rsid w:val="00CE484B"/>
    <w:rsid w:val="00CE4900"/>
    <w:rsid w:val="00CF0DEE"/>
    <w:rsid w:val="00CF2C05"/>
    <w:rsid w:val="00CF387F"/>
    <w:rsid w:val="00CF4BAA"/>
    <w:rsid w:val="00CF6EDE"/>
    <w:rsid w:val="00D006AE"/>
    <w:rsid w:val="00D01CC3"/>
    <w:rsid w:val="00D01CF0"/>
    <w:rsid w:val="00D01EFD"/>
    <w:rsid w:val="00D0442A"/>
    <w:rsid w:val="00D050E9"/>
    <w:rsid w:val="00D06055"/>
    <w:rsid w:val="00D066B7"/>
    <w:rsid w:val="00D110E6"/>
    <w:rsid w:val="00D17683"/>
    <w:rsid w:val="00D212CB"/>
    <w:rsid w:val="00D32B5A"/>
    <w:rsid w:val="00D34002"/>
    <w:rsid w:val="00D36FCC"/>
    <w:rsid w:val="00D40201"/>
    <w:rsid w:val="00D41E80"/>
    <w:rsid w:val="00D45694"/>
    <w:rsid w:val="00D46BD3"/>
    <w:rsid w:val="00D53580"/>
    <w:rsid w:val="00D561A9"/>
    <w:rsid w:val="00D608F6"/>
    <w:rsid w:val="00D60EFF"/>
    <w:rsid w:val="00D61388"/>
    <w:rsid w:val="00D61A54"/>
    <w:rsid w:val="00D6352A"/>
    <w:rsid w:val="00D64275"/>
    <w:rsid w:val="00D64DEA"/>
    <w:rsid w:val="00D7168E"/>
    <w:rsid w:val="00D71E57"/>
    <w:rsid w:val="00D727FC"/>
    <w:rsid w:val="00D75AA2"/>
    <w:rsid w:val="00D76434"/>
    <w:rsid w:val="00D7645E"/>
    <w:rsid w:val="00D80893"/>
    <w:rsid w:val="00D822F6"/>
    <w:rsid w:val="00D84854"/>
    <w:rsid w:val="00D848B4"/>
    <w:rsid w:val="00D86B06"/>
    <w:rsid w:val="00D92CF1"/>
    <w:rsid w:val="00D92D38"/>
    <w:rsid w:val="00D950F5"/>
    <w:rsid w:val="00D9627F"/>
    <w:rsid w:val="00DA0BCC"/>
    <w:rsid w:val="00DA30E0"/>
    <w:rsid w:val="00DA4752"/>
    <w:rsid w:val="00DA4E01"/>
    <w:rsid w:val="00DA53ED"/>
    <w:rsid w:val="00DA61F3"/>
    <w:rsid w:val="00DA6B93"/>
    <w:rsid w:val="00DA6F94"/>
    <w:rsid w:val="00DB0F93"/>
    <w:rsid w:val="00DB1596"/>
    <w:rsid w:val="00DB1A67"/>
    <w:rsid w:val="00DB3D67"/>
    <w:rsid w:val="00DB5074"/>
    <w:rsid w:val="00DB5B21"/>
    <w:rsid w:val="00DC7981"/>
    <w:rsid w:val="00DD1C15"/>
    <w:rsid w:val="00DE1093"/>
    <w:rsid w:val="00DE3361"/>
    <w:rsid w:val="00DE4EFA"/>
    <w:rsid w:val="00DE5520"/>
    <w:rsid w:val="00DE563D"/>
    <w:rsid w:val="00DE5E2E"/>
    <w:rsid w:val="00DE772C"/>
    <w:rsid w:val="00DF14F5"/>
    <w:rsid w:val="00DF1D9A"/>
    <w:rsid w:val="00DF312A"/>
    <w:rsid w:val="00E02841"/>
    <w:rsid w:val="00E038A9"/>
    <w:rsid w:val="00E04818"/>
    <w:rsid w:val="00E06442"/>
    <w:rsid w:val="00E06BCF"/>
    <w:rsid w:val="00E1001C"/>
    <w:rsid w:val="00E10495"/>
    <w:rsid w:val="00E11949"/>
    <w:rsid w:val="00E12156"/>
    <w:rsid w:val="00E23993"/>
    <w:rsid w:val="00E257D6"/>
    <w:rsid w:val="00E25B8C"/>
    <w:rsid w:val="00E30A5A"/>
    <w:rsid w:val="00E318EF"/>
    <w:rsid w:val="00E324B9"/>
    <w:rsid w:val="00E3544F"/>
    <w:rsid w:val="00E37B4D"/>
    <w:rsid w:val="00E43524"/>
    <w:rsid w:val="00E44864"/>
    <w:rsid w:val="00E4633D"/>
    <w:rsid w:val="00E51D65"/>
    <w:rsid w:val="00E6200B"/>
    <w:rsid w:val="00E65C85"/>
    <w:rsid w:val="00E66199"/>
    <w:rsid w:val="00E711C7"/>
    <w:rsid w:val="00E7494F"/>
    <w:rsid w:val="00E755EC"/>
    <w:rsid w:val="00E7624D"/>
    <w:rsid w:val="00E91E10"/>
    <w:rsid w:val="00E945D4"/>
    <w:rsid w:val="00E95737"/>
    <w:rsid w:val="00E97242"/>
    <w:rsid w:val="00EA38F3"/>
    <w:rsid w:val="00EA3D42"/>
    <w:rsid w:val="00EA6B1B"/>
    <w:rsid w:val="00EA7124"/>
    <w:rsid w:val="00EB0549"/>
    <w:rsid w:val="00EB4FBF"/>
    <w:rsid w:val="00EB5BC8"/>
    <w:rsid w:val="00EB606C"/>
    <w:rsid w:val="00EC04F1"/>
    <w:rsid w:val="00EC09A4"/>
    <w:rsid w:val="00EC1B2B"/>
    <w:rsid w:val="00EC32E5"/>
    <w:rsid w:val="00ED0EC2"/>
    <w:rsid w:val="00ED3474"/>
    <w:rsid w:val="00ED6A2C"/>
    <w:rsid w:val="00ED7323"/>
    <w:rsid w:val="00EE28F3"/>
    <w:rsid w:val="00EE50D1"/>
    <w:rsid w:val="00EE77FA"/>
    <w:rsid w:val="00EE7A83"/>
    <w:rsid w:val="00EF1B7A"/>
    <w:rsid w:val="00EF5110"/>
    <w:rsid w:val="00F01C0B"/>
    <w:rsid w:val="00F029C2"/>
    <w:rsid w:val="00F0334E"/>
    <w:rsid w:val="00F03449"/>
    <w:rsid w:val="00F07695"/>
    <w:rsid w:val="00F07967"/>
    <w:rsid w:val="00F10411"/>
    <w:rsid w:val="00F15882"/>
    <w:rsid w:val="00F171E0"/>
    <w:rsid w:val="00F20BD3"/>
    <w:rsid w:val="00F2526A"/>
    <w:rsid w:val="00F35081"/>
    <w:rsid w:val="00F373A5"/>
    <w:rsid w:val="00F41982"/>
    <w:rsid w:val="00F42E08"/>
    <w:rsid w:val="00F47559"/>
    <w:rsid w:val="00F57907"/>
    <w:rsid w:val="00F61176"/>
    <w:rsid w:val="00F6126A"/>
    <w:rsid w:val="00F62A30"/>
    <w:rsid w:val="00F64C7B"/>
    <w:rsid w:val="00F65B25"/>
    <w:rsid w:val="00F676DD"/>
    <w:rsid w:val="00F71667"/>
    <w:rsid w:val="00F73895"/>
    <w:rsid w:val="00F74C0D"/>
    <w:rsid w:val="00F75A26"/>
    <w:rsid w:val="00F76706"/>
    <w:rsid w:val="00F768C8"/>
    <w:rsid w:val="00F81B8D"/>
    <w:rsid w:val="00F83FAD"/>
    <w:rsid w:val="00F8653A"/>
    <w:rsid w:val="00F91F55"/>
    <w:rsid w:val="00F92349"/>
    <w:rsid w:val="00F93B21"/>
    <w:rsid w:val="00F952A0"/>
    <w:rsid w:val="00F9541E"/>
    <w:rsid w:val="00FA3C7F"/>
    <w:rsid w:val="00FA5D84"/>
    <w:rsid w:val="00FB1BF3"/>
    <w:rsid w:val="00FB1F84"/>
    <w:rsid w:val="00FB30A0"/>
    <w:rsid w:val="00FB4402"/>
    <w:rsid w:val="00FB60FE"/>
    <w:rsid w:val="00FB74E2"/>
    <w:rsid w:val="00FC71DC"/>
    <w:rsid w:val="00FD2ED2"/>
    <w:rsid w:val="00FD5614"/>
    <w:rsid w:val="00FD5E78"/>
    <w:rsid w:val="00FD7BD9"/>
    <w:rsid w:val="00FE0BE1"/>
    <w:rsid w:val="00FE1DE9"/>
    <w:rsid w:val="00FE36AF"/>
    <w:rsid w:val="00FE39C2"/>
    <w:rsid w:val="00FE3C32"/>
    <w:rsid w:val="00FE63FA"/>
    <w:rsid w:val="00FE64AE"/>
    <w:rsid w:val="00FF5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94968771">
      <w:bodyDiv w:val="1"/>
      <w:marLeft w:val="0"/>
      <w:marRight w:val="0"/>
      <w:marTop w:val="0"/>
      <w:marBottom w:val="0"/>
      <w:divBdr>
        <w:top w:val="none" w:sz="0" w:space="0" w:color="auto"/>
        <w:left w:val="none" w:sz="0" w:space="0" w:color="auto"/>
        <w:bottom w:val="none" w:sz="0" w:space="0" w:color="auto"/>
        <w:right w:val="none" w:sz="0" w:space="0" w:color="auto"/>
      </w:divBdr>
    </w:div>
    <w:div w:id="705256772">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prints.qut.edu.au/archive/00004441/"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D310C4-E1AE-443D-8063-B220EBCB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41370DA0</Template>
  <TotalTime>0</TotalTime>
  <Pages>40</Pages>
  <Words>11003</Words>
  <Characters>62720</Characters>
  <Application>Microsoft Office Word</Application>
  <DocSecurity>0</DocSecurity>
  <Lines>522</Lines>
  <Paragraphs>147</Paragraphs>
  <ScaleCrop>false</ScaleCrop>
  <Company/>
  <LinksUpToDate>false</LinksUpToDate>
  <CharactersWithSpaces>73576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2016-05-23T00:18:00Z</dcterms:created>
  <dcterms:modified xsi:type="dcterms:W3CDTF">2016-05-23T00:18:00Z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8576130</vt:lpwstr>
  </property>
</Properties>
</file>