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233540" w:rsidP="00290C63">
          <w:r w:rsidRPr="00290C63">
            <w:rPr>
              <w:noProof/>
              <w:lang w:eastAsia="en-AU"/>
            </w:rPr>
            <w:drawing>
              <wp:anchor distT="0" distB="0" distL="114300" distR="114300" simplePos="0" relativeHeight="251659264" behindDoc="1" locked="0" layoutInCell="1" allowOverlap="1" wp14:anchorId="469D36DC" wp14:editId="184E5F81">
                <wp:simplePos x="0" y="0"/>
                <wp:positionH relativeFrom="column">
                  <wp:posOffset>-1092200</wp:posOffset>
                </wp:positionH>
                <wp:positionV relativeFrom="paragraph">
                  <wp:posOffset>-905510</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B04B4C" w:rsidRDefault="00B04B4C" w:rsidP="00F171E0"/>
        <w:p w:rsidR="00F171E0" w:rsidRDefault="00F171E0" w:rsidP="00F171E0"/>
        <w:p w:rsidR="00327A1E" w:rsidRDefault="001754EE" w:rsidP="001754EE">
          <w:pPr>
            <w:pStyle w:val="ReportSubtitle"/>
            <w:tabs>
              <w:tab w:val="left" w:pos="1122"/>
              <w:tab w:val="center" w:pos="4238"/>
            </w:tabs>
            <w:jc w:val="left"/>
          </w:pPr>
          <w:r>
            <w:tab/>
          </w:r>
          <w:r>
            <w:tab/>
          </w:r>
          <w:r w:rsidR="00A2303E">
            <w:t>FINAL</w:t>
          </w:r>
          <w:r w:rsidR="00DA4752">
            <w:t xml:space="preserve"> DECISION</w:t>
          </w:r>
        </w:p>
        <w:p w:rsidR="00415F31" w:rsidRDefault="006016A5" w:rsidP="008F07A3">
          <w:pPr>
            <w:pStyle w:val="ReportSubtitle"/>
          </w:pPr>
          <w:r>
            <w:t>ActewAGL Distrib</w:t>
          </w:r>
          <w:bookmarkStart w:id="0" w:name="_GoBack"/>
          <w:bookmarkEnd w:id="0"/>
          <w:r>
            <w:t>ution</w:t>
          </w:r>
          <w:r w:rsidR="00CF2C05">
            <w:br/>
            <w:t>Access Arrangement</w:t>
          </w:r>
        </w:p>
        <w:p w:rsidR="000A6C7B" w:rsidRDefault="005C0A7F" w:rsidP="008F07A3">
          <w:pPr>
            <w:pStyle w:val="ReportSubtitle"/>
          </w:pPr>
          <w:r>
            <w:t>20</w:t>
          </w:r>
          <w:r w:rsidR="00DA4752">
            <w:t xml:space="preserve">16 to </w:t>
          </w:r>
          <w:r w:rsidR="00A06085">
            <w:t>2021</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D41E80">
            <w:t>12</w:t>
          </w:r>
          <w:r w:rsidR="00DA4752">
            <w:t xml:space="preserve"> </w:t>
          </w:r>
          <w:r w:rsidR="00415F31">
            <w:rPr>
              <w:rFonts w:cs="Arial"/>
            </w:rPr>
            <w:t>–</w:t>
          </w:r>
          <w:r w:rsidR="00DA4752">
            <w:t xml:space="preserve"> </w:t>
          </w:r>
          <w:r w:rsidR="00D41E80">
            <w:t>Non-tariff components</w:t>
          </w:r>
        </w:p>
        <w:p w:rsidR="000A6C7B" w:rsidRPr="00327A1E" w:rsidRDefault="004837B4" w:rsidP="00327A1E">
          <w:pPr>
            <w:pStyle w:val="ReportDate"/>
          </w:pPr>
          <w:r>
            <w:t xml:space="preserve">May </w:t>
          </w:r>
          <w:r w:rsidR="00A2303E">
            <w:t>2016</w:t>
          </w:r>
        </w:p>
      </w:sdtContent>
    </w:sdt>
    <w:p w:rsidR="00327A1E" w:rsidRPr="00290C63" w:rsidRDefault="00327A1E" w:rsidP="00290C63">
      <w:r>
        <w:br w:type="page"/>
      </w:r>
    </w:p>
    <w:p w:rsidR="000A6C7B" w:rsidRDefault="000B3F60" w:rsidP="00961A4A">
      <w:pPr>
        <w:pStyle w:val="Copyright"/>
      </w:pPr>
      <w:r>
        <w:lastRenderedPageBreak/>
        <w:t>© Commonwealth of Australia 2016</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DE772C">
      <w:pPr>
        <w:pStyle w:val="UnnumberedHeading"/>
        <w:numPr>
          <w:ilvl w:val="0"/>
          <w:numId w:val="23"/>
        </w:numPr>
      </w:pPr>
      <w:bookmarkStart w:id="5" w:name="_Toc451761403"/>
      <w:r>
        <w:lastRenderedPageBreak/>
        <w:t>N</w:t>
      </w:r>
      <w:r w:rsidR="008F07A3">
        <w:t>ote</w:t>
      </w:r>
      <w:bookmarkEnd w:id="1"/>
      <w:bookmarkEnd w:id="2"/>
      <w:bookmarkEnd w:id="3"/>
      <w:bookmarkEnd w:id="4"/>
      <w:bookmarkEnd w:id="5"/>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A2303E">
        <w:t>final</w:t>
      </w:r>
      <w:r w:rsidR="00415F31">
        <w:t xml:space="preserve"> decision on </w:t>
      </w:r>
      <w:r w:rsidR="0033548E">
        <w:t>the</w:t>
      </w:r>
      <w:r w:rsidR="00415F31">
        <w:t xml:space="preserve"> </w:t>
      </w:r>
      <w:r w:rsidR="00CF2C05">
        <w:t>access</w:t>
      </w:r>
      <w:r w:rsidR="00415F31">
        <w:t xml:space="preserve"> </w:t>
      </w:r>
      <w:r w:rsidR="00CF2C05">
        <w:t>arrangement for</w:t>
      </w:r>
      <w:r w:rsidR="00415F31">
        <w:t xml:space="preserve"> </w:t>
      </w:r>
      <w:r w:rsidR="009E4A7A">
        <w:t xml:space="preserve">ActewAGL </w:t>
      </w:r>
      <w:r w:rsidR="006016A5">
        <w:t xml:space="preserve">Distribution </w:t>
      </w:r>
      <w:r w:rsidR="0033548E">
        <w:t xml:space="preserve">for </w:t>
      </w:r>
      <w:r w:rsidR="00415F31">
        <w:t>201</w:t>
      </w:r>
      <w:r w:rsidR="005C0A7F">
        <w:t>6</w:t>
      </w:r>
      <w:r w:rsidR="00415F31" w:rsidRPr="00D904FA">
        <w:t>–</w:t>
      </w:r>
      <w:r w:rsidR="00103A67">
        <w:t>21</w:t>
      </w:r>
      <w:r w:rsidR="00415F31">
        <w:t xml:space="preserve">. It should be read with </w:t>
      </w:r>
      <w:r w:rsidR="005C0A7F">
        <w:t xml:space="preserve">all </w:t>
      </w:r>
      <w:r w:rsidR="00415F31">
        <w:t xml:space="preserve">other parts of the </w:t>
      </w:r>
      <w:r w:rsidR="00A2303E">
        <w:t>final</w:t>
      </w:r>
      <w:r w:rsidR="005C0A7F">
        <w:t xml:space="preserve"> </w:t>
      </w:r>
      <w:r w:rsidR="00415F31">
        <w:t>decision.</w:t>
      </w:r>
    </w:p>
    <w:p w:rsidR="00415F31" w:rsidRDefault="00415F31" w:rsidP="00DE772C">
      <w:pPr>
        <w:numPr>
          <w:ilvl w:val="0"/>
          <w:numId w:val="24"/>
        </w:numPr>
        <w:spacing w:before="0" w:after="240" w:line="288" w:lineRule="auto"/>
        <w:jc w:val="both"/>
      </w:pPr>
      <w:r>
        <w:t xml:space="preserve">The </w:t>
      </w:r>
      <w:r w:rsidR="00A2303E">
        <w:t>final</w:t>
      </w:r>
      <w:r w:rsidR="005C0A7F">
        <w:t xml:space="preserve">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 xml:space="preserve">Attachment 1 - </w:t>
      </w:r>
      <w:r w:rsidR="00EE77FA">
        <w:t>Services covered by the access arrangement</w:t>
      </w:r>
    </w:p>
    <w:p w:rsidR="0070011E" w:rsidRDefault="0070011E" w:rsidP="0070011E">
      <w:r>
        <w:t xml:space="preserve">Attachment 2 - </w:t>
      </w:r>
      <w:r w:rsidR="00EE77FA">
        <w:t>Capital base</w:t>
      </w:r>
    </w:p>
    <w:p w:rsidR="0070011E" w:rsidRDefault="0070011E" w:rsidP="0070011E">
      <w:r>
        <w:t xml:space="preserve">Attachment 3 - </w:t>
      </w:r>
      <w:r w:rsidR="00EE77FA">
        <w:t>R</w:t>
      </w:r>
      <w:r>
        <w:t>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 xml:space="preserve">Attachment 9 - Efficiency </w:t>
      </w:r>
      <w:r w:rsidR="00EE77FA">
        <w:t>carryover mechanism</w:t>
      </w:r>
    </w:p>
    <w:p w:rsidR="0070011E" w:rsidRDefault="0070011E" w:rsidP="0070011E">
      <w:r>
        <w:t xml:space="preserve">Attachment 10 - </w:t>
      </w:r>
      <w:r w:rsidR="00EE77FA">
        <w:t>Reference tariff setting</w:t>
      </w:r>
    </w:p>
    <w:p w:rsidR="0070011E" w:rsidRDefault="0070011E" w:rsidP="0070011E">
      <w:r>
        <w:t xml:space="preserve">Attachment 11 - </w:t>
      </w:r>
      <w:r w:rsidR="00EE77FA">
        <w:t>Reference tariff variation mechanism</w:t>
      </w:r>
    </w:p>
    <w:p w:rsidR="0070011E" w:rsidRDefault="0070011E" w:rsidP="0070011E">
      <w:r>
        <w:t xml:space="preserve">Attachment 12 - </w:t>
      </w:r>
      <w:r w:rsidR="00EE77FA">
        <w:t>Non-tariff components</w:t>
      </w:r>
    </w:p>
    <w:p w:rsidR="0070011E" w:rsidRDefault="0070011E" w:rsidP="0070011E">
      <w:r>
        <w:t xml:space="preserve">Attachment 13 - </w:t>
      </w:r>
      <w:r w:rsidR="00EE77FA">
        <w:t>Demand</w:t>
      </w:r>
    </w:p>
    <w:p w:rsidR="00DE563D" w:rsidRPr="00A72B34" w:rsidRDefault="00DE563D" w:rsidP="00DE772C">
      <w:pPr>
        <w:pStyle w:val="UnnumberedHeading"/>
        <w:numPr>
          <w:ilvl w:val="0"/>
          <w:numId w:val="23"/>
        </w:numPr>
      </w:pPr>
      <w:bookmarkStart w:id="6" w:name="_Toc403144133"/>
      <w:bookmarkStart w:id="7" w:name="_Toc451761404"/>
      <w:r>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6B2585"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51761403" w:history="1">
            <w:r w:rsidR="006B2585" w:rsidRPr="009E59C9">
              <w:rPr>
                <w:rStyle w:val="Hyperlink"/>
              </w:rPr>
              <w:t>Note</w:t>
            </w:r>
            <w:r w:rsidR="006B2585">
              <w:rPr>
                <w:webHidden/>
              </w:rPr>
              <w:tab/>
            </w:r>
            <w:r w:rsidR="006B2585">
              <w:rPr>
                <w:webHidden/>
              </w:rPr>
              <w:fldChar w:fldCharType="begin"/>
            </w:r>
            <w:r w:rsidR="006B2585">
              <w:rPr>
                <w:webHidden/>
              </w:rPr>
              <w:instrText xml:space="preserve"> PAGEREF _Toc451761403 \h </w:instrText>
            </w:r>
            <w:r w:rsidR="006B2585">
              <w:rPr>
                <w:webHidden/>
              </w:rPr>
            </w:r>
            <w:r w:rsidR="006B2585">
              <w:rPr>
                <w:webHidden/>
              </w:rPr>
              <w:fldChar w:fldCharType="separate"/>
            </w:r>
            <w:r w:rsidR="006B2585">
              <w:rPr>
                <w:webHidden/>
              </w:rPr>
              <w:t>12-2</w:t>
            </w:r>
            <w:r w:rsidR="006B2585">
              <w:rPr>
                <w:webHidden/>
              </w:rPr>
              <w:fldChar w:fldCharType="end"/>
            </w:r>
          </w:hyperlink>
        </w:p>
        <w:p w:rsidR="006B2585" w:rsidRDefault="006B2585">
          <w:pPr>
            <w:pStyle w:val="TOC1"/>
            <w:rPr>
              <w:rFonts w:asciiTheme="minorHAnsi" w:eastAsiaTheme="minorEastAsia" w:hAnsiTheme="minorHAnsi"/>
              <w:b w:val="0"/>
              <w:color w:val="auto"/>
              <w:sz w:val="22"/>
              <w:lang w:val="en-AU" w:eastAsia="en-AU"/>
            </w:rPr>
          </w:pPr>
          <w:hyperlink w:anchor="_Toc451761404" w:history="1">
            <w:r w:rsidRPr="009E59C9">
              <w:rPr>
                <w:rStyle w:val="Hyperlink"/>
              </w:rPr>
              <w:t>Contents</w:t>
            </w:r>
            <w:r>
              <w:rPr>
                <w:webHidden/>
              </w:rPr>
              <w:tab/>
            </w:r>
            <w:r>
              <w:rPr>
                <w:webHidden/>
              </w:rPr>
              <w:fldChar w:fldCharType="begin"/>
            </w:r>
            <w:r>
              <w:rPr>
                <w:webHidden/>
              </w:rPr>
              <w:instrText xml:space="preserve"> PAGEREF _Toc451761404 \h </w:instrText>
            </w:r>
            <w:r>
              <w:rPr>
                <w:webHidden/>
              </w:rPr>
            </w:r>
            <w:r>
              <w:rPr>
                <w:webHidden/>
              </w:rPr>
              <w:fldChar w:fldCharType="separate"/>
            </w:r>
            <w:r>
              <w:rPr>
                <w:webHidden/>
              </w:rPr>
              <w:t>12-3</w:t>
            </w:r>
            <w:r>
              <w:rPr>
                <w:webHidden/>
              </w:rPr>
              <w:fldChar w:fldCharType="end"/>
            </w:r>
          </w:hyperlink>
        </w:p>
        <w:p w:rsidR="006B2585" w:rsidRDefault="006B2585">
          <w:pPr>
            <w:pStyle w:val="TOC1"/>
            <w:rPr>
              <w:rFonts w:asciiTheme="minorHAnsi" w:eastAsiaTheme="minorEastAsia" w:hAnsiTheme="minorHAnsi"/>
              <w:b w:val="0"/>
              <w:color w:val="auto"/>
              <w:sz w:val="22"/>
              <w:lang w:val="en-AU" w:eastAsia="en-AU"/>
            </w:rPr>
          </w:pPr>
          <w:hyperlink w:anchor="_Toc451761405" w:history="1">
            <w:r w:rsidRPr="009E59C9">
              <w:rPr>
                <w:rStyle w:val="Hyperlink"/>
              </w:rPr>
              <w:t>Shortened forms</w:t>
            </w:r>
            <w:r>
              <w:rPr>
                <w:webHidden/>
              </w:rPr>
              <w:tab/>
            </w:r>
            <w:r>
              <w:rPr>
                <w:webHidden/>
              </w:rPr>
              <w:fldChar w:fldCharType="begin"/>
            </w:r>
            <w:r>
              <w:rPr>
                <w:webHidden/>
              </w:rPr>
              <w:instrText xml:space="preserve"> PAGEREF _Toc451761405 \h </w:instrText>
            </w:r>
            <w:r>
              <w:rPr>
                <w:webHidden/>
              </w:rPr>
            </w:r>
            <w:r>
              <w:rPr>
                <w:webHidden/>
              </w:rPr>
              <w:fldChar w:fldCharType="separate"/>
            </w:r>
            <w:r>
              <w:rPr>
                <w:webHidden/>
              </w:rPr>
              <w:t>12-4</w:t>
            </w:r>
            <w:r>
              <w:rPr>
                <w:webHidden/>
              </w:rPr>
              <w:fldChar w:fldCharType="end"/>
            </w:r>
          </w:hyperlink>
        </w:p>
        <w:p w:rsidR="006B2585" w:rsidRDefault="006B2585">
          <w:pPr>
            <w:pStyle w:val="TOC1"/>
            <w:rPr>
              <w:rFonts w:asciiTheme="minorHAnsi" w:eastAsiaTheme="minorEastAsia" w:hAnsiTheme="minorHAnsi"/>
              <w:b w:val="0"/>
              <w:color w:val="auto"/>
              <w:sz w:val="22"/>
              <w:lang w:val="en-AU" w:eastAsia="en-AU"/>
            </w:rPr>
          </w:pPr>
          <w:hyperlink w:anchor="_Toc451761406" w:history="1">
            <w:r w:rsidRPr="009E59C9">
              <w:rPr>
                <w:rStyle w:val="Hyperlink"/>
              </w:rPr>
              <w:t>12</w:t>
            </w:r>
            <w:r>
              <w:rPr>
                <w:rFonts w:asciiTheme="minorHAnsi" w:eastAsiaTheme="minorEastAsia" w:hAnsiTheme="minorHAnsi"/>
                <w:b w:val="0"/>
                <w:color w:val="auto"/>
                <w:sz w:val="22"/>
                <w:lang w:val="en-AU" w:eastAsia="en-AU"/>
              </w:rPr>
              <w:tab/>
            </w:r>
            <w:r w:rsidRPr="009E59C9">
              <w:rPr>
                <w:rStyle w:val="Hyperlink"/>
              </w:rPr>
              <w:t>Non-tariff components</w:t>
            </w:r>
            <w:r>
              <w:rPr>
                <w:webHidden/>
              </w:rPr>
              <w:tab/>
            </w:r>
            <w:r>
              <w:rPr>
                <w:webHidden/>
              </w:rPr>
              <w:fldChar w:fldCharType="begin"/>
            </w:r>
            <w:r>
              <w:rPr>
                <w:webHidden/>
              </w:rPr>
              <w:instrText xml:space="preserve"> PAGEREF _Toc451761406 \h </w:instrText>
            </w:r>
            <w:r>
              <w:rPr>
                <w:webHidden/>
              </w:rPr>
            </w:r>
            <w:r>
              <w:rPr>
                <w:webHidden/>
              </w:rPr>
              <w:fldChar w:fldCharType="separate"/>
            </w:r>
            <w:r>
              <w:rPr>
                <w:webHidden/>
              </w:rPr>
              <w:t>12-6</w:t>
            </w:r>
            <w:r>
              <w:rPr>
                <w:webHidden/>
              </w:rPr>
              <w:fldChar w:fldCharType="end"/>
            </w:r>
          </w:hyperlink>
        </w:p>
        <w:p w:rsidR="006B2585" w:rsidRDefault="006B2585">
          <w:pPr>
            <w:pStyle w:val="TOC2"/>
            <w:tabs>
              <w:tab w:val="left" w:pos="1276"/>
            </w:tabs>
            <w:rPr>
              <w:rFonts w:asciiTheme="minorHAnsi" w:eastAsiaTheme="minorEastAsia" w:hAnsiTheme="minorHAnsi"/>
              <w:b w:val="0"/>
              <w:color w:val="auto"/>
              <w:sz w:val="22"/>
              <w:lang w:eastAsia="en-AU"/>
            </w:rPr>
          </w:pPr>
          <w:hyperlink w:anchor="_Toc451761407" w:history="1">
            <w:r w:rsidRPr="009E59C9">
              <w:rPr>
                <w:rStyle w:val="Hyperlink"/>
              </w:rPr>
              <w:t>12.1</w:t>
            </w:r>
            <w:r>
              <w:rPr>
                <w:rFonts w:asciiTheme="minorHAnsi" w:eastAsiaTheme="minorEastAsia" w:hAnsiTheme="minorHAnsi"/>
                <w:b w:val="0"/>
                <w:color w:val="auto"/>
                <w:sz w:val="22"/>
                <w:lang w:eastAsia="en-AU"/>
              </w:rPr>
              <w:tab/>
            </w:r>
            <w:r w:rsidRPr="009E59C9">
              <w:rPr>
                <w:rStyle w:val="Hyperlink"/>
              </w:rPr>
              <w:t>Decision</w:t>
            </w:r>
            <w:r>
              <w:rPr>
                <w:webHidden/>
              </w:rPr>
              <w:tab/>
            </w:r>
            <w:r>
              <w:rPr>
                <w:webHidden/>
              </w:rPr>
              <w:fldChar w:fldCharType="begin"/>
            </w:r>
            <w:r>
              <w:rPr>
                <w:webHidden/>
              </w:rPr>
              <w:instrText xml:space="preserve"> PAGEREF _Toc451761407 \h </w:instrText>
            </w:r>
            <w:r>
              <w:rPr>
                <w:webHidden/>
              </w:rPr>
            </w:r>
            <w:r>
              <w:rPr>
                <w:webHidden/>
              </w:rPr>
              <w:fldChar w:fldCharType="separate"/>
            </w:r>
            <w:r>
              <w:rPr>
                <w:webHidden/>
              </w:rPr>
              <w:t>12-6</w:t>
            </w:r>
            <w:r>
              <w:rPr>
                <w:webHidden/>
              </w:rPr>
              <w:fldChar w:fldCharType="end"/>
            </w:r>
          </w:hyperlink>
        </w:p>
        <w:p w:rsidR="006B2585" w:rsidRDefault="006B2585">
          <w:pPr>
            <w:pStyle w:val="TOC2"/>
            <w:tabs>
              <w:tab w:val="left" w:pos="1276"/>
            </w:tabs>
            <w:rPr>
              <w:rFonts w:asciiTheme="minorHAnsi" w:eastAsiaTheme="minorEastAsia" w:hAnsiTheme="minorHAnsi"/>
              <w:b w:val="0"/>
              <w:color w:val="auto"/>
              <w:sz w:val="22"/>
              <w:lang w:eastAsia="en-AU"/>
            </w:rPr>
          </w:pPr>
          <w:hyperlink w:anchor="_Toc451761408" w:history="1">
            <w:r w:rsidRPr="009E59C9">
              <w:rPr>
                <w:rStyle w:val="Hyperlink"/>
              </w:rPr>
              <w:t>12.2</w:t>
            </w:r>
            <w:r>
              <w:rPr>
                <w:rFonts w:asciiTheme="minorHAnsi" w:eastAsiaTheme="minorEastAsia" w:hAnsiTheme="minorHAnsi"/>
                <w:b w:val="0"/>
                <w:color w:val="auto"/>
                <w:sz w:val="22"/>
                <w:lang w:eastAsia="en-AU"/>
              </w:rPr>
              <w:tab/>
            </w:r>
            <w:r w:rsidRPr="009E59C9">
              <w:rPr>
                <w:rStyle w:val="Hyperlink"/>
              </w:rPr>
              <w:t>Terms and conditions</w:t>
            </w:r>
            <w:r>
              <w:rPr>
                <w:webHidden/>
              </w:rPr>
              <w:tab/>
            </w:r>
            <w:r>
              <w:rPr>
                <w:webHidden/>
              </w:rPr>
              <w:fldChar w:fldCharType="begin"/>
            </w:r>
            <w:r>
              <w:rPr>
                <w:webHidden/>
              </w:rPr>
              <w:instrText xml:space="preserve"> PAGEREF _Toc451761408 \h </w:instrText>
            </w:r>
            <w:r>
              <w:rPr>
                <w:webHidden/>
              </w:rPr>
            </w:r>
            <w:r>
              <w:rPr>
                <w:webHidden/>
              </w:rPr>
              <w:fldChar w:fldCharType="separate"/>
            </w:r>
            <w:r>
              <w:rPr>
                <w:webHidden/>
              </w:rPr>
              <w:t>12-6</w:t>
            </w:r>
            <w:r>
              <w:rPr>
                <w:webHidden/>
              </w:rPr>
              <w:fldChar w:fldCharType="end"/>
            </w:r>
          </w:hyperlink>
        </w:p>
        <w:p w:rsidR="006B2585" w:rsidRDefault="006B2585">
          <w:pPr>
            <w:pStyle w:val="TOC3"/>
            <w:rPr>
              <w:rFonts w:asciiTheme="minorHAnsi" w:eastAsiaTheme="minorEastAsia" w:hAnsiTheme="minorHAnsi"/>
              <w:lang w:eastAsia="en-AU"/>
            </w:rPr>
          </w:pPr>
          <w:hyperlink w:anchor="_Toc451761409" w:history="1">
            <w:r w:rsidRPr="009E59C9">
              <w:rPr>
                <w:rStyle w:val="Hyperlink"/>
              </w:rPr>
              <w:t>12.2.1</w:t>
            </w:r>
            <w:r>
              <w:rPr>
                <w:rFonts w:asciiTheme="minorHAnsi" w:eastAsiaTheme="minorEastAsia" w:hAnsiTheme="minorHAnsi"/>
                <w:lang w:eastAsia="en-AU"/>
              </w:rPr>
              <w:tab/>
            </w:r>
            <w:r w:rsidRPr="009E59C9">
              <w:rPr>
                <w:rStyle w:val="Hyperlink"/>
              </w:rPr>
              <w:t>Final decision</w:t>
            </w:r>
            <w:r>
              <w:rPr>
                <w:webHidden/>
              </w:rPr>
              <w:tab/>
            </w:r>
            <w:r>
              <w:rPr>
                <w:webHidden/>
              </w:rPr>
              <w:fldChar w:fldCharType="begin"/>
            </w:r>
            <w:r>
              <w:rPr>
                <w:webHidden/>
              </w:rPr>
              <w:instrText xml:space="preserve"> PAGEREF _Toc451761409 \h </w:instrText>
            </w:r>
            <w:r>
              <w:rPr>
                <w:webHidden/>
              </w:rPr>
            </w:r>
            <w:r>
              <w:rPr>
                <w:webHidden/>
              </w:rPr>
              <w:fldChar w:fldCharType="separate"/>
            </w:r>
            <w:r>
              <w:rPr>
                <w:webHidden/>
              </w:rPr>
              <w:t>12-7</w:t>
            </w:r>
            <w:r>
              <w:rPr>
                <w:webHidden/>
              </w:rPr>
              <w:fldChar w:fldCharType="end"/>
            </w:r>
          </w:hyperlink>
        </w:p>
        <w:p w:rsidR="006B2585" w:rsidRDefault="006B2585">
          <w:pPr>
            <w:pStyle w:val="TOC3"/>
            <w:rPr>
              <w:rFonts w:asciiTheme="minorHAnsi" w:eastAsiaTheme="minorEastAsia" w:hAnsiTheme="minorHAnsi"/>
              <w:lang w:eastAsia="en-AU"/>
            </w:rPr>
          </w:pPr>
          <w:hyperlink w:anchor="_Toc451761410" w:history="1">
            <w:r w:rsidRPr="009E59C9">
              <w:rPr>
                <w:rStyle w:val="Hyperlink"/>
              </w:rPr>
              <w:t>12.2.2</w:t>
            </w:r>
            <w:r>
              <w:rPr>
                <w:rFonts w:asciiTheme="minorHAnsi" w:eastAsiaTheme="minorEastAsia" w:hAnsiTheme="minorHAnsi"/>
                <w:lang w:eastAsia="en-AU"/>
              </w:rPr>
              <w:tab/>
            </w:r>
            <w:r w:rsidRPr="009E59C9">
              <w:rPr>
                <w:rStyle w:val="Hyperlink"/>
              </w:rPr>
              <w:t>ActewAGL's revised proposal</w:t>
            </w:r>
            <w:r>
              <w:rPr>
                <w:webHidden/>
              </w:rPr>
              <w:tab/>
            </w:r>
            <w:r>
              <w:rPr>
                <w:webHidden/>
              </w:rPr>
              <w:fldChar w:fldCharType="begin"/>
            </w:r>
            <w:r>
              <w:rPr>
                <w:webHidden/>
              </w:rPr>
              <w:instrText xml:space="preserve"> PAGEREF _Toc451761410 \h </w:instrText>
            </w:r>
            <w:r>
              <w:rPr>
                <w:webHidden/>
              </w:rPr>
            </w:r>
            <w:r>
              <w:rPr>
                <w:webHidden/>
              </w:rPr>
              <w:fldChar w:fldCharType="separate"/>
            </w:r>
            <w:r>
              <w:rPr>
                <w:webHidden/>
              </w:rPr>
              <w:t>12-7</w:t>
            </w:r>
            <w:r>
              <w:rPr>
                <w:webHidden/>
              </w:rPr>
              <w:fldChar w:fldCharType="end"/>
            </w:r>
          </w:hyperlink>
        </w:p>
        <w:p w:rsidR="006B2585" w:rsidRDefault="006B2585">
          <w:pPr>
            <w:pStyle w:val="TOC3"/>
            <w:rPr>
              <w:rFonts w:asciiTheme="minorHAnsi" w:eastAsiaTheme="minorEastAsia" w:hAnsiTheme="minorHAnsi"/>
              <w:lang w:eastAsia="en-AU"/>
            </w:rPr>
          </w:pPr>
          <w:hyperlink w:anchor="_Toc451761411" w:history="1">
            <w:r w:rsidRPr="009E59C9">
              <w:rPr>
                <w:rStyle w:val="Hyperlink"/>
              </w:rPr>
              <w:t>12.2.3</w:t>
            </w:r>
            <w:r>
              <w:rPr>
                <w:rFonts w:asciiTheme="minorHAnsi" w:eastAsiaTheme="minorEastAsia" w:hAnsiTheme="minorHAnsi"/>
                <w:lang w:eastAsia="en-AU"/>
              </w:rPr>
              <w:tab/>
            </w:r>
            <w:r w:rsidRPr="009E59C9">
              <w:rPr>
                <w:rStyle w:val="Hyperlink"/>
              </w:rPr>
              <w:t>AER’s assessment approach</w:t>
            </w:r>
            <w:r>
              <w:rPr>
                <w:webHidden/>
              </w:rPr>
              <w:tab/>
            </w:r>
            <w:r>
              <w:rPr>
                <w:webHidden/>
              </w:rPr>
              <w:fldChar w:fldCharType="begin"/>
            </w:r>
            <w:r>
              <w:rPr>
                <w:webHidden/>
              </w:rPr>
              <w:instrText xml:space="preserve"> PAGEREF _Toc451761411 \h </w:instrText>
            </w:r>
            <w:r>
              <w:rPr>
                <w:webHidden/>
              </w:rPr>
            </w:r>
            <w:r>
              <w:rPr>
                <w:webHidden/>
              </w:rPr>
              <w:fldChar w:fldCharType="separate"/>
            </w:r>
            <w:r>
              <w:rPr>
                <w:webHidden/>
              </w:rPr>
              <w:t>12-7</w:t>
            </w:r>
            <w:r>
              <w:rPr>
                <w:webHidden/>
              </w:rPr>
              <w:fldChar w:fldCharType="end"/>
            </w:r>
          </w:hyperlink>
        </w:p>
        <w:p w:rsidR="006B2585" w:rsidRDefault="006B2585">
          <w:pPr>
            <w:pStyle w:val="TOC3"/>
            <w:rPr>
              <w:rFonts w:asciiTheme="minorHAnsi" w:eastAsiaTheme="minorEastAsia" w:hAnsiTheme="minorHAnsi"/>
              <w:lang w:eastAsia="en-AU"/>
            </w:rPr>
          </w:pPr>
          <w:hyperlink w:anchor="_Toc451761412" w:history="1">
            <w:r w:rsidRPr="009E59C9">
              <w:rPr>
                <w:rStyle w:val="Hyperlink"/>
              </w:rPr>
              <w:t>12.2.4</w:t>
            </w:r>
            <w:r>
              <w:rPr>
                <w:rFonts w:asciiTheme="minorHAnsi" w:eastAsiaTheme="minorEastAsia" w:hAnsiTheme="minorHAnsi"/>
                <w:lang w:eastAsia="en-AU"/>
              </w:rPr>
              <w:tab/>
            </w:r>
            <w:r w:rsidRPr="009E59C9">
              <w:rPr>
                <w:rStyle w:val="Hyperlink"/>
              </w:rPr>
              <w:t>Reasons for final decision</w:t>
            </w:r>
            <w:r>
              <w:rPr>
                <w:webHidden/>
              </w:rPr>
              <w:tab/>
            </w:r>
            <w:r>
              <w:rPr>
                <w:webHidden/>
              </w:rPr>
              <w:fldChar w:fldCharType="begin"/>
            </w:r>
            <w:r>
              <w:rPr>
                <w:webHidden/>
              </w:rPr>
              <w:instrText xml:space="preserve"> PAGEREF _Toc451761412 \h </w:instrText>
            </w:r>
            <w:r>
              <w:rPr>
                <w:webHidden/>
              </w:rPr>
            </w:r>
            <w:r>
              <w:rPr>
                <w:webHidden/>
              </w:rPr>
              <w:fldChar w:fldCharType="separate"/>
            </w:r>
            <w:r>
              <w:rPr>
                <w:webHidden/>
              </w:rPr>
              <w:t>12-8</w:t>
            </w:r>
            <w:r>
              <w:rPr>
                <w:webHidden/>
              </w:rPr>
              <w:fldChar w:fldCharType="end"/>
            </w:r>
          </w:hyperlink>
        </w:p>
        <w:p w:rsidR="006B2585" w:rsidRDefault="006B2585">
          <w:pPr>
            <w:pStyle w:val="TOC2"/>
            <w:tabs>
              <w:tab w:val="left" w:pos="1276"/>
            </w:tabs>
            <w:rPr>
              <w:rFonts w:asciiTheme="minorHAnsi" w:eastAsiaTheme="minorEastAsia" w:hAnsiTheme="minorHAnsi"/>
              <w:b w:val="0"/>
              <w:color w:val="auto"/>
              <w:sz w:val="22"/>
              <w:lang w:eastAsia="en-AU"/>
            </w:rPr>
          </w:pPr>
          <w:hyperlink w:anchor="_Toc451761413" w:history="1">
            <w:r w:rsidRPr="009E59C9">
              <w:rPr>
                <w:rStyle w:val="Hyperlink"/>
              </w:rPr>
              <w:t>12.3</w:t>
            </w:r>
            <w:r>
              <w:rPr>
                <w:rFonts w:asciiTheme="minorHAnsi" w:eastAsiaTheme="minorEastAsia" w:hAnsiTheme="minorHAnsi"/>
                <w:b w:val="0"/>
                <w:color w:val="auto"/>
                <w:sz w:val="22"/>
                <w:lang w:eastAsia="en-AU"/>
              </w:rPr>
              <w:tab/>
            </w:r>
            <w:r w:rsidRPr="009E59C9">
              <w:rPr>
                <w:rStyle w:val="Hyperlink"/>
              </w:rPr>
              <w:t>Extension and expansion requirements</w:t>
            </w:r>
            <w:r>
              <w:rPr>
                <w:webHidden/>
              </w:rPr>
              <w:tab/>
            </w:r>
            <w:r>
              <w:rPr>
                <w:webHidden/>
              </w:rPr>
              <w:fldChar w:fldCharType="begin"/>
            </w:r>
            <w:r>
              <w:rPr>
                <w:webHidden/>
              </w:rPr>
              <w:instrText xml:space="preserve"> PAGEREF _Toc451761413 \h </w:instrText>
            </w:r>
            <w:r>
              <w:rPr>
                <w:webHidden/>
              </w:rPr>
            </w:r>
            <w:r>
              <w:rPr>
                <w:webHidden/>
              </w:rPr>
              <w:fldChar w:fldCharType="separate"/>
            </w:r>
            <w:r>
              <w:rPr>
                <w:webHidden/>
              </w:rPr>
              <w:t>12-10</w:t>
            </w:r>
            <w:r>
              <w:rPr>
                <w:webHidden/>
              </w:rPr>
              <w:fldChar w:fldCharType="end"/>
            </w:r>
          </w:hyperlink>
        </w:p>
        <w:p w:rsidR="006B2585" w:rsidRDefault="006B2585">
          <w:pPr>
            <w:pStyle w:val="TOC3"/>
            <w:rPr>
              <w:rFonts w:asciiTheme="minorHAnsi" w:eastAsiaTheme="minorEastAsia" w:hAnsiTheme="minorHAnsi"/>
              <w:lang w:eastAsia="en-AU"/>
            </w:rPr>
          </w:pPr>
          <w:hyperlink w:anchor="_Toc451761414" w:history="1">
            <w:r w:rsidRPr="009E59C9">
              <w:rPr>
                <w:rStyle w:val="Hyperlink"/>
              </w:rPr>
              <w:t>12.3.1</w:t>
            </w:r>
            <w:r>
              <w:rPr>
                <w:rFonts w:asciiTheme="minorHAnsi" w:eastAsiaTheme="minorEastAsia" w:hAnsiTheme="minorHAnsi"/>
                <w:lang w:eastAsia="en-AU"/>
              </w:rPr>
              <w:tab/>
            </w:r>
            <w:r w:rsidRPr="009E59C9">
              <w:rPr>
                <w:rStyle w:val="Hyperlink"/>
              </w:rPr>
              <w:t>Final decision</w:t>
            </w:r>
            <w:r>
              <w:rPr>
                <w:webHidden/>
              </w:rPr>
              <w:tab/>
            </w:r>
            <w:r>
              <w:rPr>
                <w:webHidden/>
              </w:rPr>
              <w:fldChar w:fldCharType="begin"/>
            </w:r>
            <w:r>
              <w:rPr>
                <w:webHidden/>
              </w:rPr>
              <w:instrText xml:space="preserve"> PAGEREF _Toc451761414 \h </w:instrText>
            </w:r>
            <w:r>
              <w:rPr>
                <w:webHidden/>
              </w:rPr>
            </w:r>
            <w:r>
              <w:rPr>
                <w:webHidden/>
              </w:rPr>
              <w:fldChar w:fldCharType="separate"/>
            </w:r>
            <w:r>
              <w:rPr>
                <w:webHidden/>
              </w:rPr>
              <w:t>12-10</w:t>
            </w:r>
            <w:r>
              <w:rPr>
                <w:webHidden/>
              </w:rPr>
              <w:fldChar w:fldCharType="end"/>
            </w:r>
          </w:hyperlink>
        </w:p>
        <w:p w:rsidR="006B2585" w:rsidRDefault="006B2585">
          <w:pPr>
            <w:pStyle w:val="TOC3"/>
            <w:rPr>
              <w:rFonts w:asciiTheme="minorHAnsi" w:eastAsiaTheme="minorEastAsia" w:hAnsiTheme="minorHAnsi"/>
              <w:lang w:eastAsia="en-AU"/>
            </w:rPr>
          </w:pPr>
          <w:hyperlink w:anchor="_Toc451761415" w:history="1">
            <w:r w:rsidRPr="009E59C9">
              <w:rPr>
                <w:rStyle w:val="Hyperlink"/>
              </w:rPr>
              <w:t>12.3.2</w:t>
            </w:r>
            <w:r>
              <w:rPr>
                <w:rFonts w:asciiTheme="minorHAnsi" w:eastAsiaTheme="minorEastAsia" w:hAnsiTheme="minorHAnsi"/>
                <w:lang w:eastAsia="en-AU"/>
              </w:rPr>
              <w:tab/>
            </w:r>
            <w:r w:rsidRPr="009E59C9">
              <w:rPr>
                <w:rStyle w:val="Hyperlink"/>
              </w:rPr>
              <w:t>ActewAGL’s revised proposal</w:t>
            </w:r>
            <w:r>
              <w:rPr>
                <w:webHidden/>
              </w:rPr>
              <w:tab/>
            </w:r>
            <w:r>
              <w:rPr>
                <w:webHidden/>
              </w:rPr>
              <w:fldChar w:fldCharType="begin"/>
            </w:r>
            <w:r>
              <w:rPr>
                <w:webHidden/>
              </w:rPr>
              <w:instrText xml:space="preserve"> PAGEREF _Toc451761415 \h </w:instrText>
            </w:r>
            <w:r>
              <w:rPr>
                <w:webHidden/>
              </w:rPr>
            </w:r>
            <w:r>
              <w:rPr>
                <w:webHidden/>
              </w:rPr>
              <w:fldChar w:fldCharType="separate"/>
            </w:r>
            <w:r>
              <w:rPr>
                <w:webHidden/>
              </w:rPr>
              <w:t>12-11</w:t>
            </w:r>
            <w:r>
              <w:rPr>
                <w:webHidden/>
              </w:rPr>
              <w:fldChar w:fldCharType="end"/>
            </w:r>
          </w:hyperlink>
        </w:p>
        <w:p w:rsidR="006B2585" w:rsidRDefault="006B2585">
          <w:pPr>
            <w:pStyle w:val="TOC3"/>
            <w:rPr>
              <w:rFonts w:asciiTheme="minorHAnsi" w:eastAsiaTheme="minorEastAsia" w:hAnsiTheme="minorHAnsi"/>
              <w:lang w:eastAsia="en-AU"/>
            </w:rPr>
          </w:pPr>
          <w:hyperlink w:anchor="_Toc451761416" w:history="1">
            <w:r w:rsidRPr="009E59C9">
              <w:rPr>
                <w:rStyle w:val="Hyperlink"/>
              </w:rPr>
              <w:t>12.3.3</w:t>
            </w:r>
            <w:r>
              <w:rPr>
                <w:rFonts w:asciiTheme="minorHAnsi" w:eastAsiaTheme="minorEastAsia" w:hAnsiTheme="minorHAnsi"/>
                <w:lang w:eastAsia="en-AU"/>
              </w:rPr>
              <w:tab/>
            </w:r>
            <w:r w:rsidRPr="009E59C9">
              <w:rPr>
                <w:rStyle w:val="Hyperlink"/>
              </w:rPr>
              <w:t>AER’s assessment approach</w:t>
            </w:r>
            <w:r>
              <w:rPr>
                <w:webHidden/>
              </w:rPr>
              <w:tab/>
            </w:r>
            <w:r>
              <w:rPr>
                <w:webHidden/>
              </w:rPr>
              <w:fldChar w:fldCharType="begin"/>
            </w:r>
            <w:r>
              <w:rPr>
                <w:webHidden/>
              </w:rPr>
              <w:instrText xml:space="preserve"> PAGEREF _Toc451761416 \h </w:instrText>
            </w:r>
            <w:r>
              <w:rPr>
                <w:webHidden/>
              </w:rPr>
            </w:r>
            <w:r>
              <w:rPr>
                <w:webHidden/>
              </w:rPr>
              <w:fldChar w:fldCharType="separate"/>
            </w:r>
            <w:r>
              <w:rPr>
                <w:webHidden/>
              </w:rPr>
              <w:t>12-11</w:t>
            </w:r>
            <w:r>
              <w:rPr>
                <w:webHidden/>
              </w:rPr>
              <w:fldChar w:fldCharType="end"/>
            </w:r>
          </w:hyperlink>
        </w:p>
        <w:p w:rsidR="006B2585" w:rsidRDefault="006B2585">
          <w:pPr>
            <w:pStyle w:val="TOC3"/>
            <w:rPr>
              <w:rFonts w:asciiTheme="minorHAnsi" w:eastAsiaTheme="minorEastAsia" w:hAnsiTheme="minorHAnsi"/>
              <w:lang w:eastAsia="en-AU"/>
            </w:rPr>
          </w:pPr>
          <w:hyperlink w:anchor="_Toc451761417" w:history="1">
            <w:r w:rsidRPr="009E59C9">
              <w:rPr>
                <w:rStyle w:val="Hyperlink"/>
              </w:rPr>
              <w:t>12.3.4</w:t>
            </w:r>
            <w:r>
              <w:rPr>
                <w:rFonts w:asciiTheme="minorHAnsi" w:eastAsiaTheme="minorEastAsia" w:hAnsiTheme="minorHAnsi"/>
                <w:lang w:eastAsia="en-AU"/>
              </w:rPr>
              <w:tab/>
            </w:r>
            <w:r w:rsidRPr="009E59C9">
              <w:rPr>
                <w:rStyle w:val="Hyperlink"/>
              </w:rPr>
              <w:t>Reasons for final decision</w:t>
            </w:r>
            <w:r>
              <w:rPr>
                <w:webHidden/>
              </w:rPr>
              <w:tab/>
            </w:r>
            <w:r>
              <w:rPr>
                <w:webHidden/>
              </w:rPr>
              <w:fldChar w:fldCharType="begin"/>
            </w:r>
            <w:r>
              <w:rPr>
                <w:webHidden/>
              </w:rPr>
              <w:instrText xml:space="preserve"> PAGEREF _Toc451761417 \h </w:instrText>
            </w:r>
            <w:r>
              <w:rPr>
                <w:webHidden/>
              </w:rPr>
            </w:r>
            <w:r>
              <w:rPr>
                <w:webHidden/>
              </w:rPr>
              <w:fldChar w:fldCharType="separate"/>
            </w:r>
            <w:r>
              <w:rPr>
                <w:webHidden/>
              </w:rPr>
              <w:t>12-11</w:t>
            </w:r>
            <w:r>
              <w:rPr>
                <w:webHidden/>
              </w:rPr>
              <w:fldChar w:fldCharType="end"/>
            </w:r>
          </w:hyperlink>
        </w:p>
        <w:p w:rsidR="006B2585" w:rsidRDefault="006B2585">
          <w:pPr>
            <w:pStyle w:val="TOC2"/>
            <w:tabs>
              <w:tab w:val="left" w:pos="1276"/>
            </w:tabs>
            <w:rPr>
              <w:rFonts w:asciiTheme="minorHAnsi" w:eastAsiaTheme="minorEastAsia" w:hAnsiTheme="minorHAnsi"/>
              <w:b w:val="0"/>
              <w:color w:val="auto"/>
              <w:sz w:val="22"/>
              <w:lang w:eastAsia="en-AU"/>
            </w:rPr>
          </w:pPr>
          <w:hyperlink w:anchor="_Toc451761418" w:history="1">
            <w:r w:rsidRPr="009E59C9">
              <w:rPr>
                <w:rStyle w:val="Hyperlink"/>
              </w:rPr>
              <w:t>12.4</w:t>
            </w:r>
            <w:r>
              <w:rPr>
                <w:rFonts w:asciiTheme="minorHAnsi" w:eastAsiaTheme="minorEastAsia" w:hAnsiTheme="minorHAnsi"/>
                <w:b w:val="0"/>
                <w:color w:val="auto"/>
                <w:sz w:val="22"/>
                <w:lang w:eastAsia="en-AU"/>
              </w:rPr>
              <w:tab/>
            </w:r>
            <w:r w:rsidRPr="009E59C9">
              <w:rPr>
                <w:rStyle w:val="Hyperlink"/>
              </w:rPr>
              <w:t>Other non-tariff components</w:t>
            </w:r>
            <w:r>
              <w:rPr>
                <w:webHidden/>
              </w:rPr>
              <w:tab/>
            </w:r>
            <w:r>
              <w:rPr>
                <w:webHidden/>
              </w:rPr>
              <w:fldChar w:fldCharType="begin"/>
            </w:r>
            <w:r>
              <w:rPr>
                <w:webHidden/>
              </w:rPr>
              <w:instrText xml:space="preserve"> PAGEREF _Toc451761418 \h </w:instrText>
            </w:r>
            <w:r>
              <w:rPr>
                <w:webHidden/>
              </w:rPr>
            </w:r>
            <w:r>
              <w:rPr>
                <w:webHidden/>
              </w:rPr>
              <w:fldChar w:fldCharType="separate"/>
            </w:r>
            <w:r>
              <w:rPr>
                <w:webHidden/>
              </w:rPr>
              <w:t>12-13</w:t>
            </w:r>
            <w:r>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E7494F" w:rsidRDefault="00DE563D" w:rsidP="00DE772C">
      <w:pPr>
        <w:pStyle w:val="UnnumberedHeading"/>
        <w:numPr>
          <w:ilvl w:val="0"/>
          <w:numId w:val="23"/>
        </w:numPr>
      </w:pPr>
      <w:bookmarkStart w:id="8" w:name="_Toc404700925"/>
      <w:bookmarkStart w:id="9" w:name="_Toc451761405"/>
      <w:r>
        <w:t>Shortened forms</w:t>
      </w:r>
      <w:bookmarkEnd w:id="8"/>
      <w:bookmarkEnd w:id="9"/>
    </w:p>
    <w:tbl>
      <w:tblPr>
        <w:tblStyle w:val="AERtable-numbers"/>
        <w:tblW w:w="0" w:type="auto"/>
        <w:tblLook w:val="04A0" w:firstRow="1" w:lastRow="0" w:firstColumn="1" w:lastColumn="0" w:noHBand="0" w:noVBand="1"/>
      </w:tblPr>
      <w:tblGrid>
        <w:gridCol w:w="3652"/>
        <w:gridCol w:w="5041"/>
      </w:tblGrid>
      <w:tr w:rsidR="000D5B96" w:rsidTr="000D5B9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D5B96" w:rsidRDefault="000D5B96" w:rsidP="000D5B96">
            <w:pPr>
              <w:numPr>
                <w:ilvl w:val="0"/>
                <w:numId w:val="28"/>
              </w:numPr>
            </w:pPr>
            <w:r>
              <w:t>Shortened form</w:t>
            </w:r>
          </w:p>
        </w:tc>
        <w:tc>
          <w:tcPr>
            <w:tcW w:w="5041" w:type="dxa"/>
            <w:tcBorders>
              <w:top w:val="nil"/>
              <w:left w:val="nil"/>
              <w:bottom w:val="nil"/>
              <w:right w:val="nil"/>
            </w:tcBorders>
            <w:hideMark/>
          </w:tcPr>
          <w:p w:rsidR="000D5B96" w:rsidRDefault="000D5B96" w:rsidP="000D5B96">
            <w:pPr>
              <w:numPr>
                <w:ilvl w:val="0"/>
                <w:numId w:val="28"/>
              </w:numPr>
              <w:cnfStyle w:val="100000000000" w:firstRow="1" w:lastRow="0" w:firstColumn="0" w:lastColumn="0" w:oddVBand="0" w:evenVBand="0" w:oddHBand="0" w:evenHBand="0" w:firstRowFirstColumn="0" w:firstRowLastColumn="0" w:lastRowFirstColumn="0" w:lastRowLastColumn="0"/>
            </w:pPr>
            <w:r>
              <w:t>Extended form</w:t>
            </w:r>
          </w:p>
        </w:tc>
      </w:tr>
      <w:tr w:rsidR="000D5B96" w:rsidTr="000D5B96">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D5B96" w:rsidRDefault="000D5B96" w:rsidP="000D5B96">
            <w:pPr>
              <w:numPr>
                <w:ilvl w:val="0"/>
                <w:numId w:val="28"/>
              </w:numPr>
            </w:pPr>
            <w:r>
              <w:t>AA</w:t>
            </w:r>
          </w:p>
        </w:tc>
        <w:tc>
          <w:tcPr>
            <w:tcW w:w="5041" w:type="dxa"/>
            <w:tcBorders>
              <w:top w:val="nil"/>
              <w:left w:val="nil"/>
              <w:bottom w:val="nil"/>
              <w:right w:val="nil"/>
            </w:tcBorders>
            <w:hideMark/>
          </w:tcPr>
          <w:p w:rsidR="000D5B96" w:rsidRDefault="000D5B96">
            <w:pPr>
              <w:cnfStyle w:val="000000000000" w:firstRow="0" w:lastRow="0" w:firstColumn="0" w:lastColumn="0" w:oddVBand="0" w:evenVBand="0" w:oddHBand="0" w:evenHBand="0" w:firstRowFirstColumn="0" w:firstRowLastColumn="0" w:lastRowFirstColumn="0" w:lastRowLastColumn="0"/>
            </w:pPr>
            <w:r>
              <w:t>Access Arrangement</w:t>
            </w:r>
          </w:p>
        </w:tc>
      </w:tr>
      <w:tr w:rsidR="000D5B96" w:rsidTr="000D5B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D5B96" w:rsidRDefault="000D5B96" w:rsidP="000D5B96">
            <w:pPr>
              <w:numPr>
                <w:ilvl w:val="0"/>
                <w:numId w:val="28"/>
              </w:numPr>
            </w:pPr>
            <w:r>
              <w:t>AAI</w:t>
            </w:r>
          </w:p>
        </w:tc>
        <w:tc>
          <w:tcPr>
            <w:tcW w:w="5041" w:type="dxa"/>
            <w:tcBorders>
              <w:top w:val="nil"/>
              <w:left w:val="nil"/>
              <w:bottom w:val="nil"/>
              <w:right w:val="nil"/>
            </w:tcBorders>
            <w:hideMark/>
          </w:tcPr>
          <w:p w:rsidR="000D5B96" w:rsidRDefault="000D5B96">
            <w:pPr>
              <w:cnfStyle w:val="000000010000" w:firstRow="0" w:lastRow="0" w:firstColumn="0" w:lastColumn="0" w:oddVBand="0" w:evenVBand="0" w:oddHBand="0" w:evenHBand="1" w:firstRowFirstColumn="0" w:firstRowLastColumn="0" w:lastRowFirstColumn="0" w:lastRowLastColumn="0"/>
            </w:pPr>
            <w:r>
              <w:t>Access Arrangement Information</w:t>
            </w:r>
          </w:p>
        </w:tc>
      </w:tr>
      <w:tr w:rsidR="000D5B96" w:rsidTr="000D5B96">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D5B96" w:rsidRDefault="000D5B96" w:rsidP="000D5B96">
            <w:pPr>
              <w:numPr>
                <w:ilvl w:val="0"/>
                <w:numId w:val="28"/>
              </w:numPr>
            </w:pPr>
            <w:r>
              <w:t>AER</w:t>
            </w:r>
          </w:p>
        </w:tc>
        <w:tc>
          <w:tcPr>
            <w:tcW w:w="5041" w:type="dxa"/>
            <w:tcBorders>
              <w:top w:val="nil"/>
              <w:left w:val="nil"/>
              <w:bottom w:val="nil"/>
              <w:right w:val="nil"/>
            </w:tcBorders>
            <w:hideMark/>
          </w:tcPr>
          <w:p w:rsidR="000D5B96" w:rsidRDefault="000D5B96" w:rsidP="000D5B96">
            <w:pPr>
              <w:numPr>
                <w:ilvl w:val="0"/>
                <w:numId w:val="28"/>
              </w:numPr>
              <w:cnfStyle w:val="000000000000" w:firstRow="0" w:lastRow="0" w:firstColumn="0" w:lastColumn="0" w:oddVBand="0" w:evenVBand="0" w:oddHBand="0" w:evenHBand="0" w:firstRowFirstColumn="0" w:firstRowLastColumn="0" w:lastRowFirstColumn="0" w:lastRowLastColumn="0"/>
            </w:pPr>
            <w:r>
              <w:t>Australian Energy Regulator</w:t>
            </w:r>
          </w:p>
        </w:tc>
      </w:tr>
      <w:tr w:rsidR="000D5B96" w:rsidTr="000D5B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D5B96" w:rsidRDefault="000D5B96" w:rsidP="000D5B96">
            <w:pPr>
              <w:numPr>
                <w:ilvl w:val="0"/>
                <w:numId w:val="28"/>
              </w:numPr>
            </w:pPr>
            <w:r>
              <w:t>ASA</w:t>
            </w:r>
          </w:p>
        </w:tc>
        <w:tc>
          <w:tcPr>
            <w:tcW w:w="5041" w:type="dxa"/>
            <w:tcBorders>
              <w:top w:val="nil"/>
              <w:left w:val="nil"/>
              <w:bottom w:val="nil"/>
              <w:right w:val="nil"/>
            </w:tcBorders>
            <w:hideMark/>
          </w:tcPr>
          <w:p w:rsidR="000D5B96" w:rsidRDefault="000D5B96">
            <w:pPr>
              <w:cnfStyle w:val="000000010000" w:firstRow="0" w:lastRow="0" w:firstColumn="0" w:lastColumn="0" w:oddVBand="0" w:evenVBand="0" w:oddHBand="0" w:evenHBand="1" w:firstRowFirstColumn="0" w:firstRowLastColumn="0" w:lastRowFirstColumn="0" w:lastRowLastColumn="0"/>
            </w:pPr>
            <w:r>
              <w:t>Asset Services Agreement</w:t>
            </w:r>
          </w:p>
        </w:tc>
      </w:tr>
      <w:tr w:rsidR="000D5B96" w:rsidTr="000D5B96">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D5B96" w:rsidRDefault="000D5B96" w:rsidP="000D5B96">
            <w:pPr>
              <w:numPr>
                <w:ilvl w:val="0"/>
                <w:numId w:val="28"/>
              </w:numPr>
            </w:pPr>
            <w:r>
              <w:t>ATO</w:t>
            </w:r>
          </w:p>
        </w:tc>
        <w:tc>
          <w:tcPr>
            <w:tcW w:w="5041" w:type="dxa"/>
            <w:tcBorders>
              <w:top w:val="nil"/>
              <w:left w:val="nil"/>
              <w:bottom w:val="nil"/>
              <w:right w:val="nil"/>
            </w:tcBorders>
            <w:hideMark/>
          </w:tcPr>
          <w:p w:rsidR="000D5B96" w:rsidRDefault="000D5B96">
            <w:pPr>
              <w:cnfStyle w:val="000000000000" w:firstRow="0" w:lastRow="0" w:firstColumn="0" w:lastColumn="0" w:oddVBand="0" w:evenVBand="0" w:oddHBand="0" w:evenHBand="0" w:firstRowFirstColumn="0" w:firstRowLastColumn="0" w:lastRowFirstColumn="0" w:lastRowLastColumn="0"/>
            </w:pPr>
            <w:r>
              <w:t>Australian Tax Office</w:t>
            </w:r>
          </w:p>
        </w:tc>
      </w:tr>
      <w:tr w:rsidR="000D5B96" w:rsidTr="000D5B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D5B96" w:rsidRDefault="000D5B96" w:rsidP="000D5B96">
            <w:pPr>
              <w:numPr>
                <w:ilvl w:val="0"/>
                <w:numId w:val="28"/>
              </w:numPr>
            </w:pPr>
            <w:r>
              <w:t>capex</w:t>
            </w:r>
          </w:p>
        </w:tc>
        <w:tc>
          <w:tcPr>
            <w:tcW w:w="5041" w:type="dxa"/>
            <w:tcBorders>
              <w:top w:val="nil"/>
              <w:left w:val="nil"/>
              <w:bottom w:val="nil"/>
              <w:right w:val="nil"/>
            </w:tcBorders>
            <w:hideMark/>
          </w:tcPr>
          <w:p w:rsidR="000D5B96" w:rsidRDefault="000D5B96" w:rsidP="000D5B96">
            <w:pPr>
              <w:numPr>
                <w:ilvl w:val="0"/>
                <w:numId w:val="28"/>
              </w:numPr>
              <w:cnfStyle w:val="000000010000" w:firstRow="0" w:lastRow="0" w:firstColumn="0" w:lastColumn="0" w:oddVBand="0" w:evenVBand="0" w:oddHBand="0" w:evenHBand="1" w:firstRowFirstColumn="0" w:firstRowLastColumn="0" w:lastRowFirstColumn="0" w:lastRowLastColumn="0"/>
            </w:pPr>
            <w:r>
              <w:t>capital expenditure</w:t>
            </w:r>
          </w:p>
        </w:tc>
      </w:tr>
      <w:tr w:rsidR="000D5B96" w:rsidTr="000D5B96">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D5B96" w:rsidRDefault="000D5B96" w:rsidP="000D5B96">
            <w:pPr>
              <w:numPr>
                <w:ilvl w:val="0"/>
                <w:numId w:val="28"/>
              </w:numPr>
            </w:pPr>
            <w:r>
              <w:t>CAPM</w:t>
            </w:r>
          </w:p>
        </w:tc>
        <w:tc>
          <w:tcPr>
            <w:tcW w:w="5041" w:type="dxa"/>
            <w:tcBorders>
              <w:top w:val="nil"/>
              <w:left w:val="nil"/>
              <w:bottom w:val="nil"/>
              <w:right w:val="nil"/>
            </w:tcBorders>
            <w:hideMark/>
          </w:tcPr>
          <w:p w:rsidR="000D5B96" w:rsidRDefault="000D5B96" w:rsidP="000D5B96">
            <w:pPr>
              <w:numPr>
                <w:ilvl w:val="0"/>
                <w:numId w:val="28"/>
              </w:numPr>
              <w:cnfStyle w:val="000000000000" w:firstRow="0" w:lastRow="0" w:firstColumn="0" w:lastColumn="0" w:oddVBand="0" w:evenVBand="0" w:oddHBand="0" w:evenHBand="0" w:firstRowFirstColumn="0" w:firstRowLastColumn="0" w:lastRowFirstColumn="0" w:lastRowLastColumn="0"/>
            </w:pPr>
            <w:r>
              <w:t>capital asset pricing model</w:t>
            </w:r>
          </w:p>
        </w:tc>
      </w:tr>
      <w:tr w:rsidR="000D5B96" w:rsidTr="000D5B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D5B96" w:rsidRDefault="000D5B96" w:rsidP="000D5B96">
            <w:pPr>
              <w:numPr>
                <w:ilvl w:val="0"/>
                <w:numId w:val="28"/>
              </w:numPr>
            </w:pPr>
            <w:r>
              <w:t>CCP</w:t>
            </w:r>
          </w:p>
        </w:tc>
        <w:tc>
          <w:tcPr>
            <w:tcW w:w="5041" w:type="dxa"/>
            <w:tcBorders>
              <w:top w:val="nil"/>
              <w:left w:val="nil"/>
              <w:bottom w:val="nil"/>
              <w:right w:val="nil"/>
            </w:tcBorders>
            <w:hideMark/>
          </w:tcPr>
          <w:p w:rsidR="000D5B96" w:rsidRDefault="000D5B96" w:rsidP="000D5B96">
            <w:pPr>
              <w:numPr>
                <w:ilvl w:val="0"/>
                <w:numId w:val="28"/>
              </w:numPr>
              <w:cnfStyle w:val="000000010000" w:firstRow="0" w:lastRow="0" w:firstColumn="0" w:lastColumn="0" w:oddVBand="0" w:evenVBand="0" w:oddHBand="0" w:evenHBand="1" w:firstRowFirstColumn="0" w:firstRowLastColumn="0" w:lastRowFirstColumn="0" w:lastRowLastColumn="0"/>
            </w:pPr>
            <w:r>
              <w:t>Consumer Challenge Panel</w:t>
            </w:r>
          </w:p>
        </w:tc>
      </w:tr>
      <w:tr w:rsidR="000D5B96" w:rsidTr="000D5B96">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D5B96" w:rsidRDefault="000D5B96" w:rsidP="000D5B96">
            <w:pPr>
              <w:numPr>
                <w:ilvl w:val="0"/>
                <w:numId w:val="28"/>
              </w:numPr>
            </w:pPr>
            <w:r>
              <w:t>CMF</w:t>
            </w:r>
          </w:p>
        </w:tc>
        <w:tc>
          <w:tcPr>
            <w:tcW w:w="5041" w:type="dxa"/>
            <w:tcBorders>
              <w:top w:val="nil"/>
              <w:left w:val="nil"/>
              <w:bottom w:val="nil"/>
              <w:right w:val="nil"/>
            </w:tcBorders>
            <w:hideMark/>
          </w:tcPr>
          <w:p w:rsidR="000D5B96" w:rsidRDefault="000D5B96">
            <w:pPr>
              <w:cnfStyle w:val="000000000000" w:firstRow="0" w:lastRow="0" w:firstColumn="0" w:lastColumn="0" w:oddVBand="0" w:evenVBand="0" w:oddHBand="0" w:evenHBand="0" w:firstRowFirstColumn="0" w:firstRowLastColumn="0" w:lastRowFirstColumn="0" w:lastRowLastColumn="0"/>
            </w:pPr>
            <w:r>
              <w:t>construction management fee</w:t>
            </w:r>
          </w:p>
        </w:tc>
      </w:tr>
      <w:tr w:rsidR="000D5B96" w:rsidTr="000D5B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D5B96" w:rsidRDefault="000D5B96" w:rsidP="000D5B96">
            <w:pPr>
              <w:numPr>
                <w:ilvl w:val="0"/>
                <w:numId w:val="28"/>
              </w:numPr>
            </w:pPr>
            <w:r>
              <w:t>CPI</w:t>
            </w:r>
          </w:p>
        </w:tc>
        <w:tc>
          <w:tcPr>
            <w:tcW w:w="5041" w:type="dxa"/>
            <w:tcBorders>
              <w:top w:val="nil"/>
              <w:left w:val="nil"/>
              <w:bottom w:val="nil"/>
              <w:right w:val="nil"/>
            </w:tcBorders>
            <w:hideMark/>
          </w:tcPr>
          <w:p w:rsidR="000D5B96" w:rsidRDefault="000D5B96" w:rsidP="000D5B96">
            <w:pPr>
              <w:numPr>
                <w:ilvl w:val="0"/>
                <w:numId w:val="28"/>
              </w:numPr>
              <w:cnfStyle w:val="000000010000" w:firstRow="0" w:lastRow="0" w:firstColumn="0" w:lastColumn="0" w:oddVBand="0" w:evenVBand="0" w:oddHBand="0" w:evenHBand="1" w:firstRowFirstColumn="0" w:firstRowLastColumn="0" w:lastRowFirstColumn="0" w:lastRowLastColumn="0"/>
            </w:pPr>
            <w:r>
              <w:t>consumer price index</w:t>
            </w:r>
          </w:p>
        </w:tc>
      </w:tr>
      <w:tr w:rsidR="000D5B96" w:rsidTr="000D5B96">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D5B96" w:rsidRDefault="000D5B96" w:rsidP="000D5B96">
            <w:pPr>
              <w:numPr>
                <w:ilvl w:val="0"/>
                <w:numId w:val="28"/>
              </w:numPr>
            </w:pPr>
            <w:r>
              <w:t>DAMS</w:t>
            </w:r>
          </w:p>
        </w:tc>
        <w:tc>
          <w:tcPr>
            <w:tcW w:w="5041" w:type="dxa"/>
            <w:tcBorders>
              <w:top w:val="nil"/>
              <w:left w:val="nil"/>
              <w:bottom w:val="nil"/>
              <w:right w:val="nil"/>
            </w:tcBorders>
            <w:hideMark/>
          </w:tcPr>
          <w:p w:rsidR="000D5B96" w:rsidRDefault="000D5B96">
            <w:pPr>
              <w:cnfStyle w:val="000000000000" w:firstRow="0" w:lastRow="0" w:firstColumn="0" w:lastColumn="0" w:oddVBand="0" w:evenVBand="0" w:oddHBand="0" w:evenHBand="0" w:firstRowFirstColumn="0" w:firstRowLastColumn="0" w:lastRowFirstColumn="0" w:lastRowLastColumn="0"/>
            </w:pPr>
            <w:r>
              <w:t>Distribution Asset Management Services</w:t>
            </w:r>
          </w:p>
        </w:tc>
      </w:tr>
      <w:tr w:rsidR="000D5B96" w:rsidTr="000D5B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D5B96" w:rsidRDefault="000D5B96" w:rsidP="000D5B96">
            <w:pPr>
              <w:numPr>
                <w:ilvl w:val="0"/>
                <w:numId w:val="28"/>
              </w:numPr>
            </w:pPr>
            <w:r>
              <w:t>DRP</w:t>
            </w:r>
          </w:p>
        </w:tc>
        <w:tc>
          <w:tcPr>
            <w:tcW w:w="5041" w:type="dxa"/>
            <w:tcBorders>
              <w:top w:val="nil"/>
              <w:left w:val="nil"/>
              <w:bottom w:val="nil"/>
              <w:right w:val="nil"/>
            </w:tcBorders>
            <w:hideMark/>
          </w:tcPr>
          <w:p w:rsidR="000D5B96" w:rsidRDefault="000D5B96" w:rsidP="000D5B96">
            <w:pPr>
              <w:numPr>
                <w:ilvl w:val="0"/>
                <w:numId w:val="28"/>
              </w:numPr>
              <w:cnfStyle w:val="000000010000" w:firstRow="0" w:lastRow="0" w:firstColumn="0" w:lastColumn="0" w:oddVBand="0" w:evenVBand="0" w:oddHBand="0" w:evenHBand="1" w:firstRowFirstColumn="0" w:firstRowLastColumn="0" w:lastRowFirstColumn="0" w:lastRowLastColumn="0"/>
            </w:pPr>
            <w:r>
              <w:t>debt risk premium</w:t>
            </w:r>
          </w:p>
        </w:tc>
      </w:tr>
      <w:tr w:rsidR="000D5B96" w:rsidTr="000D5B96">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D5B96" w:rsidRDefault="000D5B96" w:rsidP="000D5B96">
            <w:pPr>
              <w:numPr>
                <w:ilvl w:val="0"/>
                <w:numId w:val="28"/>
              </w:numPr>
            </w:pPr>
            <w:r>
              <w:t>EBSS</w:t>
            </w:r>
          </w:p>
        </w:tc>
        <w:tc>
          <w:tcPr>
            <w:tcW w:w="5041" w:type="dxa"/>
            <w:tcBorders>
              <w:top w:val="nil"/>
              <w:left w:val="nil"/>
              <w:bottom w:val="nil"/>
              <w:right w:val="nil"/>
            </w:tcBorders>
            <w:hideMark/>
          </w:tcPr>
          <w:p w:rsidR="000D5B96" w:rsidRDefault="000D5B96">
            <w:pPr>
              <w:cnfStyle w:val="000000000000" w:firstRow="0" w:lastRow="0" w:firstColumn="0" w:lastColumn="0" w:oddVBand="0" w:evenVBand="0" w:oddHBand="0" w:evenHBand="0" w:firstRowFirstColumn="0" w:firstRowLastColumn="0" w:lastRowFirstColumn="0" w:lastRowLastColumn="0"/>
            </w:pPr>
            <w:r>
              <w:t>Efficiency Benefit Sharing Scheme</w:t>
            </w:r>
          </w:p>
        </w:tc>
      </w:tr>
      <w:tr w:rsidR="000D5B96" w:rsidTr="000D5B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D5B96" w:rsidRDefault="000D5B96" w:rsidP="000D5B96">
            <w:pPr>
              <w:numPr>
                <w:ilvl w:val="0"/>
                <w:numId w:val="28"/>
              </w:numPr>
            </w:pPr>
            <w:r>
              <w:t>ECM</w:t>
            </w:r>
          </w:p>
        </w:tc>
        <w:tc>
          <w:tcPr>
            <w:tcW w:w="5041" w:type="dxa"/>
            <w:tcBorders>
              <w:top w:val="nil"/>
              <w:left w:val="nil"/>
              <w:bottom w:val="nil"/>
              <w:right w:val="nil"/>
            </w:tcBorders>
            <w:hideMark/>
          </w:tcPr>
          <w:p w:rsidR="000D5B96" w:rsidRDefault="000D5B96">
            <w:pPr>
              <w:cnfStyle w:val="000000010000" w:firstRow="0" w:lastRow="0" w:firstColumn="0" w:lastColumn="0" w:oddVBand="0" w:evenVBand="0" w:oddHBand="0" w:evenHBand="1" w:firstRowFirstColumn="0" w:firstRowLastColumn="0" w:lastRowFirstColumn="0" w:lastRowLastColumn="0"/>
            </w:pPr>
            <w:r>
              <w:t>Efficiency Carryover Mechanism</w:t>
            </w:r>
          </w:p>
        </w:tc>
      </w:tr>
      <w:tr w:rsidR="000D5B96" w:rsidTr="000D5B96">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D5B96" w:rsidRDefault="000D5B96" w:rsidP="000D5B96">
            <w:pPr>
              <w:numPr>
                <w:ilvl w:val="0"/>
                <w:numId w:val="28"/>
              </w:numPr>
            </w:pPr>
            <w:r>
              <w:t>EIL</w:t>
            </w:r>
          </w:p>
        </w:tc>
        <w:tc>
          <w:tcPr>
            <w:tcW w:w="5041" w:type="dxa"/>
            <w:tcBorders>
              <w:top w:val="nil"/>
              <w:left w:val="nil"/>
              <w:bottom w:val="nil"/>
              <w:right w:val="nil"/>
            </w:tcBorders>
            <w:hideMark/>
          </w:tcPr>
          <w:p w:rsidR="000D5B96" w:rsidRDefault="000D5B96">
            <w:pPr>
              <w:cnfStyle w:val="000000000000" w:firstRow="0" w:lastRow="0" w:firstColumn="0" w:lastColumn="0" w:oddVBand="0" w:evenVBand="0" w:oddHBand="0" w:evenHBand="0" w:firstRowFirstColumn="0" w:firstRowLastColumn="0" w:lastRowFirstColumn="0" w:lastRowLastColumn="0"/>
            </w:pPr>
            <w:r>
              <w:t>Energy Industry Levy</w:t>
            </w:r>
          </w:p>
        </w:tc>
      </w:tr>
      <w:tr w:rsidR="000D5B96" w:rsidTr="000D5B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D5B96" w:rsidRDefault="000D5B96" w:rsidP="000D5B96">
            <w:pPr>
              <w:numPr>
                <w:ilvl w:val="0"/>
                <w:numId w:val="28"/>
              </w:numPr>
            </w:pPr>
            <w:r>
              <w:t>ERP</w:t>
            </w:r>
          </w:p>
        </w:tc>
        <w:tc>
          <w:tcPr>
            <w:tcW w:w="5041" w:type="dxa"/>
            <w:tcBorders>
              <w:top w:val="nil"/>
              <w:left w:val="nil"/>
              <w:bottom w:val="nil"/>
              <w:right w:val="nil"/>
            </w:tcBorders>
            <w:hideMark/>
          </w:tcPr>
          <w:p w:rsidR="000D5B96" w:rsidRDefault="000D5B96" w:rsidP="000D5B96">
            <w:pPr>
              <w:numPr>
                <w:ilvl w:val="0"/>
                <w:numId w:val="28"/>
              </w:numPr>
              <w:cnfStyle w:val="000000010000" w:firstRow="0" w:lastRow="0" w:firstColumn="0" w:lastColumn="0" w:oddVBand="0" w:evenVBand="0" w:oddHBand="0" w:evenHBand="1" w:firstRowFirstColumn="0" w:firstRowLastColumn="0" w:lastRowFirstColumn="0" w:lastRowLastColumn="0"/>
            </w:pPr>
            <w:r>
              <w:t>equity risk premium</w:t>
            </w:r>
          </w:p>
        </w:tc>
      </w:tr>
      <w:tr w:rsidR="000D5B96" w:rsidTr="000D5B96">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D5B96" w:rsidRDefault="000D5B96" w:rsidP="000D5B96">
            <w:pPr>
              <w:numPr>
                <w:ilvl w:val="0"/>
                <w:numId w:val="28"/>
              </w:numPr>
            </w:pPr>
            <w:r>
              <w:t>Expenditure Guideline</w:t>
            </w:r>
          </w:p>
        </w:tc>
        <w:tc>
          <w:tcPr>
            <w:tcW w:w="5041" w:type="dxa"/>
            <w:tcBorders>
              <w:top w:val="nil"/>
              <w:left w:val="nil"/>
              <w:bottom w:val="nil"/>
              <w:right w:val="nil"/>
            </w:tcBorders>
            <w:hideMark/>
          </w:tcPr>
          <w:p w:rsidR="000D5B96" w:rsidRDefault="000D5B96">
            <w:pPr>
              <w:cnfStyle w:val="000000000000" w:firstRow="0" w:lastRow="0" w:firstColumn="0" w:lastColumn="0" w:oddVBand="0" w:evenVBand="0" w:oddHBand="0" w:evenHBand="0" w:firstRowFirstColumn="0" w:firstRowLastColumn="0" w:lastRowFirstColumn="0" w:lastRowLastColumn="0"/>
            </w:pPr>
            <w:r>
              <w:t>Expenditure Forecast Assessment Guideline</w:t>
            </w:r>
          </w:p>
        </w:tc>
      </w:tr>
      <w:tr w:rsidR="000D5B96" w:rsidTr="000D5B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D5B96" w:rsidRDefault="000D5B96" w:rsidP="000D5B96">
            <w:pPr>
              <w:numPr>
                <w:ilvl w:val="0"/>
                <w:numId w:val="28"/>
              </w:numPr>
            </w:pPr>
            <w:r>
              <w:t>gamma</w:t>
            </w:r>
          </w:p>
        </w:tc>
        <w:tc>
          <w:tcPr>
            <w:tcW w:w="5041" w:type="dxa"/>
            <w:tcBorders>
              <w:top w:val="nil"/>
              <w:left w:val="nil"/>
              <w:bottom w:val="nil"/>
              <w:right w:val="nil"/>
            </w:tcBorders>
            <w:hideMark/>
          </w:tcPr>
          <w:p w:rsidR="000D5B96" w:rsidRDefault="000D5B96">
            <w:pPr>
              <w:cnfStyle w:val="000000010000" w:firstRow="0" w:lastRow="0" w:firstColumn="0" w:lastColumn="0" w:oddVBand="0" w:evenVBand="0" w:oddHBand="0" w:evenHBand="1" w:firstRowFirstColumn="0" w:firstRowLastColumn="0" w:lastRowFirstColumn="0" w:lastRowLastColumn="0"/>
            </w:pPr>
            <w:r>
              <w:t>value of imputation credits</w:t>
            </w:r>
          </w:p>
        </w:tc>
      </w:tr>
      <w:tr w:rsidR="000D5B96" w:rsidTr="000D5B96">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D5B96" w:rsidRDefault="000D5B96" w:rsidP="000D5B96">
            <w:pPr>
              <w:numPr>
                <w:ilvl w:val="0"/>
                <w:numId w:val="28"/>
              </w:numPr>
            </w:pPr>
            <w:r>
              <w:t>GSL</w:t>
            </w:r>
          </w:p>
        </w:tc>
        <w:tc>
          <w:tcPr>
            <w:tcW w:w="5041" w:type="dxa"/>
            <w:tcBorders>
              <w:top w:val="nil"/>
              <w:left w:val="nil"/>
              <w:bottom w:val="nil"/>
              <w:right w:val="nil"/>
            </w:tcBorders>
            <w:hideMark/>
          </w:tcPr>
          <w:p w:rsidR="000D5B96" w:rsidRDefault="000D5B96">
            <w:pPr>
              <w:cnfStyle w:val="000000000000" w:firstRow="0" w:lastRow="0" w:firstColumn="0" w:lastColumn="0" w:oddVBand="0" w:evenVBand="0" w:oddHBand="0" w:evenHBand="0" w:firstRowFirstColumn="0" w:firstRowLastColumn="0" w:lastRowFirstColumn="0" w:lastRowLastColumn="0"/>
            </w:pPr>
            <w:r>
              <w:t>Guaranteed Service Level</w:t>
            </w:r>
          </w:p>
        </w:tc>
      </w:tr>
      <w:tr w:rsidR="000D5B96" w:rsidTr="000D5B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D5B96" w:rsidRDefault="000D5B96" w:rsidP="000D5B96">
            <w:pPr>
              <w:numPr>
                <w:ilvl w:val="0"/>
                <w:numId w:val="28"/>
              </w:numPr>
            </w:pPr>
            <w:r>
              <w:t>GTA</w:t>
            </w:r>
          </w:p>
        </w:tc>
        <w:tc>
          <w:tcPr>
            <w:tcW w:w="5041" w:type="dxa"/>
            <w:tcBorders>
              <w:top w:val="nil"/>
              <w:left w:val="nil"/>
              <w:bottom w:val="nil"/>
              <w:right w:val="nil"/>
            </w:tcBorders>
            <w:hideMark/>
          </w:tcPr>
          <w:p w:rsidR="000D5B96" w:rsidRDefault="000D5B96">
            <w:pPr>
              <w:cnfStyle w:val="000000010000" w:firstRow="0" w:lastRow="0" w:firstColumn="0" w:lastColumn="0" w:oddVBand="0" w:evenVBand="0" w:oddHBand="0" w:evenHBand="1" w:firstRowFirstColumn="0" w:firstRowLastColumn="0" w:lastRowFirstColumn="0" w:lastRowLastColumn="0"/>
            </w:pPr>
            <w:r>
              <w:t>Gas Transport Services Agreement</w:t>
            </w:r>
          </w:p>
        </w:tc>
      </w:tr>
      <w:tr w:rsidR="000D5B96" w:rsidTr="000D5B96">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D5B96" w:rsidRDefault="000D5B96" w:rsidP="000D5B96">
            <w:pPr>
              <w:numPr>
                <w:ilvl w:val="0"/>
                <w:numId w:val="28"/>
              </w:numPr>
            </w:pPr>
            <w:r>
              <w:t>ICRC</w:t>
            </w:r>
          </w:p>
        </w:tc>
        <w:tc>
          <w:tcPr>
            <w:tcW w:w="5041" w:type="dxa"/>
            <w:tcBorders>
              <w:top w:val="nil"/>
              <w:left w:val="nil"/>
              <w:bottom w:val="nil"/>
              <w:right w:val="nil"/>
            </w:tcBorders>
            <w:hideMark/>
          </w:tcPr>
          <w:p w:rsidR="000D5B96" w:rsidRDefault="000D5B96">
            <w:pPr>
              <w:cnfStyle w:val="000000000000" w:firstRow="0" w:lastRow="0" w:firstColumn="0" w:lastColumn="0" w:oddVBand="0" w:evenVBand="0" w:oddHBand="0" w:evenHBand="0" w:firstRowFirstColumn="0" w:firstRowLastColumn="0" w:lastRowFirstColumn="0" w:lastRowLastColumn="0"/>
            </w:pPr>
            <w:r>
              <w:t>Independent Competition and Regulatory Commission</w:t>
            </w:r>
          </w:p>
        </w:tc>
      </w:tr>
      <w:tr w:rsidR="000D5B96" w:rsidTr="000D5B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D5B96" w:rsidRDefault="000D5B96" w:rsidP="000D5B96">
            <w:pPr>
              <w:numPr>
                <w:ilvl w:val="0"/>
                <w:numId w:val="28"/>
              </w:numPr>
            </w:pPr>
            <w:r>
              <w:t>MRP</w:t>
            </w:r>
          </w:p>
        </w:tc>
        <w:tc>
          <w:tcPr>
            <w:tcW w:w="5041" w:type="dxa"/>
            <w:tcBorders>
              <w:top w:val="nil"/>
              <w:left w:val="nil"/>
              <w:bottom w:val="nil"/>
              <w:right w:val="nil"/>
            </w:tcBorders>
            <w:hideMark/>
          </w:tcPr>
          <w:p w:rsidR="000D5B96" w:rsidRDefault="000D5B96" w:rsidP="000D5B96">
            <w:pPr>
              <w:numPr>
                <w:ilvl w:val="0"/>
                <w:numId w:val="28"/>
              </w:numPr>
              <w:cnfStyle w:val="000000010000" w:firstRow="0" w:lastRow="0" w:firstColumn="0" w:lastColumn="0" w:oddVBand="0" w:evenVBand="0" w:oddHBand="0" w:evenHBand="1" w:firstRowFirstColumn="0" w:firstRowLastColumn="0" w:lastRowFirstColumn="0" w:lastRowLastColumn="0"/>
            </w:pPr>
            <w:r>
              <w:t>market risk premium</w:t>
            </w:r>
          </w:p>
        </w:tc>
      </w:tr>
      <w:tr w:rsidR="000D5B96" w:rsidTr="000D5B96">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D5B96" w:rsidRDefault="000D5B96" w:rsidP="000D5B96">
            <w:pPr>
              <w:numPr>
                <w:ilvl w:val="0"/>
                <w:numId w:val="28"/>
              </w:numPr>
            </w:pPr>
            <w:r>
              <w:t>NECF</w:t>
            </w:r>
          </w:p>
        </w:tc>
        <w:tc>
          <w:tcPr>
            <w:tcW w:w="5041" w:type="dxa"/>
            <w:tcBorders>
              <w:top w:val="nil"/>
              <w:left w:val="nil"/>
              <w:bottom w:val="nil"/>
              <w:right w:val="nil"/>
            </w:tcBorders>
            <w:hideMark/>
          </w:tcPr>
          <w:p w:rsidR="000D5B96" w:rsidRDefault="000D5B96">
            <w:pPr>
              <w:cnfStyle w:val="000000000000" w:firstRow="0" w:lastRow="0" w:firstColumn="0" w:lastColumn="0" w:oddVBand="0" w:evenVBand="0" w:oddHBand="0" w:evenHBand="0" w:firstRowFirstColumn="0" w:firstRowLastColumn="0" w:lastRowFirstColumn="0" w:lastRowLastColumn="0"/>
            </w:pPr>
            <w:r>
              <w:t>National Energy Customer Framework</w:t>
            </w:r>
          </w:p>
        </w:tc>
      </w:tr>
      <w:tr w:rsidR="000D5B96" w:rsidTr="000D5B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D5B96" w:rsidRDefault="000D5B96" w:rsidP="000D5B96">
            <w:pPr>
              <w:numPr>
                <w:ilvl w:val="0"/>
                <w:numId w:val="28"/>
              </w:numPr>
            </w:pPr>
            <w:r>
              <w:t>NERL</w:t>
            </w:r>
          </w:p>
        </w:tc>
        <w:tc>
          <w:tcPr>
            <w:tcW w:w="5041" w:type="dxa"/>
            <w:tcBorders>
              <w:top w:val="nil"/>
              <w:left w:val="nil"/>
              <w:bottom w:val="nil"/>
              <w:right w:val="nil"/>
            </w:tcBorders>
            <w:hideMark/>
          </w:tcPr>
          <w:p w:rsidR="000D5B96" w:rsidRDefault="000D5B96">
            <w:pPr>
              <w:cnfStyle w:val="000000010000" w:firstRow="0" w:lastRow="0" w:firstColumn="0" w:lastColumn="0" w:oddVBand="0" w:evenVBand="0" w:oddHBand="0" w:evenHBand="1" w:firstRowFirstColumn="0" w:firstRowLastColumn="0" w:lastRowFirstColumn="0" w:lastRowLastColumn="0"/>
            </w:pPr>
            <w:r>
              <w:t>National Energy Retail Law</w:t>
            </w:r>
          </w:p>
        </w:tc>
      </w:tr>
      <w:tr w:rsidR="000D5B96" w:rsidTr="000D5B96">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D5B96" w:rsidRDefault="000D5B96" w:rsidP="000D5B96">
            <w:pPr>
              <w:numPr>
                <w:ilvl w:val="0"/>
                <w:numId w:val="28"/>
              </w:numPr>
            </w:pPr>
            <w:r>
              <w:t>NERR</w:t>
            </w:r>
          </w:p>
        </w:tc>
        <w:tc>
          <w:tcPr>
            <w:tcW w:w="5041" w:type="dxa"/>
            <w:tcBorders>
              <w:top w:val="nil"/>
              <w:left w:val="nil"/>
              <w:bottom w:val="nil"/>
              <w:right w:val="nil"/>
            </w:tcBorders>
            <w:hideMark/>
          </w:tcPr>
          <w:p w:rsidR="000D5B96" w:rsidRDefault="000D5B96" w:rsidP="000D5B96">
            <w:pPr>
              <w:numPr>
                <w:ilvl w:val="0"/>
                <w:numId w:val="28"/>
              </w:numPr>
              <w:cnfStyle w:val="000000000000" w:firstRow="0" w:lastRow="0" w:firstColumn="0" w:lastColumn="0" w:oddVBand="0" w:evenVBand="0" w:oddHBand="0" w:evenHBand="0" w:firstRowFirstColumn="0" w:firstRowLastColumn="0" w:lastRowFirstColumn="0" w:lastRowLastColumn="0"/>
            </w:pPr>
            <w:r>
              <w:t>National Energy Retail Rules</w:t>
            </w:r>
          </w:p>
        </w:tc>
      </w:tr>
      <w:tr w:rsidR="000D5B96" w:rsidTr="000D5B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D5B96" w:rsidRDefault="000D5B96" w:rsidP="000D5B96">
            <w:pPr>
              <w:numPr>
                <w:ilvl w:val="0"/>
                <w:numId w:val="28"/>
              </w:numPr>
            </w:pPr>
            <w:r>
              <w:t>NGL</w:t>
            </w:r>
          </w:p>
        </w:tc>
        <w:tc>
          <w:tcPr>
            <w:tcW w:w="5041" w:type="dxa"/>
            <w:tcBorders>
              <w:top w:val="nil"/>
              <w:left w:val="nil"/>
              <w:bottom w:val="nil"/>
              <w:right w:val="nil"/>
            </w:tcBorders>
            <w:hideMark/>
          </w:tcPr>
          <w:p w:rsidR="000D5B96" w:rsidRDefault="000D5B96" w:rsidP="000D5B96">
            <w:pPr>
              <w:numPr>
                <w:ilvl w:val="0"/>
                <w:numId w:val="28"/>
              </w:numPr>
              <w:cnfStyle w:val="000000010000" w:firstRow="0" w:lastRow="0" w:firstColumn="0" w:lastColumn="0" w:oddVBand="0" w:evenVBand="0" w:oddHBand="0" w:evenHBand="1" w:firstRowFirstColumn="0" w:firstRowLastColumn="0" w:lastRowFirstColumn="0" w:lastRowLastColumn="0"/>
            </w:pPr>
            <w:r>
              <w:t>National Gas Law</w:t>
            </w:r>
          </w:p>
        </w:tc>
      </w:tr>
      <w:tr w:rsidR="000D5B96" w:rsidTr="000D5B96">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D5B96" w:rsidRDefault="000D5B96" w:rsidP="000D5B96">
            <w:pPr>
              <w:numPr>
                <w:ilvl w:val="0"/>
                <w:numId w:val="28"/>
              </w:numPr>
            </w:pPr>
            <w:r>
              <w:t>NGO</w:t>
            </w:r>
          </w:p>
        </w:tc>
        <w:tc>
          <w:tcPr>
            <w:tcW w:w="5041" w:type="dxa"/>
            <w:tcBorders>
              <w:top w:val="nil"/>
              <w:left w:val="nil"/>
              <w:bottom w:val="nil"/>
              <w:right w:val="nil"/>
            </w:tcBorders>
            <w:hideMark/>
          </w:tcPr>
          <w:p w:rsidR="000D5B96" w:rsidRDefault="000D5B96" w:rsidP="000D5B96">
            <w:pPr>
              <w:numPr>
                <w:ilvl w:val="0"/>
                <w:numId w:val="28"/>
              </w:numPr>
              <w:cnfStyle w:val="000000000000" w:firstRow="0" w:lastRow="0" w:firstColumn="0" w:lastColumn="0" w:oddVBand="0" w:evenVBand="0" w:oddHBand="0" w:evenHBand="0" w:firstRowFirstColumn="0" w:firstRowLastColumn="0" w:lastRowFirstColumn="0" w:lastRowLastColumn="0"/>
            </w:pPr>
            <w:r>
              <w:t>National Gas Objective</w:t>
            </w:r>
          </w:p>
        </w:tc>
      </w:tr>
      <w:tr w:rsidR="000D5B96" w:rsidTr="000D5B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D5B96" w:rsidRDefault="000D5B96" w:rsidP="000D5B96">
            <w:pPr>
              <w:numPr>
                <w:ilvl w:val="0"/>
                <w:numId w:val="28"/>
              </w:numPr>
            </w:pPr>
            <w:r>
              <w:t>NGR</w:t>
            </w:r>
          </w:p>
        </w:tc>
        <w:tc>
          <w:tcPr>
            <w:tcW w:w="5041" w:type="dxa"/>
            <w:tcBorders>
              <w:top w:val="nil"/>
              <w:left w:val="nil"/>
              <w:bottom w:val="nil"/>
              <w:right w:val="nil"/>
            </w:tcBorders>
            <w:hideMark/>
          </w:tcPr>
          <w:p w:rsidR="000D5B96" w:rsidRDefault="000D5B96" w:rsidP="000D5B96">
            <w:pPr>
              <w:numPr>
                <w:ilvl w:val="0"/>
                <w:numId w:val="28"/>
              </w:numPr>
              <w:cnfStyle w:val="000000010000" w:firstRow="0" w:lastRow="0" w:firstColumn="0" w:lastColumn="0" w:oddVBand="0" w:evenVBand="0" w:oddHBand="0" w:evenHBand="1" w:firstRowFirstColumn="0" w:firstRowLastColumn="0" w:lastRowFirstColumn="0" w:lastRowLastColumn="0"/>
            </w:pPr>
            <w:r>
              <w:t>National Gas Rules</w:t>
            </w:r>
          </w:p>
        </w:tc>
      </w:tr>
      <w:tr w:rsidR="000D5B96" w:rsidTr="000D5B96">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D5B96" w:rsidRDefault="000D5B96" w:rsidP="000D5B96">
            <w:pPr>
              <w:numPr>
                <w:ilvl w:val="0"/>
                <w:numId w:val="28"/>
              </w:numPr>
            </w:pPr>
            <w:r>
              <w:t>NPV</w:t>
            </w:r>
          </w:p>
        </w:tc>
        <w:tc>
          <w:tcPr>
            <w:tcW w:w="5041" w:type="dxa"/>
            <w:tcBorders>
              <w:top w:val="nil"/>
              <w:left w:val="nil"/>
              <w:bottom w:val="nil"/>
              <w:right w:val="nil"/>
            </w:tcBorders>
            <w:hideMark/>
          </w:tcPr>
          <w:p w:rsidR="000D5B96" w:rsidRDefault="000D5B96">
            <w:pPr>
              <w:cnfStyle w:val="000000000000" w:firstRow="0" w:lastRow="0" w:firstColumn="0" w:lastColumn="0" w:oddVBand="0" w:evenVBand="0" w:oddHBand="0" w:evenHBand="0" w:firstRowFirstColumn="0" w:firstRowLastColumn="0" w:lastRowFirstColumn="0" w:lastRowLastColumn="0"/>
            </w:pPr>
            <w:r>
              <w:t>net present value</w:t>
            </w:r>
          </w:p>
        </w:tc>
      </w:tr>
      <w:tr w:rsidR="000D5B96" w:rsidTr="000D5B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D5B96" w:rsidRDefault="000D5B96" w:rsidP="000D5B96">
            <w:pPr>
              <w:numPr>
                <w:ilvl w:val="0"/>
                <w:numId w:val="28"/>
              </w:numPr>
            </w:pPr>
            <w:r>
              <w:t>opex</w:t>
            </w:r>
          </w:p>
        </w:tc>
        <w:tc>
          <w:tcPr>
            <w:tcW w:w="5041" w:type="dxa"/>
            <w:tcBorders>
              <w:top w:val="nil"/>
              <w:left w:val="nil"/>
              <w:bottom w:val="nil"/>
              <w:right w:val="nil"/>
            </w:tcBorders>
            <w:hideMark/>
          </w:tcPr>
          <w:p w:rsidR="000D5B96" w:rsidRDefault="000D5B96" w:rsidP="000D5B96">
            <w:pPr>
              <w:numPr>
                <w:ilvl w:val="0"/>
                <w:numId w:val="28"/>
              </w:numPr>
              <w:cnfStyle w:val="000000010000" w:firstRow="0" w:lastRow="0" w:firstColumn="0" w:lastColumn="0" w:oddVBand="0" w:evenVBand="0" w:oddHBand="0" w:evenHBand="1" w:firstRowFirstColumn="0" w:firstRowLastColumn="0" w:lastRowFirstColumn="0" w:lastRowLastColumn="0"/>
            </w:pPr>
            <w:r>
              <w:t>operating expenditure</w:t>
            </w:r>
          </w:p>
        </w:tc>
      </w:tr>
      <w:tr w:rsidR="000D5B96" w:rsidTr="000D5B96">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D5B96" w:rsidRDefault="000D5B96" w:rsidP="000D5B96">
            <w:pPr>
              <w:numPr>
                <w:ilvl w:val="0"/>
                <w:numId w:val="28"/>
              </w:numPr>
            </w:pPr>
            <w:r>
              <w:t>PFP</w:t>
            </w:r>
          </w:p>
        </w:tc>
        <w:tc>
          <w:tcPr>
            <w:tcW w:w="5041" w:type="dxa"/>
            <w:tcBorders>
              <w:top w:val="nil"/>
              <w:left w:val="nil"/>
              <w:bottom w:val="nil"/>
              <w:right w:val="nil"/>
            </w:tcBorders>
            <w:hideMark/>
          </w:tcPr>
          <w:p w:rsidR="000D5B96" w:rsidRDefault="000D5B96">
            <w:pPr>
              <w:cnfStyle w:val="000000000000" w:firstRow="0" w:lastRow="0" w:firstColumn="0" w:lastColumn="0" w:oddVBand="0" w:evenVBand="0" w:oddHBand="0" w:evenHBand="0" w:firstRowFirstColumn="0" w:firstRowLastColumn="0" w:lastRowFirstColumn="0" w:lastRowLastColumn="0"/>
            </w:pPr>
            <w:r>
              <w:t>partial factor productivity</w:t>
            </w:r>
          </w:p>
        </w:tc>
      </w:tr>
      <w:tr w:rsidR="000D5B96" w:rsidTr="000D5B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D5B96" w:rsidRDefault="000D5B96" w:rsidP="000D5B96">
            <w:pPr>
              <w:numPr>
                <w:ilvl w:val="0"/>
                <w:numId w:val="28"/>
              </w:numPr>
            </w:pPr>
            <w:r>
              <w:t>PPI</w:t>
            </w:r>
          </w:p>
        </w:tc>
        <w:tc>
          <w:tcPr>
            <w:tcW w:w="5041" w:type="dxa"/>
            <w:tcBorders>
              <w:top w:val="nil"/>
              <w:left w:val="nil"/>
              <w:bottom w:val="nil"/>
              <w:right w:val="nil"/>
            </w:tcBorders>
            <w:hideMark/>
          </w:tcPr>
          <w:p w:rsidR="000D5B96" w:rsidRDefault="000D5B96" w:rsidP="000D5B96">
            <w:pPr>
              <w:numPr>
                <w:ilvl w:val="0"/>
                <w:numId w:val="28"/>
              </w:numPr>
              <w:cnfStyle w:val="000000010000" w:firstRow="0" w:lastRow="0" w:firstColumn="0" w:lastColumn="0" w:oddVBand="0" w:evenVBand="0" w:oddHBand="0" w:evenHBand="1" w:firstRowFirstColumn="0" w:firstRowLastColumn="0" w:lastRowFirstColumn="0" w:lastRowLastColumn="0"/>
            </w:pPr>
            <w:r>
              <w:t>partial performance indicators</w:t>
            </w:r>
          </w:p>
        </w:tc>
      </w:tr>
      <w:tr w:rsidR="000D5B96" w:rsidTr="000D5B96">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D5B96" w:rsidRDefault="000D5B96" w:rsidP="000D5B96">
            <w:pPr>
              <w:numPr>
                <w:ilvl w:val="0"/>
                <w:numId w:val="28"/>
              </w:numPr>
            </w:pPr>
            <w:r>
              <w:t>PTRM</w:t>
            </w:r>
          </w:p>
        </w:tc>
        <w:tc>
          <w:tcPr>
            <w:tcW w:w="5041" w:type="dxa"/>
            <w:tcBorders>
              <w:top w:val="nil"/>
              <w:left w:val="nil"/>
              <w:bottom w:val="nil"/>
              <w:right w:val="nil"/>
            </w:tcBorders>
            <w:hideMark/>
          </w:tcPr>
          <w:p w:rsidR="000D5B96" w:rsidRDefault="000D5B96" w:rsidP="000D5B96">
            <w:pPr>
              <w:numPr>
                <w:ilvl w:val="0"/>
                <w:numId w:val="28"/>
              </w:numPr>
              <w:cnfStyle w:val="000000000000" w:firstRow="0" w:lastRow="0" w:firstColumn="0" w:lastColumn="0" w:oddVBand="0" w:evenVBand="0" w:oddHBand="0" w:evenHBand="0" w:firstRowFirstColumn="0" w:firstRowLastColumn="0" w:lastRowFirstColumn="0" w:lastRowLastColumn="0"/>
            </w:pPr>
            <w:r>
              <w:t>post-tax revenue model</w:t>
            </w:r>
          </w:p>
        </w:tc>
      </w:tr>
      <w:tr w:rsidR="000D5B96" w:rsidTr="000D5B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D5B96" w:rsidRDefault="000D5B96" w:rsidP="000D5B96">
            <w:pPr>
              <w:numPr>
                <w:ilvl w:val="0"/>
                <w:numId w:val="28"/>
              </w:numPr>
            </w:pPr>
            <w:r>
              <w:t>RBA</w:t>
            </w:r>
          </w:p>
        </w:tc>
        <w:tc>
          <w:tcPr>
            <w:tcW w:w="5041" w:type="dxa"/>
            <w:tcBorders>
              <w:top w:val="nil"/>
              <w:left w:val="nil"/>
              <w:bottom w:val="nil"/>
              <w:right w:val="nil"/>
            </w:tcBorders>
            <w:hideMark/>
          </w:tcPr>
          <w:p w:rsidR="000D5B96" w:rsidRDefault="000D5B96" w:rsidP="000D5B96">
            <w:pPr>
              <w:numPr>
                <w:ilvl w:val="0"/>
                <w:numId w:val="28"/>
              </w:numPr>
              <w:cnfStyle w:val="000000010000" w:firstRow="0" w:lastRow="0" w:firstColumn="0" w:lastColumn="0" w:oddVBand="0" w:evenVBand="0" w:oddHBand="0" w:evenHBand="1" w:firstRowFirstColumn="0" w:firstRowLastColumn="0" w:lastRowFirstColumn="0" w:lastRowLastColumn="0"/>
            </w:pPr>
            <w:r>
              <w:t>Reserve Bank of Australia</w:t>
            </w:r>
          </w:p>
        </w:tc>
      </w:tr>
      <w:tr w:rsidR="000D5B96" w:rsidTr="000D5B96">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D5B96" w:rsidRDefault="000D5B96" w:rsidP="000D5B96">
            <w:pPr>
              <w:numPr>
                <w:ilvl w:val="0"/>
                <w:numId w:val="28"/>
              </w:numPr>
            </w:pPr>
            <w:r>
              <w:t>RFM</w:t>
            </w:r>
          </w:p>
        </w:tc>
        <w:tc>
          <w:tcPr>
            <w:tcW w:w="5041" w:type="dxa"/>
            <w:tcBorders>
              <w:top w:val="nil"/>
              <w:left w:val="nil"/>
              <w:bottom w:val="nil"/>
              <w:right w:val="nil"/>
            </w:tcBorders>
            <w:hideMark/>
          </w:tcPr>
          <w:p w:rsidR="000D5B96" w:rsidRDefault="000D5B96" w:rsidP="000D5B96">
            <w:pPr>
              <w:numPr>
                <w:ilvl w:val="0"/>
                <w:numId w:val="28"/>
              </w:numPr>
              <w:cnfStyle w:val="000000000000" w:firstRow="0" w:lastRow="0" w:firstColumn="0" w:lastColumn="0" w:oddVBand="0" w:evenVBand="0" w:oddHBand="0" w:evenHBand="0" w:firstRowFirstColumn="0" w:firstRowLastColumn="0" w:lastRowFirstColumn="0" w:lastRowLastColumn="0"/>
            </w:pPr>
            <w:r>
              <w:t>roll forward model</w:t>
            </w:r>
          </w:p>
        </w:tc>
      </w:tr>
      <w:tr w:rsidR="000D5B96" w:rsidTr="000D5B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D5B96" w:rsidRDefault="000D5B96" w:rsidP="000D5B96">
            <w:pPr>
              <w:numPr>
                <w:ilvl w:val="0"/>
                <w:numId w:val="28"/>
              </w:numPr>
            </w:pPr>
            <w:r>
              <w:t>RIN</w:t>
            </w:r>
          </w:p>
        </w:tc>
        <w:tc>
          <w:tcPr>
            <w:tcW w:w="5041" w:type="dxa"/>
            <w:tcBorders>
              <w:top w:val="nil"/>
              <w:left w:val="nil"/>
              <w:bottom w:val="nil"/>
              <w:right w:val="nil"/>
            </w:tcBorders>
            <w:hideMark/>
          </w:tcPr>
          <w:p w:rsidR="000D5B96" w:rsidRDefault="000D5B96" w:rsidP="000D5B96">
            <w:pPr>
              <w:numPr>
                <w:ilvl w:val="0"/>
                <w:numId w:val="28"/>
              </w:numPr>
              <w:cnfStyle w:val="000000010000" w:firstRow="0" w:lastRow="0" w:firstColumn="0" w:lastColumn="0" w:oddVBand="0" w:evenVBand="0" w:oddHBand="0" w:evenHBand="1" w:firstRowFirstColumn="0" w:firstRowLastColumn="0" w:lastRowFirstColumn="0" w:lastRowLastColumn="0"/>
            </w:pPr>
            <w:r>
              <w:t>regulatory information notice</w:t>
            </w:r>
          </w:p>
        </w:tc>
      </w:tr>
      <w:tr w:rsidR="000D5B96" w:rsidTr="000D5B96">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D5B96" w:rsidRDefault="000D5B96" w:rsidP="000D5B96">
            <w:pPr>
              <w:numPr>
                <w:ilvl w:val="0"/>
                <w:numId w:val="28"/>
              </w:numPr>
            </w:pPr>
            <w:proofErr w:type="spellStart"/>
            <w:r>
              <w:t>RoLR</w:t>
            </w:r>
            <w:proofErr w:type="spellEnd"/>
          </w:p>
        </w:tc>
        <w:tc>
          <w:tcPr>
            <w:tcW w:w="5041" w:type="dxa"/>
            <w:tcBorders>
              <w:top w:val="nil"/>
              <w:left w:val="nil"/>
              <w:bottom w:val="nil"/>
              <w:right w:val="nil"/>
            </w:tcBorders>
            <w:hideMark/>
          </w:tcPr>
          <w:p w:rsidR="000D5B96" w:rsidRDefault="000D5B96">
            <w:pPr>
              <w:cnfStyle w:val="000000000000" w:firstRow="0" w:lastRow="0" w:firstColumn="0" w:lastColumn="0" w:oddVBand="0" w:evenVBand="0" w:oddHBand="0" w:evenHBand="0" w:firstRowFirstColumn="0" w:firstRowLastColumn="0" w:lastRowFirstColumn="0" w:lastRowLastColumn="0"/>
            </w:pPr>
            <w:r>
              <w:t>retailer of last resort</w:t>
            </w:r>
          </w:p>
        </w:tc>
      </w:tr>
      <w:tr w:rsidR="000D5B96" w:rsidTr="000D5B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D5B96" w:rsidRDefault="000D5B96" w:rsidP="000D5B96">
            <w:pPr>
              <w:numPr>
                <w:ilvl w:val="0"/>
                <w:numId w:val="28"/>
              </w:numPr>
            </w:pPr>
            <w:r>
              <w:t>RSA</w:t>
            </w:r>
          </w:p>
        </w:tc>
        <w:tc>
          <w:tcPr>
            <w:tcW w:w="5041" w:type="dxa"/>
            <w:tcBorders>
              <w:top w:val="nil"/>
              <w:left w:val="nil"/>
              <w:bottom w:val="nil"/>
              <w:right w:val="nil"/>
            </w:tcBorders>
            <w:hideMark/>
          </w:tcPr>
          <w:p w:rsidR="000D5B96" w:rsidRDefault="000D5B96">
            <w:pPr>
              <w:cnfStyle w:val="000000010000" w:firstRow="0" w:lastRow="0" w:firstColumn="0" w:lastColumn="0" w:oddVBand="0" w:evenVBand="0" w:oddHBand="0" w:evenHBand="1" w:firstRowFirstColumn="0" w:firstRowLastColumn="0" w:lastRowFirstColumn="0" w:lastRowLastColumn="0"/>
            </w:pPr>
            <w:r>
              <w:t>Reference Service Agreement</w:t>
            </w:r>
          </w:p>
        </w:tc>
      </w:tr>
      <w:tr w:rsidR="000D5B96" w:rsidTr="000D5B96">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D5B96" w:rsidRDefault="000D5B96" w:rsidP="000D5B96">
            <w:pPr>
              <w:numPr>
                <w:ilvl w:val="0"/>
                <w:numId w:val="28"/>
              </w:numPr>
            </w:pPr>
            <w:r>
              <w:t>RPP</w:t>
            </w:r>
          </w:p>
        </w:tc>
        <w:tc>
          <w:tcPr>
            <w:tcW w:w="5041" w:type="dxa"/>
            <w:tcBorders>
              <w:top w:val="nil"/>
              <w:left w:val="nil"/>
              <w:bottom w:val="nil"/>
              <w:right w:val="nil"/>
            </w:tcBorders>
            <w:hideMark/>
          </w:tcPr>
          <w:p w:rsidR="000D5B96" w:rsidRDefault="000D5B96" w:rsidP="000D5B96">
            <w:pPr>
              <w:numPr>
                <w:ilvl w:val="0"/>
                <w:numId w:val="28"/>
              </w:numPr>
              <w:cnfStyle w:val="000000000000" w:firstRow="0" w:lastRow="0" w:firstColumn="0" w:lastColumn="0" w:oddVBand="0" w:evenVBand="0" w:oddHBand="0" w:evenHBand="0" w:firstRowFirstColumn="0" w:firstRowLastColumn="0" w:lastRowFirstColumn="0" w:lastRowLastColumn="0"/>
            </w:pPr>
            <w:r>
              <w:t>revenue and pricing principles</w:t>
            </w:r>
          </w:p>
        </w:tc>
      </w:tr>
      <w:tr w:rsidR="000D5B96" w:rsidTr="000D5B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D5B96" w:rsidRDefault="000D5B96" w:rsidP="000D5B96">
            <w:pPr>
              <w:numPr>
                <w:ilvl w:val="0"/>
                <w:numId w:val="28"/>
              </w:numPr>
            </w:pPr>
            <w:r>
              <w:t>SLCAPM</w:t>
            </w:r>
          </w:p>
        </w:tc>
        <w:tc>
          <w:tcPr>
            <w:tcW w:w="5041" w:type="dxa"/>
            <w:tcBorders>
              <w:top w:val="nil"/>
              <w:left w:val="nil"/>
              <w:bottom w:val="nil"/>
              <w:right w:val="nil"/>
            </w:tcBorders>
            <w:hideMark/>
          </w:tcPr>
          <w:p w:rsidR="000D5B96" w:rsidRDefault="000D5B96" w:rsidP="000D5B96">
            <w:pPr>
              <w:numPr>
                <w:ilvl w:val="0"/>
                <w:numId w:val="28"/>
              </w:numPr>
              <w:cnfStyle w:val="000000010000" w:firstRow="0" w:lastRow="0" w:firstColumn="0" w:lastColumn="0" w:oddVBand="0" w:evenVBand="0" w:oddHBand="0" w:evenHBand="1" w:firstRowFirstColumn="0" w:firstRowLastColumn="0" w:lastRowFirstColumn="0" w:lastRowLastColumn="0"/>
            </w:pPr>
            <w:r>
              <w:t>Sharpe-</w:t>
            </w:r>
            <w:proofErr w:type="spellStart"/>
            <w:r>
              <w:t>Lintner</w:t>
            </w:r>
            <w:proofErr w:type="spellEnd"/>
            <w:r>
              <w:t xml:space="preserve"> capital asset pricing model</w:t>
            </w:r>
          </w:p>
        </w:tc>
      </w:tr>
      <w:tr w:rsidR="000D5B96" w:rsidTr="000D5B96">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D5B96" w:rsidRDefault="000D5B96" w:rsidP="000D5B96">
            <w:pPr>
              <w:numPr>
                <w:ilvl w:val="0"/>
                <w:numId w:val="28"/>
              </w:numPr>
            </w:pPr>
            <w:r>
              <w:t>STTM</w:t>
            </w:r>
          </w:p>
        </w:tc>
        <w:tc>
          <w:tcPr>
            <w:tcW w:w="5041" w:type="dxa"/>
            <w:tcBorders>
              <w:top w:val="nil"/>
              <w:left w:val="nil"/>
              <w:bottom w:val="nil"/>
              <w:right w:val="nil"/>
            </w:tcBorders>
            <w:hideMark/>
          </w:tcPr>
          <w:p w:rsidR="000D5B96" w:rsidRDefault="000D5B96">
            <w:pPr>
              <w:cnfStyle w:val="000000000000" w:firstRow="0" w:lastRow="0" w:firstColumn="0" w:lastColumn="0" w:oddVBand="0" w:evenVBand="0" w:oddHBand="0" w:evenHBand="0" w:firstRowFirstColumn="0" w:firstRowLastColumn="0" w:lastRowFirstColumn="0" w:lastRowLastColumn="0"/>
            </w:pPr>
            <w:r>
              <w:t>Short Term Trading Market</w:t>
            </w:r>
          </w:p>
        </w:tc>
      </w:tr>
      <w:tr w:rsidR="000D5B96" w:rsidTr="000D5B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D5B96" w:rsidRDefault="000D5B96" w:rsidP="000D5B96">
            <w:pPr>
              <w:numPr>
                <w:ilvl w:val="0"/>
                <w:numId w:val="28"/>
              </w:numPr>
            </w:pPr>
            <w:r>
              <w:t>TAB</w:t>
            </w:r>
          </w:p>
        </w:tc>
        <w:tc>
          <w:tcPr>
            <w:tcW w:w="5041" w:type="dxa"/>
            <w:tcBorders>
              <w:top w:val="nil"/>
              <w:left w:val="nil"/>
              <w:bottom w:val="nil"/>
              <w:right w:val="nil"/>
            </w:tcBorders>
            <w:hideMark/>
          </w:tcPr>
          <w:p w:rsidR="000D5B96" w:rsidRDefault="000D5B96">
            <w:pPr>
              <w:cnfStyle w:val="000000010000" w:firstRow="0" w:lastRow="0" w:firstColumn="0" w:lastColumn="0" w:oddVBand="0" w:evenVBand="0" w:oddHBand="0" w:evenHBand="1" w:firstRowFirstColumn="0" w:firstRowLastColumn="0" w:lastRowFirstColumn="0" w:lastRowLastColumn="0"/>
            </w:pPr>
            <w:r>
              <w:t>tax asset base</w:t>
            </w:r>
          </w:p>
        </w:tc>
      </w:tr>
      <w:tr w:rsidR="000D5B96" w:rsidTr="000D5B96">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D5B96" w:rsidRDefault="000D5B96" w:rsidP="000D5B96">
            <w:pPr>
              <w:numPr>
                <w:ilvl w:val="0"/>
                <w:numId w:val="28"/>
              </w:numPr>
            </w:pPr>
            <w:r>
              <w:t>UAFG</w:t>
            </w:r>
          </w:p>
        </w:tc>
        <w:tc>
          <w:tcPr>
            <w:tcW w:w="5041" w:type="dxa"/>
            <w:tcBorders>
              <w:top w:val="nil"/>
              <w:left w:val="nil"/>
              <w:bottom w:val="nil"/>
              <w:right w:val="nil"/>
            </w:tcBorders>
            <w:hideMark/>
          </w:tcPr>
          <w:p w:rsidR="000D5B96" w:rsidRDefault="000D5B96">
            <w:pPr>
              <w:cnfStyle w:val="000000000000" w:firstRow="0" w:lastRow="0" w:firstColumn="0" w:lastColumn="0" w:oddVBand="0" w:evenVBand="0" w:oddHBand="0" w:evenHBand="0" w:firstRowFirstColumn="0" w:firstRowLastColumn="0" w:lastRowFirstColumn="0" w:lastRowLastColumn="0"/>
            </w:pPr>
            <w:r>
              <w:t>unaccounted for gas</w:t>
            </w:r>
          </w:p>
        </w:tc>
      </w:tr>
      <w:tr w:rsidR="000D5B96" w:rsidTr="000D5B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D5B96" w:rsidRDefault="000D5B96" w:rsidP="000D5B96">
            <w:pPr>
              <w:numPr>
                <w:ilvl w:val="0"/>
                <w:numId w:val="28"/>
              </w:numPr>
            </w:pPr>
            <w:r>
              <w:t>UNFT</w:t>
            </w:r>
          </w:p>
        </w:tc>
        <w:tc>
          <w:tcPr>
            <w:tcW w:w="5041" w:type="dxa"/>
            <w:tcBorders>
              <w:top w:val="nil"/>
              <w:left w:val="nil"/>
              <w:bottom w:val="nil"/>
              <w:right w:val="nil"/>
            </w:tcBorders>
            <w:hideMark/>
          </w:tcPr>
          <w:p w:rsidR="000D5B96" w:rsidRDefault="000D5B96">
            <w:pPr>
              <w:cnfStyle w:val="000000010000" w:firstRow="0" w:lastRow="0" w:firstColumn="0" w:lastColumn="0" w:oddVBand="0" w:evenVBand="0" w:oddHBand="0" w:evenHBand="1" w:firstRowFirstColumn="0" w:firstRowLastColumn="0" w:lastRowFirstColumn="0" w:lastRowLastColumn="0"/>
            </w:pPr>
            <w:r>
              <w:t>Utilities Network Facilities Tax</w:t>
            </w:r>
          </w:p>
        </w:tc>
      </w:tr>
      <w:tr w:rsidR="000D5B96" w:rsidTr="000D5B96">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D5B96" w:rsidRDefault="000D5B96" w:rsidP="000D5B96">
            <w:pPr>
              <w:numPr>
                <w:ilvl w:val="0"/>
                <w:numId w:val="28"/>
              </w:numPr>
            </w:pPr>
            <w:r>
              <w:t>WACC</w:t>
            </w:r>
          </w:p>
        </w:tc>
        <w:tc>
          <w:tcPr>
            <w:tcW w:w="5041" w:type="dxa"/>
            <w:tcBorders>
              <w:top w:val="nil"/>
              <w:left w:val="nil"/>
              <w:bottom w:val="nil"/>
              <w:right w:val="nil"/>
            </w:tcBorders>
            <w:hideMark/>
          </w:tcPr>
          <w:p w:rsidR="000D5B96" w:rsidRDefault="000D5B96" w:rsidP="000D5B96">
            <w:pPr>
              <w:numPr>
                <w:ilvl w:val="0"/>
                <w:numId w:val="28"/>
              </w:numPr>
              <w:cnfStyle w:val="000000000000" w:firstRow="0" w:lastRow="0" w:firstColumn="0" w:lastColumn="0" w:oddVBand="0" w:evenVBand="0" w:oddHBand="0" w:evenHBand="0" w:firstRowFirstColumn="0" w:firstRowLastColumn="0" w:lastRowFirstColumn="0" w:lastRowLastColumn="0"/>
            </w:pPr>
            <w:r>
              <w:t>weighted average cost of capital</w:t>
            </w:r>
          </w:p>
        </w:tc>
      </w:tr>
      <w:tr w:rsidR="000D5B96" w:rsidTr="000D5B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single" w:sz="4" w:space="0" w:color="365F91"/>
              <w:right w:val="nil"/>
            </w:tcBorders>
            <w:hideMark/>
          </w:tcPr>
          <w:p w:rsidR="000D5B96" w:rsidRDefault="000D5B96" w:rsidP="000D5B96">
            <w:pPr>
              <w:numPr>
                <w:ilvl w:val="0"/>
                <w:numId w:val="28"/>
              </w:numPr>
            </w:pPr>
            <w:r>
              <w:t>WPI</w:t>
            </w:r>
          </w:p>
        </w:tc>
        <w:tc>
          <w:tcPr>
            <w:tcW w:w="5041" w:type="dxa"/>
            <w:tcBorders>
              <w:top w:val="nil"/>
              <w:left w:val="nil"/>
              <w:bottom w:val="single" w:sz="4" w:space="0" w:color="365F91"/>
              <w:right w:val="nil"/>
            </w:tcBorders>
            <w:hideMark/>
          </w:tcPr>
          <w:p w:rsidR="000D5B96" w:rsidRDefault="000D5B96">
            <w:pPr>
              <w:cnfStyle w:val="000000010000" w:firstRow="0" w:lastRow="0" w:firstColumn="0" w:lastColumn="0" w:oddVBand="0" w:evenVBand="0" w:oddHBand="0" w:evenHBand="1" w:firstRowFirstColumn="0" w:firstRowLastColumn="0" w:lastRowFirstColumn="0" w:lastRowLastColumn="0"/>
            </w:pPr>
            <w:r>
              <w:t>Wage Price Index</w:t>
            </w:r>
          </w:p>
        </w:tc>
      </w:tr>
    </w:tbl>
    <w:p w:rsidR="000D5B96" w:rsidRPr="000D5B96" w:rsidRDefault="000D5B96" w:rsidP="000D5B96"/>
    <w:p w:rsidR="00DE563D" w:rsidRDefault="00D41E80" w:rsidP="00D41E80">
      <w:pPr>
        <w:pStyle w:val="Heading1"/>
      </w:pPr>
      <w:bookmarkStart w:id="10" w:name="_Toc451761406"/>
      <w:r>
        <w:t>Non-tariff components</w:t>
      </w:r>
      <w:bookmarkEnd w:id="10"/>
    </w:p>
    <w:p w:rsidR="001C3DA5" w:rsidRDefault="001C3DA5" w:rsidP="00D92B2B">
      <w:r>
        <w:t xml:space="preserve">This attachment contains our decisions and reasons on the non-tariff components of </w:t>
      </w:r>
      <w:proofErr w:type="spellStart"/>
      <w:r>
        <w:t>ActewAGL's</w:t>
      </w:r>
      <w:proofErr w:type="spellEnd"/>
      <w:r w:rsidR="00D92B2B">
        <w:t xml:space="preserve"> </w:t>
      </w:r>
      <w:r w:rsidR="00E348A9">
        <w:t>revised access arrangement proposal</w:t>
      </w:r>
      <w:r>
        <w:t>.</w:t>
      </w:r>
    </w:p>
    <w:p w:rsidR="001C3DA5" w:rsidRDefault="001C3DA5" w:rsidP="00D92B2B">
      <w:r>
        <w:t>The non-tariff components are as follows:</w:t>
      </w:r>
    </w:p>
    <w:p w:rsidR="00872412" w:rsidRDefault="00872412" w:rsidP="00D92B2B">
      <w:pPr>
        <w:pStyle w:val="AERbulletlistfirststyle"/>
      </w:pPr>
      <w:r>
        <w:t xml:space="preserve">the </w:t>
      </w:r>
      <w:r w:rsidR="00D92B2B" w:rsidRPr="00F5072A">
        <w:t xml:space="preserve">terms and conditions </w:t>
      </w:r>
      <w:r w:rsidR="00D92B2B">
        <w:t>on</w:t>
      </w:r>
      <w:r w:rsidR="00D92B2B" w:rsidRPr="00F5072A">
        <w:t xml:space="preserve"> which </w:t>
      </w:r>
      <w:r>
        <w:t>ActewAGL</w:t>
      </w:r>
      <w:r w:rsidR="00D92B2B" w:rsidRPr="00F5072A">
        <w:t xml:space="preserve"> </w:t>
      </w:r>
      <w:r w:rsidR="00D92B2B">
        <w:t xml:space="preserve">offers to </w:t>
      </w:r>
      <w:r w:rsidR="00D92B2B" w:rsidRPr="00F5072A">
        <w:t xml:space="preserve">supply </w:t>
      </w:r>
      <w:r>
        <w:t>reference services</w:t>
      </w:r>
      <w:r w:rsidR="009F1E42">
        <w:t>, which are set out in the Reference Service Agreement (RSA) which forms part of the access arrangement</w:t>
      </w:r>
    </w:p>
    <w:p w:rsidR="00D92B2B" w:rsidRPr="00D92B2B" w:rsidRDefault="00D92B2B" w:rsidP="00D92B2B">
      <w:pPr>
        <w:pStyle w:val="AERbulletlistfirststyle"/>
      </w:pPr>
      <w:r w:rsidRPr="000707C1">
        <w:t>queuing</w:t>
      </w:r>
      <w:r w:rsidRPr="00D92B2B">
        <w:t xml:space="preserve"> requirements—a process or mechanism for establishing an order of priority between</w:t>
      </w:r>
      <w:r w:rsidR="001D312D">
        <w:t xml:space="preserve"> prospective users of spare </w:t>
      </w:r>
      <w:r w:rsidRPr="00D92B2B">
        <w:t xml:space="preserve">or developable capacity  </w:t>
      </w:r>
    </w:p>
    <w:p w:rsidR="001D312D" w:rsidRDefault="00D92B2B" w:rsidP="00D92B2B">
      <w:pPr>
        <w:pStyle w:val="AERbulletlistfirststyle"/>
      </w:pPr>
      <w:r w:rsidRPr="000707C1">
        <w:t>extension and expansion requirements—the method for determining whether an extension or exp</w:t>
      </w:r>
      <w:r w:rsidRPr="00D92B2B">
        <w:t>ansion is a part of the covered pipeline and the ef</w:t>
      </w:r>
      <w:r w:rsidR="001D312D">
        <w:t>fect this will have on tariffs</w:t>
      </w:r>
    </w:p>
    <w:p w:rsidR="00D92B2B" w:rsidRPr="00D92B2B" w:rsidRDefault="00D92B2B" w:rsidP="00D92B2B">
      <w:pPr>
        <w:pStyle w:val="AERbulletlistfirststyle"/>
      </w:pPr>
      <w:r w:rsidRPr="000707C1">
        <w:t>capacity trading requirements—</w:t>
      </w:r>
      <w:r w:rsidR="001D312D">
        <w:t>the arrangements for u</w:t>
      </w:r>
      <w:r w:rsidRPr="000707C1">
        <w:t xml:space="preserve">sers </w:t>
      </w:r>
      <w:r w:rsidR="001D312D">
        <w:t xml:space="preserve">to </w:t>
      </w:r>
      <w:r w:rsidRPr="000707C1">
        <w:t xml:space="preserve">assign contracted capacity and change delivery and receipt points </w:t>
      </w:r>
    </w:p>
    <w:p w:rsidR="00D92B2B" w:rsidRPr="00D92B2B" w:rsidRDefault="001D312D" w:rsidP="00D92B2B">
      <w:pPr>
        <w:pStyle w:val="AERbulletlistfirststyle"/>
      </w:pPr>
      <w:r>
        <w:t>provisions for receipt and delivery point changes, and</w:t>
      </w:r>
    </w:p>
    <w:p w:rsidR="00D92B2B" w:rsidRPr="00D92B2B" w:rsidRDefault="001D312D" w:rsidP="00D92B2B">
      <w:pPr>
        <w:pStyle w:val="AERbulletlistfirststyle"/>
      </w:pPr>
      <w:r>
        <w:t xml:space="preserve">a </w:t>
      </w:r>
      <w:r w:rsidR="00D92B2B" w:rsidRPr="000707C1">
        <w:t>review</w:t>
      </w:r>
      <w:r w:rsidR="00D92B2B" w:rsidRPr="00D92B2B">
        <w:t xml:space="preserve"> submission date and </w:t>
      </w:r>
      <w:r>
        <w:t xml:space="preserve">a </w:t>
      </w:r>
      <w:r w:rsidR="00D92B2B" w:rsidRPr="00D92B2B">
        <w:t>revision commencement date.</w:t>
      </w:r>
    </w:p>
    <w:p w:rsidR="00D557BD" w:rsidRDefault="00D557BD" w:rsidP="00D92B2B">
      <w:pPr>
        <w:pStyle w:val="Heading2"/>
      </w:pPr>
      <w:bookmarkStart w:id="11" w:name="_Ref427919634"/>
      <w:bookmarkStart w:id="12" w:name="_Toc435083239"/>
      <w:bookmarkStart w:id="13" w:name="_Toc451761407"/>
      <w:r>
        <w:t>Decision</w:t>
      </w:r>
      <w:bookmarkEnd w:id="13"/>
    </w:p>
    <w:p w:rsidR="00D557BD" w:rsidRDefault="00D557BD" w:rsidP="00D557BD">
      <w:r>
        <w:t xml:space="preserve">We approve the non-tariff components of </w:t>
      </w:r>
      <w:proofErr w:type="spellStart"/>
      <w:r>
        <w:t>ActewAGL's</w:t>
      </w:r>
      <w:proofErr w:type="spellEnd"/>
      <w:r>
        <w:t xml:space="preserve"> revised access arrangeme</w:t>
      </w:r>
      <w:r w:rsidR="008D2ADF">
        <w:t>nt proposal except for clause 9.</w:t>
      </w:r>
      <w:r>
        <w:t xml:space="preserve">1 (extensions and expansions policy).  </w:t>
      </w:r>
    </w:p>
    <w:p w:rsidR="00D557BD" w:rsidRPr="00044926" w:rsidRDefault="00D557BD" w:rsidP="00D557BD">
      <w:r>
        <w:t xml:space="preserve">We have revised the access arrangement having regard to our reasons for refusing to approve </w:t>
      </w:r>
      <w:proofErr w:type="spellStart"/>
      <w:r>
        <w:t>ActewAGL's</w:t>
      </w:r>
      <w:proofErr w:type="spellEnd"/>
      <w:r>
        <w:t xml:space="preserve"> proposal and the further matters identified in NGR section 64(2).  Our revision is reflected in clause 9.1 of the Approved Access Arrangement for </w:t>
      </w:r>
      <w:proofErr w:type="spellStart"/>
      <w:r>
        <w:t>ActewAGL's</w:t>
      </w:r>
      <w:proofErr w:type="spellEnd"/>
      <w:r>
        <w:t xml:space="preserve"> Gas Distribution Network in the ACT for 2016-21, which gives effect to this decision.</w:t>
      </w:r>
    </w:p>
    <w:p w:rsidR="00D557BD" w:rsidRPr="00D557BD" w:rsidRDefault="00D557BD" w:rsidP="006B2585"/>
    <w:p w:rsidR="00D92B2B" w:rsidRDefault="00D92B2B" w:rsidP="00D92B2B">
      <w:pPr>
        <w:pStyle w:val="Heading2"/>
      </w:pPr>
      <w:bookmarkStart w:id="14" w:name="_Toc451761408"/>
      <w:r>
        <w:t>Terms and conditions</w:t>
      </w:r>
      <w:bookmarkEnd w:id="11"/>
      <w:bookmarkEnd w:id="12"/>
      <w:bookmarkEnd w:id="14"/>
    </w:p>
    <w:p w:rsidR="008442C3" w:rsidRDefault="00143296" w:rsidP="00313CE0">
      <w:r>
        <w:t>A</w:t>
      </w:r>
      <w:r w:rsidR="00313CE0">
        <w:t xml:space="preserve">n access arrangement </w:t>
      </w:r>
      <w:r>
        <w:t>must</w:t>
      </w:r>
      <w:r w:rsidR="00313CE0">
        <w:t xml:space="preserve"> specify the terms and conditions on which </w:t>
      </w:r>
      <w:r w:rsidR="00F22045">
        <w:t>the</w:t>
      </w:r>
      <w:r w:rsidR="00313CE0">
        <w:t xml:space="preserve"> reference services will be provided.</w:t>
      </w:r>
      <w:r w:rsidR="00313CE0">
        <w:rPr>
          <w:rStyle w:val="FootnoteReference"/>
        </w:rPr>
        <w:footnoteReference w:id="1"/>
      </w:r>
      <w:r w:rsidR="00313CE0">
        <w:t xml:space="preserve">  </w:t>
      </w:r>
    </w:p>
    <w:p w:rsidR="00313CE0" w:rsidRDefault="00313CE0" w:rsidP="00313CE0">
      <w:r>
        <w:t>These do not exhaustively set out the contractual arrangements between a service provider and a user</w:t>
      </w:r>
      <w:r w:rsidR="003441E2">
        <w:t xml:space="preserve">. </w:t>
      </w:r>
      <w:r>
        <w:t>The NGL permits the service provider and the user to agree on terms and conditions different to those specified in the applicable access arrangement.</w:t>
      </w:r>
      <w:r>
        <w:rPr>
          <w:rStyle w:val="FootnoteReference"/>
        </w:rPr>
        <w:footnoteReference w:id="2"/>
      </w:r>
      <w:r w:rsidR="008442C3" w:rsidRPr="008442C3">
        <w:t xml:space="preserve"> </w:t>
      </w:r>
      <w:r w:rsidR="008442C3">
        <w:t>However</w:t>
      </w:r>
      <w:r w:rsidR="004837B4">
        <w:t>,</w:t>
      </w:r>
      <w:r w:rsidR="008442C3">
        <w:t xml:space="preserve"> if an access dispute arises and is referred for determination, the relevant regulator must</w:t>
      </w:r>
      <w:r w:rsidR="008442C3" w:rsidRPr="008442C3">
        <w:t xml:space="preserve"> give effect to </w:t>
      </w:r>
      <w:r w:rsidR="008442C3">
        <w:t>the</w:t>
      </w:r>
      <w:r w:rsidR="008442C3" w:rsidRPr="008442C3">
        <w:t xml:space="preserve"> access arrangement</w:t>
      </w:r>
      <w:r w:rsidR="009F6B12">
        <w:t>.</w:t>
      </w:r>
      <w:r w:rsidR="009F6B12">
        <w:rPr>
          <w:rStyle w:val="FootnoteReference"/>
        </w:rPr>
        <w:footnoteReference w:id="3"/>
      </w:r>
      <w:r w:rsidR="009F6B12">
        <w:t xml:space="preserve"> </w:t>
      </w:r>
    </w:p>
    <w:p w:rsidR="00D92B2B" w:rsidRDefault="00D92B2B" w:rsidP="00D92B2B">
      <w:pPr>
        <w:pStyle w:val="Heading3"/>
      </w:pPr>
      <w:bookmarkStart w:id="15" w:name="_Toc408404320"/>
      <w:bookmarkStart w:id="16" w:name="_Toc435083240"/>
      <w:bookmarkStart w:id="17" w:name="_Toc451761409"/>
      <w:r>
        <w:t>Final</w:t>
      </w:r>
      <w:r w:rsidRPr="0074565D">
        <w:t xml:space="preserve"> decision</w:t>
      </w:r>
      <w:bookmarkEnd w:id="15"/>
      <w:bookmarkEnd w:id="16"/>
      <w:bookmarkEnd w:id="17"/>
    </w:p>
    <w:p w:rsidR="002A35B2" w:rsidRDefault="00313CE0" w:rsidP="00313CE0">
      <w:r>
        <w:t xml:space="preserve">We approve </w:t>
      </w:r>
      <w:r w:rsidR="00992392">
        <w:t xml:space="preserve">the </w:t>
      </w:r>
      <w:r w:rsidR="00C92709">
        <w:t xml:space="preserve">access </w:t>
      </w:r>
      <w:r w:rsidR="00992392">
        <w:t xml:space="preserve">terms and conditions in </w:t>
      </w:r>
      <w:r w:rsidR="008652F8">
        <w:t xml:space="preserve">the RSA which forms part of </w:t>
      </w:r>
      <w:proofErr w:type="spellStart"/>
      <w:r w:rsidR="00892A58">
        <w:t>ActewAGL's</w:t>
      </w:r>
      <w:proofErr w:type="spellEnd"/>
      <w:r w:rsidR="00892A58">
        <w:t xml:space="preserve"> </w:t>
      </w:r>
      <w:r w:rsidR="00C92709">
        <w:t>revised access arrangement proposal.</w:t>
      </w:r>
    </w:p>
    <w:p w:rsidR="00D92B2B" w:rsidRDefault="00D92B2B" w:rsidP="006B2585">
      <w:pPr>
        <w:pStyle w:val="Heading3"/>
        <w:keepNext/>
      </w:pPr>
      <w:bookmarkStart w:id="18" w:name="_Toc435083241"/>
      <w:bookmarkStart w:id="19" w:name="_Toc451761410"/>
      <w:proofErr w:type="spellStart"/>
      <w:r>
        <w:t>ActewAGL's</w:t>
      </w:r>
      <w:proofErr w:type="spellEnd"/>
      <w:r>
        <w:t xml:space="preserve"> </w:t>
      </w:r>
      <w:r w:rsidR="00BD54DA">
        <w:t xml:space="preserve">revised </w:t>
      </w:r>
      <w:r>
        <w:t>proposal</w:t>
      </w:r>
      <w:bookmarkEnd w:id="18"/>
      <w:bookmarkEnd w:id="19"/>
    </w:p>
    <w:p w:rsidR="008B6C50" w:rsidRDefault="002A35B2" w:rsidP="006B2585">
      <w:pPr>
        <w:keepNext/>
      </w:pPr>
      <w:r>
        <w:t xml:space="preserve">Our draft decision required </w:t>
      </w:r>
      <w:r w:rsidR="00E23C7F">
        <w:t>five amendment</w:t>
      </w:r>
      <w:r w:rsidR="003441E2">
        <w:t>s to the terms and conditions</w:t>
      </w:r>
      <w:r w:rsidR="000C335E">
        <w:t xml:space="preserve"> in </w:t>
      </w:r>
      <w:proofErr w:type="spellStart"/>
      <w:r w:rsidR="000C335E">
        <w:t>ActewAGL's</w:t>
      </w:r>
      <w:proofErr w:type="spellEnd"/>
      <w:r w:rsidR="000C335E">
        <w:t xml:space="preserve"> RSA</w:t>
      </w:r>
      <w:r w:rsidR="003441E2">
        <w:t xml:space="preserve">. </w:t>
      </w:r>
      <w:proofErr w:type="spellStart"/>
      <w:r w:rsidR="00E23C7F">
        <w:t>ActewAGL's</w:t>
      </w:r>
      <w:proofErr w:type="spellEnd"/>
      <w:r w:rsidR="00E23C7F">
        <w:t xml:space="preserve"> revised access arrangement proposal incorporates</w:t>
      </w:r>
      <w:r w:rsidR="003441E2">
        <w:t xml:space="preserve"> three of these. </w:t>
      </w:r>
      <w:r w:rsidR="00E23C7F">
        <w:t xml:space="preserve">ActewAGL </w:t>
      </w:r>
      <w:r w:rsidR="00400FAD">
        <w:t xml:space="preserve">made alternative amendments </w:t>
      </w:r>
      <w:r w:rsidR="008B6C50">
        <w:t>to those we required dealing with the remaining two issues:</w:t>
      </w:r>
    </w:p>
    <w:p w:rsidR="008B6C50" w:rsidRDefault="008B6C50" w:rsidP="006B2585">
      <w:pPr>
        <w:pStyle w:val="AERbulletlistfirststyle"/>
        <w:keepNext/>
      </w:pPr>
      <w:r>
        <w:t>ActewAGL discretion, and</w:t>
      </w:r>
    </w:p>
    <w:p w:rsidR="008B6C50" w:rsidRDefault="008B6C50" w:rsidP="006B2585">
      <w:pPr>
        <w:pStyle w:val="AERbulletlistfirststyle"/>
        <w:keepNext/>
      </w:pPr>
      <w:r>
        <w:t>bulk transfer process.</w:t>
      </w:r>
    </w:p>
    <w:p w:rsidR="002A35B2" w:rsidRDefault="008B6C50" w:rsidP="008B6C50">
      <w:pPr>
        <w:pStyle w:val="AERbulletlistfirststyle"/>
        <w:numPr>
          <w:ilvl w:val="0"/>
          <w:numId w:val="0"/>
        </w:numPr>
      </w:pPr>
      <w:r>
        <w:t xml:space="preserve">As discussed below we </w:t>
      </w:r>
      <w:r w:rsidR="000C335E">
        <w:t xml:space="preserve">are satisfied with </w:t>
      </w:r>
      <w:proofErr w:type="spellStart"/>
      <w:r>
        <w:t>ActewAGL's</w:t>
      </w:r>
      <w:proofErr w:type="spellEnd"/>
      <w:r>
        <w:t xml:space="preserve"> amendments on these issues.</w:t>
      </w:r>
      <w:r w:rsidR="00400FAD">
        <w:t xml:space="preserve">  </w:t>
      </w:r>
      <w:r w:rsidR="009B4AEF">
        <w:t>The table below provides a</w:t>
      </w:r>
      <w:r w:rsidR="00D239CD">
        <w:t xml:space="preserve"> high level overview </w:t>
      </w:r>
      <w:r w:rsidR="00FF3D55">
        <w:t xml:space="preserve">of </w:t>
      </w:r>
      <w:proofErr w:type="spellStart"/>
      <w:r w:rsidR="00FF3D55">
        <w:t>ActewAGL's</w:t>
      </w:r>
      <w:proofErr w:type="spellEnd"/>
      <w:r w:rsidR="00FF3D55">
        <w:t xml:space="preserve"> response and our final decision on </w:t>
      </w:r>
      <w:r w:rsidR="009B4AEF">
        <w:t>the amendments</w:t>
      </w:r>
      <w:r w:rsidR="00FF3D55">
        <w:t xml:space="preserve"> required in our draft decision</w:t>
      </w:r>
      <w:r w:rsidR="00D239CD">
        <w:t>.</w:t>
      </w:r>
    </w:p>
    <w:p w:rsidR="00FF3D55" w:rsidRDefault="003F022E" w:rsidP="00C73CD4">
      <w:pPr>
        <w:pStyle w:val="Tabletitle"/>
      </w:pPr>
      <w:r w:rsidRPr="003F022E">
        <w:t xml:space="preserve">Table </w:t>
      </w:r>
      <w:proofErr w:type="gramStart"/>
      <w:r w:rsidR="00393BCE">
        <w:t>12.</w:t>
      </w:r>
      <w:r w:rsidRPr="003F022E">
        <w:t>1</w:t>
      </w:r>
      <w:r w:rsidR="00E14BF2">
        <w:tab/>
      </w:r>
      <w:r w:rsidRPr="003F022E">
        <w:t>Overview -</w:t>
      </w:r>
      <w:proofErr w:type="gramEnd"/>
      <w:r w:rsidRPr="003F022E">
        <w:t xml:space="preserve"> Final Decision on </w:t>
      </w:r>
      <w:r w:rsidR="00473868">
        <w:t xml:space="preserve">RSA </w:t>
      </w:r>
      <w:r w:rsidRPr="003F022E">
        <w:t>Terms and Conditions</w:t>
      </w:r>
    </w:p>
    <w:tbl>
      <w:tblPr>
        <w:tblStyle w:val="AERtable-numbers"/>
        <w:tblW w:w="0" w:type="auto"/>
        <w:tblLook w:val="04A0" w:firstRow="1" w:lastRow="0" w:firstColumn="1" w:lastColumn="0" w:noHBand="0" w:noVBand="1"/>
      </w:tblPr>
      <w:tblGrid>
        <w:gridCol w:w="2897"/>
        <w:gridCol w:w="2898"/>
        <w:gridCol w:w="2898"/>
      </w:tblGrid>
      <w:tr w:rsidR="000C335E" w:rsidTr="00C73C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0C335E" w:rsidRDefault="000C335E" w:rsidP="008B6C50">
            <w:pPr>
              <w:pStyle w:val="AERbulletlistfirststyle"/>
              <w:numPr>
                <w:ilvl w:val="0"/>
                <w:numId w:val="0"/>
              </w:numPr>
            </w:pPr>
            <w:r>
              <w:t>Draft decision</w:t>
            </w:r>
          </w:p>
        </w:tc>
        <w:tc>
          <w:tcPr>
            <w:tcW w:w="2898" w:type="dxa"/>
          </w:tcPr>
          <w:p w:rsidR="000C335E" w:rsidRDefault="000C335E" w:rsidP="008B6C50">
            <w:pPr>
              <w:pStyle w:val="AERbulletlistfirststyle"/>
              <w:numPr>
                <w:ilvl w:val="0"/>
                <w:numId w:val="0"/>
              </w:numPr>
              <w:cnfStyle w:val="100000000000" w:firstRow="1" w:lastRow="0" w:firstColumn="0" w:lastColumn="0" w:oddVBand="0" w:evenVBand="0" w:oddHBand="0" w:evenHBand="0" w:firstRowFirstColumn="0" w:firstRowLastColumn="0" w:lastRowFirstColumn="0" w:lastRowLastColumn="0"/>
            </w:pPr>
            <w:r>
              <w:t>ActewAGL response</w:t>
            </w:r>
          </w:p>
        </w:tc>
        <w:tc>
          <w:tcPr>
            <w:tcW w:w="2898" w:type="dxa"/>
          </w:tcPr>
          <w:p w:rsidR="000C335E" w:rsidRDefault="000C335E" w:rsidP="008B6C50">
            <w:pPr>
              <w:pStyle w:val="AERbulletlistfirststyle"/>
              <w:numPr>
                <w:ilvl w:val="0"/>
                <w:numId w:val="0"/>
              </w:numPr>
              <w:cnfStyle w:val="100000000000" w:firstRow="1" w:lastRow="0" w:firstColumn="0" w:lastColumn="0" w:oddVBand="0" w:evenVBand="0" w:oddHBand="0" w:evenHBand="0" w:firstRowFirstColumn="0" w:firstRowLastColumn="0" w:lastRowFirstColumn="0" w:lastRowLastColumn="0"/>
            </w:pPr>
            <w:r>
              <w:t>Final decision</w:t>
            </w:r>
          </w:p>
        </w:tc>
      </w:tr>
      <w:tr w:rsidR="00FF3D55" w:rsidTr="00C73CD4">
        <w:tc>
          <w:tcPr>
            <w:cnfStyle w:val="001000000000" w:firstRow="0" w:lastRow="0" w:firstColumn="1" w:lastColumn="0" w:oddVBand="0" w:evenVBand="0" w:oddHBand="0" w:evenHBand="0" w:firstRowFirstColumn="0" w:firstRowLastColumn="0" w:lastRowFirstColumn="0" w:lastRowLastColumn="0"/>
            <w:tcW w:w="2897" w:type="dxa"/>
          </w:tcPr>
          <w:p w:rsidR="00FF3D55" w:rsidRPr="00FF3D55" w:rsidRDefault="00FF3D55" w:rsidP="00C73CD4">
            <w:pPr>
              <w:pStyle w:val="ListContinue"/>
              <w:spacing w:after="60"/>
            </w:pPr>
            <w:r>
              <w:t>Cl 1.1 - Minimum network standards</w:t>
            </w:r>
          </w:p>
        </w:tc>
        <w:tc>
          <w:tcPr>
            <w:tcW w:w="2898" w:type="dxa"/>
          </w:tcPr>
          <w:p w:rsidR="00FF3D55" w:rsidRPr="00FF3D55" w:rsidRDefault="00FF3D55" w:rsidP="00C73CD4">
            <w:pPr>
              <w:pStyle w:val="ListContinue"/>
              <w:spacing w:after="60"/>
              <w:cnfStyle w:val="000000000000" w:firstRow="0" w:lastRow="0" w:firstColumn="0" w:lastColumn="0" w:oddVBand="0" w:evenVBand="0" w:oddHBand="0" w:evenHBand="0" w:firstRowFirstColumn="0" w:firstRowLastColumn="0" w:lastRowFirstColumn="0" w:lastRowLastColumn="0"/>
            </w:pPr>
            <w:r>
              <w:t>Amended as required</w:t>
            </w:r>
          </w:p>
        </w:tc>
        <w:tc>
          <w:tcPr>
            <w:tcW w:w="2898" w:type="dxa"/>
          </w:tcPr>
          <w:p w:rsidR="00FF3D55" w:rsidRPr="00FF3D55" w:rsidRDefault="00FF3D55" w:rsidP="00C73CD4">
            <w:pPr>
              <w:pStyle w:val="ListContinue"/>
              <w:spacing w:after="60"/>
              <w:cnfStyle w:val="000000000000" w:firstRow="0" w:lastRow="0" w:firstColumn="0" w:lastColumn="0" w:oddVBand="0" w:evenVBand="0" w:oddHBand="0" w:evenHBand="0" w:firstRowFirstColumn="0" w:firstRowLastColumn="0" w:lastRowFirstColumn="0" w:lastRowLastColumn="0"/>
            </w:pPr>
            <w:r>
              <w:t>Accept</w:t>
            </w:r>
          </w:p>
        </w:tc>
      </w:tr>
      <w:tr w:rsidR="000C335E" w:rsidTr="00C73C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0C335E" w:rsidRDefault="005B6A07" w:rsidP="00C73CD4">
            <w:pPr>
              <w:pStyle w:val="ListContinue"/>
              <w:spacing w:after="60"/>
            </w:pPr>
            <w:r>
              <w:t>Cl 1.3 - Change of law</w:t>
            </w:r>
          </w:p>
        </w:tc>
        <w:tc>
          <w:tcPr>
            <w:tcW w:w="2898" w:type="dxa"/>
          </w:tcPr>
          <w:p w:rsidR="000C335E" w:rsidRDefault="005B6A07" w:rsidP="00C73CD4">
            <w:pPr>
              <w:pStyle w:val="ListContinue"/>
              <w:spacing w:after="60"/>
              <w:cnfStyle w:val="000000010000" w:firstRow="0" w:lastRow="0" w:firstColumn="0" w:lastColumn="0" w:oddVBand="0" w:evenVBand="0" w:oddHBand="0" w:evenHBand="1" w:firstRowFirstColumn="0" w:firstRowLastColumn="0" w:lastRowFirstColumn="0" w:lastRowLastColumn="0"/>
            </w:pPr>
            <w:r>
              <w:t>Amended as required</w:t>
            </w:r>
          </w:p>
        </w:tc>
        <w:tc>
          <w:tcPr>
            <w:tcW w:w="2898" w:type="dxa"/>
          </w:tcPr>
          <w:p w:rsidR="000C335E" w:rsidRDefault="005B6A07" w:rsidP="00C73CD4">
            <w:pPr>
              <w:pStyle w:val="ListContinue"/>
              <w:spacing w:after="60"/>
              <w:cnfStyle w:val="000000010000" w:firstRow="0" w:lastRow="0" w:firstColumn="0" w:lastColumn="0" w:oddVBand="0" w:evenVBand="0" w:oddHBand="0" w:evenHBand="1" w:firstRowFirstColumn="0" w:firstRowLastColumn="0" w:lastRowFirstColumn="0" w:lastRowLastColumn="0"/>
            </w:pPr>
            <w:r>
              <w:t>Accept</w:t>
            </w:r>
          </w:p>
        </w:tc>
      </w:tr>
      <w:tr w:rsidR="00FF3D55" w:rsidTr="00C73CD4">
        <w:tc>
          <w:tcPr>
            <w:cnfStyle w:val="001000000000" w:firstRow="0" w:lastRow="0" w:firstColumn="1" w:lastColumn="0" w:oddVBand="0" w:evenVBand="0" w:oddHBand="0" w:evenHBand="0" w:firstRowFirstColumn="0" w:firstRowLastColumn="0" w:lastRowFirstColumn="0" w:lastRowLastColumn="0"/>
            <w:tcW w:w="2897" w:type="dxa"/>
          </w:tcPr>
          <w:p w:rsidR="00FF3D55" w:rsidRPr="00FF3D55" w:rsidRDefault="00FF3D55" w:rsidP="00C73CD4">
            <w:pPr>
              <w:pStyle w:val="ListContinue"/>
              <w:spacing w:after="60"/>
            </w:pPr>
            <w:r>
              <w:t>Cl 25 - Right to terminate</w:t>
            </w:r>
          </w:p>
        </w:tc>
        <w:tc>
          <w:tcPr>
            <w:tcW w:w="2898" w:type="dxa"/>
          </w:tcPr>
          <w:p w:rsidR="00FF3D55" w:rsidRPr="00FF3D55" w:rsidRDefault="00FF3D55" w:rsidP="00C73CD4">
            <w:pPr>
              <w:pStyle w:val="ListContinue"/>
              <w:spacing w:after="60"/>
              <w:cnfStyle w:val="000000000000" w:firstRow="0" w:lastRow="0" w:firstColumn="0" w:lastColumn="0" w:oddVBand="0" w:evenVBand="0" w:oddHBand="0" w:evenHBand="0" w:firstRowFirstColumn="0" w:firstRowLastColumn="0" w:lastRowFirstColumn="0" w:lastRowLastColumn="0"/>
            </w:pPr>
            <w:r>
              <w:t>Amended as required</w:t>
            </w:r>
          </w:p>
        </w:tc>
        <w:tc>
          <w:tcPr>
            <w:tcW w:w="2898" w:type="dxa"/>
          </w:tcPr>
          <w:p w:rsidR="00FF3D55" w:rsidRPr="00FF3D55" w:rsidRDefault="00FF3D55" w:rsidP="00C73CD4">
            <w:pPr>
              <w:pStyle w:val="ListContinue"/>
              <w:spacing w:after="60"/>
              <w:cnfStyle w:val="000000000000" w:firstRow="0" w:lastRow="0" w:firstColumn="0" w:lastColumn="0" w:oddVBand="0" w:evenVBand="0" w:oddHBand="0" w:evenHBand="0" w:firstRowFirstColumn="0" w:firstRowLastColumn="0" w:lastRowFirstColumn="0" w:lastRowLastColumn="0"/>
            </w:pPr>
            <w:r>
              <w:t>Accept</w:t>
            </w:r>
          </w:p>
        </w:tc>
      </w:tr>
      <w:tr w:rsidR="00FF3D55" w:rsidTr="00C73C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FF3D55" w:rsidRPr="00FF3D55" w:rsidRDefault="00FF3D55" w:rsidP="00C73CD4">
            <w:pPr>
              <w:pStyle w:val="ListContinue"/>
              <w:spacing w:after="60"/>
            </w:pPr>
            <w:r>
              <w:t>Cl 11.4 - Bulk transfer to new tariffs</w:t>
            </w:r>
          </w:p>
        </w:tc>
        <w:tc>
          <w:tcPr>
            <w:tcW w:w="2898" w:type="dxa"/>
          </w:tcPr>
          <w:p w:rsidR="00FF3D55" w:rsidRPr="00FF3D55" w:rsidRDefault="00FF3D55" w:rsidP="00C73CD4">
            <w:pPr>
              <w:pStyle w:val="ListContinue"/>
              <w:spacing w:after="60"/>
              <w:cnfStyle w:val="000000010000" w:firstRow="0" w:lastRow="0" w:firstColumn="0" w:lastColumn="0" w:oddVBand="0" w:evenVBand="0" w:oddHBand="0" w:evenHBand="1" w:firstRowFirstColumn="0" w:firstRowLastColumn="0" w:lastRowFirstColumn="0" w:lastRowLastColumn="0"/>
            </w:pPr>
            <w:r>
              <w:t>Amend</w:t>
            </w:r>
            <w:r w:rsidRPr="00FF3D55">
              <w:t>ed, not in required form</w:t>
            </w:r>
          </w:p>
        </w:tc>
        <w:tc>
          <w:tcPr>
            <w:tcW w:w="2898" w:type="dxa"/>
          </w:tcPr>
          <w:p w:rsidR="00FF3D55" w:rsidRPr="00FF3D55" w:rsidRDefault="00FF3D55" w:rsidP="00C73CD4">
            <w:pPr>
              <w:pStyle w:val="ListContinue"/>
              <w:spacing w:after="60"/>
              <w:cnfStyle w:val="000000010000" w:firstRow="0" w:lastRow="0" w:firstColumn="0" w:lastColumn="0" w:oddVBand="0" w:evenVBand="0" w:oddHBand="0" w:evenHBand="1" w:firstRowFirstColumn="0" w:firstRowLastColumn="0" w:lastRowFirstColumn="0" w:lastRowLastColumn="0"/>
            </w:pPr>
            <w:r>
              <w:t>Accept</w:t>
            </w:r>
          </w:p>
        </w:tc>
      </w:tr>
      <w:tr w:rsidR="000C335E" w:rsidTr="00C73CD4">
        <w:tc>
          <w:tcPr>
            <w:cnfStyle w:val="001000000000" w:firstRow="0" w:lastRow="0" w:firstColumn="1" w:lastColumn="0" w:oddVBand="0" w:evenVBand="0" w:oddHBand="0" w:evenHBand="0" w:firstRowFirstColumn="0" w:firstRowLastColumn="0" w:lastRowFirstColumn="0" w:lastRowLastColumn="0"/>
            <w:tcW w:w="2897" w:type="dxa"/>
          </w:tcPr>
          <w:p w:rsidR="000C335E" w:rsidRDefault="005B6A07" w:rsidP="00C73CD4">
            <w:pPr>
              <w:pStyle w:val="ListContinue"/>
              <w:spacing w:after="60"/>
            </w:pPr>
            <w:r>
              <w:t>Cl 32.11 - Different standards in NSW and ACT</w:t>
            </w:r>
          </w:p>
        </w:tc>
        <w:tc>
          <w:tcPr>
            <w:tcW w:w="2898" w:type="dxa"/>
          </w:tcPr>
          <w:p w:rsidR="000C335E" w:rsidRDefault="005B6A07" w:rsidP="00C73CD4">
            <w:pPr>
              <w:pStyle w:val="ListContinue"/>
              <w:spacing w:after="60"/>
              <w:cnfStyle w:val="000000000000" w:firstRow="0" w:lastRow="0" w:firstColumn="0" w:lastColumn="0" w:oddVBand="0" w:evenVBand="0" w:oddHBand="0" w:evenHBand="0" w:firstRowFirstColumn="0" w:firstRowLastColumn="0" w:lastRowFirstColumn="0" w:lastRowLastColumn="0"/>
            </w:pPr>
            <w:r>
              <w:t>Amended, not in required form</w:t>
            </w:r>
          </w:p>
        </w:tc>
        <w:tc>
          <w:tcPr>
            <w:tcW w:w="2898" w:type="dxa"/>
          </w:tcPr>
          <w:p w:rsidR="000C335E" w:rsidRDefault="005B6A07" w:rsidP="00C73CD4">
            <w:pPr>
              <w:pStyle w:val="ListContinue"/>
              <w:spacing w:after="60"/>
              <w:cnfStyle w:val="000000000000" w:firstRow="0" w:lastRow="0" w:firstColumn="0" w:lastColumn="0" w:oddVBand="0" w:evenVBand="0" w:oddHBand="0" w:evenHBand="0" w:firstRowFirstColumn="0" w:firstRowLastColumn="0" w:lastRowFirstColumn="0" w:lastRowLastColumn="0"/>
            </w:pPr>
            <w:r>
              <w:t>Accept</w:t>
            </w:r>
          </w:p>
        </w:tc>
      </w:tr>
    </w:tbl>
    <w:p w:rsidR="000C335E" w:rsidRPr="00E14BF2" w:rsidRDefault="00E14BF2" w:rsidP="006B2585">
      <w:pPr>
        <w:pStyle w:val="AERtablesource"/>
      </w:pPr>
      <w:r w:rsidRPr="00E14BF2">
        <w:t>Source:</w:t>
      </w:r>
      <w:r w:rsidRPr="00E14BF2">
        <w:tab/>
        <w:t>AER analysis.</w:t>
      </w:r>
    </w:p>
    <w:p w:rsidR="00D92B2B" w:rsidRDefault="00D92B2B" w:rsidP="00D92B2B">
      <w:pPr>
        <w:pStyle w:val="Heading3"/>
      </w:pPr>
      <w:bookmarkStart w:id="20" w:name="_Toc408404322"/>
      <w:bookmarkStart w:id="21" w:name="_Toc435083242"/>
      <w:bookmarkStart w:id="22" w:name="_Toc451761411"/>
      <w:r w:rsidRPr="0074565D">
        <w:t>AER’s assessment approach</w:t>
      </w:r>
      <w:bookmarkEnd w:id="20"/>
      <w:bookmarkEnd w:id="21"/>
      <w:bookmarkEnd w:id="22"/>
    </w:p>
    <w:p w:rsidR="004A3A84" w:rsidRDefault="004A3A84" w:rsidP="004A3A84">
      <w:r>
        <w:t xml:space="preserve">The NGR requires us to assess the terms and conditions in the proposed </w:t>
      </w:r>
      <w:r w:rsidR="000A50C3">
        <w:t>access arrangement</w:t>
      </w:r>
      <w:r>
        <w:t xml:space="preserve"> for consistency with the NGO</w:t>
      </w:r>
      <w:r w:rsidR="003D6050">
        <w:t>, the NGR</w:t>
      </w:r>
      <w:r>
        <w:t xml:space="preserve"> and the relevant procedures.</w:t>
      </w:r>
      <w:r>
        <w:rPr>
          <w:rStyle w:val="FootnoteReference"/>
        </w:rPr>
        <w:footnoteReference w:id="4"/>
      </w:r>
      <w:r w:rsidR="00E64C01">
        <w:t xml:space="preserve">  The NGO states that the objective of the NGL is to promote efficient investment in</w:t>
      </w:r>
      <w:r w:rsidR="0087275C">
        <w:t>,</w:t>
      </w:r>
      <w:r w:rsidR="00E64C01">
        <w:t xml:space="preserve"> and</w:t>
      </w:r>
      <w:r w:rsidR="00AF1393">
        <w:t xml:space="preserve"> efficient</w:t>
      </w:r>
      <w:r w:rsidR="00E64C01">
        <w:t xml:space="preserve"> operation and use of</w:t>
      </w:r>
      <w:r w:rsidR="0087275C">
        <w:t>,</w:t>
      </w:r>
      <w:r w:rsidR="00E64C01">
        <w:t xml:space="preserve"> natural gas pipeline services for the long term interest</w:t>
      </w:r>
      <w:r w:rsidR="00FA70D8">
        <w:t>s</w:t>
      </w:r>
      <w:r w:rsidR="00E64C01">
        <w:t xml:space="preserve"> of consumers</w:t>
      </w:r>
      <w:r w:rsidR="00AF1393">
        <w:t xml:space="preserve"> of natural gas with respect to price, quality, safety, reliability and security of supply of natural gas</w:t>
      </w:r>
      <w:r w:rsidR="003441E2">
        <w:t xml:space="preserve">. </w:t>
      </w:r>
      <w:r w:rsidR="00E64C01">
        <w:t>The relevant procedures include the retail market procedures applying in the ACT</w:t>
      </w:r>
      <w:r w:rsidR="00D40DE9">
        <w:t xml:space="preserve"> and NSW</w:t>
      </w:r>
      <w:r w:rsidR="00E64C01">
        <w:t>.</w:t>
      </w:r>
      <w:r w:rsidR="00E64C01">
        <w:rPr>
          <w:rStyle w:val="FootnoteReference"/>
        </w:rPr>
        <w:footnoteReference w:id="5"/>
      </w:r>
    </w:p>
    <w:p w:rsidR="006247D6" w:rsidRPr="006247D6" w:rsidRDefault="006247D6" w:rsidP="006247D6">
      <w:r>
        <w:t>The NGR gives us discretion to withhold our approval of the non-price terms and conditions proposed in an access arrangement if we consider a preferable alternative exists which complies with the NGL and is consistent with the applicable criteria.</w:t>
      </w:r>
    </w:p>
    <w:p w:rsidR="00113B25" w:rsidRPr="004A3A84" w:rsidRDefault="006247D6" w:rsidP="004A3A84">
      <w:r>
        <w:t xml:space="preserve">Our draft decision details </w:t>
      </w:r>
      <w:r w:rsidR="00113B25">
        <w:t xml:space="preserve">our approach to </w:t>
      </w:r>
      <w:r>
        <w:t xml:space="preserve">assessing </w:t>
      </w:r>
      <w:proofErr w:type="spellStart"/>
      <w:r w:rsidR="00113B25">
        <w:t>ActewAGL's</w:t>
      </w:r>
      <w:proofErr w:type="spellEnd"/>
      <w:r w:rsidR="00113B25">
        <w:t xml:space="preserve"> proposed RSA</w:t>
      </w:r>
      <w:r>
        <w:t>.</w:t>
      </w:r>
      <w:r w:rsidR="00113B25">
        <w:rPr>
          <w:rStyle w:val="FootnoteReference"/>
        </w:rPr>
        <w:footnoteReference w:id="6"/>
      </w:r>
      <w:r>
        <w:t xml:space="preserve"> W</w:t>
      </w:r>
      <w:r w:rsidR="00D77280">
        <w:t xml:space="preserve">e have </w:t>
      </w:r>
      <w:r>
        <w:t>applied</w:t>
      </w:r>
      <w:r w:rsidR="00D77280">
        <w:t xml:space="preserve"> the same approach in this final decision.</w:t>
      </w:r>
    </w:p>
    <w:p w:rsidR="00D92B2B" w:rsidRDefault="00D92B2B" w:rsidP="00D92B2B">
      <w:pPr>
        <w:pStyle w:val="Heading3"/>
      </w:pPr>
      <w:bookmarkStart w:id="23" w:name="_Toc408404324"/>
      <w:bookmarkStart w:id="24" w:name="_Ref429122289"/>
      <w:bookmarkStart w:id="25" w:name="_Toc435083243"/>
      <w:bookmarkStart w:id="26" w:name="_Toc451761412"/>
      <w:r w:rsidRPr="0074565D">
        <w:t xml:space="preserve">Reasons for </w:t>
      </w:r>
      <w:r>
        <w:t>final</w:t>
      </w:r>
      <w:r w:rsidRPr="0074565D">
        <w:t xml:space="preserve"> decision</w:t>
      </w:r>
      <w:bookmarkEnd w:id="23"/>
      <w:bookmarkEnd w:id="24"/>
      <w:bookmarkEnd w:id="25"/>
      <w:bookmarkEnd w:id="26"/>
      <w:r w:rsidRPr="0074565D">
        <w:t xml:space="preserve"> </w:t>
      </w:r>
    </w:p>
    <w:p w:rsidR="008D2207" w:rsidRDefault="008D2207" w:rsidP="00A2202C">
      <w:proofErr w:type="spellStart"/>
      <w:r>
        <w:t>ActewAGL's</w:t>
      </w:r>
      <w:proofErr w:type="spellEnd"/>
      <w:r>
        <w:t xml:space="preserve"> revised </w:t>
      </w:r>
      <w:r w:rsidR="00C53067">
        <w:t xml:space="preserve">access arrangement proposal </w:t>
      </w:r>
      <w:r>
        <w:t xml:space="preserve">incorporated the following changes </w:t>
      </w:r>
      <w:r w:rsidR="00C53067">
        <w:t xml:space="preserve">to its RSA which we </w:t>
      </w:r>
      <w:r>
        <w:t>required in our draft decision:</w:t>
      </w:r>
    </w:p>
    <w:p w:rsidR="008D2207" w:rsidRDefault="008D2207" w:rsidP="00C73CD4">
      <w:pPr>
        <w:pStyle w:val="AERbulletlistfirststyle"/>
      </w:pPr>
      <w:r>
        <w:t>Clause 1.1 - correct minor drafting error to the definition of 'minimum network standard'</w:t>
      </w:r>
    </w:p>
    <w:p w:rsidR="008D2207" w:rsidRDefault="008D2207" w:rsidP="00C73CD4">
      <w:pPr>
        <w:pStyle w:val="AERbulletlistfirststyle"/>
      </w:pPr>
      <w:r>
        <w:t>Clause 1.3 - remove ActewAGL capacity to unilaterally amend RSA for change of law</w:t>
      </w:r>
    </w:p>
    <w:p w:rsidR="008D2207" w:rsidRDefault="008D2207" w:rsidP="00C73CD4">
      <w:pPr>
        <w:pStyle w:val="AERbulletlistfirststyle"/>
      </w:pPr>
      <w:r>
        <w:t>Clause 25 - correct paragraph numbering.</w:t>
      </w:r>
    </w:p>
    <w:p w:rsidR="008D2207" w:rsidRDefault="008D2207">
      <w:r>
        <w:t>We received no submissions on these issues, and for the reasons set out in our draft decision we maintain our decision to approve these amendments in this final decision.</w:t>
      </w:r>
    </w:p>
    <w:p w:rsidR="00B91950" w:rsidRDefault="00C53067" w:rsidP="00A2202C">
      <w:proofErr w:type="spellStart"/>
      <w:r>
        <w:t>ActewAGL's</w:t>
      </w:r>
      <w:proofErr w:type="spellEnd"/>
      <w:r>
        <w:t xml:space="preserve"> revised RSA made </w:t>
      </w:r>
      <w:r w:rsidR="00A2202C">
        <w:t>alternative amendments to those we required</w:t>
      </w:r>
      <w:r>
        <w:t xml:space="preserve"> to the following clauses</w:t>
      </w:r>
      <w:r w:rsidR="00B91950">
        <w:t>:</w:t>
      </w:r>
    </w:p>
    <w:p w:rsidR="00B91950" w:rsidRDefault="00C53067" w:rsidP="00B91950">
      <w:pPr>
        <w:pStyle w:val="AERbulletlistfirststyle"/>
      </w:pPr>
      <w:r>
        <w:t>Clause 11.4 - bulk transfer to new tariffs</w:t>
      </w:r>
      <w:r w:rsidR="00B91950">
        <w:t xml:space="preserve">, and </w:t>
      </w:r>
    </w:p>
    <w:p w:rsidR="00A2202C" w:rsidRDefault="00C53067" w:rsidP="00B91950">
      <w:pPr>
        <w:pStyle w:val="AERbulletlistfirststyle"/>
      </w:pPr>
      <w:r>
        <w:t>Clause 32.11 - different standards in NSW and ACT</w:t>
      </w:r>
      <w:r w:rsidR="00A2202C">
        <w:t xml:space="preserve">.  </w:t>
      </w:r>
    </w:p>
    <w:p w:rsidR="00C53067" w:rsidRPr="00C53067" w:rsidRDefault="00C53067" w:rsidP="00C53067">
      <w:pPr>
        <w:pStyle w:val="Heading4"/>
      </w:pPr>
      <w:r>
        <w:t>Bulk transfer to new tariffs</w:t>
      </w:r>
    </w:p>
    <w:p w:rsidR="00C53067" w:rsidRDefault="000747ED" w:rsidP="00C53067">
      <w:r>
        <w:t>Clause 11.4 of t</w:t>
      </w:r>
      <w:r w:rsidR="00C53067">
        <w:t xml:space="preserve">he RSA </w:t>
      </w:r>
      <w:r>
        <w:t>sets out a process</w:t>
      </w:r>
      <w:r w:rsidR="00C53067">
        <w:t xml:space="preserve"> for transferring users from their current gas transport agreements to the new tariff structure which will apply under the 2016–21 access agreement.  </w:t>
      </w:r>
    </w:p>
    <w:p w:rsidR="00C53067" w:rsidRDefault="00C53067" w:rsidP="00C53067">
      <w:r>
        <w:t xml:space="preserve">Our draft decision required ActewAGL to </w:t>
      </w:r>
      <w:r w:rsidR="000747ED">
        <w:t>amend clause 11.4(c)(v), relating to</w:t>
      </w:r>
      <w:r>
        <w:t xml:space="preserve"> bulk transfers to non-default tariffs, </w:t>
      </w:r>
      <w:r w:rsidR="000747ED">
        <w:t xml:space="preserve">to remove the requirement for users to take certain actions </w:t>
      </w:r>
      <w:r>
        <w:t>prior to the approval and commencement of the new access arrangement.</w:t>
      </w:r>
      <w:r>
        <w:rPr>
          <w:rStyle w:val="FootnoteReference"/>
        </w:rPr>
        <w:footnoteReference w:id="7"/>
      </w:r>
      <w:r w:rsidR="000747ED">
        <w:t xml:space="preserve">  ActewAGL made the requested change</w:t>
      </w:r>
      <w:r>
        <w:t xml:space="preserve"> and proposed a new process </w:t>
      </w:r>
      <w:r w:rsidR="000747ED">
        <w:t xml:space="preserve">for </w:t>
      </w:r>
      <w:r>
        <w:t xml:space="preserve">bulk transfers to non-default tariffs. </w:t>
      </w:r>
      <w:r w:rsidR="000747ED">
        <w:t>Under the revised proposal, t</w:t>
      </w:r>
      <w:r>
        <w:t>he user must identify</w:t>
      </w:r>
      <w:r w:rsidR="000747ED">
        <w:t xml:space="preserve"> by </w:t>
      </w:r>
      <w:r>
        <w:t>notice</w:t>
      </w:r>
      <w:r w:rsidR="000747ED">
        <w:t xml:space="preserve"> to ActewAGL</w:t>
      </w:r>
      <w:r>
        <w:t>, any delivery points which the user wishes to be assigned to a non-default tariff. The schedule must also identify the requested tariff category and provide information demonstrating the eligibility of the delivery point for the requested tariff category.</w:t>
      </w:r>
      <w:r>
        <w:rPr>
          <w:rStyle w:val="FootnoteReference"/>
        </w:rPr>
        <w:footnoteReference w:id="8"/>
      </w:r>
      <w:r>
        <w:t xml:space="preserve">  </w:t>
      </w:r>
    </w:p>
    <w:p w:rsidR="00C53067" w:rsidRPr="00C53067" w:rsidRDefault="00C53067" w:rsidP="00C53067">
      <w:r>
        <w:t xml:space="preserve">As with the process for bulk </w:t>
      </w:r>
      <w:r w:rsidRPr="00C53067">
        <w:t xml:space="preserve">transfers to default tariffs, users will need to execute the RSA within two weeks of the commencement of the 2016 access arrangement and issue a notice seeking bulk transfer within three business days of the execution of the agreement.  </w:t>
      </w:r>
      <w:r w:rsidRPr="00C53067">
        <w:tab/>
      </w:r>
    </w:p>
    <w:p w:rsidR="00C53067" w:rsidRDefault="00C53067" w:rsidP="00C53067">
      <w:r>
        <w:t>ActewAGL submitted its alternative process would provide information necessary for its business operations and would ensure tariffs are correctly assigned. ActewAGL also submitted that the process should not be seen as onerous, given that a user ought to have satisfied itself as to customer's eligibility for a non-default tariff before requesting transfer of that user.</w:t>
      </w:r>
      <w:r>
        <w:rPr>
          <w:rStyle w:val="FootnoteReference"/>
        </w:rPr>
        <w:footnoteReference w:id="9"/>
      </w:r>
      <w:r>
        <w:t xml:space="preserve">  </w:t>
      </w:r>
    </w:p>
    <w:p w:rsidR="00C53067" w:rsidRDefault="00C53067" w:rsidP="00C53067">
      <w:proofErr w:type="spellStart"/>
      <w:r>
        <w:t>ActewAGL's</w:t>
      </w:r>
      <w:proofErr w:type="spellEnd"/>
      <w:r>
        <w:t xml:space="preserve"> changes to clause 11.4(c) address our comments in the final decision, and we accept these amendments.  </w:t>
      </w:r>
    </w:p>
    <w:p w:rsidR="00C53067" w:rsidRPr="001B2A36" w:rsidRDefault="00C53067" w:rsidP="00C53067">
      <w:pPr>
        <w:rPr>
          <w:rStyle w:val="AERbody"/>
        </w:rPr>
      </w:pPr>
      <w:r w:rsidRPr="001B2A36">
        <w:rPr>
          <w:rStyle w:val="AERbody"/>
        </w:rPr>
        <w:t xml:space="preserve">Origin made a submission on </w:t>
      </w:r>
      <w:proofErr w:type="spellStart"/>
      <w:r w:rsidRPr="001B2A36">
        <w:rPr>
          <w:rStyle w:val="AERbody"/>
        </w:rPr>
        <w:t>ActewAGL's</w:t>
      </w:r>
      <w:proofErr w:type="spellEnd"/>
      <w:r w:rsidRPr="001B2A36">
        <w:rPr>
          <w:rStyle w:val="AERbody"/>
        </w:rPr>
        <w:t xml:space="preserve"> revised access arrangement proposal which stated: </w:t>
      </w:r>
    </w:p>
    <w:p w:rsidR="00C53067" w:rsidRPr="00C53067" w:rsidRDefault="00C53067" w:rsidP="00C53067">
      <w:pPr>
        <w:pStyle w:val="AERquote"/>
        <w:rPr>
          <w:rStyle w:val="AERbody"/>
        </w:rPr>
      </w:pPr>
      <w:r w:rsidRPr="00C53067">
        <w:rPr>
          <w:rStyle w:val="AERbody"/>
        </w:rPr>
        <w:t>We support the AER approach of requiring affected parties to agree the terms of the transfer. However, we believe this approach must be underpinned by clearly defined resolution criteria to apply in the event that parties cannot agree on acceptable transfer terms.</w:t>
      </w:r>
      <w:r w:rsidRPr="006B2585">
        <w:rPr>
          <w:rStyle w:val="AERbody"/>
          <w:vertAlign w:val="superscript"/>
        </w:rPr>
        <w:footnoteReference w:id="10"/>
      </w:r>
    </w:p>
    <w:p w:rsidR="00C53067" w:rsidRPr="001B2A36" w:rsidRDefault="00C53067" w:rsidP="00C53067">
      <w:pPr>
        <w:rPr>
          <w:rStyle w:val="AERbody"/>
        </w:rPr>
      </w:pPr>
      <w:r w:rsidRPr="001B2A36">
        <w:rPr>
          <w:rStyle w:val="AERbody"/>
        </w:rPr>
        <w:t xml:space="preserve">In this respect we note that both the current and proposed access arrangements rely on the dispute resolution provisions in the NGL Chapter 6 and NGR Part 12, which we consider adequate for this purpose.  </w:t>
      </w:r>
    </w:p>
    <w:p w:rsidR="00C53067" w:rsidRDefault="00C53067" w:rsidP="00C53067">
      <w:proofErr w:type="spellStart"/>
      <w:r>
        <w:t>ActewAGL's</w:t>
      </w:r>
      <w:proofErr w:type="spellEnd"/>
      <w:r>
        <w:t xml:space="preserve"> revised access arrangement proposal includes a provision specifically stating it may re-assign a wrongly transferred delivery point to its correct tariff category and adjust charges to recover any shortfall.</w:t>
      </w:r>
      <w:r>
        <w:rPr>
          <w:rStyle w:val="FootnoteReference"/>
        </w:rPr>
        <w:footnoteReference w:id="11"/>
      </w:r>
      <w:r>
        <w:t xml:space="preserve"> We received no submissions on this clause and we consider it acceptable.</w:t>
      </w:r>
    </w:p>
    <w:p w:rsidR="00FE5660" w:rsidRDefault="00C53067" w:rsidP="006B2585">
      <w:pPr>
        <w:pStyle w:val="Heading4"/>
        <w:keepNext/>
        <w:numPr>
          <w:ilvl w:val="0"/>
          <w:numId w:val="0"/>
        </w:numPr>
        <w:ind w:left="862" w:hanging="862"/>
      </w:pPr>
      <w:r>
        <w:t>Different standards in NSW and ACT</w:t>
      </w:r>
    </w:p>
    <w:p w:rsidR="00966B2C" w:rsidRDefault="006D3813" w:rsidP="004A3A84">
      <w:r>
        <w:t xml:space="preserve">ActewAGL did not </w:t>
      </w:r>
      <w:r w:rsidR="00966B2C">
        <w:t>adopt</w:t>
      </w:r>
      <w:r>
        <w:t xml:space="preserve"> our </w:t>
      </w:r>
      <w:r w:rsidR="001D426A">
        <w:t xml:space="preserve">amendment to </w:t>
      </w:r>
      <w:r w:rsidR="002C6124">
        <w:t>clause 32.11</w:t>
      </w:r>
      <w:r w:rsidR="00C53067">
        <w:t>,</w:t>
      </w:r>
      <w:r w:rsidR="002C6124">
        <w:t xml:space="preserve"> which allows </w:t>
      </w:r>
      <w:r w:rsidR="00966B2C">
        <w:t>the service provider</w:t>
      </w:r>
      <w:r w:rsidR="002C6124">
        <w:t xml:space="preserve"> but not the user to determine which standard will apply in situations</w:t>
      </w:r>
      <w:r>
        <w:t xml:space="preserve"> where </w:t>
      </w:r>
      <w:r w:rsidR="002C6124">
        <w:t xml:space="preserve">the </w:t>
      </w:r>
      <w:r w:rsidR="00191347">
        <w:t xml:space="preserve">standards in </w:t>
      </w:r>
      <w:r w:rsidR="001E422E">
        <w:t xml:space="preserve">one jurisdiction are different to those in </w:t>
      </w:r>
      <w:r w:rsidR="003441E2">
        <w:t xml:space="preserve">another. </w:t>
      </w:r>
      <w:r w:rsidR="00966B2C">
        <w:t xml:space="preserve">Our required amendment and </w:t>
      </w:r>
      <w:proofErr w:type="spellStart"/>
      <w:r w:rsidR="00966B2C">
        <w:t>ActewAGL's</w:t>
      </w:r>
      <w:proofErr w:type="spellEnd"/>
      <w:r w:rsidR="00966B2C">
        <w:t xml:space="preserve"> </w:t>
      </w:r>
      <w:r w:rsidR="00BA34F2">
        <w:t xml:space="preserve">revised proposal </w:t>
      </w:r>
      <w:r w:rsidR="00966B2C">
        <w:t>are compared below</w:t>
      </w:r>
      <w:r w:rsidR="000150D1">
        <w:t>:</w:t>
      </w:r>
    </w:p>
    <w:p w:rsidR="000150D1" w:rsidRDefault="00C4180B" w:rsidP="006B2585">
      <w:pPr>
        <w:pStyle w:val="Tabletitle"/>
        <w:keepNext/>
      </w:pPr>
      <w:r>
        <w:t xml:space="preserve">Table </w:t>
      </w:r>
      <w:r w:rsidR="00393BCE">
        <w:t>12.</w:t>
      </w:r>
      <w:r>
        <w:t>2</w:t>
      </w:r>
      <w:r w:rsidR="00E14BF2">
        <w:tab/>
      </w:r>
      <w:r>
        <w:t>Comparison, clause 32.11</w:t>
      </w:r>
    </w:p>
    <w:tbl>
      <w:tblPr>
        <w:tblStyle w:val="AERtable-numbers"/>
        <w:tblW w:w="0" w:type="auto"/>
        <w:tblLook w:val="04A0" w:firstRow="1" w:lastRow="0" w:firstColumn="1" w:lastColumn="0" w:noHBand="0" w:noVBand="1"/>
      </w:tblPr>
      <w:tblGrid>
        <w:gridCol w:w="4346"/>
        <w:gridCol w:w="4347"/>
      </w:tblGrid>
      <w:tr w:rsidR="00966B2C" w:rsidTr="00966B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966B2C" w:rsidRDefault="00966B2C" w:rsidP="006B2585">
            <w:pPr>
              <w:keepNext/>
            </w:pPr>
            <w:r>
              <w:t>AER draft decision clause 32.11</w:t>
            </w:r>
          </w:p>
        </w:tc>
        <w:tc>
          <w:tcPr>
            <w:tcW w:w="4347" w:type="dxa"/>
          </w:tcPr>
          <w:p w:rsidR="00966B2C" w:rsidRDefault="00966B2C" w:rsidP="006B2585">
            <w:pPr>
              <w:keepNext/>
              <w:cnfStyle w:val="100000000000" w:firstRow="1" w:lastRow="0" w:firstColumn="0" w:lastColumn="0" w:oddVBand="0" w:evenVBand="0" w:oddHBand="0" w:evenHBand="0" w:firstRowFirstColumn="0" w:firstRowLastColumn="0" w:lastRowFirstColumn="0" w:lastRowLastColumn="0"/>
            </w:pPr>
            <w:r>
              <w:t>ActewAGL revised proposal clause 32.11</w:t>
            </w:r>
          </w:p>
        </w:tc>
      </w:tr>
      <w:tr w:rsidR="00966B2C" w:rsidTr="00966B2C">
        <w:tc>
          <w:tcPr>
            <w:cnfStyle w:val="001000000000" w:firstRow="0" w:lastRow="0" w:firstColumn="1" w:lastColumn="0" w:oddVBand="0" w:evenVBand="0" w:oddHBand="0" w:evenHBand="0" w:firstRowFirstColumn="0" w:firstRowLastColumn="0" w:lastRowFirstColumn="0" w:lastRowLastColumn="0"/>
            <w:tcW w:w="4346" w:type="dxa"/>
          </w:tcPr>
          <w:p w:rsidR="00966B2C" w:rsidRDefault="00966B2C" w:rsidP="006B2585">
            <w:pPr>
              <w:keepNext/>
            </w:pPr>
            <w:r>
              <w:t>In circumstances where a Gas Law applicable in one Relevant Region applies a higher standard than the Gas Law which is applicable in the other Relevant Region, the higher standard will apply in both regions for the purposes of this Agreement</w:t>
            </w:r>
          </w:p>
        </w:tc>
        <w:tc>
          <w:tcPr>
            <w:tcW w:w="4347" w:type="dxa"/>
          </w:tcPr>
          <w:p w:rsidR="00966B2C" w:rsidRDefault="002426CA" w:rsidP="006B2585">
            <w:pPr>
              <w:keepNext/>
              <w:cnfStyle w:val="000000000000" w:firstRow="0" w:lastRow="0" w:firstColumn="0" w:lastColumn="0" w:oddVBand="0" w:evenVBand="0" w:oddHBand="0" w:evenHBand="0" w:firstRowFirstColumn="0" w:firstRowLastColumn="0" w:lastRowFirstColumn="0" w:lastRowLastColumn="0"/>
            </w:pPr>
            <w:r>
              <w:t xml:space="preserve">In circumstances where a Gas Law applicable in one Relevant Region applies a higher standard than the Gas Law which is applicable in the other Relevant Region, the higher standard will apply in both regions where ActewAGL, after consulting with users, considers, acting </w:t>
            </w:r>
            <w:r w:rsidR="00C74B8B">
              <w:t>reasonably</w:t>
            </w:r>
            <w:r>
              <w:t>, that such different standards cannot practically, safely or efficiently be app</w:t>
            </w:r>
            <w:r w:rsidR="003441E2">
              <w:t xml:space="preserve">lied to the different Regions. </w:t>
            </w:r>
            <w:r>
              <w:t xml:space="preserve">Where such a higher standard is to apply ActewAGL will advise Users by notice in writing. </w:t>
            </w:r>
          </w:p>
        </w:tc>
      </w:tr>
    </w:tbl>
    <w:p w:rsidR="00C53067" w:rsidRPr="00C53067" w:rsidRDefault="00C53067" w:rsidP="00C53067">
      <w:r w:rsidRPr="00C53067">
        <w:t xml:space="preserve">Our draft decision required </w:t>
      </w:r>
      <w:r>
        <w:t>th</w:t>
      </w:r>
      <w:r w:rsidR="00BA34F2">
        <w:t>e</w:t>
      </w:r>
      <w:r>
        <w:t xml:space="preserve"> amendment</w:t>
      </w:r>
      <w:r w:rsidR="00BA34F2">
        <w:t xml:space="preserve"> set out above</w:t>
      </w:r>
      <w:r>
        <w:t xml:space="preserve"> as </w:t>
      </w:r>
      <w:r w:rsidRPr="00C53067">
        <w:t xml:space="preserve">we considered </w:t>
      </w:r>
      <w:proofErr w:type="spellStart"/>
      <w:r w:rsidR="00BA34F2">
        <w:t>ActewAGL's</w:t>
      </w:r>
      <w:proofErr w:type="spellEnd"/>
      <w:r w:rsidR="00BA34F2">
        <w:t xml:space="preserve"> proposal</w:t>
      </w:r>
      <w:r>
        <w:t xml:space="preserve"> </w:t>
      </w:r>
      <w:r w:rsidRPr="00C53067">
        <w:t xml:space="preserve">gave ActewAGL a </w:t>
      </w:r>
      <w:r w:rsidR="00BD168D">
        <w:t xml:space="preserve">high </w:t>
      </w:r>
      <w:r w:rsidRPr="00C53067">
        <w:t>degree of discretion such as to raise question</w:t>
      </w:r>
      <w:r>
        <w:t xml:space="preserve">s of clarity, </w:t>
      </w:r>
      <w:r w:rsidRPr="00C53067">
        <w:t>predictability</w:t>
      </w:r>
      <w:r>
        <w:t xml:space="preserve"> and s</w:t>
      </w:r>
      <w:r w:rsidRPr="00C53067">
        <w:t xml:space="preserve">ymmetry </w:t>
      </w:r>
      <w:r>
        <w:t xml:space="preserve">as between </w:t>
      </w:r>
      <w:r w:rsidRPr="00C53067">
        <w:t>the rights of ActewAGL and its users under the RSA.</w:t>
      </w:r>
      <w:r>
        <w:rPr>
          <w:rStyle w:val="FootnoteReference"/>
        </w:rPr>
        <w:footnoteReference w:id="12"/>
      </w:r>
      <w:r w:rsidRPr="00C53067">
        <w:t xml:space="preserve"> </w:t>
      </w:r>
    </w:p>
    <w:p w:rsidR="002C6124" w:rsidRDefault="009216B2" w:rsidP="004A3A84">
      <w:r>
        <w:t xml:space="preserve">Under </w:t>
      </w:r>
      <w:proofErr w:type="spellStart"/>
      <w:r w:rsidR="002C6124">
        <w:t>ActewAGL</w:t>
      </w:r>
      <w:r>
        <w:t>'s</w:t>
      </w:r>
      <w:proofErr w:type="spellEnd"/>
      <w:r>
        <w:t xml:space="preserve"> </w:t>
      </w:r>
      <w:r w:rsidR="00F661B6">
        <w:t xml:space="preserve">revised </w:t>
      </w:r>
      <w:r>
        <w:t>proposal</w:t>
      </w:r>
      <w:r w:rsidR="00565E4A">
        <w:t>,</w:t>
      </w:r>
      <w:r>
        <w:t xml:space="preserve"> </w:t>
      </w:r>
      <w:r w:rsidR="00565E4A">
        <w:t xml:space="preserve">ActewAGL </w:t>
      </w:r>
      <w:r w:rsidR="00BD168D">
        <w:t>can still</w:t>
      </w:r>
      <w:r w:rsidR="002C6124">
        <w:t xml:space="preserve"> determine </w:t>
      </w:r>
      <w:r>
        <w:t xml:space="preserve">the applicable standard, but </w:t>
      </w:r>
      <w:r w:rsidR="00565E4A">
        <w:t xml:space="preserve">the proposal </w:t>
      </w:r>
      <w:r w:rsidR="00BA34F2">
        <w:t>provides that ActewAGL may do this after</w:t>
      </w:r>
      <w:r>
        <w:t xml:space="preserve"> consult</w:t>
      </w:r>
      <w:r w:rsidR="00BA34F2">
        <w:t>ing with users and if it considers</w:t>
      </w:r>
      <w:r>
        <w:t xml:space="preserve">, </w:t>
      </w:r>
      <w:r w:rsidR="001D426A">
        <w:t>act reasonably</w:t>
      </w:r>
      <w:r w:rsidR="00BA34F2">
        <w:t xml:space="preserve"> that such different standards cannot practically, safely or efficiently be applied to the different regions</w:t>
      </w:r>
      <w:r w:rsidR="001D426A">
        <w:t>.</w:t>
      </w:r>
      <w:r w:rsidR="003441E2">
        <w:t xml:space="preserve"> </w:t>
      </w:r>
      <w:r w:rsidR="00F661B6">
        <w:t>We are satisfied that</w:t>
      </w:r>
      <w:r w:rsidR="00EC2984">
        <w:t xml:space="preserve"> </w:t>
      </w:r>
      <w:proofErr w:type="spellStart"/>
      <w:r w:rsidR="00F661B6">
        <w:t>ActewAGL's</w:t>
      </w:r>
      <w:proofErr w:type="spellEnd"/>
      <w:r>
        <w:t xml:space="preserve"> proposal adds </w:t>
      </w:r>
      <w:r w:rsidR="00F661B6">
        <w:t xml:space="preserve">sufficient </w:t>
      </w:r>
      <w:r>
        <w:t>transparency and predictability</w:t>
      </w:r>
      <w:r w:rsidR="009E43C4">
        <w:t xml:space="preserve">, </w:t>
      </w:r>
      <w:r w:rsidR="00F661B6">
        <w:t>and accordingly we accept it</w:t>
      </w:r>
      <w:r>
        <w:t>.</w:t>
      </w:r>
      <w:r w:rsidR="001D426A">
        <w:t xml:space="preserve"> </w:t>
      </w:r>
    </w:p>
    <w:p w:rsidR="00060158" w:rsidRDefault="00060158" w:rsidP="00060158">
      <w:pPr>
        <w:pStyle w:val="Heading2"/>
      </w:pPr>
      <w:bookmarkStart w:id="27" w:name="_Toc435083249"/>
      <w:bookmarkStart w:id="28" w:name="_Ref429124246"/>
      <w:bookmarkStart w:id="29" w:name="_Toc435083244"/>
      <w:bookmarkStart w:id="30" w:name="_Toc451761413"/>
      <w:r>
        <w:t>Extension and expansion requirements</w:t>
      </w:r>
      <w:bookmarkEnd w:id="27"/>
      <w:bookmarkEnd w:id="30"/>
    </w:p>
    <w:p w:rsidR="00060158" w:rsidRPr="00941FBB" w:rsidRDefault="00060158" w:rsidP="00060158">
      <w:r>
        <w:t>Access arrangements must include requirements relating to extensions of and expansions to a pipeline.</w:t>
      </w:r>
      <w:r>
        <w:rPr>
          <w:rStyle w:val="FootnoteReference"/>
        </w:rPr>
        <w:footnoteReference w:id="13"/>
      </w:r>
      <w:r>
        <w:t xml:space="preserve"> An extension allows a pipeline to receive or deliver gas to or from new locations whereas an expansion augments its capacity.</w:t>
      </w:r>
    </w:p>
    <w:p w:rsidR="00060158" w:rsidRDefault="00060158" w:rsidP="00060158">
      <w:pPr>
        <w:pStyle w:val="Heading3"/>
      </w:pPr>
      <w:bookmarkStart w:id="31" w:name="_Toc435083250"/>
      <w:bookmarkStart w:id="32" w:name="_Toc451761414"/>
      <w:r>
        <w:t>Final decision</w:t>
      </w:r>
      <w:bookmarkEnd w:id="31"/>
      <w:bookmarkEnd w:id="32"/>
    </w:p>
    <w:p w:rsidR="00CD332C" w:rsidRPr="00CD332C" w:rsidRDefault="00060158">
      <w:r w:rsidRPr="006B2585">
        <w:t xml:space="preserve">We </w:t>
      </w:r>
      <w:r w:rsidR="0071553C" w:rsidRPr="006B2585">
        <w:t xml:space="preserve">approve </w:t>
      </w:r>
      <w:r w:rsidR="008A2259" w:rsidRPr="006B2585">
        <w:t>the</w:t>
      </w:r>
      <w:r w:rsidRPr="006B2585">
        <w:t xml:space="preserve"> extension and expansion requirements </w:t>
      </w:r>
      <w:r w:rsidR="008A2259" w:rsidRPr="006B2585">
        <w:t xml:space="preserve">in </w:t>
      </w:r>
      <w:proofErr w:type="spellStart"/>
      <w:r w:rsidR="008A2259" w:rsidRPr="006B2585">
        <w:t>ActewAGL's</w:t>
      </w:r>
      <w:proofErr w:type="spellEnd"/>
      <w:r w:rsidR="008A2259" w:rsidRPr="006B2585">
        <w:t xml:space="preserve"> </w:t>
      </w:r>
      <w:r w:rsidRPr="006B2585">
        <w:t>revised access arrangement proposal</w:t>
      </w:r>
      <w:r w:rsidR="00BD168D" w:rsidRPr="006B2585">
        <w:t>,</w:t>
      </w:r>
      <w:r w:rsidR="00F661B6" w:rsidRPr="006B2585">
        <w:t xml:space="preserve"> except </w:t>
      </w:r>
      <w:r w:rsidR="00444203" w:rsidRPr="006B2585">
        <w:t xml:space="preserve">in respect of the </w:t>
      </w:r>
      <w:r w:rsidR="00F661B6" w:rsidRPr="006B2585">
        <w:t>provision that the anticipated Molonglo Valley pipeline is not a high pressure pipeline extension</w:t>
      </w:r>
      <w:r w:rsidRPr="006B2585">
        <w:t>.</w:t>
      </w:r>
      <w:r w:rsidRPr="006B2585">
        <w:rPr>
          <w:rStyle w:val="FootnoteReference"/>
        </w:rPr>
        <w:footnoteReference w:id="14"/>
      </w:r>
    </w:p>
    <w:p w:rsidR="00060158" w:rsidRDefault="00060158" w:rsidP="00060158">
      <w:pPr>
        <w:pStyle w:val="Heading3"/>
      </w:pPr>
      <w:bookmarkStart w:id="33" w:name="_Ref430606364"/>
      <w:bookmarkStart w:id="34" w:name="_Toc435083251"/>
      <w:bookmarkStart w:id="35" w:name="_Toc451761415"/>
      <w:proofErr w:type="spellStart"/>
      <w:r>
        <w:t>ActewAGL’s</w:t>
      </w:r>
      <w:proofErr w:type="spellEnd"/>
      <w:r>
        <w:t xml:space="preserve"> revised proposal</w:t>
      </w:r>
      <w:bookmarkEnd w:id="33"/>
      <w:bookmarkEnd w:id="34"/>
      <w:bookmarkEnd w:id="35"/>
    </w:p>
    <w:p w:rsidR="00060158" w:rsidRDefault="00B902CA" w:rsidP="00060158">
      <w:r>
        <w:t>Our draft decision found that the extensions and expansions policy complied with rule</w:t>
      </w:r>
      <w:r w:rsidR="00CD332C">
        <w:t> </w:t>
      </w:r>
      <w:r>
        <w:t xml:space="preserve">104 </w:t>
      </w:r>
      <w:r w:rsidR="00CD332C">
        <w:t xml:space="preserve">of the NGR </w:t>
      </w:r>
      <w:r>
        <w:t xml:space="preserve">but required two amendments to </w:t>
      </w:r>
      <w:r w:rsidRPr="00B902CA">
        <w:t>produce a preferable extensions and expansions policy</w:t>
      </w:r>
      <w:r w:rsidR="00060158">
        <w:t xml:space="preserve">: </w:t>
      </w:r>
    </w:p>
    <w:p w:rsidR="00060158" w:rsidRDefault="00060158" w:rsidP="00060158">
      <w:pPr>
        <w:pStyle w:val="AERbulletlistfirststyle"/>
      </w:pPr>
      <w:r>
        <w:t xml:space="preserve">Revise clause 9.1 to remove the provision that the anticipated </w:t>
      </w:r>
      <w:r w:rsidR="00727BFB">
        <w:t>Molonglo</w:t>
      </w:r>
      <w:r>
        <w:t xml:space="preserve"> Valley pipeline is not a high pressure pipeline extension for the purposes of the extensions and expansions policy</w:t>
      </w:r>
    </w:p>
    <w:p w:rsidR="00060158" w:rsidRDefault="00060158" w:rsidP="00060158">
      <w:pPr>
        <w:pStyle w:val="AERbulletlistfirststyle"/>
      </w:pPr>
      <w:r>
        <w:t>Revise clause 9.4 relating</w:t>
      </w:r>
      <w:r w:rsidRPr="00592313">
        <w:t xml:space="preserve"> to the timing and process for our consideration of a notification that a high pressure pipeline extension will be covered or not covered</w:t>
      </w:r>
      <w:r>
        <w:t>.</w:t>
      </w:r>
      <w:r w:rsidRPr="00592313">
        <w:rPr>
          <w:rStyle w:val="FootnoteReference"/>
        </w:rPr>
        <w:footnoteReference w:id="15"/>
      </w:r>
      <w:r w:rsidRPr="00592313">
        <w:t xml:space="preserve">  </w:t>
      </w:r>
    </w:p>
    <w:p w:rsidR="00060158" w:rsidRDefault="00060158" w:rsidP="00060158">
      <w:proofErr w:type="spellStart"/>
      <w:r>
        <w:t>ActewAGL's</w:t>
      </w:r>
      <w:proofErr w:type="spellEnd"/>
      <w:r>
        <w:t xml:space="preserve"> revised proposal incorporates our required amendment to clause 9.4 but did not make the required change to clause 9.1. </w:t>
      </w:r>
    </w:p>
    <w:p w:rsidR="00060158" w:rsidRDefault="00060158" w:rsidP="00060158">
      <w:pPr>
        <w:pStyle w:val="Heading3"/>
      </w:pPr>
      <w:bookmarkStart w:id="36" w:name="_Toc425927202"/>
      <w:bookmarkStart w:id="37" w:name="_Toc425927239"/>
      <w:bookmarkStart w:id="38" w:name="_Toc435083252"/>
      <w:bookmarkStart w:id="39" w:name="_Toc451761416"/>
      <w:bookmarkEnd w:id="36"/>
      <w:bookmarkEnd w:id="37"/>
      <w:r>
        <w:t>AER’s assessment approach</w:t>
      </w:r>
      <w:bookmarkEnd w:id="38"/>
      <w:bookmarkEnd w:id="39"/>
    </w:p>
    <w:p w:rsidR="00060158" w:rsidRPr="00A74F9E" w:rsidRDefault="00060158" w:rsidP="00060158">
      <w:r>
        <w:t xml:space="preserve">Attachment 12 of our draft decision set out our approach to assessing </w:t>
      </w:r>
      <w:proofErr w:type="spellStart"/>
      <w:r>
        <w:t>ActewAGL's</w:t>
      </w:r>
      <w:proofErr w:type="spellEnd"/>
      <w:r>
        <w:t xml:space="preserve"> proposed extension and expansion requirements.</w:t>
      </w:r>
      <w:r>
        <w:rPr>
          <w:rStyle w:val="FootnoteReference"/>
        </w:rPr>
        <w:footnoteReference w:id="16"/>
      </w:r>
      <w:r w:rsidR="003441E2">
        <w:t xml:space="preserve"> </w:t>
      </w:r>
      <w:r>
        <w:t>We have used the same approach in our final decision.</w:t>
      </w:r>
    </w:p>
    <w:p w:rsidR="00060158" w:rsidRDefault="00060158" w:rsidP="00060158">
      <w:pPr>
        <w:pStyle w:val="Heading3"/>
      </w:pPr>
      <w:bookmarkStart w:id="40" w:name="_Toc435083253"/>
      <w:bookmarkStart w:id="41" w:name="_Toc451761417"/>
      <w:r>
        <w:t>Reasons for final decision</w:t>
      </w:r>
      <w:bookmarkEnd w:id="40"/>
      <w:bookmarkEnd w:id="41"/>
    </w:p>
    <w:p w:rsidR="00A14700" w:rsidRPr="001B2A36" w:rsidRDefault="00060158" w:rsidP="00060158">
      <w:pPr>
        <w:rPr>
          <w:rStyle w:val="AERbody"/>
        </w:rPr>
      </w:pPr>
      <w:r w:rsidRPr="001B2A36">
        <w:rPr>
          <w:rStyle w:val="AERbody"/>
        </w:rPr>
        <w:t xml:space="preserve">Clause 9 of </w:t>
      </w:r>
      <w:proofErr w:type="spellStart"/>
      <w:r w:rsidRPr="001B2A36">
        <w:rPr>
          <w:rStyle w:val="AERbody"/>
        </w:rPr>
        <w:t>ActewAGL's</w:t>
      </w:r>
      <w:proofErr w:type="spellEnd"/>
      <w:r w:rsidRPr="001B2A36">
        <w:rPr>
          <w:rStyle w:val="AERbody"/>
        </w:rPr>
        <w:t xml:space="preserve"> access </w:t>
      </w:r>
      <w:r w:rsidR="009835E7">
        <w:rPr>
          <w:rStyle w:val="AERbody"/>
        </w:rPr>
        <w:t>arrangement</w:t>
      </w:r>
      <w:r w:rsidRPr="001B2A36">
        <w:rPr>
          <w:rStyle w:val="AERbody"/>
        </w:rPr>
        <w:t xml:space="preserve"> </w:t>
      </w:r>
      <w:r w:rsidR="0071553C" w:rsidRPr="001B2A36">
        <w:rPr>
          <w:rStyle w:val="AERbody"/>
        </w:rPr>
        <w:t xml:space="preserve">proposal </w:t>
      </w:r>
      <w:r w:rsidRPr="001B2A36">
        <w:rPr>
          <w:rStyle w:val="AERbody"/>
        </w:rPr>
        <w:t>deals separately with "extensions of the high pressure network" and "other extensions and expansions</w:t>
      </w:r>
      <w:r w:rsidR="003441E2">
        <w:rPr>
          <w:rStyle w:val="AERbody"/>
        </w:rPr>
        <w:t xml:space="preserve">." </w:t>
      </w:r>
      <w:r w:rsidR="007822D9" w:rsidRPr="001B2A36">
        <w:rPr>
          <w:rStyle w:val="AERbody"/>
        </w:rPr>
        <w:t>High pressure extensions are defined as follows:</w:t>
      </w:r>
      <w:r w:rsidR="00280C16">
        <w:rPr>
          <w:rStyle w:val="FootnoteReference"/>
        </w:rPr>
        <w:footnoteReference w:id="17"/>
      </w:r>
    </w:p>
    <w:p w:rsidR="007315C3" w:rsidRPr="001B2A36" w:rsidRDefault="007315C3" w:rsidP="001B2A36">
      <w:pPr>
        <w:pStyle w:val="AERquote"/>
        <w:rPr>
          <w:rStyle w:val="AERbody"/>
          <w:color w:val="000000"/>
          <w:sz w:val="20"/>
        </w:rPr>
      </w:pPr>
      <w:r w:rsidRPr="001B2A36">
        <w:rPr>
          <w:rStyle w:val="AERbody"/>
          <w:color w:val="000000"/>
          <w:sz w:val="20"/>
        </w:rPr>
        <w:t xml:space="preserve">For the purposes of [the extensions and expansions policy] a "high pressure pipeline extension" is an extension to </w:t>
      </w:r>
      <w:proofErr w:type="spellStart"/>
      <w:r w:rsidRPr="001B2A36">
        <w:rPr>
          <w:rStyle w:val="AERbody"/>
          <w:color w:val="000000"/>
          <w:sz w:val="20"/>
        </w:rPr>
        <w:t>ActewAGL's</w:t>
      </w:r>
      <w:proofErr w:type="spellEnd"/>
      <w:r w:rsidRPr="001B2A36">
        <w:rPr>
          <w:rStyle w:val="AERbody"/>
          <w:color w:val="000000"/>
          <w:sz w:val="20"/>
        </w:rPr>
        <w:t xml:space="preserve"> Covered Pipeline with a direct connection to a transmission pipeline that provides reticulated gas to a new development or an existing development not serviced with reticulated gas.</w:t>
      </w:r>
    </w:p>
    <w:p w:rsidR="00F86D23" w:rsidRPr="001B2A36" w:rsidRDefault="00F86D23" w:rsidP="001B2A36">
      <w:pPr>
        <w:pStyle w:val="AERquote"/>
        <w:rPr>
          <w:rStyle w:val="AERbody"/>
          <w:color w:val="000000"/>
          <w:sz w:val="20"/>
        </w:rPr>
      </w:pPr>
      <w:r w:rsidRPr="001B2A36">
        <w:rPr>
          <w:rStyle w:val="AERbody"/>
          <w:color w:val="000000"/>
          <w:sz w:val="20"/>
        </w:rPr>
        <w:t>The anticipated extension in the Australian Capital Territory from Belconnen across the Molonglo Valley to Phillip does not represent a high pressure pipeline extension for [the extensions and expansions policy].</w:t>
      </w:r>
    </w:p>
    <w:p w:rsidR="00C2682F" w:rsidRDefault="00E94968" w:rsidP="00060158">
      <w:pPr>
        <w:rPr>
          <w:rStyle w:val="AERbody"/>
        </w:rPr>
      </w:pPr>
      <w:r w:rsidRPr="001B2A36">
        <w:rPr>
          <w:rStyle w:val="AERbody"/>
        </w:rPr>
        <w:t>Our draft decision</w:t>
      </w:r>
      <w:r w:rsidR="009835E7">
        <w:rPr>
          <w:rStyle w:val="AERbody"/>
        </w:rPr>
        <w:t xml:space="preserve"> sought a revision to remove the Molonglo Valley 'carve-out'.  We considered </w:t>
      </w:r>
      <w:proofErr w:type="spellStart"/>
      <w:r w:rsidR="009835E7">
        <w:t>ActewAGL's</w:t>
      </w:r>
      <w:proofErr w:type="spellEnd"/>
      <w:r w:rsidR="009835E7">
        <w:t xml:space="preserve"> </w:t>
      </w:r>
      <w:r w:rsidR="009835E7">
        <w:rPr>
          <w:rStyle w:val="AERbody"/>
        </w:rPr>
        <w:t>inclusion of</w:t>
      </w:r>
      <w:r w:rsidR="009835E7" w:rsidRPr="009835E7">
        <w:t xml:space="preserve"> capital expenditure for this extension </w:t>
      </w:r>
      <w:r w:rsidR="009835E7">
        <w:t xml:space="preserve">suggested it should </w:t>
      </w:r>
      <w:r w:rsidR="009835E7" w:rsidRPr="009835E7">
        <w:t>be considered a hi</w:t>
      </w:r>
      <w:r w:rsidR="009835E7">
        <w:t xml:space="preserve">gh pressure pipeline extension, and that </w:t>
      </w:r>
      <w:r w:rsidR="009835E7" w:rsidRPr="009835E7">
        <w:t xml:space="preserve">the exclusion </w:t>
      </w:r>
      <w:r w:rsidR="009835E7">
        <w:t>was in</w:t>
      </w:r>
      <w:r w:rsidR="009835E7" w:rsidRPr="009835E7">
        <w:t>appropriate and should be removed.</w:t>
      </w:r>
      <w:r w:rsidR="00280C16">
        <w:rPr>
          <w:rStyle w:val="FootnoteReference"/>
        </w:rPr>
        <w:footnoteReference w:id="18"/>
      </w:r>
      <w:r w:rsidR="009835E7">
        <w:t xml:space="preserve">  In response, </w:t>
      </w:r>
      <w:r w:rsidR="006F5F63" w:rsidRPr="001B2A36">
        <w:rPr>
          <w:rStyle w:val="AERbody"/>
        </w:rPr>
        <w:t xml:space="preserve">ActewAGL did not </w:t>
      </w:r>
      <w:r w:rsidR="009835E7">
        <w:rPr>
          <w:rStyle w:val="AERbody"/>
        </w:rPr>
        <w:t>make this amendment, noting</w:t>
      </w:r>
      <w:r w:rsidR="006F5F63" w:rsidRPr="001B2A36">
        <w:rPr>
          <w:rStyle w:val="AERbody"/>
        </w:rPr>
        <w:t xml:space="preserve"> that the </w:t>
      </w:r>
      <w:r w:rsidR="009835E7">
        <w:rPr>
          <w:rStyle w:val="AERbody"/>
        </w:rPr>
        <w:t xml:space="preserve">Molonglo Valley carve-out </w:t>
      </w:r>
      <w:r w:rsidR="006F5F63" w:rsidRPr="001B2A36">
        <w:rPr>
          <w:rStyle w:val="AERbody"/>
        </w:rPr>
        <w:t>was included in the current (201</w:t>
      </w:r>
      <w:r w:rsidR="00EF5B79">
        <w:rPr>
          <w:rStyle w:val="AERbody"/>
        </w:rPr>
        <w:t>0</w:t>
      </w:r>
      <w:r w:rsidR="003441E2">
        <w:rPr>
          <w:rStyle w:val="AERbody"/>
        </w:rPr>
        <w:t>–</w:t>
      </w:r>
      <w:r w:rsidR="006F5F63" w:rsidRPr="001B2A36">
        <w:rPr>
          <w:rStyle w:val="AERbody"/>
        </w:rPr>
        <w:t>1</w:t>
      </w:r>
      <w:r w:rsidR="00EF5B79">
        <w:rPr>
          <w:rStyle w:val="AERbody"/>
        </w:rPr>
        <w:t>5</w:t>
      </w:r>
      <w:r w:rsidR="006F5F63" w:rsidRPr="001B2A36">
        <w:rPr>
          <w:rStyle w:val="AERbody"/>
        </w:rPr>
        <w:t xml:space="preserve">) access arrangement at the AER's request, and </w:t>
      </w:r>
      <w:r w:rsidR="009835E7">
        <w:rPr>
          <w:rStyle w:val="AERbody"/>
        </w:rPr>
        <w:t xml:space="preserve">submitting that </w:t>
      </w:r>
      <w:r w:rsidR="006F5F63" w:rsidRPr="001B2A36">
        <w:rPr>
          <w:rStyle w:val="AERbody"/>
        </w:rPr>
        <w:t xml:space="preserve">insufficient basis has been provided for the change </w:t>
      </w:r>
      <w:r w:rsidR="007822D9" w:rsidRPr="001B2A36">
        <w:rPr>
          <w:rStyle w:val="AERbody"/>
        </w:rPr>
        <w:t>of</w:t>
      </w:r>
      <w:r w:rsidR="006F5F63" w:rsidRPr="001B2A36">
        <w:rPr>
          <w:rStyle w:val="AERbody"/>
        </w:rPr>
        <w:t xml:space="preserve"> position.</w:t>
      </w:r>
      <w:r w:rsidR="00280C16">
        <w:rPr>
          <w:rStyle w:val="FootnoteReference"/>
        </w:rPr>
        <w:footnoteReference w:id="19"/>
      </w:r>
      <w:r w:rsidR="003441E2">
        <w:rPr>
          <w:rStyle w:val="AERbody"/>
        </w:rPr>
        <w:t xml:space="preserve"> </w:t>
      </w:r>
      <w:r w:rsidR="00C2682F">
        <w:rPr>
          <w:rStyle w:val="AERbody"/>
        </w:rPr>
        <w:t xml:space="preserve">While we acknowledge these arguments, </w:t>
      </w:r>
      <w:r w:rsidR="00601136" w:rsidRPr="001B2A36">
        <w:rPr>
          <w:rStyle w:val="AERbody"/>
        </w:rPr>
        <w:t>we consider it preferable to remove the Molonglo Valley clause</w:t>
      </w:r>
      <w:r w:rsidR="00C2682F">
        <w:rPr>
          <w:rStyle w:val="AERbody"/>
        </w:rPr>
        <w:t xml:space="preserve"> for the reasons set out below</w:t>
      </w:r>
      <w:r w:rsidR="00601136" w:rsidRPr="001B2A36">
        <w:rPr>
          <w:rStyle w:val="AERbody"/>
        </w:rPr>
        <w:t>.</w:t>
      </w:r>
    </w:p>
    <w:p w:rsidR="00C65CF1" w:rsidRDefault="00EF5B79" w:rsidP="00060158">
      <w:pPr>
        <w:rPr>
          <w:rStyle w:val="AERbody"/>
        </w:rPr>
      </w:pPr>
      <w:r>
        <w:rPr>
          <w:rStyle w:val="AERbody"/>
        </w:rPr>
        <w:t xml:space="preserve">ActewAGL correctly observes that the AER required the Molonglo Valley carve-out in the 2010-2015 access arrangement. The reasons for that decision </w:t>
      </w:r>
      <w:r w:rsidR="00C65CF1">
        <w:rPr>
          <w:rStyle w:val="AERbody"/>
        </w:rPr>
        <w:t>stated:</w:t>
      </w:r>
    </w:p>
    <w:p w:rsidR="00C65CF1" w:rsidRDefault="00C65CF1" w:rsidP="00C65CF1">
      <w:pPr>
        <w:pStyle w:val="AERquoteindent1"/>
        <w:rPr>
          <w:rStyle w:val="AERbody"/>
        </w:rPr>
      </w:pPr>
      <w:r>
        <w:rPr>
          <w:rStyle w:val="AERbody"/>
        </w:rPr>
        <w:t xml:space="preserve">[…] it is important to distinguish between in-fill development within the geographic reach of the existing network on one hand and new developments serving new areas outside the existing geographic reach of the network and existing development previously not serviced with reticulated gas when deciding whether a pipeline extension is covered by default under the access arrangement.  This is because in the case of new extensions to areas and customers </w:t>
      </w:r>
      <w:r w:rsidR="00231584">
        <w:rPr>
          <w:rStyle w:val="AERbody"/>
        </w:rPr>
        <w:t>without</w:t>
      </w:r>
      <w:r>
        <w:rPr>
          <w:rStyle w:val="AERbody"/>
        </w:rPr>
        <w:t xml:space="preserve"> reticulated </w:t>
      </w:r>
      <w:r w:rsidR="00231584">
        <w:rPr>
          <w:rStyle w:val="AERbody"/>
        </w:rPr>
        <w:t>gas</w:t>
      </w:r>
      <w:r>
        <w:rPr>
          <w:rStyle w:val="AERbody"/>
        </w:rPr>
        <w:t xml:space="preserve">, pipelines are potentially extended to a new part of the market.  This warrants consideration by the AER.  New areas outside the current geographic reach of the network will be more likely serviced by high pressure pipelines.  The AER accordingly considers that if a high pressure pipeline extension is planned, then an application should be made for a </w:t>
      </w:r>
      <w:r w:rsidR="00231584">
        <w:rPr>
          <w:rStyle w:val="AERbody"/>
        </w:rPr>
        <w:t>decision</w:t>
      </w:r>
      <w:r>
        <w:rPr>
          <w:rStyle w:val="AERbody"/>
        </w:rPr>
        <w:t xml:space="preserve"> as to whether or not the extension is part of the covered pipeline.  The use of 'high pressure' provides a means of generally distinguishing in-fill from new extensions to areas and customers.</w:t>
      </w:r>
      <w:r>
        <w:rPr>
          <w:rStyle w:val="FootnoteReference"/>
          <w:sz w:val="22"/>
        </w:rPr>
        <w:footnoteReference w:id="20"/>
      </w:r>
    </w:p>
    <w:p w:rsidR="007C0B81" w:rsidRDefault="007C0B81" w:rsidP="00060158">
      <w:pPr>
        <w:rPr>
          <w:rStyle w:val="AERbody"/>
        </w:rPr>
      </w:pPr>
      <w:r>
        <w:rPr>
          <w:rStyle w:val="AERbody"/>
        </w:rPr>
        <w:t>The effect of the carve-out in the earlier decision is tha</w:t>
      </w:r>
      <w:r w:rsidR="00231584">
        <w:rPr>
          <w:rStyle w:val="AERbody"/>
        </w:rPr>
        <w:t>t the Molonglo Valley extension would have been covered by default, rather than subject to the more detailed consideration applying to high pressure pipelines</w:t>
      </w:r>
      <w:r w:rsidR="00C551E3">
        <w:rPr>
          <w:rStyle w:val="AERbody"/>
        </w:rPr>
        <w:t xml:space="preserve"> under the access arrangement</w:t>
      </w:r>
      <w:r w:rsidR="00231584">
        <w:rPr>
          <w:rStyle w:val="AERbody"/>
        </w:rPr>
        <w:t>.</w:t>
      </w:r>
    </w:p>
    <w:p w:rsidR="007822D9" w:rsidRDefault="00231584" w:rsidP="000436B4">
      <w:pPr>
        <w:rPr>
          <w:rStyle w:val="AERbody"/>
        </w:rPr>
      </w:pPr>
      <w:r>
        <w:rPr>
          <w:rStyle w:val="AERbody"/>
        </w:rPr>
        <w:t>The extensions and expansions clause in the 2016</w:t>
      </w:r>
      <w:r w:rsidR="000D3336">
        <w:rPr>
          <w:rStyle w:val="AERbody"/>
        </w:rPr>
        <w:t>–</w:t>
      </w:r>
      <w:r>
        <w:rPr>
          <w:rStyle w:val="AERbody"/>
        </w:rPr>
        <w:t xml:space="preserve">21 access arrangement </w:t>
      </w:r>
      <w:proofErr w:type="gramStart"/>
      <w:r>
        <w:rPr>
          <w:rStyle w:val="AERbody"/>
        </w:rPr>
        <w:t>proposal</w:t>
      </w:r>
      <w:proofErr w:type="gramEnd"/>
      <w:r>
        <w:rPr>
          <w:rStyle w:val="AERbody"/>
        </w:rPr>
        <w:t xml:space="preserve"> follows the same structure.  High pressure extensions must be notified to the regulator, who then consults and decides on whether it will be covered.  Other extensions are covered by default, although </w:t>
      </w:r>
      <w:r w:rsidR="00C551E3">
        <w:rPr>
          <w:rStyle w:val="AERbody"/>
        </w:rPr>
        <w:t xml:space="preserve">some </w:t>
      </w:r>
      <w:r>
        <w:rPr>
          <w:rStyle w:val="AERbody"/>
        </w:rPr>
        <w:t>provision exists for non-coverage.</w:t>
      </w:r>
      <w:r w:rsidR="005070F4" w:rsidRPr="005070F4">
        <w:rPr>
          <w:rStyle w:val="AERbody"/>
        </w:rPr>
        <w:t xml:space="preserve"> </w:t>
      </w:r>
      <w:r w:rsidR="005070F4">
        <w:rPr>
          <w:rStyle w:val="AERbody"/>
        </w:rPr>
        <w:t xml:space="preserve"> Under either </w:t>
      </w:r>
      <w:r w:rsidR="005070F4" w:rsidRPr="001B2A36">
        <w:rPr>
          <w:rStyle w:val="AERbody"/>
        </w:rPr>
        <w:t>procedu</w:t>
      </w:r>
      <w:r w:rsidR="005070F4">
        <w:rPr>
          <w:rStyle w:val="AERbody"/>
        </w:rPr>
        <w:t xml:space="preserve">re, </w:t>
      </w:r>
      <w:r w:rsidR="005070F4" w:rsidRPr="001B2A36">
        <w:rPr>
          <w:rStyle w:val="AERbody"/>
        </w:rPr>
        <w:t xml:space="preserve">projects for which the cost has already been included in the calculation of the reference tariffs </w:t>
      </w:r>
      <w:r w:rsidR="005070F4">
        <w:rPr>
          <w:rStyle w:val="AERbody"/>
        </w:rPr>
        <w:t>must</w:t>
      </w:r>
      <w:r w:rsidR="005070F4" w:rsidRPr="001B2A36">
        <w:rPr>
          <w:rStyle w:val="AERbody"/>
        </w:rPr>
        <w:t xml:space="preserve"> be covered by the access arrangement.  </w:t>
      </w:r>
    </w:p>
    <w:p w:rsidR="00B902CA" w:rsidRDefault="000A45DD" w:rsidP="00A26CC3">
      <w:pPr>
        <w:pStyle w:val="AERbulletlistfirststyle"/>
        <w:numPr>
          <w:ilvl w:val="0"/>
          <w:numId w:val="0"/>
        </w:numPr>
        <w:rPr>
          <w:rStyle w:val="AERbody"/>
        </w:rPr>
      </w:pPr>
      <w:r w:rsidRPr="001B2A36">
        <w:rPr>
          <w:rStyle w:val="AERbody"/>
        </w:rPr>
        <w:t xml:space="preserve">There is a degree of uncertainty as to when and how </w:t>
      </w:r>
      <w:r w:rsidR="00D71C9B">
        <w:rPr>
          <w:rStyle w:val="AERbody"/>
        </w:rPr>
        <w:t xml:space="preserve">a pipeline from Molonglo to Philip </w:t>
      </w:r>
      <w:r w:rsidRPr="001B2A36">
        <w:rPr>
          <w:rStyle w:val="AERbody"/>
        </w:rPr>
        <w:t>will</w:t>
      </w:r>
      <w:r w:rsidR="00D71C9B">
        <w:rPr>
          <w:rStyle w:val="AERbody"/>
        </w:rPr>
        <w:t xml:space="preserve"> be developed</w:t>
      </w:r>
      <w:r w:rsidRPr="001B2A36">
        <w:rPr>
          <w:rStyle w:val="AERbody"/>
        </w:rPr>
        <w:t>.</w:t>
      </w:r>
      <w:r w:rsidR="00D71C9B">
        <w:rPr>
          <w:rStyle w:val="AERbody"/>
        </w:rPr>
        <w:t xml:space="preserve">  In these circumstances we consider it inappropriate to exclude it outright from the detailed examination of the coverage question that applies to high pressure pipelines.  We have therefore removed the Molonglo Valley carve-out from the access arrangement.</w:t>
      </w:r>
    </w:p>
    <w:p w:rsidR="00060158" w:rsidRPr="00060158" w:rsidRDefault="00060158" w:rsidP="00060158">
      <w:pPr>
        <w:pStyle w:val="Heading2"/>
      </w:pPr>
      <w:bookmarkStart w:id="42" w:name="_Toc451761418"/>
      <w:r>
        <w:t>Other non-tariff components</w:t>
      </w:r>
      <w:bookmarkEnd w:id="28"/>
      <w:bookmarkEnd w:id="29"/>
      <w:bookmarkEnd w:id="42"/>
    </w:p>
    <w:p w:rsidR="00060158" w:rsidRPr="00060158" w:rsidRDefault="00060158" w:rsidP="00060158">
      <w:proofErr w:type="spellStart"/>
      <w:r>
        <w:t>ActewAGL's</w:t>
      </w:r>
      <w:proofErr w:type="spellEnd"/>
      <w:r w:rsidRPr="00060158">
        <w:t xml:space="preserve"> revised proposal restated </w:t>
      </w:r>
      <w:r>
        <w:t xml:space="preserve">without revision </w:t>
      </w:r>
      <w:r w:rsidRPr="00060158">
        <w:t>its original proposals on the following non-tariff components:</w:t>
      </w:r>
    </w:p>
    <w:p w:rsidR="00060158" w:rsidRPr="00060158" w:rsidRDefault="00060158" w:rsidP="00060158">
      <w:pPr>
        <w:pStyle w:val="AERbulletlistfirststyle"/>
      </w:pPr>
      <w:r w:rsidRPr="00060158">
        <w:t xml:space="preserve">queuing requirements </w:t>
      </w:r>
    </w:p>
    <w:p w:rsidR="00060158" w:rsidRPr="00060158" w:rsidRDefault="00060158" w:rsidP="00060158">
      <w:pPr>
        <w:pStyle w:val="AERbulletlistfirststyle"/>
      </w:pPr>
      <w:r w:rsidRPr="00060158">
        <w:t xml:space="preserve">capacity trading requirements </w:t>
      </w:r>
    </w:p>
    <w:p w:rsidR="00060158" w:rsidRDefault="00060158" w:rsidP="00060158">
      <w:pPr>
        <w:pStyle w:val="AERbulletlistfirststyle"/>
      </w:pPr>
      <w:r w:rsidRPr="00060158">
        <w:t>changing receipt and delivery points</w:t>
      </w:r>
    </w:p>
    <w:p w:rsidR="00060158" w:rsidRPr="00060158" w:rsidRDefault="00060158" w:rsidP="00060158">
      <w:pPr>
        <w:pStyle w:val="AERbulletlistfirststyle"/>
      </w:pPr>
      <w:r>
        <w:t>review submission date and revision commencement date</w:t>
      </w:r>
      <w:r w:rsidRPr="00060158">
        <w:t>.</w:t>
      </w:r>
    </w:p>
    <w:p w:rsidR="00060158" w:rsidRPr="00060158" w:rsidRDefault="00060158" w:rsidP="00060158">
      <w:r w:rsidRPr="00060158">
        <w:t xml:space="preserve">Our draft decision approved </w:t>
      </w:r>
      <w:proofErr w:type="spellStart"/>
      <w:r>
        <w:t>ActewAGL's</w:t>
      </w:r>
      <w:proofErr w:type="spellEnd"/>
      <w:r w:rsidRPr="00060158">
        <w:t xml:space="preserve"> proposals on each of these components.  Our assessment approach is set out in Attachment 12 of our draft decision, and we have used the same approach in this final submission.</w:t>
      </w:r>
    </w:p>
    <w:p w:rsidR="00060158" w:rsidRPr="00060158" w:rsidRDefault="00BE16B8" w:rsidP="00060158">
      <w:r>
        <w:t xml:space="preserve">We received no submissions on these components, and for the reasons set out in our draft decision we maintain our position to approve </w:t>
      </w:r>
      <w:proofErr w:type="spellStart"/>
      <w:r>
        <w:t>ActewAGL's</w:t>
      </w:r>
      <w:proofErr w:type="spellEnd"/>
      <w:r>
        <w:t xml:space="preserve"> proposals in this final decision.</w:t>
      </w:r>
    </w:p>
    <w:sectPr w:rsidR="00060158" w:rsidRPr="00060158" w:rsidSect="00B757A6">
      <w:headerReference w:type="even" r:id="rId12"/>
      <w:footerReference w:type="even" r:id="rId13"/>
      <w:footerReference w:type="default" r:id="rId14"/>
      <w:headerReference w:type="first" r:id="rId15"/>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B81" w:rsidRPr="00290C63" w:rsidRDefault="007C0B81" w:rsidP="00290C63">
      <w:r>
        <w:separator/>
      </w:r>
    </w:p>
    <w:p w:rsidR="007C0B81" w:rsidRDefault="007C0B81"/>
  </w:endnote>
  <w:endnote w:type="continuationSeparator" w:id="0">
    <w:p w:rsidR="007C0B81" w:rsidRPr="00290C63" w:rsidRDefault="007C0B81" w:rsidP="00290C63">
      <w:r>
        <w:continuationSeparator/>
      </w:r>
    </w:p>
    <w:p w:rsidR="007C0B81" w:rsidRDefault="007C0B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B81" w:rsidRDefault="007C0B8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7C0B81" w:rsidRDefault="007C0B81">
    <w:pPr>
      <w:pStyle w:val="Footer"/>
    </w:pPr>
  </w:p>
  <w:p w:rsidR="007C0B81" w:rsidRDefault="007C0B81">
    <w:pPr>
      <w:pStyle w:val="Footer"/>
    </w:pPr>
    <w:r>
      <w:fldChar w:fldCharType="begin"/>
    </w:r>
    <w:r>
      <w:instrText xml:space="preserve"> DOCPROPERTY DocumentID \* MERGEFORMAT </w:instrText>
    </w:r>
    <w:r>
      <w:fldChar w:fldCharType="separate"/>
    </w:r>
    <w:r>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7C0B81" w:rsidRPr="00CA52A2" w:rsidRDefault="007C0B81" w:rsidP="00CA52A2">
        <w:pPr>
          <w:pStyle w:val="Footer"/>
        </w:pPr>
        <w:r w:rsidRPr="00CA52A2">
          <w:fldChar w:fldCharType="begin"/>
        </w:r>
        <w:r>
          <w:instrText xml:space="preserve"> PAGE   \* MERGEFORMAT </w:instrText>
        </w:r>
        <w:r w:rsidRPr="00CA52A2">
          <w:fldChar w:fldCharType="separate"/>
        </w:r>
        <w:r w:rsidR="00787149">
          <w:rPr>
            <w:noProof/>
          </w:rPr>
          <w:t>12-0</w:t>
        </w:r>
        <w:r w:rsidRPr="00CA52A2">
          <w:fldChar w:fldCharType="end"/>
        </w:r>
        <w:r w:rsidRPr="00CA52A2">
          <w:t xml:space="preserve">          Attachment </w:t>
        </w:r>
        <w:r>
          <w:t xml:space="preserve">12 </w:t>
        </w:r>
        <w:r w:rsidRPr="00CA52A2">
          <w:t xml:space="preserve">– </w:t>
        </w:r>
        <w:r>
          <w:t xml:space="preserve">Non-tariff components </w:t>
        </w:r>
        <w:r w:rsidRPr="00CA52A2">
          <w:t xml:space="preserve">| </w:t>
        </w:r>
        <w:r>
          <w:t>Final decision: ActewAGL Distribution Access Arrangement 2016</w:t>
        </w:r>
        <w:r w:rsidRPr="00CA52A2">
          <w:t>–</w:t>
        </w:r>
        <w:r>
          <w:t>21</w:t>
        </w:r>
      </w:p>
    </w:sdtContent>
  </w:sdt>
  <w:p w:rsidR="007C0B81" w:rsidRDefault="007C0B81">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B81" w:rsidRPr="00290C63" w:rsidRDefault="007C0B81" w:rsidP="00290C63">
      <w:r>
        <w:separator/>
      </w:r>
    </w:p>
    <w:p w:rsidR="007C0B81" w:rsidRDefault="007C0B81"/>
  </w:footnote>
  <w:footnote w:type="continuationSeparator" w:id="0">
    <w:p w:rsidR="007C0B81" w:rsidRPr="00290C63" w:rsidRDefault="007C0B81" w:rsidP="00290C63">
      <w:r>
        <w:continuationSeparator/>
      </w:r>
    </w:p>
    <w:p w:rsidR="007C0B81" w:rsidRDefault="007C0B81"/>
  </w:footnote>
  <w:footnote w:id="1">
    <w:p w:rsidR="007C0B81" w:rsidRDefault="007C0B81">
      <w:pPr>
        <w:pStyle w:val="FootnoteText"/>
      </w:pPr>
      <w:r>
        <w:rPr>
          <w:rStyle w:val="FootnoteReference"/>
        </w:rPr>
        <w:footnoteRef/>
      </w:r>
      <w:r>
        <w:t xml:space="preserve"> </w:t>
      </w:r>
      <w:r>
        <w:tab/>
        <w:t>NGR, r. 48(1</w:t>
      </w:r>
      <w:proofErr w:type="gramStart"/>
      <w:r>
        <w:t>)(</w:t>
      </w:r>
      <w:proofErr w:type="gramEnd"/>
      <w:r>
        <w:t>d)(ii).</w:t>
      </w:r>
    </w:p>
  </w:footnote>
  <w:footnote w:id="2">
    <w:p w:rsidR="007C0B81" w:rsidRDefault="007C0B81">
      <w:pPr>
        <w:pStyle w:val="FootnoteText"/>
      </w:pPr>
      <w:r>
        <w:rPr>
          <w:rStyle w:val="FootnoteReference"/>
        </w:rPr>
        <w:footnoteRef/>
      </w:r>
      <w:r>
        <w:t xml:space="preserve"> </w:t>
      </w:r>
      <w:r>
        <w:tab/>
        <w:t>With the exception that a service provider must comply with the queuing requirements in an applicable access arrangement: NGL, ss. 135 and 322.</w:t>
      </w:r>
    </w:p>
  </w:footnote>
  <w:footnote w:id="3">
    <w:p w:rsidR="007C0B81" w:rsidRDefault="007C0B81">
      <w:pPr>
        <w:pStyle w:val="FootnoteText"/>
      </w:pPr>
      <w:r>
        <w:rPr>
          <w:rStyle w:val="FootnoteReference"/>
        </w:rPr>
        <w:footnoteRef/>
      </w:r>
      <w:r>
        <w:t xml:space="preserve"> </w:t>
      </w:r>
      <w:r>
        <w:tab/>
      </w:r>
      <w:proofErr w:type="gramStart"/>
      <w:r>
        <w:t>NGL, s. 189.</w:t>
      </w:r>
      <w:proofErr w:type="gramEnd"/>
    </w:p>
  </w:footnote>
  <w:footnote w:id="4">
    <w:p w:rsidR="007C0B81" w:rsidRDefault="007C0B81">
      <w:pPr>
        <w:pStyle w:val="FootnoteText"/>
      </w:pPr>
      <w:r>
        <w:rPr>
          <w:rStyle w:val="FootnoteReference"/>
        </w:rPr>
        <w:footnoteRef/>
      </w:r>
      <w:r>
        <w:t xml:space="preserve"> </w:t>
      </w:r>
      <w:r>
        <w:tab/>
      </w:r>
      <w:proofErr w:type="gramStart"/>
      <w:r>
        <w:t>NGR, r.</w:t>
      </w:r>
      <w:r w:rsidR="00E14BF2">
        <w:t xml:space="preserve"> </w:t>
      </w:r>
      <w:r>
        <w:t>100.</w:t>
      </w:r>
      <w:proofErr w:type="gramEnd"/>
    </w:p>
  </w:footnote>
  <w:footnote w:id="5">
    <w:p w:rsidR="007C0B81" w:rsidRDefault="007C0B81">
      <w:pPr>
        <w:pStyle w:val="FootnoteText"/>
      </w:pPr>
      <w:r>
        <w:rPr>
          <w:rStyle w:val="FootnoteReference"/>
        </w:rPr>
        <w:footnoteRef/>
      </w:r>
      <w:r>
        <w:t xml:space="preserve"> </w:t>
      </w:r>
      <w:r>
        <w:tab/>
        <w:t xml:space="preserve">AEMO, </w:t>
      </w:r>
      <w:r w:rsidRPr="00C73CD4">
        <w:rPr>
          <w:rStyle w:val="AERtextitalic"/>
        </w:rPr>
        <w:t>Retail Market Procedures (NSW and ACT), version 14</w:t>
      </w:r>
      <w:r>
        <w:t>, 3 November 2014</w:t>
      </w:r>
    </w:p>
  </w:footnote>
  <w:footnote w:id="6">
    <w:p w:rsidR="007C0B81" w:rsidRDefault="007C0B81">
      <w:pPr>
        <w:pStyle w:val="FootnoteText"/>
      </w:pPr>
      <w:r>
        <w:rPr>
          <w:rStyle w:val="FootnoteReference"/>
        </w:rPr>
        <w:footnoteRef/>
      </w:r>
      <w:r>
        <w:t xml:space="preserve"> </w:t>
      </w:r>
      <w:r>
        <w:tab/>
      </w:r>
      <w:proofErr w:type="gramStart"/>
      <w:r>
        <w:t xml:space="preserve">AER, </w:t>
      </w:r>
      <w:r w:rsidRPr="00C73CD4">
        <w:rPr>
          <w:rStyle w:val="AERtextitalic"/>
        </w:rPr>
        <w:t>Draft Decision, ActewAGL Distribution Access Arrangement 2016 to 2021, Attachment 12 - Non-tariff components,</w:t>
      </w:r>
      <w:r>
        <w:t xml:space="preserve"> November 2015, section 12.1.3, p.</w:t>
      </w:r>
      <w:r w:rsidR="00CD332C">
        <w:t xml:space="preserve"> </w:t>
      </w:r>
      <w:r>
        <w:t>12</w:t>
      </w:r>
      <w:r w:rsidR="00CD332C">
        <w:t>-</w:t>
      </w:r>
      <w:r>
        <w:t>9.</w:t>
      </w:r>
      <w:proofErr w:type="gramEnd"/>
    </w:p>
  </w:footnote>
  <w:footnote w:id="7">
    <w:p w:rsidR="007C0B81" w:rsidRDefault="007C0B81" w:rsidP="00C53067">
      <w:pPr>
        <w:pStyle w:val="FootnoteText"/>
      </w:pPr>
      <w:r>
        <w:rPr>
          <w:rStyle w:val="FootnoteReference"/>
        </w:rPr>
        <w:footnoteRef/>
      </w:r>
      <w:r>
        <w:t xml:space="preserve"> </w:t>
      </w:r>
      <w:r>
        <w:tab/>
      </w:r>
      <w:proofErr w:type="gramStart"/>
      <w:r w:rsidRPr="00262CC2">
        <w:t xml:space="preserve">AER, </w:t>
      </w:r>
      <w:r w:rsidRPr="000747ED">
        <w:rPr>
          <w:rStyle w:val="AERtextitalic"/>
        </w:rPr>
        <w:t>Draft Decision, ActewAGL Distribution Access Arrangement 2016 to 2021, Attachment 12 - Non-tariff components</w:t>
      </w:r>
      <w:r w:rsidRPr="00262CC2">
        <w:t>, November 2015</w:t>
      </w:r>
      <w:r>
        <w:t>, section 12.1.3, p.</w:t>
      </w:r>
      <w:r w:rsidR="00CD332C">
        <w:t xml:space="preserve"> </w:t>
      </w:r>
      <w:r>
        <w:t>12</w:t>
      </w:r>
      <w:r w:rsidR="00CD332C">
        <w:t>-</w:t>
      </w:r>
      <w:r>
        <w:t>15.</w:t>
      </w:r>
      <w:proofErr w:type="gramEnd"/>
    </w:p>
  </w:footnote>
  <w:footnote w:id="8">
    <w:p w:rsidR="007C0B81" w:rsidRDefault="007C0B81" w:rsidP="00C53067">
      <w:pPr>
        <w:pStyle w:val="FootnoteText"/>
      </w:pPr>
      <w:r>
        <w:rPr>
          <w:rStyle w:val="FootnoteReference"/>
        </w:rPr>
        <w:footnoteRef/>
      </w:r>
      <w:r>
        <w:t xml:space="preserve"> </w:t>
      </w:r>
      <w:r>
        <w:tab/>
      </w:r>
      <w:r w:rsidRPr="00262CC2">
        <w:t xml:space="preserve">ActewAGL </w:t>
      </w:r>
      <w:r w:rsidRPr="000747ED">
        <w:rPr>
          <w:rStyle w:val="AERtextitalic"/>
        </w:rPr>
        <w:t>Revised 2016 –21 Access Arrangement Proposal, Response to AER's Draft Decision, January 2016, Appendix 13.02, Table of Amendments, Revised Reference Service Agreement</w:t>
      </w:r>
      <w:r>
        <w:t>, p. 2.</w:t>
      </w:r>
    </w:p>
  </w:footnote>
  <w:footnote w:id="9">
    <w:p w:rsidR="007C0B81" w:rsidRDefault="007C0B81" w:rsidP="00C53067">
      <w:pPr>
        <w:pStyle w:val="FootnoteText"/>
      </w:pPr>
      <w:r>
        <w:rPr>
          <w:rStyle w:val="FootnoteReference"/>
        </w:rPr>
        <w:footnoteRef/>
      </w:r>
      <w:r>
        <w:t xml:space="preserve"> </w:t>
      </w:r>
      <w:r>
        <w:tab/>
        <w:t xml:space="preserve">ActewAGL </w:t>
      </w:r>
      <w:r w:rsidRPr="00C74B8B">
        <w:rPr>
          <w:rStyle w:val="AERtextitalic"/>
        </w:rPr>
        <w:t>Revised 2016 –21 Access Arrangement Proposal, Response to AER's Draft Decision</w:t>
      </w:r>
      <w:r>
        <w:t xml:space="preserve">, January 2016, </w:t>
      </w:r>
      <w:r w:rsidRPr="00C74B8B">
        <w:rPr>
          <w:rStyle w:val="AERtextitalic"/>
        </w:rPr>
        <w:t>Appendix 13.02, Table of Amendments, Revised Reference Service Agreement</w:t>
      </w:r>
      <w:r w:rsidRPr="00262CC2">
        <w:t xml:space="preserve">, </w:t>
      </w:r>
      <w:r>
        <w:t>p. 2.</w:t>
      </w:r>
    </w:p>
  </w:footnote>
  <w:footnote w:id="10">
    <w:p w:rsidR="007C0B81" w:rsidRDefault="007C0B81" w:rsidP="00C53067">
      <w:pPr>
        <w:pStyle w:val="FootnoteText"/>
      </w:pPr>
      <w:r>
        <w:rPr>
          <w:rStyle w:val="FootnoteReference"/>
        </w:rPr>
        <w:footnoteRef/>
      </w:r>
      <w:r>
        <w:t xml:space="preserve">  </w:t>
      </w:r>
      <w:r>
        <w:tab/>
        <w:t xml:space="preserve">Origin </w:t>
      </w:r>
      <w:r w:rsidRPr="00C74B8B">
        <w:rPr>
          <w:rStyle w:val="AERtextitalic"/>
        </w:rPr>
        <w:t>Re: ActewAGL Revised Access Arrangement Proposal</w:t>
      </w:r>
      <w:r>
        <w:t>, 4 February 2016, p.</w:t>
      </w:r>
      <w:r w:rsidR="00CD332C">
        <w:t xml:space="preserve"> </w:t>
      </w:r>
      <w:r>
        <w:t>3.</w:t>
      </w:r>
    </w:p>
  </w:footnote>
  <w:footnote w:id="11">
    <w:p w:rsidR="007C0B81" w:rsidRDefault="007C0B81" w:rsidP="00C53067">
      <w:pPr>
        <w:pStyle w:val="FootnoteText"/>
      </w:pPr>
      <w:r>
        <w:rPr>
          <w:rStyle w:val="FootnoteReference"/>
        </w:rPr>
        <w:footnoteRef/>
      </w:r>
      <w:r>
        <w:t xml:space="preserve"> </w:t>
      </w:r>
      <w:r>
        <w:tab/>
        <w:t xml:space="preserve">ActewAGL, </w:t>
      </w:r>
      <w:r w:rsidRPr="00C74B8B">
        <w:rPr>
          <w:rStyle w:val="AERtextitalic"/>
        </w:rPr>
        <w:t xml:space="preserve">Reference Service Agreement submitted to AER on 6 January 2016, </w:t>
      </w:r>
      <w:proofErr w:type="spellStart"/>
      <w:r w:rsidRPr="00C74B8B">
        <w:rPr>
          <w:rStyle w:val="AERtextitalic"/>
        </w:rPr>
        <w:t>ActewAGL's</w:t>
      </w:r>
      <w:proofErr w:type="spellEnd"/>
      <w:r w:rsidRPr="00C74B8B">
        <w:rPr>
          <w:rStyle w:val="AERtextitalic"/>
        </w:rPr>
        <w:t xml:space="preserve"> Gas Distribution Network, 1 July 2016–30 June 2021</w:t>
      </w:r>
      <w:r>
        <w:t>, cl.</w:t>
      </w:r>
      <w:r w:rsidR="00CD332C">
        <w:t xml:space="preserve"> </w:t>
      </w:r>
      <w:r>
        <w:t>11.4(g).</w:t>
      </w:r>
    </w:p>
  </w:footnote>
  <w:footnote w:id="12">
    <w:p w:rsidR="007C0B81" w:rsidRDefault="007C0B81">
      <w:pPr>
        <w:pStyle w:val="FootnoteText"/>
      </w:pPr>
      <w:r>
        <w:rPr>
          <w:rStyle w:val="FootnoteReference"/>
        </w:rPr>
        <w:footnoteRef/>
      </w:r>
      <w:r>
        <w:t xml:space="preserve"> </w:t>
      </w:r>
      <w:r>
        <w:tab/>
      </w:r>
      <w:proofErr w:type="gramStart"/>
      <w:r w:rsidRPr="00262CC2">
        <w:t xml:space="preserve">AER, </w:t>
      </w:r>
      <w:r w:rsidRPr="009933EE">
        <w:rPr>
          <w:rStyle w:val="AERtextitalic"/>
        </w:rPr>
        <w:t>Draft Decision, ActewAGL Distribution Access Arrangement 2016 to 2021, Attachment 12 - Non-tariff components</w:t>
      </w:r>
      <w:r w:rsidRPr="00262CC2">
        <w:t>, November 2015</w:t>
      </w:r>
      <w:r>
        <w:t>, section 12.1.3, p.</w:t>
      </w:r>
      <w:r w:rsidR="00CD332C">
        <w:t xml:space="preserve"> </w:t>
      </w:r>
      <w:r>
        <w:t>12</w:t>
      </w:r>
      <w:r w:rsidR="00CD332C">
        <w:t>-</w:t>
      </w:r>
      <w:r>
        <w:t>11.</w:t>
      </w:r>
      <w:proofErr w:type="gramEnd"/>
    </w:p>
  </w:footnote>
  <w:footnote w:id="13">
    <w:p w:rsidR="007C0B81" w:rsidRDefault="007C0B81" w:rsidP="00060158">
      <w:pPr>
        <w:pStyle w:val="FootnoteText"/>
      </w:pPr>
      <w:r>
        <w:rPr>
          <w:rStyle w:val="FootnoteReference"/>
        </w:rPr>
        <w:footnoteRef/>
      </w:r>
      <w:r>
        <w:t xml:space="preserve"> </w:t>
      </w:r>
      <w:r>
        <w:tab/>
        <w:t>NGR, r. 48(1</w:t>
      </w:r>
      <w:proofErr w:type="gramStart"/>
      <w:r>
        <w:t>)(</w:t>
      </w:r>
      <w:proofErr w:type="gramEnd"/>
      <w:r>
        <w:t>g) for full access arrangements.</w:t>
      </w:r>
    </w:p>
  </w:footnote>
  <w:footnote w:id="14">
    <w:p w:rsidR="007C0B81" w:rsidRDefault="007C0B81" w:rsidP="00060158">
      <w:pPr>
        <w:pStyle w:val="FootnoteText"/>
      </w:pPr>
      <w:r>
        <w:rPr>
          <w:rStyle w:val="FootnoteReference"/>
        </w:rPr>
        <w:footnoteRef/>
      </w:r>
      <w:r>
        <w:t xml:space="preserve"> </w:t>
      </w:r>
      <w:r>
        <w:tab/>
      </w:r>
      <w:proofErr w:type="gramStart"/>
      <w:r>
        <w:t xml:space="preserve">ActewAGL, </w:t>
      </w:r>
      <w:r w:rsidRPr="009933EE">
        <w:rPr>
          <w:rStyle w:val="AERtextitalic"/>
        </w:rPr>
        <w:t xml:space="preserve">Access Arrangement for the ACT, Queanbeyan and </w:t>
      </w:r>
      <w:proofErr w:type="spellStart"/>
      <w:r w:rsidRPr="009933EE">
        <w:rPr>
          <w:rStyle w:val="AERtextitalic"/>
        </w:rPr>
        <w:t>Palerang</w:t>
      </w:r>
      <w:proofErr w:type="spellEnd"/>
      <w:r w:rsidRPr="009933EE">
        <w:rPr>
          <w:rStyle w:val="AERtextitalic"/>
        </w:rPr>
        <w:t xml:space="preserve"> Gas Distribution Networks, 1 July 2016–30 June 2021</w:t>
      </w:r>
      <w:r>
        <w:t>, January 2016, cl.</w:t>
      </w:r>
      <w:r w:rsidR="00CD332C">
        <w:t xml:space="preserve"> </w:t>
      </w:r>
      <w:r>
        <w:t>9.</w:t>
      </w:r>
      <w:proofErr w:type="gramEnd"/>
    </w:p>
  </w:footnote>
  <w:footnote w:id="15">
    <w:p w:rsidR="007C0B81" w:rsidRDefault="007C0B81" w:rsidP="00060158">
      <w:pPr>
        <w:pStyle w:val="FootnoteText"/>
      </w:pPr>
      <w:r>
        <w:rPr>
          <w:rStyle w:val="FootnoteReference"/>
        </w:rPr>
        <w:footnoteRef/>
      </w:r>
      <w:r>
        <w:t xml:space="preserve"> </w:t>
      </w:r>
      <w:r>
        <w:tab/>
      </w:r>
      <w:r w:rsidRPr="00262CC2">
        <w:t xml:space="preserve">AER, </w:t>
      </w:r>
      <w:r w:rsidRPr="009933EE">
        <w:rPr>
          <w:rStyle w:val="AERtextitalic"/>
        </w:rPr>
        <w:t>Draft Decision, ActewAGL Distribution Access Arrangement 2016 to 2021, Attachment 12 - Non-tariff components</w:t>
      </w:r>
      <w:r w:rsidRPr="00262CC2">
        <w:t>, November 2015</w:t>
      </w:r>
      <w:r>
        <w:t>, section 12.3, p.12–22.</w:t>
      </w:r>
    </w:p>
  </w:footnote>
  <w:footnote w:id="16">
    <w:p w:rsidR="007C0B81" w:rsidRDefault="007C0B81" w:rsidP="00060158">
      <w:pPr>
        <w:pStyle w:val="FootnoteText"/>
      </w:pPr>
      <w:r>
        <w:rPr>
          <w:rStyle w:val="FootnoteReference"/>
        </w:rPr>
        <w:footnoteRef/>
      </w:r>
      <w:r>
        <w:t xml:space="preserve"> </w:t>
      </w:r>
      <w:r>
        <w:tab/>
      </w:r>
      <w:r w:rsidRPr="00262CC2">
        <w:t xml:space="preserve">AER, </w:t>
      </w:r>
      <w:r w:rsidRPr="00C74B8B">
        <w:rPr>
          <w:rStyle w:val="AERtextitalic"/>
        </w:rPr>
        <w:t>Draft Decision, ActewAGL Distribution Access Arrangement 2016 to 2021, Attachment 12 - Non-tariff components</w:t>
      </w:r>
      <w:r w:rsidRPr="00262CC2">
        <w:t>, November 2015</w:t>
      </w:r>
      <w:r>
        <w:t>, section 12.2, p.12</w:t>
      </w:r>
      <w:r w:rsidR="00E14BF2">
        <w:t>-</w:t>
      </w:r>
      <w:r>
        <w:t>21.</w:t>
      </w:r>
      <w:r>
        <w:tab/>
      </w:r>
    </w:p>
  </w:footnote>
  <w:footnote w:id="17">
    <w:p w:rsidR="007C0B81" w:rsidRDefault="007C0B81">
      <w:pPr>
        <w:pStyle w:val="FootnoteText"/>
      </w:pPr>
      <w:r>
        <w:rPr>
          <w:rStyle w:val="FootnoteReference"/>
        </w:rPr>
        <w:footnoteRef/>
      </w:r>
      <w:r>
        <w:t xml:space="preserve"> </w:t>
      </w:r>
      <w:r>
        <w:tab/>
      </w:r>
      <w:proofErr w:type="gramStart"/>
      <w:r w:rsidRPr="00490D28">
        <w:t xml:space="preserve">ActewAGL, </w:t>
      </w:r>
      <w:r w:rsidRPr="00C74B8B">
        <w:rPr>
          <w:rStyle w:val="AERtextitalic"/>
        </w:rPr>
        <w:t xml:space="preserve">Access Arrangement for the ACT, Queanbeyan and </w:t>
      </w:r>
      <w:proofErr w:type="spellStart"/>
      <w:r w:rsidRPr="00C74B8B">
        <w:rPr>
          <w:rStyle w:val="AERtextitalic"/>
        </w:rPr>
        <w:t>Palerang</w:t>
      </w:r>
      <w:proofErr w:type="spellEnd"/>
      <w:r w:rsidRPr="00C74B8B">
        <w:rPr>
          <w:rStyle w:val="AERtextitalic"/>
        </w:rPr>
        <w:t xml:space="preserve"> Gas Distribution Networks, 1 July 2016–30 June 2021</w:t>
      </w:r>
      <w:r w:rsidRPr="00490D28">
        <w:t>, January 2016</w:t>
      </w:r>
      <w:r>
        <w:t>, cl. 9.1.</w:t>
      </w:r>
      <w:proofErr w:type="gramEnd"/>
    </w:p>
  </w:footnote>
  <w:footnote w:id="18">
    <w:p w:rsidR="007C0B81" w:rsidRDefault="007C0B81">
      <w:pPr>
        <w:pStyle w:val="FootnoteText"/>
      </w:pPr>
      <w:r>
        <w:rPr>
          <w:rStyle w:val="FootnoteReference"/>
        </w:rPr>
        <w:footnoteRef/>
      </w:r>
      <w:r>
        <w:t xml:space="preserve"> </w:t>
      </w:r>
      <w:r>
        <w:tab/>
      </w:r>
      <w:r w:rsidRPr="00262CC2">
        <w:t xml:space="preserve">AER, </w:t>
      </w:r>
      <w:r w:rsidRPr="00C74B8B">
        <w:rPr>
          <w:rStyle w:val="AERtextitalic"/>
        </w:rPr>
        <w:t>Draft Decision, ActewAGL Distribution Access Arrangement 2016 to 2021, Attachment 12 - Non-tariff components</w:t>
      </w:r>
      <w:r w:rsidRPr="00262CC2">
        <w:t>, November 2015</w:t>
      </w:r>
      <w:r>
        <w:t>, p.</w:t>
      </w:r>
      <w:r w:rsidR="00CD332C">
        <w:t xml:space="preserve"> </w:t>
      </w:r>
      <w:r>
        <w:t>12-22.</w:t>
      </w:r>
    </w:p>
  </w:footnote>
  <w:footnote w:id="19">
    <w:p w:rsidR="007C0B81" w:rsidRDefault="007C0B81">
      <w:pPr>
        <w:pStyle w:val="FootnoteText"/>
      </w:pPr>
      <w:r>
        <w:rPr>
          <w:rStyle w:val="FootnoteReference"/>
        </w:rPr>
        <w:footnoteRef/>
      </w:r>
      <w:r>
        <w:t xml:space="preserve"> </w:t>
      </w:r>
      <w:r>
        <w:tab/>
      </w:r>
      <w:r w:rsidRPr="00490D28">
        <w:t xml:space="preserve">ActewAGL </w:t>
      </w:r>
      <w:r w:rsidRPr="00C74B8B">
        <w:rPr>
          <w:rStyle w:val="AERtextitalic"/>
        </w:rPr>
        <w:t>Revised 2016 –21 Access Arrangement Proposal, Response to AER's Draft Decision</w:t>
      </w:r>
      <w:r w:rsidRPr="00490D28">
        <w:t>, January 2016, Appendix 13.02</w:t>
      </w:r>
      <w:r>
        <w:t>, p.</w:t>
      </w:r>
      <w:r w:rsidR="00CD332C">
        <w:t xml:space="preserve"> </w:t>
      </w:r>
      <w:r>
        <w:t>142.</w:t>
      </w:r>
    </w:p>
  </w:footnote>
  <w:footnote w:id="20">
    <w:p w:rsidR="007C0B81" w:rsidRDefault="007C0B81">
      <w:pPr>
        <w:pStyle w:val="FootnoteText"/>
      </w:pPr>
      <w:r>
        <w:rPr>
          <w:rStyle w:val="FootnoteReference"/>
        </w:rPr>
        <w:footnoteRef/>
      </w:r>
      <w:r>
        <w:t xml:space="preserve"> </w:t>
      </w:r>
      <w:r>
        <w:tab/>
        <w:t xml:space="preserve">AER, </w:t>
      </w:r>
      <w:r w:rsidRPr="005574E1">
        <w:rPr>
          <w:rStyle w:val="AERtextitalic"/>
        </w:rPr>
        <w:t xml:space="preserve">Final Decision - Access Arrangement for ACT, Queanbeyan and </w:t>
      </w:r>
      <w:proofErr w:type="spellStart"/>
      <w:r w:rsidRPr="005574E1">
        <w:rPr>
          <w:rStyle w:val="AERtextitalic"/>
        </w:rPr>
        <w:t>Palerang</w:t>
      </w:r>
      <w:proofErr w:type="spellEnd"/>
      <w:r w:rsidRPr="005574E1">
        <w:rPr>
          <w:rStyle w:val="AERtextitalic"/>
        </w:rPr>
        <w:t xml:space="preserve"> Gas Network 2010 - 2015</w:t>
      </w:r>
      <w:r>
        <w:t>, p. 128.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B81" w:rsidRDefault="00787149">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2058"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7C0B81">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B81" w:rsidRDefault="00787149">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2057"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9297983"/>
    <w:multiLevelType w:val="hybridMultilevel"/>
    <w:tmpl w:val="EC588A9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6">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7">
    <w:nsid w:val="304748E3"/>
    <w:multiLevelType w:val="hybridMultilevel"/>
    <w:tmpl w:val="89CA91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1AA058E"/>
    <w:multiLevelType w:val="hybridMultilevel"/>
    <w:tmpl w:val="3C70101E"/>
    <w:lvl w:ilvl="0" w:tplc="B336B1FC">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Symbol"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Symbol"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Symbol" w:hint="default"/>
      </w:rPr>
    </w:lvl>
    <w:lvl w:ilvl="8" w:tplc="0C090005" w:tentative="1">
      <w:start w:val="1"/>
      <w:numFmt w:val="bullet"/>
      <w:lvlText w:val=""/>
      <w:lvlJc w:val="left"/>
      <w:pPr>
        <w:ind w:left="6837" w:hanging="360"/>
      </w:pPr>
      <w:rPr>
        <w:rFonts w:ascii="Wingdings" w:hAnsi="Wingdings" w:hint="default"/>
      </w:rPr>
    </w:lvl>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1F634E4"/>
    <w:multiLevelType w:val="hybridMultilevel"/>
    <w:tmpl w:val="8788FC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6">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8">
    <w:nsid w:val="5ECE4384"/>
    <w:multiLevelType w:val="multilevel"/>
    <w:tmpl w:val="619AC9DE"/>
    <w:lvl w:ilvl="0">
      <w:start w:val="1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0">
    <w:nsid w:val="70CE5AAD"/>
    <w:multiLevelType w:val="hybridMultilevel"/>
    <w:tmpl w:val="68E0DB9A"/>
    <w:lvl w:ilvl="0" w:tplc="5BB483B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9837B66"/>
    <w:multiLevelType w:val="hybridMultilevel"/>
    <w:tmpl w:val="94DE9F06"/>
    <w:lvl w:ilvl="0" w:tplc="0C09000F">
      <w:start w:val="1"/>
      <w:numFmt w:val="decimal"/>
      <w:lvlText w:val="%1."/>
      <w:lvlJc w:val="left"/>
      <w:pPr>
        <w:ind w:left="700" w:hanging="360"/>
      </w:p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33">
    <w:nsid w:val="7E2819EC"/>
    <w:multiLevelType w:val="multilevel"/>
    <w:tmpl w:val="1250F310"/>
    <w:lvl w:ilvl="0">
      <w:start w:val="1"/>
      <w:numFmt w:val="bullet"/>
      <w:pStyle w:val="AERbulletlistfirststyle"/>
      <w:lvlText w:val=""/>
      <w:lvlJc w:val="left"/>
      <w:pPr>
        <w:ind w:left="644"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3"/>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20"/>
  </w:num>
  <w:num w:numId="14">
    <w:abstractNumId w:val="10"/>
  </w:num>
  <w:num w:numId="15">
    <w:abstractNumId w:val="13"/>
  </w:num>
  <w:num w:numId="16">
    <w:abstractNumId w:val="23"/>
  </w:num>
  <w:num w:numId="17">
    <w:abstractNumId w:val="9"/>
  </w:num>
  <w:num w:numId="18">
    <w:abstractNumId w:val="15"/>
  </w:num>
  <w:num w:numId="19">
    <w:abstractNumId w:val="24"/>
  </w:num>
  <w:num w:numId="20">
    <w:abstractNumId w:val="31"/>
  </w:num>
  <w:num w:numId="21">
    <w:abstractNumId w:val="27"/>
  </w:num>
  <w:num w:numId="22">
    <w:abstractNumId w:val="25"/>
  </w:num>
  <w:num w:numId="23">
    <w:abstractNumId w:val="16"/>
  </w:num>
  <w:num w:numId="24">
    <w:abstractNumId w:val="26"/>
  </w:num>
  <w:num w:numId="25">
    <w:abstractNumId w:val="28"/>
  </w:num>
  <w:num w:numId="26">
    <w:abstractNumId w:val="19"/>
  </w:num>
  <w:num w:numId="27">
    <w:abstractNumId w:val="14"/>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8"/>
  </w:num>
  <w:num w:numId="31">
    <w:abstractNumId w:val="17"/>
  </w:num>
  <w:num w:numId="32">
    <w:abstractNumId w:val="22"/>
  </w:num>
  <w:num w:numId="33">
    <w:abstractNumId w:val="32"/>
  </w:num>
  <w:num w:numId="34">
    <w:abstractNumId w:val="12"/>
  </w:num>
  <w:num w:numId="35">
    <w:abstractNumId w:val="8"/>
    <w:lvlOverride w:ilvl="0">
      <w:startOverride w:val="1"/>
    </w:lvlOverride>
  </w:num>
  <w:num w:numId="36">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revisionView w:markup="0"/>
  <w:documentProtection w:formatting="1" w:enforcement="0"/>
  <w:defaultTabStop w:val="34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568\AER15 4321  AER - Final decision Amadeus Gas Pipeline Access Arrangement - Attachment 12 - Non-tariff components - April 2016.DOCX"/>
  </w:docVars>
  <w:rsids>
    <w:rsidRoot w:val="00961A4A"/>
    <w:rsid w:val="00004633"/>
    <w:rsid w:val="00010286"/>
    <w:rsid w:val="000150D1"/>
    <w:rsid w:val="00021202"/>
    <w:rsid w:val="00021C2B"/>
    <w:rsid w:val="0002517F"/>
    <w:rsid w:val="00026495"/>
    <w:rsid w:val="00031390"/>
    <w:rsid w:val="0003578C"/>
    <w:rsid w:val="000401AF"/>
    <w:rsid w:val="000402D9"/>
    <w:rsid w:val="00041DDA"/>
    <w:rsid w:val="000436B4"/>
    <w:rsid w:val="00044926"/>
    <w:rsid w:val="00060158"/>
    <w:rsid w:val="00060305"/>
    <w:rsid w:val="00063247"/>
    <w:rsid w:val="00063A92"/>
    <w:rsid w:val="00070F9F"/>
    <w:rsid w:val="0007137B"/>
    <w:rsid w:val="000747ED"/>
    <w:rsid w:val="000806D0"/>
    <w:rsid w:val="00084DF4"/>
    <w:rsid w:val="00085663"/>
    <w:rsid w:val="00085EBF"/>
    <w:rsid w:val="00085F93"/>
    <w:rsid w:val="00091B15"/>
    <w:rsid w:val="000A0C5C"/>
    <w:rsid w:val="000A1E7C"/>
    <w:rsid w:val="000A3020"/>
    <w:rsid w:val="000A45DD"/>
    <w:rsid w:val="000A50C3"/>
    <w:rsid w:val="000A6C7B"/>
    <w:rsid w:val="000A6E81"/>
    <w:rsid w:val="000B0360"/>
    <w:rsid w:val="000B3F60"/>
    <w:rsid w:val="000C2B40"/>
    <w:rsid w:val="000C335E"/>
    <w:rsid w:val="000D01F4"/>
    <w:rsid w:val="000D06C1"/>
    <w:rsid w:val="000D122C"/>
    <w:rsid w:val="000D3016"/>
    <w:rsid w:val="000D3336"/>
    <w:rsid w:val="000D4B61"/>
    <w:rsid w:val="000D5B96"/>
    <w:rsid w:val="000D64F2"/>
    <w:rsid w:val="000D6CDC"/>
    <w:rsid w:val="000D7F32"/>
    <w:rsid w:val="000D7F3D"/>
    <w:rsid w:val="000E1819"/>
    <w:rsid w:val="000E4821"/>
    <w:rsid w:val="000E5BF1"/>
    <w:rsid w:val="000E6C72"/>
    <w:rsid w:val="000F0B2B"/>
    <w:rsid w:val="000F3E72"/>
    <w:rsid w:val="000F48B1"/>
    <w:rsid w:val="000F723D"/>
    <w:rsid w:val="00103A67"/>
    <w:rsid w:val="00113B25"/>
    <w:rsid w:val="001167DB"/>
    <w:rsid w:val="00116EB2"/>
    <w:rsid w:val="00124609"/>
    <w:rsid w:val="00126A4C"/>
    <w:rsid w:val="00142AB6"/>
    <w:rsid w:val="00143296"/>
    <w:rsid w:val="0014573B"/>
    <w:rsid w:val="00147E70"/>
    <w:rsid w:val="001523F1"/>
    <w:rsid w:val="00156DCC"/>
    <w:rsid w:val="001573E4"/>
    <w:rsid w:val="001604D8"/>
    <w:rsid w:val="00160756"/>
    <w:rsid w:val="001646DA"/>
    <w:rsid w:val="0017232E"/>
    <w:rsid w:val="00174102"/>
    <w:rsid w:val="0017480F"/>
    <w:rsid w:val="001754EE"/>
    <w:rsid w:val="00180157"/>
    <w:rsid w:val="00181A34"/>
    <w:rsid w:val="00182467"/>
    <w:rsid w:val="00185C32"/>
    <w:rsid w:val="00185CB9"/>
    <w:rsid w:val="00186F77"/>
    <w:rsid w:val="001906EC"/>
    <w:rsid w:val="00191347"/>
    <w:rsid w:val="001926A4"/>
    <w:rsid w:val="00192AD5"/>
    <w:rsid w:val="001A5E21"/>
    <w:rsid w:val="001B2A36"/>
    <w:rsid w:val="001B3F62"/>
    <w:rsid w:val="001B45A0"/>
    <w:rsid w:val="001B45C0"/>
    <w:rsid w:val="001B4737"/>
    <w:rsid w:val="001B6F2E"/>
    <w:rsid w:val="001B7D00"/>
    <w:rsid w:val="001C17E7"/>
    <w:rsid w:val="001C3DA5"/>
    <w:rsid w:val="001D055E"/>
    <w:rsid w:val="001D312D"/>
    <w:rsid w:val="001D426A"/>
    <w:rsid w:val="001D5E86"/>
    <w:rsid w:val="001E009C"/>
    <w:rsid w:val="001E4009"/>
    <w:rsid w:val="001E422E"/>
    <w:rsid w:val="001E5FE2"/>
    <w:rsid w:val="001F05A4"/>
    <w:rsid w:val="001F1648"/>
    <w:rsid w:val="001F492E"/>
    <w:rsid w:val="001F6DA3"/>
    <w:rsid w:val="002010BC"/>
    <w:rsid w:val="002016E7"/>
    <w:rsid w:val="00201F98"/>
    <w:rsid w:val="00202E03"/>
    <w:rsid w:val="0020478D"/>
    <w:rsid w:val="0020492C"/>
    <w:rsid w:val="00205A33"/>
    <w:rsid w:val="00217D7C"/>
    <w:rsid w:val="0022444D"/>
    <w:rsid w:val="00224DB9"/>
    <w:rsid w:val="00227DCE"/>
    <w:rsid w:val="00231584"/>
    <w:rsid w:val="0023276C"/>
    <w:rsid w:val="00233540"/>
    <w:rsid w:val="00233775"/>
    <w:rsid w:val="002426CA"/>
    <w:rsid w:val="00251745"/>
    <w:rsid w:val="00252CDB"/>
    <w:rsid w:val="00262CC2"/>
    <w:rsid w:val="00263AC0"/>
    <w:rsid w:val="00264264"/>
    <w:rsid w:val="00264722"/>
    <w:rsid w:val="0026772D"/>
    <w:rsid w:val="00277554"/>
    <w:rsid w:val="002800C0"/>
    <w:rsid w:val="002808C1"/>
    <w:rsid w:val="00280C16"/>
    <w:rsid w:val="00286874"/>
    <w:rsid w:val="00290C63"/>
    <w:rsid w:val="00296B65"/>
    <w:rsid w:val="0029724D"/>
    <w:rsid w:val="002A35B2"/>
    <w:rsid w:val="002A6688"/>
    <w:rsid w:val="002A7DEF"/>
    <w:rsid w:val="002B1003"/>
    <w:rsid w:val="002B573C"/>
    <w:rsid w:val="002C233C"/>
    <w:rsid w:val="002C6124"/>
    <w:rsid w:val="002D72E8"/>
    <w:rsid w:val="002E0341"/>
    <w:rsid w:val="002E3D50"/>
    <w:rsid w:val="002E6948"/>
    <w:rsid w:val="002E7B22"/>
    <w:rsid w:val="002F5DA6"/>
    <w:rsid w:val="002F78C7"/>
    <w:rsid w:val="002F7986"/>
    <w:rsid w:val="00301B40"/>
    <w:rsid w:val="003029A5"/>
    <w:rsid w:val="003029EE"/>
    <w:rsid w:val="0030370B"/>
    <w:rsid w:val="00305CC8"/>
    <w:rsid w:val="00307F6D"/>
    <w:rsid w:val="003130C9"/>
    <w:rsid w:val="00313CE0"/>
    <w:rsid w:val="003177A2"/>
    <w:rsid w:val="00320869"/>
    <w:rsid w:val="00320F1F"/>
    <w:rsid w:val="00323636"/>
    <w:rsid w:val="00326B1D"/>
    <w:rsid w:val="003271B5"/>
    <w:rsid w:val="00327A1E"/>
    <w:rsid w:val="00331264"/>
    <w:rsid w:val="003338A2"/>
    <w:rsid w:val="00334C8D"/>
    <w:rsid w:val="00335109"/>
    <w:rsid w:val="0033548E"/>
    <w:rsid w:val="00343A18"/>
    <w:rsid w:val="003441E2"/>
    <w:rsid w:val="00344473"/>
    <w:rsid w:val="00344D08"/>
    <w:rsid w:val="003457F9"/>
    <w:rsid w:val="00347114"/>
    <w:rsid w:val="003518B3"/>
    <w:rsid w:val="00356254"/>
    <w:rsid w:val="003578CD"/>
    <w:rsid w:val="003641C9"/>
    <w:rsid w:val="003666F2"/>
    <w:rsid w:val="003717D8"/>
    <w:rsid w:val="003846F1"/>
    <w:rsid w:val="003903D4"/>
    <w:rsid w:val="00391BF0"/>
    <w:rsid w:val="003931A7"/>
    <w:rsid w:val="00393646"/>
    <w:rsid w:val="00393BCE"/>
    <w:rsid w:val="003B484F"/>
    <w:rsid w:val="003B7FBA"/>
    <w:rsid w:val="003D6050"/>
    <w:rsid w:val="003E3771"/>
    <w:rsid w:val="003F022E"/>
    <w:rsid w:val="003F174D"/>
    <w:rsid w:val="003F572D"/>
    <w:rsid w:val="003F7442"/>
    <w:rsid w:val="00400FAD"/>
    <w:rsid w:val="00405B6A"/>
    <w:rsid w:val="00415F31"/>
    <w:rsid w:val="0042205D"/>
    <w:rsid w:val="00423A77"/>
    <w:rsid w:val="00430FEF"/>
    <w:rsid w:val="00432DAC"/>
    <w:rsid w:val="00436ECD"/>
    <w:rsid w:val="00444203"/>
    <w:rsid w:val="004475CD"/>
    <w:rsid w:val="00452473"/>
    <w:rsid w:val="0045777E"/>
    <w:rsid w:val="004608B6"/>
    <w:rsid w:val="00461B0F"/>
    <w:rsid w:val="00461C29"/>
    <w:rsid w:val="004639DF"/>
    <w:rsid w:val="004667DA"/>
    <w:rsid w:val="00466D12"/>
    <w:rsid w:val="00473868"/>
    <w:rsid w:val="00474EC7"/>
    <w:rsid w:val="00480B4B"/>
    <w:rsid w:val="004837B4"/>
    <w:rsid w:val="00485DC4"/>
    <w:rsid w:val="00490D28"/>
    <w:rsid w:val="004A0A5E"/>
    <w:rsid w:val="004A3A84"/>
    <w:rsid w:val="004A43D1"/>
    <w:rsid w:val="004B355D"/>
    <w:rsid w:val="004B4412"/>
    <w:rsid w:val="004C0C43"/>
    <w:rsid w:val="004C3001"/>
    <w:rsid w:val="004C348C"/>
    <w:rsid w:val="004C407B"/>
    <w:rsid w:val="004C6A30"/>
    <w:rsid w:val="004D1A96"/>
    <w:rsid w:val="004D55BA"/>
    <w:rsid w:val="004E22EC"/>
    <w:rsid w:val="004E2A4C"/>
    <w:rsid w:val="004F2269"/>
    <w:rsid w:val="004F6A0E"/>
    <w:rsid w:val="005070F4"/>
    <w:rsid w:val="00510879"/>
    <w:rsid w:val="0051330C"/>
    <w:rsid w:val="00530128"/>
    <w:rsid w:val="00532467"/>
    <w:rsid w:val="00537FD6"/>
    <w:rsid w:val="00545743"/>
    <w:rsid w:val="005564BB"/>
    <w:rsid w:val="005574E1"/>
    <w:rsid w:val="00564A4D"/>
    <w:rsid w:val="0056588A"/>
    <w:rsid w:val="00565E4A"/>
    <w:rsid w:val="00567BA5"/>
    <w:rsid w:val="00571B35"/>
    <w:rsid w:val="00571D57"/>
    <w:rsid w:val="005741D2"/>
    <w:rsid w:val="00577A09"/>
    <w:rsid w:val="005829C2"/>
    <w:rsid w:val="00582C2F"/>
    <w:rsid w:val="00584D8F"/>
    <w:rsid w:val="00585A4E"/>
    <w:rsid w:val="00586819"/>
    <w:rsid w:val="00587BC4"/>
    <w:rsid w:val="00592313"/>
    <w:rsid w:val="0059704C"/>
    <w:rsid w:val="005970F6"/>
    <w:rsid w:val="005A404D"/>
    <w:rsid w:val="005B1E3C"/>
    <w:rsid w:val="005B3FB7"/>
    <w:rsid w:val="005B4D33"/>
    <w:rsid w:val="005B6A07"/>
    <w:rsid w:val="005B704A"/>
    <w:rsid w:val="005C0A7F"/>
    <w:rsid w:val="005C26CC"/>
    <w:rsid w:val="005C4C9C"/>
    <w:rsid w:val="005C6218"/>
    <w:rsid w:val="005D7BA2"/>
    <w:rsid w:val="005E36C2"/>
    <w:rsid w:val="005F0183"/>
    <w:rsid w:val="005F727F"/>
    <w:rsid w:val="006007DE"/>
    <w:rsid w:val="00601136"/>
    <w:rsid w:val="00601638"/>
    <w:rsid w:val="006016A5"/>
    <w:rsid w:val="00610EF9"/>
    <w:rsid w:val="006110DF"/>
    <w:rsid w:val="00612F4F"/>
    <w:rsid w:val="00615C6B"/>
    <w:rsid w:val="00615CC4"/>
    <w:rsid w:val="00620DC3"/>
    <w:rsid w:val="00621DCE"/>
    <w:rsid w:val="006247D6"/>
    <w:rsid w:val="006279C2"/>
    <w:rsid w:val="00632D6D"/>
    <w:rsid w:val="00640812"/>
    <w:rsid w:val="00642C3E"/>
    <w:rsid w:val="00643525"/>
    <w:rsid w:val="00646ACD"/>
    <w:rsid w:val="00651C3A"/>
    <w:rsid w:val="00651CB2"/>
    <w:rsid w:val="006560CA"/>
    <w:rsid w:val="0066104A"/>
    <w:rsid w:val="00663DAD"/>
    <w:rsid w:val="00665649"/>
    <w:rsid w:val="00666E20"/>
    <w:rsid w:val="006672AA"/>
    <w:rsid w:val="006720FC"/>
    <w:rsid w:val="00675E20"/>
    <w:rsid w:val="00676679"/>
    <w:rsid w:val="006812E7"/>
    <w:rsid w:val="00683C89"/>
    <w:rsid w:val="00684C16"/>
    <w:rsid w:val="00685075"/>
    <w:rsid w:val="00691D9A"/>
    <w:rsid w:val="006A7CB9"/>
    <w:rsid w:val="006A7D76"/>
    <w:rsid w:val="006B0A0B"/>
    <w:rsid w:val="006B2395"/>
    <w:rsid w:val="006B2585"/>
    <w:rsid w:val="006B3F0A"/>
    <w:rsid w:val="006B45A4"/>
    <w:rsid w:val="006B4CF9"/>
    <w:rsid w:val="006B785B"/>
    <w:rsid w:val="006B7AC8"/>
    <w:rsid w:val="006C1736"/>
    <w:rsid w:val="006C4798"/>
    <w:rsid w:val="006C6A41"/>
    <w:rsid w:val="006C774D"/>
    <w:rsid w:val="006D22F2"/>
    <w:rsid w:val="006D3813"/>
    <w:rsid w:val="006D550F"/>
    <w:rsid w:val="006E00FC"/>
    <w:rsid w:val="006E3F76"/>
    <w:rsid w:val="006E57B5"/>
    <w:rsid w:val="006E6400"/>
    <w:rsid w:val="006F1F83"/>
    <w:rsid w:val="006F3AD1"/>
    <w:rsid w:val="006F3FC8"/>
    <w:rsid w:val="006F5F63"/>
    <w:rsid w:val="006F6183"/>
    <w:rsid w:val="0070011E"/>
    <w:rsid w:val="00701CAB"/>
    <w:rsid w:val="00707563"/>
    <w:rsid w:val="007100EF"/>
    <w:rsid w:val="0071553C"/>
    <w:rsid w:val="0072348C"/>
    <w:rsid w:val="00724A37"/>
    <w:rsid w:val="00727BFB"/>
    <w:rsid w:val="007303C3"/>
    <w:rsid w:val="007313B6"/>
    <w:rsid w:val="007315C3"/>
    <w:rsid w:val="00741C46"/>
    <w:rsid w:val="00741E23"/>
    <w:rsid w:val="007429BE"/>
    <w:rsid w:val="00743223"/>
    <w:rsid w:val="0074437F"/>
    <w:rsid w:val="00746E01"/>
    <w:rsid w:val="00747EEA"/>
    <w:rsid w:val="00752C8D"/>
    <w:rsid w:val="00754B10"/>
    <w:rsid w:val="00755402"/>
    <w:rsid w:val="00757364"/>
    <w:rsid w:val="00757AA7"/>
    <w:rsid w:val="00757BDF"/>
    <w:rsid w:val="007609D0"/>
    <w:rsid w:val="00760F33"/>
    <w:rsid w:val="00763618"/>
    <w:rsid w:val="00763E5D"/>
    <w:rsid w:val="00767740"/>
    <w:rsid w:val="00777EE6"/>
    <w:rsid w:val="007822D9"/>
    <w:rsid w:val="00782EEA"/>
    <w:rsid w:val="00787149"/>
    <w:rsid w:val="007A235E"/>
    <w:rsid w:val="007A7002"/>
    <w:rsid w:val="007A7136"/>
    <w:rsid w:val="007A7F63"/>
    <w:rsid w:val="007B011C"/>
    <w:rsid w:val="007B186E"/>
    <w:rsid w:val="007B2C72"/>
    <w:rsid w:val="007B6C52"/>
    <w:rsid w:val="007C0B81"/>
    <w:rsid w:val="007C1C53"/>
    <w:rsid w:val="007C33D6"/>
    <w:rsid w:val="007C74BB"/>
    <w:rsid w:val="007D456E"/>
    <w:rsid w:val="007E42F4"/>
    <w:rsid w:val="007E4904"/>
    <w:rsid w:val="007E4CB5"/>
    <w:rsid w:val="007F066B"/>
    <w:rsid w:val="007F213A"/>
    <w:rsid w:val="007F3A4A"/>
    <w:rsid w:val="007F75C4"/>
    <w:rsid w:val="007F77AC"/>
    <w:rsid w:val="008033C4"/>
    <w:rsid w:val="008043E7"/>
    <w:rsid w:val="008057DE"/>
    <w:rsid w:val="00806C88"/>
    <w:rsid w:val="00810070"/>
    <w:rsid w:val="0081034E"/>
    <w:rsid w:val="00812B03"/>
    <w:rsid w:val="00815CAC"/>
    <w:rsid w:val="00816835"/>
    <w:rsid w:val="008168E7"/>
    <w:rsid w:val="00821004"/>
    <w:rsid w:val="008221F2"/>
    <w:rsid w:val="00825985"/>
    <w:rsid w:val="00827C5F"/>
    <w:rsid w:val="008301A7"/>
    <w:rsid w:val="008301B2"/>
    <w:rsid w:val="008344F6"/>
    <w:rsid w:val="0083510F"/>
    <w:rsid w:val="008408C5"/>
    <w:rsid w:val="008414FC"/>
    <w:rsid w:val="008442C3"/>
    <w:rsid w:val="00847887"/>
    <w:rsid w:val="00851209"/>
    <w:rsid w:val="0085722A"/>
    <w:rsid w:val="00862B19"/>
    <w:rsid w:val="008647CE"/>
    <w:rsid w:val="00864B35"/>
    <w:rsid w:val="008652F8"/>
    <w:rsid w:val="00866D99"/>
    <w:rsid w:val="00867CF6"/>
    <w:rsid w:val="00867DE3"/>
    <w:rsid w:val="00872412"/>
    <w:rsid w:val="0087275C"/>
    <w:rsid w:val="008749E0"/>
    <w:rsid w:val="00874CD0"/>
    <w:rsid w:val="00882481"/>
    <w:rsid w:val="008837AC"/>
    <w:rsid w:val="00892A58"/>
    <w:rsid w:val="008A2259"/>
    <w:rsid w:val="008A35F9"/>
    <w:rsid w:val="008A587D"/>
    <w:rsid w:val="008B35CD"/>
    <w:rsid w:val="008B3B63"/>
    <w:rsid w:val="008B5FCC"/>
    <w:rsid w:val="008B6C50"/>
    <w:rsid w:val="008B7544"/>
    <w:rsid w:val="008C3374"/>
    <w:rsid w:val="008C39F0"/>
    <w:rsid w:val="008C5486"/>
    <w:rsid w:val="008C63DF"/>
    <w:rsid w:val="008C708B"/>
    <w:rsid w:val="008D1661"/>
    <w:rsid w:val="008D1B5C"/>
    <w:rsid w:val="008D2207"/>
    <w:rsid w:val="008D2ADF"/>
    <w:rsid w:val="008D6800"/>
    <w:rsid w:val="008E7031"/>
    <w:rsid w:val="008E77DE"/>
    <w:rsid w:val="008F07A3"/>
    <w:rsid w:val="008F16B3"/>
    <w:rsid w:val="008F269E"/>
    <w:rsid w:val="008F34DD"/>
    <w:rsid w:val="009001B6"/>
    <w:rsid w:val="00900E1B"/>
    <w:rsid w:val="00901C3C"/>
    <w:rsid w:val="009038ED"/>
    <w:rsid w:val="009141D6"/>
    <w:rsid w:val="00916656"/>
    <w:rsid w:val="00917859"/>
    <w:rsid w:val="009216B2"/>
    <w:rsid w:val="009233EE"/>
    <w:rsid w:val="00923CFC"/>
    <w:rsid w:val="00923FA9"/>
    <w:rsid w:val="009272AD"/>
    <w:rsid w:val="009277DC"/>
    <w:rsid w:val="00936677"/>
    <w:rsid w:val="00941FBB"/>
    <w:rsid w:val="009460AA"/>
    <w:rsid w:val="0094641C"/>
    <w:rsid w:val="00951978"/>
    <w:rsid w:val="00952D44"/>
    <w:rsid w:val="00961115"/>
    <w:rsid w:val="00961A4A"/>
    <w:rsid w:val="009661DE"/>
    <w:rsid w:val="00966B2C"/>
    <w:rsid w:val="009835E7"/>
    <w:rsid w:val="00983C25"/>
    <w:rsid w:val="009856B7"/>
    <w:rsid w:val="00985C86"/>
    <w:rsid w:val="00992392"/>
    <w:rsid w:val="00993010"/>
    <w:rsid w:val="009933EE"/>
    <w:rsid w:val="00996BAF"/>
    <w:rsid w:val="009972D8"/>
    <w:rsid w:val="009A4FAA"/>
    <w:rsid w:val="009A5113"/>
    <w:rsid w:val="009A51AE"/>
    <w:rsid w:val="009A539D"/>
    <w:rsid w:val="009A5FC3"/>
    <w:rsid w:val="009B4AEF"/>
    <w:rsid w:val="009B5DC8"/>
    <w:rsid w:val="009B6F84"/>
    <w:rsid w:val="009B7343"/>
    <w:rsid w:val="009B74B0"/>
    <w:rsid w:val="009C691D"/>
    <w:rsid w:val="009C7498"/>
    <w:rsid w:val="009D0929"/>
    <w:rsid w:val="009D3906"/>
    <w:rsid w:val="009D6B46"/>
    <w:rsid w:val="009E43C4"/>
    <w:rsid w:val="009E4A7A"/>
    <w:rsid w:val="009F13A1"/>
    <w:rsid w:val="009F1E42"/>
    <w:rsid w:val="009F46CB"/>
    <w:rsid w:val="009F4940"/>
    <w:rsid w:val="009F5BA1"/>
    <w:rsid w:val="009F6B12"/>
    <w:rsid w:val="00A00F3C"/>
    <w:rsid w:val="00A02A88"/>
    <w:rsid w:val="00A0562E"/>
    <w:rsid w:val="00A06012"/>
    <w:rsid w:val="00A06085"/>
    <w:rsid w:val="00A0726D"/>
    <w:rsid w:val="00A14700"/>
    <w:rsid w:val="00A16596"/>
    <w:rsid w:val="00A17FFC"/>
    <w:rsid w:val="00A2202C"/>
    <w:rsid w:val="00A2303E"/>
    <w:rsid w:val="00A26CC3"/>
    <w:rsid w:val="00A30A40"/>
    <w:rsid w:val="00A32FBB"/>
    <w:rsid w:val="00A40167"/>
    <w:rsid w:val="00A428EE"/>
    <w:rsid w:val="00A4478A"/>
    <w:rsid w:val="00A44852"/>
    <w:rsid w:val="00A4650A"/>
    <w:rsid w:val="00A50502"/>
    <w:rsid w:val="00A5297B"/>
    <w:rsid w:val="00A57D04"/>
    <w:rsid w:val="00A60A26"/>
    <w:rsid w:val="00A61598"/>
    <w:rsid w:val="00A74F9E"/>
    <w:rsid w:val="00A820D6"/>
    <w:rsid w:val="00A84A99"/>
    <w:rsid w:val="00A84F46"/>
    <w:rsid w:val="00A871F4"/>
    <w:rsid w:val="00A90AA4"/>
    <w:rsid w:val="00A9231C"/>
    <w:rsid w:val="00A923BF"/>
    <w:rsid w:val="00AA24C1"/>
    <w:rsid w:val="00AB2D1E"/>
    <w:rsid w:val="00AB3F88"/>
    <w:rsid w:val="00AB47E1"/>
    <w:rsid w:val="00AC1B2C"/>
    <w:rsid w:val="00AC3264"/>
    <w:rsid w:val="00AC4268"/>
    <w:rsid w:val="00AC4CBE"/>
    <w:rsid w:val="00AC7ACC"/>
    <w:rsid w:val="00AD3884"/>
    <w:rsid w:val="00AD7B56"/>
    <w:rsid w:val="00AD7B99"/>
    <w:rsid w:val="00AE1BF1"/>
    <w:rsid w:val="00AE2DD1"/>
    <w:rsid w:val="00AF0DD2"/>
    <w:rsid w:val="00AF1393"/>
    <w:rsid w:val="00AF34A5"/>
    <w:rsid w:val="00AF6345"/>
    <w:rsid w:val="00B0209D"/>
    <w:rsid w:val="00B02961"/>
    <w:rsid w:val="00B04908"/>
    <w:rsid w:val="00B04B4C"/>
    <w:rsid w:val="00B07CEA"/>
    <w:rsid w:val="00B13048"/>
    <w:rsid w:val="00B1716D"/>
    <w:rsid w:val="00B17A1D"/>
    <w:rsid w:val="00B207A0"/>
    <w:rsid w:val="00B24A4E"/>
    <w:rsid w:val="00B40CAA"/>
    <w:rsid w:val="00B514DD"/>
    <w:rsid w:val="00B51F3F"/>
    <w:rsid w:val="00B52AF0"/>
    <w:rsid w:val="00B561BD"/>
    <w:rsid w:val="00B56E03"/>
    <w:rsid w:val="00B61EDF"/>
    <w:rsid w:val="00B737A9"/>
    <w:rsid w:val="00B74AC5"/>
    <w:rsid w:val="00B757A6"/>
    <w:rsid w:val="00B8080B"/>
    <w:rsid w:val="00B82223"/>
    <w:rsid w:val="00B87BA5"/>
    <w:rsid w:val="00B87C39"/>
    <w:rsid w:val="00B902CA"/>
    <w:rsid w:val="00B91950"/>
    <w:rsid w:val="00B9562D"/>
    <w:rsid w:val="00BA0731"/>
    <w:rsid w:val="00BA34F2"/>
    <w:rsid w:val="00BA3D59"/>
    <w:rsid w:val="00BA4665"/>
    <w:rsid w:val="00BA47EE"/>
    <w:rsid w:val="00BB2FB2"/>
    <w:rsid w:val="00BB3304"/>
    <w:rsid w:val="00BB3FD7"/>
    <w:rsid w:val="00BB6848"/>
    <w:rsid w:val="00BB7528"/>
    <w:rsid w:val="00BB7FC3"/>
    <w:rsid w:val="00BC18DE"/>
    <w:rsid w:val="00BC2FAF"/>
    <w:rsid w:val="00BC42EF"/>
    <w:rsid w:val="00BD03C3"/>
    <w:rsid w:val="00BD0920"/>
    <w:rsid w:val="00BD0C45"/>
    <w:rsid w:val="00BD168D"/>
    <w:rsid w:val="00BD310B"/>
    <w:rsid w:val="00BD3446"/>
    <w:rsid w:val="00BD54DA"/>
    <w:rsid w:val="00BE16B8"/>
    <w:rsid w:val="00BE1F1B"/>
    <w:rsid w:val="00BE3A01"/>
    <w:rsid w:val="00BE47B5"/>
    <w:rsid w:val="00BF0C8F"/>
    <w:rsid w:val="00BF0CD7"/>
    <w:rsid w:val="00C04223"/>
    <w:rsid w:val="00C11385"/>
    <w:rsid w:val="00C25FA6"/>
    <w:rsid w:val="00C2682F"/>
    <w:rsid w:val="00C275C4"/>
    <w:rsid w:val="00C30637"/>
    <w:rsid w:val="00C31800"/>
    <w:rsid w:val="00C34234"/>
    <w:rsid w:val="00C36F19"/>
    <w:rsid w:val="00C4180B"/>
    <w:rsid w:val="00C42ACA"/>
    <w:rsid w:val="00C5122C"/>
    <w:rsid w:val="00C53067"/>
    <w:rsid w:val="00C538A9"/>
    <w:rsid w:val="00C53B5A"/>
    <w:rsid w:val="00C54F5A"/>
    <w:rsid w:val="00C551E3"/>
    <w:rsid w:val="00C569B4"/>
    <w:rsid w:val="00C56A01"/>
    <w:rsid w:val="00C56A3E"/>
    <w:rsid w:val="00C65CF1"/>
    <w:rsid w:val="00C67A92"/>
    <w:rsid w:val="00C72BA8"/>
    <w:rsid w:val="00C73CD4"/>
    <w:rsid w:val="00C7497E"/>
    <w:rsid w:val="00C74B8B"/>
    <w:rsid w:val="00C74D43"/>
    <w:rsid w:val="00C7500A"/>
    <w:rsid w:val="00C81568"/>
    <w:rsid w:val="00C84560"/>
    <w:rsid w:val="00C84F52"/>
    <w:rsid w:val="00C86679"/>
    <w:rsid w:val="00C92709"/>
    <w:rsid w:val="00C94A91"/>
    <w:rsid w:val="00C96252"/>
    <w:rsid w:val="00C96504"/>
    <w:rsid w:val="00C97CDF"/>
    <w:rsid w:val="00CA2ABF"/>
    <w:rsid w:val="00CA2C1D"/>
    <w:rsid w:val="00CA489E"/>
    <w:rsid w:val="00CA52A2"/>
    <w:rsid w:val="00CB0279"/>
    <w:rsid w:val="00CB666B"/>
    <w:rsid w:val="00CC7F1D"/>
    <w:rsid w:val="00CD19EE"/>
    <w:rsid w:val="00CD332C"/>
    <w:rsid w:val="00CE484B"/>
    <w:rsid w:val="00CE4900"/>
    <w:rsid w:val="00CF0DEE"/>
    <w:rsid w:val="00CF2C05"/>
    <w:rsid w:val="00CF39DD"/>
    <w:rsid w:val="00CF6EDE"/>
    <w:rsid w:val="00CF74C1"/>
    <w:rsid w:val="00D006AE"/>
    <w:rsid w:val="00D01CF0"/>
    <w:rsid w:val="00D01EFD"/>
    <w:rsid w:val="00D0442A"/>
    <w:rsid w:val="00D06055"/>
    <w:rsid w:val="00D066B7"/>
    <w:rsid w:val="00D17683"/>
    <w:rsid w:val="00D239CD"/>
    <w:rsid w:val="00D25260"/>
    <w:rsid w:val="00D33A87"/>
    <w:rsid w:val="00D33F55"/>
    <w:rsid w:val="00D36FCC"/>
    <w:rsid w:val="00D40DE9"/>
    <w:rsid w:val="00D41E80"/>
    <w:rsid w:val="00D45694"/>
    <w:rsid w:val="00D45EC9"/>
    <w:rsid w:val="00D557BD"/>
    <w:rsid w:val="00D608F6"/>
    <w:rsid w:val="00D60EFF"/>
    <w:rsid w:val="00D61388"/>
    <w:rsid w:val="00D61A54"/>
    <w:rsid w:val="00D64275"/>
    <w:rsid w:val="00D64DEA"/>
    <w:rsid w:val="00D7168E"/>
    <w:rsid w:val="00D71C9B"/>
    <w:rsid w:val="00D71E57"/>
    <w:rsid w:val="00D75AA2"/>
    <w:rsid w:val="00D7645E"/>
    <w:rsid w:val="00D77280"/>
    <w:rsid w:val="00D80893"/>
    <w:rsid w:val="00D84854"/>
    <w:rsid w:val="00D848B4"/>
    <w:rsid w:val="00D86A97"/>
    <w:rsid w:val="00D92B2B"/>
    <w:rsid w:val="00D92CF1"/>
    <w:rsid w:val="00D92D38"/>
    <w:rsid w:val="00D950F5"/>
    <w:rsid w:val="00D965C6"/>
    <w:rsid w:val="00D96F0A"/>
    <w:rsid w:val="00DA0BCC"/>
    <w:rsid w:val="00DA4752"/>
    <w:rsid w:val="00DA61F3"/>
    <w:rsid w:val="00DA6B93"/>
    <w:rsid w:val="00DA6F94"/>
    <w:rsid w:val="00DB0F93"/>
    <w:rsid w:val="00DB1466"/>
    <w:rsid w:val="00DB1A67"/>
    <w:rsid w:val="00DB5074"/>
    <w:rsid w:val="00DB5B21"/>
    <w:rsid w:val="00DC7981"/>
    <w:rsid w:val="00DD1C15"/>
    <w:rsid w:val="00DE1093"/>
    <w:rsid w:val="00DE4EFA"/>
    <w:rsid w:val="00DE5520"/>
    <w:rsid w:val="00DE563D"/>
    <w:rsid w:val="00DE5E2E"/>
    <w:rsid w:val="00DE772C"/>
    <w:rsid w:val="00DF1D9A"/>
    <w:rsid w:val="00DF312A"/>
    <w:rsid w:val="00E04818"/>
    <w:rsid w:val="00E06442"/>
    <w:rsid w:val="00E06BCF"/>
    <w:rsid w:val="00E07DFD"/>
    <w:rsid w:val="00E1001C"/>
    <w:rsid w:val="00E14BF2"/>
    <w:rsid w:val="00E15123"/>
    <w:rsid w:val="00E22B98"/>
    <w:rsid w:val="00E23993"/>
    <w:rsid w:val="00E23C7F"/>
    <w:rsid w:val="00E257D6"/>
    <w:rsid w:val="00E25B8C"/>
    <w:rsid w:val="00E272CE"/>
    <w:rsid w:val="00E348A9"/>
    <w:rsid w:val="00E3544F"/>
    <w:rsid w:val="00E51922"/>
    <w:rsid w:val="00E51D65"/>
    <w:rsid w:val="00E6200B"/>
    <w:rsid w:val="00E64C01"/>
    <w:rsid w:val="00E64D49"/>
    <w:rsid w:val="00E65287"/>
    <w:rsid w:val="00E65C85"/>
    <w:rsid w:val="00E66199"/>
    <w:rsid w:val="00E711C7"/>
    <w:rsid w:val="00E7494F"/>
    <w:rsid w:val="00E755EC"/>
    <w:rsid w:val="00E7624D"/>
    <w:rsid w:val="00E768DB"/>
    <w:rsid w:val="00E94968"/>
    <w:rsid w:val="00E97242"/>
    <w:rsid w:val="00EA04EE"/>
    <w:rsid w:val="00EA38F3"/>
    <w:rsid w:val="00EA3D42"/>
    <w:rsid w:val="00EA689D"/>
    <w:rsid w:val="00EA6B1B"/>
    <w:rsid w:val="00EB109B"/>
    <w:rsid w:val="00EB5BC8"/>
    <w:rsid w:val="00EB606C"/>
    <w:rsid w:val="00EC04F1"/>
    <w:rsid w:val="00EC1B2B"/>
    <w:rsid w:val="00EC1E38"/>
    <w:rsid w:val="00EC2984"/>
    <w:rsid w:val="00EC32E5"/>
    <w:rsid w:val="00ED0EC2"/>
    <w:rsid w:val="00ED3474"/>
    <w:rsid w:val="00ED383C"/>
    <w:rsid w:val="00ED7323"/>
    <w:rsid w:val="00EE28F3"/>
    <w:rsid w:val="00EE50D1"/>
    <w:rsid w:val="00EE77FA"/>
    <w:rsid w:val="00EE7A83"/>
    <w:rsid w:val="00EF1B7A"/>
    <w:rsid w:val="00EF5110"/>
    <w:rsid w:val="00EF5B79"/>
    <w:rsid w:val="00F0334E"/>
    <w:rsid w:val="00F07967"/>
    <w:rsid w:val="00F10411"/>
    <w:rsid w:val="00F15882"/>
    <w:rsid w:val="00F171E0"/>
    <w:rsid w:val="00F20BD3"/>
    <w:rsid w:val="00F22045"/>
    <w:rsid w:val="00F2526A"/>
    <w:rsid w:val="00F35081"/>
    <w:rsid w:val="00F373A5"/>
    <w:rsid w:val="00F42E08"/>
    <w:rsid w:val="00F42EF0"/>
    <w:rsid w:val="00F47559"/>
    <w:rsid w:val="00F57907"/>
    <w:rsid w:val="00F61176"/>
    <w:rsid w:val="00F62A30"/>
    <w:rsid w:val="00F64C7B"/>
    <w:rsid w:val="00F65B25"/>
    <w:rsid w:val="00F661B6"/>
    <w:rsid w:val="00F67146"/>
    <w:rsid w:val="00F676DD"/>
    <w:rsid w:val="00F6774F"/>
    <w:rsid w:val="00F71667"/>
    <w:rsid w:val="00F73895"/>
    <w:rsid w:val="00F75A26"/>
    <w:rsid w:val="00F76706"/>
    <w:rsid w:val="00F768C8"/>
    <w:rsid w:val="00F81B40"/>
    <w:rsid w:val="00F81B8D"/>
    <w:rsid w:val="00F83FAD"/>
    <w:rsid w:val="00F8653A"/>
    <w:rsid w:val="00F86D23"/>
    <w:rsid w:val="00F8743E"/>
    <w:rsid w:val="00F91F55"/>
    <w:rsid w:val="00F92349"/>
    <w:rsid w:val="00F92956"/>
    <w:rsid w:val="00F93B21"/>
    <w:rsid w:val="00F952A0"/>
    <w:rsid w:val="00FA0AAA"/>
    <w:rsid w:val="00FA3C7F"/>
    <w:rsid w:val="00FA70D8"/>
    <w:rsid w:val="00FB1BF3"/>
    <w:rsid w:val="00FB4402"/>
    <w:rsid w:val="00FB60FE"/>
    <w:rsid w:val="00FB74E2"/>
    <w:rsid w:val="00FC3E13"/>
    <w:rsid w:val="00FC71DC"/>
    <w:rsid w:val="00FD2B3A"/>
    <w:rsid w:val="00FD2ED2"/>
    <w:rsid w:val="00FD5614"/>
    <w:rsid w:val="00FD5E78"/>
    <w:rsid w:val="00FE0BE1"/>
    <w:rsid w:val="00FE1DE9"/>
    <w:rsid w:val="00FE36AF"/>
    <w:rsid w:val="00FE39C2"/>
    <w:rsid w:val="00FE3C32"/>
    <w:rsid w:val="00FE5660"/>
    <w:rsid w:val="00FE64AE"/>
    <w:rsid w:val="00FF3D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qFormat="1"/>
    <w:lsdException w:name="header" w:uiPriority="0" w:qFormat="1"/>
    <w:lsdException w:name="footer" w:qFormat="1"/>
    <w:lsdException w:name="caption" w:uiPriority="0"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uiPriority="0"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60"/>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 w:type="table" w:styleId="MediumList2-Accent1">
    <w:name w:val="Medium List 2 Accent 1"/>
    <w:basedOn w:val="TableNormal"/>
    <w:uiPriority w:val="66"/>
    <w:rsid w:val="003F022E"/>
    <w:pPr>
      <w:spacing w:before="0"/>
    </w:pPr>
    <w:rPr>
      <w:rFonts w:asciiTheme="majorHAnsi" w:eastAsiaTheme="majorEastAsia" w:hAnsiTheme="majorHAnsi" w:cstheme="majorBidi"/>
      <w:color w:val="076A92" w:themeColor="text1"/>
      <w:lang w:val="en-US" w:eastAsia="ja-JP"/>
    </w:r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rPr>
        <w:sz w:val="24"/>
        <w:szCs w:val="24"/>
      </w:rPr>
      <w:tblPr/>
      <w:tcPr>
        <w:tcBorders>
          <w:top w:val="nil"/>
          <w:left w:val="nil"/>
          <w:bottom w:val="single" w:sz="24" w:space="0" w:color="2F002F" w:themeColor="accent1"/>
          <w:right w:val="nil"/>
          <w:insideH w:val="nil"/>
          <w:insideV w:val="nil"/>
        </w:tcBorders>
        <w:shd w:val="clear" w:color="auto" w:fill="FFFFFF" w:themeFill="background1"/>
      </w:tcPr>
    </w:tblStylePr>
    <w:tblStylePr w:type="lastRow">
      <w:tblPr/>
      <w:tcPr>
        <w:tcBorders>
          <w:top w:val="single" w:sz="8" w:space="0" w:color="2F002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F002F" w:themeColor="accent1"/>
          <w:insideH w:val="nil"/>
          <w:insideV w:val="nil"/>
        </w:tcBorders>
        <w:shd w:val="clear" w:color="auto" w:fill="FFFFFF" w:themeFill="background1"/>
      </w:tcPr>
    </w:tblStylePr>
    <w:tblStylePr w:type="lastCol">
      <w:tblPr/>
      <w:tcPr>
        <w:tcBorders>
          <w:top w:val="nil"/>
          <w:left w:val="single" w:sz="8" w:space="0" w:color="2F002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top w:val="nil"/>
          <w:bottom w:val="nil"/>
          <w:insideH w:val="nil"/>
          <w:insideV w:val="nil"/>
        </w:tcBorders>
        <w:shd w:val="clear" w:color="auto" w:fill="FF8CFF"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qFormat="1"/>
    <w:lsdException w:name="header" w:uiPriority="0" w:qFormat="1"/>
    <w:lsdException w:name="footer" w:qFormat="1"/>
    <w:lsdException w:name="caption" w:uiPriority="0"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uiPriority="0"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60"/>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 w:type="table" w:styleId="MediumList2-Accent1">
    <w:name w:val="Medium List 2 Accent 1"/>
    <w:basedOn w:val="TableNormal"/>
    <w:uiPriority w:val="66"/>
    <w:rsid w:val="003F022E"/>
    <w:pPr>
      <w:spacing w:before="0"/>
    </w:pPr>
    <w:rPr>
      <w:rFonts w:asciiTheme="majorHAnsi" w:eastAsiaTheme="majorEastAsia" w:hAnsiTheme="majorHAnsi" w:cstheme="majorBidi"/>
      <w:color w:val="076A92" w:themeColor="text1"/>
      <w:lang w:val="en-US" w:eastAsia="ja-JP"/>
    </w:r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rPr>
        <w:sz w:val="24"/>
        <w:szCs w:val="24"/>
      </w:rPr>
      <w:tblPr/>
      <w:tcPr>
        <w:tcBorders>
          <w:top w:val="nil"/>
          <w:left w:val="nil"/>
          <w:bottom w:val="single" w:sz="24" w:space="0" w:color="2F002F" w:themeColor="accent1"/>
          <w:right w:val="nil"/>
          <w:insideH w:val="nil"/>
          <w:insideV w:val="nil"/>
        </w:tcBorders>
        <w:shd w:val="clear" w:color="auto" w:fill="FFFFFF" w:themeFill="background1"/>
      </w:tcPr>
    </w:tblStylePr>
    <w:tblStylePr w:type="lastRow">
      <w:tblPr/>
      <w:tcPr>
        <w:tcBorders>
          <w:top w:val="single" w:sz="8" w:space="0" w:color="2F002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F002F" w:themeColor="accent1"/>
          <w:insideH w:val="nil"/>
          <w:insideV w:val="nil"/>
        </w:tcBorders>
        <w:shd w:val="clear" w:color="auto" w:fill="FFFFFF" w:themeFill="background1"/>
      </w:tcPr>
    </w:tblStylePr>
    <w:tblStylePr w:type="lastCol">
      <w:tblPr/>
      <w:tcPr>
        <w:tcBorders>
          <w:top w:val="nil"/>
          <w:left w:val="single" w:sz="8" w:space="0" w:color="2F002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top w:val="nil"/>
          <w:bottom w:val="nil"/>
          <w:insideH w:val="nil"/>
          <w:insideV w:val="nil"/>
        </w:tcBorders>
        <w:shd w:val="clear" w:color="auto" w:fill="FF8CFF"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60475">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C6C87E1-5A06-46EF-BF96-CA5C2F4BC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9F769D1E</Template>
  <TotalTime>0</TotalTime>
  <Pages>14</Pages>
  <Words>3019</Words>
  <Characters>17212</Characters>
  <Application>Microsoft Office Word</Application>
  <DocSecurity>0</DocSecurity>
  <Lines>143</Lines>
  <Paragraphs>40</Paragraphs>
  <ScaleCrop>false</ScaleCrop>
  <Company/>
  <LinksUpToDate>false</LinksUpToDate>
  <CharactersWithSpaces>20191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2016-05-23T00:08:00Z</dcterms:created>
  <dcterms:modified xsi:type="dcterms:W3CDTF">2016-05-23T00:08:00Z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8611709</vt:lpwstr>
  </property>
</Properties>
</file>