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F5E" w:rsidRDefault="00FA769D" w:rsidP="00E91F5E">
      <w:pPr>
        <w:pStyle w:val="AERtitle1"/>
        <w:rPr>
          <w:rStyle w:val="AERtextsize8"/>
        </w:rPr>
      </w:pPr>
      <w:r>
        <w:rPr>
          <w:b w:val="0"/>
          <w:noProof/>
        </w:rPr>
        <w:drawing>
          <wp:anchor distT="0" distB="0" distL="114300" distR="114300" simplePos="0" relativeHeight="251657216" behindDoc="1" locked="0" layoutInCell="1" allowOverlap="1" wp14:anchorId="4FA726DF" wp14:editId="5A8B0EA7">
            <wp:simplePos x="0" y="0"/>
            <wp:positionH relativeFrom="column">
              <wp:posOffset>-998855</wp:posOffset>
            </wp:positionH>
            <wp:positionV relativeFrom="paragraph">
              <wp:posOffset>-925195</wp:posOffset>
            </wp:positionV>
            <wp:extent cx="9079865" cy="14128750"/>
            <wp:effectExtent l="19050" t="0" r="6985" b="0"/>
            <wp:wrapNone/>
            <wp:docPr id="5"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9079865" cy="14128750"/>
                    </a:xfrm>
                    <a:prstGeom prst="rect">
                      <a:avLst/>
                    </a:prstGeom>
                    <a:noFill/>
                  </pic:spPr>
                </pic:pic>
              </a:graphicData>
            </a:graphic>
          </wp:anchor>
        </w:drawing>
      </w:r>
    </w:p>
    <w:p w:rsidR="00E91F5E" w:rsidRDefault="00E91F5E" w:rsidP="00E91F5E">
      <w:pPr>
        <w:pStyle w:val="AERtitle1"/>
        <w:rPr>
          <w:rStyle w:val="AERtextsize8"/>
        </w:rPr>
      </w:pPr>
    </w:p>
    <w:p w:rsidR="00E91F5E" w:rsidRDefault="00E91F5E" w:rsidP="00E91F5E">
      <w:pPr>
        <w:pStyle w:val="AERtitle1"/>
        <w:rPr>
          <w:rStyle w:val="AERtextsize8"/>
        </w:rPr>
      </w:pPr>
    </w:p>
    <w:p w:rsidR="00E91F5E" w:rsidRDefault="00E91F5E" w:rsidP="00E91F5E">
      <w:pPr>
        <w:pStyle w:val="AERtitle1"/>
        <w:rPr>
          <w:rStyle w:val="AERtextsize8"/>
        </w:rPr>
      </w:pPr>
    </w:p>
    <w:p w:rsidR="00E91F5E" w:rsidRDefault="00E91F5E" w:rsidP="00E91F5E">
      <w:pPr>
        <w:pStyle w:val="AERtitle1"/>
        <w:rPr>
          <w:rStyle w:val="AERtextsize8"/>
        </w:rPr>
      </w:pPr>
    </w:p>
    <w:p w:rsidR="00E91F5E" w:rsidRDefault="00E91F5E" w:rsidP="00E91F5E">
      <w:pPr>
        <w:pStyle w:val="AERtitle1"/>
        <w:rPr>
          <w:rStyle w:val="AERtextsize8"/>
        </w:rPr>
      </w:pPr>
    </w:p>
    <w:p w:rsidR="00E91F5E" w:rsidRDefault="00E91F5E" w:rsidP="00E91F5E">
      <w:pPr>
        <w:pStyle w:val="AERtitle1"/>
        <w:rPr>
          <w:rStyle w:val="AERtextsize8"/>
        </w:rPr>
      </w:pPr>
    </w:p>
    <w:p w:rsidR="00E91F5E" w:rsidRDefault="00E91F5E" w:rsidP="00E91F5E">
      <w:pPr>
        <w:pStyle w:val="AERtitle1"/>
        <w:rPr>
          <w:rStyle w:val="AERtextsize8"/>
        </w:rPr>
      </w:pPr>
    </w:p>
    <w:p w:rsidR="00E91F5E" w:rsidRDefault="00E91F5E" w:rsidP="00E91F5E">
      <w:pPr>
        <w:pStyle w:val="AERtitle1"/>
        <w:rPr>
          <w:rStyle w:val="AERtextsize8"/>
        </w:rPr>
      </w:pPr>
    </w:p>
    <w:p w:rsidR="00E91F5E" w:rsidRDefault="00E91F5E" w:rsidP="00E91F5E">
      <w:pPr>
        <w:pStyle w:val="AERtitle1"/>
        <w:rPr>
          <w:rStyle w:val="AERtextsize8"/>
        </w:rPr>
      </w:pPr>
    </w:p>
    <w:p w:rsidR="00E91F5E" w:rsidRDefault="00E91F5E" w:rsidP="00E91F5E">
      <w:pPr>
        <w:pStyle w:val="AERtitle1"/>
        <w:rPr>
          <w:rStyle w:val="AERtextsize8"/>
        </w:rPr>
      </w:pPr>
    </w:p>
    <w:p w:rsidR="00E91F5E" w:rsidRDefault="00E91F5E" w:rsidP="00E91F5E">
      <w:pPr>
        <w:pStyle w:val="AERtitle1"/>
        <w:rPr>
          <w:rStyle w:val="AERtextsize8"/>
        </w:rPr>
      </w:pPr>
    </w:p>
    <w:p w:rsidR="00E91F5E" w:rsidRDefault="00FA769D" w:rsidP="00E91F5E">
      <w:pPr>
        <w:pStyle w:val="AERtitle1"/>
      </w:pPr>
      <w:r>
        <w:rPr>
          <w:b w:val="0"/>
          <w:noProof/>
        </w:rPr>
        <w:drawing>
          <wp:anchor distT="0" distB="0" distL="114300" distR="114300" simplePos="0" relativeHeight="251658240" behindDoc="1" locked="0" layoutInCell="1" allowOverlap="1" wp14:anchorId="23BE0E1D" wp14:editId="4D302229">
            <wp:simplePos x="0" y="0"/>
            <wp:positionH relativeFrom="column">
              <wp:posOffset>8280400</wp:posOffset>
            </wp:positionH>
            <wp:positionV relativeFrom="paragraph">
              <wp:posOffset>-946150</wp:posOffset>
            </wp:positionV>
            <wp:extent cx="7635875" cy="10784205"/>
            <wp:effectExtent l="19050" t="0" r="3175" b="0"/>
            <wp:wrapNone/>
            <wp:docPr id="4" name="Picture 4"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ER-final-orange"/>
                    <pic:cNvPicPr>
                      <a:picLocks noChangeAspect="1" noChangeArrowheads="1"/>
                    </pic:cNvPicPr>
                  </pic:nvPicPr>
                  <pic:blipFill>
                    <a:blip r:embed="rId8" cstate="print"/>
                    <a:srcRect/>
                    <a:stretch>
                      <a:fillRect/>
                    </a:stretch>
                  </pic:blipFill>
                  <pic:spPr bwMode="auto">
                    <a:xfrm>
                      <a:off x="0" y="0"/>
                      <a:ext cx="7635875" cy="10784205"/>
                    </a:xfrm>
                    <a:prstGeom prst="rect">
                      <a:avLst/>
                    </a:prstGeom>
                    <a:noFill/>
                  </pic:spPr>
                </pic:pic>
              </a:graphicData>
            </a:graphic>
          </wp:anchor>
        </w:drawing>
      </w:r>
      <w:r w:rsidR="00E91F5E">
        <w:t>Better Regulation</w:t>
      </w:r>
    </w:p>
    <w:p w:rsidR="00E91F5E" w:rsidRDefault="00E91F5E" w:rsidP="00E91F5E">
      <w:pPr>
        <w:pStyle w:val="AERtitle1"/>
      </w:pPr>
    </w:p>
    <w:p w:rsidR="00E91F5E" w:rsidRDefault="00A41006" w:rsidP="00E91F5E">
      <w:pPr>
        <w:pStyle w:val="AERtitle1"/>
      </w:pPr>
      <w:r>
        <w:t>Final decision</w:t>
      </w:r>
    </w:p>
    <w:p w:rsidR="00E91F5E" w:rsidRPr="004619CB" w:rsidRDefault="00980EDC" w:rsidP="00E91F5E">
      <w:pPr>
        <w:pStyle w:val="AERtitle1"/>
        <w:rPr>
          <w:rStyle w:val="AERtextsize8"/>
          <w:sz w:val="40"/>
        </w:rPr>
      </w:pPr>
      <w:r>
        <w:t>R</w:t>
      </w:r>
      <w:r w:rsidR="00E91F5E" w:rsidRPr="006C551F">
        <w:rPr>
          <w:rStyle w:val="AERtextsize8"/>
          <w:sz w:val="40"/>
        </w:rPr>
        <w:t>egulatory investment test for distribution</w:t>
      </w:r>
      <w:r w:rsidR="00E91F5E">
        <w:rPr>
          <w:rStyle w:val="AERtextsize8"/>
        </w:rPr>
        <w:t xml:space="preserve"> </w:t>
      </w:r>
      <w:r w:rsidR="00E91F5E" w:rsidRPr="00130C44">
        <w:rPr>
          <w:rStyle w:val="AERtextsize8"/>
          <w:sz w:val="40"/>
        </w:rPr>
        <w:t>and</w:t>
      </w:r>
      <w:r w:rsidR="00E91F5E" w:rsidRPr="00027595">
        <w:rPr>
          <w:rStyle w:val="AERtextsize8"/>
          <w:sz w:val="40"/>
        </w:rPr>
        <w:t xml:space="preserve"> </w:t>
      </w:r>
      <w:r w:rsidR="00E91F5E">
        <w:rPr>
          <w:rStyle w:val="AERtextsize8"/>
          <w:sz w:val="40"/>
        </w:rPr>
        <w:t>application guidelines</w:t>
      </w:r>
    </w:p>
    <w:p w:rsidR="00E91F5E" w:rsidRPr="00254211" w:rsidRDefault="00E91F5E" w:rsidP="00E91F5E">
      <w:pPr>
        <w:pStyle w:val="AERtitle1"/>
        <w:rPr>
          <w:rStyle w:val="AERtextsize8"/>
          <w:sz w:val="40"/>
        </w:rPr>
      </w:pPr>
    </w:p>
    <w:p w:rsidR="00E91F5E" w:rsidRDefault="00E91F5E" w:rsidP="00E91F5E">
      <w:pPr>
        <w:pStyle w:val="AERtitle2"/>
        <w:rPr>
          <w:rStyle w:val="AERtextsize8"/>
        </w:rPr>
      </w:pPr>
    </w:p>
    <w:p w:rsidR="00E91F5E" w:rsidRDefault="00E91F5E" w:rsidP="00E91F5E">
      <w:pPr>
        <w:pStyle w:val="AERtitle2"/>
        <w:rPr>
          <w:rStyle w:val="AERtextsize8"/>
        </w:rPr>
      </w:pPr>
    </w:p>
    <w:p w:rsidR="00E91F5E" w:rsidRPr="00FD651E" w:rsidRDefault="00CF274A" w:rsidP="00E91F5E">
      <w:pPr>
        <w:pStyle w:val="AERtitle2"/>
      </w:pPr>
      <w:r>
        <w:t xml:space="preserve">23 </w:t>
      </w:r>
      <w:r w:rsidR="00980EDC">
        <w:t>August</w:t>
      </w:r>
      <w:r w:rsidR="00980EDC" w:rsidRPr="00FD651E">
        <w:t xml:space="preserve"> </w:t>
      </w:r>
      <w:r w:rsidR="00E91F5E" w:rsidRPr="00FD651E">
        <w:t>2013</w:t>
      </w:r>
    </w:p>
    <w:p w:rsidR="00E91F5E" w:rsidRDefault="00E91F5E" w:rsidP="00E91F5E">
      <w:pPr>
        <w:pStyle w:val="AERbodytextnospace"/>
        <w:numPr>
          <w:ilvl w:val="0"/>
          <w:numId w:val="0"/>
        </w:numPr>
      </w:pPr>
    </w:p>
    <w:p w:rsidR="00E91F5E" w:rsidRDefault="00E91F5E" w:rsidP="00E91F5E">
      <w:pPr>
        <w:pStyle w:val="AERbodytextnospace"/>
        <w:numPr>
          <w:ilvl w:val="0"/>
          <w:numId w:val="0"/>
        </w:numPr>
        <w:rPr>
          <w:lang w:eastAsia="en-AU"/>
        </w:rPr>
      </w:pPr>
    </w:p>
    <w:p w:rsidR="00E91F5E" w:rsidRDefault="00E91F5E" w:rsidP="00E91F5E">
      <w:pPr>
        <w:pStyle w:val="AERbodytextnospace"/>
        <w:rPr>
          <w:rStyle w:val="AERtextbold"/>
        </w:rPr>
      </w:pPr>
    </w:p>
    <w:p w:rsidR="00E91F5E" w:rsidRDefault="00E91F5E" w:rsidP="00E91F5E">
      <w:pPr>
        <w:pStyle w:val="AERbodytextnospace"/>
        <w:rPr>
          <w:rStyle w:val="AERtextbold"/>
        </w:rPr>
      </w:pPr>
    </w:p>
    <w:p w:rsidR="00E91F5E" w:rsidRDefault="00E91F5E" w:rsidP="00E91F5E">
      <w:pPr>
        <w:pStyle w:val="AERbodytextnospace"/>
        <w:rPr>
          <w:rStyle w:val="AERtextbold"/>
        </w:rPr>
      </w:pPr>
    </w:p>
    <w:p w:rsidR="00E91F5E" w:rsidRDefault="00E91F5E" w:rsidP="00E91F5E">
      <w:pPr>
        <w:pStyle w:val="AERbodytextnospace"/>
        <w:rPr>
          <w:rStyle w:val="AERtextbold"/>
        </w:rPr>
      </w:pPr>
    </w:p>
    <w:p w:rsidR="00E91F5E" w:rsidRDefault="00E91F5E" w:rsidP="00E91F5E">
      <w:pPr>
        <w:pStyle w:val="AERbodytextnospace"/>
        <w:rPr>
          <w:rStyle w:val="AERtextbold"/>
        </w:rPr>
      </w:pPr>
    </w:p>
    <w:p w:rsidR="00E91F5E" w:rsidRDefault="00E91F5E" w:rsidP="00E91F5E">
      <w:pPr>
        <w:pStyle w:val="AERbodytextnospace"/>
        <w:rPr>
          <w:rStyle w:val="AERtextbold"/>
        </w:rPr>
      </w:pPr>
    </w:p>
    <w:p w:rsidR="00E91F5E" w:rsidRPr="009E08D7" w:rsidRDefault="00E91F5E" w:rsidP="00E91F5E">
      <w:pPr>
        <w:pStyle w:val="AERbodytextnospace"/>
        <w:rPr>
          <w:rStyle w:val="AERtextbold"/>
        </w:rPr>
      </w:pPr>
      <w:r w:rsidRPr="009E08D7">
        <w:rPr>
          <w:rStyle w:val="AERtextbold"/>
        </w:rPr>
        <w:lastRenderedPageBreak/>
        <w:t>© Commonwealth of Australia 2013</w:t>
      </w:r>
    </w:p>
    <w:p w:rsidR="00E91F5E" w:rsidRPr="00B834D8" w:rsidRDefault="00E91F5E" w:rsidP="00E91F5E">
      <w:pPr>
        <w:pStyle w:val="AERbodytextnospace"/>
        <w:rPr>
          <w:lang w:eastAsia="en-AU"/>
        </w:rPr>
      </w:pPr>
    </w:p>
    <w:p w:rsidR="00E91F5E" w:rsidRDefault="00E91F5E" w:rsidP="00E91F5E">
      <w:pPr>
        <w:pStyle w:val="AERbodytextnospace"/>
        <w:rPr>
          <w:lang w:eastAsia="en-AU"/>
        </w:rPr>
      </w:pPr>
      <w:r w:rsidRPr="00B834D8">
        <w:rPr>
          <w:lang w:eastAsia="en-AU"/>
        </w:rPr>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 </w:t>
      </w:r>
    </w:p>
    <w:p w:rsidR="000B0863" w:rsidRDefault="000B0863" w:rsidP="004F141D">
      <w:pPr>
        <w:pStyle w:val="ListParagraph"/>
        <w:rPr>
          <w:lang w:eastAsia="en-AU"/>
        </w:rPr>
      </w:pPr>
    </w:p>
    <w:p w:rsidR="000B0863" w:rsidRPr="00020884" w:rsidRDefault="000B0863" w:rsidP="000B0863">
      <w:pPr>
        <w:pStyle w:val="AERbodytext"/>
        <w:numPr>
          <w:ilvl w:val="0"/>
          <w:numId w:val="6"/>
        </w:numPr>
      </w:pPr>
      <w:r w:rsidRPr="00020884">
        <w:t>Inquiries about this document should be addressed to:</w:t>
      </w:r>
    </w:p>
    <w:p w:rsidR="000B0863" w:rsidRDefault="000B0863" w:rsidP="000B0863">
      <w:pPr>
        <w:pStyle w:val="AERbodytextnospace"/>
        <w:numPr>
          <w:ilvl w:val="0"/>
          <w:numId w:val="6"/>
        </w:numPr>
      </w:pPr>
      <w:r>
        <w:t>Australian Energy Regulator</w:t>
      </w:r>
    </w:p>
    <w:p w:rsidR="000B0863" w:rsidRDefault="000B0863" w:rsidP="000B0863">
      <w:pPr>
        <w:pStyle w:val="AERbodytextnospace"/>
        <w:numPr>
          <w:ilvl w:val="0"/>
          <w:numId w:val="6"/>
        </w:numPr>
      </w:pPr>
      <w:r>
        <w:t>GPO Box 520</w:t>
      </w:r>
    </w:p>
    <w:p w:rsidR="000B0863" w:rsidRDefault="000B0863" w:rsidP="000B0863">
      <w:pPr>
        <w:pStyle w:val="AERbodytextnospace"/>
        <w:numPr>
          <w:ilvl w:val="0"/>
          <w:numId w:val="6"/>
        </w:numPr>
      </w:pPr>
      <w:r>
        <w:t>Melbourne  Vic  3001</w:t>
      </w:r>
    </w:p>
    <w:p w:rsidR="000B0863" w:rsidRDefault="000B0863" w:rsidP="000B0863">
      <w:pPr>
        <w:pStyle w:val="AERbodytextnospace"/>
        <w:numPr>
          <w:ilvl w:val="0"/>
          <w:numId w:val="6"/>
        </w:numPr>
      </w:pPr>
      <w:r>
        <w:t>Tel: (03) 9290 1444</w:t>
      </w:r>
    </w:p>
    <w:p w:rsidR="000B0863" w:rsidRDefault="000B0863" w:rsidP="000B0863">
      <w:pPr>
        <w:pStyle w:val="AERbodytextnospace"/>
        <w:numPr>
          <w:ilvl w:val="0"/>
          <w:numId w:val="6"/>
        </w:numPr>
      </w:pPr>
      <w:r>
        <w:t>Fax: (03) 9290 1457</w:t>
      </w:r>
    </w:p>
    <w:p w:rsidR="000B0863" w:rsidRDefault="000B0863" w:rsidP="000B0863">
      <w:pPr>
        <w:pStyle w:val="AERbodytextnospace"/>
        <w:numPr>
          <w:ilvl w:val="0"/>
          <w:numId w:val="6"/>
        </w:numPr>
      </w:pPr>
      <w:r>
        <w:t xml:space="preserve">Email: </w:t>
      </w:r>
      <w:hyperlink r:id="rId9" w:history="1">
        <w:r w:rsidRPr="003E184A">
          <w:rPr>
            <w:rStyle w:val="Hyperlink"/>
          </w:rPr>
          <w:t>AERInquiry@aer.gov.au</w:t>
        </w:r>
      </w:hyperlink>
    </w:p>
    <w:p w:rsidR="000B0863" w:rsidRDefault="000B0863" w:rsidP="000B0863">
      <w:pPr>
        <w:pStyle w:val="AERbodytextnospace"/>
        <w:numPr>
          <w:ilvl w:val="0"/>
          <w:numId w:val="0"/>
        </w:numPr>
      </w:pPr>
    </w:p>
    <w:p w:rsidR="000B0863" w:rsidRDefault="000B0863" w:rsidP="00E91F5E">
      <w:pPr>
        <w:pStyle w:val="AERbodytextnospace"/>
        <w:rPr>
          <w:lang w:eastAsia="en-AU"/>
        </w:rPr>
      </w:pPr>
    </w:p>
    <w:p w:rsidR="00E91F5E" w:rsidRPr="00790B06" w:rsidRDefault="00E91F5E" w:rsidP="00E91F5E">
      <w:pPr>
        <w:pStyle w:val="UnnumberedHeading"/>
      </w:pPr>
      <w:bookmarkStart w:id="0" w:name="_Toc352753544"/>
      <w:bookmarkStart w:id="1" w:name="_Toc364940403"/>
      <w:r w:rsidRPr="00790B06">
        <w:lastRenderedPageBreak/>
        <w:t>Shortened forms</w:t>
      </w:r>
      <w:bookmarkEnd w:id="0"/>
      <w:bookmarkEnd w:id="1"/>
    </w:p>
    <w:tbl>
      <w:tblPr>
        <w:tblW w:w="0" w:type="auto"/>
        <w:tblBorders>
          <w:bottom w:val="single" w:sz="4" w:space="0" w:color="365F91"/>
        </w:tblBorders>
        <w:tblLook w:val="04A0" w:firstRow="1" w:lastRow="0" w:firstColumn="1" w:lastColumn="0" w:noHBand="0" w:noVBand="1"/>
      </w:tblPr>
      <w:tblGrid>
        <w:gridCol w:w="3227"/>
        <w:gridCol w:w="6015"/>
      </w:tblGrid>
      <w:tr w:rsidR="00E91F5E" w:rsidTr="00473081">
        <w:tc>
          <w:tcPr>
            <w:tcW w:w="3227" w:type="dxa"/>
            <w:shd w:val="clear" w:color="auto" w:fill="365F91"/>
            <w:vAlign w:val="center"/>
          </w:tcPr>
          <w:p w:rsidR="00E91F5E" w:rsidRPr="00137DD4" w:rsidRDefault="00E91F5E" w:rsidP="00473081">
            <w:pPr>
              <w:pStyle w:val="AERtabletextleft"/>
              <w:rPr>
                <w:b/>
                <w:color w:val="FFFFFF"/>
              </w:rPr>
            </w:pPr>
            <w:r w:rsidRPr="00137DD4">
              <w:rPr>
                <w:b/>
                <w:color w:val="FFFFFF"/>
              </w:rPr>
              <w:t>Shortened term</w:t>
            </w:r>
          </w:p>
        </w:tc>
        <w:tc>
          <w:tcPr>
            <w:tcW w:w="6015" w:type="dxa"/>
            <w:shd w:val="clear" w:color="auto" w:fill="365F91"/>
            <w:vAlign w:val="center"/>
          </w:tcPr>
          <w:p w:rsidR="00E91F5E" w:rsidRPr="00137DD4" w:rsidRDefault="00E91F5E" w:rsidP="00473081">
            <w:pPr>
              <w:pStyle w:val="AERtabletextleft"/>
              <w:rPr>
                <w:b/>
                <w:color w:val="FFFFFF"/>
              </w:rPr>
            </w:pPr>
            <w:r w:rsidRPr="00137DD4">
              <w:rPr>
                <w:b/>
                <w:color w:val="FFFFFF"/>
              </w:rPr>
              <w:t>Full title</w:t>
            </w:r>
          </w:p>
        </w:tc>
      </w:tr>
      <w:tr w:rsidR="0078673D" w:rsidTr="00473081">
        <w:tc>
          <w:tcPr>
            <w:tcW w:w="3227" w:type="dxa"/>
            <w:vAlign w:val="center"/>
          </w:tcPr>
          <w:p w:rsidR="0078673D" w:rsidRPr="004619CB" w:rsidRDefault="0078673D" w:rsidP="00473081">
            <w:pPr>
              <w:pStyle w:val="AERtabletextleft"/>
            </w:pPr>
            <w:r w:rsidRPr="004619CB">
              <w:t>AEMC</w:t>
            </w:r>
            <w:r w:rsidRPr="004619CB">
              <w:tab/>
            </w:r>
          </w:p>
        </w:tc>
        <w:tc>
          <w:tcPr>
            <w:tcW w:w="6015" w:type="dxa"/>
            <w:vAlign w:val="center"/>
          </w:tcPr>
          <w:p w:rsidR="0078673D" w:rsidRPr="004619CB" w:rsidRDefault="0078673D" w:rsidP="00473081">
            <w:pPr>
              <w:pStyle w:val="AERtabletextleft"/>
            </w:pPr>
            <w:r w:rsidRPr="004619CB">
              <w:t>Australian Energy Market Commission</w:t>
            </w:r>
          </w:p>
        </w:tc>
      </w:tr>
      <w:tr w:rsidR="0078673D" w:rsidTr="00473081">
        <w:tc>
          <w:tcPr>
            <w:tcW w:w="3227" w:type="dxa"/>
            <w:shd w:val="clear" w:color="auto" w:fill="DBE5F1"/>
            <w:vAlign w:val="center"/>
          </w:tcPr>
          <w:p w:rsidR="0078673D" w:rsidRPr="004619CB" w:rsidRDefault="0078673D" w:rsidP="00473081">
            <w:pPr>
              <w:pStyle w:val="AERtabletextleft"/>
            </w:pPr>
            <w:r w:rsidRPr="004619CB">
              <w:t>AEMO</w:t>
            </w:r>
          </w:p>
        </w:tc>
        <w:tc>
          <w:tcPr>
            <w:tcW w:w="6015" w:type="dxa"/>
            <w:shd w:val="clear" w:color="auto" w:fill="DBE5F1"/>
            <w:vAlign w:val="center"/>
          </w:tcPr>
          <w:p w:rsidR="0078673D" w:rsidRPr="004619CB" w:rsidRDefault="0078673D" w:rsidP="00473081">
            <w:pPr>
              <w:pStyle w:val="AERtabletextleft"/>
            </w:pPr>
            <w:r w:rsidRPr="004619CB">
              <w:t>Australian Energy Market Operator</w:t>
            </w:r>
          </w:p>
        </w:tc>
      </w:tr>
      <w:tr w:rsidR="0078673D" w:rsidTr="00473081">
        <w:tc>
          <w:tcPr>
            <w:tcW w:w="3227" w:type="dxa"/>
            <w:vAlign w:val="center"/>
          </w:tcPr>
          <w:p w:rsidR="0078673D" w:rsidRDefault="0078673D" w:rsidP="00473081">
            <w:pPr>
              <w:pStyle w:val="AERtabletextleft"/>
            </w:pPr>
            <w:r w:rsidRPr="004619CB">
              <w:t>AER</w:t>
            </w:r>
          </w:p>
        </w:tc>
        <w:tc>
          <w:tcPr>
            <w:tcW w:w="6015" w:type="dxa"/>
            <w:vAlign w:val="center"/>
          </w:tcPr>
          <w:p w:rsidR="0078673D" w:rsidRDefault="0078673D" w:rsidP="00473081">
            <w:pPr>
              <w:pStyle w:val="AERtabletextleft"/>
            </w:pPr>
            <w:r w:rsidRPr="004619CB">
              <w:t>Australian Energy Regulator</w:t>
            </w:r>
          </w:p>
        </w:tc>
      </w:tr>
      <w:tr w:rsidR="0078673D" w:rsidTr="00473081">
        <w:tc>
          <w:tcPr>
            <w:tcW w:w="3227" w:type="dxa"/>
            <w:shd w:val="clear" w:color="auto" w:fill="DBE5F1"/>
            <w:vAlign w:val="center"/>
          </w:tcPr>
          <w:p w:rsidR="0078673D" w:rsidRPr="004619CB" w:rsidRDefault="0078673D" w:rsidP="00473081">
            <w:pPr>
              <w:pStyle w:val="AERtabletextleft"/>
            </w:pPr>
            <w:proofErr w:type="spellStart"/>
            <w:r>
              <w:t>capex</w:t>
            </w:r>
            <w:proofErr w:type="spellEnd"/>
          </w:p>
        </w:tc>
        <w:tc>
          <w:tcPr>
            <w:tcW w:w="6015" w:type="dxa"/>
            <w:shd w:val="clear" w:color="auto" w:fill="DBE5F1"/>
            <w:vAlign w:val="center"/>
          </w:tcPr>
          <w:p w:rsidR="0078673D" w:rsidRPr="004619CB" w:rsidRDefault="0078673D" w:rsidP="00473081">
            <w:pPr>
              <w:pStyle w:val="AERtabletextleft"/>
            </w:pPr>
            <w:r>
              <w:t>capital expenditure</w:t>
            </w:r>
          </w:p>
        </w:tc>
      </w:tr>
      <w:tr w:rsidR="0078673D" w:rsidTr="0078673D">
        <w:tc>
          <w:tcPr>
            <w:tcW w:w="3227" w:type="dxa"/>
            <w:vAlign w:val="center"/>
          </w:tcPr>
          <w:p w:rsidR="0078673D" w:rsidRPr="004619CB" w:rsidRDefault="0078673D" w:rsidP="00473081">
            <w:pPr>
              <w:pStyle w:val="AERtabletextleft"/>
            </w:pPr>
            <w:r>
              <w:t>DAPR</w:t>
            </w:r>
          </w:p>
        </w:tc>
        <w:tc>
          <w:tcPr>
            <w:tcW w:w="6015" w:type="dxa"/>
            <w:vAlign w:val="center"/>
          </w:tcPr>
          <w:p w:rsidR="0078673D" w:rsidRPr="004619CB" w:rsidRDefault="0078673D" w:rsidP="00473081">
            <w:pPr>
              <w:pStyle w:val="AERtabletextleft"/>
            </w:pPr>
            <w:r>
              <w:t>Distribution Annual Planning Report</w:t>
            </w:r>
          </w:p>
        </w:tc>
      </w:tr>
      <w:tr w:rsidR="0078673D" w:rsidTr="00473081">
        <w:tc>
          <w:tcPr>
            <w:tcW w:w="3227" w:type="dxa"/>
            <w:shd w:val="clear" w:color="auto" w:fill="DBE5F1"/>
            <w:vAlign w:val="center"/>
          </w:tcPr>
          <w:p w:rsidR="0078673D" w:rsidRPr="006529D6" w:rsidRDefault="0078673D" w:rsidP="00473081">
            <w:pPr>
              <w:pStyle w:val="AERtabletextleft"/>
            </w:pPr>
            <w:r w:rsidRPr="004619CB">
              <w:t xml:space="preserve">DNSP </w:t>
            </w:r>
            <w:r w:rsidRPr="004619CB">
              <w:tab/>
            </w:r>
          </w:p>
        </w:tc>
        <w:tc>
          <w:tcPr>
            <w:tcW w:w="6015" w:type="dxa"/>
            <w:shd w:val="clear" w:color="auto" w:fill="DBE5F1"/>
            <w:vAlign w:val="center"/>
          </w:tcPr>
          <w:p w:rsidR="0078673D" w:rsidRPr="006529D6" w:rsidRDefault="0078673D" w:rsidP="00473081">
            <w:pPr>
              <w:pStyle w:val="AERtabletextleft"/>
            </w:pPr>
            <w:r>
              <w:t>d</w:t>
            </w:r>
            <w:r w:rsidRPr="004619CB">
              <w:t>istribution network service provider</w:t>
            </w:r>
          </w:p>
        </w:tc>
      </w:tr>
      <w:tr w:rsidR="0078673D" w:rsidTr="0078673D">
        <w:tc>
          <w:tcPr>
            <w:tcW w:w="3227" w:type="dxa"/>
          </w:tcPr>
          <w:p w:rsidR="0078673D" w:rsidRPr="006529D6" w:rsidRDefault="0078673D" w:rsidP="00473081">
            <w:pPr>
              <w:pStyle w:val="AERtabletextleft"/>
            </w:pPr>
            <w:r>
              <w:t>DSER</w:t>
            </w:r>
          </w:p>
        </w:tc>
        <w:tc>
          <w:tcPr>
            <w:tcW w:w="6015" w:type="dxa"/>
          </w:tcPr>
          <w:p w:rsidR="0078673D" w:rsidRPr="006529D6" w:rsidRDefault="0078673D" w:rsidP="00473081">
            <w:pPr>
              <w:pStyle w:val="AERtabletextleft"/>
            </w:pPr>
            <w:r w:rsidRPr="00E41F17">
              <w:t>demand</w:t>
            </w:r>
            <w:r>
              <w:t xml:space="preserve"> side engagement register </w:t>
            </w:r>
          </w:p>
        </w:tc>
      </w:tr>
      <w:tr w:rsidR="0078673D" w:rsidTr="00473081">
        <w:tc>
          <w:tcPr>
            <w:tcW w:w="3227" w:type="dxa"/>
            <w:shd w:val="clear" w:color="auto" w:fill="DBE5F1"/>
            <w:vAlign w:val="center"/>
          </w:tcPr>
          <w:p w:rsidR="0078673D" w:rsidRPr="006529D6" w:rsidRDefault="0078673D" w:rsidP="00473081">
            <w:pPr>
              <w:pStyle w:val="AERtabletextleft"/>
            </w:pPr>
            <w:r w:rsidRPr="006529D6">
              <w:t>NEM</w:t>
            </w:r>
          </w:p>
        </w:tc>
        <w:tc>
          <w:tcPr>
            <w:tcW w:w="6015" w:type="dxa"/>
            <w:shd w:val="clear" w:color="auto" w:fill="DBE5F1"/>
            <w:vAlign w:val="center"/>
          </w:tcPr>
          <w:p w:rsidR="0078673D" w:rsidRPr="006529D6" w:rsidRDefault="0078673D" w:rsidP="00473081">
            <w:pPr>
              <w:pStyle w:val="AERtabletextleft"/>
            </w:pPr>
            <w:r w:rsidRPr="006529D6">
              <w:t>National Electricity Market</w:t>
            </w:r>
          </w:p>
        </w:tc>
      </w:tr>
      <w:tr w:rsidR="0078673D" w:rsidTr="00473081">
        <w:trPr>
          <w:trHeight w:val="447"/>
        </w:trPr>
        <w:tc>
          <w:tcPr>
            <w:tcW w:w="3227" w:type="dxa"/>
            <w:vAlign w:val="center"/>
          </w:tcPr>
          <w:p w:rsidR="0078673D" w:rsidRPr="006529D6" w:rsidRDefault="0078673D" w:rsidP="00473081">
            <w:pPr>
              <w:pStyle w:val="AERtabletextleft"/>
            </w:pPr>
            <w:r w:rsidRPr="006529D6">
              <w:t>NER</w:t>
            </w:r>
            <w:r w:rsidRPr="006529D6">
              <w:tab/>
            </w:r>
          </w:p>
        </w:tc>
        <w:tc>
          <w:tcPr>
            <w:tcW w:w="6015" w:type="dxa"/>
            <w:vAlign w:val="center"/>
          </w:tcPr>
          <w:p w:rsidR="0078673D" w:rsidRPr="006529D6" w:rsidRDefault="0078673D" w:rsidP="00473081">
            <w:pPr>
              <w:pStyle w:val="AERtabletextleft"/>
            </w:pPr>
            <w:r w:rsidRPr="006529D6">
              <w:t>National Electricity Rules</w:t>
            </w:r>
          </w:p>
        </w:tc>
      </w:tr>
      <w:tr w:rsidR="0078673D" w:rsidTr="00473081">
        <w:tc>
          <w:tcPr>
            <w:tcW w:w="3227" w:type="dxa"/>
            <w:shd w:val="clear" w:color="auto" w:fill="DBE5F1"/>
            <w:vAlign w:val="center"/>
          </w:tcPr>
          <w:p w:rsidR="0078673D" w:rsidRPr="006529D6" w:rsidRDefault="0078673D" w:rsidP="00473081">
            <w:pPr>
              <w:pStyle w:val="AERtabletextleft"/>
            </w:pPr>
            <w:r w:rsidRPr="006529D6">
              <w:t>NSP</w:t>
            </w:r>
          </w:p>
        </w:tc>
        <w:tc>
          <w:tcPr>
            <w:tcW w:w="6015" w:type="dxa"/>
            <w:shd w:val="clear" w:color="auto" w:fill="DBE5F1"/>
            <w:vAlign w:val="center"/>
          </w:tcPr>
          <w:p w:rsidR="0078673D" w:rsidRPr="006529D6" w:rsidRDefault="0078673D" w:rsidP="00473081">
            <w:pPr>
              <w:pStyle w:val="AERtabletextleft"/>
            </w:pPr>
            <w:r w:rsidRPr="006529D6">
              <w:t>network service provider</w:t>
            </w:r>
          </w:p>
        </w:tc>
      </w:tr>
      <w:tr w:rsidR="0078673D" w:rsidTr="00473081">
        <w:trPr>
          <w:trHeight w:val="281"/>
        </w:trPr>
        <w:tc>
          <w:tcPr>
            <w:tcW w:w="3227" w:type="dxa"/>
            <w:vAlign w:val="center"/>
          </w:tcPr>
          <w:p w:rsidR="0078673D" w:rsidRPr="006529D6" w:rsidRDefault="0078673D" w:rsidP="00473081">
            <w:pPr>
              <w:pStyle w:val="AERtabletextleft"/>
            </w:pPr>
            <w:r w:rsidRPr="006529D6">
              <w:t>RIT-T</w:t>
            </w:r>
          </w:p>
        </w:tc>
        <w:tc>
          <w:tcPr>
            <w:tcW w:w="6015" w:type="dxa"/>
            <w:vAlign w:val="center"/>
          </w:tcPr>
          <w:p w:rsidR="0078673D" w:rsidRPr="006529D6" w:rsidRDefault="0078673D" w:rsidP="00473081">
            <w:pPr>
              <w:pStyle w:val="AERtabletextleft"/>
            </w:pPr>
            <w:r w:rsidRPr="006529D6">
              <w:t>regulatory investment test for transmission</w:t>
            </w:r>
          </w:p>
        </w:tc>
      </w:tr>
      <w:tr w:rsidR="0078673D" w:rsidTr="00473081">
        <w:trPr>
          <w:trHeight w:val="281"/>
        </w:trPr>
        <w:tc>
          <w:tcPr>
            <w:tcW w:w="3227" w:type="dxa"/>
            <w:shd w:val="clear" w:color="auto" w:fill="DBE5F1"/>
            <w:vAlign w:val="center"/>
          </w:tcPr>
          <w:p w:rsidR="0078673D" w:rsidRPr="006529D6" w:rsidRDefault="0078673D" w:rsidP="00473081">
            <w:pPr>
              <w:pStyle w:val="AERtabletextleft"/>
            </w:pPr>
            <w:r w:rsidRPr="006529D6">
              <w:t>RIT-D</w:t>
            </w:r>
            <w:r w:rsidRPr="006529D6">
              <w:tab/>
            </w:r>
          </w:p>
        </w:tc>
        <w:tc>
          <w:tcPr>
            <w:tcW w:w="6015" w:type="dxa"/>
            <w:shd w:val="clear" w:color="auto" w:fill="DBE5F1"/>
            <w:vAlign w:val="center"/>
          </w:tcPr>
          <w:p w:rsidR="0078673D" w:rsidRPr="006529D6" w:rsidRDefault="0078673D" w:rsidP="00473081">
            <w:pPr>
              <w:pStyle w:val="AERtabletextleft"/>
            </w:pPr>
            <w:r w:rsidRPr="006529D6">
              <w:t>regulatory investment test for distribution</w:t>
            </w:r>
          </w:p>
        </w:tc>
      </w:tr>
      <w:tr w:rsidR="0078673D" w:rsidTr="00473081">
        <w:tc>
          <w:tcPr>
            <w:tcW w:w="3227" w:type="dxa"/>
            <w:vAlign w:val="center"/>
          </w:tcPr>
          <w:p w:rsidR="0078673D" w:rsidRPr="006529D6" w:rsidRDefault="0078673D" w:rsidP="00473081">
            <w:pPr>
              <w:pStyle w:val="AERtabletextleft"/>
            </w:pPr>
            <w:r w:rsidRPr="006529D6">
              <w:t>STPIS</w:t>
            </w:r>
          </w:p>
        </w:tc>
        <w:tc>
          <w:tcPr>
            <w:tcW w:w="6015" w:type="dxa"/>
            <w:vAlign w:val="center"/>
          </w:tcPr>
          <w:p w:rsidR="0078673D" w:rsidRPr="006529D6" w:rsidRDefault="0078673D" w:rsidP="00473081">
            <w:pPr>
              <w:pStyle w:val="AERtabletextleft"/>
            </w:pPr>
            <w:r w:rsidRPr="006529D6">
              <w:t>service target performance incentive scheme</w:t>
            </w:r>
          </w:p>
        </w:tc>
      </w:tr>
      <w:tr w:rsidR="0078673D" w:rsidTr="00473081">
        <w:tc>
          <w:tcPr>
            <w:tcW w:w="3227" w:type="dxa"/>
            <w:shd w:val="clear" w:color="auto" w:fill="DBE5F1"/>
            <w:vAlign w:val="center"/>
          </w:tcPr>
          <w:p w:rsidR="0078673D" w:rsidRPr="006529D6" w:rsidRDefault="0078673D" w:rsidP="00473081">
            <w:pPr>
              <w:pStyle w:val="AERtabletextleft"/>
            </w:pPr>
            <w:r w:rsidRPr="006529D6">
              <w:t>TNSP</w:t>
            </w:r>
          </w:p>
        </w:tc>
        <w:tc>
          <w:tcPr>
            <w:tcW w:w="6015" w:type="dxa"/>
            <w:shd w:val="clear" w:color="auto" w:fill="DBE5F1"/>
            <w:vAlign w:val="center"/>
          </w:tcPr>
          <w:p w:rsidR="0078673D" w:rsidRPr="006529D6" w:rsidRDefault="0078673D" w:rsidP="00473081">
            <w:pPr>
              <w:pStyle w:val="AERtabletextleft"/>
            </w:pPr>
            <w:r w:rsidRPr="006529D6">
              <w:t>transmission network service provider</w:t>
            </w:r>
          </w:p>
        </w:tc>
      </w:tr>
      <w:tr w:rsidR="0078673D" w:rsidTr="00473081">
        <w:tc>
          <w:tcPr>
            <w:tcW w:w="3227" w:type="dxa"/>
            <w:vAlign w:val="center"/>
          </w:tcPr>
          <w:p w:rsidR="0078673D" w:rsidRPr="006529D6" w:rsidRDefault="0078673D" w:rsidP="00473081">
            <w:pPr>
              <w:pStyle w:val="AERtabletextleft"/>
            </w:pPr>
            <w:r w:rsidRPr="006529D6">
              <w:t>VCR</w:t>
            </w:r>
            <w:r w:rsidRPr="006529D6">
              <w:tab/>
            </w:r>
          </w:p>
        </w:tc>
        <w:tc>
          <w:tcPr>
            <w:tcW w:w="6015" w:type="dxa"/>
            <w:vAlign w:val="center"/>
          </w:tcPr>
          <w:p w:rsidR="0078673D" w:rsidRPr="006529D6" w:rsidRDefault="0078673D" w:rsidP="00473081">
            <w:pPr>
              <w:pStyle w:val="AERtabletextleft"/>
            </w:pPr>
            <w:r w:rsidRPr="006529D6">
              <w:t>value of customer reliability</w:t>
            </w:r>
          </w:p>
        </w:tc>
      </w:tr>
      <w:tr w:rsidR="0078673D" w:rsidTr="00473081">
        <w:tc>
          <w:tcPr>
            <w:tcW w:w="3227" w:type="dxa"/>
            <w:shd w:val="clear" w:color="auto" w:fill="DBE5F1"/>
            <w:vAlign w:val="center"/>
          </w:tcPr>
          <w:p w:rsidR="0078673D" w:rsidRPr="006529D6" w:rsidRDefault="0078673D" w:rsidP="00473081">
            <w:pPr>
              <w:pStyle w:val="AERtabletextleft"/>
            </w:pPr>
            <w:r w:rsidRPr="006529D6">
              <w:t>WACC</w:t>
            </w:r>
          </w:p>
        </w:tc>
        <w:tc>
          <w:tcPr>
            <w:tcW w:w="6015" w:type="dxa"/>
            <w:shd w:val="clear" w:color="auto" w:fill="DBE5F1"/>
            <w:vAlign w:val="center"/>
          </w:tcPr>
          <w:p w:rsidR="0078673D" w:rsidRPr="006529D6" w:rsidRDefault="0078673D" w:rsidP="00473081">
            <w:pPr>
              <w:pStyle w:val="AERtabletextleft"/>
            </w:pPr>
            <w:r w:rsidRPr="006529D6">
              <w:t xml:space="preserve">weighted average cost of capital </w:t>
            </w:r>
          </w:p>
        </w:tc>
      </w:tr>
    </w:tbl>
    <w:p w:rsidR="00E91F5E" w:rsidRDefault="00E91F5E" w:rsidP="00E91F5E">
      <w:pPr>
        <w:pStyle w:val="AERbodytext"/>
        <w:numPr>
          <w:ilvl w:val="0"/>
          <w:numId w:val="6"/>
        </w:numPr>
      </w:pPr>
      <w:r>
        <w:tab/>
      </w:r>
      <w:r>
        <w:tab/>
      </w:r>
      <w:r>
        <w:tab/>
      </w:r>
      <w:r>
        <w:tab/>
      </w:r>
    </w:p>
    <w:p w:rsidR="00E91F5E" w:rsidRDefault="00E91F5E" w:rsidP="00E91F5E">
      <w:pPr>
        <w:pStyle w:val="UnnumberedHeading"/>
        <w:numPr>
          <w:ilvl w:val="0"/>
          <w:numId w:val="0"/>
        </w:numPr>
      </w:pPr>
      <w:bookmarkStart w:id="2" w:name="_Toc349568768"/>
      <w:bookmarkStart w:id="3" w:name="_Toc364940404"/>
      <w:r>
        <w:t>Contents</w:t>
      </w:r>
      <w:bookmarkStart w:id="4" w:name="_Toc349568770"/>
      <w:bookmarkEnd w:id="2"/>
      <w:bookmarkEnd w:id="3"/>
    </w:p>
    <w:bookmarkStart w:id="5" w:name="_GoBack"/>
    <w:bookmarkEnd w:id="5"/>
    <w:p w:rsidR="00C91FFC" w:rsidRDefault="00BB488A">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00E91F5E" w:rsidRPr="006C551F">
        <w:instrText xml:space="preserve"> TOC \o "1-2" \h \z \u \t "Heading 7,1,Heading 8,2" </w:instrText>
      </w:r>
      <w:r>
        <w:fldChar w:fldCharType="separate"/>
      </w:r>
      <w:hyperlink w:anchor="_Toc364940403" w:history="1">
        <w:r w:rsidR="00C91FFC" w:rsidRPr="00A56253">
          <w:rPr>
            <w:rStyle w:val="Hyperlink"/>
            <w:noProof/>
          </w:rPr>
          <w:t>Shortened forms</w:t>
        </w:r>
        <w:r w:rsidR="00C91FFC">
          <w:rPr>
            <w:noProof/>
            <w:webHidden/>
          </w:rPr>
          <w:tab/>
        </w:r>
        <w:r w:rsidR="00C91FFC">
          <w:rPr>
            <w:noProof/>
            <w:webHidden/>
          </w:rPr>
          <w:fldChar w:fldCharType="begin"/>
        </w:r>
        <w:r w:rsidR="00C91FFC">
          <w:rPr>
            <w:noProof/>
            <w:webHidden/>
          </w:rPr>
          <w:instrText xml:space="preserve"> PAGEREF _Toc364940403 \h </w:instrText>
        </w:r>
        <w:r w:rsidR="00C91FFC">
          <w:rPr>
            <w:noProof/>
            <w:webHidden/>
          </w:rPr>
        </w:r>
        <w:r w:rsidR="00C91FFC">
          <w:rPr>
            <w:noProof/>
            <w:webHidden/>
          </w:rPr>
          <w:fldChar w:fldCharType="separate"/>
        </w:r>
        <w:r w:rsidR="00506780">
          <w:rPr>
            <w:noProof/>
            <w:webHidden/>
          </w:rPr>
          <w:t>3</w:t>
        </w:r>
        <w:r w:rsidR="00C91FFC">
          <w:rPr>
            <w:noProof/>
            <w:webHidden/>
          </w:rPr>
          <w:fldChar w:fldCharType="end"/>
        </w:r>
      </w:hyperlink>
    </w:p>
    <w:p w:rsidR="00C91FFC" w:rsidRDefault="00C91FFC">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4940404" w:history="1">
        <w:r w:rsidRPr="00A56253">
          <w:rPr>
            <w:rStyle w:val="Hyperlink"/>
            <w:noProof/>
          </w:rPr>
          <w:t>Contents</w:t>
        </w:r>
        <w:r>
          <w:rPr>
            <w:noProof/>
            <w:webHidden/>
          </w:rPr>
          <w:tab/>
        </w:r>
        <w:r>
          <w:rPr>
            <w:noProof/>
            <w:webHidden/>
          </w:rPr>
          <w:fldChar w:fldCharType="begin"/>
        </w:r>
        <w:r>
          <w:rPr>
            <w:noProof/>
            <w:webHidden/>
          </w:rPr>
          <w:instrText xml:space="preserve"> PAGEREF _Toc364940404 \h </w:instrText>
        </w:r>
        <w:r>
          <w:rPr>
            <w:noProof/>
            <w:webHidden/>
          </w:rPr>
        </w:r>
        <w:r>
          <w:rPr>
            <w:noProof/>
            <w:webHidden/>
          </w:rPr>
          <w:fldChar w:fldCharType="separate"/>
        </w:r>
        <w:r w:rsidR="00506780">
          <w:rPr>
            <w:noProof/>
            <w:webHidden/>
          </w:rPr>
          <w:t>4</w:t>
        </w:r>
        <w:r>
          <w:rPr>
            <w:noProof/>
            <w:webHidden/>
          </w:rPr>
          <w:fldChar w:fldCharType="end"/>
        </w:r>
      </w:hyperlink>
    </w:p>
    <w:p w:rsidR="00C91FFC" w:rsidRDefault="00C91FFC">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4940405" w:history="1">
        <w:r w:rsidRPr="00A56253">
          <w:rPr>
            <w:rStyle w:val="Hyperlink"/>
            <w:noProof/>
          </w:rPr>
          <w:t>Executive Summary</w:t>
        </w:r>
        <w:r>
          <w:rPr>
            <w:noProof/>
            <w:webHidden/>
          </w:rPr>
          <w:tab/>
        </w:r>
        <w:r>
          <w:rPr>
            <w:noProof/>
            <w:webHidden/>
          </w:rPr>
          <w:fldChar w:fldCharType="begin"/>
        </w:r>
        <w:r>
          <w:rPr>
            <w:noProof/>
            <w:webHidden/>
          </w:rPr>
          <w:instrText xml:space="preserve"> PAGEREF _Toc364940405 \h </w:instrText>
        </w:r>
        <w:r>
          <w:rPr>
            <w:noProof/>
            <w:webHidden/>
          </w:rPr>
        </w:r>
        <w:r>
          <w:rPr>
            <w:noProof/>
            <w:webHidden/>
          </w:rPr>
          <w:fldChar w:fldCharType="separate"/>
        </w:r>
        <w:r w:rsidR="00506780">
          <w:rPr>
            <w:noProof/>
            <w:webHidden/>
          </w:rPr>
          <w:t>5</w:t>
        </w:r>
        <w:r>
          <w:rPr>
            <w:noProof/>
            <w:webHidden/>
          </w:rPr>
          <w:fldChar w:fldCharType="end"/>
        </w:r>
      </w:hyperlink>
    </w:p>
    <w:p w:rsidR="00C91FFC" w:rsidRDefault="00C91FFC">
      <w:pPr>
        <w:pStyle w:val="TOC2"/>
        <w:tabs>
          <w:tab w:val="right" w:leader="dot" w:pos="9016"/>
        </w:tabs>
        <w:rPr>
          <w:rFonts w:asciiTheme="minorHAnsi" w:eastAsiaTheme="minorEastAsia" w:hAnsiTheme="minorHAnsi" w:cstheme="minorBidi"/>
          <w:iCs w:val="0"/>
          <w:noProof/>
          <w:sz w:val="22"/>
          <w:szCs w:val="22"/>
          <w:lang w:eastAsia="en-AU"/>
        </w:rPr>
      </w:pPr>
      <w:hyperlink w:anchor="_Toc364940406" w:history="1">
        <w:r w:rsidRPr="00A56253">
          <w:rPr>
            <w:rStyle w:val="Hyperlink"/>
            <w:noProof/>
          </w:rPr>
          <w:t>Final decision</w:t>
        </w:r>
        <w:r>
          <w:rPr>
            <w:noProof/>
            <w:webHidden/>
          </w:rPr>
          <w:tab/>
        </w:r>
        <w:r>
          <w:rPr>
            <w:noProof/>
            <w:webHidden/>
          </w:rPr>
          <w:fldChar w:fldCharType="begin"/>
        </w:r>
        <w:r>
          <w:rPr>
            <w:noProof/>
            <w:webHidden/>
          </w:rPr>
          <w:instrText xml:space="preserve"> PAGEREF _Toc364940406 \h </w:instrText>
        </w:r>
        <w:r>
          <w:rPr>
            <w:noProof/>
            <w:webHidden/>
          </w:rPr>
        </w:r>
        <w:r>
          <w:rPr>
            <w:noProof/>
            <w:webHidden/>
          </w:rPr>
          <w:fldChar w:fldCharType="separate"/>
        </w:r>
        <w:r w:rsidR="00506780">
          <w:rPr>
            <w:noProof/>
            <w:webHidden/>
          </w:rPr>
          <w:t>6</w:t>
        </w:r>
        <w:r>
          <w:rPr>
            <w:noProof/>
            <w:webHidden/>
          </w:rPr>
          <w:fldChar w:fldCharType="end"/>
        </w:r>
      </w:hyperlink>
    </w:p>
    <w:p w:rsidR="00C91FFC" w:rsidRDefault="00C91FF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4940407" w:history="1">
        <w:r w:rsidRPr="00A56253">
          <w:rPr>
            <w:rStyle w:val="Hyperlink"/>
            <w:noProof/>
          </w:rPr>
          <w:t>1</w:t>
        </w:r>
        <w:r>
          <w:rPr>
            <w:rFonts w:asciiTheme="minorHAnsi" w:eastAsiaTheme="minorEastAsia" w:hAnsiTheme="minorHAnsi" w:cstheme="minorBidi"/>
            <w:b w:val="0"/>
            <w:bCs w:val="0"/>
            <w:noProof/>
            <w:sz w:val="22"/>
            <w:szCs w:val="22"/>
            <w:lang w:eastAsia="en-AU"/>
          </w:rPr>
          <w:tab/>
        </w:r>
        <w:r w:rsidRPr="00A56253">
          <w:rPr>
            <w:rStyle w:val="Hyperlink"/>
            <w:noProof/>
          </w:rPr>
          <w:t>Introduction</w:t>
        </w:r>
        <w:r>
          <w:rPr>
            <w:noProof/>
            <w:webHidden/>
          </w:rPr>
          <w:tab/>
        </w:r>
        <w:r>
          <w:rPr>
            <w:noProof/>
            <w:webHidden/>
          </w:rPr>
          <w:fldChar w:fldCharType="begin"/>
        </w:r>
        <w:r>
          <w:rPr>
            <w:noProof/>
            <w:webHidden/>
          </w:rPr>
          <w:instrText xml:space="preserve"> PAGEREF _Toc364940407 \h </w:instrText>
        </w:r>
        <w:r>
          <w:rPr>
            <w:noProof/>
            <w:webHidden/>
          </w:rPr>
        </w:r>
        <w:r>
          <w:rPr>
            <w:noProof/>
            <w:webHidden/>
          </w:rPr>
          <w:fldChar w:fldCharType="separate"/>
        </w:r>
        <w:r w:rsidR="00506780">
          <w:rPr>
            <w:noProof/>
            <w:webHidden/>
          </w:rPr>
          <w:t>7</w:t>
        </w:r>
        <w:r>
          <w:rPr>
            <w:noProof/>
            <w:webHidden/>
          </w:rPr>
          <w:fldChar w:fldCharType="end"/>
        </w:r>
      </w:hyperlink>
    </w:p>
    <w:p w:rsidR="00C91FFC" w:rsidRDefault="00C91F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0408" w:history="1">
        <w:r w:rsidRPr="00A56253">
          <w:rPr>
            <w:rStyle w:val="Hyperlink"/>
            <w:noProof/>
          </w:rPr>
          <w:t>1.1</w:t>
        </w:r>
        <w:r>
          <w:rPr>
            <w:rFonts w:asciiTheme="minorHAnsi" w:eastAsiaTheme="minorEastAsia" w:hAnsiTheme="minorHAnsi" w:cstheme="minorBidi"/>
            <w:iCs w:val="0"/>
            <w:noProof/>
            <w:sz w:val="22"/>
            <w:szCs w:val="22"/>
            <w:lang w:eastAsia="en-AU"/>
          </w:rPr>
          <w:tab/>
        </w:r>
        <w:r w:rsidRPr="00A56253">
          <w:rPr>
            <w:rStyle w:val="Hyperlink"/>
            <w:noProof/>
          </w:rPr>
          <w:t>Requirements of the National Electricity Rules</w:t>
        </w:r>
        <w:r>
          <w:rPr>
            <w:noProof/>
            <w:webHidden/>
          </w:rPr>
          <w:tab/>
        </w:r>
        <w:r>
          <w:rPr>
            <w:noProof/>
            <w:webHidden/>
          </w:rPr>
          <w:fldChar w:fldCharType="begin"/>
        </w:r>
        <w:r>
          <w:rPr>
            <w:noProof/>
            <w:webHidden/>
          </w:rPr>
          <w:instrText xml:space="preserve"> PAGEREF _Toc364940408 \h </w:instrText>
        </w:r>
        <w:r>
          <w:rPr>
            <w:noProof/>
            <w:webHidden/>
          </w:rPr>
        </w:r>
        <w:r>
          <w:rPr>
            <w:noProof/>
            <w:webHidden/>
          </w:rPr>
          <w:fldChar w:fldCharType="separate"/>
        </w:r>
        <w:r w:rsidR="00506780">
          <w:rPr>
            <w:noProof/>
            <w:webHidden/>
          </w:rPr>
          <w:t>7</w:t>
        </w:r>
        <w:r>
          <w:rPr>
            <w:noProof/>
            <w:webHidden/>
          </w:rPr>
          <w:fldChar w:fldCharType="end"/>
        </w:r>
      </w:hyperlink>
    </w:p>
    <w:p w:rsidR="00C91FFC" w:rsidRDefault="00C91F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0409" w:history="1">
        <w:r w:rsidRPr="00A56253">
          <w:rPr>
            <w:rStyle w:val="Hyperlink"/>
            <w:noProof/>
          </w:rPr>
          <w:t>1.2</w:t>
        </w:r>
        <w:r>
          <w:rPr>
            <w:rFonts w:asciiTheme="minorHAnsi" w:eastAsiaTheme="minorEastAsia" w:hAnsiTheme="minorHAnsi" w:cstheme="minorBidi"/>
            <w:iCs w:val="0"/>
            <w:noProof/>
            <w:sz w:val="22"/>
            <w:szCs w:val="22"/>
            <w:lang w:eastAsia="en-AU"/>
          </w:rPr>
          <w:tab/>
        </w:r>
        <w:r w:rsidRPr="00A56253">
          <w:rPr>
            <w:rStyle w:val="Hyperlink"/>
            <w:noProof/>
          </w:rPr>
          <w:t>The RIT-D</w:t>
        </w:r>
        <w:r>
          <w:rPr>
            <w:noProof/>
            <w:webHidden/>
          </w:rPr>
          <w:tab/>
        </w:r>
        <w:r>
          <w:rPr>
            <w:noProof/>
            <w:webHidden/>
          </w:rPr>
          <w:fldChar w:fldCharType="begin"/>
        </w:r>
        <w:r>
          <w:rPr>
            <w:noProof/>
            <w:webHidden/>
          </w:rPr>
          <w:instrText xml:space="preserve"> PAGEREF _Toc364940409 \h </w:instrText>
        </w:r>
        <w:r>
          <w:rPr>
            <w:noProof/>
            <w:webHidden/>
          </w:rPr>
        </w:r>
        <w:r>
          <w:rPr>
            <w:noProof/>
            <w:webHidden/>
          </w:rPr>
          <w:fldChar w:fldCharType="separate"/>
        </w:r>
        <w:r w:rsidR="00506780">
          <w:rPr>
            <w:noProof/>
            <w:webHidden/>
          </w:rPr>
          <w:t>7</w:t>
        </w:r>
        <w:r>
          <w:rPr>
            <w:noProof/>
            <w:webHidden/>
          </w:rPr>
          <w:fldChar w:fldCharType="end"/>
        </w:r>
      </w:hyperlink>
    </w:p>
    <w:p w:rsidR="00C91FFC" w:rsidRDefault="00C91F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0410" w:history="1">
        <w:r w:rsidRPr="00A56253">
          <w:rPr>
            <w:rStyle w:val="Hyperlink"/>
            <w:noProof/>
          </w:rPr>
          <w:t>1.3</w:t>
        </w:r>
        <w:r>
          <w:rPr>
            <w:rFonts w:asciiTheme="minorHAnsi" w:eastAsiaTheme="minorEastAsia" w:hAnsiTheme="minorHAnsi" w:cstheme="minorBidi"/>
            <w:iCs w:val="0"/>
            <w:noProof/>
            <w:sz w:val="22"/>
            <w:szCs w:val="22"/>
            <w:lang w:eastAsia="en-AU"/>
          </w:rPr>
          <w:tab/>
        </w:r>
        <w:r w:rsidRPr="00A56253">
          <w:rPr>
            <w:rStyle w:val="Hyperlink"/>
            <w:noProof/>
          </w:rPr>
          <w:t>Consultation</w:t>
        </w:r>
        <w:r>
          <w:rPr>
            <w:noProof/>
            <w:webHidden/>
          </w:rPr>
          <w:tab/>
        </w:r>
        <w:r>
          <w:rPr>
            <w:noProof/>
            <w:webHidden/>
          </w:rPr>
          <w:fldChar w:fldCharType="begin"/>
        </w:r>
        <w:r>
          <w:rPr>
            <w:noProof/>
            <w:webHidden/>
          </w:rPr>
          <w:instrText xml:space="preserve"> PAGEREF _Toc364940410 \h </w:instrText>
        </w:r>
        <w:r>
          <w:rPr>
            <w:noProof/>
            <w:webHidden/>
          </w:rPr>
        </w:r>
        <w:r>
          <w:rPr>
            <w:noProof/>
            <w:webHidden/>
          </w:rPr>
          <w:fldChar w:fldCharType="separate"/>
        </w:r>
        <w:r w:rsidR="00506780">
          <w:rPr>
            <w:noProof/>
            <w:webHidden/>
          </w:rPr>
          <w:t>8</w:t>
        </w:r>
        <w:r>
          <w:rPr>
            <w:noProof/>
            <w:webHidden/>
          </w:rPr>
          <w:fldChar w:fldCharType="end"/>
        </w:r>
      </w:hyperlink>
    </w:p>
    <w:p w:rsidR="00C91FFC" w:rsidRDefault="00C91F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0411" w:history="1">
        <w:r w:rsidRPr="00A56253">
          <w:rPr>
            <w:rStyle w:val="Hyperlink"/>
            <w:noProof/>
          </w:rPr>
          <w:t>1.4</w:t>
        </w:r>
        <w:r>
          <w:rPr>
            <w:rFonts w:asciiTheme="minorHAnsi" w:eastAsiaTheme="minorEastAsia" w:hAnsiTheme="minorHAnsi" w:cstheme="minorBidi"/>
            <w:iCs w:val="0"/>
            <w:noProof/>
            <w:sz w:val="22"/>
            <w:szCs w:val="22"/>
            <w:lang w:eastAsia="en-AU"/>
          </w:rPr>
          <w:tab/>
        </w:r>
        <w:r w:rsidRPr="00A56253">
          <w:rPr>
            <w:rStyle w:val="Hyperlink"/>
            <w:noProof/>
          </w:rPr>
          <w:t>Structure of the final decision</w:t>
        </w:r>
        <w:r>
          <w:rPr>
            <w:noProof/>
            <w:webHidden/>
          </w:rPr>
          <w:tab/>
        </w:r>
        <w:r>
          <w:rPr>
            <w:noProof/>
            <w:webHidden/>
          </w:rPr>
          <w:fldChar w:fldCharType="begin"/>
        </w:r>
        <w:r>
          <w:rPr>
            <w:noProof/>
            <w:webHidden/>
          </w:rPr>
          <w:instrText xml:space="preserve"> PAGEREF _Toc364940411 \h </w:instrText>
        </w:r>
        <w:r>
          <w:rPr>
            <w:noProof/>
            <w:webHidden/>
          </w:rPr>
        </w:r>
        <w:r>
          <w:rPr>
            <w:noProof/>
            <w:webHidden/>
          </w:rPr>
          <w:fldChar w:fldCharType="separate"/>
        </w:r>
        <w:r w:rsidR="00506780">
          <w:rPr>
            <w:noProof/>
            <w:webHidden/>
          </w:rPr>
          <w:t>8</w:t>
        </w:r>
        <w:r>
          <w:rPr>
            <w:noProof/>
            <w:webHidden/>
          </w:rPr>
          <w:fldChar w:fldCharType="end"/>
        </w:r>
      </w:hyperlink>
    </w:p>
    <w:p w:rsidR="00C91FFC" w:rsidRDefault="00C91FF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4940412" w:history="1">
        <w:r w:rsidRPr="00A56253">
          <w:rPr>
            <w:rStyle w:val="Hyperlink"/>
            <w:noProof/>
          </w:rPr>
          <w:t>2</w:t>
        </w:r>
        <w:r>
          <w:rPr>
            <w:rFonts w:asciiTheme="minorHAnsi" w:eastAsiaTheme="minorEastAsia" w:hAnsiTheme="minorHAnsi" w:cstheme="minorBidi"/>
            <w:b w:val="0"/>
            <w:bCs w:val="0"/>
            <w:noProof/>
            <w:sz w:val="22"/>
            <w:szCs w:val="22"/>
            <w:lang w:eastAsia="en-AU"/>
          </w:rPr>
          <w:tab/>
        </w:r>
        <w:r w:rsidRPr="00A56253">
          <w:rPr>
            <w:rStyle w:val="Hyperlink"/>
            <w:noProof/>
          </w:rPr>
          <w:t>RIT-D and application guidelines</w:t>
        </w:r>
        <w:r>
          <w:rPr>
            <w:noProof/>
            <w:webHidden/>
          </w:rPr>
          <w:tab/>
        </w:r>
        <w:r>
          <w:rPr>
            <w:noProof/>
            <w:webHidden/>
          </w:rPr>
          <w:fldChar w:fldCharType="begin"/>
        </w:r>
        <w:r>
          <w:rPr>
            <w:noProof/>
            <w:webHidden/>
          </w:rPr>
          <w:instrText xml:space="preserve"> PAGEREF _Toc364940412 \h </w:instrText>
        </w:r>
        <w:r>
          <w:rPr>
            <w:noProof/>
            <w:webHidden/>
          </w:rPr>
        </w:r>
        <w:r>
          <w:rPr>
            <w:noProof/>
            <w:webHidden/>
          </w:rPr>
          <w:fldChar w:fldCharType="separate"/>
        </w:r>
        <w:r w:rsidR="00506780">
          <w:rPr>
            <w:noProof/>
            <w:webHidden/>
          </w:rPr>
          <w:t>9</w:t>
        </w:r>
        <w:r>
          <w:rPr>
            <w:noProof/>
            <w:webHidden/>
          </w:rPr>
          <w:fldChar w:fldCharType="end"/>
        </w:r>
      </w:hyperlink>
    </w:p>
    <w:p w:rsidR="00C91FFC" w:rsidRDefault="00C91F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0413" w:history="1">
        <w:r w:rsidRPr="00A56253">
          <w:rPr>
            <w:rStyle w:val="Hyperlink"/>
            <w:noProof/>
          </w:rPr>
          <w:t>2.1</w:t>
        </w:r>
        <w:r>
          <w:rPr>
            <w:rFonts w:asciiTheme="minorHAnsi" w:eastAsiaTheme="minorEastAsia" w:hAnsiTheme="minorHAnsi" w:cstheme="minorBidi"/>
            <w:iCs w:val="0"/>
            <w:noProof/>
            <w:sz w:val="22"/>
            <w:szCs w:val="22"/>
            <w:lang w:eastAsia="en-AU"/>
          </w:rPr>
          <w:tab/>
        </w:r>
        <w:r w:rsidRPr="00A56253">
          <w:rPr>
            <w:rStyle w:val="Hyperlink"/>
            <w:noProof/>
          </w:rPr>
          <w:t>Market benefit classes</w:t>
        </w:r>
        <w:r>
          <w:rPr>
            <w:noProof/>
            <w:webHidden/>
          </w:rPr>
          <w:tab/>
        </w:r>
        <w:r>
          <w:rPr>
            <w:noProof/>
            <w:webHidden/>
          </w:rPr>
          <w:fldChar w:fldCharType="begin"/>
        </w:r>
        <w:r>
          <w:rPr>
            <w:noProof/>
            <w:webHidden/>
          </w:rPr>
          <w:instrText xml:space="preserve"> PAGEREF _Toc364940413 \h </w:instrText>
        </w:r>
        <w:r>
          <w:rPr>
            <w:noProof/>
            <w:webHidden/>
          </w:rPr>
        </w:r>
        <w:r>
          <w:rPr>
            <w:noProof/>
            <w:webHidden/>
          </w:rPr>
          <w:fldChar w:fldCharType="separate"/>
        </w:r>
        <w:r w:rsidR="00506780">
          <w:rPr>
            <w:noProof/>
            <w:webHidden/>
          </w:rPr>
          <w:t>9</w:t>
        </w:r>
        <w:r>
          <w:rPr>
            <w:noProof/>
            <w:webHidden/>
          </w:rPr>
          <w:fldChar w:fldCharType="end"/>
        </w:r>
      </w:hyperlink>
    </w:p>
    <w:p w:rsidR="00C91FFC" w:rsidRDefault="00C91F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0414" w:history="1">
        <w:r w:rsidRPr="00A56253">
          <w:rPr>
            <w:rStyle w:val="Hyperlink"/>
            <w:noProof/>
          </w:rPr>
          <w:t>2.2</w:t>
        </w:r>
        <w:r>
          <w:rPr>
            <w:rFonts w:asciiTheme="minorHAnsi" w:eastAsiaTheme="minorEastAsia" w:hAnsiTheme="minorHAnsi" w:cstheme="minorBidi"/>
            <w:iCs w:val="0"/>
            <w:noProof/>
            <w:sz w:val="22"/>
            <w:szCs w:val="22"/>
            <w:lang w:eastAsia="en-AU"/>
          </w:rPr>
          <w:tab/>
        </w:r>
        <w:r w:rsidRPr="00A56253">
          <w:rPr>
            <w:rStyle w:val="Hyperlink"/>
            <w:noProof/>
          </w:rPr>
          <w:t>Customer initiated projects</w:t>
        </w:r>
        <w:r>
          <w:rPr>
            <w:noProof/>
            <w:webHidden/>
          </w:rPr>
          <w:tab/>
        </w:r>
        <w:r>
          <w:rPr>
            <w:noProof/>
            <w:webHidden/>
          </w:rPr>
          <w:fldChar w:fldCharType="begin"/>
        </w:r>
        <w:r>
          <w:rPr>
            <w:noProof/>
            <w:webHidden/>
          </w:rPr>
          <w:instrText xml:space="preserve"> PAGEREF _Toc364940414 \h </w:instrText>
        </w:r>
        <w:r>
          <w:rPr>
            <w:noProof/>
            <w:webHidden/>
          </w:rPr>
        </w:r>
        <w:r>
          <w:rPr>
            <w:noProof/>
            <w:webHidden/>
          </w:rPr>
          <w:fldChar w:fldCharType="separate"/>
        </w:r>
        <w:r w:rsidR="00506780">
          <w:rPr>
            <w:noProof/>
            <w:webHidden/>
          </w:rPr>
          <w:t>10</w:t>
        </w:r>
        <w:r>
          <w:rPr>
            <w:noProof/>
            <w:webHidden/>
          </w:rPr>
          <w:fldChar w:fldCharType="end"/>
        </w:r>
      </w:hyperlink>
    </w:p>
    <w:p w:rsidR="00C91FFC" w:rsidRDefault="00C91F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0415" w:history="1">
        <w:r w:rsidRPr="00A56253">
          <w:rPr>
            <w:rStyle w:val="Hyperlink"/>
            <w:noProof/>
          </w:rPr>
          <w:t>2.3</w:t>
        </w:r>
        <w:r>
          <w:rPr>
            <w:rFonts w:asciiTheme="minorHAnsi" w:eastAsiaTheme="minorEastAsia" w:hAnsiTheme="minorHAnsi" w:cstheme="minorBidi"/>
            <w:iCs w:val="0"/>
            <w:noProof/>
            <w:sz w:val="22"/>
            <w:szCs w:val="22"/>
            <w:lang w:eastAsia="en-AU"/>
          </w:rPr>
          <w:tab/>
        </w:r>
        <w:r w:rsidRPr="00A56253">
          <w:rPr>
            <w:rStyle w:val="Hyperlink"/>
            <w:noProof/>
          </w:rPr>
          <w:t>Removal of the base case</w:t>
        </w:r>
        <w:r>
          <w:rPr>
            <w:noProof/>
            <w:webHidden/>
          </w:rPr>
          <w:tab/>
        </w:r>
        <w:r>
          <w:rPr>
            <w:noProof/>
            <w:webHidden/>
          </w:rPr>
          <w:fldChar w:fldCharType="begin"/>
        </w:r>
        <w:r>
          <w:rPr>
            <w:noProof/>
            <w:webHidden/>
          </w:rPr>
          <w:instrText xml:space="preserve"> PAGEREF _Toc364940415 \h </w:instrText>
        </w:r>
        <w:r>
          <w:rPr>
            <w:noProof/>
            <w:webHidden/>
          </w:rPr>
        </w:r>
        <w:r>
          <w:rPr>
            <w:noProof/>
            <w:webHidden/>
          </w:rPr>
          <w:fldChar w:fldCharType="separate"/>
        </w:r>
        <w:r w:rsidR="00506780">
          <w:rPr>
            <w:noProof/>
            <w:webHidden/>
          </w:rPr>
          <w:t>10</w:t>
        </w:r>
        <w:r>
          <w:rPr>
            <w:noProof/>
            <w:webHidden/>
          </w:rPr>
          <w:fldChar w:fldCharType="end"/>
        </w:r>
      </w:hyperlink>
    </w:p>
    <w:p w:rsidR="00C91FFC" w:rsidRDefault="00C91F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0416" w:history="1">
        <w:r w:rsidRPr="00A56253">
          <w:rPr>
            <w:rStyle w:val="Hyperlink"/>
            <w:noProof/>
          </w:rPr>
          <w:t>2.4</w:t>
        </w:r>
        <w:r>
          <w:rPr>
            <w:rFonts w:asciiTheme="minorHAnsi" w:eastAsiaTheme="minorEastAsia" w:hAnsiTheme="minorHAnsi" w:cstheme="minorBidi"/>
            <w:iCs w:val="0"/>
            <w:noProof/>
            <w:sz w:val="22"/>
            <w:szCs w:val="22"/>
            <w:lang w:eastAsia="en-AU"/>
          </w:rPr>
          <w:tab/>
        </w:r>
        <w:r w:rsidRPr="00A56253">
          <w:rPr>
            <w:rStyle w:val="Hyperlink"/>
            <w:noProof/>
          </w:rPr>
          <w:t>Additional distribution level market benefits</w:t>
        </w:r>
        <w:r>
          <w:rPr>
            <w:noProof/>
            <w:webHidden/>
          </w:rPr>
          <w:tab/>
        </w:r>
        <w:r>
          <w:rPr>
            <w:noProof/>
            <w:webHidden/>
          </w:rPr>
          <w:fldChar w:fldCharType="begin"/>
        </w:r>
        <w:r>
          <w:rPr>
            <w:noProof/>
            <w:webHidden/>
          </w:rPr>
          <w:instrText xml:space="preserve"> PAGEREF _Toc364940416 \h </w:instrText>
        </w:r>
        <w:r>
          <w:rPr>
            <w:noProof/>
            <w:webHidden/>
          </w:rPr>
        </w:r>
        <w:r>
          <w:rPr>
            <w:noProof/>
            <w:webHidden/>
          </w:rPr>
          <w:fldChar w:fldCharType="separate"/>
        </w:r>
        <w:r w:rsidR="00506780">
          <w:rPr>
            <w:noProof/>
            <w:webHidden/>
          </w:rPr>
          <w:t>11</w:t>
        </w:r>
        <w:r>
          <w:rPr>
            <w:noProof/>
            <w:webHidden/>
          </w:rPr>
          <w:fldChar w:fldCharType="end"/>
        </w:r>
      </w:hyperlink>
    </w:p>
    <w:p w:rsidR="00C91FFC" w:rsidRDefault="00C91F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0417" w:history="1">
        <w:r w:rsidRPr="00A56253">
          <w:rPr>
            <w:rStyle w:val="Hyperlink"/>
            <w:noProof/>
          </w:rPr>
          <w:t>2.5</w:t>
        </w:r>
        <w:r>
          <w:rPr>
            <w:rFonts w:asciiTheme="minorHAnsi" w:eastAsiaTheme="minorEastAsia" w:hAnsiTheme="minorHAnsi" w:cstheme="minorBidi"/>
            <w:iCs w:val="0"/>
            <w:noProof/>
            <w:sz w:val="22"/>
            <w:szCs w:val="22"/>
            <w:lang w:eastAsia="en-AU"/>
          </w:rPr>
          <w:tab/>
        </w:r>
        <w:r w:rsidRPr="00A56253">
          <w:rPr>
            <w:rStyle w:val="Hyperlink"/>
            <w:noProof/>
          </w:rPr>
          <w:t>STPIS</w:t>
        </w:r>
        <w:r>
          <w:rPr>
            <w:noProof/>
            <w:webHidden/>
          </w:rPr>
          <w:tab/>
        </w:r>
        <w:r>
          <w:rPr>
            <w:noProof/>
            <w:webHidden/>
          </w:rPr>
          <w:fldChar w:fldCharType="begin"/>
        </w:r>
        <w:r>
          <w:rPr>
            <w:noProof/>
            <w:webHidden/>
          </w:rPr>
          <w:instrText xml:space="preserve"> PAGEREF _Toc364940417 \h </w:instrText>
        </w:r>
        <w:r>
          <w:rPr>
            <w:noProof/>
            <w:webHidden/>
          </w:rPr>
        </w:r>
        <w:r>
          <w:rPr>
            <w:noProof/>
            <w:webHidden/>
          </w:rPr>
          <w:fldChar w:fldCharType="separate"/>
        </w:r>
        <w:r w:rsidR="00506780">
          <w:rPr>
            <w:noProof/>
            <w:webHidden/>
          </w:rPr>
          <w:t>14</w:t>
        </w:r>
        <w:r>
          <w:rPr>
            <w:noProof/>
            <w:webHidden/>
          </w:rPr>
          <w:fldChar w:fldCharType="end"/>
        </w:r>
      </w:hyperlink>
    </w:p>
    <w:p w:rsidR="00C91FFC" w:rsidRDefault="00C91F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0418" w:history="1">
        <w:r w:rsidRPr="00A56253">
          <w:rPr>
            <w:rStyle w:val="Hyperlink"/>
            <w:noProof/>
          </w:rPr>
          <w:t>2.6</w:t>
        </w:r>
        <w:r>
          <w:rPr>
            <w:rFonts w:asciiTheme="minorHAnsi" w:eastAsiaTheme="minorEastAsia" w:hAnsiTheme="minorHAnsi" w:cstheme="minorBidi"/>
            <w:iCs w:val="0"/>
            <w:noProof/>
            <w:sz w:val="22"/>
            <w:szCs w:val="22"/>
            <w:lang w:eastAsia="en-AU"/>
          </w:rPr>
          <w:tab/>
        </w:r>
        <w:r w:rsidRPr="00A56253">
          <w:rPr>
            <w:rStyle w:val="Hyperlink"/>
            <w:noProof/>
          </w:rPr>
          <w:t>Interested parties</w:t>
        </w:r>
        <w:r>
          <w:rPr>
            <w:noProof/>
            <w:webHidden/>
          </w:rPr>
          <w:tab/>
        </w:r>
        <w:r>
          <w:rPr>
            <w:noProof/>
            <w:webHidden/>
          </w:rPr>
          <w:fldChar w:fldCharType="begin"/>
        </w:r>
        <w:r>
          <w:rPr>
            <w:noProof/>
            <w:webHidden/>
          </w:rPr>
          <w:instrText xml:space="preserve"> PAGEREF _Toc364940418 \h </w:instrText>
        </w:r>
        <w:r>
          <w:rPr>
            <w:noProof/>
            <w:webHidden/>
          </w:rPr>
        </w:r>
        <w:r>
          <w:rPr>
            <w:noProof/>
            <w:webHidden/>
          </w:rPr>
          <w:fldChar w:fldCharType="separate"/>
        </w:r>
        <w:r w:rsidR="00506780">
          <w:rPr>
            <w:noProof/>
            <w:webHidden/>
          </w:rPr>
          <w:t>14</w:t>
        </w:r>
        <w:r>
          <w:rPr>
            <w:noProof/>
            <w:webHidden/>
          </w:rPr>
          <w:fldChar w:fldCharType="end"/>
        </w:r>
      </w:hyperlink>
    </w:p>
    <w:p w:rsidR="00C91FFC" w:rsidRDefault="00C91F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0419" w:history="1">
        <w:r w:rsidRPr="00A56253">
          <w:rPr>
            <w:rStyle w:val="Hyperlink"/>
            <w:noProof/>
          </w:rPr>
          <w:t>2.7</w:t>
        </w:r>
        <w:r>
          <w:rPr>
            <w:rFonts w:asciiTheme="minorHAnsi" w:eastAsiaTheme="minorEastAsia" w:hAnsiTheme="minorHAnsi" w:cstheme="minorBidi"/>
            <w:iCs w:val="0"/>
            <w:noProof/>
            <w:sz w:val="22"/>
            <w:szCs w:val="22"/>
            <w:lang w:eastAsia="en-AU"/>
          </w:rPr>
          <w:tab/>
        </w:r>
        <w:r w:rsidRPr="00A56253">
          <w:rPr>
            <w:rStyle w:val="Hyperlink"/>
            <w:noProof/>
          </w:rPr>
          <w:t>Discount rates</w:t>
        </w:r>
        <w:r>
          <w:rPr>
            <w:noProof/>
            <w:webHidden/>
          </w:rPr>
          <w:tab/>
        </w:r>
        <w:r>
          <w:rPr>
            <w:noProof/>
            <w:webHidden/>
          </w:rPr>
          <w:fldChar w:fldCharType="begin"/>
        </w:r>
        <w:r>
          <w:rPr>
            <w:noProof/>
            <w:webHidden/>
          </w:rPr>
          <w:instrText xml:space="preserve"> PAGEREF _Toc364940419 \h </w:instrText>
        </w:r>
        <w:r>
          <w:rPr>
            <w:noProof/>
            <w:webHidden/>
          </w:rPr>
        </w:r>
        <w:r>
          <w:rPr>
            <w:noProof/>
            <w:webHidden/>
          </w:rPr>
          <w:fldChar w:fldCharType="separate"/>
        </w:r>
        <w:r w:rsidR="00506780">
          <w:rPr>
            <w:noProof/>
            <w:webHidden/>
          </w:rPr>
          <w:t>15</w:t>
        </w:r>
        <w:r>
          <w:rPr>
            <w:noProof/>
            <w:webHidden/>
          </w:rPr>
          <w:fldChar w:fldCharType="end"/>
        </w:r>
      </w:hyperlink>
    </w:p>
    <w:p w:rsidR="00C91FFC" w:rsidRDefault="00C91F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0420" w:history="1">
        <w:r w:rsidRPr="00A56253">
          <w:rPr>
            <w:rStyle w:val="Hyperlink"/>
            <w:noProof/>
          </w:rPr>
          <w:t>2.8</w:t>
        </w:r>
        <w:r>
          <w:rPr>
            <w:rFonts w:asciiTheme="minorHAnsi" w:eastAsiaTheme="minorEastAsia" w:hAnsiTheme="minorHAnsi" w:cstheme="minorBidi"/>
            <w:iCs w:val="0"/>
            <w:noProof/>
            <w:sz w:val="22"/>
            <w:szCs w:val="22"/>
            <w:lang w:eastAsia="en-AU"/>
          </w:rPr>
          <w:tab/>
        </w:r>
        <w:r w:rsidRPr="00A56253">
          <w:rPr>
            <w:rStyle w:val="Hyperlink"/>
            <w:noProof/>
          </w:rPr>
          <w:t>Deemed Values</w:t>
        </w:r>
        <w:r>
          <w:rPr>
            <w:noProof/>
            <w:webHidden/>
          </w:rPr>
          <w:tab/>
        </w:r>
        <w:r>
          <w:rPr>
            <w:noProof/>
            <w:webHidden/>
          </w:rPr>
          <w:fldChar w:fldCharType="begin"/>
        </w:r>
        <w:r>
          <w:rPr>
            <w:noProof/>
            <w:webHidden/>
          </w:rPr>
          <w:instrText xml:space="preserve"> PAGEREF _Toc364940420 \h </w:instrText>
        </w:r>
        <w:r>
          <w:rPr>
            <w:noProof/>
            <w:webHidden/>
          </w:rPr>
        </w:r>
        <w:r>
          <w:rPr>
            <w:noProof/>
            <w:webHidden/>
          </w:rPr>
          <w:fldChar w:fldCharType="separate"/>
        </w:r>
        <w:r w:rsidR="00506780">
          <w:rPr>
            <w:noProof/>
            <w:webHidden/>
          </w:rPr>
          <w:t>16</w:t>
        </w:r>
        <w:r>
          <w:rPr>
            <w:noProof/>
            <w:webHidden/>
          </w:rPr>
          <w:fldChar w:fldCharType="end"/>
        </w:r>
      </w:hyperlink>
    </w:p>
    <w:p w:rsidR="00C91FFC" w:rsidRDefault="00C91F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0421" w:history="1">
        <w:r w:rsidRPr="00A56253">
          <w:rPr>
            <w:rStyle w:val="Hyperlink"/>
            <w:noProof/>
          </w:rPr>
          <w:t>2.9</w:t>
        </w:r>
        <w:r>
          <w:rPr>
            <w:rFonts w:asciiTheme="minorHAnsi" w:eastAsiaTheme="minorEastAsia" w:hAnsiTheme="minorHAnsi" w:cstheme="minorBidi"/>
            <w:iCs w:val="0"/>
            <w:noProof/>
            <w:sz w:val="22"/>
            <w:szCs w:val="22"/>
            <w:lang w:eastAsia="en-AU"/>
          </w:rPr>
          <w:tab/>
        </w:r>
        <w:r w:rsidRPr="00A56253">
          <w:rPr>
            <w:rStyle w:val="Hyperlink"/>
            <w:noProof/>
          </w:rPr>
          <w:t>Guidance on stakeholder consultation</w:t>
        </w:r>
        <w:r>
          <w:rPr>
            <w:noProof/>
            <w:webHidden/>
          </w:rPr>
          <w:tab/>
        </w:r>
        <w:r>
          <w:rPr>
            <w:noProof/>
            <w:webHidden/>
          </w:rPr>
          <w:fldChar w:fldCharType="begin"/>
        </w:r>
        <w:r>
          <w:rPr>
            <w:noProof/>
            <w:webHidden/>
          </w:rPr>
          <w:instrText xml:space="preserve"> PAGEREF _Toc364940421 \h </w:instrText>
        </w:r>
        <w:r>
          <w:rPr>
            <w:noProof/>
            <w:webHidden/>
          </w:rPr>
        </w:r>
        <w:r>
          <w:rPr>
            <w:noProof/>
            <w:webHidden/>
          </w:rPr>
          <w:fldChar w:fldCharType="separate"/>
        </w:r>
        <w:r w:rsidR="00506780">
          <w:rPr>
            <w:noProof/>
            <w:webHidden/>
          </w:rPr>
          <w:t>16</w:t>
        </w:r>
        <w:r>
          <w:rPr>
            <w:noProof/>
            <w:webHidden/>
          </w:rPr>
          <w:fldChar w:fldCharType="end"/>
        </w:r>
      </w:hyperlink>
    </w:p>
    <w:p w:rsidR="00C91FFC" w:rsidRDefault="00C91FFC">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64940422" w:history="1">
        <w:r w:rsidRPr="00A56253">
          <w:rPr>
            <w:rStyle w:val="Hyperlink"/>
            <w:noProof/>
          </w:rPr>
          <w:t>2.10</w:t>
        </w:r>
        <w:r>
          <w:rPr>
            <w:rFonts w:asciiTheme="minorHAnsi" w:eastAsiaTheme="minorEastAsia" w:hAnsiTheme="minorHAnsi" w:cstheme="minorBidi"/>
            <w:iCs w:val="0"/>
            <w:noProof/>
            <w:sz w:val="22"/>
            <w:szCs w:val="22"/>
            <w:lang w:eastAsia="en-AU"/>
          </w:rPr>
          <w:tab/>
        </w:r>
        <w:r w:rsidRPr="00A56253">
          <w:rPr>
            <w:rStyle w:val="Hyperlink"/>
            <w:noProof/>
          </w:rPr>
          <w:t>Clause 5.17.4(d) notices and screening for non-network options</w:t>
        </w:r>
        <w:r>
          <w:rPr>
            <w:noProof/>
            <w:webHidden/>
          </w:rPr>
          <w:tab/>
        </w:r>
        <w:r>
          <w:rPr>
            <w:noProof/>
            <w:webHidden/>
          </w:rPr>
          <w:fldChar w:fldCharType="begin"/>
        </w:r>
        <w:r>
          <w:rPr>
            <w:noProof/>
            <w:webHidden/>
          </w:rPr>
          <w:instrText xml:space="preserve"> PAGEREF _Toc364940422 \h </w:instrText>
        </w:r>
        <w:r>
          <w:rPr>
            <w:noProof/>
            <w:webHidden/>
          </w:rPr>
        </w:r>
        <w:r>
          <w:rPr>
            <w:noProof/>
            <w:webHidden/>
          </w:rPr>
          <w:fldChar w:fldCharType="separate"/>
        </w:r>
        <w:r w:rsidR="00506780">
          <w:rPr>
            <w:noProof/>
            <w:webHidden/>
          </w:rPr>
          <w:t>17</w:t>
        </w:r>
        <w:r>
          <w:rPr>
            <w:noProof/>
            <w:webHidden/>
          </w:rPr>
          <w:fldChar w:fldCharType="end"/>
        </w:r>
      </w:hyperlink>
    </w:p>
    <w:p w:rsidR="00C91FFC" w:rsidRDefault="00C91FFC">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64940423" w:history="1">
        <w:r w:rsidRPr="00A56253">
          <w:rPr>
            <w:rStyle w:val="Hyperlink"/>
            <w:noProof/>
          </w:rPr>
          <w:t>2.11</w:t>
        </w:r>
        <w:r>
          <w:rPr>
            <w:rFonts w:asciiTheme="minorHAnsi" w:eastAsiaTheme="minorEastAsia" w:hAnsiTheme="minorHAnsi" w:cstheme="minorBidi"/>
            <w:iCs w:val="0"/>
            <w:noProof/>
            <w:sz w:val="22"/>
            <w:szCs w:val="22"/>
            <w:lang w:eastAsia="en-AU"/>
          </w:rPr>
          <w:tab/>
        </w:r>
        <w:r w:rsidRPr="00A56253">
          <w:rPr>
            <w:rStyle w:val="Hyperlink"/>
            <w:noProof/>
          </w:rPr>
          <w:t>Guidance on the lead party in joint planning</w:t>
        </w:r>
        <w:r>
          <w:rPr>
            <w:noProof/>
            <w:webHidden/>
          </w:rPr>
          <w:tab/>
        </w:r>
        <w:r>
          <w:rPr>
            <w:noProof/>
            <w:webHidden/>
          </w:rPr>
          <w:fldChar w:fldCharType="begin"/>
        </w:r>
        <w:r>
          <w:rPr>
            <w:noProof/>
            <w:webHidden/>
          </w:rPr>
          <w:instrText xml:space="preserve"> PAGEREF _Toc364940423 \h </w:instrText>
        </w:r>
        <w:r>
          <w:rPr>
            <w:noProof/>
            <w:webHidden/>
          </w:rPr>
        </w:r>
        <w:r>
          <w:rPr>
            <w:noProof/>
            <w:webHidden/>
          </w:rPr>
          <w:fldChar w:fldCharType="separate"/>
        </w:r>
        <w:r w:rsidR="00506780">
          <w:rPr>
            <w:noProof/>
            <w:webHidden/>
          </w:rPr>
          <w:t>18</w:t>
        </w:r>
        <w:r>
          <w:rPr>
            <w:noProof/>
            <w:webHidden/>
          </w:rPr>
          <w:fldChar w:fldCharType="end"/>
        </w:r>
      </w:hyperlink>
    </w:p>
    <w:p w:rsidR="00C91FFC" w:rsidRDefault="00C91FFC">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64940424" w:history="1">
        <w:r w:rsidRPr="00A56253">
          <w:rPr>
            <w:rStyle w:val="Hyperlink"/>
            <w:noProof/>
          </w:rPr>
          <w:t>2.12</w:t>
        </w:r>
        <w:r>
          <w:rPr>
            <w:rFonts w:asciiTheme="minorHAnsi" w:eastAsiaTheme="minorEastAsia" w:hAnsiTheme="minorHAnsi" w:cstheme="minorBidi"/>
            <w:iCs w:val="0"/>
            <w:noProof/>
            <w:sz w:val="22"/>
            <w:szCs w:val="22"/>
            <w:lang w:eastAsia="en-AU"/>
          </w:rPr>
          <w:tab/>
        </w:r>
        <w:r w:rsidRPr="00A56253">
          <w:rPr>
            <w:rStyle w:val="Hyperlink"/>
            <w:noProof/>
          </w:rPr>
          <w:t>Reapplication of the RIT-D</w:t>
        </w:r>
        <w:r>
          <w:rPr>
            <w:noProof/>
            <w:webHidden/>
          </w:rPr>
          <w:tab/>
        </w:r>
        <w:r>
          <w:rPr>
            <w:noProof/>
            <w:webHidden/>
          </w:rPr>
          <w:fldChar w:fldCharType="begin"/>
        </w:r>
        <w:r>
          <w:rPr>
            <w:noProof/>
            <w:webHidden/>
          </w:rPr>
          <w:instrText xml:space="preserve"> PAGEREF _Toc364940424 \h </w:instrText>
        </w:r>
        <w:r>
          <w:rPr>
            <w:noProof/>
            <w:webHidden/>
          </w:rPr>
        </w:r>
        <w:r>
          <w:rPr>
            <w:noProof/>
            <w:webHidden/>
          </w:rPr>
          <w:fldChar w:fldCharType="separate"/>
        </w:r>
        <w:r w:rsidR="00506780">
          <w:rPr>
            <w:noProof/>
            <w:webHidden/>
          </w:rPr>
          <w:t>18</w:t>
        </w:r>
        <w:r>
          <w:rPr>
            <w:noProof/>
            <w:webHidden/>
          </w:rPr>
          <w:fldChar w:fldCharType="end"/>
        </w:r>
      </w:hyperlink>
    </w:p>
    <w:p w:rsidR="00C91FFC" w:rsidRDefault="00C91FFC">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64940425" w:history="1">
        <w:r w:rsidRPr="00A56253">
          <w:rPr>
            <w:rStyle w:val="Hyperlink"/>
            <w:noProof/>
          </w:rPr>
          <w:t>2.13</w:t>
        </w:r>
        <w:r>
          <w:rPr>
            <w:rFonts w:asciiTheme="minorHAnsi" w:eastAsiaTheme="minorEastAsia" w:hAnsiTheme="minorHAnsi" w:cstheme="minorBidi"/>
            <w:iCs w:val="0"/>
            <w:noProof/>
            <w:sz w:val="22"/>
            <w:szCs w:val="22"/>
            <w:lang w:eastAsia="en-AU"/>
          </w:rPr>
          <w:tab/>
        </w:r>
        <w:r w:rsidRPr="00A56253">
          <w:rPr>
            <w:rStyle w:val="Hyperlink"/>
            <w:noProof/>
          </w:rPr>
          <w:t>Transition from Regulatory Test</w:t>
        </w:r>
        <w:r>
          <w:rPr>
            <w:noProof/>
            <w:webHidden/>
          </w:rPr>
          <w:tab/>
        </w:r>
        <w:r>
          <w:rPr>
            <w:noProof/>
            <w:webHidden/>
          </w:rPr>
          <w:fldChar w:fldCharType="begin"/>
        </w:r>
        <w:r>
          <w:rPr>
            <w:noProof/>
            <w:webHidden/>
          </w:rPr>
          <w:instrText xml:space="preserve"> PAGEREF _Toc364940425 \h </w:instrText>
        </w:r>
        <w:r>
          <w:rPr>
            <w:noProof/>
            <w:webHidden/>
          </w:rPr>
        </w:r>
        <w:r>
          <w:rPr>
            <w:noProof/>
            <w:webHidden/>
          </w:rPr>
          <w:fldChar w:fldCharType="separate"/>
        </w:r>
        <w:r w:rsidR="00506780">
          <w:rPr>
            <w:noProof/>
            <w:webHidden/>
          </w:rPr>
          <w:t>19</w:t>
        </w:r>
        <w:r>
          <w:rPr>
            <w:noProof/>
            <w:webHidden/>
          </w:rPr>
          <w:fldChar w:fldCharType="end"/>
        </w:r>
      </w:hyperlink>
    </w:p>
    <w:p w:rsidR="00C91FFC" w:rsidRDefault="00C91FFC">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64940426" w:history="1">
        <w:r w:rsidRPr="00A56253">
          <w:rPr>
            <w:rStyle w:val="Hyperlink"/>
            <w:noProof/>
          </w:rPr>
          <w:t>2.14</w:t>
        </w:r>
        <w:r>
          <w:rPr>
            <w:rFonts w:asciiTheme="minorHAnsi" w:eastAsiaTheme="minorEastAsia" w:hAnsiTheme="minorHAnsi" w:cstheme="minorBidi"/>
            <w:iCs w:val="0"/>
            <w:noProof/>
            <w:sz w:val="22"/>
            <w:szCs w:val="22"/>
            <w:lang w:eastAsia="en-AU"/>
          </w:rPr>
          <w:tab/>
        </w:r>
        <w:r w:rsidRPr="00A56253">
          <w:rPr>
            <w:rStyle w:val="Hyperlink"/>
            <w:noProof/>
          </w:rPr>
          <w:t>Estimating option value</w:t>
        </w:r>
        <w:r>
          <w:rPr>
            <w:noProof/>
            <w:webHidden/>
          </w:rPr>
          <w:tab/>
        </w:r>
        <w:r>
          <w:rPr>
            <w:noProof/>
            <w:webHidden/>
          </w:rPr>
          <w:fldChar w:fldCharType="begin"/>
        </w:r>
        <w:r>
          <w:rPr>
            <w:noProof/>
            <w:webHidden/>
          </w:rPr>
          <w:instrText xml:space="preserve"> PAGEREF _Toc364940426 \h </w:instrText>
        </w:r>
        <w:r>
          <w:rPr>
            <w:noProof/>
            <w:webHidden/>
          </w:rPr>
        </w:r>
        <w:r>
          <w:rPr>
            <w:noProof/>
            <w:webHidden/>
          </w:rPr>
          <w:fldChar w:fldCharType="separate"/>
        </w:r>
        <w:r w:rsidR="00506780">
          <w:rPr>
            <w:noProof/>
            <w:webHidden/>
          </w:rPr>
          <w:t>20</w:t>
        </w:r>
        <w:r>
          <w:rPr>
            <w:noProof/>
            <w:webHidden/>
          </w:rPr>
          <w:fldChar w:fldCharType="end"/>
        </w:r>
      </w:hyperlink>
    </w:p>
    <w:p w:rsidR="00C91FFC" w:rsidRDefault="00C91FFC">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64940427" w:history="1">
        <w:r w:rsidRPr="00A56253">
          <w:rPr>
            <w:rStyle w:val="Hyperlink"/>
            <w:noProof/>
          </w:rPr>
          <w:t>2.15</w:t>
        </w:r>
        <w:r>
          <w:rPr>
            <w:rFonts w:asciiTheme="minorHAnsi" w:eastAsiaTheme="minorEastAsia" w:hAnsiTheme="minorHAnsi" w:cstheme="minorBidi"/>
            <w:iCs w:val="0"/>
            <w:noProof/>
            <w:sz w:val="22"/>
            <w:szCs w:val="22"/>
            <w:lang w:eastAsia="en-AU"/>
          </w:rPr>
          <w:tab/>
        </w:r>
        <w:r w:rsidRPr="00A56253">
          <w:rPr>
            <w:rStyle w:val="Hyperlink"/>
            <w:noProof/>
          </w:rPr>
          <w:t>Reasonable scenarios and sensitivities</w:t>
        </w:r>
        <w:r>
          <w:rPr>
            <w:noProof/>
            <w:webHidden/>
          </w:rPr>
          <w:tab/>
        </w:r>
        <w:r>
          <w:rPr>
            <w:noProof/>
            <w:webHidden/>
          </w:rPr>
          <w:fldChar w:fldCharType="begin"/>
        </w:r>
        <w:r>
          <w:rPr>
            <w:noProof/>
            <w:webHidden/>
          </w:rPr>
          <w:instrText xml:space="preserve"> PAGEREF _Toc364940427 \h </w:instrText>
        </w:r>
        <w:r>
          <w:rPr>
            <w:noProof/>
            <w:webHidden/>
          </w:rPr>
        </w:r>
        <w:r>
          <w:rPr>
            <w:noProof/>
            <w:webHidden/>
          </w:rPr>
          <w:fldChar w:fldCharType="separate"/>
        </w:r>
        <w:r w:rsidR="00506780">
          <w:rPr>
            <w:noProof/>
            <w:webHidden/>
          </w:rPr>
          <w:t>21</w:t>
        </w:r>
        <w:r>
          <w:rPr>
            <w:noProof/>
            <w:webHidden/>
          </w:rPr>
          <w:fldChar w:fldCharType="end"/>
        </w:r>
      </w:hyperlink>
    </w:p>
    <w:p w:rsidR="00C91FFC" w:rsidRDefault="00C91FFC">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64940428" w:history="1">
        <w:r w:rsidRPr="00A56253">
          <w:rPr>
            <w:rStyle w:val="Hyperlink"/>
            <w:noProof/>
          </w:rPr>
          <w:t>2.16</w:t>
        </w:r>
        <w:r>
          <w:rPr>
            <w:rFonts w:asciiTheme="minorHAnsi" w:eastAsiaTheme="minorEastAsia" w:hAnsiTheme="minorHAnsi" w:cstheme="minorBidi"/>
            <w:iCs w:val="0"/>
            <w:noProof/>
            <w:sz w:val="22"/>
            <w:szCs w:val="22"/>
            <w:lang w:eastAsia="en-AU"/>
          </w:rPr>
          <w:tab/>
        </w:r>
        <w:r w:rsidRPr="00A56253">
          <w:rPr>
            <w:rStyle w:val="Hyperlink"/>
            <w:noProof/>
          </w:rPr>
          <w:t>Estimating costs generally</w:t>
        </w:r>
        <w:r>
          <w:rPr>
            <w:noProof/>
            <w:webHidden/>
          </w:rPr>
          <w:tab/>
        </w:r>
        <w:r>
          <w:rPr>
            <w:noProof/>
            <w:webHidden/>
          </w:rPr>
          <w:fldChar w:fldCharType="begin"/>
        </w:r>
        <w:r>
          <w:rPr>
            <w:noProof/>
            <w:webHidden/>
          </w:rPr>
          <w:instrText xml:space="preserve"> PAGEREF _Toc364940428 \h </w:instrText>
        </w:r>
        <w:r>
          <w:rPr>
            <w:noProof/>
            <w:webHidden/>
          </w:rPr>
        </w:r>
        <w:r>
          <w:rPr>
            <w:noProof/>
            <w:webHidden/>
          </w:rPr>
          <w:fldChar w:fldCharType="separate"/>
        </w:r>
        <w:r w:rsidR="00506780">
          <w:rPr>
            <w:noProof/>
            <w:webHidden/>
          </w:rPr>
          <w:t>22</w:t>
        </w:r>
        <w:r>
          <w:rPr>
            <w:noProof/>
            <w:webHidden/>
          </w:rPr>
          <w:fldChar w:fldCharType="end"/>
        </w:r>
      </w:hyperlink>
    </w:p>
    <w:p w:rsidR="00C91FFC" w:rsidRDefault="00C91FFC">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64940429" w:history="1">
        <w:r w:rsidRPr="00A56253">
          <w:rPr>
            <w:rStyle w:val="Hyperlink"/>
            <w:noProof/>
          </w:rPr>
          <w:t>2.17</w:t>
        </w:r>
        <w:r>
          <w:rPr>
            <w:rFonts w:asciiTheme="minorHAnsi" w:eastAsiaTheme="minorEastAsia" w:hAnsiTheme="minorHAnsi" w:cstheme="minorBidi"/>
            <w:iCs w:val="0"/>
            <w:noProof/>
            <w:sz w:val="22"/>
            <w:szCs w:val="22"/>
            <w:lang w:eastAsia="en-AU"/>
          </w:rPr>
          <w:tab/>
        </w:r>
        <w:r w:rsidRPr="00A56253">
          <w:rPr>
            <w:rStyle w:val="Hyperlink"/>
            <w:noProof/>
          </w:rPr>
          <w:t>Dispute Resolution</w:t>
        </w:r>
        <w:r>
          <w:rPr>
            <w:noProof/>
            <w:webHidden/>
          </w:rPr>
          <w:tab/>
        </w:r>
        <w:r>
          <w:rPr>
            <w:noProof/>
            <w:webHidden/>
          </w:rPr>
          <w:fldChar w:fldCharType="begin"/>
        </w:r>
        <w:r>
          <w:rPr>
            <w:noProof/>
            <w:webHidden/>
          </w:rPr>
          <w:instrText xml:space="preserve"> PAGEREF _Toc364940429 \h </w:instrText>
        </w:r>
        <w:r>
          <w:rPr>
            <w:noProof/>
            <w:webHidden/>
          </w:rPr>
        </w:r>
        <w:r>
          <w:rPr>
            <w:noProof/>
            <w:webHidden/>
          </w:rPr>
          <w:fldChar w:fldCharType="separate"/>
        </w:r>
        <w:r w:rsidR="00506780">
          <w:rPr>
            <w:noProof/>
            <w:webHidden/>
          </w:rPr>
          <w:t>25</w:t>
        </w:r>
        <w:r>
          <w:rPr>
            <w:noProof/>
            <w:webHidden/>
          </w:rPr>
          <w:fldChar w:fldCharType="end"/>
        </w:r>
      </w:hyperlink>
    </w:p>
    <w:p w:rsidR="00E91F5E" w:rsidRDefault="00BB488A" w:rsidP="00EC558C">
      <w:pPr>
        <w:pStyle w:val="UnnumberedHeading"/>
        <w:numPr>
          <w:ilvl w:val="0"/>
          <w:numId w:val="0"/>
        </w:numPr>
      </w:pPr>
      <w:r>
        <w:fldChar w:fldCharType="end"/>
      </w:r>
      <w:bookmarkStart w:id="6" w:name="_Toc352753547"/>
      <w:bookmarkStart w:id="7" w:name="_Toc364940405"/>
      <w:r w:rsidR="00E91F5E">
        <w:t>Executive Summary</w:t>
      </w:r>
      <w:bookmarkEnd w:id="6"/>
      <w:bookmarkEnd w:id="7"/>
    </w:p>
    <w:p w:rsidR="00597509" w:rsidRDefault="00506780" w:rsidP="00597509">
      <w:pPr>
        <w:pStyle w:val="AERbodytext"/>
        <w:numPr>
          <w:ilvl w:val="0"/>
          <w:numId w:val="6"/>
        </w:numPr>
      </w:pPr>
      <w:r>
        <w:pict>
          <v:rect id="Rectangle 1" o:spid="_x0000_s1030" style="position:absolute;left:0;text-align:left;margin-left:286.15pt;margin-top:146.75pt;width:169.75pt;height:224.3pt;z-index:251660288;visibility:visible;mso-wrap-distance-left:9pt;mso-wrap-distance-top:0;mso-wrap-distance-right:9pt;mso-wrap-distance-bottom:0;mso-position-horizontal-relative:margin;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" o:allowincell="f" fillcolor="#a7bfde" stroked="f">
            <v:fill opacity="13107f"/>
            <v:shadow on="t" color="#d4cfb3" opacity=".5" offset="7pt,-6pt"/>
            <v:textbox style="mso-next-textbox:#Rectangle 1" inset="28.8pt,7.2pt,14.4pt,28.8pt">
              <w:txbxContent>
                <w:p w:rsidR="00514109" w:rsidRPr="0060716C" w:rsidRDefault="00514109" w:rsidP="004E629B">
                  <w:pPr>
                    <w:pStyle w:val="AERtabletextleft"/>
                    <w:rPr>
                      <w:rStyle w:val="AERtextbold"/>
                    </w:rPr>
                  </w:pPr>
                  <w:r w:rsidRPr="0060716C">
                    <w:rPr>
                      <w:rStyle w:val="AERtextbold"/>
                    </w:rPr>
                    <w:t xml:space="preserve">National </w:t>
                  </w:r>
                  <w:r>
                    <w:rPr>
                      <w:rStyle w:val="AERtextbold"/>
                    </w:rPr>
                    <w:t>e</w:t>
                  </w:r>
                  <w:r w:rsidRPr="0060716C">
                    <w:rPr>
                      <w:rStyle w:val="AERtextbold"/>
                    </w:rPr>
                    <w:t>lectricity</w:t>
                  </w:r>
                  <w:r>
                    <w:rPr>
                      <w:rStyle w:val="AERtextbold"/>
                    </w:rPr>
                    <w:t xml:space="preserve"> and gas</w:t>
                  </w:r>
                  <w:r w:rsidRPr="0060716C">
                    <w:rPr>
                      <w:rStyle w:val="AERtextbold"/>
                    </w:rPr>
                    <w:t xml:space="preserve"> </w:t>
                  </w:r>
                  <w:r>
                    <w:rPr>
                      <w:rStyle w:val="AERtextbold"/>
                    </w:rPr>
                    <w:t>objectives</w:t>
                  </w:r>
                </w:p>
                <w:p w:rsidR="00514109" w:rsidRPr="0060716C" w:rsidRDefault="00514109" w:rsidP="004E629B">
                  <w:pPr>
                    <w:pStyle w:val="AERtabletextleft"/>
                  </w:pPr>
                  <w:r w:rsidRPr="0060716C">
                    <w:t>The objective of th</w:t>
                  </w:r>
                  <w:r>
                    <w:t xml:space="preserve">e Electricity and Gas </w:t>
                  </w:r>
                  <w:r w:rsidRPr="0060716C">
                    <w:t>Law</w:t>
                  </w:r>
                  <w:r>
                    <w:t>s</w:t>
                  </w:r>
                  <w:r w:rsidRPr="0060716C">
                    <w:t xml:space="preserve"> is to promote efficient investment in, and efficient operation and use of, </w:t>
                  </w:r>
                  <w:r>
                    <w:t xml:space="preserve">energy </w:t>
                  </w:r>
                  <w:r w:rsidRPr="0060716C">
                    <w:t xml:space="preserve">services for the long term interests of consumers of </w:t>
                  </w:r>
                  <w:r>
                    <w:t>energy</w:t>
                  </w:r>
                  <w:r w:rsidRPr="0060716C">
                    <w:t xml:space="preserve"> with respect to—</w:t>
                  </w:r>
                </w:p>
                <w:p w:rsidR="00514109" w:rsidRPr="0060716C" w:rsidRDefault="00514109" w:rsidP="004E629B">
                  <w:pPr>
                    <w:pStyle w:val="AERtabletextleft"/>
                  </w:pPr>
                  <w:r w:rsidRPr="0060716C">
                    <w:t xml:space="preserve">(a) </w:t>
                  </w:r>
                  <w:proofErr w:type="gramStart"/>
                  <w:r w:rsidRPr="0060716C">
                    <w:t>price</w:t>
                  </w:r>
                  <w:proofErr w:type="gramEnd"/>
                  <w:r w:rsidRPr="0060716C">
                    <w:t xml:space="preserve">, quality, safety, reliability and security of supply of </w:t>
                  </w:r>
                  <w:r>
                    <w:t>energy</w:t>
                  </w:r>
                  <w:r w:rsidRPr="0060716C">
                    <w:t>; and</w:t>
                  </w:r>
                </w:p>
                <w:p w:rsidR="00514109" w:rsidRPr="004E629B" w:rsidRDefault="00514109" w:rsidP="00B05D1D">
                  <w:pPr>
                    <w:pStyle w:val="AERtabletextleft"/>
                    <w:rPr>
                      <w:i/>
                      <w:iCs/>
                      <w:color w:val="1F497D"/>
                      <w:sz w:val="28"/>
                      <w:szCs w:val="28"/>
                    </w:rPr>
                  </w:pPr>
                  <w:r w:rsidRPr="0060716C">
                    <w:t xml:space="preserve">(b) </w:t>
                  </w:r>
                  <w:proofErr w:type="gramStart"/>
                  <w:r w:rsidRPr="0060716C">
                    <w:t>the</w:t>
                  </w:r>
                  <w:proofErr w:type="gramEnd"/>
                  <w:r w:rsidRPr="0060716C">
                    <w:t xml:space="preserve"> reliability, safety and security of the national </w:t>
                  </w:r>
                  <w:r>
                    <w:t xml:space="preserve">energy </w:t>
                  </w:r>
                  <w:r w:rsidRPr="0060716C">
                    <w:t>system</w:t>
                  </w:r>
                  <w:r>
                    <w:t>s</w:t>
                  </w:r>
                  <w:r w:rsidRPr="0060716C">
                    <w:t>.</w:t>
                  </w:r>
                </w:p>
              </w:txbxContent>
            </v:textbox>
            <w10:wrap type="square" anchorx="margin" anchory="page"/>
          </v:rect>
        </w:pict>
      </w:r>
      <w:r w:rsidR="004E629B" w:rsidRPr="00D43C98">
        <w:t>Th</w:t>
      </w:r>
      <w:r w:rsidR="001015AF">
        <w:t>e</w:t>
      </w:r>
      <w:r w:rsidR="004E629B" w:rsidRPr="00D43C98">
        <w:t xml:space="preserve"> </w:t>
      </w:r>
      <w:r w:rsidR="004E629B">
        <w:t xml:space="preserve">final </w:t>
      </w:r>
      <w:r w:rsidR="00C5637B">
        <w:t>decision</w:t>
      </w:r>
      <w:r w:rsidR="004E629B" w:rsidRPr="00D43C98">
        <w:t xml:space="preserve"> accompanies the</w:t>
      </w:r>
      <w:r w:rsidR="004E629B">
        <w:t xml:space="preserve"> Australian Energy Regulator's (AER) final regulatory investment test for distribution (RIT-D) and accompanying RIT-D application guidelines (the application guidelines). </w:t>
      </w:r>
    </w:p>
    <w:p w:rsidR="004E629B" w:rsidRPr="00BA14B2" w:rsidRDefault="004E629B" w:rsidP="00597509">
      <w:pPr>
        <w:pStyle w:val="AERbodytext"/>
        <w:numPr>
          <w:ilvl w:val="0"/>
          <w:numId w:val="6"/>
        </w:numPr>
      </w:pPr>
      <w:r w:rsidRPr="00BA14B2">
        <w:t>The AER is Australia’s independent national energy market regulator. Our role is to promote the national elec</w:t>
      </w:r>
      <w:r w:rsidRPr="00293404">
        <w:t xml:space="preserve">tricity and gas objectives. Enshrined in the </w:t>
      </w:r>
      <w:r w:rsidR="00BA14B2" w:rsidRPr="004D77EB">
        <w:t>National Electricity Rules (NER)</w:t>
      </w:r>
      <w:r w:rsidR="00BA14B2">
        <w:t xml:space="preserve"> </w:t>
      </w:r>
      <w:r w:rsidRPr="00BA14B2">
        <w:t xml:space="preserve">and </w:t>
      </w:r>
      <w:r w:rsidR="00BA14B2">
        <w:t>National Gas Rules</w:t>
      </w:r>
      <w:r w:rsidRPr="00BA14B2">
        <w:t xml:space="preserve">, these objectives focus us on promoting the long term interests of consumers. </w:t>
      </w:r>
    </w:p>
    <w:p w:rsidR="00107866" w:rsidRDefault="004E629B" w:rsidP="00107866">
      <w:pPr>
        <w:pStyle w:val="AERbodytext"/>
      </w:pPr>
      <w:r w:rsidRPr="00BA14B2">
        <w:t>A major part of our work is regulating the energy networks that transport energy to consumers (electricity poles and wires, and gas pipelines)</w:t>
      </w:r>
      <w:r w:rsidRPr="00293404">
        <w:t xml:space="preserve">. In 2012, the Australian Energy Market Commission (AEMC) announced important changes to the electricity and gas rules, affecting our role in regulation. </w:t>
      </w:r>
      <w:r w:rsidR="00324F55">
        <w:t xml:space="preserve">The RIT-D is part of the </w:t>
      </w:r>
      <w:r w:rsidR="00C91C63">
        <w:t>AEMC’s Network Planning and Expansion Framework</w:t>
      </w:r>
      <w:r w:rsidR="00107866">
        <w:t xml:space="preserve"> (the Framework)</w:t>
      </w:r>
      <w:r w:rsidR="00C91C63">
        <w:t>.</w:t>
      </w:r>
      <w:r w:rsidR="00107866" w:rsidRPr="00107866">
        <w:t xml:space="preserve"> The </w:t>
      </w:r>
      <w:r w:rsidR="00107866">
        <w:t>F</w:t>
      </w:r>
      <w:r w:rsidR="00107866" w:rsidRPr="00107866">
        <w:t xml:space="preserve">ramework </w:t>
      </w:r>
      <w:r w:rsidR="00107866">
        <w:t>is</w:t>
      </w:r>
      <w:r w:rsidR="00107866" w:rsidRPr="00107866">
        <w:t xml:space="preserve"> applicable to distribution businesses in each national electricity market jurisdiction</w:t>
      </w:r>
      <w:r w:rsidR="00BA4B5D">
        <w:t xml:space="preserve"> and aims to</w:t>
      </w:r>
      <w:r w:rsidR="00F8464A">
        <w:t xml:space="preserve"> establish</w:t>
      </w:r>
      <w:r w:rsidR="00BA4B5D">
        <w:t>:</w:t>
      </w:r>
      <w:r w:rsidR="00107866" w:rsidRPr="008E7FC8">
        <w:rPr>
          <w:vertAlign w:val="superscript"/>
        </w:rPr>
        <w:footnoteReference w:id="1"/>
      </w:r>
    </w:p>
    <w:p w:rsidR="00E91F5E" w:rsidRDefault="00107866" w:rsidP="00BA4B5D">
      <w:pPr>
        <w:pStyle w:val="AERquotestyle"/>
      </w:pPr>
      <w:proofErr w:type="gramStart"/>
      <w:r w:rsidRPr="00107866">
        <w:t>a</w:t>
      </w:r>
      <w:proofErr w:type="gramEnd"/>
      <w:r w:rsidRPr="00107866">
        <w:t xml:space="preserve"> clearly defined and efficient planning process for distribution network investment. This will support the efficient development of distribution networks. It will also provide transparency to, and information on, distribution business planning activities and decision making processes. This will assist market participants in making efficient investment decisions and enable non-network providers to put forward non-network options as credible alternatives to network investment.</w:t>
      </w:r>
      <w:r w:rsidRPr="008E7FC8">
        <w:rPr>
          <w:vertAlign w:val="superscript"/>
        </w:rPr>
        <w:footnoteReference w:id="2"/>
      </w:r>
    </w:p>
    <w:p w:rsidR="00557803" w:rsidRDefault="0012471E" w:rsidP="00557803">
      <w:pPr>
        <w:rPr>
          <w:i/>
          <w:iCs/>
        </w:rPr>
      </w:pPr>
      <w:r>
        <w:t>The RIT-D establish</w:t>
      </w:r>
      <w:r w:rsidR="008D5FEA">
        <w:t>es</w:t>
      </w:r>
      <w:r>
        <w:t xml:space="preserve"> the processes and criteria </w:t>
      </w:r>
      <w:r w:rsidR="008D5FEA">
        <w:t xml:space="preserve">for distribution network service providers (DNSPs) </w:t>
      </w:r>
      <w:r>
        <w:t xml:space="preserve">to apply before investment decisions are made. The purpose of the RIT-D is to </w:t>
      </w:r>
      <w:r w:rsidR="00C50B33">
        <w:t>ensur</w:t>
      </w:r>
      <w:r>
        <w:t>e</w:t>
      </w:r>
      <w:r w:rsidR="00557803" w:rsidRPr="00557803">
        <w:t xml:space="preserve"> </w:t>
      </w:r>
      <w:r>
        <w:t xml:space="preserve">DNSPs </w:t>
      </w:r>
      <w:r w:rsidR="00557803" w:rsidRPr="00557803">
        <w:t>consider all credible options (which may include both network and non-network options) when choosing how to address identified network needs.</w:t>
      </w:r>
      <w:r w:rsidR="00557803" w:rsidRPr="007F7B39">
        <w:rPr>
          <w:rStyle w:val="FootnoteReference"/>
        </w:rPr>
        <w:footnoteReference w:id="3"/>
      </w:r>
      <w:r w:rsidR="00557803" w:rsidRPr="007F7B39">
        <w:t xml:space="preserve"> </w:t>
      </w:r>
      <w:r w:rsidR="00557803" w:rsidRPr="00557803">
        <w:t>The preferred option</w:t>
      </w:r>
      <w:r>
        <w:t xml:space="preserve"> is that option which</w:t>
      </w:r>
      <w:r w:rsidR="00557803" w:rsidRPr="00557803">
        <w:t xml:space="preserve"> maximises the economic benefit to all those who produce, consume and transport electricity in the </w:t>
      </w:r>
      <w:r w:rsidR="00B4455F">
        <w:t>national electricity market (</w:t>
      </w:r>
      <w:r w:rsidR="00557803">
        <w:t>NEM</w:t>
      </w:r>
      <w:r w:rsidR="00B4455F">
        <w:t>)</w:t>
      </w:r>
      <w:r w:rsidR="00557803" w:rsidRPr="00557803">
        <w:t>.</w:t>
      </w:r>
      <w:r w:rsidR="00557803" w:rsidRPr="007F7B39">
        <w:rPr>
          <w:rStyle w:val="FootnoteReference"/>
        </w:rPr>
        <w:footnoteReference w:id="4"/>
      </w:r>
      <w:r w:rsidR="00557803">
        <w:rPr>
          <w:i/>
          <w:iCs/>
        </w:rPr>
        <w:t xml:space="preserve"> </w:t>
      </w:r>
    </w:p>
    <w:p w:rsidR="00E91F5E" w:rsidRPr="00DF2E6E" w:rsidRDefault="00B05D1D" w:rsidP="00E91F5E">
      <w:pPr>
        <w:pStyle w:val="AERbodytext"/>
        <w:numPr>
          <w:ilvl w:val="0"/>
          <w:numId w:val="6"/>
        </w:numPr>
      </w:pPr>
      <w:r>
        <w:t>The application guidelines</w:t>
      </w:r>
      <w:r w:rsidRPr="007F7B39">
        <w:t xml:space="preserve"> are designed to provide guidance to businesses applying the RIT-D and enhance transparency and consistency in investment decision making.</w:t>
      </w:r>
      <w:r>
        <w:rPr>
          <w:rStyle w:val="FootnoteReference"/>
        </w:rPr>
        <w:footnoteReference w:id="5"/>
      </w:r>
      <w:r>
        <w:t xml:space="preserve"> </w:t>
      </w:r>
      <w:r w:rsidR="00E91F5E" w:rsidRPr="00DF2E6E">
        <w:t>The application guidelines set out guidance on how to asses</w:t>
      </w:r>
      <w:r w:rsidR="00E91F5E">
        <w:t>s</w:t>
      </w:r>
      <w:r w:rsidR="00E91F5E" w:rsidRPr="00DF2E6E">
        <w:t xml:space="preserve"> these options and the circumstances in which businesses are required to consider and quantify market benefits when undertaking a RIT-D. </w:t>
      </w:r>
      <w:r>
        <w:t>In developing the application guidelines we have</w:t>
      </w:r>
      <w:r w:rsidR="00E91F5E">
        <w:t xml:space="preserve"> ensure</w:t>
      </w:r>
      <w:r>
        <w:t>d</w:t>
      </w:r>
      <w:r w:rsidR="00E91F5E">
        <w:t xml:space="preserve"> that the level of complexity required in the RIT-D process is commensurate with the value and impact of distribution projects. </w:t>
      </w:r>
    </w:p>
    <w:p w:rsidR="00293404" w:rsidRDefault="00293404" w:rsidP="00293404">
      <w:pPr>
        <w:pStyle w:val="Heading2"/>
        <w:numPr>
          <w:ilvl w:val="0"/>
          <w:numId w:val="0"/>
        </w:numPr>
      </w:pPr>
      <w:bookmarkStart w:id="8" w:name="_Toc364940406"/>
      <w:r>
        <w:t>Final decision</w:t>
      </w:r>
      <w:bookmarkEnd w:id="8"/>
    </w:p>
    <w:p w:rsidR="00293404" w:rsidRDefault="00293404" w:rsidP="00293404">
      <w:pPr>
        <w:pStyle w:val="AERbodytext"/>
        <w:numPr>
          <w:ilvl w:val="0"/>
          <w:numId w:val="6"/>
        </w:numPr>
      </w:pPr>
      <w:r>
        <w:t xml:space="preserve">Our </w:t>
      </w:r>
      <w:r w:rsidR="00EC2440">
        <w:t>final decision largely maintains the proposed approaches set out in the draft RIT-D and draft application guidelines released on 5 June 2013.</w:t>
      </w:r>
      <w:r w:rsidR="008D5FEA">
        <w:rPr>
          <w:rStyle w:val="FootnoteReference"/>
        </w:rPr>
        <w:footnoteReference w:id="6"/>
      </w:r>
      <w:r w:rsidR="00EC2440">
        <w:t xml:space="preserve"> </w:t>
      </w:r>
      <w:r w:rsidR="00557803">
        <w:t>A</w:t>
      </w:r>
      <w:r w:rsidR="00EC2440">
        <w:t xml:space="preserve">pproaches </w:t>
      </w:r>
      <w:r w:rsidR="00557803">
        <w:t xml:space="preserve">to key issues </w:t>
      </w:r>
      <w:r w:rsidR="00EC2440">
        <w:t>that remain unchanged include:</w:t>
      </w:r>
    </w:p>
    <w:p w:rsidR="008D5FEA" w:rsidRDefault="008D5FEA" w:rsidP="008D5FEA">
      <w:pPr>
        <w:pStyle w:val="AERbulletlistsecondstyle"/>
        <w:ind w:left="714" w:hanging="357"/>
      </w:pPr>
      <w:r>
        <w:t>interested parties</w:t>
      </w:r>
    </w:p>
    <w:p w:rsidR="00EC2440" w:rsidRDefault="00D357C9" w:rsidP="00D357C9">
      <w:pPr>
        <w:pStyle w:val="AERbulletlistsecondstyle"/>
        <w:ind w:left="714" w:hanging="357"/>
      </w:pPr>
      <w:r>
        <w:t>d</w:t>
      </w:r>
      <w:r w:rsidR="00EC2440">
        <w:t>iscount rates</w:t>
      </w:r>
    </w:p>
    <w:p w:rsidR="008D5FEA" w:rsidRDefault="008D5FEA" w:rsidP="008D5FEA">
      <w:pPr>
        <w:pStyle w:val="AERbulletlistsecondstyle"/>
        <w:ind w:left="714" w:hanging="357"/>
      </w:pPr>
      <w:r>
        <w:t>deemed values</w:t>
      </w:r>
    </w:p>
    <w:p w:rsidR="008D5FEA" w:rsidRDefault="008D5FEA" w:rsidP="008D5FEA">
      <w:pPr>
        <w:pStyle w:val="AERbulletlistsecondstyle"/>
        <w:ind w:left="714" w:hanging="357"/>
      </w:pPr>
      <w:r>
        <w:t>stakeholder consultation</w:t>
      </w:r>
    </w:p>
    <w:p w:rsidR="00EC2440" w:rsidRDefault="00D357C9" w:rsidP="00D357C9">
      <w:pPr>
        <w:pStyle w:val="AERbulletlistsecondstyle"/>
        <w:ind w:left="714" w:hanging="357"/>
      </w:pPr>
      <w:r>
        <w:t>l</w:t>
      </w:r>
      <w:r w:rsidR="00EC2440">
        <w:t>ead parties in joint planning</w:t>
      </w:r>
    </w:p>
    <w:p w:rsidR="00EC2440" w:rsidRDefault="008D5FEA" w:rsidP="008D5FEA">
      <w:pPr>
        <w:pStyle w:val="AERbulletlistsecondstyle"/>
        <w:ind w:left="714" w:hanging="357"/>
      </w:pPr>
      <w:proofErr w:type="gramStart"/>
      <w:r>
        <w:t>option</w:t>
      </w:r>
      <w:proofErr w:type="gramEnd"/>
      <w:r>
        <w:t xml:space="preserve"> value</w:t>
      </w:r>
      <w:r w:rsidR="00597509">
        <w:t>.</w:t>
      </w:r>
    </w:p>
    <w:p w:rsidR="00B05D1D" w:rsidRDefault="00597509" w:rsidP="00E91F5E">
      <w:pPr>
        <w:pStyle w:val="AERbodytext"/>
        <w:rPr>
          <w:lang w:val="en-US"/>
        </w:rPr>
      </w:pPr>
      <w:r>
        <w:t xml:space="preserve">We have </w:t>
      </w:r>
      <w:r w:rsidR="00D67EA7">
        <w:t>provided further guidance on</w:t>
      </w:r>
      <w:r w:rsidR="00D67EA7" w:rsidRPr="00F274B8">
        <w:rPr>
          <w:lang w:val="en-US"/>
        </w:rPr>
        <w:t xml:space="preserve"> the </w:t>
      </w:r>
      <w:r w:rsidR="00B05D1D">
        <w:rPr>
          <w:lang w:val="en-US"/>
        </w:rPr>
        <w:t xml:space="preserve">treatment of </w:t>
      </w:r>
      <w:r w:rsidR="00D67EA7" w:rsidRPr="00F274B8">
        <w:rPr>
          <w:lang w:val="en-US"/>
        </w:rPr>
        <w:t>co</w:t>
      </w:r>
      <w:r w:rsidR="00F274B8">
        <w:rPr>
          <w:lang w:val="en-US"/>
        </w:rPr>
        <w:t>st</w:t>
      </w:r>
      <w:r w:rsidR="00B05D1D">
        <w:rPr>
          <w:lang w:val="en-US"/>
        </w:rPr>
        <w:t>s associated with</w:t>
      </w:r>
      <w:r w:rsidR="00F274B8">
        <w:rPr>
          <w:lang w:val="en-US"/>
        </w:rPr>
        <w:t xml:space="preserve"> voluntary load curtailment. The a</w:t>
      </w:r>
      <w:r w:rsidR="00B05D1D">
        <w:rPr>
          <w:lang w:val="en-US"/>
        </w:rPr>
        <w:t>pplication guidelines contain a</w:t>
      </w:r>
      <w:r w:rsidR="008D5FEA">
        <w:rPr>
          <w:lang w:val="en-US"/>
        </w:rPr>
        <w:t xml:space="preserve">n additional </w:t>
      </w:r>
      <w:r w:rsidR="00F274B8">
        <w:rPr>
          <w:lang w:val="en-US"/>
        </w:rPr>
        <w:t>example outli</w:t>
      </w:r>
      <w:r w:rsidR="00B05D1D">
        <w:rPr>
          <w:lang w:val="en-US"/>
        </w:rPr>
        <w:t>ning the possible treatment of</w:t>
      </w:r>
      <w:r w:rsidR="00F274B8">
        <w:rPr>
          <w:lang w:val="en-US"/>
        </w:rPr>
        <w:t xml:space="preserve"> demand response payment</w:t>
      </w:r>
      <w:r w:rsidR="00B05D1D">
        <w:rPr>
          <w:lang w:val="en-US"/>
        </w:rPr>
        <w:t>s</w:t>
      </w:r>
      <w:r w:rsidR="00D67EA7" w:rsidRPr="00F274B8">
        <w:rPr>
          <w:lang w:val="en-US"/>
        </w:rPr>
        <w:t xml:space="preserve">. </w:t>
      </w:r>
    </w:p>
    <w:p w:rsidR="008D5FEA" w:rsidRPr="008D5FEA" w:rsidRDefault="00133EEC" w:rsidP="008D5FEA">
      <w:pPr>
        <w:pStyle w:val="AERbodytext"/>
        <w:rPr>
          <w:lang w:val="en-US"/>
        </w:rPr>
      </w:pPr>
      <w:r>
        <w:rPr>
          <w:lang w:val="en-US"/>
        </w:rPr>
        <w:t>There is also</w:t>
      </w:r>
      <w:r w:rsidR="00597509" w:rsidRPr="00626337">
        <w:t xml:space="preserve"> </w:t>
      </w:r>
      <w:r w:rsidR="00597509">
        <w:t xml:space="preserve">further </w:t>
      </w:r>
      <w:r w:rsidR="00597509" w:rsidRPr="00626337">
        <w:t xml:space="preserve">clarity in undertaking </w:t>
      </w:r>
      <w:r w:rsidR="00597509">
        <w:t xml:space="preserve">the </w:t>
      </w:r>
      <w:r w:rsidR="00597509" w:rsidRPr="00626337">
        <w:t>assessment o</w:t>
      </w:r>
      <w:r w:rsidR="00597509">
        <w:t>f</w:t>
      </w:r>
      <w:r w:rsidR="00597509" w:rsidRPr="00626337">
        <w:t xml:space="preserve"> a cost-benefit analysis that includes an assessment of reasonable scenarios</w:t>
      </w:r>
      <w:r w:rsidR="00597509">
        <w:t>. This is in response to stakeholders noting</w:t>
      </w:r>
      <w:r w:rsidR="00557803">
        <w:t xml:space="preserve"> that the current drafting of the </w:t>
      </w:r>
      <w:r w:rsidR="00B4455F">
        <w:t xml:space="preserve">draft </w:t>
      </w:r>
      <w:r w:rsidR="00557803">
        <w:t xml:space="preserve">application guidelines may imply </w:t>
      </w:r>
      <w:r w:rsidR="00557803" w:rsidRPr="0038541A">
        <w:t>that investment decision-making under conditions of uncertainty is a mechanistic exercise</w:t>
      </w:r>
      <w:r w:rsidR="00A119C2">
        <w:t xml:space="preserve">. </w:t>
      </w:r>
    </w:p>
    <w:p w:rsidR="008D5FEA" w:rsidRPr="00F274B8" w:rsidRDefault="008D5FEA" w:rsidP="008D5FEA">
      <w:pPr>
        <w:pStyle w:val="AERbodytext"/>
        <w:rPr>
          <w:lang w:val="en-US"/>
        </w:rPr>
      </w:pPr>
      <w:r>
        <w:t xml:space="preserve">In response to feedback from stakeholders in the RIT-D workshops in May and June 2013 and submissions made to the AER on its draft RIT-D, we have included a discussion on the treatment of land </w:t>
      </w:r>
      <w:r w:rsidRPr="00706C0C">
        <w:t xml:space="preserve">in </w:t>
      </w:r>
      <w:r>
        <w:t>the</w:t>
      </w:r>
      <w:r w:rsidRPr="00706C0C">
        <w:t xml:space="preserve"> </w:t>
      </w:r>
      <w:r>
        <w:t>application guidelines</w:t>
      </w:r>
      <w:r w:rsidRPr="00706C0C">
        <w:t>.</w:t>
      </w:r>
      <w:r>
        <w:t xml:space="preserve"> The application guidelines note that </w:t>
      </w:r>
      <w:r w:rsidRPr="0093718C">
        <w:t>a market value of land should be used in the assessment of costs incurred in constructing or</w:t>
      </w:r>
      <w:r>
        <w:t xml:space="preserve"> providing a credible option. </w:t>
      </w:r>
    </w:p>
    <w:p w:rsidR="00E91F5E" w:rsidRPr="00A6594F" w:rsidRDefault="00E91F5E" w:rsidP="00E91F5E">
      <w:pPr>
        <w:pStyle w:val="AERbodytext"/>
        <w:rPr>
          <w:lang w:val="en-US"/>
        </w:rPr>
      </w:pPr>
    </w:p>
    <w:p w:rsidR="00E91F5E" w:rsidRDefault="00E91F5E" w:rsidP="009367A8">
      <w:pPr>
        <w:pStyle w:val="Heading1"/>
      </w:pPr>
      <w:bookmarkStart w:id="9" w:name="_Toc364940407"/>
      <w:r>
        <w:t>Introduction</w:t>
      </w:r>
      <w:bookmarkEnd w:id="9"/>
    </w:p>
    <w:p w:rsidR="00E91F5E" w:rsidRPr="008756D7" w:rsidRDefault="00E91F5E" w:rsidP="00E91F5E">
      <w:pPr>
        <w:pStyle w:val="AERbodytext"/>
        <w:numPr>
          <w:ilvl w:val="0"/>
          <w:numId w:val="6"/>
        </w:numPr>
      </w:pPr>
      <w:r w:rsidRPr="007F7B39">
        <w:t xml:space="preserve">In conjunction with the </w:t>
      </w:r>
      <w:r w:rsidR="00FF0679">
        <w:t>regulatory investment test for distribution (</w:t>
      </w:r>
      <w:r w:rsidRPr="007F7B39">
        <w:t>RIT-D</w:t>
      </w:r>
      <w:r w:rsidR="00FF0679">
        <w:t>)</w:t>
      </w:r>
      <w:r w:rsidRPr="007F7B39">
        <w:t xml:space="preserve">, we must develop and publish </w:t>
      </w:r>
      <w:r>
        <w:t>application guidelines</w:t>
      </w:r>
      <w:r w:rsidRPr="007F7B39">
        <w:t xml:space="preserve"> for the operation and application of the RIT-D.</w:t>
      </w:r>
      <w:r w:rsidRPr="007F7B39">
        <w:rPr>
          <w:rStyle w:val="FootnoteReference"/>
        </w:rPr>
        <w:footnoteReference w:id="7"/>
      </w:r>
      <w:r w:rsidRPr="007F7B39">
        <w:t xml:space="preserve"> The </w:t>
      </w:r>
      <w:r>
        <w:t>application guidelines</w:t>
      </w:r>
      <w:r w:rsidRPr="007F7B39">
        <w:t xml:space="preserve"> are designed to provide guidance to businesses applying the RIT-D and </w:t>
      </w:r>
      <w:r w:rsidR="007F59E5">
        <w:t xml:space="preserve">to </w:t>
      </w:r>
      <w:r w:rsidRPr="007F7B39">
        <w:t>enhance transparency and consistency in investment decision making.</w:t>
      </w:r>
      <w:r>
        <w:t xml:space="preserve"> </w:t>
      </w:r>
    </w:p>
    <w:p w:rsidR="00E91F5E" w:rsidRPr="008756D7" w:rsidRDefault="00E91F5E" w:rsidP="00E91F5E">
      <w:pPr>
        <w:pStyle w:val="AERbodytext"/>
        <w:numPr>
          <w:ilvl w:val="0"/>
          <w:numId w:val="6"/>
        </w:numPr>
      </w:pPr>
      <w:r w:rsidRPr="008756D7">
        <w:t>Th</w:t>
      </w:r>
      <w:r w:rsidR="009B1D0B">
        <w:t>e</w:t>
      </w:r>
      <w:r w:rsidRPr="008756D7">
        <w:t xml:space="preserve"> </w:t>
      </w:r>
      <w:r w:rsidR="00980EDC">
        <w:t>final decision</w:t>
      </w:r>
      <w:r w:rsidRPr="008756D7">
        <w:t xml:space="preserve"> </w:t>
      </w:r>
      <w:r w:rsidR="009B1D0B">
        <w:t xml:space="preserve">on the RIT-D (final decision) </w:t>
      </w:r>
      <w:r>
        <w:t xml:space="preserve">sets out </w:t>
      </w:r>
      <w:r w:rsidRPr="001021BE">
        <w:t>the provision</w:t>
      </w:r>
      <w:r w:rsidR="00324F55">
        <w:t>s</w:t>
      </w:r>
      <w:r w:rsidRPr="001021BE">
        <w:t xml:space="preserve"> of the </w:t>
      </w:r>
      <w:r w:rsidR="00B4455F">
        <w:t>National Electricity Rules (</w:t>
      </w:r>
      <w:r>
        <w:t>NER</w:t>
      </w:r>
      <w:r w:rsidR="00B4455F">
        <w:t>)</w:t>
      </w:r>
      <w:r>
        <w:t xml:space="preserve"> and</w:t>
      </w:r>
      <w:r w:rsidRPr="001021BE">
        <w:t xml:space="preserve"> the purposes of </w:t>
      </w:r>
      <w:r>
        <w:t xml:space="preserve">and reasons for </w:t>
      </w:r>
      <w:r w:rsidRPr="001021BE">
        <w:t xml:space="preserve">which the </w:t>
      </w:r>
      <w:r>
        <w:t>RIT-D</w:t>
      </w:r>
      <w:r w:rsidRPr="001021BE">
        <w:t xml:space="preserve"> </w:t>
      </w:r>
      <w:r>
        <w:t>and application guidelines are</w:t>
      </w:r>
      <w:r w:rsidRPr="001021BE">
        <w:t xml:space="preserve"> developed</w:t>
      </w:r>
      <w:r>
        <w:t>.</w:t>
      </w:r>
      <w:r>
        <w:rPr>
          <w:rStyle w:val="FootnoteReference"/>
        </w:rPr>
        <w:footnoteReference w:id="8"/>
      </w:r>
      <w:r w:rsidRPr="008756D7">
        <w:t xml:space="preserve"> </w:t>
      </w:r>
      <w:r>
        <w:t>Th</w:t>
      </w:r>
      <w:r w:rsidR="00672265">
        <w:t>e</w:t>
      </w:r>
      <w:r>
        <w:t xml:space="preserve"> </w:t>
      </w:r>
      <w:r w:rsidR="00B23652">
        <w:t xml:space="preserve">final decision </w:t>
      </w:r>
      <w:r>
        <w:t>should be read in conjunction with the RIT-D and application guidelines</w:t>
      </w:r>
      <w:r w:rsidR="00FF0679">
        <w:t>.</w:t>
      </w:r>
      <w:r>
        <w:t xml:space="preserve"> </w:t>
      </w:r>
    </w:p>
    <w:p w:rsidR="00E91F5E" w:rsidRDefault="00E91F5E" w:rsidP="00E91F5E">
      <w:pPr>
        <w:pStyle w:val="Heading2"/>
      </w:pPr>
      <w:bookmarkStart w:id="10" w:name="_Toc364940408"/>
      <w:r>
        <w:t>Requirements of the National Electricity Rules</w:t>
      </w:r>
      <w:bookmarkEnd w:id="10"/>
    </w:p>
    <w:p w:rsidR="00F44F21" w:rsidRDefault="00E91F5E" w:rsidP="00F44F21">
      <w:pPr>
        <w:pStyle w:val="AERbodytext"/>
      </w:pPr>
      <w:r w:rsidRPr="004E2D72">
        <w:t xml:space="preserve">The RIT-D arose out of the </w:t>
      </w:r>
      <w:r w:rsidR="00FF0679">
        <w:t>Australian Energy Market Commission (</w:t>
      </w:r>
      <w:r w:rsidRPr="004E2D72">
        <w:t>AEMC</w:t>
      </w:r>
      <w:r w:rsidR="00FF0679">
        <w:t>)</w:t>
      </w:r>
      <w:r w:rsidRPr="004E2D72">
        <w:t>'s national distribution planning arrangements review.</w:t>
      </w:r>
      <w:r w:rsidRPr="004E2D72">
        <w:rPr>
          <w:rStyle w:val="FootnoteReference"/>
        </w:rPr>
        <w:footnoteReference w:id="9"/>
      </w:r>
      <w:r>
        <w:t xml:space="preserve"> </w:t>
      </w:r>
      <w:r w:rsidR="00F44F21">
        <w:t>In October 2012, the AEMC implemented a new distribution network planning and expansion framework</w:t>
      </w:r>
      <w:r w:rsidR="00C50B33">
        <w:t xml:space="preserve"> (the Framework)</w:t>
      </w:r>
      <w:r w:rsidR="00F44F21">
        <w:t xml:space="preserve">. The </w:t>
      </w:r>
      <w:r w:rsidR="00C50B33">
        <w:t>F</w:t>
      </w:r>
      <w:r w:rsidR="00F44F21">
        <w:t xml:space="preserve">ramework </w:t>
      </w:r>
      <w:r w:rsidR="001F40A3">
        <w:t xml:space="preserve">aims to </w:t>
      </w:r>
      <w:r w:rsidR="00F44F21">
        <w:t>provide transparency and information on distribution businesses planning activities and decision making processes</w:t>
      </w:r>
      <w:r w:rsidR="00C35264">
        <w:t>.</w:t>
      </w:r>
      <w:r w:rsidR="00C50B33">
        <w:rPr>
          <w:rStyle w:val="FootnoteReference"/>
        </w:rPr>
        <w:footnoteReference w:id="10"/>
      </w:r>
      <w:r w:rsidR="00C50B33">
        <w:t xml:space="preserve"> </w:t>
      </w:r>
      <w:r w:rsidR="00C35264" w:rsidRPr="004E2D72">
        <w:t>Th</w:t>
      </w:r>
      <w:r w:rsidR="00C35264">
        <w:t>e associated</w:t>
      </w:r>
      <w:r w:rsidR="00C35264" w:rsidRPr="004E2D72">
        <w:t xml:space="preserve"> rule change came into effect on 1 January 2013.</w:t>
      </w:r>
      <w:r w:rsidR="00C35264">
        <w:rPr>
          <w:rStyle w:val="FootnoteReference"/>
        </w:rPr>
        <w:footnoteReference w:id="11"/>
      </w:r>
    </w:p>
    <w:p w:rsidR="00E91F5E" w:rsidRPr="004E2D72" w:rsidRDefault="00E91F5E" w:rsidP="00E91F5E">
      <w:pPr>
        <w:pStyle w:val="AERbodytext"/>
        <w:numPr>
          <w:ilvl w:val="0"/>
          <w:numId w:val="6"/>
        </w:numPr>
      </w:pPr>
      <w:r w:rsidRPr="004E2D72">
        <w:t>The RIT-D will replace the</w:t>
      </w:r>
      <w:r w:rsidR="008D5FEA">
        <w:t xml:space="preserve"> </w:t>
      </w:r>
      <w:r w:rsidR="008D5FEA" w:rsidRPr="00DF2E6E">
        <w:t xml:space="preserve">Regulatory Test </w:t>
      </w:r>
      <w:r w:rsidR="008D5FEA" w:rsidRPr="004E2D72">
        <w:t>for distribution investments</w:t>
      </w:r>
      <w:r w:rsidR="008D5FEA">
        <w:t xml:space="preserve"> (Regulatory Test)</w:t>
      </w:r>
      <w:r w:rsidRPr="004E2D72">
        <w:t>.</w:t>
      </w:r>
      <w:r w:rsidR="008D5FEA">
        <w:rPr>
          <w:rStyle w:val="FootnoteReference"/>
        </w:rPr>
        <w:footnoteReference w:id="12"/>
      </w:r>
      <w:r w:rsidRPr="004E2D72">
        <w:t xml:space="preserve"> Under cl</w:t>
      </w:r>
      <w:r>
        <w:t xml:space="preserve">. </w:t>
      </w:r>
      <w:r w:rsidRPr="004E2D72">
        <w:t>5.17.2(d)</w:t>
      </w:r>
      <w:r>
        <w:t xml:space="preserve"> of the NER</w:t>
      </w:r>
      <w:r w:rsidRPr="004E2D72">
        <w:t xml:space="preserve">, we are required to develop and publish the RIT-D and </w:t>
      </w:r>
      <w:r>
        <w:t>application guidelines</w:t>
      </w:r>
      <w:r w:rsidRPr="004E2D72">
        <w:t xml:space="preserve"> by</w:t>
      </w:r>
      <w:r>
        <w:t xml:space="preserve"> 31 August 2013. The RIT-D and application g</w:t>
      </w:r>
      <w:r w:rsidRPr="004E2D72">
        <w:t>uidelines must be developed in accordance with the distribution consultation procedures.</w:t>
      </w:r>
    </w:p>
    <w:p w:rsidR="00E91F5E" w:rsidRDefault="00E91F5E" w:rsidP="00E91F5E">
      <w:pPr>
        <w:pStyle w:val="AERbodytext"/>
        <w:numPr>
          <w:ilvl w:val="0"/>
          <w:numId w:val="6"/>
        </w:numPr>
      </w:pPr>
      <w:r>
        <w:t>T</w:t>
      </w:r>
      <w:r w:rsidRPr="004E2D72">
        <w:t>he distribution consultation procedures</w:t>
      </w:r>
      <w:r>
        <w:t xml:space="preserve"> require the AER to publish</w:t>
      </w:r>
      <w:r w:rsidRPr="004E2D72">
        <w:t xml:space="preserve"> the proposed RIT-D and </w:t>
      </w:r>
      <w:r>
        <w:t>application guidelines</w:t>
      </w:r>
      <w:r w:rsidRPr="004E2D72">
        <w:t xml:space="preserve"> with an explanatory statement and invite written submissions. Within 80 business days of publishing the proposed RIT-D and </w:t>
      </w:r>
      <w:r>
        <w:t>application guidelines</w:t>
      </w:r>
      <w:r w:rsidRPr="004E2D72">
        <w:t xml:space="preserve">, we must publish the final RIT-D and </w:t>
      </w:r>
      <w:r>
        <w:t>application guidelines</w:t>
      </w:r>
      <w:r w:rsidRPr="004E2D72">
        <w:t>. We may also publish any issues, consultation and discussion papers as we consider appropriate.</w:t>
      </w:r>
      <w:r>
        <w:rPr>
          <w:rStyle w:val="FootnoteReference"/>
        </w:rPr>
        <w:footnoteReference w:id="13"/>
      </w:r>
    </w:p>
    <w:p w:rsidR="00E91F5E" w:rsidRPr="004E2D72" w:rsidRDefault="00E91F5E" w:rsidP="00E91F5E">
      <w:pPr>
        <w:pStyle w:val="Heading2"/>
      </w:pPr>
      <w:bookmarkStart w:id="11" w:name="_Toc364940409"/>
      <w:r>
        <w:t>The RIT-D</w:t>
      </w:r>
      <w:bookmarkEnd w:id="11"/>
    </w:p>
    <w:p w:rsidR="00E91F5E" w:rsidRPr="007F7B39" w:rsidRDefault="00E91F5E" w:rsidP="00E91F5E">
      <w:pPr>
        <w:pStyle w:val="AERbodytext"/>
        <w:numPr>
          <w:ilvl w:val="0"/>
          <w:numId w:val="6"/>
        </w:numPr>
      </w:pPr>
      <w:r>
        <w:t>Clause </w:t>
      </w:r>
      <w:r w:rsidRPr="007F7B39">
        <w:t>5.17 of the NER</w:t>
      </w:r>
      <w:r>
        <w:t xml:space="preserve"> requires</w:t>
      </w:r>
      <w:r w:rsidRPr="007F7B39">
        <w:t xml:space="preserve"> a RIT-D proponent to conduct a RIT-D before </w:t>
      </w:r>
      <w:r>
        <w:t>it makes an investment decision</w:t>
      </w:r>
      <w:r w:rsidRPr="007F7B39">
        <w:t xml:space="preserve"> to </w:t>
      </w:r>
      <w:r>
        <w:t>address an identified network need</w:t>
      </w:r>
      <w:r w:rsidRPr="007F7B39">
        <w:t>. Under cl</w:t>
      </w:r>
      <w:r>
        <w:t>. </w:t>
      </w:r>
      <w:r w:rsidRPr="007F7B39">
        <w:t xml:space="preserve">5.17.3(a) </w:t>
      </w:r>
      <w:r>
        <w:t xml:space="preserve">of the NER, </w:t>
      </w:r>
      <w:r w:rsidRPr="007F7B39">
        <w:t xml:space="preserve">a RIT-D should be applied to all distribution investments, unless the investment falls under specified exceptions. </w:t>
      </w:r>
    </w:p>
    <w:p w:rsidR="00E91F5E" w:rsidRPr="007F7B39" w:rsidRDefault="00E91F5E" w:rsidP="00635D37">
      <w:pPr>
        <w:pStyle w:val="AERbodytext"/>
        <w:numPr>
          <w:ilvl w:val="0"/>
          <w:numId w:val="6"/>
        </w:numPr>
      </w:pPr>
      <w:r w:rsidRPr="007F7B39">
        <w:t>The purpose of the RIT-D is to ensure that RIT-D proponents use appropriate measures to assess all credible options</w:t>
      </w:r>
      <w:r w:rsidRPr="00B25F1A">
        <w:t xml:space="preserve"> </w:t>
      </w:r>
      <w:r w:rsidRPr="007F7B39">
        <w:t>before they choose the best option available to meet their network's augmentation needs (the preferred option)</w:t>
      </w:r>
      <w:r>
        <w:t>.</w:t>
      </w:r>
      <w:r w:rsidRPr="007F7B39">
        <w:t xml:space="preserve"> The preferred option is that</w:t>
      </w:r>
      <w:r w:rsidR="00511407">
        <w:t xml:space="preserve"> which</w:t>
      </w:r>
      <w:r w:rsidRPr="007F7B39">
        <w:t xml:space="preserve"> maximises the present value of the net economic benefit to all those who produce, consume and transport electricity in the N</w:t>
      </w:r>
      <w:r>
        <w:t xml:space="preserve">ational Electricity </w:t>
      </w:r>
      <w:r w:rsidRPr="007F7B39">
        <w:t>M</w:t>
      </w:r>
      <w:r>
        <w:t>arket (NEM)</w:t>
      </w:r>
      <w:r w:rsidRPr="007F7B39">
        <w:t>.</w:t>
      </w:r>
      <w:r w:rsidRPr="007F7B39">
        <w:rPr>
          <w:rStyle w:val="FootnoteReference"/>
        </w:rPr>
        <w:footnoteReference w:id="14"/>
      </w:r>
      <w:r w:rsidRPr="007F7B39">
        <w:t xml:space="preserve"> For the avoidance of doubt, a preferred option may have a net economic cost where the identified need is for reliability corrective action. </w:t>
      </w:r>
      <w:r w:rsidRPr="00DF2E6E">
        <w:t>Based on the use of the</w:t>
      </w:r>
      <w:r w:rsidR="00B25566">
        <w:t xml:space="preserve"> </w:t>
      </w:r>
      <w:r w:rsidR="00B52E74">
        <w:t xml:space="preserve">Regulatory Test </w:t>
      </w:r>
      <w:r w:rsidRPr="00DF2E6E">
        <w:t xml:space="preserve">and the nature of distribution investments </w:t>
      </w:r>
      <w:r w:rsidR="00A6594F">
        <w:t xml:space="preserve">more </w:t>
      </w:r>
      <w:r w:rsidRPr="00DF2E6E">
        <w:t xml:space="preserve">generally, the majority of RIT-D projects </w:t>
      </w:r>
      <w:r w:rsidR="00B23652">
        <w:t>are</w:t>
      </w:r>
      <w:r w:rsidRPr="00DF2E6E">
        <w:t xml:space="preserve"> likely</w:t>
      </w:r>
      <w:r w:rsidR="00B23652">
        <w:t xml:space="preserve"> to</w:t>
      </w:r>
      <w:r w:rsidRPr="00DF2E6E">
        <w:t xml:space="preserve"> be where the identified need is for reliability corrective action. </w:t>
      </w:r>
    </w:p>
    <w:p w:rsidR="00E91F5E" w:rsidRPr="007F7B39" w:rsidRDefault="00E91F5E" w:rsidP="00E91F5E">
      <w:pPr>
        <w:pStyle w:val="Heading2"/>
      </w:pPr>
      <w:bookmarkStart w:id="12" w:name="_Toc364940410"/>
      <w:r>
        <w:t>Consultation</w:t>
      </w:r>
      <w:bookmarkEnd w:id="12"/>
    </w:p>
    <w:bookmarkEnd w:id="4"/>
    <w:p w:rsidR="00A6594F" w:rsidRDefault="00A6594F" w:rsidP="00A6594F">
      <w:pPr>
        <w:pStyle w:val="AERbodytext"/>
        <w:numPr>
          <w:ilvl w:val="0"/>
          <w:numId w:val="6"/>
        </w:numPr>
      </w:pPr>
      <w:r>
        <w:t xml:space="preserve">We commenced the RIT-D development process with the release of a RIT-D Issues paper (Issues paper) on 21 January 2013. The Issues paper provided a brief overview of the Regulatory Test and requirements for a RIT-D. </w:t>
      </w:r>
      <w:r w:rsidRPr="00B43C12">
        <w:rPr>
          <w:rStyle w:val="AERbody"/>
        </w:rPr>
        <w:t xml:space="preserve">Submissions on the </w:t>
      </w:r>
      <w:r>
        <w:t xml:space="preserve">Issues paper </w:t>
      </w:r>
      <w:r w:rsidRPr="00B43C12">
        <w:rPr>
          <w:rStyle w:val="AERbody"/>
        </w:rPr>
        <w:t>closed on 25 February 2013.</w:t>
      </w:r>
      <w:r>
        <w:rPr>
          <w:rStyle w:val="FootnoteReference"/>
        </w:rPr>
        <w:footnoteReference w:id="15"/>
      </w:r>
      <w:r>
        <w:t xml:space="preserve"> </w:t>
      </w:r>
    </w:p>
    <w:p w:rsidR="00A6594F" w:rsidRDefault="00A6594F" w:rsidP="00A6594F">
      <w:pPr>
        <w:pStyle w:val="AERbodytext"/>
        <w:numPr>
          <w:ilvl w:val="0"/>
          <w:numId w:val="6"/>
        </w:numPr>
      </w:pPr>
      <w:r>
        <w:t>Prior to release of the draft application guidelines, we held workshops on a pre-draft RIT-D application guidelines. These workshops were held in Sydney and Melbourne on 15 and 16 May 2013. Stakeholders who attended the workshops were invited to submit comments.</w:t>
      </w:r>
    </w:p>
    <w:p w:rsidR="00A6594F" w:rsidRDefault="00A6594F" w:rsidP="00A6594F">
      <w:pPr>
        <w:pStyle w:val="AERbodytext"/>
        <w:numPr>
          <w:ilvl w:val="0"/>
          <w:numId w:val="6"/>
        </w:numPr>
      </w:pPr>
      <w:r>
        <w:t xml:space="preserve">The draft RIT-D and application guidelines were released on 5 June 2013. Further workshops </w:t>
      </w:r>
      <w:r>
        <w:rPr>
          <w:rStyle w:val="AERbody"/>
        </w:rPr>
        <w:t>were held in Melbourne and Sydney on 26 and 27 June 2013. Submissions were due by 18 July 2013 and can be viewed on the AER’s website.</w:t>
      </w:r>
    </w:p>
    <w:p w:rsidR="00A6594F" w:rsidRDefault="00A6594F" w:rsidP="00A6594F">
      <w:pPr>
        <w:pStyle w:val="AERbodytext"/>
      </w:pPr>
      <w:r>
        <w:t>Th</w:t>
      </w:r>
      <w:r w:rsidR="001015AF">
        <w:t>e</w:t>
      </w:r>
      <w:r>
        <w:t xml:space="preserve"> final decision accompanies the RIT-D and application guidelines published on </w:t>
      </w:r>
      <w:r w:rsidR="005E5FFA">
        <w:t xml:space="preserve">23 </w:t>
      </w:r>
      <w:r>
        <w:t>August 2013.</w:t>
      </w:r>
    </w:p>
    <w:p w:rsidR="00E91F5E" w:rsidRDefault="00586F1A" w:rsidP="000F306E">
      <w:pPr>
        <w:pStyle w:val="Heading2"/>
      </w:pPr>
      <w:bookmarkStart w:id="13" w:name="_Toc364940411"/>
      <w:r>
        <w:t>Structure of the final decision</w:t>
      </w:r>
      <w:bookmarkEnd w:id="13"/>
      <w:r>
        <w:t xml:space="preserve"> </w:t>
      </w:r>
    </w:p>
    <w:p w:rsidR="000F306E" w:rsidRDefault="000F306E" w:rsidP="000F306E">
      <w:pPr>
        <w:pStyle w:val="AERbodytext"/>
        <w:numPr>
          <w:ilvl w:val="0"/>
          <w:numId w:val="0"/>
        </w:numPr>
        <w:rPr>
          <w:rStyle w:val="AERbody"/>
        </w:rPr>
      </w:pPr>
      <w:bookmarkStart w:id="14" w:name="_Toc345076365"/>
      <w:r>
        <w:rPr>
          <w:rStyle w:val="AERbody"/>
        </w:rPr>
        <w:t xml:space="preserve">The final decision </w:t>
      </w:r>
      <w:r>
        <w:t>discuss</w:t>
      </w:r>
      <w:r w:rsidR="00ED782A">
        <w:t>es</w:t>
      </w:r>
      <w:r>
        <w:t xml:space="preserve"> the issues that were raised in submissions to the draft RIT-D and </w:t>
      </w:r>
      <w:r w:rsidR="008D5FEA">
        <w:t xml:space="preserve">application guidelines and the </w:t>
      </w:r>
      <w:r>
        <w:t>feedback re</w:t>
      </w:r>
      <w:r w:rsidR="00923A8B">
        <w:t>ceived at the workshops. As a result</w:t>
      </w:r>
      <w:r w:rsidR="008D5FEA">
        <w:t>,</w:t>
      </w:r>
      <w:r w:rsidR="00923A8B">
        <w:t xml:space="preserve"> the </w:t>
      </w:r>
      <w:r w:rsidR="00ED782A">
        <w:t xml:space="preserve">final decision </w:t>
      </w:r>
      <w:r w:rsidR="00A314A3">
        <w:t>is structured to address</w:t>
      </w:r>
      <w:r w:rsidR="00ED782A">
        <w:t xml:space="preserve"> these issues. </w:t>
      </w:r>
    </w:p>
    <w:p w:rsidR="000F306E" w:rsidRDefault="000F306E" w:rsidP="000F306E">
      <w:pPr>
        <w:pStyle w:val="AERbodytext"/>
        <w:numPr>
          <w:ilvl w:val="0"/>
          <w:numId w:val="0"/>
        </w:numPr>
        <w:rPr>
          <w:rStyle w:val="AERbody"/>
        </w:rPr>
      </w:pPr>
    </w:p>
    <w:p w:rsidR="00E91F5E" w:rsidRPr="006529D6" w:rsidRDefault="00E91F5E" w:rsidP="00E91F5E">
      <w:pPr>
        <w:pStyle w:val="Heading1"/>
      </w:pPr>
      <w:bookmarkStart w:id="15" w:name="_Toc364940412"/>
      <w:r w:rsidRPr="006529D6">
        <w:t xml:space="preserve">RIT-D and </w:t>
      </w:r>
      <w:r>
        <w:t>application guidelines</w:t>
      </w:r>
      <w:bookmarkEnd w:id="15"/>
    </w:p>
    <w:bookmarkEnd w:id="14"/>
    <w:p w:rsidR="00E91F5E" w:rsidRDefault="00E91F5E" w:rsidP="00E91F5E">
      <w:pPr>
        <w:pStyle w:val="AERbodytext"/>
      </w:pPr>
      <w:r>
        <w:t xml:space="preserve">The NER requirements for the development of the RIT-D are </w:t>
      </w:r>
      <w:r w:rsidRPr="00160CCE">
        <w:t>prescriptive</w:t>
      </w:r>
      <w:r>
        <w:t>. As a result,</w:t>
      </w:r>
      <w:r w:rsidRPr="00160CCE">
        <w:t xml:space="preserve"> we have limited ability to control the simplicity of the RIT-D.</w:t>
      </w:r>
      <w:r>
        <w:t xml:space="preserve"> </w:t>
      </w:r>
      <w:r w:rsidRPr="00D55D38">
        <w:t>Th</w:t>
      </w:r>
      <w:r w:rsidR="00CD03F8">
        <w:t>e final decision sets</w:t>
      </w:r>
      <w:r w:rsidRPr="00D55D38">
        <w:t xml:space="preserve"> out the AER’s </w:t>
      </w:r>
      <w:r w:rsidR="008D5FEA">
        <w:t xml:space="preserve">final decision </w:t>
      </w:r>
      <w:r>
        <w:t xml:space="preserve">and </w:t>
      </w:r>
      <w:r w:rsidRPr="00D55D38">
        <w:t xml:space="preserve">reasons for </w:t>
      </w:r>
      <w:r w:rsidR="00D15447">
        <w:t xml:space="preserve">its approach to the RIT-D </w:t>
      </w:r>
      <w:r w:rsidR="00661BB3">
        <w:t>and the application guidelines</w:t>
      </w:r>
      <w:r w:rsidRPr="00D55D38">
        <w:t>.</w:t>
      </w:r>
    </w:p>
    <w:p w:rsidR="00E91F5E" w:rsidRDefault="00E91F5E" w:rsidP="00E91F5E">
      <w:pPr>
        <w:pStyle w:val="Heading2"/>
      </w:pPr>
      <w:bookmarkStart w:id="16" w:name="_Toc345076366"/>
      <w:bookmarkStart w:id="17" w:name="_Toc364940413"/>
      <w:r w:rsidRPr="00C76C35">
        <w:t>Market benefit</w:t>
      </w:r>
      <w:r w:rsidR="009973E0">
        <w:t xml:space="preserve"> classe</w:t>
      </w:r>
      <w:r w:rsidRPr="00C76C35">
        <w:t>s</w:t>
      </w:r>
      <w:bookmarkEnd w:id="17"/>
    </w:p>
    <w:p w:rsidR="00E91F5E" w:rsidRPr="00CC06FA" w:rsidRDefault="00D90DB0" w:rsidP="00E91F5E">
      <w:pPr>
        <w:pStyle w:val="AERbodytext"/>
        <w:numPr>
          <w:ilvl w:val="0"/>
          <w:numId w:val="0"/>
        </w:numPr>
      </w:pPr>
      <w:r w:rsidRPr="004948C0">
        <w:t xml:space="preserve">The RIT-D process compares credible options in terms of net economic benefit to all those who produce, consume and transport electricity in the NEM. </w:t>
      </w:r>
      <w:r w:rsidR="00E91F5E" w:rsidRPr="00CC06FA">
        <w:t>A RIT-D proponent must consider whether each credible option could deliver the classes of market benefits specified under cl. 5.17.1(c</w:t>
      </w:r>
      <w:proofErr w:type="gramStart"/>
      <w:r w:rsidR="00E91F5E" w:rsidRPr="00CC06FA">
        <w:t>)(</w:t>
      </w:r>
      <w:proofErr w:type="gramEnd"/>
      <w:r w:rsidR="00E91F5E" w:rsidRPr="00CC06FA">
        <w:t>4) of the NER.</w:t>
      </w:r>
    </w:p>
    <w:p w:rsidR="00E91F5E" w:rsidRPr="00CC06FA" w:rsidRDefault="00CC06FA" w:rsidP="00E91F5E">
      <w:pPr>
        <w:pStyle w:val="Heading3"/>
        <w:rPr>
          <w:rStyle w:val="AERbody"/>
          <w:color w:val="E36C0A"/>
          <w:sz w:val="24"/>
        </w:rPr>
      </w:pPr>
      <w:r w:rsidRPr="00CC06FA">
        <w:t xml:space="preserve">Final decision </w:t>
      </w:r>
    </w:p>
    <w:p w:rsidR="00E91F5E" w:rsidRPr="00CC06FA" w:rsidRDefault="00CC06FA" w:rsidP="00E91F5E">
      <w:pPr>
        <w:pStyle w:val="AERbodytext"/>
      </w:pPr>
      <w:r w:rsidRPr="00C62E65">
        <w:t xml:space="preserve">Our final decision is </w:t>
      </w:r>
      <w:r w:rsidR="00C31656">
        <w:t xml:space="preserve">to </w:t>
      </w:r>
      <w:r w:rsidRPr="00C62E65">
        <w:t>maintain the proposed view set out in the explanatory statement accompanying the draft RIT-D.</w:t>
      </w:r>
      <w:r>
        <w:t xml:space="preserve"> </w:t>
      </w:r>
      <w:r w:rsidR="007C2709">
        <w:t xml:space="preserve">That is, a </w:t>
      </w:r>
      <w:r w:rsidR="00E91F5E" w:rsidRPr="00CC06FA">
        <w:t xml:space="preserve">RIT-D proponent </w:t>
      </w:r>
      <w:r w:rsidR="007C2709">
        <w:t xml:space="preserve">must </w:t>
      </w:r>
      <w:r w:rsidR="00E91F5E" w:rsidRPr="00CC06FA">
        <w:t>include all classes of market benefits in its analysis that it considers to be material when applying a RIT-D. However, the quantification of market benefits is optional for reliability driven projects.</w:t>
      </w:r>
    </w:p>
    <w:p w:rsidR="00E91F5E" w:rsidRPr="00CC06FA" w:rsidRDefault="00E91F5E" w:rsidP="00E91F5E">
      <w:pPr>
        <w:pStyle w:val="Heading3"/>
      </w:pPr>
      <w:r w:rsidRPr="00CC06FA">
        <w:t xml:space="preserve">Reasons for the </w:t>
      </w:r>
      <w:r w:rsidR="00CC06FA" w:rsidRPr="00CC06FA">
        <w:t>final decision</w:t>
      </w:r>
    </w:p>
    <w:p w:rsidR="00E91F5E" w:rsidRPr="00FA5AE9" w:rsidRDefault="00CC06FA" w:rsidP="00B522CB">
      <w:pPr>
        <w:pStyle w:val="AERbodytext"/>
      </w:pPr>
      <w:r>
        <w:t xml:space="preserve">Submissions made to the draft </w:t>
      </w:r>
      <w:r w:rsidR="007C2709">
        <w:t>RIT-D</w:t>
      </w:r>
      <w:r>
        <w:t xml:space="preserve"> are in general agreement with the approach set out by the AER.</w:t>
      </w:r>
      <w:r>
        <w:rPr>
          <w:rStyle w:val="FootnoteReference"/>
        </w:rPr>
        <w:footnoteReference w:id="16"/>
      </w:r>
      <w:r w:rsidR="00B522CB">
        <w:t xml:space="preserve"> </w:t>
      </w:r>
      <w:r>
        <w:t xml:space="preserve">However, </w:t>
      </w:r>
      <w:r w:rsidR="00C31656">
        <w:t xml:space="preserve">the </w:t>
      </w:r>
      <w:r>
        <w:t>M</w:t>
      </w:r>
      <w:r w:rsidR="00661BB3">
        <w:t xml:space="preserve">ajor </w:t>
      </w:r>
      <w:r>
        <w:t>E</w:t>
      </w:r>
      <w:r w:rsidR="00661BB3">
        <w:t xml:space="preserve">nergy </w:t>
      </w:r>
      <w:r>
        <w:t>U</w:t>
      </w:r>
      <w:r w:rsidR="00661BB3">
        <w:t>sers (MEU)</w:t>
      </w:r>
      <w:r>
        <w:t xml:space="preserve"> submitted that </w:t>
      </w:r>
      <w:r w:rsidR="00661BB3">
        <w:t>network service providers (</w:t>
      </w:r>
      <w:r w:rsidRPr="00CC06FA">
        <w:t>NSPs</w:t>
      </w:r>
      <w:r w:rsidR="00661BB3">
        <w:t>)</w:t>
      </w:r>
      <w:r w:rsidRPr="00CC06FA">
        <w:t xml:space="preserve"> should be required to calculate market benefits for reliability projects. </w:t>
      </w:r>
      <w:r w:rsidR="00B522CB">
        <w:t xml:space="preserve">It submitted that </w:t>
      </w:r>
      <w:r w:rsidRPr="00CC06FA">
        <w:t xml:space="preserve">if a high level assessment shows there are no market benefits, then this should be sufficient to exclude </w:t>
      </w:r>
      <w:r w:rsidR="008D5FEA">
        <w:t xml:space="preserve">a </w:t>
      </w:r>
      <w:r w:rsidRPr="00CC06FA">
        <w:t>more detailed assessment of the market benefits.</w:t>
      </w:r>
      <w:r>
        <w:rPr>
          <w:rStyle w:val="FootnoteReference"/>
        </w:rPr>
        <w:footnoteReference w:id="17"/>
      </w:r>
      <w:r w:rsidR="00B522CB">
        <w:t xml:space="preserve"> </w:t>
      </w:r>
    </w:p>
    <w:p w:rsidR="00E91F5E" w:rsidRPr="00B522CB" w:rsidRDefault="00AE4EEC" w:rsidP="00E91F5E">
      <w:pPr>
        <w:pStyle w:val="AERbodytext"/>
      </w:pPr>
      <w:r>
        <w:t>T</w:t>
      </w:r>
      <w:r w:rsidR="00E91F5E" w:rsidRPr="00B522CB">
        <w:t xml:space="preserve">he NER </w:t>
      </w:r>
      <w:r>
        <w:t>does</w:t>
      </w:r>
      <w:r w:rsidR="00E91F5E" w:rsidRPr="00B522CB">
        <w:t xml:space="preserve"> not oblig</w:t>
      </w:r>
      <w:r>
        <w:t xml:space="preserve">e a </w:t>
      </w:r>
      <w:r w:rsidR="00E91F5E" w:rsidRPr="00B522CB">
        <w:t>RIT-D</w:t>
      </w:r>
      <w:r>
        <w:t xml:space="preserve"> proponent</w:t>
      </w:r>
      <w:r w:rsidR="00E91F5E" w:rsidRPr="00B522CB">
        <w:t xml:space="preserve"> to quantify market benefits in every application of the RIT-D. Clause 5.17.1(d) of the NER specifies that:</w:t>
      </w:r>
    </w:p>
    <w:p w:rsidR="00E91F5E" w:rsidRPr="00B522CB" w:rsidRDefault="00E91F5E" w:rsidP="00E91F5E">
      <w:pPr>
        <w:pStyle w:val="AERquote"/>
      </w:pPr>
      <w:r w:rsidRPr="00B522CB">
        <w:t>A RIT-D proponent may, under the regulatory investment test for distribution, quantify each class of market benefits under paragraph (c</w:t>
      </w:r>
      <w:proofErr w:type="gramStart"/>
      <w:r w:rsidRPr="00B522CB">
        <w:t>)(</w:t>
      </w:r>
      <w:proofErr w:type="gramEnd"/>
      <w:r w:rsidRPr="00B522CB">
        <w:t>4) where the RIT-D proponent considers that:</w:t>
      </w:r>
    </w:p>
    <w:p w:rsidR="00E91F5E" w:rsidRPr="00B522CB" w:rsidRDefault="00E91F5E" w:rsidP="00E91F5E">
      <w:pPr>
        <w:pStyle w:val="AERquote"/>
      </w:pPr>
      <w:r w:rsidRPr="00B522CB">
        <w:t xml:space="preserve">(1) </w:t>
      </w:r>
      <w:proofErr w:type="gramStart"/>
      <w:r w:rsidRPr="00B522CB">
        <w:t>any</w:t>
      </w:r>
      <w:proofErr w:type="gramEnd"/>
      <w:r w:rsidRPr="00B522CB">
        <w:t xml:space="preserve"> applicable market benefits may be material; or </w:t>
      </w:r>
    </w:p>
    <w:p w:rsidR="00E91F5E" w:rsidRPr="00B522CB" w:rsidRDefault="00E91F5E" w:rsidP="00E91F5E">
      <w:pPr>
        <w:pStyle w:val="AERquote"/>
      </w:pPr>
      <w:r w:rsidRPr="00B522CB">
        <w:t xml:space="preserve">(2) </w:t>
      </w:r>
      <w:proofErr w:type="gramStart"/>
      <w:r w:rsidRPr="00B522CB">
        <w:t>the</w:t>
      </w:r>
      <w:proofErr w:type="gramEnd"/>
      <w:r w:rsidRPr="00B522CB">
        <w:t xml:space="preserve"> quantification of market benefits may alter the selection of the preferred option.</w:t>
      </w:r>
    </w:p>
    <w:p w:rsidR="00E91F5E" w:rsidRPr="00B522CB" w:rsidRDefault="00E91F5E" w:rsidP="00E91F5E">
      <w:pPr>
        <w:pStyle w:val="AERbodytext"/>
        <w:numPr>
          <w:ilvl w:val="0"/>
          <w:numId w:val="6"/>
        </w:numPr>
      </w:pPr>
      <w:r w:rsidRPr="00B522CB">
        <w:t xml:space="preserve">However, we note that the AEMC’s Final Rule Determination qualifies this discretion: </w:t>
      </w:r>
    </w:p>
    <w:p w:rsidR="00E91F5E" w:rsidRPr="00B522CB" w:rsidRDefault="00E91F5E" w:rsidP="00E91F5E">
      <w:pPr>
        <w:pStyle w:val="AERquote"/>
      </w:pPr>
      <w:r w:rsidRPr="00B522CB">
        <w:t>The Commission confirms that it is the intention of clause 5.17.1(d) that the quantification of market benefits is optional under the RIT-D. However this clause must be read in conjunction with 5.17.1(b) which states that:</w:t>
      </w:r>
    </w:p>
    <w:p w:rsidR="00E91F5E" w:rsidRPr="00B522CB" w:rsidRDefault="00E91F5E" w:rsidP="00E91F5E">
      <w:pPr>
        <w:pStyle w:val="AERquoteindent1"/>
      </w:pPr>
      <w:r w:rsidRPr="00B522CB">
        <w:t xml:space="preserve">“(b) ...For the avoidance of doubt, a preferred option may, in the relevant circumstance, have a negative net economic benefit (that is, a net economic cost) where an identified need is for reliability corrective action”. </w:t>
      </w:r>
    </w:p>
    <w:p w:rsidR="00E91F5E" w:rsidRDefault="00E91F5E" w:rsidP="00E91F5E">
      <w:pPr>
        <w:pStyle w:val="AERquote"/>
      </w:pPr>
      <w:r w:rsidRPr="00B522CB">
        <w:t xml:space="preserve">Therefore, where an identified need is not for reliability corrective action, a RIT-D proponent would need to quantify both the applicable costs and market benefits associated with each credible.  </w:t>
      </w:r>
    </w:p>
    <w:p w:rsidR="00AE4EEC" w:rsidRDefault="00AE4EEC" w:rsidP="00AE4EEC">
      <w:pPr>
        <w:pStyle w:val="AERbodytext"/>
      </w:pPr>
      <w:r>
        <w:t>Further, cl. 5.17.1(5) of the NER provides that the RIT-D must:</w:t>
      </w:r>
    </w:p>
    <w:p w:rsidR="00AE4EEC" w:rsidRDefault="00AE4EEC" w:rsidP="00AE4EEC">
      <w:pPr>
        <w:pStyle w:val="AERquote"/>
      </w:pPr>
      <w:r>
        <w:t>with respect to the classes of market benefits set out in subparagraphs (4</w:t>
      </w:r>
      <w:proofErr w:type="gramStart"/>
      <w:r>
        <w:t>)(</w:t>
      </w:r>
      <w:proofErr w:type="gramEnd"/>
      <w:r>
        <w:t>i) and (ii), ensure that, if a credible option is for reliability corrective action, the consideration and any quantification assessment of these classes of market benefits will only apply insofar as the market benefit delivered by that credible option exceeds the minimum standard required for reliability corrective action.</w:t>
      </w:r>
    </w:p>
    <w:p w:rsidR="00AE4EEC" w:rsidRPr="00AE4EEC" w:rsidRDefault="00AE4EEC" w:rsidP="00AE4EEC">
      <w:pPr>
        <w:pStyle w:val="AERbodytext"/>
      </w:pPr>
      <w:r>
        <w:t xml:space="preserve">Therefore, while the quantification of market benefits is not required for a reliability corrective action, </w:t>
      </w:r>
      <w:r w:rsidR="002D1837">
        <w:t>distribution network service providers (</w:t>
      </w:r>
      <w:r>
        <w:t>DNSPs</w:t>
      </w:r>
      <w:r w:rsidR="002D1837">
        <w:t>)</w:t>
      </w:r>
      <w:r>
        <w:t xml:space="preserve"> must quantify market benefits for that part of a credible option that exceeds any minimum reliability standards. </w:t>
      </w:r>
    </w:p>
    <w:p w:rsidR="00E91F5E" w:rsidRDefault="00E91F5E" w:rsidP="00E91F5E">
      <w:pPr>
        <w:pStyle w:val="Heading2"/>
      </w:pPr>
      <w:bookmarkStart w:id="18" w:name="_Toc364940414"/>
      <w:r>
        <w:t>Customer initiated projects</w:t>
      </w:r>
      <w:bookmarkEnd w:id="18"/>
    </w:p>
    <w:p w:rsidR="00E91F5E" w:rsidRPr="006529D6" w:rsidRDefault="00E91F5E" w:rsidP="00E91F5E">
      <w:pPr>
        <w:rPr>
          <w:rStyle w:val="AERbody"/>
        </w:rPr>
      </w:pPr>
      <w:r w:rsidRPr="006529D6">
        <w:rPr>
          <w:rStyle w:val="AERbody"/>
        </w:rPr>
        <w:t>Clause 5.17.4 of the NER sets out the procedures that RIT-D proponents must follow in applying the RIT-D. The RIT-D procedures outline a three stage process:</w:t>
      </w:r>
    </w:p>
    <w:p w:rsidR="00E91F5E" w:rsidRPr="006529D6" w:rsidRDefault="00E91F5E" w:rsidP="00E91F5E">
      <w:pPr>
        <w:pStyle w:val="AERbulletlistfirststyle"/>
        <w:rPr>
          <w:rStyle w:val="AERbody"/>
        </w:rPr>
      </w:pPr>
      <w:r w:rsidRPr="006529D6">
        <w:rPr>
          <w:rStyle w:val="AERbody"/>
        </w:rPr>
        <w:t>Non-network options report</w:t>
      </w:r>
    </w:p>
    <w:p w:rsidR="00E91F5E" w:rsidRPr="006529D6" w:rsidRDefault="00E91F5E" w:rsidP="00E91F5E">
      <w:pPr>
        <w:pStyle w:val="AERbulletlistfirststyle"/>
        <w:rPr>
          <w:rStyle w:val="AERbody"/>
        </w:rPr>
      </w:pPr>
      <w:r w:rsidRPr="006529D6">
        <w:rPr>
          <w:rStyle w:val="AERbody"/>
        </w:rPr>
        <w:t xml:space="preserve">Draft Project Assessment </w:t>
      </w:r>
      <w:r w:rsidR="00CD03F8">
        <w:rPr>
          <w:rStyle w:val="AERbody"/>
        </w:rPr>
        <w:t>R</w:t>
      </w:r>
      <w:r w:rsidRPr="006529D6">
        <w:rPr>
          <w:rStyle w:val="AERbody"/>
        </w:rPr>
        <w:t>eport</w:t>
      </w:r>
      <w:r w:rsidR="00CD03F8">
        <w:rPr>
          <w:rStyle w:val="AERbody"/>
        </w:rPr>
        <w:t xml:space="preserve"> (DPAR)</w:t>
      </w:r>
    </w:p>
    <w:p w:rsidR="00E91F5E" w:rsidRDefault="00E91F5E" w:rsidP="00E91F5E">
      <w:pPr>
        <w:pStyle w:val="AERbulletlistfirststyle"/>
        <w:rPr>
          <w:rStyle w:val="AERbody"/>
        </w:rPr>
      </w:pPr>
      <w:r w:rsidRPr="006529D6">
        <w:rPr>
          <w:rStyle w:val="AERbody"/>
        </w:rPr>
        <w:t xml:space="preserve">Final Project Assessment </w:t>
      </w:r>
      <w:r w:rsidR="00CD03F8">
        <w:rPr>
          <w:rStyle w:val="AERbody"/>
        </w:rPr>
        <w:t>R</w:t>
      </w:r>
      <w:r w:rsidRPr="006529D6">
        <w:rPr>
          <w:rStyle w:val="AERbody"/>
        </w:rPr>
        <w:t>eport</w:t>
      </w:r>
      <w:r w:rsidR="00CD03F8">
        <w:rPr>
          <w:rStyle w:val="AERbody"/>
        </w:rPr>
        <w:t xml:space="preserve"> (FPAR)</w:t>
      </w:r>
      <w:r w:rsidRPr="006529D6">
        <w:rPr>
          <w:rStyle w:val="AERbody"/>
        </w:rPr>
        <w:t>.</w:t>
      </w:r>
    </w:p>
    <w:p w:rsidR="00E91F5E" w:rsidRDefault="00E91F5E" w:rsidP="00E91F5E">
      <w:pPr>
        <w:pStyle w:val="AERbodytext"/>
        <w:numPr>
          <w:ilvl w:val="0"/>
          <w:numId w:val="6"/>
        </w:numPr>
      </w:pPr>
      <w:r w:rsidRPr="006529D6">
        <w:rPr>
          <w:rStyle w:val="AERbody"/>
        </w:rPr>
        <w:t>It also specifies that stakeholder consultation on the RIT-D project should occur.</w:t>
      </w:r>
    </w:p>
    <w:p w:rsidR="00E91F5E" w:rsidRPr="00F74821" w:rsidRDefault="00CD03F8" w:rsidP="00E91F5E">
      <w:pPr>
        <w:pStyle w:val="Heading3"/>
        <w:rPr>
          <w:rStyle w:val="AERbody"/>
          <w:color w:val="E36C0A"/>
          <w:sz w:val="24"/>
        </w:rPr>
      </w:pPr>
      <w:r>
        <w:t xml:space="preserve">Final decision </w:t>
      </w:r>
    </w:p>
    <w:p w:rsidR="00E91F5E" w:rsidRPr="006529D6" w:rsidRDefault="00E91F5E" w:rsidP="00E91F5E">
      <w:pPr>
        <w:pStyle w:val="AERbodytext"/>
        <w:rPr>
          <w:rStyle w:val="AERbody"/>
        </w:rPr>
      </w:pPr>
      <w:r>
        <w:rPr>
          <w:rStyle w:val="AERbody"/>
        </w:rPr>
        <w:t xml:space="preserve">In accordance with cl. 5.17.4 of the NER, </w:t>
      </w:r>
      <w:r>
        <w:t>a</w:t>
      </w:r>
      <w:r w:rsidRPr="00041EA7">
        <w:t xml:space="preserve"> RIT-D </w:t>
      </w:r>
      <w:r>
        <w:t xml:space="preserve">assessment </w:t>
      </w:r>
      <w:r w:rsidRPr="00041EA7">
        <w:t xml:space="preserve">is required, even if </w:t>
      </w:r>
      <w:r>
        <w:t>the conduct of the RIT-D</w:t>
      </w:r>
      <w:r w:rsidRPr="00041EA7">
        <w:t xml:space="preserve"> would adversely affect the overall timing of a customer</w:t>
      </w:r>
      <w:r w:rsidR="002D1837">
        <w:t xml:space="preserve"> </w:t>
      </w:r>
      <w:r w:rsidRPr="00041EA7">
        <w:t>initiated project.</w:t>
      </w:r>
    </w:p>
    <w:p w:rsidR="00E91F5E" w:rsidRDefault="00E91F5E" w:rsidP="00E91F5E">
      <w:pPr>
        <w:pStyle w:val="Heading3"/>
      </w:pPr>
      <w:r>
        <w:t xml:space="preserve">Reasons for the </w:t>
      </w:r>
      <w:r w:rsidR="00CD03F8">
        <w:t>final decision</w:t>
      </w:r>
    </w:p>
    <w:p w:rsidR="00AE4EEC" w:rsidRDefault="00AE4EEC" w:rsidP="00EC558C">
      <w:pPr>
        <w:pStyle w:val="AERbodytext"/>
      </w:pPr>
      <w:r>
        <w:t>A</w:t>
      </w:r>
      <w:r w:rsidRPr="00041EA7">
        <w:t xml:space="preserve"> RIT-D project can only be exempt from the RIT-D if it falls </w:t>
      </w:r>
      <w:r>
        <w:t>within</w:t>
      </w:r>
      <w:r w:rsidRPr="00041EA7">
        <w:t xml:space="preserve"> the exemption clauses </w:t>
      </w:r>
      <w:r>
        <w:t xml:space="preserve">set out </w:t>
      </w:r>
      <w:r w:rsidRPr="00041EA7">
        <w:t xml:space="preserve">under </w:t>
      </w:r>
      <w:r>
        <w:t>cl. </w:t>
      </w:r>
      <w:r w:rsidRPr="00041EA7">
        <w:t>5.17.3(a) of the NER.</w:t>
      </w:r>
      <w:r w:rsidRPr="00AE4EEC">
        <w:t xml:space="preserve"> </w:t>
      </w:r>
      <w:r>
        <w:t xml:space="preserve">As </w:t>
      </w:r>
      <w:r w:rsidR="007F59E5">
        <w:t xml:space="preserve">a </w:t>
      </w:r>
      <w:r>
        <w:t>result, we maintain our position as set out in the explanatory statement, that a</w:t>
      </w:r>
      <w:r w:rsidRPr="00041EA7">
        <w:t xml:space="preserve"> RIT-D </w:t>
      </w:r>
      <w:r>
        <w:t xml:space="preserve">assessment </w:t>
      </w:r>
      <w:r w:rsidRPr="00041EA7">
        <w:t xml:space="preserve">is required, even if </w:t>
      </w:r>
      <w:r>
        <w:t>the conduct of the RIT-D</w:t>
      </w:r>
      <w:r w:rsidRPr="00041EA7">
        <w:t xml:space="preserve"> would adversely affect the overall timing of a customer-initiated project</w:t>
      </w:r>
      <w:r>
        <w:t>.</w:t>
      </w:r>
    </w:p>
    <w:p w:rsidR="001346FE" w:rsidRDefault="00CD03F8" w:rsidP="00A4730F">
      <w:pPr>
        <w:pStyle w:val="AERbodytext"/>
      </w:pPr>
      <w:r w:rsidRPr="00EC558C">
        <w:t xml:space="preserve">The MEU </w:t>
      </w:r>
      <w:r w:rsidR="00384EE2">
        <w:t>submitted</w:t>
      </w:r>
      <w:r w:rsidR="00384EE2" w:rsidRPr="00EC558C">
        <w:t xml:space="preserve"> </w:t>
      </w:r>
      <w:r w:rsidRPr="00EC558C">
        <w:t>that the RIT-D should include the effects of committed</w:t>
      </w:r>
      <w:r>
        <w:t xml:space="preserve"> </w:t>
      </w:r>
      <w:r w:rsidRPr="00EC558C">
        <w:t>customer projects even if they have not physically commenced.</w:t>
      </w:r>
      <w:r w:rsidR="00384EE2">
        <w:rPr>
          <w:rStyle w:val="FootnoteReference"/>
        </w:rPr>
        <w:footnoteReference w:id="18"/>
      </w:r>
      <w:r w:rsidR="003D09ED">
        <w:t xml:space="preserve"> </w:t>
      </w:r>
      <w:r w:rsidR="000403AE">
        <w:t xml:space="preserve">We note that </w:t>
      </w:r>
      <w:r w:rsidR="00893A4A">
        <w:t xml:space="preserve">DNSPs </w:t>
      </w:r>
      <w:r w:rsidR="000403AE">
        <w:t xml:space="preserve">account for committed projects in their load forecasts, not just those that have commenced. </w:t>
      </w:r>
      <w:r w:rsidR="001607DE">
        <w:t>Therefore</w:t>
      </w:r>
      <w:r w:rsidR="00893A4A">
        <w:t>,</w:t>
      </w:r>
      <w:r w:rsidR="001607DE">
        <w:t xml:space="preserve"> w</w:t>
      </w:r>
      <w:r w:rsidR="00384EE2">
        <w:t>e consider that where a RIT-D assessment is conducted, the</w:t>
      </w:r>
      <w:r w:rsidR="00A4730F">
        <w:t xml:space="preserve"> </w:t>
      </w:r>
      <w:r w:rsidR="00384EE2">
        <w:t xml:space="preserve">effects </w:t>
      </w:r>
      <w:r w:rsidR="00A4730F" w:rsidRPr="00EC558C">
        <w:t>of committed</w:t>
      </w:r>
      <w:r w:rsidR="00A4730F">
        <w:t xml:space="preserve"> </w:t>
      </w:r>
      <w:r w:rsidR="00A4730F" w:rsidRPr="00EC558C">
        <w:t xml:space="preserve">customer </w:t>
      </w:r>
      <w:r w:rsidR="002D1837">
        <w:t xml:space="preserve">initiated </w:t>
      </w:r>
      <w:r w:rsidR="00A4730F" w:rsidRPr="00EC558C">
        <w:t xml:space="preserve">projects </w:t>
      </w:r>
      <w:r w:rsidR="00384EE2">
        <w:t xml:space="preserve">should be included. </w:t>
      </w:r>
    </w:p>
    <w:p w:rsidR="00E91F5E" w:rsidRDefault="00AE4EEC" w:rsidP="00A4730F">
      <w:pPr>
        <w:pStyle w:val="AERbodytext"/>
      </w:pPr>
      <w:r>
        <w:t xml:space="preserve">The </w:t>
      </w:r>
      <w:r w:rsidR="00A4730F" w:rsidRPr="00A4730F">
        <w:t xml:space="preserve">Victorian DNSPs </w:t>
      </w:r>
      <w:r w:rsidR="00A4730F">
        <w:t>submitted</w:t>
      </w:r>
      <w:r w:rsidR="00A4730F" w:rsidRPr="00A4730F">
        <w:t xml:space="preserve"> that new connection works may be delayed as a result of applying th</w:t>
      </w:r>
      <w:r w:rsidR="00A4730F">
        <w:t xml:space="preserve">e RIT-D. However, they </w:t>
      </w:r>
      <w:r w:rsidR="001346FE">
        <w:t xml:space="preserve">also </w:t>
      </w:r>
      <w:r w:rsidR="002D1837">
        <w:t>submit</w:t>
      </w:r>
      <w:r w:rsidR="001346FE">
        <w:t>ted</w:t>
      </w:r>
      <w:r w:rsidR="00A4730F">
        <w:t xml:space="preserve"> that </w:t>
      </w:r>
      <w:r w:rsidR="00A4730F" w:rsidRPr="00A4730F">
        <w:t>the existing NER provisions may provide an appropriate mechanism for addressing this concern.</w:t>
      </w:r>
      <w:r w:rsidR="00A4730F">
        <w:rPr>
          <w:rStyle w:val="FootnoteReference"/>
        </w:rPr>
        <w:footnoteReference w:id="19"/>
      </w:r>
      <w:r w:rsidR="00E91F5E" w:rsidRPr="00041EA7">
        <w:t xml:space="preserve"> Some customer-initiated projects may fall under </w:t>
      </w:r>
      <w:r w:rsidR="00E91F5E">
        <w:t>cl.</w:t>
      </w:r>
      <w:r w:rsidR="001346FE">
        <w:t> </w:t>
      </w:r>
      <w:r w:rsidR="00E91F5E">
        <w:t xml:space="preserve">5.17.3(a)(3) of the NER, which </w:t>
      </w:r>
      <w:r w:rsidR="00E91F5E" w:rsidRPr="00041EA7">
        <w:t>specifies:</w:t>
      </w:r>
      <w:r w:rsidR="00E91F5E" w:rsidRPr="00160CCE">
        <w:t xml:space="preserve"> </w:t>
      </w:r>
    </w:p>
    <w:p w:rsidR="00E91F5E" w:rsidRDefault="00E91F5E" w:rsidP="00E91F5E">
      <w:pPr>
        <w:pStyle w:val="AERquote"/>
      </w:pPr>
      <w:proofErr w:type="gramStart"/>
      <w:r w:rsidRPr="00160CCE">
        <w:t>the</w:t>
      </w:r>
      <w:proofErr w:type="gramEnd"/>
      <w:r w:rsidRPr="00160CCE">
        <w:t xml:space="preserve"> cost of addressing the identified need is to be fully recovered through charges other than charges in respect of standard control services or prescribed transmission services.</w:t>
      </w:r>
    </w:p>
    <w:p w:rsidR="00E91F5E" w:rsidRPr="00C6603A" w:rsidRDefault="00E91F5E" w:rsidP="00E91F5E">
      <w:pPr>
        <w:pStyle w:val="Heading2"/>
      </w:pPr>
      <w:bookmarkStart w:id="19" w:name="_Toc364940415"/>
      <w:r w:rsidRPr="00C6603A">
        <w:t>Removal of the base case</w:t>
      </w:r>
      <w:bookmarkEnd w:id="16"/>
      <w:bookmarkEnd w:id="19"/>
      <w:r w:rsidRPr="00C6603A">
        <w:t xml:space="preserve">  </w:t>
      </w:r>
    </w:p>
    <w:p w:rsidR="00E91F5E" w:rsidRPr="00C6603A" w:rsidRDefault="00E76AA1" w:rsidP="00E91F5E">
      <w:r w:rsidRPr="00610A58">
        <w:t xml:space="preserve">RIT-D proponents </w:t>
      </w:r>
      <w:r>
        <w:t>are permitted to set</w:t>
      </w:r>
      <w:r w:rsidRPr="00610A58">
        <w:t xml:space="preserve"> one credible option as </w:t>
      </w:r>
      <w:r>
        <w:t>the ‘</w:t>
      </w:r>
      <w:r w:rsidRPr="00610A58">
        <w:t>base case</w:t>
      </w:r>
      <w:r>
        <w:t>'</w:t>
      </w:r>
      <w:r w:rsidRPr="00610A58">
        <w:t xml:space="preserve"> against which other credible options are compared. </w:t>
      </w:r>
      <w:r w:rsidR="00E91F5E" w:rsidRPr="00C6603A">
        <w:t xml:space="preserve">The application guidelines clarify that where the identified need is </w:t>
      </w:r>
      <w:r w:rsidR="008D5FEA">
        <w:t xml:space="preserve">for </w:t>
      </w:r>
      <w:r w:rsidR="00E91F5E" w:rsidRPr="00C6603A">
        <w:t xml:space="preserve">reliability corrective </w:t>
      </w:r>
      <w:proofErr w:type="gramStart"/>
      <w:r w:rsidR="00E91F5E" w:rsidRPr="00C6603A">
        <w:t>action,</w:t>
      </w:r>
      <w:proofErr w:type="gramEnd"/>
      <w:r w:rsidR="00E91F5E" w:rsidRPr="00C6603A">
        <w:t xml:space="preserve"> the base case need not reflect a 'do nothing' state of the world. </w:t>
      </w:r>
    </w:p>
    <w:p w:rsidR="00E91F5E" w:rsidRPr="00874522" w:rsidRDefault="00874522" w:rsidP="00E91F5E">
      <w:pPr>
        <w:pStyle w:val="Heading3"/>
      </w:pPr>
      <w:r w:rsidRPr="00874522">
        <w:t xml:space="preserve">Final decision </w:t>
      </w:r>
    </w:p>
    <w:p w:rsidR="00E91F5E" w:rsidRPr="00874522" w:rsidRDefault="00874522" w:rsidP="00E91F5E">
      <w:r w:rsidRPr="00874522">
        <w:t xml:space="preserve">Our final decision </w:t>
      </w:r>
      <w:r>
        <w:t xml:space="preserve">is </w:t>
      </w:r>
      <w:r w:rsidR="00E91F5E" w:rsidRPr="00874522">
        <w:t>that RIT-D proponents be allowed to select one credible option to serve as the base case against which other credible options are compared. This may involve comparing credible options against a '</w:t>
      </w:r>
      <w:proofErr w:type="gramStart"/>
      <w:r w:rsidR="00E91F5E" w:rsidRPr="00874522">
        <w:t>do</w:t>
      </w:r>
      <w:proofErr w:type="gramEnd"/>
      <w:r w:rsidR="00E91F5E" w:rsidRPr="00874522">
        <w:t xml:space="preserve"> nothing' base case.</w:t>
      </w:r>
    </w:p>
    <w:p w:rsidR="00E91F5E" w:rsidRPr="00874522" w:rsidRDefault="00E91F5E" w:rsidP="00E91F5E">
      <w:pPr>
        <w:pStyle w:val="Heading3"/>
      </w:pPr>
      <w:r w:rsidRPr="00874522">
        <w:t xml:space="preserve">Reasons for the </w:t>
      </w:r>
      <w:r w:rsidR="00874522">
        <w:t xml:space="preserve">final decision </w:t>
      </w:r>
    </w:p>
    <w:p w:rsidR="003D09ED" w:rsidRPr="003D09ED" w:rsidRDefault="003D09ED" w:rsidP="00874522">
      <w:pPr>
        <w:pStyle w:val="AERbodytext"/>
        <w:rPr>
          <w:highlight w:val="yellow"/>
        </w:rPr>
      </w:pPr>
      <w:r>
        <w:t xml:space="preserve">We consider that where </w:t>
      </w:r>
      <w:r w:rsidRPr="00874522">
        <w:t>the identified need is for a reliability corrective action, a relative ranking of options is required for identifying the credible option.</w:t>
      </w:r>
    </w:p>
    <w:p w:rsidR="00874522" w:rsidRPr="00874522" w:rsidRDefault="00C31656" w:rsidP="00874522">
      <w:pPr>
        <w:pStyle w:val="AERbodytext"/>
        <w:rPr>
          <w:highlight w:val="yellow"/>
        </w:rPr>
      </w:pPr>
      <w:r>
        <w:t xml:space="preserve">The </w:t>
      </w:r>
      <w:r w:rsidR="00874522">
        <w:t>MEU submit</w:t>
      </w:r>
      <w:r>
        <w:t>ted</w:t>
      </w:r>
      <w:r w:rsidR="00874522">
        <w:t xml:space="preserve"> that the base case should always be the 'do nothing' or </w:t>
      </w:r>
      <w:r w:rsidR="008D5FEA">
        <w:t>‘</w:t>
      </w:r>
      <w:r w:rsidR="00874522" w:rsidRPr="00D15447">
        <w:t>business as usual</w:t>
      </w:r>
      <w:r w:rsidR="008D5FEA">
        <w:t>’</w:t>
      </w:r>
      <w:r w:rsidR="0044715F">
        <w:t xml:space="preserve"> position. It</w:t>
      </w:r>
      <w:r w:rsidR="00874522">
        <w:t xml:space="preserve"> submitted that all proposed investment benefits measured against this, particularly reliability investments.</w:t>
      </w:r>
      <w:r w:rsidR="00874522">
        <w:rPr>
          <w:rStyle w:val="FootnoteReference"/>
        </w:rPr>
        <w:footnoteReference w:id="20"/>
      </w:r>
      <w:r>
        <w:t xml:space="preserve"> </w:t>
      </w:r>
      <w:r w:rsidR="003D09ED">
        <w:t xml:space="preserve">The </w:t>
      </w:r>
      <w:r w:rsidR="00874522">
        <w:t>Victorian DNSPs submitted that the application g</w:t>
      </w:r>
      <w:r w:rsidR="003D09ED">
        <w:t>uidelines should recognise that, f</w:t>
      </w:r>
      <w:r w:rsidR="00874522">
        <w:t xml:space="preserve">or situations </w:t>
      </w:r>
      <w:r w:rsidR="003D09ED">
        <w:t>where the</w:t>
      </w:r>
      <w:r w:rsidR="00874522">
        <w:t xml:space="preserve"> identified need is not </w:t>
      </w:r>
      <w:r w:rsidR="003D09ED">
        <w:t xml:space="preserve">for </w:t>
      </w:r>
      <w:r w:rsidR="00874522">
        <w:t>reliability corrective act</w:t>
      </w:r>
      <w:r w:rsidR="00D07D87">
        <w:t xml:space="preserve">ion the "do nothing" base case is, by definition, </w:t>
      </w:r>
      <w:r w:rsidR="00874522">
        <w:t>a credible option, and may even be the preferred option.</w:t>
      </w:r>
      <w:r w:rsidR="00874522">
        <w:rPr>
          <w:rStyle w:val="FootnoteReference"/>
        </w:rPr>
        <w:footnoteReference w:id="21"/>
      </w:r>
    </w:p>
    <w:p w:rsidR="00E91F5E" w:rsidRPr="00874522" w:rsidRDefault="00D15447" w:rsidP="006C2C3D">
      <w:pPr>
        <w:pStyle w:val="AERbodytext"/>
        <w:numPr>
          <w:ilvl w:val="0"/>
          <w:numId w:val="6"/>
        </w:numPr>
      </w:pPr>
      <w:r>
        <w:t>W</w:t>
      </w:r>
      <w:r w:rsidR="006C2C3D">
        <w:t xml:space="preserve">hen reliability standards are not met, a DNSP </w:t>
      </w:r>
      <w:r>
        <w:t>may</w:t>
      </w:r>
      <w:r w:rsidR="006C2C3D">
        <w:t xml:space="preserve"> be in breach of its licence conditions/technical standards. As a result, a ‘do-nothing’</w:t>
      </w:r>
      <w:r w:rsidR="001607DE">
        <w:t xml:space="preserve"> base case</w:t>
      </w:r>
      <w:r w:rsidR="006C2C3D">
        <w:t xml:space="preserve"> </w:t>
      </w:r>
      <w:r w:rsidR="001607DE">
        <w:t xml:space="preserve">may be </w:t>
      </w:r>
      <w:r w:rsidR="006C2C3D">
        <w:t>non-complian</w:t>
      </w:r>
      <w:r w:rsidR="001607DE">
        <w:t>t</w:t>
      </w:r>
      <w:r w:rsidR="006C2C3D">
        <w:t xml:space="preserve"> under these circumstances. </w:t>
      </w:r>
      <w:r w:rsidR="00E91F5E" w:rsidRPr="00874522">
        <w:t xml:space="preserve">To simplify the required analysis and avoid the need to formulate a 'do nothing' base case where such an outcome is not feasible, the application guidelines allow RIT-D proponents to select one credible option to serve as the base case against which other credible options are compared. Under these circumstances, the 'base case credible option' may be the preferred option if it offers the highest relative benefit of all the credible options. </w:t>
      </w:r>
      <w:r w:rsidR="00C251E5">
        <w:t>T</w:t>
      </w:r>
      <w:r w:rsidR="00E91F5E" w:rsidRPr="00874522">
        <w:t>his does not preclude RIT-D proponents from comparing credible options against a '</w:t>
      </w:r>
      <w:proofErr w:type="gramStart"/>
      <w:r w:rsidR="00E91F5E" w:rsidRPr="00874522">
        <w:t>do</w:t>
      </w:r>
      <w:proofErr w:type="gramEnd"/>
      <w:r w:rsidR="00E91F5E" w:rsidRPr="00874522">
        <w:t xml:space="preserve"> nothing' base case.</w:t>
      </w:r>
    </w:p>
    <w:p w:rsidR="00E91F5E" w:rsidRPr="0083748A" w:rsidRDefault="00E91F5E" w:rsidP="00E91F5E">
      <w:pPr>
        <w:pStyle w:val="Heading2"/>
        <w:rPr>
          <w:rStyle w:val="AERbody"/>
          <w:color w:val="E36C0A"/>
          <w:sz w:val="28"/>
        </w:rPr>
      </w:pPr>
      <w:bookmarkStart w:id="20" w:name="_Toc364940416"/>
      <w:r w:rsidRPr="0083748A">
        <w:rPr>
          <w:rStyle w:val="AERbody"/>
          <w:color w:val="E36C0A"/>
          <w:sz w:val="28"/>
        </w:rPr>
        <w:t>Additional distribution level market benefits</w:t>
      </w:r>
      <w:bookmarkEnd w:id="20"/>
      <w:r w:rsidRPr="0083748A">
        <w:rPr>
          <w:rStyle w:val="AERbody"/>
          <w:color w:val="E36C0A"/>
          <w:sz w:val="28"/>
        </w:rPr>
        <w:t xml:space="preserve"> </w:t>
      </w:r>
    </w:p>
    <w:p w:rsidR="00E91F5E" w:rsidRPr="00A16978" w:rsidRDefault="00E91F5E" w:rsidP="00E91F5E">
      <w:pPr>
        <w:pStyle w:val="AERbodytext"/>
      </w:pPr>
      <w:r w:rsidRPr="009A46A9">
        <w:t>Clause 5.17.1(c</w:t>
      </w:r>
      <w:proofErr w:type="gramStart"/>
      <w:r w:rsidRPr="009A46A9">
        <w:t>)(</w:t>
      </w:r>
      <w:proofErr w:type="gramEnd"/>
      <w:r w:rsidRPr="009A46A9">
        <w:t xml:space="preserve">4) of the NER requires RIT-D proponents to consider whether a credible option </w:t>
      </w:r>
      <w:r w:rsidRPr="00A16978">
        <w:t>could deliver specified classes of market benefits.</w:t>
      </w:r>
    </w:p>
    <w:p w:rsidR="00E91F5E" w:rsidRPr="00A16978" w:rsidRDefault="0083748A" w:rsidP="00E91F5E">
      <w:pPr>
        <w:pStyle w:val="Heading3"/>
      </w:pPr>
      <w:r w:rsidRPr="00A16978">
        <w:t xml:space="preserve">Final decision </w:t>
      </w:r>
    </w:p>
    <w:p w:rsidR="00E91F5E" w:rsidRPr="00A16978" w:rsidRDefault="00A16978" w:rsidP="00E91F5E">
      <w:pPr>
        <w:pStyle w:val="AERbodytext"/>
        <w:numPr>
          <w:ilvl w:val="0"/>
          <w:numId w:val="0"/>
        </w:numPr>
      </w:pPr>
      <w:r w:rsidRPr="00C62E65">
        <w:t xml:space="preserve">Our final decision is </w:t>
      </w:r>
      <w:r w:rsidR="00C251E5">
        <w:t xml:space="preserve">to </w:t>
      </w:r>
      <w:r w:rsidRPr="00C62E65">
        <w:t xml:space="preserve">maintain the proposed view set out in the explanatory statement accompanying the draft RIT-D. </w:t>
      </w:r>
      <w:r w:rsidR="00C251E5">
        <w:t>That is, w</w:t>
      </w:r>
      <w:r>
        <w:t xml:space="preserve">e consider </w:t>
      </w:r>
      <w:r w:rsidR="00E91F5E" w:rsidRPr="00A16978">
        <w:t>it appropriate to give RIT-D proponents the option to consider wholesale market impacts, where such impacts could reasonably be considered material.</w:t>
      </w:r>
    </w:p>
    <w:p w:rsidR="00E91F5E" w:rsidRPr="00A16978" w:rsidRDefault="00E91F5E" w:rsidP="00E91F5E">
      <w:pPr>
        <w:pStyle w:val="Heading3"/>
      </w:pPr>
      <w:r w:rsidRPr="00A16978">
        <w:t xml:space="preserve">Reasons for the </w:t>
      </w:r>
      <w:r w:rsidR="00A16978">
        <w:t>final decision</w:t>
      </w:r>
    </w:p>
    <w:p w:rsidR="00E91F5E" w:rsidRDefault="00E91F5E" w:rsidP="00E91F5E">
      <w:pPr>
        <w:pStyle w:val="AERbodytext"/>
        <w:numPr>
          <w:ilvl w:val="0"/>
          <w:numId w:val="6"/>
        </w:numPr>
      </w:pPr>
      <w:r w:rsidRPr="00A16978">
        <w:t xml:space="preserve">We consider it appropriate to allow </w:t>
      </w:r>
      <w:r w:rsidR="00A16978">
        <w:t xml:space="preserve">RIT-D </w:t>
      </w:r>
      <w:r w:rsidRPr="00A16978">
        <w:t xml:space="preserve">proponents to identify other relevant costs and market benefits that have not been specified in the NER. </w:t>
      </w:r>
      <w:r w:rsidR="008D5FEA">
        <w:t>RIT-D p</w:t>
      </w:r>
      <w:r w:rsidRPr="00A16978">
        <w:t xml:space="preserve">roponents can seek our written confirmation </w:t>
      </w:r>
      <w:r w:rsidR="008D5FEA">
        <w:t xml:space="preserve">to consider </w:t>
      </w:r>
      <w:r w:rsidRPr="00A16978">
        <w:t>relevant costs under the RIT-D.</w:t>
      </w:r>
    </w:p>
    <w:p w:rsidR="002446F8" w:rsidRDefault="002446F8" w:rsidP="00CB7A73">
      <w:pPr>
        <w:pStyle w:val="Heading4"/>
      </w:pPr>
      <w:r>
        <w:t>Wholesale market benefits</w:t>
      </w:r>
    </w:p>
    <w:p w:rsidR="00A16978" w:rsidRPr="00A16978" w:rsidRDefault="00113FF9" w:rsidP="00113FF9">
      <w:pPr>
        <w:pStyle w:val="AERbodytext"/>
      </w:pPr>
      <w:r w:rsidRPr="00113FF9">
        <w:t xml:space="preserve">The MEU </w:t>
      </w:r>
      <w:r w:rsidR="007364A5">
        <w:t>submitted</w:t>
      </w:r>
      <w:r w:rsidRPr="00113FF9">
        <w:t xml:space="preserve"> that providing discretion to DNSPs could lead to exclusion of demand side responsiveness</w:t>
      </w:r>
      <w:r w:rsidR="00E82EEB">
        <w:t xml:space="preserve">, and therefore </w:t>
      </w:r>
      <w:r w:rsidR="007364A5">
        <w:t>providing</w:t>
      </w:r>
      <w:r w:rsidR="00E82EEB">
        <w:t xml:space="preserve"> DNSP</w:t>
      </w:r>
      <w:r w:rsidR="007364A5">
        <w:t>s</w:t>
      </w:r>
      <w:r w:rsidR="00E82EEB">
        <w:t xml:space="preserve"> the option to consider wholesale market benefits is not appropriate or acceptable</w:t>
      </w:r>
      <w:r w:rsidRPr="00113FF9">
        <w:t>.</w:t>
      </w:r>
      <w:r>
        <w:t xml:space="preserve"> </w:t>
      </w:r>
      <w:r w:rsidR="00C251E5">
        <w:t xml:space="preserve">The </w:t>
      </w:r>
      <w:r w:rsidR="00A16978" w:rsidRPr="00113FF9">
        <w:t xml:space="preserve">MEU submitted that DNSPs should demonstrate that they have considered demand side options. The MEU also </w:t>
      </w:r>
      <w:r w:rsidR="007364A5">
        <w:t>submitted</w:t>
      </w:r>
      <w:r w:rsidR="00A16978" w:rsidRPr="00113FF9">
        <w:t xml:space="preserve"> that DNSPs have the ability to rule out demand side options on the basis of a marginal fall in reliability</w:t>
      </w:r>
      <w:r w:rsidR="00A16978" w:rsidRPr="00A16978">
        <w:t>.</w:t>
      </w:r>
      <w:r w:rsidR="00A16978">
        <w:rPr>
          <w:rStyle w:val="FootnoteReference"/>
        </w:rPr>
        <w:footnoteReference w:id="22"/>
      </w:r>
    </w:p>
    <w:p w:rsidR="00113FF9" w:rsidRDefault="00113FF9" w:rsidP="008E7FC8">
      <w:pPr>
        <w:pStyle w:val="AERbodytext"/>
      </w:pPr>
      <w:r>
        <w:t xml:space="preserve">While we </w:t>
      </w:r>
      <w:r w:rsidR="00D07D87">
        <w:t>recognise</w:t>
      </w:r>
      <w:r>
        <w:t xml:space="preserve"> </w:t>
      </w:r>
      <w:r w:rsidR="00E8288C">
        <w:t xml:space="preserve">the </w:t>
      </w:r>
      <w:r>
        <w:t>MEU’s concerns, the requirements of the RIT-D provide for active demand side</w:t>
      </w:r>
      <w:r w:rsidR="00C251E5">
        <w:t xml:space="preserve"> engagement</w:t>
      </w:r>
      <w:r>
        <w:t xml:space="preserve"> by DNSPs. This is also </w:t>
      </w:r>
      <w:r w:rsidR="00D07D87">
        <w:t>an</w:t>
      </w:r>
      <w:r>
        <w:t xml:space="preserve"> objective of the Framework</w:t>
      </w:r>
      <w:r w:rsidR="00D07D87">
        <w:t xml:space="preserve">, which requires </w:t>
      </w:r>
      <w:r>
        <w:t xml:space="preserve">DNSPs to develop a demand side engagement strategy. The </w:t>
      </w:r>
      <w:r w:rsidR="00D07D87">
        <w:t xml:space="preserve">engagement </w:t>
      </w:r>
      <w:r>
        <w:t>strategy will detail a DNSP's processes and procedures for assessing non-network options as alternatives to network expenditure and interacting with non-network providers.</w:t>
      </w:r>
      <w:r w:rsidRPr="008E7FC8">
        <w:rPr>
          <w:vertAlign w:val="superscript"/>
        </w:rPr>
        <w:footnoteReference w:id="23"/>
      </w:r>
      <w:r w:rsidR="00E82EEB">
        <w:t xml:space="preserve"> </w:t>
      </w:r>
    </w:p>
    <w:p w:rsidR="00113FF9" w:rsidRDefault="00113FF9" w:rsidP="008E7FC8">
      <w:pPr>
        <w:pStyle w:val="AERbodytext"/>
      </w:pPr>
      <w:r w:rsidRPr="008E7FC8">
        <w:t xml:space="preserve">Victorian DNSPs submitted that </w:t>
      </w:r>
      <w:r w:rsidR="008E7FC8" w:rsidRPr="008E7FC8">
        <w:t>it does not have in-house market modelling capability</w:t>
      </w:r>
      <w:r w:rsidR="008E7FC8">
        <w:t xml:space="preserve"> to undertake an assessment of wholesale market impact</w:t>
      </w:r>
      <w:r w:rsidR="00B4455F">
        <w:t>s</w:t>
      </w:r>
      <w:r w:rsidR="008E7FC8">
        <w:t>.</w:t>
      </w:r>
      <w:r w:rsidR="008E7FC8">
        <w:rPr>
          <w:rStyle w:val="FootnoteReference"/>
        </w:rPr>
        <w:footnoteReference w:id="24"/>
      </w:r>
      <w:r w:rsidR="008E7FC8">
        <w:t xml:space="preserve"> </w:t>
      </w:r>
      <w:r w:rsidR="006C2C3D">
        <w:t>Given</w:t>
      </w:r>
      <w:r w:rsidR="008E7FC8">
        <w:t xml:space="preserve"> that the requirements of the Framework require DNSPs </w:t>
      </w:r>
      <w:r w:rsidR="009E78F9">
        <w:t xml:space="preserve">to </w:t>
      </w:r>
      <w:r w:rsidR="008E7FC8">
        <w:t xml:space="preserve">take </w:t>
      </w:r>
      <w:r w:rsidR="00CB7A73">
        <w:t xml:space="preserve">a </w:t>
      </w:r>
      <w:r w:rsidR="008E7FC8">
        <w:t>more active participation in demand side engagement</w:t>
      </w:r>
      <w:r w:rsidR="006C2C3D">
        <w:t xml:space="preserve">, </w:t>
      </w:r>
      <w:r w:rsidR="008E7FC8">
        <w:t xml:space="preserve">DNSPs will need to acquire </w:t>
      </w:r>
      <w:r w:rsidR="000C5FB4">
        <w:t>expertise</w:t>
      </w:r>
      <w:r w:rsidR="008E7FC8">
        <w:t xml:space="preserve"> to </w:t>
      </w:r>
      <w:r w:rsidR="006C2C3D">
        <w:t>undertake these assessments</w:t>
      </w:r>
      <w:r w:rsidR="008E7FC8">
        <w:t>.</w:t>
      </w:r>
      <w:r w:rsidR="00E82EEB">
        <w:t xml:space="preserve"> This will particularly be the case in those situations where wholesale market impacts could reasonably </w:t>
      </w:r>
      <w:r w:rsidR="0044715F">
        <w:t xml:space="preserve">be </w:t>
      </w:r>
      <w:r w:rsidR="00E82EEB">
        <w:t>consider</w:t>
      </w:r>
      <w:r w:rsidR="0044715F">
        <w:t>ed</w:t>
      </w:r>
      <w:r w:rsidR="00E82EEB">
        <w:t xml:space="preserve"> material.</w:t>
      </w:r>
      <w:r w:rsidR="008E7FC8">
        <w:t xml:space="preserve"> </w:t>
      </w:r>
    </w:p>
    <w:p w:rsidR="00CF7560" w:rsidRPr="008E7FC8" w:rsidRDefault="00CF7560" w:rsidP="00CF7560">
      <w:pPr>
        <w:pStyle w:val="AERbodytext"/>
      </w:pPr>
      <w:r w:rsidRPr="00BC4E9E">
        <w:t xml:space="preserve">The range of market benefits from demand side participation projects is not certain. We </w:t>
      </w:r>
      <w:r>
        <w:t>consider</w:t>
      </w:r>
      <w:r w:rsidRPr="00BC4E9E">
        <w:t xml:space="preserve"> that, theoretically, it is possible for demand management projects to have a demand side impact on the wholesale market. However, we also recognise that the majority of demand management projects would be too small to have a material impact on the wholesale market. Therefore, we </w:t>
      </w:r>
      <w:r>
        <w:t>consider</w:t>
      </w:r>
      <w:r w:rsidRPr="00BC4E9E">
        <w:t xml:space="preserve"> that it is appropriate to give RIT-D proponents the option to consider wholesale market impacts, where such impacts could reasonably be considered material. </w:t>
      </w:r>
    </w:p>
    <w:p w:rsidR="00CB7A73" w:rsidRPr="00CB7A73" w:rsidRDefault="00CB7A73" w:rsidP="00CB7A73">
      <w:pPr>
        <w:pStyle w:val="Heading4"/>
      </w:pPr>
      <w:r w:rsidRPr="00CB7A73">
        <w:t>Voluntary load curtailment</w:t>
      </w:r>
    </w:p>
    <w:p w:rsidR="002D2C20" w:rsidRPr="00836495" w:rsidRDefault="002D2C20" w:rsidP="002D2C20">
      <w:pPr>
        <w:tabs>
          <w:tab w:val="num" w:pos="0"/>
        </w:tabs>
        <w:rPr>
          <w:rFonts w:eastAsia="Times New Roman"/>
          <w:szCs w:val="24"/>
        </w:rPr>
      </w:pPr>
      <w:r>
        <w:rPr>
          <w:rFonts w:eastAsia="Times New Roman"/>
          <w:szCs w:val="24"/>
        </w:rPr>
        <w:t xml:space="preserve">Demand side options may involve monetary transfers </w:t>
      </w:r>
      <w:r w:rsidRPr="00836495">
        <w:rPr>
          <w:rFonts w:eastAsia="Times New Roman"/>
          <w:szCs w:val="24"/>
        </w:rPr>
        <w:t xml:space="preserve">to consumers </w:t>
      </w:r>
      <w:r>
        <w:rPr>
          <w:rFonts w:eastAsia="Times New Roman"/>
          <w:szCs w:val="24"/>
        </w:rPr>
        <w:t>for</w:t>
      </w:r>
      <w:r w:rsidRPr="00836495">
        <w:rPr>
          <w:rFonts w:eastAsia="Times New Roman"/>
          <w:szCs w:val="24"/>
        </w:rPr>
        <w:t xml:space="preserve"> </w:t>
      </w:r>
      <w:r>
        <w:rPr>
          <w:rFonts w:eastAsia="Times New Roman"/>
          <w:szCs w:val="24"/>
        </w:rPr>
        <w:t xml:space="preserve">providing periods of </w:t>
      </w:r>
      <w:r w:rsidRPr="00836495">
        <w:rPr>
          <w:rFonts w:eastAsia="Times New Roman"/>
          <w:szCs w:val="24"/>
        </w:rPr>
        <w:t>voluntar</w:t>
      </w:r>
      <w:r>
        <w:rPr>
          <w:rFonts w:eastAsia="Times New Roman"/>
          <w:szCs w:val="24"/>
        </w:rPr>
        <w:t>y</w:t>
      </w:r>
      <w:r w:rsidRPr="00836495">
        <w:rPr>
          <w:rFonts w:eastAsia="Times New Roman"/>
          <w:szCs w:val="24"/>
        </w:rPr>
        <w:t xml:space="preserve"> </w:t>
      </w:r>
      <w:r>
        <w:rPr>
          <w:rFonts w:eastAsia="Times New Roman"/>
          <w:szCs w:val="24"/>
        </w:rPr>
        <w:t xml:space="preserve">load curtailment. </w:t>
      </w:r>
      <w:r w:rsidRPr="00836495">
        <w:rPr>
          <w:rFonts w:eastAsia="Times New Roman"/>
          <w:szCs w:val="24"/>
        </w:rPr>
        <w:t>The draft application guidelines proposed two alternative</w:t>
      </w:r>
      <w:r w:rsidR="00C2691D">
        <w:rPr>
          <w:rFonts w:eastAsia="Times New Roman"/>
          <w:szCs w:val="24"/>
        </w:rPr>
        <w:t xml:space="preserve"> </w:t>
      </w:r>
      <w:r w:rsidR="00C2566F">
        <w:rPr>
          <w:rFonts w:eastAsia="Times New Roman"/>
          <w:szCs w:val="24"/>
        </w:rPr>
        <w:t>option</w:t>
      </w:r>
      <w:r w:rsidR="00C2566F" w:rsidRPr="00836495">
        <w:rPr>
          <w:rFonts w:eastAsia="Times New Roman"/>
          <w:szCs w:val="24"/>
        </w:rPr>
        <w:t xml:space="preserve">s </w:t>
      </w:r>
      <w:r w:rsidRPr="00836495">
        <w:rPr>
          <w:rFonts w:eastAsia="Times New Roman"/>
          <w:szCs w:val="24"/>
        </w:rPr>
        <w:t>to acc</w:t>
      </w:r>
      <w:r w:rsidR="007364A5">
        <w:rPr>
          <w:rFonts w:eastAsia="Times New Roman"/>
          <w:szCs w:val="24"/>
        </w:rPr>
        <w:t>ount</w:t>
      </w:r>
      <w:r w:rsidRPr="00836495">
        <w:rPr>
          <w:rFonts w:eastAsia="Times New Roman"/>
          <w:szCs w:val="24"/>
        </w:rPr>
        <w:t xml:space="preserve"> for demand response payments in the RIT-D process:</w:t>
      </w:r>
      <w:r w:rsidR="00C429AF">
        <w:rPr>
          <w:rFonts w:eastAsia="Times New Roman"/>
          <w:szCs w:val="24"/>
        </w:rPr>
        <w:t xml:space="preserve"> </w:t>
      </w:r>
    </w:p>
    <w:p w:rsidR="002D2C20" w:rsidRPr="00836495" w:rsidRDefault="002D2C20" w:rsidP="0044715F">
      <w:pPr>
        <w:numPr>
          <w:ilvl w:val="0"/>
          <w:numId w:val="29"/>
        </w:numPr>
        <w:rPr>
          <w:rFonts w:eastAsia="Times New Roman"/>
          <w:szCs w:val="24"/>
        </w:rPr>
      </w:pPr>
      <w:r>
        <w:rPr>
          <w:rFonts w:eastAsia="Times New Roman"/>
          <w:szCs w:val="24"/>
        </w:rPr>
        <w:t xml:space="preserve">a </w:t>
      </w:r>
      <w:r w:rsidRPr="00836495">
        <w:rPr>
          <w:rFonts w:eastAsia="Times New Roman"/>
          <w:szCs w:val="24"/>
        </w:rPr>
        <w:t xml:space="preserve">cost of the </w:t>
      </w:r>
      <w:r w:rsidR="00C429AF">
        <w:rPr>
          <w:rFonts w:eastAsia="Times New Roman"/>
          <w:szCs w:val="24"/>
        </w:rPr>
        <w:t>demand side</w:t>
      </w:r>
      <w:r w:rsidRPr="00836495">
        <w:rPr>
          <w:rFonts w:eastAsia="Times New Roman"/>
          <w:szCs w:val="24"/>
        </w:rPr>
        <w:t xml:space="preserve"> option (implicitly included in the full contract cost paid by the RIT-D proponent to the non-network service provider) or </w:t>
      </w:r>
    </w:p>
    <w:p w:rsidR="002D2C20" w:rsidRPr="00836495" w:rsidRDefault="002D2C20" w:rsidP="0044715F">
      <w:pPr>
        <w:numPr>
          <w:ilvl w:val="0"/>
          <w:numId w:val="29"/>
        </w:numPr>
        <w:rPr>
          <w:rFonts w:eastAsia="Times New Roman"/>
          <w:szCs w:val="24"/>
        </w:rPr>
      </w:pPr>
      <w:r>
        <w:rPr>
          <w:rFonts w:eastAsia="Times New Roman"/>
          <w:szCs w:val="24"/>
        </w:rPr>
        <w:t xml:space="preserve">a </w:t>
      </w:r>
      <w:r w:rsidRPr="00836495">
        <w:rPr>
          <w:rFonts w:eastAsia="Times New Roman"/>
          <w:szCs w:val="24"/>
        </w:rPr>
        <w:t xml:space="preserve">negative market benefit of the </w:t>
      </w:r>
      <w:r w:rsidR="00C429AF">
        <w:rPr>
          <w:rFonts w:eastAsia="Times New Roman"/>
          <w:szCs w:val="24"/>
        </w:rPr>
        <w:t>demand side</w:t>
      </w:r>
      <w:r w:rsidRPr="00836495">
        <w:rPr>
          <w:rFonts w:eastAsia="Times New Roman"/>
          <w:szCs w:val="24"/>
        </w:rPr>
        <w:t xml:space="preserve"> option (while the remaining amount </w:t>
      </w:r>
      <w:r w:rsidR="008D5FEA">
        <w:rPr>
          <w:rFonts w:eastAsia="Times New Roman"/>
          <w:szCs w:val="24"/>
        </w:rPr>
        <w:t xml:space="preserve">is </w:t>
      </w:r>
      <w:r w:rsidRPr="00836495">
        <w:rPr>
          <w:rFonts w:eastAsia="Times New Roman"/>
          <w:szCs w:val="24"/>
        </w:rPr>
        <w:t>paid by the RIT-D proponent to the non-network service provider, that is</w:t>
      </w:r>
      <w:r w:rsidR="008D5FEA">
        <w:rPr>
          <w:rFonts w:eastAsia="Times New Roman"/>
          <w:szCs w:val="24"/>
        </w:rPr>
        <w:t>,</w:t>
      </w:r>
      <w:r w:rsidRPr="00836495">
        <w:rPr>
          <w:rFonts w:eastAsia="Times New Roman"/>
          <w:szCs w:val="24"/>
        </w:rPr>
        <w:t xml:space="preserve"> its commission or fees–would count as a cost of the demand side option).</w:t>
      </w:r>
      <w:r w:rsidRPr="00836495">
        <w:rPr>
          <w:rFonts w:eastAsia="Times New Roman"/>
          <w:szCs w:val="24"/>
          <w:vertAlign w:val="superscript"/>
        </w:rPr>
        <w:footnoteReference w:id="25"/>
      </w:r>
      <w:r w:rsidRPr="00836495">
        <w:rPr>
          <w:rFonts w:eastAsia="Times New Roman"/>
          <w:szCs w:val="24"/>
        </w:rPr>
        <w:t xml:space="preserve"> </w:t>
      </w:r>
    </w:p>
    <w:p w:rsidR="002D2C20" w:rsidRDefault="002D2C20" w:rsidP="002D2C20">
      <w:pPr>
        <w:rPr>
          <w:rFonts w:eastAsia="Times New Roman"/>
          <w:szCs w:val="24"/>
        </w:rPr>
      </w:pPr>
      <w:r w:rsidRPr="00836495">
        <w:rPr>
          <w:rFonts w:eastAsia="Times New Roman"/>
          <w:szCs w:val="24"/>
        </w:rPr>
        <w:t>EnerNOC submitted that it does not make sense to treat a payment to a consum</w:t>
      </w:r>
      <w:r w:rsidR="007364A5">
        <w:rPr>
          <w:rFonts w:eastAsia="Times New Roman"/>
          <w:szCs w:val="24"/>
        </w:rPr>
        <w:t xml:space="preserve">er </w:t>
      </w:r>
      <w:r w:rsidR="00B37B7A">
        <w:rPr>
          <w:rFonts w:eastAsia="Times New Roman"/>
          <w:szCs w:val="24"/>
        </w:rPr>
        <w:t xml:space="preserve">wholly </w:t>
      </w:r>
      <w:r w:rsidR="007364A5">
        <w:rPr>
          <w:rFonts w:eastAsia="Times New Roman"/>
          <w:szCs w:val="24"/>
        </w:rPr>
        <w:t>as a negative market benefit a</w:t>
      </w:r>
      <w:r w:rsidRPr="00836495">
        <w:rPr>
          <w:rFonts w:eastAsia="Times New Roman"/>
          <w:szCs w:val="24"/>
        </w:rPr>
        <w:t xml:space="preserve">s </w:t>
      </w:r>
      <w:r w:rsidR="007364A5">
        <w:rPr>
          <w:rFonts w:eastAsia="Times New Roman"/>
          <w:szCs w:val="24"/>
        </w:rPr>
        <w:t>outlined in</w:t>
      </w:r>
      <w:r w:rsidRPr="00836495">
        <w:rPr>
          <w:rFonts w:eastAsia="Times New Roman"/>
          <w:szCs w:val="24"/>
        </w:rPr>
        <w:t xml:space="preserve"> option (ii). The relevant quantity for any negative market benefit is the cost borne by the consumer in providing voluntary load curtailment</w:t>
      </w:r>
      <w:r w:rsidR="00B37B7A">
        <w:rPr>
          <w:rFonts w:eastAsia="Times New Roman"/>
          <w:szCs w:val="24"/>
        </w:rPr>
        <w:t xml:space="preserve">, which will be less than the payment made to the </w:t>
      </w:r>
      <w:r w:rsidR="00C33CA6">
        <w:rPr>
          <w:rFonts w:eastAsia="Times New Roman"/>
          <w:szCs w:val="24"/>
        </w:rPr>
        <w:t>consumer</w:t>
      </w:r>
      <w:r w:rsidRPr="00836495">
        <w:rPr>
          <w:rFonts w:eastAsia="Times New Roman"/>
          <w:szCs w:val="24"/>
        </w:rPr>
        <w:t xml:space="preserve">. </w:t>
      </w:r>
      <w:r>
        <w:rPr>
          <w:rFonts w:eastAsia="Times New Roman"/>
          <w:szCs w:val="24"/>
        </w:rPr>
        <w:t xml:space="preserve">EnerNOC </w:t>
      </w:r>
      <w:r w:rsidR="007364A5">
        <w:rPr>
          <w:rFonts w:eastAsia="Times New Roman"/>
          <w:szCs w:val="24"/>
        </w:rPr>
        <w:t xml:space="preserve">further </w:t>
      </w:r>
      <w:r>
        <w:rPr>
          <w:rFonts w:eastAsia="Times New Roman"/>
          <w:szCs w:val="24"/>
        </w:rPr>
        <w:t>submitted that t</w:t>
      </w:r>
      <w:r w:rsidRPr="00836495">
        <w:rPr>
          <w:rFonts w:eastAsia="Times New Roman"/>
          <w:szCs w:val="24"/>
        </w:rPr>
        <w:t xml:space="preserve">he net effect is that </w:t>
      </w:r>
      <w:r w:rsidR="00B37B7A">
        <w:rPr>
          <w:rFonts w:eastAsia="Times New Roman"/>
          <w:szCs w:val="24"/>
        </w:rPr>
        <w:t xml:space="preserve">a portion of </w:t>
      </w:r>
      <w:r w:rsidRPr="00836495">
        <w:rPr>
          <w:rFonts w:eastAsia="Times New Roman"/>
          <w:szCs w:val="24"/>
        </w:rPr>
        <w:t>the payments are simply a transfer, which plays no part in the economic cost-benefit analysis. The only relevant figures are the economic costs borne by consumers in providing voluntary load curtailment.</w:t>
      </w:r>
      <w:r w:rsidRPr="00836495">
        <w:rPr>
          <w:rFonts w:eastAsia="Times New Roman"/>
          <w:szCs w:val="24"/>
          <w:vertAlign w:val="superscript"/>
        </w:rPr>
        <w:footnoteReference w:id="26"/>
      </w:r>
      <w:r w:rsidRPr="00836495">
        <w:rPr>
          <w:rFonts w:eastAsia="Times New Roman"/>
          <w:szCs w:val="24"/>
        </w:rPr>
        <w:t xml:space="preserve"> </w:t>
      </w:r>
    </w:p>
    <w:p w:rsidR="002D2C20" w:rsidRPr="00836495" w:rsidRDefault="002D2C20" w:rsidP="002D2C20">
      <w:pPr>
        <w:tabs>
          <w:tab w:val="left" w:pos="357"/>
        </w:tabs>
        <w:rPr>
          <w:rFonts w:eastAsia="Times New Roman"/>
          <w:szCs w:val="24"/>
        </w:rPr>
      </w:pPr>
      <w:r w:rsidRPr="00836495">
        <w:rPr>
          <w:rFonts w:eastAsia="Times New Roman"/>
          <w:szCs w:val="24"/>
        </w:rPr>
        <w:t xml:space="preserve">We </w:t>
      </w:r>
      <w:r w:rsidRPr="00836495">
        <w:rPr>
          <w:rFonts w:eastAsia="Times New Roman"/>
          <w:szCs w:val="24"/>
          <w:lang w:val="en-US"/>
        </w:rPr>
        <w:t>consider</w:t>
      </w:r>
      <w:r w:rsidRPr="00836495">
        <w:rPr>
          <w:rFonts w:eastAsia="Times New Roman"/>
          <w:szCs w:val="24"/>
        </w:rPr>
        <w:t xml:space="preserve"> that a demand response payment is</w:t>
      </w:r>
      <w:r>
        <w:rPr>
          <w:rFonts w:eastAsia="Times New Roman"/>
          <w:szCs w:val="24"/>
        </w:rPr>
        <w:t>, at a minimum,</w:t>
      </w:r>
      <w:r w:rsidRPr="00836495">
        <w:rPr>
          <w:rFonts w:eastAsia="Times New Roman"/>
          <w:szCs w:val="24"/>
        </w:rPr>
        <w:t xml:space="preserve"> compensating consumers for the cost of not consumin</w:t>
      </w:r>
      <w:r>
        <w:rPr>
          <w:rFonts w:eastAsia="Times New Roman"/>
          <w:szCs w:val="24"/>
        </w:rPr>
        <w:t xml:space="preserve">g electricity. The demand response payment can </w:t>
      </w:r>
      <w:r w:rsidR="007364A5">
        <w:rPr>
          <w:rFonts w:eastAsia="Times New Roman"/>
          <w:szCs w:val="24"/>
        </w:rPr>
        <w:t>therefore</w:t>
      </w:r>
      <w:r>
        <w:rPr>
          <w:rFonts w:eastAsia="Times New Roman"/>
          <w:szCs w:val="24"/>
        </w:rPr>
        <w:t xml:space="preserve"> be interpreted as the cost borne by consumers in providing voluntary load curtailment.</w:t>
      </w:r>
      <w:r w:rsidRPr="00836495">
        <w:rPr>
          <w:rFonts w:eastAsia="Times New Roman"/>
          <w:szCs w:val="24"/>
        </w:rPr>
        <w:t xml:space="preserve"> </w:t>
      </w:r>
      <w:r w:rsidR="007364A5">
        <w:rPr>
          <w:rFonts w:eastAsia="Times New Roman"/>
          <w:szCs w:val="24"/>
        </w:rPr>
        <w:t>B</w:t>
      </w:r>
      <w:r w:rsidRPr="00836495">
        <w:rPr>
          <w:rFonts w:eastAsia="Times New Roman"/>
          <w:szCs w:val="24"/>
        </w:rPr>
        <w:t xml:space="preserve">enefits that energy consumers receive from </w:t>
      </w:r>
      <w:r>
        <w:rPr>
          <w:rFonts w:eastAsia="Times New Roman"/>
          <w:szCs w:val="24"/>
        </w:rPr>
        <w:t>demand response</w:t>
      </w:r>
      <w:r w:rsidRPr="00836495">
        <w:rPr>
          <w:rFonts w:eastAsia="Times New Roman"/>
          <w:szCs w:val="24"/>
        </w:rPr>
        <w:t xml:space="preserve"> payments would be offset by the negative market benefit of not consuming electricity. These benefits are captured under cl. 5.17.1(c</w:t>
      </w:r>
      <w:proofErr w:type="gramStart"/>
      <w:r w:rsidRPr="00836495">
        <w:rPr>
          <w:rFonts w:eastAsia="Times New Roman"/>
          <w:szCs w:val="24"/>
        </w:rPr>
        <w:t>)(</w:t>
      </w:r>
      <w:proofErr w:type="gramEnd"/>
      <w:r w:rsidRPr="00836495">
        <w:rPr>
          <w:rFonts w:eastAsia="Times New Roman"/>
          <w:szCs w:val="24"/>
        </w:rPr>
        <w:t>4)(i) of the NER, which specifies that the RIT-D must:</w:t>
      </w:r>
    </w:p>
    <w:p w:rsidR="002D2C20" w:rsidRPr="00836495" w:rsidRDefault="007364A5" w:rsidP="002D2C20">
      <w:pPr>
        <w:tabs>
          <w:tab w:val="num" w:pos="709"/>
        </w:tabs>
        <w:spacing w:after="160"/>
        <w:ind w:left="709" w:right="720"/>
        <w:rPr>
          <w:rFonts w:eastAsia="Times New Roman"/>
          <w:color w:val="000000"/>
          <w:sz w:val="16"/>
          <w:szCs w:val="24"/>
        </w:rPr>
      </w:pPr>
      <w:proofErr w:type="gramStart"/>
      <w:r>
        <w:rPr>
          <w:rFonts w:eastAsia="Times New Roman"/>
          <w:color w:val="000000"/>
          <w:sz w:val="16"/>
          <w:szCs w:val="24"/>
        </w:rPr>
        <w:t>r</w:t>
      </w:r>
      <w:r w:rsidR="002D2C20" w:rsidRPr="00836495">
        <w:rPr>
          <w:rFonts w:eastAsia="Times New Roman"/>
          <w:color w:val="000000"/>
          <w:sz w:val="16"/>
          <w:szCs w:val="24"/>
        </w:rPr>
        <w:t>equire</w:t>
      </w:r>
      <w:proofErr w:type="gramEnd"/>
      <w:r w:rsidR="002D2C20" w:rsidRPr="00836495">
        <w:rPr>
          <w:rFonts w:eastAsia="Times New Roman"/>
          <w:color w:val="000000"/>
          <w:sz w:val="16"/>
          <w:szCs w:val="24"/>
        </w:rPr>
        <w:t xml:space="preserve"> the RIT-D proponent to consider whether each credible option could deliver...changes in voluntary load curtailment. </w:t>
      </w:r>
    </w:p>
    <w:p w:rsidR="00B37B7A" w:rsidRDefault="00B37B7A" w:rsidP="00027A44">
      <w:pPr>
        <w:pStyle w:val="AERbodytext"/>
        <w:rPr>
          <w:lang w:val="en-US"/>
        </w:rPr>
      </w:pPr>
      <w:r>
        <w:rPr>
          <w:lang w:val="en-US"/>
        </w:rPr>
        <w:t xml:space="preserve">As with proponents of network and generation options, we do not consider it appropriate to include a portion of the amounts paid for those options to be effectively excluded from the costs of the option in question. </w:t>
      </w:r>
      <w:r w:rsidR="00C33CA6">
        <w:rPr>
          <w:lang w:val="en-US"/>
        </w:rPr>
        <w:t xml:space="preserve">Therefore, </w:t>
      </w:r>
      <w:r>
        <w:rPr>
          <w:lang w:val="en-US"/>
        </w:rPr>
        <w:t xml:space="preserve">we </w:t>
      </w:r>
      <w:r w:rsidR="00C33CA6">
        <w:rPr>
          <w:lang w:val="en-US"/>
        </w:rPr>
        <w:t xml:space="preserve">do not consider that </w:t>
      </w:r>
      <w:r>
        <w:rPr>
          <w:lang w:val="en-US"/>
        </w:rPr>
        <w:t xml:space="preserve">only a portion of the payments made for a </w:t>
      </w:r>
      <w:r w:rsidR="00C429AF">
        <w:rPr>
          <w:lang w:val="en-US"/>
        </w:rPr>
        <w:t>demand side</w:t>
      </w:r>
      <w:r>
        <w:rPr>
          <w:lang w:val="en-US"/>
        </w:rPr>
        <w:t xml:space="preserve"> option should be included as either a cost or negative market benefit of the option.</w:t>
      </w:r>
    </w:p>
    <w:p w:rsidR="00027A44" w:rsidRDefault="00B4455F" w:rsidP="00027A44">
      <w:pPr>
        <w:pStyle w:val="AERbodytext"/>
        <w:rPr>
          <w:lang w:val="en-US"/>
        </w:rPr>
      </w:pPr>
      <w:r>
        <w:rPr>
          <w:lang w:val="en-US"/>
        </w:rPr>
        <w:t>Grid Australia</w:t>
      </w:r>
      <w:r w:rsidR="007364A5" w:rsidRPr="00685F6E">
        <w:rPr>
          <w:lang w:val="en-US"/>
        </w:rPr>
        <w:t xml:space="preserve"> submitted that, in practice, DNSPs </w:t>
      </w:r>
      <w:r w:rsidR="007364A5">
        <w:rPr>
          <w:lang w:val="en-US"/>
        </w:rPr>
        <w:t>do</w:t>
      </w:r>
      <w:r w:rsidR="007364A5" w:rsidRPr="00685F6E">
        <w:rPr>
          <w:lang w:val="en-US"/>
        </w:rPr>
        <w:t xml:space="preserve"> not have sufficient information to apply</w:t>
      </w:r>
      <w:r w:rsidR="007364A5">
        <w:rPr>
          <w:lang w:val="en-US"/>
        </w:rPr>
        <w:t xml:space="preserve"> </w:t>
      </w:r>
      <w:r w:rsidR="007771F3">
        <w:rPr>
          <w:lang w:val="en-US"/>
        </w:rPr>
        <w:t>option</w:t>
      </w:r>
      <w:r w:rsidR="007364A5" w:rsidRPr="00685F6E">
        <w:rPr>
          <w:lang w:val="en-US"/>
        </w:rPr>
        <w:t xml:space="preserve"> (ii) </w:t>
      </w:r>
      <w:r w:rsidR="0084596F">
        <w:rPr>
          <w:lang w:val="en-US"/>
        </w:rPr>
        <w:t>and therefore</w:t>
      </w:r>
      <w:r w:rsidR="007364A5" w:rsidRPr="00685F6E">
        <w:rPr>
          <w:lang w:val="en-US"/>
        </w:rPr>
        <w:t xml:space="preserve"> option (i) is more appropriate</w:t>
      </w:r>
      <w:r w:rsidR="007364A5">
        <w:rPr>
          <w:lang w:val="en-US"/>
        </w:rPr>
        <w:t>. This is</w:t>
      </w:r>
      <w:r w:rsidR="007364A5" w:rsidRPr="00685F6E">
        <w:rPr>
          <w:lang w:val="en-US"/>
        </w:rPr>
        <w:t xml:space="preserve"> on the basis that it does not require a RIT-D proponent to speculate over the non-network service provider’s commercial decisions.</w:t>
      </w:r>
      <w:r w:rsidR="00027A44" w:rsidRPr="00836495">
        <w:rPr>
          <w:vertAlign w:val="superscript"/>
        </w:rPr>
        <w:footnoteReference w:id="27"/>
      </w:r>
      <w:r w:rsidR="00027A44" w:rsidRPr="00836495">
        <w:t xml:space="preserve"> </w:t>
      </w:r>
      <w:r w:rsidR="007364A5" w:rsidRPr="00027A44">
        <w:rPr>
          <w:lang w:val="en-US"/>
        </w:rPr>
        <w:t xml:space="preserve">Grid Australia also submitted </w:t>
      </w:r>
      <w:r w:rsidR="00027A44" w:rsidRPr="00027A44">
        <w:rPr>
          <w:lang w:val="en-US"/>
        </w:rPr>
        <w:t>worked examples</w:t>
      </w:r>
      <w:r w:rsidR="007364A5" w:rsidRPr="00027A44">
        <w:rPr>
          <w:lang w:val="en-US"/>
        </w:rPr>
        <w:t xml:space="preserve"> which demonstrated that the two </w:t>
      </w:r>
      <w:r w:rsidR="008D5FEA">
        <w:rPr>
          <w:lang w:val="en-US"/>
        </w:rPr>
        <w:t>option</w:t>
      </w:r>
      <w:r w:rsidR="007364A5" w:rsidRPr="00027A44">
        <w:rPr>
          <w:lang w:val="en-US"/>
        </w:rPr>
        <w:t xml:space="preserve">s will not always be equivalent. </w:t>
      </w:r>
    </w:p>
    <w:p w:rsidR="007364A5" w:rsidRPr="00027A44" w:rsidRDefault="0084596F" w:rsidP="00027A44">
      <w:pPr>
        <w:pStyle w:val="AERbodytext"/>
        <w:rPr>
          <w:lang w:val="en-US"/>
        </w:rPr>
      </w:pPr>
      <w:r>
        <w:rPr>
          <w:lang w:val="en-US"/>
        </w:rPr>
        <w:t>O</w:t>
      </w:r>
      <w:r w:rsidR="007364A5" w:rsidRPr="00027A44">
        <w:rPr>
          <w:lang w:val="en-US"/>
        </w:rPr>
        <w:t>n closer examination, the examples</w:t>
      </w:r>
      <w:r>
        <w:rPr>
          <w:lang w:val="en-US"/>
        </w:rPr>
        <w:t xml:space="preserve"> </w:t>
      </w:r>
      <w:r w:rsidR="001629D9">
        <w:rPr>
          <w:lang w:val="en-US"/>
        </w:rPr>
        <w:t>sub</w:t>
      </w:r>
      <w:r>
        <w:rPr>
          <w:lang w:val="en-US"/>
        </w:rPr>
        <w:t xml:space="preserve">mitted by </w:t>
      </w:r>
      <w:r w:rsidR="00B4455F">
        <w:rPr>
          <w:lang w:val="en-US"/>
        </w:rPr>
        <w:t>Grid Australia</w:t>
      </w:r>
      <w:r w:rsidR="007364A5" w:rsidRPr="00027A44">
        <w:rPr>
          <w:lang w:val="en-US"/>
        </w:rPr>
        <w:t xml:space="preserve"> </w:t>
      </w:r>
      <w:r>
        <w:rPr>
          <w:lang w:val="en-US"/>
        </w:rPr>
        <w:t>are identical to those we have in the application guidelines</w:t>
      </w:r>
      <w:r w:rsidR="008D5FEA">
        <w:rPr>
          <w:lang w:val="en-US"/>
        </w:rPr>
        <w:t>, except that it</w:t>
      </w:r>
      <w:r>
        <w:rPr>
          <w:lang w:val="en-US"/>
        </w:rPr>
        <w:t xml:space="preserve"> do</w:t>
      </w:r>
      <w:r w:rsidR="008D5FEA">
        <w:rPr>
          <w:lang w:val="en-US"/>
        </w:rPr>
        <w:t>es</w:t>
      </w:r>
      <w:r w:rsidR="007364A5" w:rsidRPr="00027A44">
        <w:rPr>
          <w:lang w:val="en-US"/>
        </w:rPr>
        <w:t xml:space="preserve"> not include availability payments.</w:t>
      </w:r>
      <w:r w:rsidR="008D5FEA" w:rsidRPr="008D5FEA">
        <w:rPr>
          <w:rStyle w:val="FootnoteReference"/>
          <w:lang w:val="en-US"/>
        </w:rPr>
        <w:t xml:space="preserve"> </w:t>
      </w:r>
      <w:r w:rsidR="008D5FEA">
        <w:rPr>
          <w:rStyle w:val="FootnoteReference"/>
          <w:lang w:val="en-US"/>
        </w:rPr>
        <w:footnoteReference w:id="28"/>
      </w:r>
      <w:r w:rsidR="007364A5" w:rsidRPr="00027A44">
        <w:rPr>
          <w:lang w:val="en-US"/>
        </w:rPr>
        <w:t xml:space="preserve"> Availability payments are payments made to consumers to be ‘on stand-by’ when demand is curtailed at some future time as a negative market benefit in </w:t>
      </w:r>
      <w:r w:rsidR="00027A44" w:rsidRPr="00027A44">
        <w:rPr>
          <w:lang w:val="en-US"/>
        </w:rPr>
        <w:t>option</w:t>
      </w:r>
      <w:r w:rsidR="007364A5" w:rsidRPr="00027A44">
        <w:rPr>
          <w:lang w:val="en-US"/>
        </w:rPr>
        <w:t xml:space="preserve"> (ii). After explicitly including these payments, the </w:t>
      </w:r>
      <w:r w:rsidR="008D5FEA">
        <w:rPr>
          <w:lang w:val="en-US"/>
        </w:rPr>
        <w:t xml:space="preserve">results of the </w:t>
      </w:r>
      <w:r w:rsidR="007364A5" w:rsidRPr="00027A44">
        <w:rPr>
          <w:lang w:val="en-US"/>
        </w:rPr>
        <w:t xml:space="preserve">two </w:t>
      </w:r>
      <w:r w:rsidR="008D5FEA">
        <w:rPr>
          <w:lang w:val="en-US"/>
        </w:rPr>
        <w:t>option</w:t>
      </w:r>
      <w:r w:rsidR="007364A5" w:rsidRPr="00027A44">
        <w:rPr>
          <w:lang w:val="en-US"/>
        </w:rPr>
        <w:t xml:space="preserve">s </w:t>
      </w:r>
      <w:r>
        <w:rPr>
          <w:lang w:val="en-US"/>
        </w:rPr>
        <w:t>are</w:t>
      </w:r>
      <w:r w:rsidR="007364A5" w:rsidRPr="00027A44">
        <w:rPr>
          <w:lang w:val="en-US"/>
        </w:rPr>
        <w:t xml:space="preserve"> equivalent. We have included a further example to the application guidelines in order to clarify this issue.</w:t>
      </w:r>
    </w:p>
    <w:p w:rsidR="002D2C20" w:rsidRPr="00836495" w:rsidRDefault="002D2C20" w:rsidP="002D2C20">
      <w:pPr>
        <w:tabs>
          <w:tab w:val="left" w:pos="357"/>
        </w:tabs>
        <w:rPr>
          <w:rFonts w:eastAsia="Times New Roman"/>
          <w:szCs w:val="24"/>
          <w:lang w:val="en-US"/>
        </w:rPr>
      </w:pPr>
      <w:r>
        <w:rPr>
          <w:rFonts w:eastAsia="Times New Roman"/>
          <w:szCs w:val="24"/>
          <w:lang w:val="en-US"/>
        </w:rPr>
        <w:t>A</w:t>
      </w:r>
      <w:r w:rsidRPr="00836495">
        <w:rPr>
          <w:rFonts w:eastAsia="Times New Roman"/>
          <w:szCs w:val="24"/>
          <w:lang w:val="en-US"/>
        </w:rPr>
        <w:t xml:space="preserve"> </w:t>
      </w:r>
      <w:r w:rsidR="0044715F">
        <w:rPr>
          <w:rFonts w:eastAsia="Times New Roman"/>
          <w:szCs w:val="24"/>
          <w:lang w:val="en-US"/>
        </w:rPr>
        <w:t>D</w:t>
      </w:r>
      <w:r w:rsidRPr="00836495">
        <w:rPr>
          <w:rFonts w:eastAsia="Times New Roman"/>
          <w:szCs w:val="24"/>
          <w:lang w:val="en-US"/>
        </w:rPr>
        <w:t xml:space="preserve">NSP will only be able to assess a </w:t>
      </w:r>
      <w:r w:rsidR="00C429AF">
        <w:rPr>
          <w:rFonts w:eastAsia="Times New Roman"/>
          <w:szCs w:val="24"/>
          <w:lang w:val="en-US"/>
        </w:rPr>
        <w:t>demand side</w:t>
      </w:r>
      <w:r w:rsidRPr="00836495">
        <w:rPr>
          <w:rFonts w:eastAsia="Times New Roman"/>
          <w:szCs w:val="24"/>
          <w:lang w:val="en-US"/>
        </w:rPr>
        <w:t xml:space="preserve"> option</w:t>
      </w:r>
      <w:r w:rsidR="0084596F">
        <w:rPr>
          <w:rFonts w:eastAsia="Times New Roman"/>
          <w:szCs w:val="24"/>
          <w:lang w:val="en-US"/>
        </w:rPr>
        <w:t>,</w:t>
      </w:r>
      <w:r w:rsidRPr="00836495">
        <w:rPr>
          <w:rFonts w:eastAsia="Times New Roman"/>
          <w:szCs w:val="24"/>
          <w:lang w:val="en-US"/>
        </w:rPr>
        <w:t xml:space="preserve"> even </w:t>
      </w:r>
      <w:r w:rsidR="0084596F">
        <w:rPr>
          <w:rFonts w:eastAsia="Times New Roman"/>
          <w:szCs w:val="24"/>
          <w:lang w:val="en-US"/>
        </w:rPr>
        <w:t xml:space="preserve">when </w:t>
      </w:r>
      <w:r w:rsidRPr="00836495">
        <w:rPr>
          <w:rFonts w:eastAsia="Times New Roman"/>
          <w:szCs w:val="24"/>
          <w:lang w:val="en-US"/>
        </w:rPr>
        <w:t xml:space="preserve">using </w:t>
      </w:r>
      <w:r w:rsidR="00027A44">
        <w:rPr>
          <w:rFonts w:eastAsia="Times New Roman"/>
          <w:szCs w:val="24"/>
          <w:lang w:val="en-US"/>
        </w:rPr>
        <w:t>option</w:t>
      </w:r>
      <w:r w:rsidRPr="00836495">
        <w:rPr>
          <w:rFonts w:eastAsia="Times New Roman"/>
          <w:szCs w:val="24"/>
          <w:lang w:val="en-US"/>
        </w:rPr>
        <w:t xml:space="preserve"> </w:t>
      </w:r>
      <w:r>
        <w:rPr>
          <w:rFonts w:eastAsia="Times New Roman"/>
          <w:szCs w:val="24"/>
          <w:lang w:val="en-US"/>
        </w:rPr>
        <w:t>(</w:t>
      </w:r>
      <w:r w:rsidRPr="00836495">
        <w:rPr>
          <w:rFonts w:eastAsia="Times New Roman"/>
          <w:szCs w:val="24"/>
          <w:lang w:val="en-US"/>
        </w:rPr>
        <w:t>i</w:t>
      </w:r>
      <w:r>
        <w:rPr>
          <w:rFonts w:eastAsia="Times New Roman"/>
          <w:szCs w:val="24"/>
          <w:lang w:val="en-US"/>
        </w:rPr>
        <w:t>)</w:t>
      </w:r>
      <w:r w:rsidRPr="00836495">
        <w:rPr>
          <w:rFonts w:eastAsia="Times New Roman"/>
          <w:szCs w:val="24"/>
          <w:lang w:val="en-US"/>
        </w:rPr>
        <w:t xml:space="preserve"> if it is given relevant information about the terms of the contract between the </w:t>
      </w:r>
      <w:r w:rsidR="00C429AF">
        <w:rPr>
          <w:rFonts w:eastAsia="Times New Roman"/>
          <w:szCs w:val="24"/>
          <w:lang w:val="en-US"/>
        </w:rPr>
        <w:t>demand side</w:t>
      </w:r>
      <w:r w:rsidRPr="00836495">
        <w:rPr>
          <w:rFonts w:eastAsia="Times New Roman"/>
          <w:szCs w:val="24"/>
          <w:lang w:val="en-US"/>
        </w:rPr>
        <w:t xml:space="preserve"> provider/aggregator and its consumers. </w:t>
      </w:r>
      <w:r w:rsidR="0084596F">
        <w:rPr>
          <w:rFonts w:eastAsia="Times New Roman"/>
          <w:szCs w:val="24"/>
          <w:lang w:val="en-US"/>
        </w:rPr>
        <w:t>Therefore,</w:t>
      </w:r>
      <w:r w:rsidR="00B37B7A">
        <w:rPr>
          <w:rFonts w:eastAsia="Times New Roman"/>
          <w:szCs w:val="24"/>
          <w:lang w:val="en-US"/>
        </w:rPr>
        <w:t xml:space="preserve"> the DNSP would not be expected to apply </w:t>
      </w:r>
      <w:r w:rsidR="0084596F">
        <w:rPr>
          <w:rFonts w:eastAsia="Times New Roman"/>
          <w:szCs w:val="24"/>
          <w:lang w:val="en-US"/>
        </w:rPr>
        <w:t>option</w:t>
      </w:r>
      <w:r w:rsidR="00B37B7A">
        <w:rPr>
          <w:rFonts w:eastAsia="Times New Roman"/>
          <w:szCs w:val="24"/>
          <w:lang w:val="en-US"/>
        </w:rPr>
        <w:t xml:space="preserve"> (ii) if the relevant data ha</w:t>
      </w:r>
      <w:r w:rsidR="0084596F">
        <w:rPr>
          <w:rFonts w:eastAsia="Times New Roman"/>
          <w:szCs w:val="24"/>
          <w:lang w:val="en-US"/>
        </w:rPr>
        <w:t>s</w:t>
      </w:r>
      <w:r w:rsidR="00B37B7A">
        <w:rPr>
          <w:rFonts w:eastAsia="Times New Roman"/>
          <w:szCs w:val="24"/>
          <w:lang w:val="en-US"/>
        </w:rPr>
        <w:t xml:space="preserve"> not been provided by the proponent of that option. The benefit of </w:t>
      </w:r>
      <w:r w:rsidR="00027A44">
        <w:rPr>
          <w:rFonts w:eastAsia="Times New Roman"/>
          <w:szCs w:val="24"/>
          <w:lang w:val="en-US"/>
        </w:rPr>
        <w:t>option</w:t>
      </w:r>
      <w:r w:rsidRPr="00836495">
        <w:rPr>
          <w:rFonts w:eastAsia="Times New Roman"/>
          <w:szCs w:val="24"/>
          <w:lang w:val="en-US"/>
        </w:rPr>
        <w:t xml:space="preserve"> </w:t>
      </w:r>
      <w:r>
        <w:rPr>
          <w:rFonts w:eastAsia="Times New Roman"/>
          <w:szCs w:val="24"/>
          <w:lang w:val="en-US"/>
        </w:rPr>
        <w:t>(</w:t>
      </w:r>
      <w:r w:rsidRPr="00836495">
        <w:rPr>
          <w:rFonts w:eastAsia="Times New Roman"/>
          <w:szCs w:val="24"/>
          <w:lang w:val="en-US"/>
        </w:rPr>
        <w:t>ii</w:t>
      </w:r>
      <w:r>
        <w:rPr>
          <w:rFonts w:eastAsia="Times New Roman"/>
          <w:szCs w:val="24"/>
          <w:lang w:val="en-US"/>
        </w:rPr>
        <w:t>)</w:t>
      </w:r>
      <w:r w:rsidRPr="00836495">
        <w:rPr>
          <w:rFonts w:eastAsia="Times New Roman"/>
          <w:szCs w:val="24"/>
          <w:lang w:val="en-US"/>
        </w:rPr>
        <w:t xml:space="preserve"> </w:t>
      </w:r>
      <w:r w:rsidR="00B37B7A">
        <w:rPr>
          <w:rFonts w:eastAsia="Times New Roman"/>
          <w:szCs w:val="24"/>
          <w:lang w:val="en-US"/>
        </w:rPr>
        <w:t xml:space="preserve">is that it </w:t>
      </w:r>
      <w:r w:rsidRPr="00836495">
        <w:rPr>
          <w:rFonts w:eastAsia="Times New Roman"/>
          <w:szCs w:val="24"/>
          <w:lang w:val="en-US"/>
        </w:rPr>
        <w:t>enables greater transparency and precision in the calculation of market benefits</w:t>
      </w:r>
      <w:r w:rsidR="0084596F">
        <w:rPr>
          <w:rFonts w:eastAsia="Times New Roman"/>
          <w:szCs w:val="24"/>
          <w:lang w:val="en-US"/>
        </w:rPr>
        <w:t>. This is because option (ii)</w:t>
      </w:r>
      <w:r w:rsidRPr="00836495">
        <w:rPr>
          <w:rFonts w:eastAsia="Times New Roman"/>
          <w:szCs w:val="24"/>
          <w:lang w:val="en-US"/>
        </w:rPr>
        <w:t xml:space="preserve"> allows for a </w:t>
      </w:r>
      <w:r w:rsidR="00027A44">
        <w:rPr>
          <w:rFonts w:eastAsia="Times New Roman"/>
          <w:szCs w:val="24"/>
          <w:lang w:val="en-US"/>
        </w:rPr>
        <w:t>complete</w:t>
      </w:r>
      <w:r w:rsidRPr="00836495">
        <w:rPr>
          <w:rFonts w:eastAsia="Times New Roman"/>
          <w:szCs w:val="24"/>
          <w:lang w:val="en-US"/>
        </w:rPr>
        <w:t xml:space="preserve"> assessment of (negative) market benefits in cases where the payments to consumers for voluntary load curtailment vary according to the scenario under consideration (e.g. high demand, low demand). </w:t>
      </w:r>
    </w:p>
    <w:p w:rsidR="002D2C20" w:rsidRPr="00836495" w:rsidRDefault="002D2C20" w:rsidP="002D2C20">
      <w:pPr>
        <w:tabs>
          <w:tab w:val="left" w:pos="357"/>
        </w:tabs>
        <w:rPr>
          <w:rFonts w:eastAsia="Times New Roman"/>
          <w:szCs w:val="24"/>
          <w:lang w:val="en-US"/>
        </w:rPr>
      </w:pPr>
      <w:r w:rsidRPr="00836495">
        <w:rPr>
          <w:rFonts w:eastAsia="Times New Roman"/>
          <w:szCs w:val="24"/>
          <w:lang w:val="en-US"/>
        </w:rPr>
        <w:t>For examp</w:t>
      </w:r>
      <w:r w:rsidR="009E78F9">
        <w:rPr>
          <w:rFonts w:eastAsia="Times New Roman"/>
          <w:szCs w:val="24"/>
          <w:lang w:val="en-US"/>
        </w:rPr>
        <w:t>le, rather than estimating that</w:t>
      </w:r>
      <w:r w:rsidRPr="00836495">
        <w:rPr>
          <w:rFonts w:eastAsia="Times New Roman"/>
          <w:szCs w:val="24"/>
          <w:lang w:val="en-US"/>
        </w:rPr>
        <w:t xml:space="preserve"> on average, the payments for (and costs of) a </w:t>
      </w:r>
      <w:r w:rsidR="00C429AF">
        <w:rPr>
          <w:rFonts w:eastAsia="Times New Roman"/>
          <w:szCs w:val="24"/>
          <w:lang w:val="en-US"/>
        </w:rPr>
        <w:t>demand side</w:t>
      </w:r>
      <w:r w:rsidRPr="00836495">
        <w:rPr>
          <w:rFonts w:eastAsia="Times New Roman"/>
          <w:szCs w:val="24"/>
          <w:lang w:val="en-US"/>
        </w:rPr>
        <w:t xml:space="preserve"> option will be $25 million across all scenarios, the proponent might consider that payments (and, negative market benefits) of a </w:t>
      </w:r>
      <w:r w:rsidR="00C429AF">
        <w:rPr>
          <w:rFonts w:eastAsia="Times New Roman"/>
          <w:szCs w:val="24"/>
          <w:lang w:val="en-US"/>
        </w:rPr>
        <w:t>demand side</w:t>
      </w:r>
      <w:r w:rsidRPr="00836495">
        <w:rPr>
          <w:rFonts w:eastAsia="Times New Roman"/>
          <w:szCs w:val="24"/>
          <w:lang w:val="en-US"/>
        </w:rPr>
        <w:t xml:space="preserve"> option are $50 million in the high demand scenario and $10 million in the low demand scenario. If both scenarios are equally probable</w:t>
      </w:r>
      <w:r w:rsidR="0084596F">
        <w:rPr>
          <w:rFonts w:eastAsia="Times New Roman"/>
          <w:szCs w:val="24"/>
          <w:lang w:val="en-US"/>
        </w:rPr>
        <w:t>,</w:t>
      </w:r>
      <w:r w:rsidRPr="00836495">
        <w:rPr>
          <w:rFonts w:eastAsia="Times New Roman"/>
          <w:szCs w:val="24"/>
          <w:lang w:val="en-US"/>
        </w:rPr>
        <w:t xml:space="preserve"> that means that the negative market benefits of the option are expected to be $30 million (being ½ * $50 million + ½ * $10 million). This is a more transparent approach where the relevant information is available. </w:t>
      </w:r>
    </w:p>
    <w:p w:rsidR="00066887" w:rsidRPr="00066887" w:rsidRDefault="002D2C20" w:rsidP="00066887">
      <w:pPr>
        <w:pStyle w:val="AERbodytext"/>
      </w:pPr>
      <w:r w:rsidRPr="00066887">
        <w:t>The NER already allows improved reliability above the mandated minimum level to be included in the RIT-D analysis.</w:t>
      </w:r>
      <w:r w:rsidRPr="00066887">
        <w:rPr>
          <w:vertAlign w:val="superscript"/>
        </w:rPr>
        <w:footnoteReference w:id="29"/>
      </w:r>
      <w:r w:rsidRPr="00066887">
        <w:t xml:space="preserve"> Improvements in foregone distribution losses are captured under cl. 5.17.1(c</w:t>
      </w:r>
      <w:proofErr w:type="gramStart"/>
      <w:r w:rsidRPr="00066887">
        <w:t>)(</w:t>
      </w:r>
      <w:proofErr w:type="gramEnd"/>
      <w:r w:rsidRPr="00066887">
        <w:t>4)(vii) of the NER. Further, cl. 5.17.1(c</w:t>
      </w:r>
      <w:proofErr w:type="gramStart"/>
      <w:r w:rsidRPr="00066887">
        <w:t>)(</w:t>
      </w:r>
      <w:proofErr w:type="gramEnd"/>
      <w:r w:rsidRPr="00066887">
        <w:t xml:space="preserve">8) of </w:t>
      </w:r>
      <w:r w:rsidR="009E78F9" w:rsidRPr="00066887">
        <w:t xml:space="preserve">the </w:t>
      </w:r>
      <w:r w:rsidRPr="00066887">
        <w:t>NER does not allow environmental benefits to be considered as a market benefit under the RIT-D, as they are external to the NEM.</w:t>
      </w:r>
      <w:r w:rsidR="000F470C" w:rsidRPr="00066887">
        <w:t xml:space="preserve"> </w:t>
      </w:r>
      <w:r w:rsidR="00C2566F" w:rsidRPr="00066887">
        <w:t xml:space="preserve">Therefore, our final decision is to maintain the two options </w:t>
      </w:r>
      <w:r w:rsidR="006A7B3D">
        <w:t xml:space="preserve">set out in the application guidelines </w:t>
      </w:r>
      <w:r w:rsidR="00C2566F" w:rsidRPr="00066887">
        <w:t xml:space="preserve">to account for demand response payments in the RIT-D process. </w:t>
      </w:r>
    </w:p>
    <w:p w:rsidR="00E91F5E" w:rsidRDefault="00E91F5E" w:rsidP="00E91F5E">
      <w:pPr>
        <w:pStyle w:val="Heading2"/>
        <w:rPr>
          <w:rStyle w:val="AERbody"/>
          <w:color w:val="E36C0A"/>
          <w:sz w:val="28"/>
        </w:rPr>
      </w:pPr>
      <w:bookmarkStart w:id="21" w:name="_Toc364940417"/>
      <w:r w:rsidRPr="00BF11CE">
        <w:rPr>
          <w:rStyle w:val="AERbody"/>
          <w:color w:val="E36C0A"/>
          <w:sz w:val="28"/>
        </w:rPr>
        <w:t>STPIS</w:t>
      </w:r>
      <w:bookmarkEnd w:id="21"/>
      <w:r w:rsidRPr="00BF11CE">
        <w:rPr>
          <w:rStyle w:val="AERbody"/>
          <w:color w:val="E36C0A"/>
          <w:sz w:val="28"/>
        </w:rPr>
        <w:t xml:space="preserve"> </w:t>
      </w:r>
    </w:p>
    <w:p w:rsidR="00E76AA1" w:rsidRPr="00E76AA1" w:rsidRDefault="00E76AA1" w:rsidP="00E76AA1">
      <w:pPr>
        <w:pStyle w:val="AERbodytext"/>
        <w:numPr>
          <w:ilvl w:val="0"/>
          <w:numId w:val="0"/>
        </w:numPr>
      </w:pPr>
      <w:r>
        <w:t xml:space="preserve">The AER implements a </w:t>
      </w:r>
      <w:r w:rsidRPr="00447E96">
        <w:t>service target performance incentive scheme</w:t>
      </w:r>
      <w:r>
        <w:t xml:space="preserve"> (STPIS)</w:t>
      </w:r>
      <w:r w:rsidRPr="00447E96">
        <w:t xml:space="preserve"> </w:t>
      </w:r>
      <w:r>
        <w:t xml:space="preserve">to </w:t>
      </w:r>
      <w:r w:rsidRPr="00447E96">
        <w:t>provid</w:t>
      </w:r>
      <w:r>
        <w:t xml:space="preserve">e </w:t>
      </w:r>
      <w:r w:rsidRPr="00447E96">
        <w:t>incentive</w:t>
      </w:r>
      <w:r w:rsidR="009E78F9">
        <w:t>s</w:t>
      </w:r>
      <w:r w:rsidRPr="00447E96">
        <w:t xml:space="preserve"> for D</w:t>
      </w:r>
      <w:r>
        <w:t>NSPs</w:t>
      </w:r>
      <w:r w:rsidRPr="00447E96">
        <w:t xml:space="preserve"> to</w:t>
      </w:r>
      <w:r>
        <w:t xml:space="preserve"> re</w:t>
      </w:r>
      <w:r w:rsidRPr="00447E96">
        <w:t>duce expenditure</w:t>
      </w:r>
      <w:r>
        <w:t xml:space="preserve"> while maintaining</w:t>
      </w:r>
      <w:r w:rsidRPr="00447E96">
        <w:t xml:space="preserve"> and improv</w:t>
      </w:r>
      <w:r>
        <w:t>ing</w:t>
      </w:r>
      <w:r w:rsidRPr="00447E96">
        <w:t xml:space="preserve"> their service performance for customers.</w:t>
      </w:r>
    </w:p>
    <w:p w:rsidR="00E91F5E" w:rsidRPr="00583EF3" w:rsidRDefault="007A76ED" w:rsidP="00E91F5E">
      <w:pPr>
        <w:pStyle w:val="Heading3"/>
        <w:rPr>
          <w:rStyle w:val="AERbody"/>
          <w:color w:val="E36C0A"/>
          <w:sz w:val="24"/>
        </w:rPr>
      </w:pPr>
      <w:r>
        <w:t>Final decision</w:t>
      </w:r>
    </w:p>
    <w:p w:rsidR="00E91F5E" w:rsidRPr="00583EF3" w:rsidRDefault="006E648E" w:rsidP="00E91F5E">
      <w:r>
        <w:t xml:space="preserve">Our final decision </w:t>
      </w:r>
      <w:r w:rsidR="008547CB">
        <w:t xml:space="preserve">is </w:t>
      </w:r>
      <w:r w:rsidR="008547CB" w:rsidRPr="00583EF3">
        <w:t>to</w:t>
      </w:r>
      <w:r w:rsidR="00E91F5E" w:rsidRPr="00583EF3">
        <w:t xml:space="preserve"> </w:t>
      </w:r>
      <w:r>
        <w:t xml:space="preserve">not </w:t>
      </w:r>
      <w:r w:rsidR="00E91F5E" w:rsidRPr="00583EF3">
        <w:t>revise STPIS targets as a result of a RIT-D.</w:t>
      </w:r>
    </w:p>
    <w:p w:rsidR="00E91F5E" w:rsidRDefault="00E91F5E" w:rsidP="00E91F5E">
      <w:pPr>
        <w:pStyle w:val="Heading3"/>
      </w:pPr>
      <w:r w:rsidRPr="00BE5170">
        <w:t xml:space="preserve">Reasons for the </w:t>
      </w:r>
      <w:r w:rsidR="0017645D">
        <w:t>final decision</w:t>
      </w:r>
    </w:p>
    <w:p w:rsidR="008547CB" w:rsidRDefault="008547CB" w:rsidP="008547CB">
      <w:r>
        <w:t xml:space="preserve">We maintain our position as set out in the explanatory statement to </w:t>
      </w:r>
      <w:r w:rsidR="00B4455F">
        <w:t xml:space="preserve">the draft application guidelines to </w:t>
      </w:r>
      <w:r>
        <w:t>not revise the STPIS. We consider that STPIS payments represent a wealth transfer between NEM parties and should not be included in the RIT-D.</w:t>
      </w:r>
      <w:r>
        <w:rPr>
          <w:rStyle w:val="FootnoteReference"/>
        </w:rPr>
        <w:footnoteReference w:id="30"/>
      </w:r>
      <w:r w:rsidRPr="0092311B">
        <w:t xml:space="preserve"> </w:t>
      </w:r>
      <w:r>
        <w:t xml:space="preserve">RIT-D </w:t>
      </w:r>
      <w:r w:rsidRPr="008A1F54">
        <w:t xml:space="preserve">impacts should be assessed at the subsequent </w:t>
      </w:r>
      <w:r w:rsidR="008D5FEA">
        <w:t>regulatory reset</w:t>
      </w:r>
      <w:r w:rsidR="008D5FEA" w:rsidRPr="008A1F54">
        <w:t xml:space="preserve"> </w:t>
      </w:r>
      <w:r w:rsidRPr="008A1F54">
        <w:t>as opposed to under the STPIS.</w:t>
      </w:r>
    </w:p>
    <w:p w:rsidR="001E6792" w:rsidRDefault="001E6792" w:rsidP="001E6792">
      <w:pPr>
        <w:pStyle w:val="AERbodytext"/>
      </w:pPr>
      <w:r>
        <w:t>The</w:t>
      </w:r>
      <w:r w:rsidRPr="00603EA0">
        <w:t xml:space="preserve"> MEU submitted that consumers pay the benefits from the STPIS to distribution businesses as a reward for providing a better level of service. Furthe</w:t>
      </w:r>
      <w:r w:rsidR="009E78F9">
        <w:t>r, consumers pay a return on</w:t>
      </w:r>
      <w:r w:rsidRPr="00603EA0">
        <w:t xml:space="preserve"> the costs of any reliability augmentation of the network through the </w:t>
      </w:r>
      <w:r w:rsidR="002E6534">
        <w:t>capital expenditure (</w:t>
      </w:r>
      <w:r w:rsidRPr="00603EA0">
        <w:t>capex</w:t>
      </w:r>
      <w:r w:rsidR="002E6534">
        <w:t>)</w:t>
      </w:r>
      <w:r w:rsidRPr="00603EA0">
        <w:t xml:space="preserve"> program</w:t>
      </w:r>
      <w:r>
        <w:t xml:space="preserve"> which raises potentials for double counting.</w:t>
      </w:r>
      <w:r w:rsidRPr="00603EA0">
        <w:rPr>
          <w:vertAlign w:val="superscript"/>
        </w:rPr>
        <w:footnoteReference w:id="31"/>
      </w:r>
    </w:p>
    <w:p w:rsidR="001E6792" w:rsidRPr="00603EA0" w:rsidRDefault="001E6792" w:rsidP="001E6792">
      <w:pPr>
        <w:pStyle w:val="AERbodytext"/>
      </w:pPr>
      <w:r>
        <w:t>As we s</w:t>
      </w:r>
      <w:r w:rsidR="008D5FEA">
        <w:t>et out</w:t>
      </w:r>
      <w:r>
        <w:t xml:space="preserve"> in the explanatory statement to the draft RIT-D, a number of DNSPs submitted that it would be a disproportionate burden to consider the impact of a single project on STPIS targets with respect to the value of the augmentation.</w:t>
      </w:r>
      <w:r w:rsidR="008D5FEA">
        <w:rPr>
          <w:rStyle w:val="FootnoteReference"/>
        </w:rPr>
        <w:footnoteReference w:id="32"/>
      </w:r>
      <w:r>
        <w:t xml:space="preserve"> We </w:t>
      </w:r>
      <w:r w:rsidR="008D5FEA">
        <w:t>maintain</w:t>
      </w:r>
      <w:r>
        <w:t xml:space="preserve"> this view. We also agree with the view of the NSW DNSPs that there is only a tenuous link between the STPIS and RIT-D projects. Therefore we consider that STPIS targets should not be revised on the basis of a RIT-D.</w:t>
      </w:r>
    </w:p>
    <w:p w:rsidR="00E91F5E" w:rsidRPr="00EE0302" w:rsidRDefault="00E91F5E" w:rsidP="00E91F5E">
      <w:pPr>
        <w:pStyle w:val="Heading2"/>
      </w:pPr>
      <w:bookmarkStart w:id="22" w:name="_Toc345076368"/>
      <w:bookmarkStart w:id="23" w:name="_Toc364940418"/>
      <w:r w:rsidRPr="00EE0302">
        <w:t>Interested parties</w:t>
      </w:r>
      <w:bookmarkEnd w:id="22"/>
      <w:bookmarkEnd w:id="23"/>
      <w:r w:rsidRPr="00EE0302">
        <w:t xml:space="preserve">   </w:t>
      </w:r>
    </w:p>
    <w:p w:rsidR="001E1275" w:rsidRDefault="00E91F5E" w:rsidP="00E91F5E">
      <w:pPr>
        <w:pStyle w:val="AERbodytext"/>
      </w:pPr>
      <w:r w:rsidRPr="00EE0302">
        <w:t>An interested party is</w:t>
      </w:r>
      <w:r w:rsidR="001E1275">
        <w:t xml:space="preserve"> defined in the NER as:</w:t>
      </w:r>
    </w:p>
    <w:p w:rsidR="00E91F5E" w:rsidRDefault="00E91F5E" w:rsidP="00417585">
      <w:pPr>
        <w:pStyle w:val="AERquote"/>
        <w:rPr>
          <w:rStyle w:val="AERtextitalic"/>
        </w:rPr>
      </w:pPr>
      <w:r w:rsidRPr="00EE0302">
        <w:t>a person including an end user or its representative who, in the AER’s opinion, has the potential to suffer a material and adverse NEM impact from the investment identified as the preferred option in the project assessment conclusions report or the final project assessment report (as the case may be).</w:t>
      </w:r>
      <w:r w:rsidRPr="00EE0302">
        <w:rPr>
          <w:rStyle w:val="FootnoteReference"/>
        </w:rPr>
        <w:footnoteReference w:id="33"/>
      </w:r>
      <w:r w:rsidRPr="00EE0302">
        <w:rPr>
          <w:rStyle w:val="AERtextitalic"/>
        </w:rPr>
        <w:t xml:space="preserve"> </w:t>
      </w:r>
    </w:p>
    <w:p w:rsidR="006E4295" w:rsidRPr="006E4295" w:rsidRDefault="006E4295" w:rsidP="006E4295">
      <w:pPr>
        <w:pStyle w:val="AERbodytext"/>
      </w:pPr>
      <w:r>
        <w:t>Clause 5.17.2 of the NER requires that the application guidelines must provide guidance on what will be considered to be a material and adverse NEM impact for the purposes of interested parties.</w:t>
      </w:r>
    </w:p>
    <w:p w:rsidR="00E91F5E" w:rsidRPr="00EE0302" w:rsidRDefault="00334F4E" w:rsidP="00E91F5E">
      <w:pPr>
        <w:pStyle w:val="Heading3"/>
      </w:pPr>
      <w:r w:rsidRPr="00EE0302">
        <w:t xml:space="preserve">Final decision </w:t>
      </w:r>
    </w:p>
    <w:p w:rsidR="00E91F5E" w:rsidRPr="00EE0302" w:rsidRDefault="00C62E65" w:rsidP="00E91F5E">
      <w:r w:rsidRPr="00EE0302">
        <w:t xml:space="preserve">Our final decision is </w:t>
      </w:r>
      <w:r w:rsidR="00E91F5E" w:rsidRPr="00EE0302">
        <w:t xml:space="preserve">that </w:t>
      </w:r>
      <w:proofErr w:type="gramStart"/>
      <w:r w:rsidR="00E91F5E" w:rsidRPr="00EE0302">
        <w:t xml:space="preserve">material and adverse market impacts for the purposes of defining </w:t>
      </w:r>
      <w:r w:rsidR="00E91F5E" w:rsidRPr="009530B9">
        <w:rPr>
          <w:rStyle w:val="AERtextitalic"/>
          <w:i w:val="0"/>
        </w:rPr>
        <w:t>interested parties</w:t>
      </w:r>
      <w:r w:rsidR="00E91F5E" w:rsidRPr="00EE0302">
        <w:rPr>
          <w:rStyle w:val="AERtextitalic"/>
        </w:rPr>
        <w:t xml:space="preserve"> </w:t>
      </w:r>
      <w:r w:rsidR="00E91F5E" w:rsidRPr="00EE0302">
        <w:t>include</w:t>
      </w:r>
      <w:r w:rsidR="00D82558">
        <w:t>s</w:t>
      </w:r>
      <w:proofErr w:type="gramEnd"/>
      <w:r w:rsidR="00E91F5E" w:rsidRPr="00EE0302">
        <w:t>:</w:t>
      </w:r>
    </w:p>
    <w:p w:rsidR="00E91F5E" w:rsidRPr="00EE0302" w:rsidRDefault="009530B9" w:rsidP="00E91F5E">
      <w:pPr>
        <w:pStyle w:val="AERbulletlistfirststyle"/>
      </w:pPr>
      <w:r>
        <w:t>a</w:t>
      </w:r>
      <w:r w:rsidR="00E91F5E" w:rsidRPr="00EE0302">
        <w:t>n impact on a network operator or other stakeholder such as aggregators or energy service companies in the NEM that:</w:t>
      </w:r>
    </w:p>
    <w:p w:rsidR="00E91F5E" w:rsidRPr="00EE0302" w:rsidRDefault="009530B9" w:rsidP="00E91F5E">
      <w:pPr>
        <w:pStyle w:val="AERbulletlistsecondstyle"/>
      </w:pPr>
      <w:r>
        <w:t>c</w:t>
      </w:r>
      <w:r w:rsidR="00E91F5E" w:rsidRPr="00EE0302">
        <w:t>onstrains the network operator’s ability to fulfil functions mandated under the NER; or</w:t>
      </w:r>
    </w:p>
    <w:p w:rsidR="00E91F5E" w:rsidRPr="00EE0302" w:rsidRDefault="009530B9" w:rsidP="00E91F5E">
      <w:pPr>
        <w:pStyle w:val="AERbulletlistsecondstyle"/>
      </w:pPr>
      <w:proofErr w:type="gramStart"/>
      <w:r>
        <w:t>u</w:t>
      </w:r>
      <w:r w:rsidR="00E91F5E" w:rsidRPr="00EE0302">
        <w:t>ndermines</w:t>
      </w:r>
      <w:proofErr w:type="gramEnd"/>
      <w:r w:rsidR="00E91F5E" w:rsidRPr="00EE0302">
        <w:t xml:space="preserve"> the stakeholder's ability to perform its operations to the extent that it can no longer operate or perform a particular function. This may result from physical obstruction or a substantial reduction in profitability; or</w:t>
      </w:r>
    </w:p>
    <w:p w:rsidR="00E91F5E" w:rsidRPr="00EE0302" w:rsidRDefault="009530B9" w:rsidP="00E91F5E">
      <w:pPr>
        <w:pStyle w:val="AERbulletlistfirststyle"/>
      </w:pPr>
      <w:proofErr w:type="gramStart"/>
      <w:r>
        <w:t>a</w:t>
      </w:r>
      <w:r w:rsidR="00E91F5E" w:rsidRPr="00EE0302">
        <w:t>n</w:t>
      </w:r>
      <w:proofErr w:type="gramEnd"/>
      <w:r w:rsidR="00E91F5E" w:rsidRPr="00EE0302">
        <w:t xml:space="preserve"> impact on an electricity consumer, in their role as a consumer of </w:t>
      </w:r>
      <w:r w:rsidR="005F71AA" w:rsidRPr="00EE0302">
        <w:t>electricity</w:t>
      </w:r>
      <w:r w:rsidR="005F71AA">
        <w:t xml:space="preserve"> that</w:t>
      </w:r>
      <w:r w:rsidR="00E91F5E" w:rsidRPr="00EE0302">
        <w:t xml:space="preserve"> reduces the quality or reliability of their electricity supply below what is required under the NER</w:t>
      </w:r>
      <w:r w:rsidR="004751BC" w:rsidRPr="00EE0302">
        <w:t xml:space="preserve"> </w:t>
      </w:r>
      <w:r w:rsidR="004751BC" w:rsidRPr="00EE0302">
        <w:rPr>
          <w:lang w:val="en-US"/>
        </w:rPr>
        <w:t>or reduces the sum of consumer and producer surplus</w:t>
      </w:r>
      <w:r w:rsidR="00E91F5E" w:rsidRPr="00EE0302">
        <w:t>.</w:t>
      </w:r>
    </w:p>
    <w:p w:rsidR="00E91F5E" w:rsidRPr="00EE0302" w:rsidRDefault="00E91F5E" w:rsidP="00E91F5E">
      <w:pPr>
        <w:pStyle w:val="Heading3"/>
      </w:pPr>
      <w:r w:rsidRPr="00EE0302">
        <w:t xml:space="preserve">Reasons for the </w:t>
      </w:r>
      <w:r w:rsidR="00334F4E" w:rsidRPr="00EE0302">
        <w:t xml:space="preserve">final decision </w:t>
      </w:r>
      <w:r w:rsidRPr="00EE0302">
        <w:t xml:space="preserve"> </w:t>
      </w:r>
    </w:p>
    <w:p w:rsidR="00002786" w:rsidRDefault="00C251E5" w:rsidP="00002786">
      <w:pPr>
        <w:pStyle w:val="AERbodytext"/>
        <w:numPr>
          <w:ilvl w:val="0"/>
          <w:numId w:val="6"/>
        </w:numPr>
      </w:pPr>
      <w:r>
        <w:t xml:space="preserve">The </w:t>
      </w:r>
      <w:r w:rsidR="0053532E">
        <w:t xml:space="preserve">MEU </w:t>
      </w:r>
      <w:r>
        <w:t>is</w:t>
      </w:r>
      <w:r w:rsidR="0053532E">
        <w:t xml:space="preserve"> concerned that </w:t>
      </w:r>
      <w:r w:rsidR="001607DE">
        <w:t xml:space="preserve">the </w:t>
      </w:r>
      <w:r w:rsidR="0053532E">
        <w:t xml:space="preserve">definition </w:t>
      </w:r>
      <w:r w:rsidR="00A809E7">
        <w:t xml:space="preserve">of interested parties </w:t>
      </w:r>
      <w:r w:rsidR="001607DE">
        <w:t>is</w:t>
      </w:r>
      <w:r w:rsidR="0053532E">
        <w:t xml:space="preserve"> somewhat obscure and could result in some relevant parties being excluded from the RIT-D process.</w:t>
      </w:r>
      <w:r w:rsidR="00002786">
        <w:t xml:space="preserve"> Further, </w:t>
      </w:r>
      <w:r w:rsidR="00D82558">
        <w:t>the MEU</w:t>
      </w:r>
      <w:r w:rsidR="00002786">
        <w:t xml:space="preserve"> submitted that interested parties should overtly include any end user of the network services and consumer advocates who have a standing in the electricity regional markets impacted and who represent the interests of consumers of electricity.</w:t>
      </w:r>
      <w:r w:rsidR="00002786">
        <w:rPr>
          <w:rStyle w:val="FootnoteReference"/>
        </w:rPr>
        <w:footnoteReference w:id="34"/>
      </w:r>
      <w:r w:rsidR="00002786" w:rsidRPr="00002786">
        <w:t xml:space="preserve"> </w:t>
      </w:r>
      <w:r w:rsidR="00066887">
        <w:t>UnitingCare Australia also submitted that there is greater clarity in the description of terms such as interested parties and non-network providers.</w:t>
      </w:r>
      <w:r w:rsidR="00066887">
        <w:rPr>
          <w:rStyle w:val="FootnoteReference"/>
        </w:rPr>
        <w:footnoteReference w:id="35"/>
      </w:r>
    </w:p>
    <w:p w:rsidR="00002786" w:rsidRPr="00002786" w:rsidRDefault="00C251E5" w:rsidP="00002786">
      <w:pPr>
        <w:pStyle w:val="AERbodytext"/>
        <w:numPr>
          <w:ilvl w:val="0"/>
          <w:numId w:val="6"/>
        </w:numPr>
      </w:pPr>
      <w:r>
        <w:t xml:space="preserve">The </w:t>
      </w:r>
      <w:r w:rsidR="00002786" w:rsidRPr="00002786">
        <w:t>T</w:t>
      </w:r>
      <w:r w:rsidR="00B4455F">
        <w:t xml:space="preserve">otal </w:t>
      </w:r>
      <w:r w:rsidR="00002786" w:rsidRPr="00002786">
        <w:t>E</w:t>
      </w:r>
      <w:r w:rsidR="00B4455F">
        <w:t xml:space="preserve">nvironment </w:t>
      </w:r>
      <w:r w:rsidR="00002786" w:rsidRPr="00002786">
        <w:t>C</w:t>
      </w:r>
      <w:r w:rsidR="00B4455F">
        <w:t>entre (TEC)</w:t>
      </w:r>
      <w:r w:rsidR="00002786" w:rsidRPr="00002786">
        <w:t xml:space="preserve"> submitted that </w:t>
      </w:r>
      <w:r w:rsidR="00002786">
        <w:t>t</w:t>
      </w:r>
      <w:r w:rsidR="00002786" w:rsidRPr="00002786">
        <w:t>he NER do</w:t>
      </w:r>
      <w:r w:rsidR="00002786">
        <w:t>es</w:t>
      </w:r>
      <w:r w:rsidR="00002786" w:rsidRPr="00002786">
        <w:t xml:space="preserve"> not define </w:t>
      </w:r>
      <w:r w:rsidR="00002786">
        <w:t>non-</w:t>
      </w:r>
      <w:r w:rsidR="00002786" w:rsidRPr="00002786">
        <w:t xml:space="preserve">network providers, and the definition of interested </w:t>
      </w:r>
      <w:r w:rsidR="00002786">
        <w:t>parties</w:t>
      </w:r>
      <w:r w:rsidR="00002786" w:rsidRPr="00002786">
        <w:t xml:space="preserve"> in the NER glossary requires such parties to</w:t>
      </w:r>
      <w:r w:rsidR="00002786">
        <w:t xml:space="preserve"> </w:t>
      </w:r>
      <w:r w:rsidR="00002786" w:rsidRPr="00002786">
        <w:t>identify</w:t>
      </w:r>
      <w:r w:rsidR="00002786">
        <w:t xml:space="preserve"> </w:t>
      </w:r>
      <w:r w:rsidR="00002786" w:rsidRPr="00002786">
        <w:t>themselves</w:t>
      </w:r>
      <w:r w:rsidR="00002786">
        <w:t xml:space="preserve"> </w:t>
      </w:r>
      <w:r w:rsidR="00002786" w:rsidRPr="00002786">
        <w:t>to</w:t>
      </w:r>
      <w:r w:rsidR="00002786">
        <w:t xml:space="preserve"> </w:t>
      </w:r>
      <w:r w:rsidR="00002786" w:rsidRPr="00002786">
        <w:t>A</w:t>
      </w:r>
      <w:r w:rsidR="00473081">
        <w:t xml:space="preserve">ustralian </w:t>
      </w:r>
      <w:r w:rsidR="00002786" w:rsidRPr="00002786">
        <w:t>E</w:t>
      </w:r>
      <w:r w:rsidR="00473081">
        <w:t xml:space="preserve">nergy </w:t>
      </w:r>
      <w:r w:rsidR="00002786" w:rsidRPr="00002786">
        <w:t>M</w:t>
      </w:r>
      <w:r w:rsidR="00473081">
        <w:t xml:space="preserve">arket </w:t>
      </w:r>
      <w:r w:rsidR="00002786" w:rsidRPr="00002786">
        <w:t>O</w:t>
      </w:r>
      <w:r w:rsidR="00473081">
        <w:t>perator (AEMO)</w:t>
      </w:r>
      <w:r w:rsidR="00002786" w:rsidRPr="00002786">
        <w:t>.</w:t>
      </w:r>
      <w:r w:rsidR="00002786">
        <w:t xml:space="preserve"> </w:t>
      </w:r>
      <w:r w:rsidR="00002786" w:rsidRPr="00002786">
        <w:t>This</w:t>
      </w:r>
      <w:r w:rsidR="00002786">
        <w:t xml:space="preserve"> </w:t>
      </w:r>
      <w:r w:rsidR="00002786" w:rsidRPr="00002786">
        <w:t>may</w:t>
      </w:r>
      <w:r w:rsidR="00002786">
        <w:t xml:space="preserve"> </w:t>
      </w:r>
      <w:r w:rsidR="00002786" w:rsidRPr="00002786">
        <w:t>be</w:t>
      </w:r>
      <w:r w:rsidR="00002786">
        <w:t xml:space="preserve"> </w:t>
      </w:r>
      <w:r w:rsidR="00002786" w:rsidRPr="00002786">
        <w:t>reasonable</w:t>
      </w:r>
      <w:r w:rsidR="00002786">
        <w:t xml:space="preserve"> </w:t>
      </w:r>
      <w:r w:rsidR="00002786" w:rsidRPr="00002786">
        <w:t>in</w:t>
      </w:r>
      <w:r w:rsidR="00002786">
        <w:t xml:space="preserve"> </w:t>
      </w:r>
      <w:r w:rsidR="00002786" w:rsidRPr="00002786">
        <w:t>the</w:t>
      </w:r>
      <w:r w:rsidR="00002786">
        <w:t xml:space="preserve"> </w:t>
      </w:r>
      <w:r w:rsidR="00002786" w:rsidRPr="00002786">
        <w:t>case</w:t>
      </w:r>
      <w:r w:rsidR="00002786">
        <w:t xml:space="preserve"> </w:t>
      </w:r>
      <w:r w:rsidR="00002786" w:rsidRPr="00002786">
        <w:t>of</w:t>
      </w:r>
      <w:r w:rsidR="00002786">
        <w:t xml:space="preserve"> </w:t>
      </w:r>
      <w:r w:rsidR="00002786" w:rsidRPr="00002786">
        <w:t>established</w:t>
      </w:r>
      <w:r w:rsidR="00002786">
        <w:t xml:space="preserve"> demand management </w:t>
      </w:r>
      <w:r w:rsidR="00002786" w:rsidRPr="00002786">
        <w:t>aggregators,</w:t>
      </w:r>
      <w:r w:rsidR="00002786">
        <w:t xml:space="preserve"> </w:t>
      </w:r>
      <w:r w:rsidR="00002786" w:rsidRPr="00002786">
        <w:t>but</w:t>
      </w:r>
      <w:r w:rsidR="00002786">
        <w:t xml:space="preserve"> </w:t>
      </w:r>
      <w:r w:rsidR="00002786" w:rsidRPr="00002786">
        <w:t>local</w:t>
      </w:r>
      <w:r w:rsidR="00002786">
        <w:t xml:space="preserve"> </w:t>
      </w:r>
      <w:r w:rsidR="00D84C99">
        <w:t>photovoltaic (</w:t>
      </w:r>
      <w:r w:rsidR="00002786" w:rsidRPr="00002786">
        <w:t>PV</w:t>
      </w:r>
      <w:r w:rsidR="00D84C99">
        <w:t>)</w:t>
      </w:r>
      <w:r w:rsidR="00002786">
        <w:t xml:space="preserve"> </w:t>
      </w:r>
      <w:r w:rsidR="00002786" w:rsidRPr="00002786">
        <w:t>or</w:t>
      </w:r>
      <w:r w:rsidR="00002786">
        <w:t xml:space="preserve"> </w:t>
      </w:r>
      <w:r w:rsidR="00002786" w:rsidRPr="00002786">
        <w:t>energy</w:t>
      </w:r>
      <w:r w:rsidR="00002786">
        <w:t xml:space="preserve"> </w:t>
      </w:r>
      <w:r w:rsidR="00002786" w:rsidRPr="00002786">
        <w:t>efficient</w:t>
      </w:r>
      <w:r w:rsidR="00002786">
        <w:t xml:space="preserve"> </w:t>
      </w:r>
      <w:r w:rsidR="00002786" w:rsidRPr="00002786">
        <w:t>lighting</w:t>
      </w:r>
      <w:r w:rsidR="00002786">
        <w:t xml:space="preserve"> </w:t>
      </w:r>
      <w:r w:rsidR="00002786" w:rsidRPr="00002786">
        <w:t>installers,</w:t>
      </w:r>
      <w:r w:rsidR="00002786">
        <w:t xml:space="preserve"> </w:t>
      </w:r>
      <w:r w:rsidR="00002786" w:rsidRPr="00002786">
        <w:t>for</w:t>
      </w:r>
      <w:r w:rsidR="00002786">
        <w:t xml:space="preserve"> </w:t>
      </w:r>
      <w:r w:rsidR="00002786" w:rsidRPr="00002786">
        <w:t>instance,</w:t>
      </w:r>
      <w:r w:rsidR="00002786">
        <w:t xml:space="preserve"> are not </w:t>
      </w:r>
      <w:r w:rsidR="00002786" w:rsidRPr="00002786">
        <w:t>familiar</w:t>
      </w:r>
      <w:r w:rsidR="00002786">
        <w:t xml:space="preserve"> </w:t>
      </w:r>
      <w:r w:rsidR="00002786" w:rsidRPr="00002786">
        <w:t>with</w:t>
      </w:r>
      <w:r w:rsidR="00002786">
        <w:t xml:space="preserve"> </w:t>
      </w:r>
      <w:r w:rsidR="00002786" w:rsidRPr="00002786">
        <w:t>the</w:t>
      </w:r>
      <w:r w:rsidR="00002786">
        <w:t xml:space="preserve"> </w:t>
      </w:r>
      <w:r w:rsidR="00002786" w:rsidRPr="00002786">
        <w:t>NEM</w:t>
      </w:r>
      <w:r w:rsidR="00002786">
        <w:t xml:space="preserve">, </w:t>
      </w:r>
      <w:r w:rsidR="00002786" w:rsidRPr="00002786">
        <w:t>to</w:t>
      </w:r>
      <w:r w:rsidR="00002786">
        <w:t xml:space="preserve"> </w:t>
      </w:r>
      <w:r w:rsidR="00002786" w:rsidRPr="00002786">
        <w:t>this</w:t>
      </w:r>
      <w:r w:rsidR="00002786">
        <w:t xml:space="preserve"> </w:t>
      </w:r>
      <w:r w:rsidR="00002786" w:rsidRPr="00002786">
        <w:t>extent</w:t>
      </w:r>
      <w:r w:rsidR="00002786">
        <w:t xml:space="preserve"> </w:t>
      </w:r>
      <w:r w:rsidR="00002786" w:rsidRPr="00002786">
        <w:t>as</w:t>
      </w:r>
      <w:r w:rsidR="00002786">
        <w:t xml:space="preserve"> </w:t>
      </w:r>
      <w:r w:rsidR="00002786" w:rsidRPr="00002786">
        <w:t>soon</w:t>
      </w:r>
      <w:r w:rsidR="00002786">
        <w:t xml:space="preserve"> </w:t>
      </w:r>
      <w:r w:rsidR="00002786" w:rsidRPr="00002786">
        <w:t>as</w:t>
      </w:r>
      <w:r w:rsidR="00002786">
        <w:t xml:space="preserve"> </w:t>
      </w:r>
      <w:r w:rsidR="00002786" w:rsidRPr="00002786">
        <w:t>a</w:t>
      </w:r>
      <w:r w:rsidR="00002786">
        <w:t xml:space="preserve"> </w:t>
      </w:r>
      <w:r w:rsidR="00002786" w:rsidRPr="00002786">
        <w:t>network</w:t>
      </w:r>
      <w:r w:rsidR="00002786">
        <w:t xml:space="preserve"> </w:t>
      </w:r>
      <w:r w:rsidR="00002786" w:rsidRPr="00002786">
        <w:t>considers</w:t>
      </w:r>
      <w:r w:rsidR="00002786">
        <w:t xml:space="preserve"> </w:t>
      </w:r>
      <w:r w:rsidR="00002786" w:rsidRPr="00002786">
        <w:t>a</w:t>
      </w:r>
      <w:r w:rsidR="00002786">
        <w:t xml:space="preserve"> </w:t>
      </w:r>
      <w:r w:rsidR="00002786" w:rsidRPr="00002786">
        <w:t>new</w:t>
      </w:r>
      <w:r w:rsidR="00002786">
        <w:t xml:space="preserve"> </w:t>
      </w:r>
      <w:r w:rsidR="00002786" w:rsidRPr="00002786">
        <w:t>infrastructure</w:t>
      </w:r>
      <w:r w:rsidR="00002786">
        <w:t xml:space="preserve"> </w:t>
      </w:r>
      <w:r w:rsidR="00002786" w:rsidRPr="00002786">
        <w:t>project.</w:t>
      </w:r>
      <w:r w:rsidR="00002786">
        <w:rPr>
          <w:rStyle w:val="FootnoteReference"/>
        </w:rPr>
        <w:footnoteReference w:id="36"/>
      </w:r>
      <w:r w:rsidR="00002786">
        <w:t xml:space="preserve"> </w:t>
      </w:r>
    </w:p>
    <w:p w:rsidR="00002786" w:rsidRDefault="00002786" w:rsidP="00002786">
      <w:pPr>
        <w:pStyle w:val="AERbodytext"/>
      </w:pPr>
      <w:r w:rsidRPr="00002786">
        <w:t>We have a limited ability to make changes to th</w:t>
      </w:r>
      <w:r w:rsidR="004B41CD">
        <w:t>e</w:t>
      </w:r>
      <w:r w:rsidRPr="00002786">
        <w:t xml:space="preserve"> definition </w:t>
      </w:r>
      <w:r w:rsidR="004B41CD">
        <w:t xml:space="preserve">of interested parties </w:t>
      </w:r>
      <w:r w:rsidRPr="00002786">
        <w:t>as th</w:t>
      </w:r>
      <w:r w:rsidR="001E1275">
        <w:t>is term is</w:t>
      </w:r>
      <w:r w:rsidRPr="00002786">
        <w:t xml:space="preserve"> defined in the NER.</w:t>
      </w:r>
      <w:r w:rsidR="00D84C99">
        <w:t xml:space="preserve"> We also note that cl. 5.10.2 of the NER provides the definition for non–network providers. Th</w:t>
      </w:r>
      <w:r w:rsidR="009530B9">
        <w:t>e</w:t>
      </w:r>
      <w:r w:rsidR="00D84C99">
        <w:t>s</w:t>
      </w:r>
      <w:r w:rsidR="009530B9">
        <w:t>e</w:t>
      </w:r>
      <w:r w:rsidR="00D84C99">
        <w:t xml:space="preserve"> </w:t>
      </w:r>
      <w:r w:rsidR="009530B9">
        <w:t>are</w:t>
      </w:r>
      <w:r w:rsidR="00D84C99">
        <w:t xml:space="preserve"> as follows:</w:t>
      </w:r>
    </w:p>
    <w:p w:rsidR="00D84C99" w:rsidRDefault="00D84C99" w:rsidP="00D84C99">
      <w:pPr>
        <w:pStyle w:val="AERquote"/>
      </w:pPr>
      <w:proofErr w:type="gramStart"/>
      <w:r w:rsidRPr="00D84C99">
        <w:rPr>
          <w:b/>
        </w:rPr>
        <w:t>non-network</w:t>
      </w:r>
      <w:proofErr w:type="gramEnd"/>
      <w:r w:rsidRPr="00D84C99">
        <w:rPr>
          <w:b/>
        </w:rPr>
        <w:t xml:space="preserve"> providers</w:t>
      </w:r>
      <w:r>
        <w:t>: means a person who provides non-network options.</w:t>
      </w:r>
    </w:p>
    <w:p w:rsidR="00D84C99" w:rsidRDefault="00D84C99" w:rsidP="00D84C99">
      <w:pPr>
        <w:pStyle w:val="AERbodytext"/>
      </w:pPr>
      <w:r w:rsidRPr="00D84C99">
        <w:t>Where non-</w:t>
      </w:r>
      <w:r>
        <w:t>network options are:</w:t>
      </w:r>
    </w:p>
    <w:p w:rsidR="00D84C99" w:rsidRPr="00D84C99" w:rsidRDefault="00D84C99" w:rsidP="00D84C99">
      <w:pPr>
        <w:pStyle w:val="AERquote"/>
        <w:rPr>
          <w:b/>
        </w:rPr>
      </w:pPr>
      <w:proofErr w:type="gramStart"/>
      <w:r w:rsidRPr="00D84C99">
        <w:rPr>
          <w:b/>
        </w:rPr>
        <w:t>non-network</w:t>
      </w:r>
      <w:proofErr w:type="gramEnd"/>
      <w:r w:rsidRPr="00D84C99">
        <w:rPr>
          <w:b/>
        </w:rPr>
        <w:t xml:space="preserve"> option</w:t>
      </w:r>
      <w:r>
        <w:rPr>
          <w:b/>
        </w:rPr>
        <w:t>:</w:t>
      </w:r>
      <w:r w:rsidRPr="00D84C99">
        <w:t xml:space="preserve"> means a means by which an identified need can be fully or partly addressed other than by a network option.</w:t>
      </w:r>
      <w:r w:rsidRPr="00D84C99">
        <w:rPr>
          <w:b/>
        </w:rPr>
        <w:t xml:space="preserve"> </w:t>
      </w:r>
    </w:p>
    <w:p w:rsidR="00D84C99" w:rsidRPr="00D84C99" w:rsidRDefault="00D84C99" w:rsidP="00D84C99">
      <w:pPr>
        <w:pStyle w:val="AERbodytext"/>
      </w:pPr>
      <w:r>
        <w:t xml:space="preserve">These definitions are also included in the glossary of the application guidelines. </w:t>
      </w:r>
    </w:p>
    <w:p w:rsidR="00E91F5E" w:rsidRPr="00AF2660" w:rsidRDefault="00E91F5E" w:rsidP="00E91F5E">
      <w:pPr>
        <w:pStyle w:val="Heading2"/>
      </w:pPr>
      <w:bookmarkStart w:id="24" w:name="_Toc345076371"/>
      <w:bookmarkStart w:id="25" w:name="_Toc364940419"/>
      <w:r w:rsidRPr="00AF2660">
        <w:t>Discount rates</w:t>
      </w:r>
      <w:bookmarkEnd w:id="24"/>
      <w:bookmarkEnd w:id="25"/>
    </w:p>
    <w:p w:rsidR="00E91F5E" w:rsidRPr="00031EC6" w:rsidRDefault="00E91F5E" w:rsidP="00E91F5E">
      <w:r w:rsidRPr="00AF2660">
        <w:t xml:space="preserve">The </w:t>
      </w:r>
      <w:r w:rsidR="00AF2660">
        <w:t xml:space="preserve">application guidelines set out </w:t>
      </w:r>
      <w:r w:rsidRPr="00AF2660">
        <w:t>the method for determining the discount rate for present value calculations</w:t>
      </w:r>
      <w:r w:rsidRPr="00031EC6">
        <w:t xml:space="preserve">. </w:t>
      </w:r>
    </w:p>
    <w:p w:rsidR="00E91F5E" w:rsidRPr="00AF2660" w:rsidRDefault="00AF2660" w:rsidP="00E91F5E">
      <w:pPr>
        <w:pStyle w:val="Heading3"/>
      </w:pPr>
      <w:r w:rsidRPr="00031EC6">
        <w:t xml:space="preserve">Final decision </w:t>
      </w:r>
    </w:p>
    <w:p w:rsidR="00E91F5E" w:rsidRPr="00031EC6" w:rsidRDefault="00031EC6" w:rsidP="00E91F5E">
      <w:pPr>
        <w:rPr>
          <w:highlight w:val="yellow"/>
        </w:rPr>
      </w:pPr>
      <w:r>
        <w:t xml:space="preserve">Our final decision is </w:t>
      </w:r>
      <w:r w:rsidR="00D82368">
        <w:t xml:space="preserve">to </w:t>
      </w:r>
      <w:r>
        <w:t xml:space="preserve">maintain the proposed view set out in the explanatory statement accompanying the </w:t>
      </w:r>
      <w:r w:rsidRPr="00031EC6">
        <w:t xml:space="preserve">draft RIT-D. </w:t>
      </w:r>
      <w:r w:rsidR="00E91F5E" w:rsidRPr="00031EC6">
        <w:t>Th</w:t>
      </w:r>
      <w:r>
        <w:t xml:space="preserve">at is, </w:t>
      </w:r>
      <w:r w:rsidR="00E91F5E" w:rsidRPr="00031EC6">
        <w:t xml:space="preserve">the present value calculations must use a commercial discount rate appropriate for the analysis of a private enterprise investment in the electricity sector. The discount rate used must be consistent with the cash flows being discounted and </w:t>
      </w:r>
      <w:r w:rsidR="009530B9">
        <w:t xml:space="preserve">RIT-D </w:t>
      </w:r>
      <w:r w:rsidR="00E91F5E" w:rsidRPr="00031EC6">
        <w:t>proponents should use the regulatory weighted average cost of capital (WACC) as the lower bound.</w:t>
      </w:r>
    </w:p>
    <w:p w:rsidR="00E91F5E" w:rsidRPr="00031EC6" w:rsidRDefault="00E91F5E" w:rsidP="00E91F5E">
      <w:pPr>
        <w:pStyle w:val="Heading3"/>
        <w:rPr>
          <w:rStyle w:val="AERbody"/>
          <w:color w:val="E36C0A"/>
          <w:sz w:val="24"/>
        </w:rPr>
      </w:pPr>
      <w:r w:rsidRPr="00031EC6">
        <w:t xml:space="preserve">Reasons for the </w:t>
      </w:r>
      <w:r w:rsidR="00031EC6">
        <w:t>final decision</w:t>
      </w:r>
    </w:p>
    <w:p w:rsidR="00031EC6" w:rsidRPr="00031EC6" w:rsidRDefault="00031EC6" w:rsidP="00031EC6">
      <w:pPr>
        <w:pStyle w:val="AERbodytext"/>
        <w:numPr>
          <w:ilvl w:val="0"/>
          <w:numId w:val="6"/>
        </w:numPr>
      </w:pPr>
      <w:r>
        <w:t xml:space="preserve">Submissions made to the draft application guidelines </w:t>
      </w:r>
      <w:r w:rsidR="00503D21">
        <w:t xml:space="preserve">and feedback received at the workshops, </w:t>
      </w:r>
      <w:r w:rsidR="00D82558">
        <w:t xml:space="preserve">generally </w:t>
      </w:r>
      <w:r>
        <w:t>support the approach set out by the AER.</w:t>
      </w:r>
      <w:r>
        <w:rPr>
          <w:rStyle w:val="FootnoteReference"/>
        </w:rPr>
        <w:footnoteReference w:id="37"/>
      </w:r>
      <w:r w:rsidR="005602B9">
        <w:t xml:space="preserve"> </w:t>
      </w:r>
      <w:r>
        <w:t xml:space="preserve">However, </w:t>
      </w:r>
      <w:r w:rsidR="00D82368">
        <w:t xml:space="preserve">the </w:t>
      </w:r>
      <w:r>
        <w:t xml:space="preserve">MEU </w:t>
      </w:r>
      <w:r w:rsidR="009530B9">
        <w:t>submitted</w:t>
      </w:r>
      <w:r>
        <w:t xml:space="preserve"> </w:t>
      </w:r>
      <w:r w:rsidRPr="00031EC6">
        <w:t>that, as a standard, the discount rate should be the WACC used in the latest</w:t>
      </w:r>
      <w:r>
        <w:t xml:space="preserve"> </w:t>
      </w:r>
      <w:r w:rsidRPr="00031EC6">
        <w:t>regulatory reset.</w:t>
      </w:r>
      <w:r>
        <w:t xml:space="preserve"> </w:t>
      </w:r>
      <w:r w:rsidR="00D82368">
        <w:t xml:space="preserve">The </w:t>
      </w:r>
      <w:r>
        <w:t xml:space="preserve">MEU further submitted </w:t>
      </w:r>
      <w:r w:rsidR="00D82558">
        <w:t xml:space="preserve">that if an alternative WACC is to be used, </w:t>
      </w:r>
      <w:r w:rsidRPr="00031EC6">
        <w:t xml:space="preserve">any changes </w:t>
      </w:r>
      <w:r w:rsidR="009530B9">
        <w:t>should be</w:t>
      </w:r>
      <w:r w:rsidR="009530B9" w:rsidRPr="00031EC6">
        <w:t xml:space="preserve"> </w:t>
      </w:r>
      <w:r w:rsidRPr="00031EC6">
        <w:t>carefully and fully explained.</w:t>
      </w:r>
      <w:r>
        <w:rPr>
          <w:rStyle w:val="FootnoteReference"/>
        </w:rPr>
        <w:footnoteReference w:id="38"/>
      </w:r>
    </w:p>
    <w:p w:rsidR="00E91F5E" w:rsidRDefault="00031EC6" w:rsidP="00E91F5E">
      <w:pPr>
        <w:pStyle w:val="AERbodytext"/>
        <w:numPr>
          <w:ilvl w:val="0"/>
          <w:numId w:val="6"/>
        </w:numPr>
      </w:pPr>
      <w:r>
        <w:t>We consider that d</w:t>
      </w:r>
      <w:r w:rsidR="00E91F5E" w:rsidRPr="00031EC6">
        <w:t>ifferent types of RIT-D projects will carry different level</w:t>
      </w:r>
      <w:r w:rsidR="00D82368">
        <w:t>s</w:t>
      </w:r>
      <w:r w:rsidR="00E91F5E" w:rsidRPr="00031EC6">
        <w:t xml:space="preserve"> of risks, and RIT-D proponents need the flexibility to account for this when determining the discount rate. The methodology </w:t>
      </w:r>
      <w:r>
        <w:t xml:space="preserve">set out in the application guidelines </w:t>
      </w:r>
      <w:r w:rsidR="00E91F5E" w:rsidRPr="00031EC6">
        <w:t>for determining the discount rate is sufficiently flexible to be adjusted between projects. If appropriate, RIT-D proponents can adjust the discount rate to reflect differences associated with projects in regional areas.</w:t>
      </w:r>
    </w:p>
    <w:p w:rsidR="009B3F45" w:rsidRPr="00031EC6" w:rsidRDefault="006200F3" w:rsidP="00E91F5E">
      <w:pPr>
        <w:pStyle w:val="AERbodytext"/>
        <w:numPr>
          <w:ilvl w:val="0"/>
          <w:numId w:val="6"/>
        </w:numPr>
      </w:pPr>
      <w:r>
        <w:t>T</w:t>
      </w:r>
      <w:r w:rsidR="009B3F45">
        <w:t>he application guidelines are</w:t>
      </w:r>
      <w:r>
        <w:t xml:space="preserve"> also</w:t>
      </w:r>
      <w:r w:rsidR="009B3F45">
        <w:t xml:space="preserve"> clear in that RIT-D </w:t>
      </w:r>
      <w:r w:rsidR="00334F4E">
        <w:t>proponents</w:t>
      </w:r>
      <w:r w:rsidR="009B3F45">
        <w:t xml:space="preserve"> need to demonstrate that the </w:t>
      </w:r>
      <w:r w:rsidR="009B3F45" w:rsidRPr="00031EC6">
        <w:t xml:space="preserve">discount rate used </w:t>
      </w:r>
      <w:r w:rsidR="009530B9">
        <w:t xml:space="preserve">in RIT-D assessments </w:t>
      </w:r>
      <w:r w:rsidR="009B3F45" w:rsidRPr="00031EC6">
        <w:t>must be consistent with the cash flows being discounted</w:t>
      </w:r>
      <w:r w:rsidR="009530B9">
        <w:t>. Further,</w:t>
      </w:r>
      <w:r w:rsidR="00B4455F">
        <w:t xml:space="preserve"> </w:t>
      </w:r>
      <w:r w:rsidR="009530B9">
        <w:t>RIT-D</w:t>
      </w:r>
      <w:r w:rsidR="009B3F45" w:rsidRPr="00031EC6">
        <w:t xml:space="preserve"> proponents should use the regulatory </w:t>
      </w:r>
      <w:r w:rsidR="00334F4E">
        <w:t>WACC</w:t>
      </w:r>
      <w:r w:rsidR="009B3F45" w:rsidRPr="00031EC6">
        <w:t xml:space="preserve"> as the lower bound</w:t>
      </w:r>
      <w:r w:rsidR="00334F4E">
        <w:t>.</w:t>
      </w:r>
    </w:p>
    <w:p w:rsidR="00E91F5E" w:rsidRDefault="00E91F5E" w:rsidP="00E91F5E">
      <w:pPr>
        <w:pStyle w:val="Heading2"/>
      </w:pPr>
      <w:bookmarkStart w:id="26" w:name="_Toc364940420"/>
      <w:r>
        <w:t>Deemed Values</w:t>
      </w:r>
      <w:bookmarkEnd w:id="26"/>
    </w:p>
    <w:p w:rsidR="00E91F5E" w:rsidRDefault="009B3F45" w:rsidP="00E91F5E">
      <w:pPr>
        <w:pStyle w:val="Heading3"/>
      </w:pPr>
      <w:r>
        <w:t>Final decision</w:t>
      </w:r>
    </w:p>
    <w:p w:rsidR="00E91F5E" w:rsidRDefault="00681A4A" w:rsidP="00E91F5E">
      <w:pPr>
        <w:pStyle w:val="AERbodytext"/>
      </w:pPr>
      <w:r>
        <w:t xml:space="preserve">Our final decision is </w:t>
      </w:r>
      <w:r w:rsidR="00D82368">
        <w:t xml:space="preserve">to </w:t>
      </w:r>
      <w:r>
        <w:t xml:space="preserve">maintain the proposed view set out in the explanatory statement accompanying the draft RIT-D. </w:t>
      </w:r>
      <w:r w:rsidR="0033431D">
        <w:t>We</w:t>
      </w:r>
      <w:r w:rsidR="00315942">
        <w:t xml:space="preserve"> will</w:t>
      </w:r>
      <w:r w:rsidR="00E91F5E" w:rsidRPr="00CB4958">
        <w:t xml:space="preserve"> </w:t>
      </w:r>
      <w:r>
        <w:t xml:space="preserve">not </w:t>
      </w:r>
      <w:r w:rsidR="00E91F5E" w:rsidRPr="00CB4958">
        <w:t>prescribe ranges for sensitivity, because these are likely to change between RIT-Ds.</w:t>
      </w:r>
      <w:r w:rsidR="00E91F5E">
        <w:t xml:space="preserve"> However, the </w:t>
      </w:r>
      <w:r w:rsidR="00315942">
        <w:t>application guidelines s</w:t>
      </w:r>
      <w:r w:rsidR="00E91F5E">
        <w:t>e</w:t>
      </w:r>
      <w:r w:rsidR="00315942">
        <w:t>t out</w:t>
      </w:r>
      <w:r w:rsidR="00E91F5E">
        <w:t xml:space="preserve"> </w:t>
      </w:r>
      <w:proofErr w:type="gramStart"/>
      <w:r w:rsidR="00E91F5E">
        <w:t>that RIT-D proponents</w:t>
      </w:r>
      <w:proofErr w:type="gramEnd"/>
      <w:r w:rsidR="00E91F5E">
        <w:t xml:space="preserve"> </w:t>
      </w:r>
      <w:r w:rsidR="009530B9">
        <w:t xml:space="preserve">should </w:t>
      </w:r>
      <w:r w:rsidR="00E91F5E">
        <w:t xml:space="preserve">use </w:t>
      </w:r>
      <w:r w:rsidR="00315942">
        <w:t xml:space="preserve">a </w:t>
      </w:r>
      <w:r w:rsidR="00E91F5E">
        <w:t xml:space="preserve">value of customer reliability (VCR) </w:t>
      </w:r>
      <w:r w:rsidR="009530B9">
        <w:t xml:space="preserve">in the RIT-D calculations, </w:t>
      </w:r>
      <w:r w:rsidR="00E91F5E">
        <w:t>as prescribed in their respective jurisdiction</w:t>
      </w:r>
      <w:r w:rsidR="009530B9">
        <w:t>.</w:t>
      </w:r>
      <w:r w:rsidR="00E91F5E">
        <w:t xml:space="preserve"> </w:t>
      </w:r>
    </w:p>
    <w:p w:rsidR="00E91F5E" w:rsidRDefault="00E91F5E" w:rsidP="00E91F5E">
      <w:pPr>
        <w:pStyle w:val="Heading3"/>
      </w:pPr>
      <w:r>
        <w:t xml:space="preserve">Reasons for the </w:t>
      </w:r>
      <w:r w:rsidR="009B3F45">
        <w:t>final decision</w:t>
      </w:r>
    </w:p>
    <w:p w:rsidR="00E30336" w:rsidRDefault="00C34F23" w:rsidP="00E30336">
      <w:r>
        <w:t xml:space="preserve">The </w:t>
      </w:r>
      <w:r w:rsidR="00E30336">
        <w:t xml:space="preserve">MEU submitted that the </w:t>
      </w:r>
      <w:r w:rsidR="00066220">
        <w:t xml:space="preserve">application </w:t>
      </w:r>
      <w:r w:rsidR="00E30336">
        <w:t>guideline</w:t>
      </w:r>
      <w:r w:rsidR="00066220">
        <w:t>s</w:t>
      </w:r>
      <w:r w:rsidR="00A35806">
        <w:t xml:space="preserve"> need</w:t>
      </w:r>
      <w:r w:rsidR="00E30336">
        <w:t xml:space="preserve"> to address the inconsistency amongst regions that do not use a VCR.</w:t>
      </w:r>
      <w:r w:rsidR="00E30336">
        <w:rPr>
          <w:rStyle w:val="FootnoteReference"/>
        </w:rPr>
        <w:footnoteReference w:id="39"/>
      </w:r>
    </w:p>
    <w:p w:rsidR="00E30336" w:rsidRPr="00E30336" w:rsidRDefault="00E91F5E" w:rsidP="00E30336">
      <w:pPr>
        <w:pStyle w:val="AERbodytext"/>
      </w:pPr>
      <w:r w:rsidRPr="00E30336">
        <w:t xml:space="preserve">We </w:t>
      </w:r>
      <w:r w:rsidR="00E30336" w:rsidRPr="00E30336">
        <w:t xml:space="preserve">maintain </w:t>
      </w:r>
      <w:r w:rsidRPr="00E30336">
        <w:t xml:space="preserve">that RIT-D proponents should base the VCR on a reputable source, such as estimates made by AEMO or the AEMC. The RIT-D retains a flexible view on the calculation of the VCR, as it needs to account for any possible changes to the reliability framework. </w:t>
      </w:r>
      <w:r w:rsidR="00E30336" w:rsidRPr="00E30336">
        <w:t>Further, we do not want to lock NSPs into using a value that may change in the future.</w:t>
      </w:r>
    </w:p>
    <w:p w:rsidR="00E91F5E" w:rsidRPr="001C43AD" w:rsidRDefault="00E91F5E" w:rsidP="00E91F5E">
      <w:pPr>
        <w:pStyle w:val="Heading2"/>
      </w:pPr>
      <w:bookmarkStart w:id="27" w:name="_Toc364940421"/>
      <w:r w:rsidRPr="001C43AD">
        <w:t>Guidance on stakeholder consultation</w:t>
      </w:r>
      <w:bookmarkEnd w:id="27"/>
    </w:p>
    <w:p w:rsidR="004B41CD" w:rsidRDefault="00E91F5E" w:rsidP="00E91F5E">
      <w:pPr>
        <w:pStyle w:val="AERbodytext"/>
      </w:pPr>
      <w:r w:rsidRPr="001D4151">
        <w:t xml:space="preserve">A RIT-D proponent must consult with the following persons on the RIT-D project: </w:t>
      </w:r>
    </w:p>
    <w:p w:rsidR="004B41CD" w:rsidRDefault="00E91F5E" w:rsidP="00417585">
      <w:pPr>
        <w:pStyle w:val="AERbulletlistfirststyle"/>
        <w:ind w:left="357" w:hanging="357"/>
      </w:pPr>
      <w:r w:rsidRPr="001D4151">
        <w:t>all Registered Participants</w:t>
      </w:r>
    </w:p>
    <w:p w:rsidR="004B41CD" w:rsidRDefault="00E91F5E" w:rsidP="00417585">
      <w:pPr>
        <w:pStyle w:val="AERbulletlistfirststyle"/>
        <w:ind w:left="357" w:hanging="357"/>
      </w:pPr>
      <w:r w:rsidRPr="001D4151">
        <w:t>AEMO</w:t>
      </w:r>
    </w:p>
    <w:p w:rsidR="004B41CD" w:rsidRDefault="00E91F5E" w:rsidP="00417585">
      <w:pPr>
        <w:pStyle w:val="AERbulletlistfirststyle"/>
        <w:ind w:left="357" w:hanging="357"/>
      </w:pPr>
      <w:r w:rsidRPr="001D4151">
        <w:t>interested parties</w:t>
      </w:r>
    </w:p>
    <w:p w:rsidR="004B41CD" w:rsidRDefault="00E91F5E" w:rsidP="00417585">
      <w:pPr>
        <w:pStyle w:val="AERbulletlistfirststyle"/>
        <w:ind w:left="357" w:hanging="357"/>
      </w:pPr>
      <w:r w:rsidRPr="001D4151">
        <w:t xml:space="preserve">non-network providers and </w:t>
      </w:r>
    </w:p>
    <w:p w:rsidR="00417585" w:rsidRDefault="00417585" w:rsidP="00417585">
      <w:pPr>
        <w:pStyle w:val="AERbulletlistfirststyle"/>
        <w:numPr>
          <w:ilvl w:val="0"/>
          <w:numId w:val="0"/>
        </w:numPr>
      </w:pPr>
      <w:r>
        <w:t>I</w:t>
      </w:r>
      <w:r w:rsidR="00E91F5E" w:rsidRPr="001D4151">
        <w:t>f the RIT-D proponent is a DNSP</w:t>
      </w:r>
      <w:r>
        <w:t>:</w:t>
      </w:r>
    </w:p>
    <w:p w:rsidR="00A35806" w:rsidRDefault="00A35806" w:rsidP="00A35806">
      <w:pPr>
        <w:pStyle w:val="AERbulletlistfirststyle"/>
        <w:ind w:left="357" w:hanging="357"/>
      </w:pPr>
      <w:proofErr w:type="gramStart"/>
      <w:r>
        <w:t>persons</w:t>
      </w:r>
      <w:proofErr w:type="gramEnd"/>
      <w:r>
        <w:t xml:space="preserve"> registered on its demand side engagement register (DSER).</w:t>
      </w:r>
      <w:r w:rsidRPr="00A35806">
        <w:rPr>
          <w:rStyle w:val="FootnoteReference"/>
        </w:rPr>
        <w:t xml:space="preserve"> </w:t>
      </w:r>
      <w:r>
        <w:rPr>
          <w:rStyle w:val="FootnoteReference"/>
        </w:rPr>
        <w:footnoteReference w:id="40"/>
      </w:r>
      <w:r w:rsidRPr="001D4151">
        <w:t xml:space="preserve"> </w:t>
      </w:r>
    </w:p>
    <w:p w:rsidR="00E91F5E" w:rsidRPr="001D4151" w:rsidRDefault="001C43AD" w:rsidP="00E91F5E">
      <w:pPr>
        <w:pStyle w:val="Heading3"/>
      </w:pPr>
      <w:r w:rsidRPr="001D4151">
        <w:t>Final decision</w:t>
      </w:r>
    </w:p>
    <w:p w:rsidR="00E91F5E" w:rsidRPr="001D4151" w:rsidRDefault="00E91F5E" w:rsidP="00E91F5E">
      <w:pPr>
        <w:pStyle w:val="AERbodytext"/>
        <w:numPr>
          <w:ilvl w:val="0"/>
          <w:numId w:val="6"/>
        </w:numPr>
      </w:pPr>
      <w:r w:rsidRPr="001D4151">
        <w:t xml:space="preserve">We </w:t>
      </w:r>
      <w:r w:rsidR="005602B9">
        <w:t>have</w:t>
      </w:r>
      <w:r w:rsidR="005602B9" w:rsidRPr="001D4151">
        <w:t xml:space="preserve"> </w:t>
      </w:r>
      <w:r w:rsidRPr="001D4151">
        <w:t>not include</w:t>
      </w:r>
      <w:r w:rsidR="005602B9">
        <w:t>d</w:t>
      </w:r>
      <w:r w:rsidRPr="001D4151">
        <w:t xml:space="preserve"> specific guidance on stakeholder consultation because the NER provides detailed </w:t>
      </w:r>
      <w:r w:rsidR="008776E3">
        <w:t>direction</w:t>
      </w:r>
      <w:r w:rsidR="008776E3" w:rsidRPr="001D4151">
        <w:t xml:space="preserve"> </w:t>
      </w:r>
      <w:r w:rsidRPr="001D4151">
        <w:t>on this issue. Clause 5.17.4(a) of the NER specifies:</w:t>
      </w:r>
    </w:p>
    <w:p w:rsidR="00E91F5E" w:rsidRPr="001D4151" w:rsidRDefault="00E91F5E" w:rsidP="00E91F5E">
      <w:pPr>
        <w:pStyle w:val="AERquote"/>
      </w:pPr>
      <w:r w:rsidRPr="001D4151">
        <w:t>If a RIT-D project is subject to the regulatory investment test for distribution under clause 5.17.3, then the RIT-D proponent must consult with the following persons on the RIT-D project in accordance with this clause 5.17.4:</w:t>
      </w:r>
    </w:p>
    <w:p w:rsidR="00E91F5E" w:rsidRPr="001D4151" w:rsidRDefault="00E91F5E" w:rsidP="00E91F5E">
      <w:pPr>
        <w:pStyle w:val="AERquoteindent1"/>
      </w:pPr>
      <w:r w:rsidRPr="001D4151">
        <w:t>(1)</w:t>
      </w:r>
      <w:r w:rsidRPr="001D4151">
        <w:tab/>
      </w:r>
      <w:proofErr w:type="gramStart"/>
      <w:r w:rsidRPr="001D4151">
        <w:t>all</w:t>
      </w:r>
      <w:proofErr w:type="gramEnd"/>
      <w:r w:rsidRPr="001D4151">
        <w:t xml:space="preserve"> Registered Participants, AEMO, interested parties and non-network providers; and</w:t>
      </w:r>
    </w:p>
    <w:p w:rsidR="00E91F5E" w:rsidRPr="001D4151" w:rsidRDefault="00E91F5E" w:rsidP="00E91F5E">
      <w:pPr>
        <w:pStyle w:val="AERquoteindent1"/>
      </w:pPr>
      <w:r w:rsidRPr="001D4151">
        <w:t>(2)</w:t>
      </w:r>
      <w:r w:rsidRPr="001D4151">
        <w:tab/>
      </w:r>
      <w:proofErr w:type="gramStart"/>
      <w:r w:rsidRPr="001D4151">
        <w:t>if</w:t>
      </w:r>
      <w:proofErr w:type="gramEnd"/>
      <w:r w:rsidRPr="001D4151">
        <w:t xml:space="preserve"> the RIT-D proponent is a Distribution Network Service Provider, persons registered on its demand side engagement register.</w:t>
      </w:r>
    </w:p>
    <w:p w:rsidR="00E91F5E" w:rsidRPr="0032356F" w:rsidRDefault="00E91F5E" w:rsidP="00E91F5E">
      <w:pPr>
        <w:pStyle w:val="Heading3"/>
      </w:pPr>
      <w:r w:rsidRPr="0032356F">
        <w:t xml:space="preserve">Reasons for </w:t>
      </w:r>
      <w:r w:rsidR="001D4151" w:rsidRPr="0032356F">
        <w:t>the final decision</w:t>
      </w:r>
    </w:p>
    <w:p w:rsidR="00E91F5E" w:rsidRPr="0032356F" w:rsidRDefault="00E91F5E" w:rsidP="00E91F5E">
      <w:pPr>
        <w:pStyle w:val="AERbodytext"/>
        <w:numPr>
          <w:ilvl w:val="0"/>
          <w:numId w:val="6"/>
        </w:numPr>
        <w:rPr>
          <w:rStyle w:val="AERbody"/>
        </w:rPr>
      </w:pPr>
      <w:r w:rsidRPr="0032356F">
        <w:t>We consider that RIT-D proponents are</w:t>
      </w:r>
      <w:r w:rsidR="00A35806">
        <w:t xml:space="preserve"> able to maintain a register of</w:t>
      </w:r>
      <w:r w:rsidRPr="0032356F">
        <w:t xml:space="preserve"> interested parties as required by cl. 5.17.4(a) of the NER.</w:t>
      </w:r>
    </w:p>
    <w:p w:rsidR="00166AF5" w:rsidRDefault="0032356F" w:rsidP="00166AF5">
      <w:pPr>
        <w:pStyle w:val="AERbodytext"/>
        <w:rPr>
          <w:lang w:val="en-US"/>
        </w:rPr>
      </w:pPr>
      <w:r w:rsidRPr="0032356F">
        <w:t xml:space="preserve">The MEU </w:t>
      </w:r>
      <w:r w:rsidR="004225BA">
        <w:t xml:space="preserve">submitted that </w:t>
      </w:r>
      <w:r w:rsidRPr="0032356F">
        <w:t xml:space="preserve">unless the </w:t>
      </w:r>
      <w:r w:rsidR="00166AF5">
        <w:t>DSER</w:t>
      </w:r>
      <w:r w:rsidRPr="0032356F">
        <w:t xml:space="preserve"> is wide reaching, it will be easy for </w:t>
      </w:r>
      <w:r w:rsidR="004225BA">
        <w:t>businesses</w:t>
      </w:r>
      <w:r w:rsidR="004225BA" w:rsidRPr="0032356F">
        <w:t xml:space="preserve"> </w:t>
      </w:r>
      <w:r w:rsidRPr="0032356F">
        <w:t xml:space="preserve">to overlook potential </w:t>
      </w:r>
      <w:r w:rsidR="004225BA">
        <w:t>demand side reduction</w:t>
      </w:r>
      <w:r w:rsidR="004225BA" w:rsidRPr="0032356F">
        <w:t xml:space="preserve"> </w:t>
      </w:r>
      <w:r w:rsidRPr="0032356F">
        <w:t>options on the basis that the register was insufficient for the purpose. The</w:t>
      </w:r>
      <w:r w:rsidR="0033431D">
        <w:t xml:space="preserve"> MEU</w:t>
      </w:r>
      <w:r w:rsidR="004225BA">
        <w:t xml:space="preserve"> further submitted that the</w:t>
      </w:r>
      <w:r w:rsidRPr="0032356F">
        <w:t xml:space="preserve"> AER needs to ensure that the </w:t>
      </w:r>
      <w:r w:rsidR="00166AF5">
        <w:t>DSER</w:t>
      </w:r>
      <w:r w:rsidR="00166AF5" w:rsidRPr="0032356F">
        <w:t xml:space="preserve"> </w:t>
      </w:r>
      <w:r w:rsidRPr="0032356F">
        <w:t>is comprehensive</w:t>
      </w:r>
      <w:r w:rsidR="004225BA">
        <w:t>.</w:t>
      </w:r>
      <w:r w:rsidR="004225BA">
        <w:rPr>
          <w:rStyle w:val="FootnoteReference"/>
        </w:rPr>
        <w:footnoteReference w:id="41"/>
      </w:r>
      <w:r w:rsidRPr="0032356F">
        <w:t xml:space="preserve"> </w:t>
      </w:r>
      <w:r w:rsidR="00166AF5">
        <w:t xml:space="preserve">The Victorian DNSPs </w:t>
      </w:r>
      <w:r w:rsidR="00166AF5">
        <w:rPr>
          <w:lang w:val="en-US"/>
        </w:rPr>
        <w:t>submitted that they generall</w:t>
      </w:r>
      <w:r w:rsidR="00166AF5" w:rsidRPr="00181E24">
        <w:rPr>
          <w:lang w:val="en-US"/>
        </w:rPr>
        <w:t xml:space="preserve">y do not have sufficient information to identify all relevant parties to be included in a </w:t>
      </w:r>
      <w:r w:rsidR="0011401D">
        <w:rPr>
          <w:lang w:val="en-US"/>
        </w:rPr>
        <w:t>DSER</w:t>
      </w:r>
      <w:r w:rsidR="00166AF5">
        <w:rPr>
          <w:lang w:val="en-US"/>
        </w:rPr>
        <w:t>.</w:t>
      </w:r>
      <w:r w:rsidR="0011401D">
        <w:rPr>
          <w:rStyle w:val="FootnoteReference"/>
          <w:lang w:val="en-US"/>
        </w:rPr>
        <w:footnoteReference w:id="42"/>
      </w:r>
      <w:r w:rsidR="0011401D">
        <w:rPr>
          <w:lang w:val="en-US"/>
        </w:rPr>
        <w:t xml:space="preserve"> </w:t>
      </w:r>
      <w:r w:rsidR="00166AF5">
        <w:rPr>
          <w:lang w:val="en-US"/>
        </w:rPr>
        <w:t xml:space="preserve">TEC submitted </w:t>
      </w:r>
      <w:r w:rsidR="0011401D">
        <w:rPr>
          <w:lang w:val="en-US"/>
        </w:rPr>
        <w:t xml:space="preserve">that </w:t>
      </w:r>
      <w:r w:rsidR="00166AF5" w:rsidRPr="00181E24">
        <w:rPr>
          <w:lang w:val="en-US"/>
        </w:rPr>
        <w:t>the</w:t>
      </w:r>
      <w:r w:rsidR="0011401D">
        <w:rPr>
          <w:lang w:val="en-US"/>
        </w:rPr>
        <w:t>re is an</w:t>
      </w:r>
      <w:r w:rsidR="00166AF5" w:rsidRPr="00181E24">
        <w:rPr>
          <w:lang w:val="en-US"/>
        </w:rPr>
        <w:t xml:space="preserve"> absence of any formal process for a DNSP to compile and regularly update its </w:t>
      </w:r>
      <w:r w:rsidR="0011401D">
        <w:rPr>
          <w:lang w:val="en-US"/>
        </w:rPr>
        <w:t>DSER</w:t>
      </w:r>
      <w:r w:rsidR="00166AF5" w:rsidRPr="00181E24">
        <w:rPr>
          <w:lang w:val="en-US"/>
        </w:rPr>
        <w:t xml:space="preserve">. </w:t>
      </w:r>
      <w:r w:rsidR="009C7DEC">
        <w:rPr>
          <w:lang w:val="en-US"/>
        </w:rPr>
        <w:t xml:space="preserve">The </w:t>
      </w:r>
      <w:r w:rsidR="008776E3">
        <w:rPr>
          <w:lang w:val="en-US"/>
        </w:rPr>
        <w:t xml:space="preserve">TEC </w:t>
      </w:r>
      <w:r w:rsidR="0011401D">
        <w:rPr>
          <w:lang w:val="en-US"/>
        </w:rPr>
        <w:t>further submitted that there is an</w:t>
      </w:r>
      <w:r w:rsidR="0011401D" w:rsidRPr="00181E24">
        <w:rPr>
          <w:lang w:val="en-US"/>
        </w:rPr>
        <w:t xml:space="preserve"> absence of any explicit requirement for a DNSP to consult with parties on its </w:t>
      </w:r>
      <w:r w:rsidR="0011401D">
        <w:rPr>
          <w:lang w:val="en-US"/>
        </w:rPr>
        <w:t xml:space="preserve">DSER </w:t>
      </w:r>
      <w:r w:rsidR="0011401D" w:rsidRPr="00181E24">
        <w:rPr>
          <w:lang w:val="en-US"/>
        </w:rPr>
        <w:t xml:space="preserve">before compiling </w:t>
      </w:r>
      <w:r w:rsidR="0011401D">
        <w:rPr>
          <w:lang w:val="en-US"/>
        </w:rPr>
        <w:t>its non-network options report.</w:t>
      </w:r>
      <w:r w:rsidR="0011401D">
        <w:rPr>
          <w:rStyle w:val="FootnoteReference"/>
          <w:lang w:val="en-US"/>
        </w:rPr>
        <w:footnoteReference w:id="43"/>
      </w:r>
    </w:p>
    <w:p w:rsidR="00D85A43" w:rsidRDefault="00D85A43" w:rsidP="00D85A43">
      <w:pPr>
        <w:pStyle w:val="AERbodytext"/>
        <w:numPr>
          <w:ilvl w:val="0"/>
          <w:numId w:val="6"/>
        </w:numPr>
      </w:pPr>
      <w:r w:rsidRPr="004225BA">
        <w:t xml:space="preserve">We are of the view that RIT-D proponents are able to maintain their own </w:t>
      </w:r>
      <w:r w:rsidR="00C429AF">
        <w:t>demand side</w:t>
      </w:r>
      <w:r w:rsidRPr="004225BA">
        <w:t xml:space="preserve"> contact registers. </w:t>
      </w:r>
      <w:r w:rsidR="00AF0849">
        <w:t>As submitted by SA Power Networks, t</w:t>
      </w:r>
      <w:r w:rsidRPr="004225BA">
        <w:t xml:space="preserve">his will be achieved by keeping </w:t>
      </w:r>
      <w:r w:rsidR="008776E3">
        <w:t xml:space="preserve">their </w:t>
      </w:r>
      <w:r w:rsidR="00A35806">
        <w:t>websit</w:t>
      </w:r>
      <w:r w:rsidR="00AF0849">
        <w:t>es</w:t>
      </w:r>
      <w:r w:rsidR="00A35806">
        <w:t xml:space="preserve"> up-to-date with well-</w:t>
      </w:r>
      <w:r w:rsidRPr="004225BA">
        <w:t xml:space="preserve">targeted information about the </w:t>
      </w:r>
      <w:r>
        <w:t>DSER</w:t>
      </w:r>
      <w:r w:rsidRPr="004225BA">
        <w:t>.</w:t>
      </w:r>
      <w:r w:rsidR="00AF0849" w:rsidRPr="00AF0849">
        <w:rPr>
          <w:rStyle w:val="FootnoteReference"/>
        </w:rPr>
        <w:t xml:space="preserve"> </w:t>
      </w:r>
      <w:r w:rsidR="00AF0849">
        <w:rPr>
          <w:rStyle w:val="FootnoteReference"/>
        </w:rPr>
        <w:footnoteReference w:id="44"/>
      </w:r>
      <w:r w:rsidR="00AF0849">
        <w:t xml:space="preserve"> </w:t>
      </w:r>
      <w:r w:rsidR="008776E3">
        <w:t>Business’ w</w:t>
      </w:r>
      <w:r w:rsidRPr="004225BA">
        <w:t>ebsite</w:t>
      </w:r>
      <w:r w:rsidR="00AF0849">
        <w:t>s</w:t>
      </w:r>
      <w:r w:rsidRPr="004225BA">
        <w:t xml:space="preserve"> should </w:t>
      </w:r>
      <w:r w:rsidR="00AF0849">
        <w:t xml:space="preserve">also </w:t>
      </w:r>
      <w:r w:rsidRPr="004225BA">
        <w:t xml:space="preserve">clearly explain how </w:t>
      </w:r>
      <w:r w:rsidR="00C429AF">
        <w:t>demand side</w:t>
      </w:r>
      <w:r w:rsidRPr="004225BA">
        <w:t xml:space="preserve"> participants can have their contact details included on the </w:t>
      </w:r>
      <w:r w:rsidR="001375E5">
        <w:t>DSER</w:t>
      </w:r>
      <w:r w:rsidRPr="004225BA">
        <w:t>.</w:t>
      </w:r>
    </w:p>
    <w:p w:rsidR="001375E5" w:rsidRPr="00C34771" w:rsidRDefault="005629FF" w:rsidP="00C34771">
      <w:pPr>
        <w:pStyle w:val="AERbodytext"/>
        <w:numPr>
          <w:ilvl w:val="0"/>
          <w:numId w:val="6"/>
        </w:numPr>
        <w:rPr>
          <w:highlight w:val="yellow"/>
        </w:rPr>
      </w:pPr>
      <w:r>
        <w:t>T</w:t>
      </w:r>
      <w:r w:rsidR="001375E5" w:rsidRPr="001375E5">
        <w:t>he</w:t>
      </w:r>
      <w:r w:rsidR="001375E5">
        <w:t xml:space="preserve"> Framework requires DNSPs to develop a demand side engagement strategy. The engagement strategy will detail a DNSP's processes and procedures for assessing non-network options as alternatives to network expenditure and interacting with non-network providers.</w:t>
      </w:r>
      <w:r w:rsidR="001375E5" w:rsidRPr="008E7FC8">
        <w:rPr>
          <w:vertAlign w:val="superscript"/>
        </w:rPr>
        <w:footnoteReference w:id="45"/>
      </w:r>
      <w:r w:rsidR="001375E5">
        <w:t xml:space="preserve"> </w:t>
      </w:r>
      <w:r w:rsidR="00C34771">
        <w:t>T</w:t>
      </w:r>
      <w:r w:rsidR="001375E5">
        <w:t xml:space="preserve">he Framework </w:t>
      </w:r>
      <w:r w:rsidR="008776E3">
        <w:t xml:space="preserve">also </w:t>
      </w:r>
      <w:r w:rsidR="001375E5">
        <w:t>require</w:t>
      </w:r>
      <w:r w:rsidR="004E0D5F">
        <w:t>s</w:t>
      </w:r>
      <w:r w:rsidR="001375E5">
        <w:t xml:space="preserve"> DNSPs take a more</w:t>
      </w:r>
      <w:r w:rsidR="00C34771">
        <w:t xml:space="preserve"> active participation in </w:t>
      </w:r>
      <w:r w:rsidR="00C429AF">
        <w:t>demand side</w:t>
      </w:r>
      <w:r w:rsidR="001375E5">
        <w:t xml:space="preserve"> </w:t>
      </w:r>
      <w:r w:rsidR="00C34771">
        <w:t>engagement;</w:t>
      </w:r>
      <w:r w:rsidR="001375E5">
        <w:t xml:space="preserve"> </w:t>
      </w:r>
      <w:r w:rsidR="004E0D5F">
        <w:t xml:space="preserve">therefore </w:t>
      </w:r>
      <w:r w:rsidR="001375E5">
        <w:t xml:space="preserve">DNSPs will need to acquire expertise to undertake these assessments. </w:t>
      </w:r>
    </w:p>
    <w:p w:rsidR="00E91F5E" w:rsidRPr="00FE22E2" w:rsidRDefault="00E91F5E" w:rsidP="00E91F5E">
      <w:pPr>
        <w:pStyle w:val="Heading2"/>
      </w:pPr>
      <w:bookmarkStart w:id="28" w:name="_Toc364940422"/>
      <w:r w:rsidRPr="00FE22E2">
        <w:t>Clause 5.17.4(d) notices and screening for non-network options</w:t>
      </w:r>
      <w:bookmarkEnd w:id="28"/>
    </w:p>
    <w:p w:rsidR="00E91F5E" w:rsidRPr="00FE22E2" w:rsidRDefault="00E91F5E" w:rsidP="00E91F5E">
      <w:pPr>
        <w:pStyle w:val="AERbodytext"/>
        <w:numPr>
          <w:ilvl w:val="0"/>
          <w:numId w:val="0"/>
        </w:numPr>
      </w:pPr>
      <w:r w:rsidRPr="00FE22E2">
        <w:t>Clause 5.17.4(d) of the NER sets out that a RIT-D proponent make a determination and publish a notice</w:t>
      </w:r>
      <w:r w:rsidR="0033431D">
        <w:t xml:space="preserve"> </w:t>
      </w:r>
      <w:r w:rsidR="0033431D" w:rsidRPr="00FE22E2">
        <w:t>(Notice)</w:t>
      </w:r>
      <w:r w:rsidR="0033431D">
        <w:t xml:space="preserve"> </w:t>
      </w:r>
      <w:r w:rsidRPr="00FE22E2">
        <w:t xml:space="preserve">setting out the reasons for its determination, including any methodologies and assumptions used in making its determination. </w:t>
      </w:r>
    </w:p>
    <w:p w:rsidR="00E91F5E" w:rsidRPr="00FE22E2" w:rsidRDefault="0062043D" w:rsidP="00E91F5E">
      <w:pPr>
        <w:pStyle w:val="Heading3"/>
      </w:pPr>
      <w:r w:rsidRPr="00FE22E2">
        <w:t xml:space="preserve">Final decision </w:t>
      </w:r>
    </w:p>
    <w:p w:rsidR="00E91F5E" w:rsidRPr="00FE22E2" w:rsidRDefault="00E91F5E" w:rsidP="00E91F5E">
      <w:pPr>
        <w:pStyle w:val="AERbodytext"/>
        <w:numPr>
          <w:ilvl w:val="0"/>
          <w:numId w:val="6"/>
        </w:numPr>
        <w:rPr>
          <w:rStyle w:val="AERbody"/>
        </w:rPr>
      </w:pPr>
      <w:r w:rsidRPr="00FE22E2">
        <w:t xml:space="preserve">We </w:t>
      </w:r>
      <w:r w:rsidR="00FE22E2">
        <w:t xml:space="preserve">maintain that </w:t>
      </w:r>
      <w:r w:rsidRPr="00FE22E2">
        <w:t xml:space="preserve">a </w:t>
      </w:r>
      <w:r w:rsidR="00FE22E2">
        <w:t>cl. </w:t>
      </w:r>
      <w:r w:rsidRPr="00FE22E2">
        <w:t xml:space="preserve">5.17.4(d) Notice as required under cl. 5.17.4(d) of the NER and the </w:t>
      </w:r>
      <w:r w:rsidR="00FE22E2">
        <w:t>DPAR,</w:t>
      </w:r>
      <w:r w:rsidRPr="00FE22E2">
        <w:t xml:space="preserve"> required under cl. 5.17.4(i) of the NER are separate documents. They should not be used interchangeably. </w:t>
      </w:r>
    </w:p>
    <w:p w:rsidR="00E91F5E" w:rsidRPr="00FE22E2" w:rsidRDefault="00E91F5E" w:rsidP="00E91F5E">
      <w:pPr>
        <w:pStyle w:val="Heading3"/>
      </w:pPr>
      <w:r w:rsidRPr="00FE22E2">
        <w:t xml:space="preserve">Reasons for </w:t>
      </w:r>
      <w:r w:rsidR="0062043D" w:rsidRPr="00FE22E2">
        <w:t xml:space="preserve">the </w:t>
      </w:r>
      <w:r w:rsidR="00FE22E2">
        <w:t>f</w:t>
      </w:r>
      <w:r w:rsidR="0062043D" w:rsidRPr="00FE22E2">
        <w:t xml:space="preserve">inal decision </w:t>
      </w:r>
    </w:p>
    <w:p w:rsidR="00FE22E2" w:rsidRPr="00FE22E2" w:rsidRDefault="00FE22E2" w:rsidP="00FE22E2">
      <w:pPr>
        <w:pStyle w:val="AERbodytext"/>
        <w:numPr>
          <w:ilvl w:val="0"/>
          <w:numId w:val="6"/>
        </w:numPr>
        <w:rPr>
          <w:rStyle w:val="AERbody"/>
          <w:highlight w:val="yellow"/>
        </w:rPr>
      </w:pPr>
      <w:r w:rsidRPr="00FE22E2">
        <w:rPr>
          <w:rStyle w:val="AERbody"/>
        </w:rPr>
        <w:t>Victorian DNSPs</w:t>
      </w:r>
      <w:r>
        <w:rPr>
          <w:rStyle w:val="AERbody"/>
        </w:rPr>
        <w:t xml:space="preserve"> submitted that </w:t>
      </w:r>
      <w:r w:rsidR="00AB02FF">
        <w:rPr>
          <w:rStyle w:val="AERbody"/>
        </w:rPr>
        <w:t xml:space="preserve">a </w:t>
      </w:r>
      <w:r>
        <w:rPr>
          <w:rStyle w:val="AERbody"/>
        </w:rPr>
        <w:t>cl. 5.17.4(d) Notice</w:t>
      </w:r>
      <w:r w:rsidRPr="00FE22E2">
        <w:rPr>
          <w:rStyle w:val="AERbody"/>
        </w:rPr>
        <w:t xml:space="preserve"> should include load interruption agreements with c</w:t>
      </w:r>
      <w:r>
        <w:rPr>
          <w:rStyle w:val="AERbody"/>
        </w:rPr>
        <w:t>onsumer</w:t>
      </w:r>
      <w:r w:rsidRPr="00FE22E2">
        <w:rPr>
          <w:rStyle w:val="AERbody"/>
        </w:rPr>
        <w:t>s.</w:t>
      </w:r>
      <w:r>
        <w:rPr>
          <w:rStyle w:val="FootnoteReference"/>
        </w:rPr>
        <w:footnoteReference w:id="46"/>
      </w:r>
    </w:p>
    <w:p w:rsidR="00FE22E2" w:rsidRDefault="00BD589C" w:rsidP="00FE22E2">
      <w:pPr>
        <w:pStyle w:val="AERbodytext"/>
        <w:numPr>
          <w:ilvl w:val="0"/>
          <w:numId w:val="6"/>
        </w:numPr>
        <w:rPr>
          <w:rStyle w:val="AERbody"/>
        </w:rPr>
      </w:pPr>
      <w:r>
        <w:rPr>
          <w:rStyle w:val="AERbody"/>
        </w:rPr>
        <w:t>T</w:t>
      </w:r>
      <w:r w:rsidR="00C34F23">
        <w:rPr>
          <w:rStyle w:val="AERbody"/>
        </w:rPr>
        <w:t xml:space="preserve">he </w:t>
      </w:r>
      <w:r w:rsidR="00FE22E2">
        <w:rPr>
          <w:rStyle w:val="AERbody"/>
        </w:rPr>
        <w:t xml:space="preserve">list </w:t>
      </w:r>
      <w:r w:rsidR="004E0D5F">
        <w:t>of</w:t>
      </w:r>
      <w:r w:rsidR="004E0D5F" w:rsidRPr="00086CAB">
        <w:t xml:space="preserve"> </w:t>
      </w:r>
      <w:r w:rsidR="004E0D5F">
        <w:t>reasons for non-network options</w:t>
      </w:r>
      <w:r w:rsidR="004E0D5F">
        <w:rPr>
          <w:rStyle w:val="AERbody"/>
        </w:rPr>
        <w:t xml:space="preserve"> </w:t>
      </w:r>
      <w:r w:rsidR="00FE22E2">
        <w:rPr>
          <w:rStyle w:val="AERbody"/>
        </w:rPr>
        <w:t xml:space="preserve">set out in the application guidelines </w:t>
      </w:r>
      <w:r w:rsidR="002A77E7">
        <w:rPr>
          <w:rStyle w:val="AERbody"/>
        </w:rPr>
        <w:t>is</w:t>
      </w:r>
      <w:r w:rsidR="00FE22E2">
        <w:rPr>
          <w:rStyle w:val="AERbody"/>
        </w:rPr>
        <w:t xml:space="preserve"> not exhaustive</w:t>
      </w:r>
      <w:r w:rsidR="00C34F23">
        <w:rPr>
          <w:rStyle w:val="AERbody"/>
        </w:rPr>
        <w:t>.</w:t>
      </w:r>
      <w:r w:rsidR="004E0D5F">
        <w:rPr>
          <w:rStyle w:val="FootnoteReference"/>
        </w:rPr>
        <w:footnoteReference w:id="47"/>
      </w:r>
      <w:r w:rsidR="00C34F23">
        <w:rPr>
          <w:rStyle w:val="AERbody"/>
        </w:rPr>
        <w:t xml:space="preserve"> T</w:t>
      </w:r>
      <w:r w:rsidR="00FE22E2">
        <w:rPr>
          <w:rStyle w:val="AERbody"/>
        </w:rPr>
        <w:t>herefore</w:t>
      </w:r>
      <w:r w:rsidR="00C34F23">
        <w:rPr>
          <w:rStyle w:val="AERbody"/>
        </w:rPr>
        <w:t>, it</w:t>
      </w:r>
      <w:r w:rsidR="00FE22E2">
        <w:rPr>
          <w:rStyle w:val="AERbody"/>
        </w:rPr>
        <w:t xml:space="preserve"> does not preclude other non-network options such as load interruption agreements. </w:t>
      </w:r>
    </w:p>
    <w:p w:rsidR="00E91F5E" w:rsidRDefault="00E91F5E" w:rsidP="00E91F5E">
      <w:pPr>
        <w:pStyle w:val="Heading2"/>
      </w:pPr>
      <w:bookmarkStart w:id="29" w:name="_Toc364940423"/>
      <w:r>
        <w:t>Guidance on the l</w:t>
      </w:r>
      <w:r w:rsidRPr="00A442E2">
        <w:t>ead party in joint planning</w:t>
      </w:r>
      <w:bookmarkEnd w:id="29"/>
    </w:p>
    <w:p w:rsidR="00E76AA1" w:rsidRPr="00E76AA1" w:rsidRDefault="00E76AA1" w:rsidP="00BA4B5D">
      <w:pPr>
        <w:pStyle w:val="AERbodytext"/>
        <w:numPr>
          <w:ilvl w:val="0"/>
          <w:numId w:val="0"/>
        </w:numPr>
      </w:pPr>
      <w:r>
        <w:t xml:space="preserve">DNSPs may need to address network limitations identified as a result of joint planning, under clause </w:t>
      </w:r>
      <w:r w:rsidRPr="00F80457">
        <w:t>5.14.1</w:t>
      </w:r>
      <w:r>
        <w:t>(a) of the NER, with the relevant TNSP.</w:t>
      </w:r>
    </w:p>
    <w:p w:rsidR="00E91F5E" w:rsidRPr="0041135E" w:rsidRDefault="0062043D" w:rsidP="00E91F5E">
      <w:pPr>
        <w:pStyle w:val="Heading3"/>
      </w:pPr>
      <w:r>
        <w:t xml:space="preserve">Final decision </w:t>
      </w:r>
    </w:p>
    <w:p w:rsidR="00E91F5E" w:rsidRDefault="00E91F5E" w:rsidP="00E91F5E">
      <w:r>
        <w:t xml:space="preserve">The application guidelines do not specify who should be the lead party in joint planning RIT-D projects. </w:t>
      </w:r>
    </w:p>
    <w:p w:rsidR="00E91F5E" w:rsidRDefault="00E91F5E" w:rsidP="00E91F5E">
      <w:pPr>
        <w:pStyle w:val="Heading3"/>
      </w:pPr>
      <w:r>
        <w:t xml:space="preserve">Reasons for </w:t>
      </w:r>
      <w:r w:rsidR="007D66C6">
        <w:t xml:space="preserve">the </w:t>
      </w:r>
      <w:r w:rsidR="0062043D">
        <w:t xml:space="preserve">Final decision </w:t>
      </w:r>
    </w:p>
    <w:p w:rsidR="007D66C6" w:rsidRDefault="00E91F5E" w:rsidP="007D66C6">
      <w:r>
        <w:t xml:space="preserve">We do not consider it appropriate for </w:t>
      </w:r>
      <w:r w:rsidR="001A2B99">
        <w:t xml:space="preserve">the </w:t>
      </w:r>
      <w:r>
        <w:t>application guidelines to</w:t>
      </w:r>
      <w:r w:rsidRPr="006D17ED">
        <w:t xml:space="preserve"> </w:t>
      </w:r>
      <w:r>
        <w:t xml:space="preserve">provide </w:t>
      </w:r>
      <w:r w:rsidR="004E0D5F">
        <w:t>guidance</w:t>
      </w:r>
      <w:r w:rsidR="004E0D5F" w:rsidRPr="006D17ED">
        <w:t xml:space="preserve"> </w:t>
      </w:r>
      <w:r w:rsidRPr="006D17ED">
        <w:t xml:space="preserve">on </w:t>
      </w:r>
      <w:r>
        <w:t xml:space="preserve">who should be the lead party in joint planning RIT-D projects. </w:t>
      </w:r>
      <w:r w:rsidR="007D66C6">
        <w:t xml:space="preserve">Submissions made by </w:t>
      </w:r>
      <w:r w:rsidR="00C34F23">
        <w:t xml:space="preserve">the </w:t>
      </w:r>
      <w:r w:rsidR="007D66C6">
        <w:t>MEU on the draft RIT-D supports the approach set out in the draft application guidelines.</w:t>
      </w:r>
      <w:r w:rsidR="007D66C6">
        <w:rPr>
          <w:rStyle w:val="FootnoteReference"/>
        </w:rPr>
        <w:footnoteReference w:id="48"/>
      </w:r>
      <w:r w:rsidR="007D66C6">
        <w:t xml:space="preserve">  </w:t>
      </w:r>
    </w:p>
    <w:p w:rsidR="00E91F5E" w:rsidRPr="00001B6E" w:rsidRDefault="00E91F5E" w:rsidP="00E91F5E">
      <w:pPr>
        <w:pStyle w:val="AERbodytext"/>
        <w:numPr>
          <w:ilvl w:val="0"/>
          <w:numId w:val="6"/>
        </w:numPr>
        <w:rPr>
          <w:rStyle w:val="AERbody"/>
        </w:rPr>
      </w:pPr>
      <w:r>
        <w:t>The AEMC considered this issue in its 2012 Rule Determination.</w:t>
      </w:r>
      <w:r>
        <w:rPr>
          <w:rStyle w:val="FootnoteReference"/>
        </w:rPr>
        <w:footnoteReference w:id="49"/>
      </w:r>
      <w:r>
        <w:t xml:space="preserve"> The AEMC did not consider it appropriate for the rule to allocate responsibility to one person over another on the basis that each NSP should retain control over the planning of the network which it operates. We agree with this view and maintain that relevant service providers should work closely together to meet the necessary regulatory requirements.</w:t>
      </w:r>
    </w:p>
    <w:p w:rsidR="00E91F5E" w:rsidRDefault="00E91F5E" w:rsidP="00E91F5E">
      <w:pPr>
        <w:pStyle w:val="Heading2"/>
      </w:pPr>
      <w:bookmarkStart w:id="30" w:name="_Toc364940424"/>
      <w:r>
        <w:t>Reapplication of the RIT-D</w:t>
      </w:r>
      <w:bookmarkEnd w:id="30"/>
      <w:r>
        <w:t xml:space="preserve"> </w:t>
      </w:r>
    </w:p>
    <w:p w:rsidR="00E76AA1" w:rsidRPr="00E76AA1" w:rsidRDefault="00E76AA1" w:rsidP="00BA4B5D">
      <w:pPr>
        <w:pStyle w:val="AERbodytext"/>
        <w:numPr>
          <w:ilvl w:val="0"/>
          <w:numId w:val="0"/>
        </w:numPr>
      </w:pPr>
      <w:r>
        <w:t xml:space="preserve">Under clause 5.17.4(t) of the NER, RIT-D proponents are required to re-apply the RIT-D if there has been a material change in circumstances (as per clause 5.17.4(u) of the NER) subsequent to the publication of an FPAR.  </w:t>
      </w:r>
    </w:p>
    <w:p w:rsidR="00E91F5E" w:rsidRDefault="0062043D" w:rsidP="00E91F5E">
      <w:pPr>
        <w:pStyle w:val="Heading3"/>
      </w:pPr>
      <w:r>
        <w:t xml:space="preserve">Final decision </w:t>
      </w:r>
    </w:p>
    <w:p w:rsidR="00E91F5E" w:rsidRPr="00173E5C" w:rsidRDefault="000C1D35" w:rsidP="00E91F5E">
      <w:pPr>
        <w:pStyle w:val="AERbodytext"/>
      </w:pPr>
      <w:r>
        <w:t xml:space="preserve">Our final decision is </w:t>
      </w:r>
      <w:r w:rsidR="007F4B0B">
        <w:t xml:space="preserve">to </w:t>
      </w:r>
      <w:r>
        <w:t xml:space="preserve">maintain the proposed view set out in the explanatory statement accompanying the draft RIT-D. </w:t>
      </w:r>
      <w:r w:rsidR="002A77E7">
        <w:t>That is, we will</w:t>
      </w:r>
      <w:r w:rsidR="00E91F5E">
        <w:t xml:space="preserve"> not add anything further to the requirements set out under</w:t>
      </w:r>
      <w:r w:rsidR="00BF49F6">
        <w:t xml:space="preserve"> </w:t>
      </w:r>
      <w:r w:rsidR="00E91F5E">
        <w:t>cl. 5.17.4(t) of the NER.</w:t>
      </w:r>
    </w:p>
    <w:p w:rsidR="00E91F5E" w:rsidRPr="00A33F93" w:rsidRDefault="00E91F5E" w:rsidP="00E91F5E">
      <w:pPr>
        <w:pStyle w:val="Heading3"/>
      </w:pPr>
      <w:r w:rsidRPr="00A33F93">
        <w:t xml:space="preserve">Reasons for </w:t>
      </w:r>
      <w:r w:rsidR="001428EE" w:rsidRPr="00A33F93">
        <w:t>the f</w:t>
      </w:r>
      <w:r w:rsidR="0062043D" w:rsidRPr="00A33F93">
        <w:t xml:space="preserve">inal decision </w:t>
      </w:r>
    </w:p>
    <w:p w:rsidR="001428EE" w:rsidRPr="00A33F93" w:rsidRDefault="00BF49F6" w:rsidP="001428EE">
      <w:pPr>
        <w:pStyle w:val="AERbodytext"/>
      </w:pPr>
      <w:r>
        <w:t xml:space="preserve">The </w:t>
      </w:r>
      <w:r w:rsidR="00A73AE6" w:rsidRPr="00A33F93">
        <w:t>MEU</w:t>
      </w:r>
      <w:r w:rsidR="00E91F5E" w:rsidRPr="00A33F93">
        <w:t xml:space="preserve"> submitted that the AER should provide guidance </w:t>
      </w:r>
      <w:r w:rsidR="001428EE" w:rsidRPr="00A33F93">
        <w:t>on the reapplication of the RIT-D</w:t>
      </w:r>
      <w:r w:rsidR="00E91F5E" w:rsidRPr="00A33F93">
        <w:t>.</w:t>
      </w:r>
      <w:r w:rsidR="008D42F6" w:rsidRPr="00A33F93">
        <w:rPr>
          <w:rStyle w:val="FootnoteReference"/>
        </w:rPr>
        <w:footnoteReference w:id="50"/>
      </w:r>
      <w:r w:rsidR="001428EE" w:rsidRPr="00A33F93">
        <w:t xml:space="preserve"> It submitted that </w:t>
      </w:r>
      <w:r w:rsidR="00A33F93" w:rsidRPr="00A33F93">
        <w:t>a</w:t>
      </w:r>
      <w:r w:rsidR="00A33F93">
        <w:t xml:space="preserve"> preferred option may</w:t>
      </w:r>
      <w:r w:rsidR="00A33F93" w:rsidRPr="00A33F93">
        <w:t xml:space="preserve"> have been developed where the forecast demand was much higher</w:t>
      </w:r>
      <w:r w:rsidR="00A33F93">
        <w:t xml:space="preserve"> than earlier forecast</w:t>
      </w:r>
      <w:r w:rsidR="00A33F93" w:rsidRPr="00A33F93">
        <w:t>. It would be inappropriate for the RIT</w:t>
      </w:r>
      <w:r w:rsidR="00A33F93">
        <w:t>-D</w:t>
      </w:r>
      <w:r w:rsidR="00A33F93" w:rsidRPr="00A33F93">
        <w:t xml:space="preserve"> proponent to persist in implementing </w:t>
      </w:r>
      <w:r w:rsidR="00A33F93">
        <w:t xml:space="preserve">that </w:t>
      </w:r>
      <w:r w:rsidR="00A33F93" w:rsidRPr="00A33F93">
        <w:t xml:space="preserve">augmentation </w:t>
      </w:r>
      <w:r w:rsidR="00A33F93">
        <w:t>given</w:t>
      </w:r>
      <w:r w:rsidR="00A33F93" w:rsidRPr="00A33F93">
        <w:t xml:space="preserve"> the earlier forecasts.</w:t>
      </w:r>
      <w:r w:rsidR="00A33F93">
        <w:t xml:space="preserve"> </w:t>
      </w:r>
      <w:r w:rsidR="0075452E">
        <w:t>The MEU</w:t>
      </w:r>
      <w:r w:rsidR="00A33F93">
        <w:t xml:space="preserve"> further submitted that </w:t>
      </w:r>
      <w:r w:rsidR="003979ED">
        <w:t xml:space="preserve">in not </w:t>
      </w:r>
      <w:r w:rsidR="001428EE" w:rsidRPr="00A33F93">
        <w:t xml:space="preserve">providing guidance that </w:t>
      </w:r>
      <w:r w:rsidR="00A33F93">
        <w:t>the RI</w:t>
      </w:r>
      <w:r>
        <w:t>T</w:t>
      </w:r>
      <w:r w:rsidR="00A33F93">
        <w:t xml:space="preserve">-D must be </w:t>
      </w:r>
      <w:r w:rsidR="00A33F93" w:rsidRPr="00A33F93">
        <w:t>reapplied</w:t>
      </w:r>
      <w:r w:rsidR="001428EE" w:rsidRPr="00A33F93">
        <w:t xml:space="preserve"> because circumstances have changed, could result in an unnecessary augmentation being implemented because there was no requirement to make a reapplication.</w:t>
      </w:r>
      <w:r w:rsidR="00A33F93">
        <w:rPr>
          <w:rStyle w:val="FootnoteReference"/>
        </w:rPr>
        <w:footnoteReference w:id="51"/>
      </w:r>
      <w:r w:rsidR="001428EE" w:rsidRPr="00A33F93">
        <w:t xml:space="preserve"> </w:t>
      </w:r>
    </w:p>
    <w:p w:rsidR="0075452E" w:rsidRDefault="0075452E" w:rsidP="0070382C">
      <w:r>
        <w:t>Clause 5.17.4(t)(3) of the NER outlines that if</w:t>
      </w:r>
      <w:r w:rsidR="00E91F5E" w:rsidRPr="001428EE">
        <w:t xml:space="preserve"> there has been a material change in circumstances which, in the reasonable opinion of the RIT-D proponent means that the preferred option identified in the </w:t>
      </w:r>
      <w:r w:rsidR="003979ED">
        <w:t>FPAR</w:t>
      </w:r>
      <w:r w:rsidR="00E91F5E" w:rsidRPr="001428EE">
        <w:t xml:space="preserve"> is no longer the preferred option, then the RIT-D proponent must reapply the RIT-D</w:t>
      </w:r>
      <w:r w:rsidR="0054003C" w:rsidRPr="007D66C6">
        <w:t>.</w:t>
      </w:r>
      <w:r w:rsidR="00E91F5E" w:rsidRPr="007D66C6">
        <w:t xml:space="preserve"> The</w:t>
      </w:r>
      <w:r>
        <w:t xml:space="preserve"> RIT-D proponent, however, may seek the </w:t>
      </w:r>
      <w:r w:rsidR="00E91F5E" w:rsidRPr="007D66C6">
        <w:t>AER</w:t>
      </w:r>
      <w:r>
        <w:t>’s determination</w:t>
      </w:r>
      <w:r w:rsidR="00E91F5E" w:rsidRPr="007D66C6">
        <w:t xml:space="preserve"> </w:t>
      </w:r>
      <w:r w:rsidR="00E91F5E" w:rsidRPr="001428EE">
        <w:t xml:space="preserve">that </w:t>
      </w:r>
      <w:r w:rsidR="003979ED">
        <w:t xml:space="preserve">it does not need to reapply </w:t>
      </w:r>
      <w:r w:rsidR="00E91F5E" w:rsidRPr="001428EE">
        <w:t xml:space="preserve">the RIT-D. </w:t>
      </w:r>
    </w:p>
    <w:p w:rsidR="0070382C" w:rsidRPr="0070382C" w:rsidRDefault="0075452E" w:rsidP="0070382C">
      <w:r>
        <w:t>I</w:t>
      </w:r>
      <w:r w:rsidR="0070382C">
        <w:t xml:space="preserve">n relation to </w:t>
      </w:r>
      <w:r w:rsidR="00BF49F6">
        <w:t xml:space="preserve">the </w:t>
      </w:r>
      <w:r w:rsidR="0070382C">
        <w:t xml:space="preserve">MEU’s concern, we </w:t>
      </w:r>
      <w:r>
        <w:t>agree</w:t>
      </w:r>
      <w:r w:rsidR="00B72DE2">
        <w:t xml:space="preserve"> that a material change</w:t>
      </w:r>
      <w:r w:rsidR="0070382C" w:rsidRPr="0070382C">
        <w:t xml:space="preserve"> in circumstances may include</w:t>
      </w:r>
      <w:r w:rsidR="00B72DE2">
        <w:t xml:space="preserve"> </w:t>
      </w:r>
      <w:r w:rsidR="0070382C" w:rsidRPr="0070382C">
        <w:t>a change to the key a</w:t>
      </w:r>
      <w:r w:rsidR="0070382C">
        <w:t xml:space="preserve">ssumptions used in </w:t>
      </w:r>
      <w:r w:rsidR="0070382C" w:rsidRPr="0070382C">
        <w:t xml:space="preserve">identified need </w:t>
      </w:r>
      <w:r w:rsidR="0070382C">
        <w:t xml:space="preserve">or </w:t>
      </w:r>
      <w:r w:rsidR="0070382C" w:rsidRPr="00CA2C57">
        <w:t xml:space="preserve">credible options </w:t>
      </w:r>
      <w:r w:rsidR="00AB02FF">
        <w:t xml:space="preserve">that are </w:t>
      </w:r>
      <w:r w:rsidR="0070382C" w:rsidRPr="0070382C">
        <w:t xml:space="preserve">described in the </w:t>
      </w:r>
      <w:r w:rsidR="0070382C">
        <w:t>FPAR.</w:t>
      </w:r>
      <w:r w:rsidR="0070382C">
        <w:rPr>
          <w:rStyle w:val="FootnoteReference"/>
        </w:rPr>
        <w:footnoteReference w:id="52"/>
      </w:r>
    </w:p>
    <w:p w:rsidR="00E91F5E" w:rsidRDefault="00E91F5E" w:rsidP="00E91F5E">
      <w:pPr>
        <w:pStyle w:val="Heading2"/>
      </w:pPr>
      <w:bookmarkStart w:id="31" w:name="_Toc364940425"/>
      <w:r>
        <w:t>Transition from Regulatory Test</w:t>
      </w:r>
      <w:bookmarkEnd w:id="31"/>
      <w:r>
        <w:t xml:space="preserve"> </w:t>
      </w:r>
    </w:p>
    <w:p w:rsidR="00E91F5E" w:rsidRPr="000C6ABC" w:rsidRDefault="000666C2" w:rsidP="00E91F5E">
      <w:pPr>
        <w:pStyle w:val="AERbodytext"/>
      </w:pPr>
      <w:r>
        <w:rPr>
          <w:rStyle w:val="AERbody"/>
        </w:rPr>
        <w:t>By 31 December 201</w:t>
      </w:r>
      <w:r w:rsidR="00B72DE2">
        <w:rPr>
          <w:rStyle w:val="AERbody"/>
        </w:rPr>
        <w:t>3, NSPs must submit a list to the AER</w:t>
      </w:r>
      <w:r>
        <w:rPr>
          <w:rStyle w:val="AERbody"/>
        </w:rPr>
        <w:t xml:space="preserve"> of the projects </w:t>
      </w:r>
      <w:r w:rsidR="003979ED">
        <w:rPr>
          <w:rStyle w:val="AERbody"/>
        </w:rPr>
        <w:t>it considers</w:t>
      </w:r>
      <w:r>
        <w:rPr>
          <w:rStyle w:val="AERbody"/>
        </w:rPr>
        <w:t xml:space="preserve"> should fall under the Regulatory Test. </w:t>
      </w:r>
      <w:r w:rsidR="00B72DE2">
        <w:rPr>
          <w:rStyle w:val="AERbody"/>
        </w:rPr>
        <w:t>To facilitate this, w</w:t>
      </w:r>
      <w:r w:rsidR="00E91F5E">
        <w:rPr>
          <w:rStyle w:val="AERbody"/>
        </w:rPr>
        <w:t>e</w:t>
      </w:r>
      <w:r w:rsidR="00E91F5E" w:rsidRPr="000C6ABC">
        <w:rPr>
          <w:rStyle w:val="AERbody"/>
        </w:rPr>
        <w:t xml:space="preserve"> must provide these NSPs with guidance on when we will consider a Regulatory Test assessment to have commenced.</w:t>
      </w:r>
      <w:r w:rsidR="00E91F5E" w:rsidRPr="000C6ABC">
        <w:rPr>
          <w:rStyle w:val="FootnoteReference"/>
        </w:rPr>
        <w:footnoteReference w:id="53"/>
      </w:r>
      <w:r w:rsidR="00E91F5E" w:rsidRPr="000C6ABC">
        <w:rPr>
          <w:rStyle w:val="AERbody"/>
        </w:rPr>
        <w:t xml:space="preserve"> This guidance will provide NSPs with </w:t>
      </w:r>
      <w:r w:rsidR="00E91F5E">
        <w:rPr>
          <w:rStyle w:val="AERbody"/>
        </w:rPr>
        <w:t xml:space="preserve">an </w:t>
      </w:r>
      <w:r w:rsidR="003979ED">
        <w:rPr>
          <w:rStyle w:val="AERbody"/>
        </w:rPr>
        <w:t>understanding</w:t>
      </w:r>
      <w:r w:rsidR="003979ED" w:rsidRPr="000C6ABC">
        <w:rPr>
          <w:rStyle w:val="AERbody"/>
        </w:rPr>
        <w:t xml:space="preserve"> </w:t>
      </w:r>
      <w:r w:rsidR="00E91F5E">
        <w:rPr>
          <w:rStyle w:val="AERbody"/>
        </w:rPr>
        <w:t xml:space="preserve">on </w:t>
      </w:r>
      <w:r w:rsidR="00E91F5E" w:rsidRPr="000C6ABC">
        <w:rPr>
          <w:rStyle w:val="AERbody"/>
        </w:rPr>
        <w:t>t</w:t>
      </w:r>
      <w:r w:rsidR="00E91F5E">
        <w:rPr>
          <w:rStyle w:val="AERbody"/>
        </w:rPr>
        <w:t>he</w:t>
      </w:r>
      <w:r w:rsidR="00E91F5E" w:rsidRPr="000C6ABC">
        <w:rPr>
          <w:rStyle w:val="AERbody"/>
        </w:rPr>
        <w:t xml:space="preserve"> projects they should submit in their lists and whether or not we are likely </w:t>
      </w:r>
      <w:r w:rsidR="00AB02FF">
        <w:rPr>
          <w:rStyle w:val="AERbody"/>
        </w:rPr>
        <w:t xml:space="preserve">to </w:t>
      </w:r>
      <w:r w:rsidR="00E91F5E" w:rsidRPr="000C6ABC">
        <w:rPr>
          <w:rStyle w:val="AERbody"/>
        </w:rPr>
        <w:t xml:space="preserve">accept their submitted projects as falling under the </w:t>
      </w:r>
      <w:r>
        <w:rPr>
          <w:rStyle w:val="AERbody"/>
        </w:rPr>
        <w:t>R</w:t>
      </w:r>
      <w:r w:rsidR="00E91F5E" w:rsidRPr="000C6ABC">
        <w:rPr>
          <w:rStyle w:val="AERbody"/>
        </w:rPr>
        <w:t xml:space="preserve">egulatory </w:t>
      </w:r>
      <w:r>
        <w:rPr>
          <w:rStyle w:val="AERbody"/>
        </w:rPr>
        <w:t>T</w:t>
      </w:r>
      <w:r w:rsidR="00E91F5E" w:rsidRPr="000C6ABC">
        <w:rPr>
          <w:rStyle w:val="AERbody"/>
        </w:rPr>
        <w:t>est.</w:t>
      </w:r>
    </w:p>
    <w:p w:rsidR="00E91F5E" w:rsidRPr="0041135E" w:rsidRDefault="0017645D" w:rsidP="00E91F5E">
      <w:pPr>
        <w:pStyle w:val="Heading3"/>
      </w:pPr>
      <w:r>
        <w:t>Final decision</w:t>
      </w:r>
    </w:p>
    <w:p w:rsidR="00E91F5E" w:rsidRDefault="00DD1061" w:rsidP="00E91F5E">
      <w:pPr>
        <w:pStyle w:val="AERbodytext"/>
        <w:numPr>
          <w:ilvl w:val="0"/>
          <w:numId w:val="6"/>
        </w:numPr>
      </w:pPr>
      <w:r>
        <w:t xml:space="preserve">Our final decision is </w:t>
      </w:r>
      <w:r w:rsidR="00BF49F6">
        <w:t xml:space="preserve">to </w:t>
      </w:r>
      <w:r>
        <w:t xml:space="preserve">maintain </w:t>
      </w:r>
      <w:r w:rsidR="00380F38">
        <w:t xml:space="preserve">the </w:t>
      </w:r>
      <w:r>
        <w:t xml:space="preserve">proposed view set out in the explanatory statement accompanying the draft RIT-D. This </w:t>
      </w:r>
      <w:r w:rsidR="00E91F5E">
        <w:t>is to specify that a</w:t>
      </w:r>
      <w:r w:rsidR="000F3EA5">
        <w:t>n</w:t>
      </w:r>
      <w:r w:rsidR="00E91F5E">
        <w:t xml:space="preserve"> NSP has commenced assessing a project under the </w:t>
      </w:r>
      <w:r w:rsidR="00187228">
        <w:t>R</w:t>
      </w:r>
      <w:r w:rsidR="00E91F5E">
        <w:t xml:space="preserve">egulatory </w:t>
      </w:r>
      <w:r w:rsidR="00187228">
        <w:t>T</w:t>
      </w:r>
      <w:r w:rsidR="00E91F5E">
        <w:t xml:space="preserve">est if, before 1 January 2014, it has: </w:t>
      </w:r>
    </w:p>
    <w:p w:rsidR="005C6023" w:rsidRPr="000E6289" w:rsidRDefault="005C6023" w:rsidP="005C6023">
      <w:pPr>
        <w:pStyle w:val="AERbulletlistfirststyle"/>
      </w:pPr>
      <w:r>
        <w:t>p</w:t>
      </w:r>
      <w:r w:rsidRPr="000E6289">
        <w:t>ublished a project evaluation under the former regulations; or</w:t>
      </w:r>
    </w:p>
    <w:p w:rsidR="005C6023" w:rsidRPr="000E6289" w:rsidRDefault="005C6023" w:rsidP="005C6023">
      <w:pPr>
        <w:pStyle w:val="AERbulletlistfirststyle"/>
        <w:rPr>
          <w:rStyle w:val="AERtextitalic"/>
          <w:i w:val="0"/>
        </w:rPr>
      </w:pPr>
      <w:r>
        <w:t>i</w:t>
      </w:r>
      <w:r w:rsidRPr="000E6289">
        <w:t xml:space="preserve">dentified the project in a published </w:t>
      </w:r>
      <w:r w:rsidRPr="000E6289">
        <w:rPr>
          <w:rStyle w:val="AERtextitalic"/>
          <w:i w:val="0"/>
        </w:rPr>
        <w:t xml:space="preserve">Distribution Annual Planning Report (DAPR); </w:t>
      </w:r>
      <w:r w:rsidRPr="000E6289">
        <w:rPr>
          <w:rStyle w:val="AERbody"/>
        </w:rPr>
        <w:t>or</w:t>
      </w:r>
    </w:p>
    <w:p w:rsidR="005C6023" w:rsidRPr="000E6289" w:rsidRDefault="005C6023" w:rsidP="005C6023">
      <w:pPr>
        <w:pStyle w:val="AERbulletlistfirststyle"/>
      </w:pPr>
      <w:r>
        <w:t>r</w:t>
      </w:r>
      <w:r w:rsidRPr="000E6289">
        <w:t>eleased a Request for Information; or</w:t>
      </w:r>
    </w:p>
    <w:p w:rsidR="00E91F5E" w:rsidRDefault="005C6023" w:rsidP="00417585">
      <w:pPr>
        <w:pStyle w:val="AERbulletlistfirststyle"/>
      </w:pPr>
      <w:proofErr w:type="gramStart"/>
      <w:r>
        <w:t>c</w:t>
      </w:r>
      <w:r w:rsidRPr="000E6289">
        <w:t>ommenced</w:t>
      </w:r>
      <w:proofErr w:type="gramEnd"/>
      <w:r w:rsidRPr="000E6289">
        <w:t xml:space="preserve"> an option analysis for the project under t</w:t>
      </w:r>
      <w:r w:rsidR="00417585">
        <w:t xml:space="preserve">he Regulatory Test. </w:t>
      </w:r>
    </w:p>
    <w:p w:rsidR="00E91F5E" w:rsidRDefault="00E91F5E" w:rsidP="00E91F5E">
      <w:pPr>
        <w:pStyle w:val="Heading3"/>
      </w:pPr>
      <w:r>
        <w:t xml:space="preserve">Reasons for </w:t>
      </w:r>
      <w:r w:rsidR="0017645D">
        <w:t>the final decision</w:t>
      </w:r>
    </w:p>
    <w:p w:rsidR="00380F38" w:rsidRPr="00EB3E5C" w:rsidRDefault="00DD1061" w:rsidP="00380F38">
      <w:pPr>
        <w:pStyle w:val="AERbodytext"/>
      </w:pPr>
      <w:r>
        <w:rPr>
          <w:rStyle w:val="AERbody"/>
        </w:rPr>
        <w:t xml:space="preserve">Victorian DNSPs submit that the approach set out in the </w:t>
      </w:r>
      <w:r w:rsidR="007F4B0B">
        <w:rPr>
          <w:rStyle w:val="AERbody"/>
        </w:rPr>
        <w:t xml:space="preserve">draft </w:t>
      </w:r>
      <w:r>
        <w:rPr>
          <w:rStyle w:val="AERbody"/>
        </w:rPr>
        <w:t xml:space="preserve">application guidelines </w:t>
      </w:r>
      <w:r w:rsidR="00CB2372">
        <w:rPr>
          <w:rStyle w:val="AERbody"/>
        </w:rPr>
        <w:t>i</w:t>
      </w:r>
      <w:r>
        <w:rPr>
          <w:rStyle w:val="AERbody"/>
        </w:rPr>
        <w:t>s reasonable and practical.</w:t>
      </w:r>
      <w:r>
        <w:rPr>
          <w:rStyle w:val="FootnoteReference"/>
        </w:rPr>
        <w:footnoteReference w:id="54"/>
      </w:r>
      <w:r>
        <w:rPr>
          <w:rStyle w:val="AERbody"/>
        </w:rPr>
        <w:t xml:space="preserve"> </w:t>
      </w:r>
      <w:r w:rsidR="007F4B0B">
        <w:rPr>
          <w:rStyle w:val="AERbody"/>
        </w:rPr>
        <w:t xml:space="preserve">The </w:t>
      </w:r>
      <w:r>
        <w:rPr>
          <w:rStyle w:val="AERbody"/>
        </w:rPr>
        <w:t>MEU</w:t>
      </w:r>
      <w:r w:rsidR="00CB2372">
        <w:rPr>
          <w:rStyle w:val="AERbody"/>
        </w:rPr>
        <w:t>, however,</w:t>
      </w:r>
      <w:r>
        <w:rPr>
          <w:rStyle w:val="AERbody"/>
        </w:rPr>
        <w:t xml:space="preserve"> </w:t>
      </w:r>
      <w:r w:rsidR="00380F38">
        <w:rPr>
          <w:rStyle w:val="AERbody"/>
        </w:rPr>
        <w:t xml:space="preserve">does not consider that </w:t>
      </w:r>
      <w:r w:rsidR="00CB2372">
        <w:rPr>
          <w:rStyle w:val="AERbody"/>
        </w:rPr>
        <w:t xml:space="preserve">projects identified in a published DAPR or that have commenced an option analysis should </w:t>
      </w:r>
      <w:r w:rsidR="00F40FE3">
        <w:rPr>
          <w:rStyle w:val="AERbody"/>
        </w:rPr>
        <w:t>fall under the Regulatory Test</w:t>
      </w:r>
      <w:r w:rsidR="00380F38">
        <w:rPr>
          <w:lang w:eastAsia="en-AU"/>
        </w:rPr>
        <w:t xml:space="preserve">. </w:t>
      </w:r>
      <w:r w:rsidR="009C7DEC">
        <w:rPr>
          <w:lang w:eastAsia="en-AU"/>
        </w:rPr>
        <w:t xml:space="preserve">The </w:t>
      </w:r>
      <w:r w:rsidR="00F83899">
        <w:rPr>
          <w:lang w:eastAsia="en-AU"/>
        </w:rPr>
        <w:t>MEU also submit</w:t>
      </w:r>
      <w:r w:rsidR="00867C4D">
        <w:rPr>
          <w:lang w:eastAsia="en-AU"/>
        </w:rPr>
        <w:t>ted</w:t>
      </w:r>
      <w:r w:rsidR="00F83899">
        <w:rPr>
          <w:lang w:eastAsia="en-AU"/>
        </w:rPr>
        <w:t xml:space="preserve"> that</w:t>
      </w:r>
      <w:r w:rsidR="00380F38" w:rsidRPr="00EB3E5C">
        <w:t xml:space="preserve"> work undertaken </w:t>
      </w:r>
      <w:r w:rsidR="00380F38">
        <w:t xml:space="preserve">up </w:t>
      </w:r>
      <w:r w:rsidR="00380F38" w:rsidRPr="00EB3E5C">
        <w:t>to this stage could be readily</w:t>
      </w:r>
      <w:r w:rsidR="00380F38">
        <w:t xml:space="preserve"> </w:t>
      </w:r>
      <w:r w:rsidR="00380F38" w:rsidRPr="00EB3E5C">
        <w:t>incorporated into a</w:t>
      </w:r>
      <w:r w:rsidR="00380F38">
        <w:t xml:space="preserve"> </w:t>
      </w:r>
      <w:r w:rsidR="00380F38" w:rsidRPr="00EB3E5C">
        <w:t>RIT</w:t>
      </w:r>
      <w:r w:rsidR="00380F38">
        <w:t>-D</w:t>
      </w:r>
      <w:r w:rsidR="00380F38" w:rsidRPr="00EB3E5C">
        <w:t xml:space="preserve"> with little additional effort and cost</w:t>
      </w:r>
      <w:r w:rsidR="00380F38">
        <w:t>,</w:t>
      </w:r>
      <w:r w:rsidR="00380F38" w:rsidRPr="00EB3E5C">
        <w:t xml:space="preserve"> or any loss of time.</w:t>
      </w:r>
      <w:r w:rsidR="00380F38">
        <w:rPr>
          <w:rStyle w:val="FootnoteReference"/>
        </w:rPr>
        <w:footnoteReference w:id="55"/>
      </w:r>
    </w:p>
    <w:p w:rsidR="00814918" w:rsidRPr="007E1BD5" w:rsidRDefault="00E91F5E" w:rsidP="00814918">
      <w:pPr>
        <w:pStyle w:val="AERbodytext"/>
        <w:numPr>
          <w:ilvl w:val="0"/>
          <w:numId w:val="6"/>
        </w:numPr>
        <w:rPr>
          <w:rStyle w:val="AERbody"/>
        </w:rPr>
      </w:pPr>
      <w:r w:rsidRPr="0062043D">
        <w:rPr>
          <w:rStyle w:val="AERbody"/>
        </w:rPr>
        <w:t xml:space="preserve">We consider </w:t>
      </w:r>
      <w:r w:rsidR="0062043D">
        <w:rPr>
          <w:rStyle w:val="AERbody"/>
        </w:rPr>
        <w:t xml:space="preserve">that if a DNSP has identified </w:t>
      </w:r>
      <w:r w:rsidR="0062043D">
        <w:t>the project</w:t>
      </w:r>
      <w:r w:rsidR="0062043D" w:rsidRPr="00F1087C">
        <w:t xml:space="preserve"> in a </w:t>
      </w:r>
      <w:r w:rsidR="0062043D">
        <w:t xml:space="preserve">published </w:t>
      </w:r>
      <w:r w:rsidR="0062043D">
        <w:rPr>
          <w:rStyle w:val="AERbody"/>
        </w:rPr>
        <w:t>DAPR</w:t>
      </w:r>
      <w:r w:rsidR="0062043D" w:rsidRPr="00F57585">
        <w:rPr>
          <w:rStyle w:val="AERbody"/>
        </w:rPr>
        <w:t xml:space="preserve"> </w:t>
      </w:r>
      <w:r w:rsidR="00AB02FF">
        <w:rPr>
          <w:rStyle w:val="AERbody"/>
        </w:rPr>
        <w:t xml:space="preserve">or </w:t>
      </w:r>
      <w:r w:rsidR="0062043D">
        <w:t>released a Request for Information</w:t>
      </w:r>
      <w:r w:rsidR="0062043D" w:rsidRPr="0062043D">
        <w:rPr>
          <w:rStyle w:val="AERbody"/>
        </w:rPr>
        <w:t xml:space="preserve"> </w:t>
      </w:r>
      <w:r w:rsidR="0062043D">
        <w:rPr>
          <w:rStyle w:val="AERbody"/>
        </w:rPr>
        <w:t xml:space="preserve">and/or commenced </w:t>
      </w:r>
      <w:r w:rsidR="0062043D">
        <w:t xml:space="preserve">an </w:t>
      </w:r>
      <w:r w:rsidR="0062043D" w:rsidRPr="00F1087C">
        <w:t>option analysis</w:t>
      </w:r>
      <w:r w:rsidR="0062043D">
        <w:t xml:space="preserve"> for the project under the Regulatory Test</w:t>
      </w:r>
      <w:r w:rsidR="00AB02FF">
        <w:t>,</w:t>
      </w:r>
      <w:r w:rsidR="0062043D" w:rsidRPr="0062043D">
        <w:rPr>
          <w:rStyle w:val="AERbody"/>
        </w:rPr>
        <w:t xml:space="preserve"> </w:t>
      </w:r>
      <w:r w:rsidR="0062043D">
        <w:rPr>
          <w:rStyle w:val="AERbody"/>
        </w:rPr>
        <w:t>then it is</w:t>
      </w:r>
      <w:r w:rsidRPr="0062043D">
        <w:rPr>
          <w:rStyle w:val="AERbody"/>
        </w:rPr>
        <w:t xml:space="preserve"> </w:t>
      </w:r>
      <w:r w:rsidR="0062043D">
        <w:rPr>
          <w:rStyle w:val="AERbody"/>
        </w:rPr>
        <w:t>appropriate for the DNSP to continue under the Regulatory Test.</w:t>
      </w:r>
      <w:r w:rsidR="001C3902">
        <w:rPr>
          <w:rStyle w:val="FootnoteReference"/>
        </w:rPr>
        <w:footnoteReference w:id="56"/>
      </w:r>
      <w:r w:rsidR="0062043D">
        <w:rPr>
          <w:rStyle w:val="AERbody"/>
        </w:rPr>
        <w:t xml:space="preserve"> We consider that a shift to make an assessment under the RIT-D will potentially cause </w:t>
      </w:r>
      <w:r w:rsidR="00F40FE3">
        <w:rPr>
          <w:rStyle w:val="AERbody"/>
        </w:rPr>
        <w:t xml:space="preserve">an </w:t>
      </w:r>
      <w:r w:rsidR="0062043D">
        <w:rPr>
          <w:rStyle w:val="AERbody"/>
        </w:rPr>
        <w:t xml:space="preserve">unnecessary administrative burden on a process that has already commenced. </w:t>
      </w:r>
      <w:r>
        <w:rPr>
          <w:rStyle w:val="AERbody"/>
        </w:rPr>
        <w:t xml:space="preserve">Further, we may determine that project/s in the list submitted </w:t>
      </w:r>
      <w:r w:rsidRPr="007E1BD5">
        <w:rPr>
          <w:rStyle w:val="AERbody"/>
        </w:rPr>
        <w:t>under cl. 11.50.5(c) of the NER has not commenced under the Regulatory Test.</w:t>
      </w:r>
      <w:r w:rsidRPr="007E1BD5">
        <w:rPr>
          <w:rStyle w:val="FootnoteReference"/>
        </w:rPr>
        <w:footnoteReference w:id="57"/>
      </w:r>
      <w:r w:rsidRPr="007E1BD5">
        <w:rPr>
          <w:rStyle w:val="AERbody"/>
        </w:rPr>
        <w:t xml:space="preserve"> </w:t>
      </w:r>
    </w:p>
    <w:p w:rsidR="000F3EA5" w:rsidRDefault="00E91F5E" w:rsidP="00E91F5E">
      <w:pPr>
        <w:pStyle w:val="Heading2"/>
      </w:pPr>
      <w:bookmarkStart w:id="32" w:name="_Toc353270871"/>
      <w:bookmarkStart w:id="33" w:name="_Toc364940426"/>
      <w:r w:rsidRPr="007E1BD5">
        <w:t>Estimating option value</w:t>
      </w:r>
      <w:bookmarkEnd w:id="32"/>
      <w:bookmarkEnd w:id="33"/>
    </w:p>
    <w:p w:rsidR="00E91F5E" w:rsidRPr="005C6023" w:rsidRDefault="005C6023" w:rsidP="005C6023">
      <w:r w:rsidRPr="005C6023">
        <w:t xml:space="preserve">Option value refers to a benefit that results from retaining flexibility in a context in which certain actions are irreversible (sunk), and </w:t>
      </w:r>
      <w:r w:rsidR="00F83899">
        <w:t xml:space="preserve">where </w:t>
      </w:r>
      <w:r w:rsidRPr="005C6023">
        <w:t>new information may arise in the future as a payoff from taking a certain action. We consider that option value is likely to arise where there is uncertainty regarding future outcomes</w:t>
      </w:r>
      <w:r w:rsidR="00F83899">
        <w:t>. T</w:t>
      </w:r>
      <w:r w:rsidRPr="005C6023">
        <w:t>he information that is available in the future is likely to change and the credible options considered by the RIT-D proponent are sufficiently flexible to respond to that change.</w:t>
      </w:r>
      <w:r w:rsidR="00E91F5E" w:rsidRPr="005C6023">
        <w:t xml:space="preserve"> </w:t>
      </w:r>
    </w:p>
    <w:p w:rsidR="00E91F5E" w:rsidRPr="007E1BD5" w:rsidRDefault="007E1BD5" w:rsidP="00E91F5E">
      <w:pPr>
        <w:pStyle w:val="Heading3"/>
      </w:pPr>
      <w:r w:rsidRPr="007E1BD5">
        <w:t>Final decision</w:t>
      </w:r>
    </w:p>
    <w:p w:rsidR="00E91F5E" w:rsidRPr="007E1BD5" w:rsidRDefault="00E91F5E" w:rsidP="00E91F5E">
      <w:pPr>
        <w:pStyle w:val="AERbodytext"/>
        <w:numPr>
          <w:ilvl w:val="0"/>
          <w:numId w:val="6"/>
        </w:numPr>
      </w:pPr>
      <w:r w:rsidRPr="007E1BD5">
        <w:t xml:space="preserve">We consider that RIT-D proponents should treat option value </w:t>
      </w:r>
      <w:r w:rsidR="00101E0F">
        <w:t>similar to the RIT-T</w:t>
      </w:r>
      <w:r w:rsidRPr="007E1BD5">
        <w:t>. If performed properly, a cost-benefit analysis should capture option value in the identification of credible options and scenario analysis.</w:t>
      </w:r>
    </w:p>
    <w:p w:rsidR="00E91F5E" w:rsidRPr="007E1BD5" w:rsidRDefault="00E91F5E" w:rsidP="00E91F5E">
      <w:pPr>
        <w:pStyle w:val="Heading3"/>
      </w:pPr>
      <w:r w:rsidRPr="007E1BD5">
        <w:t xml:space="preserve">Reasons for </w:t>
      </w:r>
      <w:r w:rsidR="007E1BD5" w:rsidRPr="007E1BD5">
        <w:t xml:space="preserve">the final decision </w:t>
      </w:r>
    </w:p>
    <w:p w:rsidR="00E91F5E" w:rsidRPr="00AE31E2" w:rsidRDefault="00E91F5E" w:rsidP="00E91F5E">
      <w:pPr>
        <w:pStyle w:val="AERbodytext"/>
      </w:pPr>
      <w:r w:rsidRPr="00AE31E2">
        <w:t xml:space="preserve">We received advice on option value for the RIT-T from internal and external economic consultants. The consultants concluded that, if performed properly, a cost-benefit analysis should capture option value in the identification of credible options and scenario analysis. We do not consider that RIT-D proponents should treat option value differently under the RIT-D. </w:t>
      </w:r>
    </w:p>
    <w:p w:rsidR="00E91F5E" w:rsidRPr="00AE31E2" w:rsidRDefault="00E91F5E" w:rsidP="00E91F5E">
      <w:pPr>
        <w:pStyle w:val="AERbodytext"/>
        <w:numPr>
          <w:ilvl w:val="0"/>
          <w:numId w:val="6"/>
        </w:numPr>
      </w:pPr>
      <w:r w:rsidRPr="00AE31E2">
        <w:t xml:space="preserve">We have explained our reasoning and provided guidance in the application guidelines on how RIT-D proponents should capture option value in the RIT-D. </w:t>
      </w:r>
      <w:r w:rsidR="00F83899">
        <w:t>The</w:t>
      </w:r>
      <w:r w:rsidRPr="00AE31E2">
        <w:t xml:space="preserve"> application guidelines do not include the statement used in the RIT-T application guidelines that states:</w:t>
      </w:r>
    </w:p>
    <w:p w:rsidR="00E91F5E" w:rsidRPr="00AE31E2" w:rsidRDefault="00E91F5E" w:rsidP="00E91F5E">
      <w:pPr>
        <w:pStyle w:val="AERquote"/>
      </w:pPr>
      <w:r w:rsidRPr="00AE31E2">
        <w:t>The AER is of the view that a TNSP has considered a sufficient number and range of credible options where the number of credible options being assessed regarding a particular identified need is proportionate to the magnitude of the likely costs of any credible option.</w:t>
      </w:r>
    </w:p>
    <w:p w:rsidR="00E91F5E" w:rsidRPr="00AE31E2" w:rsidRDefault="00E91F5E" w:rsidP="00E91F5E">
      <w:pPr>
        <w:pStyle w:val="AERbodytext"/>
        <w:numPr>
          <w:ilvl w:val="0"/>
          <w:numId w:val="6"/>
        </w:numPr>
      </w:pPr>
      <w:r w:rsidRPr="00AE31E2">
        <w:t xml:space="preserve">Rather, the application guidelines explain that cl. 5.15.2(c) of the NER that </w:t>
      </w:r>
      <w:r w:rsidR="00F83899">
        <w:t>includ</w:t>
      </w:r>
      <w:r w:rsidRPr="00AE31E2">
        <w:t>es:</w:t>
      </w:r>
    </w:p>
    <w:p w:rsidR="00E91F5E" w:rsidRPr="00AE31E2" w:rsidRDefault="00E91F5E" w:rsidP="00E91F5E">
      <w:pPr>
        <w:pStyle w:val="AERquote"/>
      </w:pPr>
      <w:r w:rsidRPr="00AE31E2">
        <w:t>In applying the regulatory investment test for distribution, the RIT-D proponent must consider, in relation to a RIT-D project other than those described in clauses 5.17.3(a)(1)-(6), all options that could reasonably be classified as credible options, without bias as to:</w:t>
      </w:r>
    </w:p>
    <w:p w:rsidR="00E91F5E" w:rsidRPr="00AE31E2" w:rsidRDefault="00E91F5E" w:rsidP="00E91F5E">
      <w:pPr>
        <w:pStyle w:val="AERquote"/>
      </w:pPr>
      <w:r w:rsidRPr="00AE31E2">
        <w:t xml:space="preserve">(1) </w:t>
      </w:r>
      <w:proofErr w:type="gramStart"/>
      <w:r w:rsidRPr="00AE31E2">
        <w:t>energy</w:t>
      </w:r>
      <w:proofErr w:type="gramEnd"/>
      <w:r w:rsidRPr="00AE31E2">
        <w:t xml:space="preserve"> source;</w:t>
      </w:r>
    </w:p>
    <w:p w:rsidR="00E91F5E" w:rsidRPr="00AE31E2" w:rsidRDefault="00E91F5E" w:rsidP="00E91F5E">
      <w:pPr>
        <w:pStyle w:val="AERquote"/>
      </w:pPr>
      <w:r w:rsidRPr="00AE31E2">
        <w:t xml:space="preserve">(2) </w:t>
      </w:r>
      <w:proofErr w:type="gramStart"/>
      <w:r w:rsidRPr="00AE31E2">
        <w:t>technology</w:t>
      </w:r>
      <w:proofErr w:type="gramEnd"/>
      <w:r w:rsidRPr="00AE31E2">
        <w:t>;</w:t>
      </w:r>
    </w:p>
    <w:p w:rsidR="00E91F5E" w:rsidRPr="00AE31E2" w:rsidRDefault="00E91F5E" w:rsidP="00E91F5E">
      <w:pPr>
        <w:pStyle w:val="AERquote"/>
      </w:pPr>
      <w:r w:rsidRPr="00AE31E2">
        <w:t xml:space="preserve">(3) </w:t>
      </w:r>
      <w:proofErr w:type="gramStart"/>
      <w:r w:rsidRPr="00AE31E2">
        <w:t>ownership</w:t>
      </w:r>
      <w:proofErr w:type="gramEnd"/>
      <w:r w:rsidRPr="00AE31E2">
        <w:t>; and</w:t>
      </w:r>
    </w:p>
    <w:p w:rsidR="00E91F5E" w:rsidRPr="00AE31E2" w:rsidRDefault="00E91F5E" w:rsidP="00E91F5E">
      <w:pPr>
        <w:pStyle w:val="AERquote"/>
      </w:pPr>
      <w:r w:rsidRPr="00AE31E2">
        <w:t xml:space="preserve">(4) </w:t>
      </w:r>
      <w:proofErr w:type="gramStart"/>
      <w:r w:rsidRPr="00AE31E2">
        <w:t>whether</w:t>
      </w:r>
      <w:proofErr w:type="gramEnd"/>
      <w:r w:rsidRPr="00AE31E2">
        <w:t xml:space="preserve"> it is a network option or a non-network option.</w:t>
      </w:r>
    </w:p>
    <w:p w:rsidR="00AE31E2" w:rsidRDefault="00AE31E2" w:rsidP="00AE31E2">
      <w:pPr>
        <w:pStyle w:val="AERbodytext"/>
      </w:pPr>
      <w:r w:rsidRPr="007E1BD5">
        <w:t>Grid Australia submitted that the application guideline</w:t>
      </w:r>
      <w:r>
        <w:t>s</w:t>
      </w:r>
      <w:r w:rsidRPr="007E1BD5">
        <w:t xml:space="preserve"> should </w:t>
      </w:r>
      <w:r>
        <w:t xml:space="preserve">be as flexible as </w:t>
      </w:r>
      <w:r w:rsidR="00AB02FF">
        <w:t>the</w:t>
      </w:r>
      <w:r>
        <w:t xml:space="preserve"> RIT-T in the quantification of</w:t>
      </w:r>
      <w:r w:rsidRPr="007E1BD5">
        <w:t xml:space="preserve"> option value</w:t>
      </w:r>
      <w:r>
        <w:t>.</w:t>
      </w:r>
      <w:r w:rsidRPr="007E1BD5">
        <w:t xml:space="preserve"> </w:t>
      </w:r>
      <w:r w:rsidR="000F3EA5">
        <w:t>Further, Grid Australia</w:t>
      </w:r>
      <w:r>
        <w:t xml:space="preserve"> submitted that the application g</w:t>
      </w:r>
      <w:r w:rsidRPr="007E1BD5">
        <w:t>uidelines should not preclude the quantification of option value via appropriate techniques as part of a RIT-D assessment, in circumstances where such analysis would be proportionate.</w:t>
      </w:r>
      <w:r>
        <w:rPr>
          <w:rStyle w:val="FootnoteReference"/>
        </w:rPr>
        <w:footnoteReference w:id="58"/>
      </w:r>
      <w:r>
        <w:t xml:space="preserve"> Victorian DNSPs also submit</w:t>
      </w:r>
      <w:r w:rsidR="00AB02FF">
        <w:t>ted</w:t>
      </w:r>
      <w:r>
        <w:t xml:space="preserve"> that the RIT-D should be flexible enough </w:t>
      </w:r>
      <w:r w:rsidR="00AB02FF">
        <w:t xml:space="preserve">to </w:t>
      </w:r>
      <w:r w:rsidR="00F83899">
        <w:t xml:space="preserve">allow </w:t>
      </w:r>
      <w:r>
        <w:t>the DNSP the right to exercise its own judgment in selecting the preferred option.</w:t>
      </w:r>
      <w:r>
        <w:rPr>
          <w:rStyle w:val="FootnoteReference"/>
        </w:rPr>
        <w:footnoteReference w:id="59"/>
      </w:r>
    </w:p>
    <w:p w:rsidR="00AE31E2" w:rsidRDefault="00AE31E2" w:rsidP="00AE31E2">
      <w:pPr>
        <w:pStyle w:val="AERbodytext"/>
        <w:numPr>
          <w:ilvl w:val="0"/>
          <w:numId w:val="6"/>
        </w:numPr>
      </w:pPr>
      <w:r w:rsidRPr="00AE31E2">
        <w:t>By considering all credible options (as opposed to a range of credible options), the RIT-D should capture option value appropriately.</w:t>
      </w:r>
      <w:r w:rsidR="000F3EA5">
        <w:t xml:space="preserve"> The application guidelines</w:t>
      </w:r>
      <w:r>
        <w:t xml:space="preserve"> allow NSPs to apply appropriate techniques in the quantification of</w:t>
      </w:r>
      <w:r w:rsidRPr="007E1BD5">
        <w:t xml:space="preserve"> option value</w:t>
      </w:r>
      <w:r>
        <w:t>.</w:t>
      </w:r>
      <w:r w:rsidDel="00AE31E2">
        <w:t xml:space="preserve"> </w:t>
      </w:r>
      <w:r w:rsidR="007F4B0B">
        <w:t xml:space="preserve">The </w:t>
      </w:r>
      <w:r>
        <w:t>MEU supports the AER’s approach.</w:t>
      </w:r>
      <w:r>
        <w:rPr>
          <w:rStyle w:val="FootnoteReference"/>
        </w:rPr>
        <w:footnoteReference w:id="60"/>
      </w:r>
      <w:r>
        <w:t xml:space="preserve"> </w:t>
      </w:r>
    </w:p>
    <w:p w:rsidR="00E91F5E" w:rsidRPr="00AE31E2" w:rsidRDefault="00E4602D" w:rsidP="00E91F5E">
      <w:pPr>
        <w:pStyle w:val="Heading2"/>
      </w:pPr>
      <w:bookmarkStart w:id="34" w:name="_Toc364940427"/>
      <w:r>
        <w:t>Reasonable scenarios and sensitivities</w:t>
      </w:r>
      <w:bookmarkEnd w:id="34"/>
    </w:p>
    <w:p w:rsidR="00417585" w:rsidRDefault="006C1766" w:rsidP="00417585">
      <w:pPr>
        <w:pStyle w:val="AERbodytext"/>
      </w:pPr>
      <w:r w:rsidRPr="00F00563">
        <w:t xml:space="preserve">Clause 5.17.1 of the NER requires </w:t>
      </w:r>
      <w:r w:rsidRPr="00F00563">
        <w:rPr>
          <w:rStyle w:val="AERtextitalic"/>
          <w:i w:val="0"/>
        </w:rPr>
        <w:t>RIT-D proponents</w:t>
      </w:r>
      <w:r w:rsidRPr="00F00563">
        <w:t xml:space="preserve"> to </w:t>
      </w:r>
      <w:r w:rsidR="002443C4">
        <w:t>undertake</w:t>
      </w:r>
      <w:r w:rsidRPr="00F00563">
        <w:t xml:space="preserve"> a cost-benefit analysis that includes an assessment of </w:t>
      </w:r>
      <w:r w:rsidRPr="00F00563">
        <w:rPr>
          <w:rStyle w:val="AERtextitalic"/>
          <w:i w:val="0"/>
        </w:rPr>
        <w:t>reasonable scenarios</w:t>
      </w:r>
      <w:r w:rsidRPr="00F00563">
        <w:t xml:space="preserve"> of future supply and demand</w:t>
      </w:r>
      <w:r w:rsidR="00417585">
        <w:t>.</w:t>
      </w:r>
      <w:r w:rsidRPr="005C6023">
        <w:t xml:space="preserve"> </w:t>
      </w:r>
      <w:r w:rsidR="005C6023" w:rsidRPr="005C6023">
        <w:t xml:space="preserve">This </w:t>
      </w:r>
      <w:r w:rsidR="002443C4">
        <w:t xml:space="preserve">assessment will also include </w:t>
      </w:r>
      <w:r w:rsidR="005C6023" w:rsidRPr="005C6023">
        <w:t xml:space="preserve">estimating costs under </w:t>
      </w:r>
      <w:r w:rsidR="005C6023">
        <w:t xml:space="preserve">uncertainty. </w:t>
      </w:r>
    </w:p>
    <w:p w:rsidR="00E91F5E" w:rsidRPr="00AE31E2" w:rsidRDefault="00AE31E2" w:rsidP="00E91F5E">
      <w:pPr>
        <w:pStyle w:val="Heading3"/>
      </w:pPr>
      <w:r w:rsidRPr="00AE31E2">
        <w:t xml:space="preserve">Final decision </w:t>
      </w:r>
    </w:p>
    <w:p w:rsidR="00E91F5E" w:rsidRPr="00AE31E2" w:rsidRDefault="00E91F5E" w:rsidP="00E91F5E">
      <w:pPr>
        <w:pStyle w:val="AERbodytext"/>
      </w:pPr>
      <w:r w:rsidRPr="00AE31E2">
        <w:t>W</w:t>
      </w:r>
      <w:r w:rsidRPr="00AE31E2">
        <w:rPr>
          <w:rStyle w:val="AERbody"/>
        </w:rPr>
        <w:t xml:space="preserve">here there is material </w:t>
      </w:r>
      <w:r w:rsidR="00AE31E2" w:rsidRPr="00AE31E2">
        <w:rPr>
          <w:rStyle w:val="AERbody"/>
        </w:rPr>
        <w:t>uncertainty regarding project costs</w:t>
      </w:r>
      <w:r w:rsidR="00AE31E2">
        <w:rPr>
          <w:rStyle w:val="AERbody"/>
        </w:rPr>
        <w:t>,</w:t>
      </w:r>
      <w:r w:rsidR="00AE31E2" w:rsidRPr="00AE31E2">
        <w:rPr>
          <w:rStyle w:val="AERbody"/>
        </w:rPr>
        <w:t xml:space="preserve"> RIT-D proponents </w:t>
      </w:r>
      <w:r w:rsidR="00AE31E2">
        <w:rPr>
          <w:rStyle w:val="AERbody"/>
        </w:rPr>
        <w:t>are</w:t>
      </w:r>
      <w:r w:rsidRPr="00AE31E2">
        <w:rPr>
          <w:rStyle w:val="AERbody"/>
        </w:rPr>
        <w:t xml:space="preserve"> required to </w:t>
      </w:r>
      <w:r w:rsidRPr="00AE31E2">
        <w:t xml:space="preserve">assign probabilities </w:t>
      </w:r>
      <w:proofErr w:type="gramStart"/>
      <w:r w:rsidRPr="00AE31E2">
        <w:t xml:space="preserve">to each reasonable </w:t>
      </w:r>
      <w:r w:rsidR="00874522" w:rsidRPr="00AE31E2">
        <w:t>sensitivity</w:t>
      </w:r>
      <w:proofErr w:type="gramEnd"/>
      <w:r w:rsidR="004751BC" w:rsidRPr="00AE31E2">
        <w:t xml:space="preserve"> </w:t>
      </w:r>
      <w:r w:rsidR="004751BC" w:rsidRPr="00AE31E2">
        <w:rPr>
          <w:lang w:val="en-US"/>
        </w:rPr>
        <w:t>and weight them to derive an expected cost for each credible option</w:t>
      </w:r>
      <w:r w:rsidRPr="00AE31E2">
        <w:t xml:space="preserve">. </w:t>
      </w:r>
    </w:p>
    <w:p w:rsidR="00E91F5E" w:rsidRPr="00E4602D" w:rsidRDefault="00E91F5E" w:rsidP="00E91F5E">
      <w:pPr>
        <w:pStyle w:val="Heading3"/>
      </w:pPr>
      <w:r w:rsidRPr="00E4602D">
        <w:t xml:space="preserve">Reasons for </w:t>
      </w:r>
      <w:r w:rsidR="00AE31E2" w:rsidRPr="00E4602D">
        <w:t xml:space="preserve">the final decision </w:t>
      </w:r>
    </w:p>
    <w:p w:rsidR="00E4602D" w:rsidRDefault="00E4602D" w:rsidP="008E41A9">
      <w:pPr>
        <w:rPr>
          <w:rStyle w:val="AERbody"/>
        </w:rPr>
      </w:pPr>
      <w:r>
        <w:rPr>
          <w:rStyle w:val="AERbody"/>
        </w:rPr>
        <w:t xml:space="preserve">Victorian DNSPs </w:t>
      </w:r>
      <w:r w:rsidR="008F79C4">
        <w:rPr>
          <w:rStyle w:val="AERbody"/>
        </w:rPr>
        <w:t>submitted</w:t>
      </w:r>
      <w:r w:rsidRPr="00E4602D">
        <w:rPr>
          <w:rStyle w:val="AERbody"/>
        </w:rPr>
        <w:t xml:space="preserve"> that the </w:t>
      </w:r>
      <w:r w:rsidR="00FA5AE9">
        <w:rPr>
          <w:rStyle w:val="AERbody"/>
        </w:rPr>
        <w:t xml:space="preserve">application </w:t>
      </w:r>
      <w:r w:rsidRPr="00E4602D">
        <w:rPr>
          <w:rStyle w:val="AERbody"/>
        </w:rPr>
        <w:t xml:space="preserve">guidelines </w:t>
      </w:r>
      <w:r w:rsidR="008F79C4">
        <w:rPr>
          <w:rStyle w:val="AERbody"/>
        </w:rPr>
        <w:t xml:space="preserve">may </w:t>
      </w:r>
      <w:r w:rsidRPr="00E4602D">
        <w:rPr>
          <w:rStyle w:val="AERbody"/>
        </w:rPr>
        <w:t>imply that investment decision-making under conditions of</w:t>
      </w:r>
      <w:r>
        <w:rPr>
          <w:rStyle w:val="AERbody"/>
        </w:rPr>
        <w:t xml:space="preserve"> </w:t>
      </w:r>
      <w:r w:rsidRPr="00E4602D">
        <w:rPr>
          <w:rStyle w:val="AERbody"/>
        </w:rPr>
        <w:t>uncertainty is a mechanistic exercise, in which it is possible to ascribe precise</w:t>
      </w:r>
      <w:r>
        <w:rPr>
          <w:rStyle w:val="AERbody"/>
        </w:rPr>
        <w:t xml:space="preserve"> </w:t>
      </w:r>
      <w:r w:rsidRPr="00E4602D">
        <w:rPr>
          <w:rStyle w:val="AERbody"/>
        </w:rPr>
        <w:t>probabilities to different outcomes.</w:t>
      </w:r>
      <w:r w:rsidR="008E41A9">
        <w:rPr>
          <w:rStyle w:val="AERbody"/>
        </w:rPr>
        <w:t xml:space="preserve"> Further, they submit</w:t>
      </w:r>
      <w:r w:rsidR="00C5365B">
        <w:rPr>
          <w:rStyle w:val="AERbody"/>
        </w:rPr>
        <w:t>ted</w:t>
      </w:r>
      <w:r w:rsidR="008E41A9">
        <w:rPr>
          <w:rStyle w:val="AERbody"/>
        </w:rPr>
        <w:t xml:space="preserve"> </w:t>
      </w:r>
      <w:r w:rsidR="008E41A9" w:rsidRPr="008E41A9">
        <w:rPr>
          <w:rStyle w:val="AERbody"/>
        </w:rPr>
        <w:t xml:space="preserve">that the </w:t>
      </w:r>
      <w:r w:rsidR="008E41A9">
        <w:rPr>
          <w:rStyle w:val="AERbody"/>
        </w:rPr>
        <w:t xml:space="preserve">application </w:t>
      </w:r>
      <w:r w:rsidR="008E41A9" w:rsidRPr="008E41A9">
        <w:rPr>
          <w:rStyle w:val="AERbody"/>
        </w:rPr>
        <w:t>guidelines should explicitly recognise that in reality, sound</w:t>
      </w:r>
      <w:r w:rsidR="008E41A9">
        <w:rPr>
          <w:rStyle w:val="AERbody"/>
        </w:rPr>
        <w:t xml:space="preserve"> </w:t>
      </w:r>
      <w:r w:rsidR="008E41A9" w:rsidRPr="008E41A9">
        <w:rPr>
          <w:rStyle w:val="AERbody"/>
        </w:rPr>
        <w:t>investment decision-making takes the information provided by analytical tools such as the</w:t>
      </w:r>
      <w:r w:rsidR="008E41A9">
        <w:rPr>
          <w:rStyle w:val="AERbody"/>
        </w:rPr>
        <w:t xml:space="preserve"> </w:t>
      </w:r>
      <w:r w:rsidR="008E41A9" w:rsidRPr="008E41A9">
        <w:rPr>
          <w:rStyle w:val="AERbody"/>
        </w:rPr>
        <w:t>RIT-D, and applies it in the formation of a reasonable judgement to the most</w:t>
      </w:r>
      <w:r w:rsidR="008E41A9">
        <w:rPr>
          <w:rStyle w:val="AERbody"/>
        </w:rPr>
        <w:t xml:space="preserve"> </w:t>
      </w:r>
      <w:r w:rsidR="008E41A9" w:rsidRPr="008E41A9">
        <w:rPr>
          <w:rStyle w:val="AERbody"/>
        </w:rPr>
        <w:t xml:space="preserve">appropriate course of action. The </w:t>
      </w:r>
      <w:r w:rsidR="007F4B0B">
        <w:rPr>
          <w:rStyle w:val="AERbody"/>
        </w:rPr>
        <w:t xml:space="preserve">application </w:t>
      </w:r>
      <w:r w:rsidR="008E41A9" w:rsidRPr="008E41A9">
        <w:rPr>
          <w:rStyle w:val="AERbody"/>
        </w:rPr>
        <w:t>guidelines should therefore provide the application</w:t>
      </w:r>
      <w:r w:rsidR="008E41A9">
        <w:rPr>
          <w:rStyle w:val="AERbody"/>
        </w:rPr>
        <w:t xml:space="preserve"> </w:t>
      </w:r>
      <w:r w:rsidR="008E41A9" w:rsidRPr="008E41A9">
        <w:rPr>
          <w:rStyle w:val="AERbody"/>
        </w:rPr>
        <w:t>of reasonable judgement</w:t>
      </w:r>
      <w:r w:rsidR="008E41A9">
        <w:rPr>
          <w:rStyle w:val="AERbody"/>
        </w:rPr>
        <w:t>.</w:t>
      </w:r>
      <w:r w:rsidR="008E41A9">
        <w:rPr>
          <w:rStyle w:val="FootnoteReference"/>
        </w:rPr>
        <w:footnoteReference w:id="61"/>
      </w:r>
      <w:r w:rsidR="008E41A9">
        <w:rPr>
          <w:rStyle w:val="AERbody"/>
        </w:rPr>
        <w:t xml:space="preserve"> </w:t>
      </w:r>
    </w:p>
    <w:p w:rsidR="008E41A9" w:rsidRDefault="008F79C4" w:rsidP="008E41A9">
      <w:pPr>
        <w:pStyle w:val="AERbodytext"/>
        <w:numPr>
          <w:ilvl w:val="0"/>
          <w:numId w:val="6"/>
        </w:numPr>
        <w:rPr>
          <w:rStyle w:val="AERbody"/>
        </w:rPr>
      </w:pPr>
      <w:r>
        <w:t>The</w:t>
      </w:r>
      <w:r w:rsidR="008E41A9">
        <w:t xml:space="preserve"> application guidelines</w:t>
      </w:r>
      <w:r>
        <w:t xml:space="preserve"> </w:t>
      </w:r>
      <w:r w:rsidR="008E41A9">
        <w:t xml:space="preserve">provide clarity in undertaking assessment </w:t>
      </w:r>
      <w:r w:rsidR="008E41A9" w:rsidRPr="00F00563">
        <w:t xml:space="preserve">on a cost-benefit analysis that includes an assessment of </w:t>
      </w:r>
      <w:r w:rsidR="008E41A9" w:rsidRPr="008E41A9">
        <w:rPr>
          <w:rStyle w:val="AERtextitalic"/>
          <w:i w:val="0"/>
        </w:rPr>
        <w:t>reasonable scenarios</w:t>
      </w:r>
      <w:r w:rsidR="008E41A9" w:rsidRPr="00F00563">
        <w:t xml:space="preserve"> of future supply</w:t>
      </w:r>
      <w:r w:rsidR="008E41A9">
        <w:t>.</w:t>
      </w:r>
      <w:r w:rsidR="008E41A9">
        <w:rPr>
          <w:rStyle w:val="FootnoteReference"/>
        </w:rPr>
        <w:footnoteReference w:id="62"/>
      </w:r>
      <w:r w:rsidR="008E41A9" w:rsidRPr="00F00563">
        <w:t xml:space="preserve"> </w:t>
      </w:r>
      <w:r w:rsidR="008E41A9">
        <w:t>We consider that i</w:t>
      </w:r>
      <w:r w:rsidR="008E41A9">
        <w:rPr>
          <w:rStyle w:val="AERbody"/>
        </w:rPr>
        <w:t xml:space="preserve">nputs represent the central </w:t>
      </w:r>
      <w:r w:rsidR="008E41A9" w:rsidRPr="008E41A9">
        <w:rPr>
          <w:rStyle w:val="AERtextitalic"/>
          <w:i w:val="0"/>
        </w:rPr>
        <w:t>reasonable scenario</w:t>
      </w:r>
      <w:r w:rsidR="008E41A9">
        <w:rPr>
          <w:rStyle w:val="AERbody"/>
        </w:rPr>
        <w:t xml:space="preserve"> and the </w:t>
      </w:r>
      <w:r w:rsidR="008E41A9" w:rsidRPr="008E41A9">
        <w:rPr>
          <w:rStyle w:val="AERtextitalic"/>
          <w:i w:val="0"/>
        </w:rPr>
        <w:t>RIT-D proponent</w:t>
      </w:r>
      <w:r w:rsidR="008E41A9">
        <w:rPr>
          <w:rStyle w:val="AERbody"/>
        </w:rPr>
        <w:t xml:space="preserve"> can proceed to calculate the net economic benefit of the two </w:t>
      </w:r>
      <w:r w:rsidR="008E41A9" w:rsidRPr="008E41A9">
        <w:rPr>
          <w:rStyle w:val="AERtextitalic"/>
          <w:i w:val="0"/>
        </w:rPr>
        <w:t xml:space="preserve">credible options </w:t>
      </w:r>
      <w:r w:rsidR="008E41A9">
        <w:rPr>
          <w:rStyle w:val="AERbody"/>
        </w:rPr>
        <w:t>under this scenario. However, depending on the nature of the options being assessed, the use of additional reasonable scenarios may be appropriate.</w:t>
      </w:r>
    </w:p>
    <w:p w:rsidR="008E41A9" w:rsidRDefault="00E5198A" w:rsidP="00E5198A">
      <w:pPr>
        <w:pStyle w:val="AERbodytext"/>
        <w:numPr>
          <w:ilvl w:val="0"/>
          <w:numId w:val="12"/>
        </w:numPr>
      </w:pPr>
      <w:r w:rsidRPr="00E5198A">
        <w:rPr>
          <w:rStyle w:val="AERtextitalic"/>
          <w:i w:val="0"/>
        </w:rPr>
        <w:t xml:space="preserve">We do not expect the RIT-D proponent to ascribe an exact probability to every scenario. For example, it is sufficient for a proponent to attach a 20 per cent probability to a scenario, as opposed to 23 per cent. </w:t>
      </w:r>
      <w:r w:rsidR="007F4B0B" w:rsidRPr="00E5198A">
        <w:rPr>
          <w:rStyle w:val="AERtextitalic"/>
          <w:i w:val="0"/>
        </w:rPr>
        <w:t>I</w:t>
      </w:r>
      <w:r w:rsidR="008E41A9" w:rsidRPr="00E5198A">
        <w:rPr>
          <w:rStyle w:val="AERtextitalic"/>
          <w:i w:val="0"/>
        </w:rPr>
        <w:t>t is not the AER’s intention that relatively small divergences of views over reasonable scenario probabilities become a source of dispute. Rather, the RIT-D proponent must be able to provide a sound reason for its use of probabilities based on the information it has or reasonably ought to have available when it made the assessment and given the nature of the credi</w:t>
      </w:r>
      <w:r w:rsidR="00B20D18">
        <w:rPr>
          <w:rStyle w:val="AERtextitalic"/>
          <w:i w:val="0"/>
        </w:rPr>
        <w:t>ble options under consideration</w:t>
      </w:r>
      <w:r w:rsidR="008E41A9" w:rsidRPr="00F00563">
        <w:t>.</w:t>
      </w:r>
    </w:p>
    <w:p w:rsidR="00B20D18" w:rsidRPr="00B20D18" w:rsidRDefault="00B20D18" w:rsidP="00B20D18">
      <w:pPr>
        <w:pStyle w:val="AERbodytext"/>
        <w:numPr>
          <w:ilvl w:val="0"/>
          <w:numId w:val="12"/>
        </w:numPr>
        <w:rPr>
          <w:lang w:val="en-US"/>
        </w:rPr>
      </w:pPr>
      <w:r w:rsidRPr="00B20D18">
        <w:rPr>
          <w:rStyle w:val="FootnoteReference"/>
          <w:vertAlign w:val="baseline"/>
        </w:rPr>
        <w:t>Australian PV Association</w:t>
      </w:r>
      <w:r w:rsidRPr="00B20D18">
        <w:rPr>
          <w:lang w:val="en-US"/>
        </w:rPr>
        <w:t xml:space="preserve"> (APVA) submitted that DNSPs favour network options over non-network options because of the uncertainty in providing firm-capacity.</w:t>
      </w:r>
      <w:r>
        <w:rPr>
          <w:rStyle w:val="FootnoteReference"/>
          <w:lang w:val="en-US"/>
        </w:rPr>
        <w:footnoteReference w:id="63"/>
      </w:r>
      <w:r w:rsidRPr="00B20D18">
        <w:rPr>
          <w:lang w:val="en-US"/>
        </w:rPr>
        <w:t xml:space="preserve"> EnerNOC submitted that the cost of non-network options would be significantly less if DNSPs estimated their variable cost components on the basis of expected, rather than maximum number of dispatch hours.</w:t>
      </w:r>
      <w:r>
        <w:rPr>
          <w:rStyle w:val="FootnoteReference"/>
          <w:lang w:val="en-US"/>
        </w:rPr>
        <w:footnoteReference w:id="64"/>
      </w:r>
    </w:p>
    <w:p w:rsidR="00B20D18" w:rsidRPr="00B01A56" w:rsidRDefault="00B20D18" w:rsidP="00B20D18">
      <w:pPr>
        <w:pStyle w:val="AERbodytext"/>
        <w:numPr>
          <w:ilvl w:val="0"/>
          <w:numId w:val="12"/>
        </w:numPr>
      </w:pPr>
      <w:r w:rsidRPr="00B20D18">
        <w:rPr>
          <w:lang w:val="en-US"/>
        </w:rPr>
        <w:t xml:space="preserve">We agree that when a RIT-D proponent commences a RIT-D assessment, the cost of non-network options should be estimated on the basis of expected, rather than maximum dispatch hours. </w:t>
      </w:r>
      <w:r w:rsidR="007209DB">
        <w:rPr>
          <w:lang w:val="en-US"/>
        </w:rPr>
        <w:t xml:space="preserve">This is </w:t>
      </w:r>
      <w:r w:rsidR="00BE45E1">
        <w:rPr>
          <w:lang w:val="en-US"/>
        </w:rPr>
        <w:t>because</w:t>
      </w:r>
      <w:r w:rsidRPr="00B20D18">
        <w:rPr>
          <w:lang w:val="en-US"/>
        </w:rPr>
        <w:t xml:space="preserve"> the RIT-D process involves the distribution of cash flows over multiple years, and the dispatch uncertainty of </w:t>
      </w:r>
      <w:r w:rsidR="007209DB" w:rsidRPr="00B20D18">
        <w:rPr>
          <w:lang w:val="en-US"/>
        </w:rPr>
        <w:t>non-network options</w:t>
      </w:r>
      <w:r w:rsidR="007209DB">
        <w:rPr>
          <w:lang w:val="en-US"/>
        </w:rPr>
        <w:t>. T</w:t>
      </w:r>
      <w:r w:rsidRPr="00B20D18">
        <w:rPr>
          <w:lang w:val="en-US"/>
        </w:rPr>
        <w:t xml:space="preserve">his approach </w:t>
      </w:r>
      <w:r w:rsidR="007209DB">
        <w:rPr>
          <w:lang w:val="en-US"/>
        </w:rPr>
        <w:t>allows for a</w:t>
      </w:r>
      <w:r w:rsidRPr="00B20D18">
        <w:rPr>
          <w:lang w:val="en-US"/>
        </w:rPr>
        <w:t xml:space="preserve"> more realistic (and lower) expenditure assessment of non-network options. We also note that this is consistent with expected cost approach</w:t>
      </w:r>
      <w:r w:rsidR="007209DB">
        <w:rPr>
          <w:lang w:val="en-US"/>
        </w:rPr>
        <w:t xml:space="preserve"> set out in the application guidelines where</w:t>
      </w:r>
      <w:r>
        <w:rPr>
          <w:lang w:val="en-US"/>
        </w:rPr>
        <w:t xml:space="preserve"> the </w:t>
      </w:r>
      <w:r w:rsidRPr="00B20D18">
        <w:rPr>
          <w:lang w:val="en-US"/>
        </w:rPr>
        <w:t xml:space="preserve">cost of </w:t>
      </w:r>
      <w:r>
        <w:rPr>
          <w:lang w:val="en-US"/>
        </w:rPr>
        <w:t>a</w:t>
      </w:r>
      <w:r w:rsidRPr="00B20D18">
        <w:rPr>
          <w:lang w:val="en-US"/>
        </w:rPr>
        <w:t xml:space="preserve"> credible option is the probability weighted present value of the direct costs of the credible option under different cost assumptions. </w:t>
      </w:r>
    </w:p>
    <w:p w:rsidR="00B01A56" w:rsidRPr="00B01A56" w:rsidRDefault="00B01A56" w:rsidP="00B01A56">
      <w:pPr>
        <w:keepNext/>
        <w:outlineLvl w:val="3"/>
        <w:rPr>
          <w:rFonts w:eastAsia="Times New Roman"/>
          <w:b/>
          <w:iCs/>
          <w:color w:val="365F91"/>
          <w:sz w:val="22"/>
          <w:szCs w:val="24"/>
        </w:rPr>
      </w:pPr>
      <w:r w:rsidRPr="00B01A56">
        <w:rPr>
          <w:rFonts w:eastAsia="Times New Roman"/>
          <w:b/>
          <w:iCs/>
          <w:color w:val="365F91"/>
          <w:sz w:val="22"/>
          <w:szCs w:val="24"/>
        </w:rPr>
        <w:t xml:space="preserve">Non-compliance with legislative requirements </w:t>
      </w:r>
    </w:p>
    <w:p w:rsidR="00B01A56" w:rsidRPr="00B01A56" w:rsidRDefault="00B01A56" w:rsidP="00B01A56">
      <w:pPr>
        <w:numPr>
          <w:ilvl w:val="0"/>
          <w:numId w:val="12"/>
        </w:numPr>
        <w:spacing w:after="200" w:line="276" w:lineRule="auto"/>
        <w:jc w:val="left"/>
        <w:rPr>
          <w:rFonts w:eastAsia="Times New Roman"/>
          <w:szCs w:val="24"/>
        </w:rPr>
      </w:pPr>
      <w:r w:rsidRPr="00B01A56">
        <w:rPr>
          <w:rFonts w:eastAsia="Times New Roman"/>
          <w:szCs w:val="24"/>
        </w:rPr>
        <w:t>Victorian DNSPs submitted that non-compliance with legislative requirements is not a credible option for the purpose of applying the RIT-D. As a consequence, the Victorian DNSPs submitted that the following be removed from the RIT-D</w:t>
      </w:r>
      <w:r w:rsidRPr="00B01A56">
        <w:rPr>
          <w:rFonts w:eastAsia="Times New Roman"/>
          <w:szCs w:val="24"/>
          <w:vertAlign w:val="superscript"/>
        </w:rPr>
        <w:footnoteReference w:id="65"/>
      </w:r>
      <w:r w:rsidRPr="00B01A56">
        <w:rPr>
          <w:rFonts w:eastAsia="Times New Roman"/>
          <w:szCs w:val="24"/>
        </w:rPr>
        <w:t>:</w:t>
      </w:r>
    </w:p>
    <w:p w:rsidR="00B01A56" w:rsidRPr="00B01A56" w:rsidRDefault="00B01A56" w:rsidP="00B01A56">
      <w:pPr>
        <w:tabs>
          <w:tab w:val="num" w:pos="709"/>
        </w:tabs>
        <w:spacing w:after="160"/>
        <w:ind w:left="709" w:right="720"/>
        <w:rPr>
          <w:rFonts w:eastAsia="Times New Roman"/>
          <w:color w:val="000000"/>
          <w:sz w:val="16"/>
          <w:szCs w:val="24"/>
        </w:rPr>
      </w:pPr>
      <w:proofErr w:type="gramStart"/>
      <w:r w:rsidRPr="00B01A56">
        <w:rPr>
          <w:rFonts w:eastAsia="Times New Roman"/>
          <w:color w:val="000000"/>
          <w:sz w:val="16"/>
          <w:szCs w:val="24"/>
        </w:rPr>
        <w:t>the</w:t>
      </w:r>
      <w:proofErr w:type="gramEnd"/>
      <w:r w:rsidRPr="00B01A56">
        <w:rPr>
          <w:rFonts w:eastAsia="Times New Roman"/>
          <w:color w:val="000000"/>
          <w:sz w:val="16"/>
          <w:szCs w:val="24"/>
        </w:rPr>
        <w:t xml:space="preserve"> magnitude of a penalty (if any) for failing to meet an environmental target or other government-enforced requirement imposed on parties who produce, consume and transport electricity in the market. If such a penalty is not tax deductable, it should be grossed up to its value if it were deductible.</w:t>
      </w:r>
      <w:r w:rsidRPr="00B01A56">
        <w:rPr>
          <w:rFonts w:eastAsia="Times New Roman"/>
          <w:color w:val="000000"/>
          <w:sz w:val="16"/>
          <w:szCs w:val="24"/>
          <w:vertAlign w:val="superscript"/>
        </w:rPr>
        <w:footnoteReference w:id="66"/>
      </w:r>
    </w:p>
    <w:p w:rsidR="006A7B3D" w:rsidRPr="00195787" w:rsidRDefault="006A7B3D" w:rsidP="006A7B3D">
      <w:pPr>
        <w:numPr>
          <w:ilvl w:val="0"/>
          <w:numId w:val="12"/>
        </w:numPr>
        <w:spacing w:after="200" w:line="276" w:lineRule="auto"/>
        <w:jc w:val="left"/>
        <w:rPr>
          <w:rFonts w:eastAsia="Times New Roman"/>
          <w:szCs w:val="24"/>
        </w:rPr>
      </w:pPr>
      <w:r w:rsidRPr="00B01A56">
        <w:rPr>
          <w:rFonts w:eastAsia="Times New Roman"/>
          <w:szCs w:val="24"/>
          <w:lang w:val="en-US"/>
        </w:rPr>
        <w:t>Th</w:t>
      </w:r>
      <w:r>
        <w:rPr>
          <w:rFonts w:eastAsia="Times New Roman"/>
          <w:szCs w:val="24"/>
          <w:lang w:val="en-US"/>
        </w:rPr>
        <w:t>e</w:t>
      </w:r>
      <w:r w:rsidRPr="00B01A56">
        <w:rPr>
          <w:rFonts w:eastAsia="Times New Roman"/>
          <w:szCs w:val="24"/>
          <w:lang w:val="en-US"/>
        </w:rPr>
        <w:t xml:space="preserve"> drafting</w:t>
      </w:r>
      <w:r>
        <w:rPr>
          <w:rFonts w:eastAsia="Times New Roman"/>
          <w:szCs w:val="24"/>
          <w:lang w:val="en-US"/>
        </w:rPr>
        <w:t xml:space="preserve"> of paragraphs 19 (e) and 21 (e)</w:t>
      </w:r>
      <w:r w:rsidRPr="00B01A56">
        <w:rPr>
          <w:rFonts w:eastAsia="Times New Roman"/>
          <w:szCs w:val="24"/>
          <w:lang w:val="en-US"/>
        </w:rPr>
        <w:t xml:space="preserve"> </w:t>
      </w:r>
      <w:r w:rsidR="00995EE2">
        <w:rPr>
          <w:rFonts w:eastAsia="Times New Roman"/>
          <w:szCs w:val="24"/>
          <w:lang w:val="en-US"/>
        </w:rPr>
        <w:t xml:space="preserve">of the RIT-D </w:t>
      </w:r>
      <w:r w:rsidRPr="00B01A56">
        <w:rPr>
          <w:rFonts w:eastAsia="Times New Roman"/>
          <w:szCs w:val="24"/>
          <w:lang w:val="en-US"/>
        </w:rPr>
        <w:t>is consistent with the RIT-T. The intention is to cover payments associated with</w:t>
      </w:r>
      <w:r>
        <w:rPr>
          <w:rFonts w:eastAsia="Times New Roman"/>
          <w:szCs w:val="24"/>
          <w:lang w:val="en-US"/>
        </w:rPr>
        <w:t xml:space="preserve"> government schemes such as</w:t>
      </w:r>
      <w:r w:rsidRPr="00B01A56">
        <w:rPr>
          <w:rFonts w:eastAsia="Times New Roman"/>
          <w:szCs w:val="24"/>
          <w:lang w:val="en-US"/>
        </w:rPr>
        <w:t xml:space="preserve"> </w:t>
      </w:r>
      <w:r>
        <w:rPr>
          <w:rFonts w:eastAsia="Times New Roman"/>
          <w:szCs w:val="24"/>
          <w:lang w:val="en-US"/>
        </w:rPr>
        <w:t>the renewable energy target (</w:t>
      </w:r>
      <w:r w:rsidRPr="00B01A56">
        <w:rPr>
          <w:rFonts w:eastAsia="Times New Roman"/>
          <w:szCs w:val="24"/>
          <w:lang w:val="en-US"/>
        </w:rPr>
        <w:t>RET</w:t>
      </w:r>
      <w:r>
        <w:rPr>
          <w:rFonts w:eastAsia="Times New Roman"/>
          <w:szCs w:val="24"/>
          <w:lang w:val="en-US"/>
        </w:rPr>
        <w:t>)</w:t>
      </w:r>
      <w:r w:rsidRPr="00B01A56">
        <w:rPr>
          <w:rFonts w:eastAsia="Times New Roman"/>
          <w:szCs w:val="24"/>
          <w:lang w:val="en-US"/>
        </w:rPr>
        <w:t xml:space="preserve">, where </w:t>
      </w:r>
      <w:r>
        <w:rPr>
          <w:rFonts w:eastAsia="Times New Roman"/>
          <w:szCs w:val="24"/>
          <w:lang w:val="en-US"/>
        </w:rPr>
        <w:t xml:space="preserve">penalty </w:t>
      </w:r>
      <w:r w:rsidRPr="00B01A56">
        <w:rPr>
          <w:rFonts w:eastAsia="Times New Roman"/>
          <w:szCs w:val="24"/>
          <w:lang w:val="en-US"/>
        </w:rPr>
        <w:t xml:space="preserve">payments </w:t>
      </w:r>
      <w:r>
        <w:rPr>
          <w:rFonts w:eastAsia="Times New Roman"/>
          <w:szCs w:val="24"/>
          <w:lang w:val="en-US"/>
        </w:rPr>
        <w:t xml:space="preserve">are costs of compliance rather than penalties for non-compliance with specific legislative requirements. </w:t>
      </w:r>
    </w:p>
    <w:p w:rsidR="006A7B3D" w:rsidRPr="00195787" w:rsidRDefault="006A7B3D" w:rsidP="006A7B3D">
      <w:pPr>
        <w:numPr>
          <w:ilvl w:val="0"/>
          <w:numId w:val="12"/>
        </w:numPr>
        <w:spacing w:after="200" w:line="276" w:lineRule="auto"/>
        <w:jc w:val="left"/>
        <w:rPr>
          <w:rFonts w:eastAsia="Times New Roman"/>
          <w:szCs w:val="24"/>
        </w:rPr>
      </w:pPr>
      <w:r>
        <w:rPr>
          <w:rFonts w:eastAsia="Times New Roman"/>
          <w:szCs w:val="24"/>
        </w:rPr>
        <w:t>Therefore, we have retained paragraphs 19 (e) and 21 (e) in the RIT-D, as costs incurred through the purchase of renewable energy certificates (RECs) should be included in the consideration of different scenarios under the RIT-D.</w:t>
      </w:r>
    </w:p>
    <w:p w:rsidR="00E91F5E" w:rsidRDefault="00E91F5E" w:rsidP="00E91F5E">
      <w:pPr>
        <w:pStyle w:val="Heading2"/>
      </w:pPr>
      <w:bookmarkStart w:id="35" w:name="_Toc353270873"/>
      <w:bookmarkStart w:id="36" w:name="_Toc364940428"/>
      <w:r w:rsidRPr="006F40C5">
        <w:t>Estimating costs</w:t>
      </w:r>
      <w:bookmarkEnd w:id="35"/>
      <w:r w:rsidRPr="006F40C5">
        <w:t xml:space="preserve"> generally</w:t>
      </w:r>
      <w:bookmarkEnd w:id="36"/>
    </w:p>
    <w:p w:rsidR="006F40C5" w:rsidRDefault="006F40C5" w:rsidP="006F40C5">
      <w:pPr>
        <w:pStyle w:val="AERbodytext"/>
      </w:pPr>
      <w:r>
        <w:t xml:space="preserve">The section discusses the treatment of costs in the RIT-D context. There is also an extended discussion on the treatment of land in the RIT-D. </w:t>
      </w:r>
    </w:p>
    <w:p w:rsidR="005E5FFA" w:rsidRDefault="005E5FFA" w:rsidP="00B01A56">
      <w:pPr>
        <w:pStyle w:val="Heading3"/>
      </w:pPr>
      <w:r>
        <w:t>General costs</w:t>
      </w:r>
    </w:p>
    <w:p w:rsidR="005E5FFA" w:rsidRDefault="005E5FFA" w:rsidP="00B01A56">
      <w:pPr>
        <w:pStyle w:val="Heading4"/>
      </w:pPr>
      <w:r>
        <w:t>Final decision</w:t>
      </w:r>
    </w:p>
    <w:p w:rsidR="005E5FFA" w:rsidRPr="00801199" w:rsidRDefault="005E5FFA" w:rsidP="00B01A56">
      <w:pPr>
        <w:pStyle w:val="AERbodytext"/>
        <w:numPr>
          <w:ilvl w:val="0"/>
          <w:numId w:val="6"/>
        </w:numPr>
      </w:pPr>
      <w:r>
        <w:t>Our final decision is to maintain the proposed view set out in the explanatory statement accompanying the draft RIT-D. This is</w:t>
      </w:r>
      <w:r w:rsidR="003B77B8">
        <w:t>,</w:t>
      </w:r>
      <w:r>
        <w:t xml:space="preserve"> that c</w:t>
      </w:r>
      <w:r>
        <w:rPr>
          <w:rStyle w:val="AERbody"/>
        </w:rPr>
        <w:t>osts</w:t>
      </w:r>
      <w:r w:rsidRPr="00801199">
        <w:rPr>
          <w:rStyle w:val="AERbody"/>
        </w:rPr>
        <w:t xml:space="preserve"> incurred before the RIT-D process is finalised would typically be treated as sunk costs and therefore excluded from the cost-benefit analysis. </w:t>
      </w:r>
      <w:r>
        <w:rPr>
          <w:rStyle w:val="AERbody"/>
        </w:rPr>
        <w:t>Other costs, such as the administration of tenders and contracts</w:t>
      </w:r>
      <w:r w:rsidR="00995EE2">
        <w:rPr>
          <w:rStyle w:val="AERbody"/>
        </w:rPr>
        <w:t>,</w:t>
      </w:r>
      <w:r>
        <w:rPr>
          <w:rStyle w:val="AERbody"/>
        </w:rPr>
        <w:t xml:space="preserve"> should be included in the RIT-D when they are material and relate to a credible option.</w:t>
      </w:r>
    </w:p>
    <w:p w:rsidR="006A7B3D" w:rsidRPr="00615D9D" w:rsidRDefault="006A7B3D" w:rsidP="006A7B3D">
      <w:pPr>
        <w:pStyle w:val="Heading4"/>
      </w:pPr>
      <w:r>
        <w:t>Reasons for the final decision</w:t>
      </w:r>
    </w:p>
    <w:p w:rsidR="006A7B3D" w:rsidRPr="00F60516" w:rsidRDefault="006A7B3D" w:rsidP="006A7B3D">
      <w:pPr>
        <w:pStyle w:val="AERbodytext"/>
      </w:pPr>
      <w:r>
        <w:t>We consider</w:t>
      </w:r>
      <w:r w:rsidRPr="000F0996">
        <w:t xml:space="preserve"> that </w:t>
      </w:r>
      <w:r w:rsidRPr="000F0996">
        <w:rPr>
          <w:rStyle w:val="AERbody"/>
        </w:rPr>
        <w:t>costs incurred before the RIT-D process is finalised would typically be treated as sunk costs</w:t>
      </w:r>
      <w:r w:rsidR="00A03EC0">
        <w:rPr>
          <w:rStyle w:val="AERbody"/>
        </w:rPr>
        <w:t>. As such, these costs are not relevant to the selection of the credible option</w:t>
      </w:r>
      <w:r w:rsidR="00F92175">
        <w:rPr>
          <w:rStyle w:val="AERbody"/>
        </w:rPr>
        <w:t xml:space="preserve"> </w:t>
      </w:r>
      <w:r w:rsidRPr="000F0996">
        <w:rPr>
          <w:rStyle w:val="AERbody"/>
        </w:rPr>
        <w:t xml:space="preserve">and </w:t>
      </w:r>
      <w:r w:rsidR="00A03EC0">
        <w:rPr>
          <w:rStyle w:val="AERbody"/>
        </w:rPr>
        <w:t>should be</w:t>
      </w:r>
      <w:r w:rsidR="00F92175">
        <w:rPr>
          <w:rStyle w:val="AERbody"/>
        </w:rPr>
        <w:t xml:space="preserve"> </w:t>
      </w:r>
      <w:r w:rsidRPr="000F0996">
        <w:rPr>
          <w:rStyle w:val="AERbody"/>
        </w:rPr>
        <w:t xml:space="preserve">excluded from the cost-benefit analysis. </w:t>
      </w:r>
      <w:r>
        <w:t xml:space="preserve">However, </w:t>
      </w:r>
      <w:r w:rsidRPr="00F60516">
        <w:t>RIT-D proponents c</w:t>
      </w:r>
      <w:r>
        <w:t>an</w:t>
      </w:r>
      <w:r w:rsidRPr="00F60516">
        <w:t xml:space="preserve"> quantify costs in performing due diligence checks, the administration of tenders and contracts with third parties. RIT-D proponents should quantify these costs insofar as they are material and relate directly to the credible option. These </w:t>
      </w:r>
      <w:r>
        <w:t xml:space="preserve">costs </w:t>
      </w:r>
      <w:r w:rsidRPr="00F60516">
        <w:t xml:space="preserve">would fall under applicable administrative requirements in relation to the construction and operation of the credible option. </w:t>
      </w:r>
    </w:p>
    <w:p w:rsidR="006A7B3D" w:rsidRPr="00F60516" w:rsidRDefault="006A7B3D" w:rsidP="006A7B3D">
      <w:r>
        <w:t>Submissions made to the draft application guidelines and feedback received at the workshops, generally support this approach.</w:t>
      </w:r>
      <w:r>
        <w:rPr>
          <w:rStyle w:val="FootnoteReference"/>
        </w:rPr>
        <w:footnoteReference w:id="67"/>
      </w:r>
    </w:p>
    <w:p w:rsidR="002F5260" w:rsidRDefault="002F5260" w:rsidP="002C4E80">
      <w:pPr>
        <w:pStyle w:val="Heading3"/>
      </w:pPr>
      <w:r>
        <w:t>Treatment of land</w:t>
      </w:r>
    </w:p>
    <w:p w:rsidR="002C4E80" w:rsidRPr="002C4E80" w:rsidRDefault="002F5260" w:rsidP="002C4E80">
      <w:pPr>
        <w:pStyle w:val="AERbodytext"/>
      </w:pPr>
      <w:r w:rsidRPr="002C4E80">
        <w:t xml:space="preserve">The treatment of land in the RIT-D </w:t>
      </w:r>
      <w:r w:rsidR="007F4B0B">
        <w:t>i</w:t>
      </w:r>
      <w:r w:rsidRPr="002C4E80">
        <w:t xml:space="preserve">s </w:t>
      </w:r>
      <w:r w:rsidR="007F4B0B">
        <w:t xml:space="preserve">an issue that was raised by stakeholders in the workshops held by the AER. </w:t>
      </w:r>
      <w:r w:rsidRPr="002C4E80">
        <w:t xml:space="preserve">Although we did not include a discussion of how land should be treated in the draft application guidelines, we consider it </w:t>
      </w:r>
      <w:r w:rsidR="00AB02FF">
        <w:t xml:space="preserve">an </w:t>
      </w:r>
      <w:r w:rsidRPr="002C4E80">
        <w:t xml:space="preserve">important </w:t>
      </w:r>
      <w:r w:rsidR="00561C91">
        <w:t xml:space="preserve">issue </w:t>
      </w:r>
      <w:r w:rsidR="00AB02FF">
        <w:t xml:space="preserve">and </w:t>
      </w:r>
      <w:r w:rsidR="00561C91">
        <w:t>have therefore included a discussion in the application guidelines</w:t>
      </w:r>
      <w:r w:rsidRPr="002C4E80">
        <w:t xml:space="preserve">. </w:t>
      </w:r>
    </w:p>
    <w:p w:rsidR="00EC08C8" w:rsidRDefault="0052462E" w:rsidP="002C4E80">
      <w:pPr>
        <w:pStyle w:val="Heading4"/>
      </w:pPr>
      <w:r>
        <w:t>Final decision</w:t>
      </w:r>
    </w:p>
    <w:p w:rsidR="002F5260" w:rsidRPr="002C4E80" w:rsidRDefault="002C4E80" w:rsidP="002C4E80">
      <w:pPr>
        <w:pStyle w:val="AERbodytext"/>
      </w:pPr>
      <w:r w:rsidRPr="002C4E80">
        <w:t xml:space="preserve">Our final decision is </w:t>
      </w:r>
      <w:r>
        <w:t xml:space="preserve">that </w:t>
      </w:r>
      <w:r w:rsidRPr="002C4E80">
        <w:t>a market value of the land should be included as part of a RIT-D assessment if it is incurred in constructing or providing a credible option</w:t>
      </w:r>
      <w:r>
        <w:t xml:space="preserve">. Further, we do not consider that a strategic purchase of land should trigger a RIT-D. </w:t>
      </w:r>
    </w:p>
    <w:p w:rsidR="002F5260" w:rsidRPr="002C4E80" w:rsidRDefault="002C4E80" w:rsidP="002C4E80">
      <w:pPr>
        <w:pStyle w:val="Heading4"/>
      </w:pPr>
      <w:r w:rsidRPr="002C4E80">
        <w:t xml:space="preserve">Reasons for </w:t>
      </w:r>
      <w:r w:rsidR="0052462E">
        <w:t>the final decision</w:t>
      </w:r>
    </w:p>
    <w:p w:rsidR="002F5260" w:rsidRDefault="00E847E7" w:rsidP="002F5260">
      <w:pPr>
        <w:pStyle w:val="AERbodytext"/>
      </w:pPr>
      <w:r>
        <w:t xml:space="preserve">The RIT-D is an investment test that seeks to </w:t>
      </w:r>
      <w:r w:rsidRPr="0093203C">
        <w:t xml:space="preserve">identify </w:t>
      </w:r>
      <w:r>
        <w:t>a</w:t>
      </w:r>
      <w:r w:rsidRPr="0093203C">
        <w:t xml:space="preserve"> credible option </w:t>
      </w:r>
      <w:r>
        <w:t>which</w:t>
      </w:r>
      <w:r w:rsidRPr="0093203C">
        <w:t xml:space="preserve"> maximises the present value of the net economic benefit</w:t>
      </w:r>
      <w:r>
        <w:t xml:space="preserve"> to all those who produce, consume and transport electricity in the NEM.</w:t>
      </w:r>
      <w:r>
        <w:rPr>
          <w:rStyle w:val="FootnoteReference"/>
        </w:rPr>
        <w:footnoteReference w:id="68"/>
      </w:r>
      <w:r>
        <w:t xml:space="preserve"> As a result, </w:t>
      </w:r>
      <w:r w:rsidRPr="0093203C">
        <w:t>it is important that all credible options are</w:t>
      </w:r>
      <w:r>
        <w:t xml:space="preserve"> </w:t>
      </w:r>
      <w:r w:rsidRPr="0093203C">
        <w:t xml:space="preserve">assessed at </w:t>
      </w:r>
      <w:r>
        <w:t xml:space="preserve">current costs. </w:t>
      </w:r>
      <w:r w:rsidR="002F5260">
        <w:t xml:space="preserve">In considering credible options under the RIT-D, the RIT-D proponent is required to quantify the financial costs incurred </w:t>
      </w:r>
      <w:r w:rsidR="00AE0FB6">
        <w:t>in constructing or providing each</w:t>
      </w:r>
      <w:r w:rsidR="002F5260">
        <w:t xml:space="preserve"> credible option.</w:t>
      </w:r>
      <w:r w:rsidR="002F5260">
        <w:rPr>
          <w:rStyle w:val="FootnoteReference"/>
        </w:rPr>
        <w:footnoteReference w:id="69"/>
      </w:r>
    </w:p>
    <w:p w:rsidR="002F5260" w:rsidRDefault="002F5260" w:rsidP="002F5260">
      <w:pPr>
        <w:pStyle w:val="AERbodytext"/>
      </w:pPr>
      <w:r>
        <w:t>There may be circumstances in which land acquired by a DNSP may be a sunk cost, for example, when land earmarked for a network option has a value of, or close to, zero. However, given that land is different to other network assets (as it does not depreciate), the fact that it may have been purchased years earlier does not necessarily mean it is a sunk cost.</w:t>
      </w:r>
    </w:p>
    <w:p w:rsidR="002F5260" w:rsidRDefault="002F5260" w:rsidP="002F5260">
      <w:pPr>
        <w:pStyle w:val="AERbodytext"/>
      </w:pPr>
      <w:r>
        <w:t xml:space="preserve">In most instances, we expect that it will be possible to ascribe a value to land for the purposes of a RIT-D assessment. Therefore, given that the cost of the land is a </w:t>
      </w:r>
      <w:r w:rsidRPr="009E5D3C">
        <w:rPr>
          <w:i/>
        </w:rPr>
        <w:t>cost incurred in constructing or providing the credible option,</w:t>
      </w:r>
      <w:r>
        <w:t xml:space="preserve"> </w:t>
      </w:r>
      <w:r w:rsidR="002C4E80">
        <w:t>we consider</w:t>
      </w:r>
      <w:r>
        <w:t xml:space="preserve"> that the value of land should be included in the RIT-D. </w:t>
      </w:r>
    </w:p>
    <w:p w:rsidR="002F5260" w:rsidRDefault="00E847E7" w:rsidP="002F5260">
      <w:pPr>
        <w:pStyle w:val="AERbodytext"/>
      </w:pPr>
      <w:r>
        <w:t>We note that t</w:t>
      </w:r>
      <w:r w:rsidR="002F5260">
        <w:t xml:space="preserve">he RIT-D process is different </w:t>
      </w:r>
      <w:r w:rsidR="00570057">
        <w:t xml:space="preserve">to a </w:t>
      </w:r>
      <w:r w:rsidR="002E6534">
        <w:t>regulatory reset</w:t>
      </w:r>
      <w:r w:rsidR="00570057">
        <w:t xml:space="preserve"> </w:t>
      </w:r>
      <w:r w:rsidR="002F5260">
        <w:t xml:space="preserve">process as it is used for assessing project options prior to the DNSP making an investment decision to address a network need. </w:t>
      </w:r>
      <w:r w:rsidR="00570057">
        <w:t xml:space="preserve">In a </w:t>
      </w:r>
      <w:r w:rsidR="002E6534">
        <w:t>regulatory reset</w:t>
      </w:r>
      <w:r w:rsidR="00570057">
        <w:t xml:space="preserve">, assets that form part of a business’s Regulatory Asset Base (RAB) are generally valued at </w:t>
      </w:r>
      <w:r w:rsidR="00570057" w:rsidRPr="00122939">
        <w:t>historic</w:t>
      </w:r>
      <w:r w:rsidR="00570057">
        <w:t>al</w:t>
      </w:r>
      <w:r w:rsidR="00570057" w:rsidRPr="00122939">
        <w:t xml:space="preserve"> cost</w:t>
      </w:r>
      <w:r w:rsidR="00570057">
        <w:t xml:space="preserve"> when they are first entered into the RAB.</w:t>
      </w:r>
      <w:r w:rsidR="00570057" w:rsidRPr="00122939">
        <w:t xml:space="preserve"> </w:t>
      </w:r>
      <w:r w:rsidR="002F5260">
        <w:t>The purpose of the RIT-D is to maximise the present value of net economic benefit, and all credible options should therefore be assessed using present values based on cu</w:t>
      </w:r>
      <w:r w:rsidR="00AB02FF">
        <w:t>rrent cost</w:t>
      </w:r>
      <w:r w:rsidR="002F5260">
        <w:t xml:space="preserve"> estimates. </w:t>
      </w:r>
    </w:p>
    <w:p w:rsidR="008D0B25" w:rsidRDefault="00E847E7" w:rsidP="002F5260">
      <w:pPr>
        <w:pStyle w:val="AERbodytext"/>
      </w:pPr>
      <w:r>
        <w:t>T</w:t>
      </w:r>
      <w:r w:rsidR="008D0B25">
        <w:t xml:space="preserve">his </w:t>
      </w:r>
      <w:r w:rsidR="00417585">
        <w:t xml:space="preserve">approach is </w:t>
      </w:r>
      <w:r w:rsidR="008D0B25">
        <w:t>consistent with the submissions made to the draft application guidelines.</w:t>
      </w:r>
      <w:r w:rsidR="008D0B25">
        <w:rPr>
          <w:rStyle w:val="FootnoteReference"/>
        </w:rPr>
        <w:footnoteReference w:id="70"/>
      </w:r>
    </w:p>
    <w:p w:rsidR="002F5260" w:rsidRPr="008D0B25" w:rsidRDefault="002F5260" w:rsidP="00834CC4">
      <w:pPr>
        <w:pStyle w:val="Heading5"/>
      </w:pPr>
      <w:r w:rsidRPr="008D0B25">
        <w:t>Strategic purchases of land—application of the RIT-D</w:t>
      </w:r>
    </w:p>
    <w:p w:rsidR="002F5260" w:rsidRDefault="003F1D08" w:rsidP="002F5260">
      <w:pPr>
        <w:pStyle w:val="AERbodytext"/>
      </w:pPr>
      <w:r>
        <w:t xml:space="preserve">A related issue raised in submissions and </w:t>
      </w:r>
      <w:r w:rsidR="00C5365B">
        <w:t xml:space="preserve">May and June </w:t>
      </w:r>
      <w:r>
        <w:t>workshops is</w:t>
      </w:r>
      <w:r w:rsidR="002F5260">
        <w:t xml:space="preserve"> whether the strategic purchase of land should trigger the application of the RIT-D. </w:t>
      </w:r>
      <w:r w:rsidR="008D0B25">
        <w:t>We consider that</w:t>
      </w:r>
      <w:r w:rsidR="002F5260">
        <w:t xml:space="preserve"> it is important to outline the AER’s views on this issue for the purposes of the RIT-D.</w:t>
      </w:r>
    </w:p>
    <w:p w:rsidR="002F5260" w:rsidRDefault="002F5260" w:rsidP="001C3902">
      <w:pPr>
        <w:pStyle w:val="AERbodytext"/>
      </w:pPr>
      <w:r>
        <w:t>Participants in the June workshops noted that land needs to be purchased as soon it becomes available, often within a short time frame.</w:t>
      </w:r>
      <w:r w:rsidR="008D0B25">
        <w:rPr>
          <w:rStyle w:val="FootnoteReference"/>
        </w:rPr>
        <w:footnoteReference w:id="71"/>
      </w:r>
      <w:r>
        <w:t xml:space="preserve"> Failure to acquire land when it becomes available may result in the DNSP being held ‘hostage’ to the market when an actual need arises. The timing and consultation obligations under the RIT-D would potentially place significant hurdles in front of a DNSP wishing to undertake a strategic land acquisition. This is because a RIT-D process that involves consideration of a non-network option may take many months.</w:t>
      </w:r>
      <w:r w:rsidRPr="0014726D">
        <w:rPr>
          <w:vertAlign w:val="superscript"/>
        </w:rPr>
        <w:footnoteReference w:id="72"/>
      </w:r>
      <w:r>
        <w:t xml:space="preserve"> </w:t>
      </w:r>
    </w:p>
    <w:p w:rsidR="002F5260" w:rsidRDefault="00E94D93" w:rsidP="002F5260">
      <w:pPr>
        <w:pStyle w:val="AERbodytext"/>
      </w:pPr>
      <w:r>
        <w:t xml:space="preserve">We </w:t>
      </w:r>
      <w:r w:rsidR="00C5365B">
        <w:t>consider</w:t>
      </w:r>
      <w:r>
        <w:t xml:space="preserve"> </w:t>
      </w:r>
      <w:r w:rsidR="002F5260">
        <w:t xml:space="preserve">that the strategic purchase of land </w:t>
      </w:r>
      <w:r w:rsidR="004A2F20">
        <w:t>should</w:t>
      </w:r>
      <w:r w:rsidR="002F5260">
        <w:t xml:space="preserve"> not trigger a RIT-D. </w:t>
      </w:r>
      <w:r w:rsidR="002C5D77">
        <w:t>A</w:t>
      </w:r>
      <w:r w:rsidR="00867C4D">
        <w:t>lthough a</w:t>
      </w:r>
      <w:r w:rsidR="002C5D77">
        <w:t xml:space="preserve"> RIT-D proponent must apply the RIT-D </w:t>
      </w:r>
      <w:r w:rsidR="00D37B57">
        <w:t>when there is an identified need, there may not be a clearly identified need or objective when a DNSP makes a strategic purchase of land. Further, l</w:t>
      </w:r>
      <w:r w:rsidR="002F5260">
        <w:t xml:space="preserve">and does not fit neatly within the </w:t>
      </w:r>
      <w:r w:rsidR="00D37B57">
        <w:t>definition of ‘n</w:t>
      </w:r>
      <w:r w:rsidR="002F5260">
        <w:t>etwork’</w:t>
      </w:r>
      <w:r w:rsidR="00D37B57">
        <w:t xml:space="preserve"> under the NER</w:t>
      </w:r>
      <w:r w:rsidR="002F5260">
        <w:t xml:space="preserve">, </w:t>
      </w:r>
      <w:r w:rsidR="00D37B57">
        <w:t>which is also a prerequisite for the RIT-D to apply.</w:t>
      </w:r>
      <w:r w:rsidR="002F5260">
        <w:t xml:space="preserve"> </w:t>
      </w:r>
    </w:p>
    <w:p w:rsidR="002F5260" w:rsidRDefault="002F5260" w:rsidP="002F5260">
      <w:pPr>
        <w:pStyle w:val="AERbodytext"/>
      </w:pPr>
      <w:r>
        <w:t>Other features of the regulatory regime provide safeguards that support the view that the strategic purchase</w:t>
      </w:r>
      <w:r w:rsidR="00BF3411">
        <w:t>s</w:t>
      </w:r>
      <w:r>
        <w:t xml:space="preserve"> of land should not trigger a RIT-D:</w:t>
      </w:r>
    </w:p>
    <w:p w:rsidR="002F5260" w:rsidRPr="008D0B25" w:rsidRDefault="00BF3411" w:rsidP="00834CC4">
      <w:pPr>
        <w:pStyle w:val="AERbulletlistfirststyle"/>
      </w:pPr>
      <w:proofErr w:type="gramStart"/>
      <w:r>
        <w:t>a</w:t>
      </w:r>
      <w:r w:rsidR="002F5260" w:rsidRPr="008D0B25">
        <w:t>ny</w:t>
      </w:r>
      <w:proofErr w:type="gramEnd"/>
      <w:r w:rsidR="002F5260" w:rsidRPr="008D0B25">
        <w:t xml:space="preserve"> land purchased during a regulatory period will be rolled into the RAB and reviewed by the AER at the next regulatory reset. The AER also has the power of ex-post review should a DNSP spend more than </w:t>
      </w:r>
      <w:proofErr w:type="gramStart"/>
      <w:r w:rsidR="002F5260" w:rsidRPr="008D0B25">
        <w:t>its</w:t>
      </w:r>
      <w:proofErr w:type="gramEnd"/>
      <w:r w:rsidR="002F5260" w:rsidRPr="008D0B25">
        <w:t xml:space="preserve"> allowed capex. Further, given that </w:t>
      </w:r>
      <w:r w:rsidR="00ED68BF">
        <w:t xml:space="preserve">the value of </w:t>
      </w:r>
      <w:r w:rsidR="002F5260" w:rsidRPr="008D0B25">
        <w:t xml:space="preserve">land </w:t>
      </w:r>
      <w:r w:rsidR="00ED68BF">
        <w:t>can appreciate</w:t>
      </w:r>
      <w:r w:rsidR="009367A8">
        <w:t>,</w:t>
      </w:r>
      <w:r w:rsidR="002F5260" w:rsidRPr="008D0B25">
        <w:t xml:space="preserve"> a purchase of land can be reversed.</w:t>
      </w:r>
    </w:p>
    <w:p w:rsidR="002F5260" w:rsidRPr="00834CC4" w:rsidRDefault="00BF3411" w:rsidP="00834CC4">
      <w:pPr>
        <w:pStyle w:val="AERbulletlistfirststyle"/>
      </w:pPr>
      <w:proofErr w:type="gramStart"/>
      <w:r>
        <w:t>a</w:t>
      </w:r>
      <w:r w:rsidR="002F5260" w:rsidRPr="00834CC4">
        <w:t>s</w:t>
      </w:r>
      <w:proofErr w:type="gramEnd"/>
      <w:r w:rsidR="002F5260" w:rsidRPr="00834CC4">
        <w:t xml:space="preserve"> part of the Framework, each DNSP is required to undertake an annual planning process covering a minimum forward planning period of five years for its distribution assets.</w:t>
      </w:r>
      <w:r w:rsidR="002F5260" w:rsidRPr="00834CC4">
        <w:rPr>
          <w:vertAlign w:val="superscript"/>
        </w:rPr>
        <w:footnoteReference w:id="73"/>
      </w:r>
      <w:r w:rsidR="002F5260" w:rsidRPr="00834CC4">
        <w:t xml:space="preserve"> </w:t>
      </w:r>
      <w:r w:rsidR="002F5260" w:rsidRPr="008D0B25">
        <w:t xml:space="preserve">The planning process applies to all distribution network assets and activities undertaken by DNSPs that would be expected to have a material impact on the distribution network in the forward planning period. As a result, </w:t>
      </w:r>
      <w:r>
        <w:t xml:space="preserve">a </w:t>
      </w:r>
      <w:r w:rsidR="002F5260" w:rsidRPr="008D0B25">
        <w:t xml:space="preserve">DNSP will be subject to scrutiny in how </w:t>
      </w:r>
      <w:r>
        <w:t>it</w:t>
      </w:r>
      <w:r w:rsidRPr="008D0B25">
        <w:t xml:space="preserve"> </w:t>
      </w:r>
      <w:r w:rsidR="002F5260" w:rsidRPr="008D0B25">
        <w:t>undertake</w:t>
      </w:r>
      <w:r>
        <w:t>s</w:t>
      </w:r>
      <w:r w:rsidR="002F5260" w:rsidRPr="008D0B25">
        <w:t xml:space="preserve"> </w:t>
      </w:r>
      <w:r>
        <w:t>its</w:t>
      </w:r>
      <w:r w:rsidRPr="008D0B25">
        <w:t xml:space="preserve"> </w:t>
      </w:r>
      <w:r w:rsidR="002F5260" w:rsidRPr="008D0B25">
        <w:t xml:space="preserve">asset management.  </w:t>
      </w:r>
    </w:p>
    <w:p w:rsidR="002F5260" w:rsidRPr="008D0B25" w:rsidRDefault="00BF3411" w:rsidP="008D0B25">
      <w:pPr>
        <w:pStyle w:val="AERbulletlistfirststyle"/>
      </w:pPr>
      <w:r>
        <w:t>t</w:t>
      </w:r>
      <w:r w:rsidR="002F5260" w:rsidRPr="008D0B25">
        <w:t>he overall objective of the Framework is to establish a transparent and clearly defined planning process within which non-network providers can plan and offer alternative, more cost effective options. Requiring DNSPs to conduct a RIT-D prior to undertaking a strategic land acquisition does meet this objective. This is because a DNSP is unlikely to have a clearly defined need when undertaking a strategic land purchase.</w:t>
      </w:r>
    </w:p>
    <w:p w:rsidR="004E3728" w:rsidRDefault="00BF3411">
      <w:pPr>
        <w:rPr>
          <w:rFonts w:eastAsia="Times New Roman"/>
          <w:szCs w:val="24"/>
        </w:rPr>
      </w:pPr>
      <w:r>
        <w:rPr>
          <w:rFonts w:eastAsia="Times New Roman"/>
          <w:szCs w:val="24"/>
        </w:rPr>
        <w:t>As a result</w:t>
      </w:r>
      <w:r w:rsidR="008D0B25">
        <w:rPr>
          <w:rFonts w:eastAsia="Times New Roman"/>
          <w:szCs w:val="24"/>
        </w:rPr>
        <w:t xml:space="preserve">, we do not consider that strategic purchases of land should trigger a RIT-D. </w:t>
      </w:r>
    </w:p>
    <w:p w:rsidR="006F40C5" w:rsidRPr="00892887" w:rsidRDefault="006F40C5" w:rsidP="00D119E1">
      <w:pPr>
        <w:pStyle w:val="Heading2"/>
      </w:pPr>
      <w:bookmarkStart w:id="37" w:name="_Toc364940429"/>
      <w:r w:rsidRPr="00892887">
        <w:t>Dispute Resolution</w:t>
      </w:r>
      <w:bookmarkEnd w:id="37"/>
      <w:r w:rsidRPr="00892887">
        <w:t xml:space="preserve"> </w:t>
      </w:r>
    </w:p>
    <w:p w:rsidR="006F40C5" w:rsidRPr="00892887" w:rsidRDefault="0052462E" w:rsidP="00D119E1">
      <w:pPr>
        <w:pStyle w:val="Heading3"/>
      </w:pPr>
      <w:r>
        <w:t>Final decision</w:t>
      </w:r>
    </w:p>
    <w:p w:rsidR="008B0132" w:rsidRDefault="006F40C5" w:rsidP="008B0132">
      <w:pPr>
        <w:pStyle w:val="AERbodytext"/>
      </w:pPr>
      <w:r>
        <w:t xml:space="preserve">Our final decision is </w:t>
      </w:r>
      <w:r w:rsidR="007F4B0B">
        <w:t xml:space="preserve">to </w:t>
      </w:r>
      <w:r>
        <w:t xml:space="preserve">maintain our proposed view set out in the explanatory statement accompanying the draft RIT-D. </w:t>
      </w:r>
      <w:r w:rsidR="007F4B0B">
        <w:t xml:space="preserve">Our </w:t>
      </w:r>
      <w:r w:rsidR="00BF3411">
        <w:t xml:space="preserve">final decision </w:t>
      </w:r>
      <w:r w:rsidR="007F4B0B">
        <w:t>is</w:t>
      </w:r>
      <w:r>
        <w:t xml:space="preserve"> </w:t>
      </w:r>
      <w:r w:rsidRPr="00892887">
        <w:t>base</w:t>
      </w:r>
      <w:r>
        <w:t>d</w:t>
      </w:r>
      <w:r w:rsidRPr="00892887">
        <w:t xml:space="preserve"> </w:t>
      </w:r>
      <w:r>
        <w:t>on the</w:t>
      </w:r>
      <w:r w:rsidRPr="00892887">
        <w:t xml:space="preserve"> require</w:t>
      </w:r>
      <w:r>
        <w:t>ments</w:t>
      </w:r>
      <w:r w:rsidRPr="00892887">
        <w:t xml:space="preserve"> under cll. 5.17.2(</w:t>
      </w:r>
      <w:proofErr w:type="gramStart"/>
      <w:r w:rsidRPr="00892887">
        <w:t>b</w:t>
      </w:r>
      <w:proofErr w:type="gramEnd"/>
      <w:r w:rsidRPr="00892887">
        <w:t>)(2)(iv</w:t>
      </w:r>
      <w:r w:rsidR="002F09F9">
        <w:t>)</w:t>
      </w:r>
      <w:r w:rsidRPr="00892887">
        <w:t xml:space="preserve"> and cl. 5.17.5 of the NER.  </w:t>
      </w:r>
    </w:p>
    <w:p w:rsidR="008B0132" w:rsidRDefault="008B0132" w:rsidP="00D119E1">
      <w:pPr>
        <w:pStyle w:val="Heading3"/>
      </w:pPr>
      <w:r w:rsidRPr="00892887">
        <w:t xml:space="preserve">Reasons for </w:t>
      </w:r>
      <w:r>
        <w:t>the final decision</w:t>
      </w:r>
    </w:p>
    <w:p w:rsidR="008B0132" w:rsidRDefault="008B0132" w:rsidP="008B0132">
      <w:pPr>
        <w:pStyle w:val="AERbodytext"/>
      </w:pPr>
      <w:r>
        <w:t>Submissions made to t</w:t>
      </w:r>
      <w:r w:rsidRPr="00892887">
        <w:t xml:space="preserve">he draft application guidelines </w:t>
      </w:r>
      <w:r>
        <w:t>support</w:t>
      </w:r>
      <w:r w:rsidR="00BF3411">
        <w:t>s</w:t>
      </w:r>
      <w:r>
        <w:t xml:space="preserve"> our approach on</w:t>
      </w:r>
      <w:r w:rsidRPr="00892887">
        <w:t xml:space="preserve"> the dispute resolution process</w:t>
      </w:r>
      <w:r>
        <w:t xml:space="preserve"> which reflects the process prescribed in the NER</w:t>
      </w:r>
      <w:r w:rsidRPr="00892887">
        <w:t>.</w:t>
      </w:r>
      <w:r>
        <w:rPr>
          <w:rStyle w:val="FootnoteReference"/>
        </w:rPr>
        <w:footnoteReference w:id="74"/>
      </w:r>
    </w:p>
    <w:p w:rsidR="00CE463B" w:rsidRDefault="00CE463B" w:rsidP="006F40C5">
      <w:pPr>
        <w:pStyle w:val="AERbodytext"/>
      </w:pPr>
    </w:p>
    <w:p w:rsidR="008B0132" w:rsidRDefault="008B0132">
      <w:pPr>
        <w:pStyle w:val="AERbodytext"/>
      </w:pPr>
    </w:p>
    <w:sectPr w:rsidR="008B0132" w:rsidSect="004E372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109" w:rsidRDefault="00514109" w:rsidP="00E91F5E">
      <w:pPr>
        <w:spacing w:after="0" w:line="240" w:lineRule="auto"/>
      </w:pPr>
      <w:r>
        <w:separator/>
      </w:r>
    </w:p>
  </w:endnote>
  <w:endnote w:type="continuationSeparator" w:id="0">
    <w:p w:rsidR="00514109" w:rsidRDefault="00514109" w:rsidP="00E9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86" w:rsidRDefault="00692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09" w:rsidRPr="00692E86" w:rsidRDefault="00514109" w:rsidP="00692E86">
    <w:pPr>
      <w:pStyle w:val="Footer"/>
      <w:rPr>
        <w:rStyle w:val="AERbody"/>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86" w:rsidRDefault="00692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109" w:rsidRDefault="00514109" w:rsidP="00E91F5E">
      <w:pPr>
        <w:spacing w:after="0" w:line="240" w:lineRule="auto"/>
      </w:pPr>
      <w:r>
        <w:separator/>
      </w:r>
    </w:p>
  </w:footnote>
  <w:footnote w:type="continuationSeparator" w:id="0">
    <w:p w:rsidR="00514109" w:rsidRDefault="00514109" w:rsidP="00E91F5E">
      <w:pPr>
        <w:spacing w:after="0" w:line="240" w:lineRule="auto"/>
      </w:pPr>
      <w:r>
        <w:continuationSeparator/>
      </w:r>
    </w:p>
  </w:footnote>
  <w:footnote w:id="1">
    <w:p w:rsidR="00514109" w:rsidRDefault="00514109" w:rsidP="00107866">
      <w:pPr>
        <w:pStyle w:val="FootnoteText"/>
      </w:pPr>
      <w:r>
        <w:rPr>
          <w:rStyle w:val="FootnoteReference"/>
        </w:rPr>
        <w:footnoteRef/>
      </w:r>
      <w:r>
        <w:t xml:space="preserve"> </w:t>
      </w:r>
      <w:r>
        <w:tab/>
        <w:t xml:space="preserve">AEMC, Rule determination: </w:t>
      </w:r>
      <w:r w:rsidRPr="00023AB6">
        <w:rPr>
          <w:i/>
        </w:rPr>
        <w:t>National Electricity Amendment (Distribution Network Planning and Expansion Framework) Rule 2012</w:t>
      </w:r>
      <w:r>
        <w:t xml:space="preserve">, 11 October 2012, (AEMC, Rule determination: </w:t>
      </w:r>
      <w:r w:rsidRPr="00023AB6">
        <w:rPr>
          <w:i/>
        </w:rPr>
        <w:t>Distribution Network Planning and Expansion Framework</w:t>
      </w:r>
      <w:r>
        <w:t xml:space="preserve">, 11 October 2012), p. ii. </w:t>
      </w:r>
    </w:p>
  </w:footnote>
  <w:footnote w:id="2">
    <w:p w:rsidR="00514109" w:rsidRDefault="00514109" w:rsidP="00107866">
      <w:pPr>
        <w:pStyle w:val="FootnoteText"/>
      </w:pPr>
      <w:r>
        <w:rPr>
          <w:rStyle w:val="FootnoteReference"/>
        </w:rPr>
        <w:footnoteRef/>
      </w:r>
      <w:r>
        <w:t xml:space="preserve"> </w:t>
      </w:r>
      <w:r>
        <w:tab/>
        <w:t xml:space="preserve">AEMC, Rule determination: </w:t>
      </w:r>
      <w:r w:rsidRPr="00455858">
        <w:rPr>
          <w:i/>
        </w:rPr>
        <w:t>Distribution Network Planning and Expansion Framework</w:t>
      </w:r>
      <w:r>
        <w:t xml:space="preserve">, 11 October 2012, p. i. </w:t>
      </w:r>
    </w:p>
  </w:footnote>
  <w:footnote w:id="3">
    <w:p w:rsidR="00514109" w:rsidRDefault="00514109" w:rsidP="00557803">
      <w:pPr>
        <w:pStyle w:val="FootnoteText"/>
      </w:pPr>
      <w:r>
        <w:rPr>
          <w:rStyle w:val="FootnoteReference"/>
        </w:rPr>
        <w:footnoteRef/>
      </w:r>
      <w:r>
        <w:t xml:space="preserve"> </w:t>
      </w:r>
      <w:r>
        <w:tab/>
      </w:r>
      <w:proofErr w:type="gramStart"/>
      <w:r>
        <w:t>NER, cl. 5.15.2(a).</w:t>
      </w:r>
      <w:proofErr w:type="gramEnd"/>
    </w:p>
  </w:footnote>
  <w:footnote w:id="4">
    <w:p w:rsidR="00514109" w:rsidRDefault="00514109" w:rsidP="00557803">
      <w:pPr>
        <w:pStyle w:val="FootnoteText"/>
      </w:pPr>
      <w:r>
        <w:rPr>
          <w:rStyle w:val="FootnoteReference"/>
        </w:rPr>
        <w:footnoteRef/>
      </w:r>
      <w:r>
        <w:t xml:space="preserve"> </w:t>
      </w:r>
      <w:r>
        <w:tab/>
      </w:r>
      <w:proofErr w:type="gramStart"/>
      <w:r>
        <w:t>NER, cl. 5.17.1(b).</w:t>
      </w:r>
      <w:proofErr w:type="gramEnd"/>
    </w:p>
  </w:footnote>
  <w:footnote w:id="5">
    <w:p w:rsidR="00514109" w:rsidRDefault="00514109" w:rsidP="00B05D1D">
      <w:pPr>
        <w:pStyle w:val="FootnoteText"/>
      </w:pPr>
      <w:r>
        <w:rPr>
          <w:rStyle w:val="FootnoteReference"/>
        </w:rPr>
        <w:footnoteRef/>
      </w:r>
      <w:r>
        <w:t xml:space="preserve"> </w:t>
      </w:r>
      <w:r>
        <w:tab/>
      </w:r>
      <w:proofErr w:type="gramStart"/>
      <w:r>
        <w:t>NER, cl. 5.17.</w:t>
      </w:r>
      <w:proofErr w:type="gramEnd"/>
      <w:r>
        <w:t xml:space="preserve"> </w:t>
      </w:r>
    </w:p>
  </w:footnote>
  <w:footnote w:id="6">
    <w:p w:rsidR="00514109" w:rsidRDefault="00514109">
      <w:pPr>
        <w:pStyle w:val="FootnoteText"/>
      </w:pPr>
      <w:r>
        <w:rPr>
          <w:rStyle w:val="FootnoteReference"/>
        </w:rPr>
        <w:footnoteRef/>
      </w:r>
      <w:r>
        <w:t xml:space="preserve"> </w:t>
      </w:r>
      <w:r>
        <w:tab/>
        <w:t xml:space="preserve">AER, Explanatory statement: </w:t>
      </w:r>
      <w:r w:rsidRPr="00124CC8">
        <w:rPr>
          <w:i/>
        </w:rPr>
        <w:t>Draft regulatory investment test for distribution and application guidelines</w:t>
      </w:r>
      <w:r>
        <w:t xml:space="preserve">, June 2013; AER, </w:t>
      </w:r>
      <w:r w:rsidRPr="008D5FEA">
        <w:rPr>
          <w:i/>
        </w:rPr>
        <w:t>Draft regulatory investment test for distribution</w:t>
      </w:r>
      <w:r>
        <w:t xml:space="preserve">, June 2013; AER, </w:t>
      </w:r>
      <w:r w:rsidRPr="008D5FEA">
        <w:rPr>
          <w:i/>
        </w:rPr>
        <w:t>Draft regulatory investment test for distribution–application guidelines</w:t>
      </w:r>
      <w:r>
        <w:t>, June 2013.</w:t>
      </w:r>
    </w:p>
  </w:footnote>
  <w:footnote w:id="7">
    <w:p w:rsidR="00514109" w:rsidRDefault="00514109" w:rsidP="00E91F5E">
      <w:pPr>
        <w:pStyle w:val="FootnoteText"/>
      </w:pPr>
      <w:r>
        <w:rPr>
          <w:rStyle w:val="FootnoteReference"/>
        </w:rPr>
        <w:footnoteRef/>
      </w:r>
      <w:r>
        <w:t xml:space="preserve"> </w:t>
      </w:r>
      <w:r>
        <w:tab/>
      </w:r>
      <w:proofErr w:type="gramStart"/>
      <w:r>
        <w:t>NER, cl. 5.17.2(a).</w:t>
      </w:r>
      <w:proofErr w:type="gramEnd"/>
    </w:p>
  </w:footnote>
  <w:footnote w:id="8">
    <w:p w:rsidR="00514109" w:rsidRPr="007F3ADD" w:rsidRDefault="00514109" w:rsidP="00E91F5E">
      <w:pPr>
        <w:pStyle w:val="FootnoteText"/>
        <w:rPr>
          <w:rStyle w:val="FootnoteReference"/>
        </w:rPr>
      </w:pPr>
      <w:r>
        <w:rPr>
          <w:rStyle w:val="FootnoteReference"/>
        </w:rPr>
        <w:footnoteRef/>
      </w:r>
      <w:r w:rsidRPr="007F3ADD">
        <w:rPr>
          <w:rStyle w:val="FootnoteReference"/>
        </w:rPr>
        <w:t xml:space="preserve"> </w:t>
      </w:r>
      <w:r w:rsidRPr="007F3ADD">
        <w:rPr>
          <w:rStyle w:val="FootnoteReference"/>
        </w:rPr>
        <w:tab/>
      </w:r>
      <w:r w:rsidRPr="007F3ADD">
        <w:rPr>
          <w:rStyle w:val="FootnoteReference"/>
          <w:vertAlign w:val="baseline"/>
        </w:rPr>
        <w:t>NER. cl. 6.16(b)(2).</w:t>
      </w:r>
      <w:r w:rsidRPr="007F3ADD">
        <w:rPr>
          <w:rStyle w:val="FootnoteReference"/>
        </w:rPr>
        <w:t xml:space="preserve"> </w:t>
      </w:r>
    </w:p>
  </w:footnote>
  <w:footnote w:id="9">
    <w:p w:rsidR="00514109" w:rsidRPr="007F3ADD" w:rsidRDefault="00514109" w:rsidP="00E91F5E">
      <w:pPr>
        <w:pStyle w:val="FootnoteText"/>
        <w:rPr>
          <w:rStyle w:val="FootnoteReference"/>
        </w:rPr>
      </w:pPr>
      <w:r w:rsidRPr="007F3ADD">
        <w:rPr>
          <w:rStyle w:val="FootnoteReference"/>
        </w:rPr>
        <w:footnoteRef/>
      </w:r>
      <w:r w:rsidRPr="007F3ADD">
        <w:rPr>
          <w:rStyle w:val="FootnoteReference"/>
        </w:rPr>
        <w:t xml:space="preserve"> </w:t>
      </w:r>
      <w:r w:rsidRPr="007F3ADD">
        <w:rPr>
          <w:rStyle w:val="FootnoteReference"/>
        </w:rPr>
        <w:tab/>
      </w:r>
      <w:r w:rsidRPr="007F3ADD">
        <w:rPr>
          <w:rStyle w:val="FootnoteReference"/>
          <w:vertAlign w:val="baseline"/>
        </w:rPr>
        <w:t>AEMC, Final</w:t>
      </w:r>
      <w:r w:rsidRPr="002B3986">
        <w:rPr>
          <w:rStyle w:val="FootnoteReference"/>
          <w:vertAlign w:val="baseline"/>
        </w:rPr>
        <w:t xml:space="preserve"> Report: </w:t>
      </w:r>
      <w:r w:rsidRPr="00FF0679">
        <w:rPr>
          <w:rStyle w:val="FootnoteReference"/>
          <w:i/>
          <w:vertAlign w:val="baseline"/>
        </w:rPr>
        <w:t>Review of National Framework for Electricity Distribution Network Planning and Expansion</w:t>
      </w:r>
      <w:r w:rsidRPr="002B3986">
        <w:rPr>
          <w:rStyle w:val="FootnoteReference"/>
          <w:vertAlign w:val="baseline"/>
        </w:rPr>
        <w:t>, 23 September 2009.</w:t>
      </w:r>
    </w:p>
  </w:footnote>
  <w:footnote w:id="10">
    <w:p w:rsidR="00514109" w:rsidRDefault="00514109" w:rsidP="00C50B33">
      <w:pPr>
        <w:pStyle w:val="FootnoteText"/>
      </w:pPr>
      <w:r>
        <w:rPr>
          <w:rStyle w:val="FootnoteReference"/>
        </w:rPr>
        <w:footnoteRef/>
      </w:r>
      <w:r>
        <w:t xml:space="preserve"> </w:t>
      </w:r>
      <w:r>
        <w:tab/>
      </w:r>
      <w:r w:rsidRPr="007F3ADD">
        <w:rPr>
          <w:rStyle w:val="FootnoteReference"/>
          <w:vertAlign w:val="baseline"/>
        </w:rPr>
        <w:t xml:space="preserve">AEMC, Rule Determination: </w:t>
      </w:r>
      <w:r w:rsidRPr="007F3ADD">
        <w:rPr>
          <w:rStyle w:val="FootnoteReference"/>
          <w:i/>
          <w:vertAlign w:val="baseline"/>
        </w:rPr>
        <w:t>Distribution Network Planning and Expansion Framework</w:t>
      </w:r>
      <w:r w:rsidRPr="007F3ADD">
        <w:rPr>
          <w:rStyle w:val="FootnoteReference"/>
          <w:vertAlign w:val="baseline"/>
        </w:rPr>
        <w:t xml:space="preserve">, </w:t>
      </w:r>
      <w:r>
        <w:t xml:space="preserve">11 </w:t>
      </w:r>
      <w:r w:rsidRPr="007F3ADD">
        <w:rPr>
          <w:rStyle w:val="FootnoteReference"/>
          <w:vertAlign w:val="baseline"/>
        </w:rPr>
        <w:t>October 2012</w:t>
      </w:r>
      <w:r>
        <w:rPr>
          <w:rStyle w:val="FootnoteReference"/>
          <w:vertAlign w:val="baseline"/>
        </w:rPr>
        <w:t>.</w:t>
      </w:r>
    </w:p>
  </w:footnote>
  <w:footnote w:id="11">
    <w:p w:rsidR="00514109" w:rsidRDefault="00514109" w:rsidP="00C35264">
      <w:pPr>
        <w:pStyle w:val="FootnoteText"/>
      </w:pPr>
      <w:r>
        <w:rPr>
          <w:rStyle w:val="FootnoteReference"/>
        </w:rPr>
        <w:footnoteRef/>
      </w:r>
      <w:r w:rsidRPr="00A71490">
        <w:rPr>
          <w:rStyle w:val="FootnoteReference"/>
        </w:rPr>
        <w:t xml:space="preserve"> </w:t>
      </w:r>
      <w:r w:rsidRPr="00A71490">
        <w:rPr>
          <w:rStyle w:val="FootnoteReference"/>
        </w:rPr>
        <w:tab/>
      </w:r>
      <w:r w:rsidRPr="00A71490">
        <w:rPr>
          <w:rStyle w:val="FootnoteReference"/>
          <w:vertAlign w:val="baseline"/>
        </w:rPr>
        <w:t xml:space="preserve">AEMC, </w:t>
      </w:r>
      <w:r w:rsidRPr="00A71490">
        <w:rPr>
          <w:rStyle w:val="FootnoteReference"/>
          <w:i/>
          <w:vertAlign w:val="baseline"/>
        </w:rPr>
        <w:t>National Electricity Amendment (Distribution network and expansion framework) Rule 2012 No.5</w:t>
      </w:r>
      <w:r w:rsidRPr="00A71490">
        <w:rPr>
          <w:rStyle w:val="FootnoteReference"/>
          <w:vertAlign w:val="baseline"/>
        </w:rPr>
        <w:t>.</w:t>
      </w:r>
      <w:r>
        <w:rPr>
          <w:rStyle w:val="FootnoteReference"/>
          <w:vertAlign w:val="baseline"/>
        </w:rPr>
        <w:t>, 11 October 2012.</w:t>
      </w:r>
      <w:r w:rsidRPr="00A71490">
        <w:rPr>
          <w:rStyle w:val="FootnoteReference"/>
        </w:rPr>
        <w:t xml:space="preserve"> </w:t>
      </w:r>
      <w:r w:rsidRPr="00A71490">
        <w:rPr>
          <w:rStyle w:val="FootnoteReference"/>
          <w:vertAlign w:val="baseline"/>
        </w:rPr>
        <w:t xml:space="preserve">The final rule establishes a national framework for electricity distribution network planning and expansion, including new demand side obligations on distribution businesses, within the </w:t>
      </w:r>
      <w:r>
        <w:rPr>
          <w:rStyle w:val="FootnoteReference"/>
          <w:vertAlign w:val="baseline"/>
        </w:rPr>
        <w:t>N</w:t>
      </w:r>
      <w:r>
        <w:t>ER</w:t>
      </w:r>
      <w:r w:rsidRPr="00A71490">
        <w:rPr>
          <w:rStyle w:val="FootnoteReference"/>
          <w:vertAlign w:val="baseline"/>
        </w:rPr>
        <w:t>. This will support these businesses and other market participants in making efficient investment decisions which will in turn facilitate the efficient development of distribution networks in the long term interests of consumers.</w:t>
      </w:r>
    </w:p>
  </w:footnote>
  <w:footnote w:id="12">
    <w:p w:rsidR="00514109" w:rsidRDefault="00514109" w:rsidP="008D5FEA">
      <w:pPr>
        <w:pStyle w:val="FootnoteText"/>
      </w:pPr>
      <w:r>
        <w:rPr>
          <w:rStyle w:val="FootnoteReference"/>
        </w:rPr>
        <w:footnoteRef/>
      </w:r>
      <w:r>
        <w:t xml:space="preserve"> </w:t>
      </w:r>
      <w:r>
        <w:tab/>
        <w:t xml:space="preserve">AER, Final decision: </w:t>
      </w:r>
      <w:r w:rsidRPr="002B211C">
        <w:rPr>
          <w:i/>
        </w:rPr>
        <w:t>Regulatory Test version 3 and application guidelines</w:t>
      </w:r>
      <w:r>
        <w:t xml:space="preserve">, November 2007. </w:t>
      </w:r>
    </w:p>
  </w:footnote>
  <w:footnote w:id="13">
    <w:p w:rsidR="00514109" w:rsidRDefault="00514109" w:rsidP="00E91F5E">
      <w:pPr>
        <w:pStyle w:val="FootnoteText"/>
      </w:pPr>
      <w:r>
        <w:rPr>
          <w:rStyle w:val="FootnoteReference"/>
        </w:rPr>
        <w:footnoteRef/>
      </w:r>
      <w:r>
        <w:t xml:space="preserve"> </w:t>
      </w:r>
      <w:r>
        <w:tab/>
      </w:r>
      <w:proofErr w:type="gramStart"/>
      <w:r>
        <w:t>NER, cl. 6.16(b).</w:t>
      </w:r>
      <w:proofErr w:type="gramEnd"/>
    </w:p>
  </w:footnote>
  <w:footnote w:id="14">
    <w:p w:rsidR="00514109" w:rsidRDefault="00514109" w:rsidP="00E91F5E">
      <w:pPr>
        <w:pStyle w:val="FootnoteText"/>
      </w:pPr>
      <w:r>
        <w:rPr>
          <w:rStyle w:val="FootnoteReference"/>
        </w:rPr>
        <w:footnoteRef/>
      </w:r>
      <w:r>
        <w:t xml:space="preserve"> </w:t>
      </w:r>
      <w:r>
        <w:tab/>
      </w:r>
      <w:proofErr w:type="gramStart"/>
      <w:r>
        <w:t>NER, cl. 5.17.1(b).</w:t>
      </w:r>
      <w:proofErr w:type="gramEnd"/>
    </w:p>
  </w:footnote>
  <w:footnote w:id="15">
    <w:p w:rsidR="00514109" w:rsidRPr="00763406" w:rsidRDefault="00514109" w:rsidP="00A6594F">
      <w:pPr>
        <w:pStyle w:val="FootnoteText"/>
      </w:pPr>
      <w:r w:rsidRPr="00094093">
        <w:rPr>
          <w:rStyle w:val="FootnoteReference"/>
        </w:rPr>
        <w:footnoteRef/>
      </w:r>
      <w:r w:rsidRPr="00094093">
        <w:rPr>
          <w:rStyle w:val="FootnoteReference"/>
          <w:vertAlign w:val="baseline"/>
        </w:rPr>
        <w:t xml:space="preserve"> </w:t>
      </w:r>
      <w:r w:rsidRPr="00094093">
        <w:rPr>
          <w:rStyle w:val="FootnoteReference"/>
          <w:vertAlign w:val="baseline"/>
        </w:rPr>
        <w:tab/>
      </w:r>
      <w:r w:rsidRPr="0058528F">
        <w:t xml:space="preserve">Submissions </w:t>
      </w:r>
      <w:r>
        <w:t xml:space="preserve">on the draft RIT-D and application guidelines </w:t>
      </w:r>
      <w:r w:rsidRPr="0058528F">
        <w:t xml:space="preserve">received </w:t>
      </w:r>
      <w:r>
        <w:t xml:space="preserve">include: </w:t>
      </w:r>
      <w:r w:rsidRPr="0058528F">
        <w:t xml:space="preserve">EnerNOC, </w:t>
      </w:r>
      <w:r w:rsidRPr="0058528F">
        <w:rPr>
          <w:i/>
        </w:rPr>
        <w:t>Submission on the Draft Regulatory Investment Test for Distribution (“RIT-D”)</w:t>
      </w:r>
      <w:r w:rsidRPr="0058528F">
        <w:t>, 18 July 2013</w:t>
      </w:r>
      <w:r>
        <w:t xml:space="preserve">; </w:t>
      </w:r>
      <w:r w:rsidRPr="0058528F">
        <w:t xml:space="preserve">SA Power Networks, </w:t>
      </w:r>
      <w:r w:rsidRPr="0058528F">
        <w:rPr>
          <w:i/>
        </w:rPr>
        <w:t>AER’s Draft Regulatory Investment Test for Distribution</w:t>
      </w:r>
      <w:r w:rsidRPr="0058528F">
        <w:t>, 2</w:t>
      </w:r>
      <w:r>
        <w:t>3</w:t>
      </w:r>
      <w:r w:rsidRPr="0058528F">
        <w:t xml:space="preserve"> July 2013</w:t>
      </w:r>
      <w:r>
        <w:t xml:space="preserve"> (The AER received this submission on 24 July 2013); </w:t>
      </w:r>
      <w:r w:rsidRPr="0058528F">
        <w:t xml:space="preserve">Victorian Electricity Distribution Businesses (Victorian </w:t>
      </w:r>
      <w:r>
        <w:t>DNSPs</w:t>
      </w:r>
      <w:r w:rsidRPr="0058528F">
        <w:t xml:space="preserve">), </w:t>
      </w:r>
      <w:r w:rsidRPr="0058528F">
        <w:rPr>
          <w:i/>
        </w:rPr>
        <w:t>Draft Regulatory Investment Test for Distribution</w:t>
      </w:r>
      <w:r w:rsidRPr="0058528F">
        <w:t>, 1</w:t>
      </w:r>
      <w:r>
        <w:t>8</w:t>
      </w:r>
      <w:r w:rsidRPr="0058528F">
        <w:t xml:space="preserve"> July 2013</w:t>
      </w:r>
      <w:r>
        <w:t xml:space="preserve"> (The AER received this submission on 17 July 2013); </w:t>
      </w:r>
      <w:r w:rsidRPr="0058528F">
        <w:t>Total Environment Centre Inc</w:t>
      </w:r>
      <w:r w:rsidR="002B1715">
        <w:t>.</w:t>
      </w:r>
      <w:r w:rsidRPr="0058528F">
        <w:t xml:space="preserve"> (TEC), </w:t>
      </w:r>
      <w:r w:rsidRPr="0058528F">
        <w:rPr>
          <w:i/>
        </w:rPr>
        <w:t>Submission to the AER– Draft regulatory investment test for distribution and application guidelines</w:t>
      </w:r>
      <w:r w:rsidRPr="0058528F">
        <w:t>, July 2013</w:t>
      </w:r>
      <w:r>
        <w:t xml:space="preserve">; </w:t>
      </w:r>
      <w:r w:rsidRPr="0058528F">
        <w:t xml:space="preserve">Energex, </w:t>
      </w:r>
      <w:r w:rsidRPr="0058528F">
        <w:rPr>
          <w:i/>
        </w:rPr>
        <w:t>Draft Regulatory Investment Test for Distribution and Application Guidelines</w:t>
      </w:r>
      <w:r w:rsidRPr="0058528F">
        <w:t>, 1</w:t>
      </w:r>
      <w:r>
        <w:t>5</w:t>
      </w:r>
      <w:r w:rsidRPr="0058528F">
        <w:t xml:space="preserve"> July 2013</w:t>
      </w:r>
      <w:r>
        <w:t xml:space="preserve"> (The AER received this submission on 16 July 2013); Grid Australia</w:t>
      </w:r>
      <w:r w:rsidRPr="0058528F">
        <w:t xml:space="preserve">, </w:t>
      </w:r>
      <w:r w:rsidRPr="0058528F">
        <w:rPr>
          <w:i/>
        </w:rPr>
        <w:t>Draft RIT-D and application guidelines</w:t>
      </w:r>
      <w:r w:rsidRPr="0058528F">
        <w:t>, 18 July 2013</w:t>
      </w:r>
      <w:r>
        <w:t xml:space="preserve">; </w:t>
      </w:r>
      <w:r w:rsidRPr="00FC2AD4">
        <w:rPr>
          <w:rStyle w:val="FootnoteReference"/>
          <w:vertAlign w:val="baseline"/>
        </w:rPr>
        <w:t xml:space="preserve">Major Energy Users Inc. (MEU), </w:t>
      </w:r>
      <w:r w:rsidRPr="0058528F">
        <w:rPr>
          <w:rStyle w:val="FootnoteReference"/>
          <w:i/>
          <w:vertAlign w:val="baseline"/>
        </w:rPr>
        <w:t>MEU response to Draft Regulatory Investment Test for Distribution (RIT-D)</w:t>
      </w:r>
      <w:r>
        <w:rPr>
          <w:rStyle w:val="FootnoteReference"/>
          <w:vertAlign w:val="baseline"/>
        </w:rPr>
        <w:t>, July 2013</w:t>
      </w:r>
      <w:r>
        <w:t xml:space="preserve"> (The AER received this submission on 18 July 2013)</w:t>
      </w:r>
      <w:r>
        <w:rPr>
          <w:rStyle w:val="FootnoteReference"/>
          <w:vertAlign w:val="baseline"/>
        </w:rPr>
        <w:t xml:space="preserve">; </w:t>
      </w:r>
      <w:r w:rsidRPr="00FC2AD4">
        <w:rPr>
          <w:rStyle w:val="FootnoteReference"/>
          <w:vertAlign w:val="baseline"/>
        </w:rPr>
        <w:t>Australian PV Association</w:t>
      </w:r>
      <w:r>
        <w:t xml:space="preserve"> (APVA)</w:t>
      </w:r>
      <w:r w:rsidRPr="00FC2AD4">
        <w:rPr>
          <w:rStyle w:val="FootnoteReference"/>
          <w:vertAlign w:val="baseline"/>
        </w:rPr>
        <w:t xml:space="preserve">, </w:t>
      </w:r>
      <w:r w:rsidRPr="0058528F">
        <w:rPr>
          <w:rStyle w:val="FootnoteReference"/>
          <w:i/>
          <w:vertAlign w:val="baseline"/>
        </w:rPr>
        <w:t>APVA Response to the AER’s ‘Draft regulatory investment test for distributed generation Application Guidelines</w:t>
      </w:r>
      <w:r w:rsidRPr="00FC2AD4">
        <w:rPr>
          <w:rStyle w:val="FootnoteReference"/>
          <w:vertAlign w:val="baseline"/>
        </w:rPr>
        <w:t>, July 2013</w:t>
      </w:r>
      <w:r>
        <w:t xml:space="preserve"> (The AER received this submission on 12 July 2013)</w:t>
      </w:r>
      <w:r>
        <w:rPr>
          <w:rStyle w:val="FootnoteReference"/>
          <w:vertAlign w:val="baseline"/>
        </w:rPr>
        <w:t xml:space="preserve">; </w:t>
      </w:r>
      <w:r w:rsidRPr="00FC2AD4">
        <w:rPr>
          <w:rStyle w:val="FootnoteReference"/>
          <w:vertAlign w:val="baseline"/>
        </w:rPr>
        <w:t xml:space="preserve">Ergon Energy Corporation Limited (Ergon Energy), </w:t>
      </w:r>
      <w:r w:rsidRPr="0058528F">
        <w:rPr>
          <w:rStyle w:val="FootnoteReference"/>
          <w:i/>
          <w:vertAlign w:val="baseline"/>
        </w:rPr>
        <w:t>Draft Regulatory Investment Test for Distribution and Application Guidelines</w:t>
      </w:r>
      <w:r w:rsidRPr="00FC2AD4">
        <w:rPr>
          <w:rStyle w:val="FootnoteReference"/>
          <w:vertAlign w:val="baseline"/>
        </w:rPr>
        <w:t>, 1</w:t>
      </w:r>
      <w:r>
        <w:t>2</w:t>
      </w:r>
      <w:r w:rsidRPr="00FC2AD4">
        <w:rPr>
          <w:rStyle w:val="FootnoteReference"/>
          <w:vertAlign w:val="baseline"/>
        </w:rPr>
        <w:t xml:space="preserve"> July 2013</w:t>
      </w:r>
      <w:r w:rsidR="002B1715">
        <w:t xml:space="preserve">; </w:t>
      </w:r>
      <w:proofErr w:type="spellStart"/>
      <w:r w:rsidR="002B1715">
        <w:t>Uniting</w:t>
      </w:r>
      <w:r>
        <w:t>Care</w:t>
      </w:r>
      <w:proofErr w:type="spellEnd"/>
      <w:r>
        <w:t xml:space="preserve"> Australia, </w:t>
      </w:r>
      <w:r w:rsidRPr="00C2691D">
        <w:rPr>
          <w:i/>
        </w:rPr>
        <w:t>AER Draft Regulatory Test for Distribution (RIT-D) Application Guidelines</w:t>
      </w:r>
      <w:r>
        <w:t xml:space="preserve">, July 2013 (The AER received this submission on 7 August 2013). Examples were received from: Ausgrid, Email to AER, </w:t>
      </w:r>
      <w:r w:rsidRPr="00763406">
        <w:rPr>
          <w:i/>
        </w:rPr>
        <w:t>Draft RIT-D Guidelines - Additional discussion for Example 1 and Example 12</w:t>
      </w:r>
      <w:r>
        <w:t xml:space="preserve">, 29 July 2013; Energex, Email to the AER, </w:t>
      </w:r>
      <w:r w:rsidRPr="00763406">
        <w:rPr>
          <w:i/>
        </w:rPr>
        <w:t>Energex proposed examples for the RIT-D Guidelines</w:t>
      </w:r>
      <w:r w:rsidRPr="00763406">
        <w:t>, 16 May 2013.</w:t>
      </w:r>
      <w:r>
        <w:t xml:space="preserve"> </w:t>
      </w:r>
    </w:p>
    <w:p w:rsidR="00514109" w:rsidRPr="00763406" w:rsidRDefault="00514109" w:rsidP="00A6594F">
      <w:pPr>
        <w:pStyle w:val="FootnoteText"/>
      </w:pPr>
    </w:p>
    <w:p w:rsidR="00514109" w:rsidRDefault="00514109" w:rsidP="00A6594F">
      <w:pPr>
        <w:pStyle w:val="FootnoteText"/>
      </w:pPr>
    </w:p>
  </w:footnote>
  <w:footnote w:id="16">
    <w:p w:rsidR="00514109" w:rsidRDefault="00514109" w:rsidP="007F3ADD">
      <w:pPr>
        <w:pStyle w:val="FootnoteText"/>
      </w:pPr>
      <w:r>
        <w:rPr>
          <w:rStyle w:val="FootnoteReference"/>
        </w:rPr>
        <w:footnoteRef/>
      </w:r>
      <w:r>
        <w:t xml:space="preserve"> </w:t>
      </w:r>
      <w:r>
        <w:tab/>
      </w:r>
      <w:r w:rsidRPr="0058528F">
        <w:t xml:space="preserve">EnerNOC, </w:t>
      </w:r>
      <w:r w:rsidRPr="0058528F">
        <w:rPr>
          <w:i/>
        </w:rPr>
        <w:t>Submission on the Draft Regulatory Investment Test for Distribution (“RIT-D”)</w:t>
      </w:r>
      <w:r w:rsidRPr="0058528F">
        <w:t>, 18 July 2013</w:t>
      </w:r>
      <w:r>
        <w:t xml:space="preserve">; </w:t>
      </w:r>
      <w:r w:rsidRPr="0058528F">
        <w:t xml:space="preserve">SA Power Networks, </w:t>
      </w:r>
      <w:r w:rsidRPr="0058528F">
        <w:rPr>
          <w:i/>
        </w:rPr>
        <w:t>AER’s Draft Regulatory Investment Test for Distribution</w:t>
      </w:r>
      <w:r w:rsidRPr="0058528F">
        <w:t>, 2</w:t>
      </w:r>
      <w:r>
        <w:t>3</w:t>
      </w:r>
      <w:r w:rsidRPr="0058528F">
        <w:t xml:space="preserve"> July 2013</w:t>
      </w:r>
      <w:r>
        <w:t xml:space="preserve">; </w:t>
      </w:r>
      <w:r w:rsidRPr="0058528F">
        <w:t xml:space="preserve">Victorian </w:t>
      </w:r>
      <w:r>
        <w:t>DNSPs</w:t>
      </w:r>
      <w:r w:rsidRPr="0058528F">
        <w:t xml:space="preserve">, </w:t>
      </w:r>
      <w:r w:rsidRPr="0058528F">
        <w:rPr>
          <w:i/>
        </w:rPr>
        <w:t>Draft Regulatory Investment Test for Distribution</w:t>
      </w:r>
      <w:r w:rsidRPr="0058528F">
        <w:t>, 1</w:t>
      </w:r>
      <w:r>
        <w:t>8</w:t>
      </w:r>
      <w:r w:rsidRPr="0058528F">
        <w:t xml:space="preserve"> July 2013</w:t>
      </w:r>
      <w:r>
        <w:t xml:space="preserve">; </w:t>
      </w:r>
      <w:r w:rsidRPr="0058528F">
        <w:t xml:space="preserve">TEC, </w:t>
      </w:r>
      <w:r w:rsidRPr="0058528F">
        <w:rPr>
          <w:i/>
        </w:rPr>
        <w:t>Submission to the AER–Draft regulatory investment test for distribution and application guidelines</w:t>
      </w:r>
      <w:r w:rsidRPr="0058528F">
        <w:t>, July 2013</w:t>
      </w:r>
      <w:r>
        <w:t>; Grid Australia</w:t>
      </w:r>
      <w:r w:rsidRPr="0058528F">
        <w:t xml:space="preserve">, </w:t>
      </w:r>
      <w:r w:rsidRPr="0058528F">
        <w:rPr>
          <w:i/>
        </w:rPr>
        <w:t>Draft RIT-D and application guidelines</w:t>
      </w:r>
      <w:r w:rsidRPr="0058528F">
        <w:t>, 18 July 2013</w:t>
      </w:r>
      <w:r>
        <w:t>.</w:t>
      </w:r>
      <w:r w:rsidRPr="0058528F">
        <w:rPr>
          <w:i/>
        </w:rPr>
        <w:t xml:space="preserve"> </w:t>
      </w:r>
    </w:p>
  </w:footnote>
  <w:footnote w:id="17">
    <w:p w:rsidR="00514109" w:rsidRDefault="00514109">
      <w:pPr>
        <w:pStyle w:val="FootnoteText"/>
      </w:pPr>
      <w:r>
        <w:rPr>
          <w:rStyle w:val="FootnoteReference"/>
        </w:rPr>
        <w:footnoteRef/>
      </w:r>
      <w:r>
        <w:t xml:space="preserve"> </w:t>
      </w:r>
      <w:r>
        <w:tab/>
      </w:r>
      <w:r>
        <w:rPr>
          <w:rStyle w:val="FootnoteReference"/>
          <w:vertAlign w:val="baseline"/>
        </w:rPr>
        <w:t>MEU</w:t>
      </w:r>
      <w:r w:rsidRPr="00FC2AD4">
        <w:rPr>
          <w:rStyle w:val="FootnoteReference"/>
          <w:vertAlign w:val="baseline"/>
        </w:rPr>
        <w:t xml:space="preserve">, </w:t>
      </w:r>
      <w:r w:rsidRPr="0058528F">
        <w:rPr>
          <w:rStyle w:val="FootnoteReference"/>
          <w:i/>
          <w:vertAlign w:val="baseline"/>
        </w:rPr>
        <w:t>MEU response to Draft Regulatory Investment Test for Distribution (RIT-D)</w:t>
      </w:r>
      <w:r>
        <w:rPr>
          <w:rStyle w:val="FootnoteReference"/>
          <w:vertAlign w:val="baseline"/>
        </w:rPr>
        <w:t xml:space="preserve">, 18 July </w:t>
      </w:r>
      <w:r w:rsidRPr="00455858">
        <w:rPr>
          <w:rStyle w:val="FootnoteReference"/>
          <w:vertAlign w:val="baseline"/>
        </w:rPr>
        <w:t>2013,</w:t>
      </w:r>
      <w:r w:rsidRPr="00455858">
        <w:t xml:space="preserve"> </w:t>
      </w:r>
      <w:proofErr w:type="gramStart"/>
      <w:r w:rsidRPr="00455858">
        <w:t>p. 6.</w:t>
      </w:r>
      <w:proofErr w:type="gramEnd"/>
      <w:r>
        <w:t xml:space="preserve"> </w:t>
      </w:r>
    </w:p>
  </w:footnote>
  <w:footnote w:id="18">
    <w:p w:rsidR="00514109" w:rsidRDefault="00514109">
      <w:pPr>
        <w:pStyle w:val="FootnoteText"/>
      </w:pPr>
      <w:r>
        <w:rPr>
          <w:rStyle w:val="FootnoteReference"/>
        </w:rPr>
        <w:footnoteRef/>
      </w:r>
      <w:r>
        <w:t xml:space="preserve"> </w:t>
      </w:r>
      <w:r>
        <w:tab/>
      </w:r>
      <w:r w:rsidRPr="00FC2AD4">
        <w:rPr>
          <w:rStyle w:val="FootnoteReference"/>
          <w:vertAlign w:val="baseline"/>
        </w:rPr>
        <w:t xml:space="preserve">MEU, </w:t>
      </w:r>
      <w:r w:rsidRPr="0058528F">
        <w:rPr>
          <w:rStyle w:val="FootnoteReference"/>
          <w:i/>
          <w:vertAlign w:val="baseline"/>
        </w:rPr>
        <w:t>MEU response to Draft Regulatory Investment Test for Distribution (RIT-D)</w:t>
      </w:r>
      <w:r>
        <w:rPr>
          <w:rStyle w:val="FootnoteReference"/>
          <w:vertAlign w:val="baseline"/>
        </w:rPr>
        <w:t>, July 2013,</w:t>
      </w:r>
      <w:r>
        <w:t xml:space="preserve"> pp. 6–7. </w:t>
      </w:r>
    </w:p>
  </w:footnote>
  <w:footnote w:id="19">
    <w:p w:rsidR="00514109" w:rsidRDefault="00514109">
      <w:pPr>
        <w:pStyle w:val="FootnoteText"/>
      </w:pPr>
      <w:r>
        <w:rPr>
          <w:rStyle w:val="FootnoteReference"/>
        </w:rPr>
        <w:footnoteRef/>
      </w:r>
      <w:r>
        <w:t xml:space="preserve"> </w:t>
      </w:r>
      <w:r>
        <w:tab/>
      </w:r>
      <w:r w:rsidRPr="0058528F">
        <w:t>Victorian D</w:t>
      </w:r>
      <w:r>
        <w:t>NSP</w:t>
      </w:r>
      <w:r w:rsidRPr="0058528F">
        <w:t xml:space="preserve">s, </w:t>
      </w:r>
      <w:r w:rsidRPr="0058528F">
        <w:rPr>
          <w:i/>
        </w:rPr>
        <w:t>Draft Regulatory Investment Test for Distribution</w:t>
      </w:r>
      <w:r>
        <w:t>, 18</w:t>
      </w:r>
      <w:r w:rsidRPr="0058528F">
        <w:t xml:space="preserve"> July 2013</w:t>
      </w:r>
      <w:r>
        <w:t xml:space="preserve">, p. 7. </w:t>
      </w:r>
    </w:p>
  </w:footnote>
  <w:footnote w:id="20">
    <w:p w:rsidR="00514109" w:rsidRDefault="00514109">
      <w:pPr>
        <w:pStyle w:val="FootnoteText"/>
      </w:pPr>
      <w:r>
        <w:rPr>
          <w:rStyle w:val="FootnoteReference"/>
        </w:rPr>
        <w:footnoteRef/>
      </w:r>
      <w:r>
        <w:t xml:space="preserve"> </w:t>
      </w:r>
      <w:r>
        <w:tab/>
      </w:r>
      <w:r w:rsidRPr="00FC2AD4">
        <w:rPr>
          <w:rStyle w:val="FootnoteReference"/>
          <w:vertAlign w:val="baseline"/>
        </w:rPr>
        <w:t xml:space="preserve">MEU, </w:t>
      </w:r>
      <w:r w:rsidRPr="0058528F">
        <w:rPr>
          <w:rStyle w:val="FootnoteReference"/>
          <w:i/>
          <w:vertAlign w:val="baseline"/>
        </w:rPr>
        <w:t>MEU response to Draft Regulatory Investment Test for Distribution (RIT-D)</w:t>
      </w:r>
      <w:r>
        <w:rPr>
          <w:rStyle w:val="FootnoteReference"/>
          <w:vertAlign w:val="baseline"/>
        </w:rPr>
        <w:t>, 18 July 2013</w:t>
      </w:r>
      <w:proofErr w:type="gramStart"/>
      <w:r>
        <w:t>, p. 7.</w:t>
      </w:r>
      <w:proofErr w:type="gramEnd"/>
      <w:r>
        <w:t xml:space="preserve"> </w:t>
      </w:r>
    </w:p>
  </w:footnote>
  <w:footnote w:id="21">
    <w:p w:rsidR="00514109" w:rsidRDefault="00514109">
      <w:pPr>
        <w:pStyle w:val="FootnoteText"/>
      </w:pPr>
      <w:r>
        <w:rPr>
          <w:rStyle w:val="FootnoteReference"/>
        </w:rPr>
        <w:footnoteRef/>
      </w:r>
      <w:r>
        <w:t xml:space="preserve"> </w:t>
      </w:r>
      <w:r>
        <w:tab/>
      </w:r>
      <w:r w:rsidRPr="0058528F">
        <w:t xml:space="preserve">Victorian </w:t>
      </w:r>
      <w:r>
        <w:t>DNSPs</w:t>
      </w:r>
      <w:r w:rsidRPr="0058528F">
        <w:t xml:space="preserve">, </w:t>
      </w:r>
      <w:r w:rsidRPr="0058528F">
        <w:rPr>
          <w:i/>
        </w:rPr>
        <w:t>Draft Regulatory Investment Test for Distribution</w:t>
      </w:r>
      <w:r>
        <w:t>, 18</w:t>
      </w:r>
      <w:r w:rsidRPr="0058528F">
        <w:t xml:space="preserve"> July 2013</w:t>
      </w:r>
      <w:r>
        <w:t xml:space="preserve">, p. 24. </w:t>
      </w:r>
    </w:p>
  </w:footnote>
  <w:footnote w:id="22">
    <w:p w:rsidR="00514109" w:rsidRDefault="00514109">
      <w:pPr>
        <w:pStyle w:val="FootnoteText"/>
      </w:pPr>
      <w:r>
        <w:rPr>
          <w:rStyle w:val="FootnoteReference"/>
        </w:rPr>
        <w:footnoteRef/>
      </w:r>
      <w:r>
        <w:t xml:space="preserve"> </w:t>
      </w:r>
      <w:r>
        <w:tab/>
      </w:r>
      <w:r w:rsidRPr="00FC2AD4">
        <w:rPr>
          <w:rStyle w:val="FootnoteReference"/>
          <w:vertAlign w:val="baseline"/>
        </w:rPr>
        <w:t xml:space="preserve">MEU, </w:t>
      </w:r>
      <w:r w:rsidRPr="0058528F">
        <w:rPr>
          <w:rStyle w:val="FootnoteReference"/>
          <w:i/>
          <w:vertAlign w:val="baseline"/>
        </w:rPr>
        <w:t>MEU response to Draft Regulatory Investment Test for Distribution (RIT-D)</w:t>
      </w:r>
      <w:r>
        <w:rPr>
          <w:rStyle w:val="FootnoteReference"/>
          <w:vertAlign w:val="baseline"/>
        </w:rPr>
        <w:t>, 18 July 2013,</w:t>
      </w:r>
      <w:r>
        <w:t xml:space="preserve"> p.8. </w:t>
      </w:r>
    </w:p>
  </w:footnote>
  <w:footnote w:id="23">
    <w:p w:rsidR="00514109" w:rsidRDefault="00514109">
      <w:pPr>
        <w:pStyle w:val="FootnoteText"/>
      </w:pPr>
      <w:r>
        <w:rPr>
          <w:rStyle w:val="FootnoteReference"/>
        </w:rPr>
        <w:footnoteRef/>
      </w:r>
      <w:r>
        <w:t xml:space="preserve"> </w:t>
      </w:r>
      <w:r>
        <w:tab/>
        <w:t xml:space="preserve">AEMC, Rule determination: </w:t>
      </w:r>
      <w:r w:rsidRPr="00455858">
        <w:rPr>
          <w:i/>
        </w:rPr>
        <w:t>Distribution Network Planning and Expansion Framework</w:t>
      </w:r>
      <w:r>
        <w:t xml:space="preserve">, 11 October 2012, p. ii. </w:t>
      </w:r>
    </w:p>
  </w:footnote>
  <w:footnote w:id="24">
    <w:p w:rsidR="00514109" w:rsidRDefault="00514109">
      <w:pPr>
        <w:pStyle w:val="FootnoteText"/>
      </w:pPr>
      <w:r>
        <w:rPr>
          <w:rStyle w:val="FootnoteReference"/>
        </w:rPr>
        <w:footnoteRef/>
      </w:r>
      <w:r>
        <w:t xml:space="preserve"> </w:t>
      </w:r>
      <w:r>
        <w:tab/>
      </w:r>
      <w:r w:rsidRPr="0058528F">
        <w:t xml:space="preserve">Victorian </w:t>
      </w:r>
      <w:r>
        <w:t>DNSPs</w:t>
      </w:r>
      <w:r w:rsidRPr="0058528F">
        <w:t xml:space="preserve">, </w:t>
      </w:r>
      <w:r w:rsidRPr="0058528F">
        <w:rPr>
          <w:i/>
        </w:rPr>
        <w:t>Draft Regulatory Investment Test for Distribution</w:t>
      </w:r>
      <w:r w:rsidRPr="0058528F">
        <w:t>, 17 July 2013</w:t>
      </w:r>
      <w:r>
        <w:t xml:space="preserve">, p. 17. </w:t>
      </w:r>
    </w:p>
  </w:footnote>
  <w:footnote w:id="25">
    <w:p w:rsidR="00514109" w:rsidRDefault="00514109" w:rsidP="002D2C20">
      <w:pPr>
        <w:pStyle w:val="FootnoteText"/>
      </w:pPr>
      <w:r>
        <w:rPr>
          <w:rStyle w:val="FootnoteReference"/>
        </w:rPr>
        <w:footnoteRef/>
      </w:r>
      <w:r>
        <w:t xml:space="preserve"> </w:t>
      </w:r>
      <w:r>
        <w:tab/>
      </w:r>
      <w:proofErr w:type="gramStart"/>
      <w:r>
        <w:t xml:space="preserve">AER, </w:t>
      </w:r>
      <w:r w:rsidRPr="00D74D46">
        <w:rPr>
          <w:i/>
        </w:rPr>
        <w:t>Draft RIT-D–Application guidelines</w:t>
      </w:r>
      <w:r>
        <w:t>, June 2013, p. 41.</w:t>
      </w:r>
      <w:proofErr w:type="gramEnd"/>
      <w:r>
        <w:t xml:space="preserve"> </w:t>
      </w:r>
    </w:p>
  </w:footnote>
  <w:footnote w:id="26">
    <w:p w:rsidR="00514109" w:rsidRDefault="00514109" w:rsidP="002D2C20">
      <w:pPr>
        <w:pStyle w:val="FootnoteText"/>
      </w:pPr>
      <w:r>
        <w:rPr>
          <w:rStyle w:val="FootnoteReference"/>
        </w:rPr>
        <w:footnoteRef/>
      </w:r>
      <w:r>
        <w:t xml:space="preserve"> </w:t>
      </w:r>
      <w:r>
        <w:tab/>
        <w:t xml:space="preserve">EnerNOC, </w:t>
      </w:r>
      <w:r w:rsidRPr="0058528F">
        <w:rPr>
          <w:i/>
        </w:rPr>
        <w:t>Submission on the Draft Regulatory Investment Test for Distribution (“RIT-D”)</w:t>
      </w:r>
      <w:r w:rsidRPr="0058528F">
        <w:t>, 18 July 2013</w:t>
      </w:r>
      <w:r>
        <w:t xml:space="preserve">, p. 2. </w:t>
      </w:r>
    </w:p>
  </w:footnote>
  <w:footnote w:id="27">
    <w:p w:rsidR="00514109" w:rsidRPr="005E5FFA" w:rsidRDefault="00514109" w:rsidP="00027A44">
      <w:pPr>
        <w:pStyle w:val="FootnoteText"/>
      </w:pPr>
      <w:r>
        <w:rPr>
          <w:rStyle w:val="FootnoteReference"/>
        </w:rPr>
        <w:footnoteRef/>
      </w:r>
      <w:r>
        <w:t xml:space="preserve"> </w:t>
      </w:r>
      <w:r>
        <w:tab/>
      </w:r>
      <w:proofErr w:type="gramStart"/>
      <w:r>
        <w:t>Grid Australia</w:t>
      </w:r>
      <w:r w:rsidRPr="0058528F">
        <w:t xml:space="preserve">, </w:t>
      </w:r>
      <w:r w:rsidRPr="0058528F">
        <w:rPr>
          <w:i/>
        </w:rPr>
        <w:t>Draft RIT-D and application guidelines</w:t>
      </w:r>
      <w:r w:rsidRPr="0058528F">
        <w:t>, 18 July 2013</w:t>
      </w:r>
      <w:r>
        <w:t>, pp</w:t>
      </w:r>
      <w:r w:rsidRPr="005E5FFA">
        <w:t>. 2–3, 7.</w:t>
      </w:r>
      <w:proofErr w:type="gramEnd"/>
    </w:p>
  </w:footnote>
  <w:footnote w:id="28">
    <w:p w:rsidR="00514109" w:rsidRDefault="00514109" w:rsidP="002B1715">
      <w:pPr>
        <w:pStyle w:val="FootnoteText"/>
      </w:pPr>
      <w:r w:rsidRPr="005E5FFA">
        <w:rPr>
          <w:rStyle w:val="FootnoteReference"/>
        </w:rPr>
        <w:footnoteRef/>
      </w:r>
      <w:r w:rsidRPr="005E5FFA">
        <w:t xml:space="preserve"> </w:t>
      </w:r>
      <w:r w:rsidRPr="005E5FFA">
        <w:tab/>
      </w:r>
      <w:r>
        <w:t>Grid Australia</w:t>
      </w:r>
      <w:r w:rsidRPr="005E5FFA">
        <w:t xml:space="preserve">, </w:t>
      </w:r>
      <w:r w:rsidRPr="005E5FFA">
        <w:rPr>
          <w:i/>
        </w:rPr>
        <w:t>Draft RIT-D and application guidelines</w:t>
      </w:r>
      <w:r w:rsidRPr="005E5FFA">
        <w:t>, 18 July 2013, pp. </w:t>
      </w:r>
      <w:r w:rsidRPr="00446B46">
        <w:t>2–3, 7</w:t>
      </w:r>
      <w:r w:rsidRPr="005E5FFA">
        <w:t>; AER,</w:t>
      </w:r>
      <w:r>
        <w:t xml:space="preserve"> </w:t>
      </w:r>
      <w:r w:rsidRPr="00D74D46">
        <w:rPr>
          <w:i/>
        </w:rPr>
        <w:t>Draft RIT-D–Application guidelines</w:t>
      </w:r>
      <w:r w:rsidR="002B1715">
        <w:t>, June 2013, p. 42.</w:t>
      </w:r>
    </w:p>
  </w:footnote>
  <w:footnote w:id="29">
    <w:p w:rsidR="00514109" w:rsidRPr="007F3ADD" w:rsidRDefault="00514109" w:rsidP="002D2C20">
      <w:pPr>
        <w:pStyle w:val="FootnoteText"/>
        <w:rPr>
          <w:rStyle w:val="FootnoteReference"/>
        </w:rPr>
      </w:pPr>
      <w:r>
        <w:rPr>
          <w:rStyle w:val="FootnoteReference"/>
        </w:rPr>
        <w:footnoteRef/>
      </w:r>
      <w:r>
        <w:t xml:space="preserve"> </w:t>
      </w:r>
      <w:r>
        <w:tab/>
        <w:t>NER, cll 5.17.1(c</w:t>
      </w:r>
      <w:proofErr w:type="gramStart"/>
      <w:r>
        <w:t>)(</w:t>
      </w:r>
      <w:proofErr w:type="gramEnd"/>
      <w:r>
        <w:t xml:space="preserve">4)(i)-(ii); 5.17.1(c)(5). </w:t>
      </w:r>
    </w:p>
  </w:footnote>
  <w:footnote w:id="30">
    <w:p w:rsidR="00514109" w:rsidRPr="007F3ADD" w:rsidRDefault="00514109" w:rsidP="007F3ADD">
      <w:pPr>
        <w:pStyle w:val="FootnoteText"/>
        <w:rPr>
          <w:rStyle w:val="FootnoteReference"/>
        </w:rPr>
      </w:pPr>
    </w:p>
  </w:footnote>
  <w:footnote w:id="31">
    <w:p w:rsidR="00514109" w:rsidRDefault="00514109" w:rsidP="001E6792">
      <w:pPr>
        <w:pStyle w:val="FootnoteText"/>
      </w:pPr>
      <w:r>
        <w:rPr>
          <w:rStyle w:val="FootnoteReference"/>
        </w:rPr>
        <w:footnoteRef/>
      </w:r>
      <w:r>
        <w:t xml:space="preserve"> </w:t>
      </w:r>
      <w:r>
        <w:tab/>
      </w:r>
      <w:r w:rsidRPr="00FC2AD4">
        <w:rPr>
          <w:rStyle w:val="FootnoteReference"/>
          <w:vertAlign w:val="baseline"/>
        </w:rPr>
        <w:t xml:space="preserve">MEU, </w:t>
      </w:r>
      <w:r w:rsidRPr="0058528F">
        <w:rPr>
          <w:rStyle w:val="FootnoteReference"/>
          <w:i/>
          <w:vertAlign w:val="baseline"/>
        </w:rPr>
        <w:t>MEU response to Draft Regulatory Investment Test for Distribution (RIT-D)</w:t>
      </w:r>
      <w:r>
        <w:rPr>
          <w:rStyle w:val="FootnoteReference"/>
          <w:vertAlign w:val="baseline"/>
        </w:rPr>
        <w:t>, July 2013</w:t>
      </w:r>
      <w:proofErr w:type="gramStart"/>
      <w:r>
        <w:t>, p. 8.</w:t>
      </w:r>
      <w:proofErr w:type="gramEnd"/>
    </w:p>
  </w:footnote>
  <w:footnote w:id="32">
    <w:p w:rsidR="00514109" w:rsidRDefault="00514109">
      <w:pPr>
        <w:pStyle w:val="FootnoteText"/>
      </w:pPr>
      <w:r>
        <w:rPr>
          <w:rStyle w:val="FootnoteReference"/>
        </w:rPr>
        <w:footnoteRef/>
      </w:r>
      <w:r>
        <w:t xml:space="preserve"> </w:t>
      </w:r>
      <w:r>
        <w:tab/>
        <w:t xml:space="preserve">AER, Explanatory statement: </w:t>
      </w:r>
      <w:r w:rsidRPr="008D5FEA">
        <w:rPr>
          <w:i/>
        </w:rPr>
        <w:t>Draft regulatory investment test for distribution and application guidelines</w:t>
      </w:r>
      <w:r>
        <w:t xml:space="preserve">, June 2013, p. 13. </w:t>
      </w:r>
    </w:p>
  </w:footnote>
  <w:footnote w:id="33">
    <w:p w:rsidR="00514109" w:rsidRDefault="00514109" w:rsidP="00E91F5E">
      <w:pPr>
        <w:pStyle w:val="FootnoteText"/>
      </w:pPr>
      <w:r>
        <w:rPr>
          <w:rStyle w:val="FootnoteReference"/>
        </w:rPr>
        <w:footnoteRef/>
      </w:r>
      <w:r>
        <w:t xml:space="preserve"> </w:t>
      </w:r>
      <w:r>
        <w:tab/>
      </w:r>
      <w:proofErr w:type="gramStart"/>
      <w:r>
        <w:t>NER, cll.</w:t>
      </w:r>
      <w:proofErr w:type="gramEnd"/>
      <w:r>
        <w:t xml:space="preserve"> 5.16.4; 5.16.5; 5.17.4; 5.17.5. </w:t>
      </w:r>
    </w:p>
  </w:footnote>
  <w:footnote w:id="34">
    <w:p w:rsidR="00514109" w:rsidRDefault="00514109" w:rsidP="00002786">
      <w:pPr>
        <w:pStyle w:val="FootnoteText"/>
      </w:pPr>
      <w:r>
        <w:rPr>
          <w:rStyle w:val="FootnoteReference"/>
        </w:rPr>
        <w:footnoteRef/>
      </w:r>
      <w:r>
        <w:t xml:space="preserve"> </w:t>
      </w:r>
      <w:r>
        <w:tab/>
      </w:r>
      <w:r w:rsidRPr="00FC2AD4">
        <w:rPr>
          <w:rStyle w:val="FootnoteReference"/>
          <w:vertAlign w:val="baseline"/>
        </w:rPr>
        <w:t xml:space="preserve">MEU, </w:t>
      </w:r>
      <w:r w:rsidRPr="0058528F">
        <w:rPr>
          <w:rStyle w:val="FootnoteReference"/>
          <w:i/>
          <w:vertAlign w:val="baseline"/>
        </w:rPr>
        <w:t>MEU response to Draft Regulatory Investment Test for Distribution (RIT-D)</w:t>
      </w:r>
      <w:r>
        <w:rPr>
          <w:rStyle w:val="FootnoteReference"/>
          <w:vertAlign w:val="baseline"/>
        </w:rPr>
        <w:t>, July 2013,</w:t>
      </w:r>
      <w:r>
        <w:t xml:space="preserve"> </w:t>
      </w:r>
      <w:proofErr w:type="gramStart"/>
      <w:r>
        <w:t>p. 9.</w:t>
      </w:r>
      <w:proofErr w:type="gramEnd"/>
    </w:p>
  </w:footnote>
  <w:footnote w:id="35">
    <w:p w:rsidR="00514109" w:rsidRDefault="00514109" w:rsidP="00066887">
      <w:pPr>
        <w:pStyle w:val="FootnoteText"/>
      </w:pPr>
      <w:r>
        <w:rPr>
          <w:rStyle w:val="FootnoteReference"/>
        </w:rPr>
        <w:footnoteRef/>
      </w:r>
      <w:r>
        <w:t xml:space="preserve"> </w:t>
      </w:r>
      <w:r w:rsidR="00043F35">
        <w:tab/>
      </w:r>
      <w:proofErr w:type="spellStart"/>
      <w:proofErr w:type="gramStart"/>
      <w:r w:rsidR="00043F35">
        <w:t>Uniting</w:t>
      </w:r>
      <w:r>
        <w:t>Care</w:t>
      </w:r>
      <w:proofErr w:type="spellEnd"/>
      <w:r>
        <w:t xml:space="preserve"> Australia, </w:t>
      </w:r>
      <w:r w:rsidRPr="00C2691D">
        <w:rPr>
          <w:i/>
        </w:rPr>
        <w:t>AER Draft Regulatory Test for Distribution (RIT-D) Application Guidelines</w:t>
      </w:r>
      <w:r>
        <w:t>, July 2013, p. 3.</w:t>
      </w:r>
      <w:proofErr w:type="gramEnd"/>
    </w:p>
  </w:footnote>
  <w:footnote w:id="36">
    <w:p w:rsidR="00514109" w:rsidRDefault="00514109" w:rsidP="002B3986">
      <w:pPr>
        <w:pStyle w:val="FootnoteText"/>
      </w:pPr>
      <w:r>
        <w:rPr>
          <w:rStyle w:val="FootnoteReference"/>
        </w:rPr>
        <w:footnoteRef/>
      </w:r>
      <w:r>
        <w:t xml:space="preserve"> </w:t>
      </w:r>
      <w:r>
        <w:tab/>
      </w:r>
      <w:proofErr w:type="gramStart"/>
      <w:r w:rsidRPr="0058528F">
        <w:t xml:space="preserve">TEC, </w:t>
      </w:r>
      <w:r w:rsidRPr="0058528F">
        <w:rPr>
          <w:i/>
        </w:rPr>
        <w:t>Submission to the AER–Draft regulatory investment test for distribution and application guidelines</w:t>
      </w:r>
      <w:r w:rsidRPr="0058528F">
        <w:t>, July 2013</w:t>
      </w:r>
      <w:r>
        <w:t>, p. 3.</w:t>
      </w:r>
      <w:proofErr w:type="gramEnd"/>
      <w:r>
        <w:t xml:space="preserve"> </w:t>
      </w:r>
    </w:p>
  </w:footnote>
  <w:footnote w:id="37">
    <w:p w:rsidR="00514109" w:rsidRDefault="00514109">
      <w:pPr>
        <w:pStyle w:val="FootnoteText"/>
      </w:pPr>
      <w:r>
        <w:rPr>
          <w:rStyle w:val="FootnoteReference"/>
        </w:rPr>
        <w:footnoteRef/>
      </w:r>
      <w:r>
        <w:t xml:space="preserve"> </w:t>
      </w:r>
      <w:r>
        <w:tab/>
      </w:r>
      <w:r w:rsidRPr="0058528F">
        <w:t xml:space="preserve">Victorian </w:t>
      </w:r>
      <w:r>
        <w:t>DNSPs</w:t>
      </w:r>
      <w:r w:rsidRPr="0058528F">
        <w:t xml:space="preserve">, </w:t>
      </w:r>
      <w:r w:rsidRPr="0058528F">
        <w:rPr>
          <w:i/>
        </w:rPr>
        <w:t>Draft Regulatory Investment Test for Distribution</w:t>
      </w:r>
      <w:r w:rsidRPr="0058528F">
        <w:t>, 1</w:t>
      </w:r>
      <w:r>
        <w:t>8</w:t>
      </w:r>
      <w:r w:rsidRPr="0058528F">
        <w:t xml:space="preserve"> July 2013</w:t>
      </w:r>
      <w:r>
        <w:t>, p. 12.</w:t>
      </w:r>
    </w:p>
  </w:footnote>
  <w:footnote w:id="38">
    <w:p w:rsidR="00514109" w:rsidRDefault="00514109">
      <w:pPr>
        <w:pStyle w:val="FootnoteText"/>
      </w:pPr>
      <w:r>
        <w:rPr>
          <w:rStyle w:val="FootnoteReference"/>
        </w:rPr>
        <w:footnoteRef/>
      </w:r>
      <w:r>
        <w:t xml:space="preserve"> </w:t>
      </w:r>
      <w:r>
        <w:tab/>
      </w:r>
      <w:r w:rsidRPr="00FC2AD4">
        <w:rPr>
          <w:rStyle w:val="FootnoteReference"/>
          <w:vertAlign w:val="baseline"/>
        </w:rPr>
        <w:t xml:space="preserve">MEU, </w:t>
      </w:r>
      <w:r w:rsidRPr="0058528F">
        <w:rPr>
          <w:rStyle w:val="FootnoteReference"/>
          <w:i/>
          <w:vertAlign w:val="baseline"/>
        </w:rPr>
        <w:t>MEU response to Draft Regulatory Investment Test for Distribution (RIT-D)</w:t>
      </w:r>
      <w:r>
        <w:rPr>
          <w:rStyle w:val="FootnoteReference"/>
          <w:vertAlign w:val="baseline"/>
        </w:rPr>
        <w:t>, July 2013</w:t>
      </w:r>
      <w:r>
        <w:t xml:space="preserve">, pp. 9–10. </w:t>
      </w:r>
    </w:p>
  </w:footnote>
  <w:footnote w:id="39">
    <w:p w:rsidR="00514109" w:rsidRDefault="00514109" w:rsidP="00E30336">
      <w:pPr>
        <w:pStyle w:val="FootnoteText"/>
      </w:pPr>
      <w:r>
        <w:rPr>
          <w:rStyle w:val="FootnoteReference"/>
        </w:rPr>
        <w:footnoteRef/>
      </w:r>
      <w:r>
        <w:t xml:space="preserve"> </w:t>
      </w:r>
      <w:r>
        <w:tab/>
      </w:r>
      <w:r w:rsidRPr="00FC2AD4">
        <w:rPr>
          <w:rStyle w:val="FootnoteReference"/>
          <w:vertAlign w:val="baseline"/>
        </w:rPr>
        <w:t xml:space="preserve">MEU, </w:t>
      </w:r>
      <w:r w:rsidRPr="0058528F">
        <w:rPr>
          <w:rStyle w:val="FootnoteReference"/>
          <w:i/>
          <w:vertAlign w:val="baseline"/>
        </w:rPr>
        <w:t>MEU response to Draft Regulatory Investment Test for Distribution (RIT-D)</w:t>
      </w:r>
      <w:r>
        <w:rPr>
          <w:rStyle w:val="FootnoteReference"/>
          <w:vertAlign w:val="baseline"/>
        </w:rPr>
        <w:t>, July 2013</w:t>
      </w:r>
      <w:proofErr w:type="gramStart"/>
      <w:r>
        <w:t>, p. 10.</w:t>
      </w:r>
      <w:proofErr w:type="gramEnd"/>
    </w:p>
  </w:footnote>
  <w:footnote w:id="40">
    <w:p w:rsidR="00514109" w:rsidRDefault="00514109" w:rsidP="00A35806">
      <w:pPr>
        <w:pStyle w:val="FootnoteText"/>
      </w:pPr>
      <w:r>
        <w:rPr>
          <w:rStyle w:val="FootnoteReference"/>
        </w:rPr>
        <w:footnoteRef/>
      </w:r>
      <w:r>
        <w:t xml:space="preserve"> </w:t>
      </w:r>
      <w:r>
        <w:tab/>
      </w:r>
      <w:proofErr w:type="gramStart"/>
      <w:r>
        <w:t>NER, cl. 5.17.4(a).</w:t>
      </w:r>
      <w:proofErr w:type="gramEnd"/>
      <w:r>
        <w:t xml:space="preserve"> </w:t>
      </w:r>
    </w:p>
  </w:footnote>
  <w:footnote w:id="41">
    <w:p w:rsidR="00514109" w:rsidRDefault="00514109">
      <w:pPr>
        <w:pStyle w:val="FootnoteText"/>
      </w:pPr>
      <w:r>
        <w:rPr>
          <w:rStyle w:val="FootnoteReference"/>
        </w:rPr>
        <w:footnoteRef/>
      </w:r>
      <w:r>
        <w:t xml:space="preserve"> </w:t>
      </w:r>
      <w:r>
        <w:tab/>
      </w:r>
      <w:r w:rsidRPr="00FC2AD4">
        <w:rPr>
          <w:rStyle w:val="FootnoteReference"/>
          <w:vertAlign w:val="baseline"/>
        </w:rPr>
        <w:t xml:space="preserve">MEU, </w:t>
      </w:r>
      <w:r w:rsidRPr="0058528F">
        <w:rPr>
          <w:rStyle w:val="FootnoteReference"/>
          <w:i/>
          <w:vertAlign w:val="baseline"/>
        </w:rPr>
        <w:t>MEU response to Draft Regulatory Investment Test for Distribution (RIT-D)</w:t>
      </w:r>
      <w:r>
        <w:rPr>
          <w:rStyle w:val="FootnoteReference"/>
          <w:vertAlign w:val="baseline"/>
        </w:rPr>
        <w:t xml:space="preserve">, July 2013, </w:t>
      </w:r>
      <w:proofErr w:type="gramStart"/>
      <w:r>
        <w:t>p. 10.</w:t>
      </w:r>
      <w:proofErr w:type="gramEnd"/>
    </w:p>
  </w:footnote>
  <w:footnote w:id="42">
    <w:p w:rsidR="00514109" w:rsidRDefault="00514109" w:rsidP="0011401D">
      <w:pPr>
        <w:pStyle w:val="FootnoteText"/>
      </w:pPr>
      <w:r>
        <w:rPr>
          <w:rStyle w:val="FootnoteReference"/>
        </w:rPr>
        <w:footnoteRef/>
      </w:r>
      <w:r>
        <w:t xml:space="preserve"> </w:t>
      </w:r>
      <w:r>
        <w:tab/>
      </w:r>
      <w:r w:rsidRPr="0058528F">
        <w:t xml:space="preserve">Victorian </w:t>
      </w:r>
      <w:r>
        <w:t>DNSPs</w:t>
      </w:r>
      <w:r w:rsidRPr="0058528F">
        <w:t xml:space="preserve">, </w:t>
      </w:r>
      <w:r w:rsidRPr="0058528F">
        <w:rPr>
          <w:i/>
        </w:rPr>
        <w:t>Draft Regulatory Investment Test for Distribution</w:t>
      </w:r>
      <w:r w:rsidRPr="0058528F">
        <w:t>, 1</w:t>
      </w:r>
      <w:r>
        <w:t>8</w:t>
      </w:r>
      <w:r w:rsidRPr="0058528F">
        <w:t xml:space="preserve"> July 2013</w:t>
      </w:r>
      <w:r>
        <w:t xml:space="preserve">, p. 9. </w:t>
      </w:r>
    </w:p>
  </w:footnote>
  <w:footnote w:id="43">
    <w:p w:rsidR="00514109" w:rsidRDefault="00514109">
      <w:pPr>
        <w:pStyle w:val="FootnoteText"/>
      </w:pPr>
      <w:r>
        <w:rPr>
          <w:rStyle w:val="FootnoteReference"/>
        </w:rPr>
        <w:footnoteRef/>
      </w:r>
      <w:r>
        <w:t xml:space="preserve"> </w:t>
      </w:r>
      <w:r>
        <w:tab/>
      </w:r>
      <w:proofErr w:type="gramStart"/>
      <w:r>
        <w:t>TEC</w:t>
      </w:r>
      <w:r w:rsidRPr="0058528F">
        <w:t xml:space="preserve">, </w:t>
      </w:r>
      <w:r>
        <w:rPr>
          <w:i/>
        </w:rPr>
        <w:t>Submission to the AER–</w:t>
      </w:r>
      <w:r w:rsidRPr="0058528F">
        <w:rPr>
          <w:i/>
        </w:rPr>
        <w:t>Draft regulatory investment test for distribution and application guidelines</w:t>
      </w:r>
      <w:r w:rsidRPr="0058528F">
        <w:t>, July 2013</w:t>
      </w:r>
      <w:r>
        <w:t>, p. 3.</w:t>
      </w:r>
      <w:proofErr w:type="gramEnd"/>
    </w:p>
  </w:footnote>
  <w:footnote w:id="44">
    <w:p w:rsidR="00514109" w:rsidRDefault="00514109" w:rsidP="00AF0849">
      <w:pPr>
        <w:pStyle w:val="FootnoteText"/>
      </w:pPr>
      <w:r>
        <w:rPr>
          <w:rStyle w:val="FootnoteReference"/>
        </w:rPr>
        <w:footnoteRef/>
      </w:r>
      <w:r>
        <w:t xml:space="preserve"> </w:t>
      </w:r>
      <w:r>
        <w:tab/>
      </w:r>
      <w:proofErr w:type="gramStart"/>
      <w:r w:rsidRPr="0058528F">
        <w:t xml:space="preserve">SA Power Networks, </w:t>
      </w:r>
      <w:r w:rsidRPr="0058528F">
        <w:rPr>
          <w:i/>
        </w:rPr>
        <w:t>AER’s Draft Regulatory Investment Test for Distribution</w:t>
      </w:r>
      <w:r w:rsidRPr="0058528F">
        <w:t>, 24 July 2013</w:t>
      </w:r>
      <w:r>
        <w:t>, pp. 3–4.</w:t>
      </w:r>
      <w:proofErr w:type="gramEnd"/>
      <w:r>
        <w:t xml:space="preserve"> </w:t>
      </w:r>
    </w:p>
  </w:footnote>
  <w:footnote w:id="45">
    <w:p w:rsidR="00514109" w:rsidRDefault="00514109" w:rsidP="001375E5">
      <w:pPr>
        <w:pStyle w:val="FootnoteText"/>
      </w:pPr>
      <w:r>
        <w:rPr>
          <w:rStyle w:val="FootnoteReference"/>
        </w:rPr>
        <w:footnoteRef/>
      </w:r>
      <w:r>
        <w:t xml:space="preserve"> </w:t>
      </w:r>
      <w:r>
        <w:tab/>
        <w:t xml:space="preserve">AEMC, Rule determination: </w:t>
      </w:r>
      <w:r w:rsidRPr="00455858">
        <w:rPr>
          <w:i/>
        </w:rPr>
        <w:t>Distribution Network Planning and Expansion Framework</w:t>
      </w:r>
      <w:r>
        <w:t xml:space="preserve">, 11 October 2012, p. ii. </w:t>
      </w:r>
    </w:p>
  </w:footnote>
  <w:footnote w:id="46">
    <w:p w:rsidR="00514109" w:rsidRDefault="00514109">
      <w:pPr>
        <w:pStyle w:val="FootnoteText"/>
      </w:pPr>
      <w:r>
        <w:rPr>
          <w:rStyle w:val="FootnoteReference"/>
        </w:rPr>
        <w:footnoteRef/>
      </w:r>
      <w:r>
        <w:t xml:space="preserve"> </w:t>
      </w:r>
      <w:r>
        <w:tab/>
      </w:r>
      <w:r w:rsidRPr="0058528F">
        <w:t xml:space="preserve">Victorian </w:t>
      </w:r>
      <w:r>
        <w:t>DNSPs</w:t>
      </w:r>
      <w:r w:rsidRPr="0058528F">
        <w:t xml:space="preserve">, </w:t>
      </w:r>
      <w:r w:rsidRPr="0058528F">
        <w:rPr>
          <w:i/>
        </w:rPr>
        <w:t>Draft Regulatory Investment Test for Distribution</w:t>
      </w:r>
      <w:r>
        <w:t>, 18</w:t>
      </w:r>
      <w:r w:rsidRPr="0058528F">
        <w:t xml:space="preserve"> July 2013</w:t>
      </w:r>
      <w:r>
        <w:t>, p. 4.</w:t>
      </w:r>
    </w:p>
  </w:footnote>
  <w:footnote w:id="47">
    <w:p w:rsidR="00514109" w:rsidRDefault="00514109" w:rsidP="004E0D5F">
      <w:pPr>
        <w:pStyle w:val="FootnoteText"/>
      </w:pPr>
      <w:r>
        <w:rPr>
          <w:rStyle w:val="FootnoteReference"/>
        </w:rPr>
        <w:footnoteRef/>
      </w:r>
      <w:r>
        <w:t xml:space="preserve"> </w:t>
      </w:r>
      <w:r>
        <w:tab/>
      </w:r>
      <w:proofErr w:type="gramStart"/>
      <w:r>
        <w:t xml:space="preserve">AER, </w:t>
      </w:r>
      <w:r w:rsidRPr="008D5FEA">
        <w:rPr>
          <w:i/>
        </w:rPr>
        <w:t>Draft regulatory investment test for distribution–application guidelines</w:t>
      </w:r>
      <w:r>
        <w:t>, June 2013, pp. 30–31.</w:t>
      </w:r>
      <w:proofErr w:type="gramEnd"/>
    </w:p>
  </w:footnote>
  <w:footnote w:id="48">
    <w:p w:rsidR="00514109" w:rsidRDefault="00514109" w:rsidP="007D66C6">
      <w:pPr>
        <w:pStyle w:val="FootnoteText"/>
      </w:pPr>
      <w:r>
        <w:rPr>
          <w:rStyle w:val="FootnoteReference"/>
        </w:rPr>
        <w:footnoteRef/>
      </w:r>
      <w:r>
        <w:t xml:space="preserve"> </w:t>
      </w:r>
      <w:r>
        <w:tab/>
      </w:r>
      <w:r w:rsidRPr="00FC2AD4">
        <w:rPr>
          <w:rStyle w:val="FootnoteReference"/>
          <w:vertAlign w:val="baseline"/>
        </w:rPr>
        <w:t xml:space="preserve">MEU, </w:t>
      </w:r>
      <w:r w:rsidRPr="0058528F">
        <w:rPr>
          <w:rStyle w:val="FootnoteReference"/>
          <w:i/>
          <w:vertAlign w:val="baseline"/>
        </w:rPr>
        <w:t>MEU response to Draft Regulatory Investment Test for Distribution (RIT-D)</w:t>
      </w:r>
      <w:r>
        <w:rPr>
          <w:rStyle w:val="FootnoteReference"/>
          <w:vertAlign w:val="baseline"/>
        </w:rPr>
        <w:t xml:space="preserve">, July 2013, </w:t>
      </w:r>
      <w:proofErr w:type="gramStart"/>
      <w:r>
        <w:t>p. 11.</w:t>
      </w:r>
      <w:proofErr w:type="gramEnd"/>
      <w:r>
        <w:t xml:space="preserve"> </w:t>
      </w:r>
    </w:p>
  </w:footnote>
  <w:footnote w:id="49">
    <w:p w:rsidR="00514109" w:rsidRDefault="00514109" w:rsidP="00E91F5E">
      <w:pPr>
        <w:pStyle w:val="FootnoteText"/>
      </w:pPr>
      <w:r>
        <w:rPr>
          <w:rStyle w:val="FootnoteReference"/>
        </w:rPr>
        <w:footnoteRef/>
      </w:r>
      <w:r>
        <w:t xml:space="preserve"> </w:t>
      </w:r>
      <w:r>
        <w:tab/>
        <w:t xml:space="preserve">AEMC, Rule determination: </w:t>
      </w:r>
      <w:r w:rsidRPr="00455858">
        <w:rPr>
          <w:i/>
        </w:rPr>
        <w:t>Distribution Network Planning and Expansion Framework</w:t>
      </w:r>
      <w:r>
        <w:t>, 11 October 2012, pp. 59–60.</w:t>
      </w:r>
    </w:p>
  </w:footnote>
  <w:footnote w:id="50">
    <w:p w:rsidR="00514109" w:rsidRDefault="00514109">
      <w:pPr>
        <w:pStyle w:val="FootnoteText"/>
      </w:pPr>
      <w:r>
        <w:rPr>
          <w:rStyle w:val="FootnoteReference"/>
        </w:rPr>
        <w:footnoteRef/>
      </w:r>
      <w:r>
        <w:t xml:space="preserve"> </w:t>
      </w:r>
      <w:r>
        <w:tab/>
      </w:r>
      <w:r w:rsidRPr="00FC2AD4">
        <w:rPr>
          <w:rStyle w:val="FootnoteReference"/>
          <w:vertAlign w:val="baseline"/>
        </w:rPr>
        <w:t xml:space="preserve">MEU, </w:t>
      </w:r>
      <w:r w:rsidRPr="0058528F">
        <w:rPr>
          <w:rStyle w:val="FootnoteReference"/>
          <w:i/>
          <w:vertAlign w:val="baseline"/>
        </w:rPr>
        <w:t>MEU response to Draft Regulatory Investment Test for Distribution (RIT-D)</w:t>
      </w:r>
      <w:r>
        <w:rPr>
          <w:rStyle w:val="FootnoteReference"/>
          <w:vertAlign w:val="baseline"/>
        </w:rPr>
        <w:t>, July 2013,</w:t>
      </w:r>
      <w:r>
        <w:t> </w:t>
      </w:r>
      <w:proofErr w:type="gramStart"/>
      <w:r>
        <w:t>p. 12.</w:t>
      </w:r>
      <w:proofErr w:type="gramEnd"/>
    </w:p>
  </w:footnote>
  <w:footnote w:id="51">
    <w:p w:rsidR="00514109" w:rsidRDefault="00514109">
      <w:pPr>
        <w:pStyle w:val="FootnoteText"/>
      </w:pPr>
      <w:r>
        <w:rPr>
          <w:rStyle w:val="FootnoteReference"/>
        </w:rPr>
        <w:footnoteRef/>
      </w:r>
      <w:r>
        <w:t xml:space="preserve"> </w:t>
      </w:r>
      <w:r>
        <w:tab/>
      </w:r>
      <w:r w:rsidRPr="00FC2AD4">
        <w:rPr>
          <w:rStyle w:val="FootnoteReference"/>
          <w:vertAlign w:val="baseline"/>
        </w:rPr>
        <w:t xml:space="preserve">MEU, </w:t>
      </w:r>
      <w:r w:rsidRPr="0058528F">
        <w:rPr>
          <w:rStyle w:val="FootnoteReference"/>
          <w:i/>
          <w:vertAlign w:val="baseline"/>
        </w:rPr>
        <w:t>MEU response to Draft Regulatory Investment Test for Distribution (RIT-D)</w:t>
      </w:r>
      <w:r>
        <w:rPr>
          <w:rStyle w:val="FootnoteReference"/>
          <w:vertAlign w:val="baseline"/>
        </w:rPr>
        <w:t>, July 2013,</w:t>
      </w:r>
      <w:r>
        <w:t> </w:t>
      </w:r>
      <w:proofErr w:type="gramStart"/>
      <w:r>
        <w:t>p. 12.</w:t>
      </w:r>
      <w:proofErr w:type="gramEnd"/>
      <w:r>
        <w:t xml:space="preserve"> </w:t>
      </w:r>
    </w:p>
  </w:footnote>
  <w:footnote w:id="52">
    <w:p w:rsidR="00514109" w:rsidRDefault="00514109">
      <w:pPr>
        <w:pStyle w:val="FootnoteText"/>
      </w:pPr>
      <w:r>
        <w:rPr>
          <w:rStyle w:val="FootnoteReference"/>
        </w:rPr>
        <w:footnoteRef/>
      </w:r>
      <w:r>
        <w:t xml:space="preserve"> </w:t>
      </w:r>
      <w:r>
        <w:tab/>
      </w:r>
      <w:proofErr w:type="gramStart"/>
      <w:r>
        <w:t>NER, cl. 5.17.4(u).</w:t>
      </w:r>
      <w:proofErr w:type="gramEnd"/>
      <w:r>
        <w:t xml:space="preserve"> </w:t>
      </w:r>
    </w:p>
  </w:footnote>
  <w:footnote w:id="53">
    <w:p w:rsidR="00514109" w:rsidRDefault="00514109" w:rsidP="00E91F5E">
      <w:pPr>
        <w:pStyle w:val="FootnoteText"/>
      </w:pPr>
      <w:r>
        <w:rPr>
          <w:rStyle w:val="FootnoteReference"/>
        </w:rPr>
        <w:footnoteRef/>
      </w:r>
      <w:r>
        <w:t xml:space="preserve"> </w:t>
      </w:r>
      <w:r>
        <w:tab/>
      </w:r>
      <w:proofErr w:type="gramStart"/>
      <w:r>
        <w:t xml:space="preserve">AEMC, </w:t>
      </w:r>
      <w:r>
        <w:rPr>
          <w:i/>
        </w:rPr>
        <w:t>D</w:t>
      </w:r>
      <w:r w:rsidRPr="00187228">
        <w:rPr>
          <w:i/>
        </w:rPr>
        <w:t>istribution network planning and expansion framework</w:t>
      </w:r>
      <w:r>
        <w:t>, pp. 92–93.</w:t>
      </w:r>
      <w:proofErr w:type="gramEnd"/>
    </w:p>
  </w:footnote>
  <w:footnote w:id="54">
    <w:p w:rsidR="00514109" w:rsidRDefault="00514109">
      <w:pPr>
        <w:pStyle w:val="FootnoteText"/>
      </w:pPr>
      <w:r>
        <w:rPr>
          <w:rStyle w:val="FootnoteReference"/>
        </w:rPr>
        <w:footnoteRef/>
      </w:r>
      <w:r>
        <w:t xml:space="preserve"> </w:t>
      </w:r>
      <w:r>
        <w:tab/>
      </w:r>
      <w:r w:rsidRPr="0058528F">
        <w:t xml:space="preserve">Victorian </w:t>
      </w:r>
      <w:r>
        <w:t>DNSPs</w:t>
      </w:r>
      <w:r w:rsidRPr="0058528F">
        <w:t xml:space="preserve">, </w:t>
      </w:r>
      <w:r w:rsidRPr="0058528F">
        <w:rPr>
          <w:i/>
        </w:rPr>
        <w:t>Draft Regulatory Investment Test for Distribution</w:t>
      </w:r>
      <w:r w:rsidRPr="0058528F">
        <w:t>, 1</w:t>
      </w:r>
      <w:r>
        <w:t>8</w:t>
      </w:r>
      <w:r w:rsidRPr="0058528F">
        <w:t xml:space="preserve"> July 2013</w:t>
      </w:r>
      <w:r>
        <w:t xml:space="preserve">, p. 8. </w:t>
      </w:r>
    </w:p>
  </w:footnote>
  <w:footnote w:id="55">
    <w:p w:rsidR="00514109" w:rsidRDefault="00514109">
      <w:pPr>
        <w:pStyle w:val="FootnoteText"/>
      </w:pPr>
      <w:r>
        <w:rPr>
          <w:rStyle w:val="FootnoteReference"/>
        </w:rPr>
        <w:footnoteRef/>
      </w:r>
      <w:r>
        <w:t xml:space="preserve"> </w:t>
      </w:r>
      <w:r>
        <w:tab/>
      </w:r>
      <w:r w:rsidRPr="00FC2AD4">
        <w:rPr>
          <w:rStyle w:val="FootnoteReference"/>
          <w:vertAlign w:val="baseline"/>
        </w:rPr>
        <w:t xml:space="preserve">MEU, </w:t>
      </w:r>
      <w:r w:rsidRPr="0058528F">
        <w:rPr>
          <w:rStyle w:val="FootnoteReference"/>
          <w:i/>
          <w:vertAlign w:val="baseline"/>
        </w:rPr>
        <w:t>MEU response to Draft Regulatory Investment Test for Distribution (RIT-D)</w:t>
      </w:r>
      <w:r>
        <w:rPr>
          <w:rStyle w:val="FootnoteReference"/>
          <w:vertAlign w:val="baseline"/>
        </w:rPr>
        <w:t>, July 2013,</w:t>
      </w:r>
      <w:r>
        <w:t> </w:t>
      </w:r>
      <w:proofErr w:type="gramStart"/>
      <w:r>
        <w:t>p. 13.</w:t>
      </w:r>
      <w:proofErr w:type="gramEnd"/>
      <w:r>
        <w:t xml:space="preserve"> </w:t>
      </w:r>
    </w:p>
  </w:footnote>
  <w:footnote w:id="56">
    <w:p w:rsidR="00514109" w:rsidRDefault="00514109">
      <w:pPr>
        <w:pStyle w:val="FootnoteText"/>
      </w:pPr>
      <w:r>
        <w:rPr>
          <w:rStyle w:val="FootnoteReference"/>
        </w:rPr>
        <w:footnoteRef/>
      </w:r>
      <w:r>
        <w:t xml:space="preserve"> </w:t>
      </w:r>
      <w:r>
        <w:tab/>
        <w:t xml:space="preserve">AEMC, Rule determination: </w:t>
      </w:r>
      <w:r w:rsidRPr="00455858">
        <w:rPr>
          <w:i/>
        </w:rPr>
        <w:t>Distribution Network Planning and Expansion Framework</w:t>
      </w:r>
      <w:r>
        <w:t>, 11 October 2012, p. 52.</w:t>
      </w:r>
    </w:p>
  </w:footnote>
  <w:footnote w:id="57">
    <w:p w:rsidR="00514109" w:rsidRDefault="00514109" w:rsidP="00E91F5E">
      <w:pPr>
        <w:pStyle w:val="FootnoteText"/>
      </w:pPr>
      <w:r>
        <w:rPr>
          <w:rStyle w:val="FootnoteReference"/>
        </w:rPr>
        <w:footnoteRef/>
      </w:r>
      <w:r>
        <w:t xml:space="preserve"> </w:t>
      </w:r>
      <w:r>
        <w:tab/>
      </w:r>
      <w:proofErr w:type="gramStart"/>
      <w:r>
        <w:t>NER, cl. 11.50.5(e).</w:t>
      </w:r>
      <w:proofErr w:type="gramEnd"/>
    </w:p>
  </w:footnote>
  <w:footnote w:id="58">
    <w:p w:rsidR="00514109" w:rsidRDefault="00514109" w:rsidP="00AE31E2">
      <w:pPr>
        <w:pStyle w:val="FootnoteText"/>
      </w:pPr>
      <w:r>
        <w:rPr>
          <w:rStyle w:val="FootnoteReference"/>
        </w:rPr>
        <w:footnoteRef/>
      </w:r>
      <w:r>
        <w:t xml:space="preserve"> </w:t>
      </w:r>
      <w:r>
        <w:tab/>
      </w:r>
      <w:proofErr w:type="gramStart"/>
      <w:r>
        <w:t>Grid Australia</w:t>
      </w:r>
      <w:r w:rsidRPr="0058528F">
        <w:t xml:space="preserve">, </w:t>
      </w:r>
      <w:r w:rsidRPr="0058528F">
        <w:rPr>
          <w:i/>
        </w:rPr>
        <w:t>Draft RIT-D and application guidelines</w:t>
      </w:r>
      <w:r w:rsidRPr="0058528F">
        <w:t>, 18 July 2013</w:t>
      </w:r>
      <w:r>
        <w:t>, p. 15.</w:t>
      </w:r>
      <w:proofErr w:type="gramEnd"/>
      <w:r>
        <w:t xml:space="preserve"> </w:t>
      </w:r>
    </w:p>
  </w:footnote>
  <w:footnote w:id="59">
    <w:p w:rsidR="00514109" w:rsidRDefault="00514109" w:rsidP="00AE31E2">
      <w:pPr>
        <w:pStyle w:val="FootnoteText"/>
      </w:pPr>
      <w:r>
        <w:rPr>
          <w:rStyle w:val="FootnoteReference"/>
        </w:rPr>
        <w:footnoteRef/>
      </w:r>
      <w:r>
        <w:t xml:space="preserve"> </w:t>
      </w:r>
      <w:r>
        <w:tab/>
      </w:r>
      <w:r w:rsidRPr="0058528F">
        <w:t xml:space="preserve">Victorian </w:t>
      </w:r>
      <w:r>
        <w:t>DNSPs</w:t>
      </w:r>
      <w:r w:rsidRPr="0058528F">
        <w:t xml:space="preserve">, </w:t>
      </w:r>
      <w:r w:rsidRPr="0058528F">
        <w:rPr>
          <w:i/>
        </w:rPr>
        <w:t>Draft Regulatory Investment Test for Distribution</w:t>
      </w:r>
      <w:r>
        <w:t>, 18</w:t>
      </w:r>
      <w:r w:rsidRPr="0058528F">
        <w:t xml:space="preserve"> July 2013</w:t>
      </w:r>
      <w:r>
        <w:t>, p. </w:t>
      </w:r>
      <w:r w:rsidRPr="005F71AA">
        <w:t>22</w:t>
      </w:r>
      <w:r w:rsidRPr="00503D21">
        <w:t>.</w:t>
      </w:r>
      <w:r>
        <w:t xml:space="preserve"> </w:t>
      </w:r>
    </w:p>
  </w:footnote>
  <w:footnote w:id="60">
    <w:p w:rsidR="00514109" w:rsidRDefault="00514109">
      <w:pPr>
        <w:pStyle w:val="FootnoteText"/>
      </w:pPr>
      <w:r>
        <w:rPr>
          <w:rStyle w:val="FootnoteReference"/>
        </w:rPr>
        <w:footnoteRef/>
      </w:r>
      <w:r>
        <w:t xml:space="preserve"> </w:t>
      </w:r>
      <w:r>
        <w:tab/>
      </w:r>
      <w:r w:rsidRPr="00FC2AD4">
        <w:rPr>
          <w:rStyle w:val="FootnoteReference"/>
          <w:vertAlign w:val="baseline"/>
        </w:rPr>
        <w:t xml:space="preserve">MEU, </w:t>
      </w:r>
      <w:r w:rsidRPr="0058528F">
        <w:rPr>
          <w:rStyle w:val="FootnoteReference"/>
          <w:i/>
          <w:vertAlign w:val="baseline"/>
        </w:rPr>
        <w:t>MEU response to Draft Regulatory Investment Test for Distribution (RIT-D)</w:t>
      </w:r>
      <w:r>
        <w:rPr>
          <w:rStyle w:val="FootnoteReference"/>
          <w:vertAlign w:val="baseline"/>
        </w:rPr>
        <w:t>, July 2013,</w:t>
      </w:r>
      <w:r>
        <w:t xml:space="preserve"> </w:t>
      </w:r>
      <w:proofErr w:type="gramStart"/>
      <w:r>
        <w:t>p. 13.</w:t>
      </w:r>
      <w:proofErr w:type="gramEnd"/>
      <w:r>
        <w:t xml:space="preserve"> </w:t>
      </w:r>
    </w:p>
  </w:footnote>
  <w:footnote w:id="61">
    <w:p w:rsidR="00514109" w:rsidRDefault="00514109" w:rsidP="008E41A9">
      <w:pPr>
        <w:pStyle w:val="FootnoteText"/>
      </w:pPr>
      <w:r>
        <w:rPr>
          <w:rStyle w:val="FootnoteReference"/>
        </w:rPr>
        <w:footnoteRef/>
      </w:r>
      <w:r>
        <w:t xml:space="preserve"> </w:t>
      </w:r>
      <w:r>
        <w:tab/>
      </w:r>
      <w:r w:rsidRPr="0058528F">
        <w:t xml:space="preserve">Victorian </w:t>
      </w:r>
      <w:r>
        <w:t>DNSPs</w:t>
      </w:r>
      <w:r w:rsidRPr="0058528F">
        <w:t xml:space="preserve">, </w:t>
      </w:r>
      <w:r w:rsidRPr="0058528F">
        <w:rPr>
          <w:i/>
        </w:rPr>
        <w:t>Draft Regulatory Investment Test for Distribution</w:t>
      </w:r>
      <w:r>
        <w:t>, 18</w:t>
      </w:r>
      <w:r w:rsidRPr="0058528F">
        <w:t xml:space="preserve"> July 2013</w:t>
      </w:r>
      <w:r>
        <w:t xml:space="preserve">, p. 23. </w:t>
      </w:r>
    </w:p>
  </w:footnote>
  <w:footnote w:id="62">
    <w:p w:rsidR="00514109" w:rsidRDefault="00514109">
      <w:pPr>
        <w:pStyle w:val="FootnoteText"/>
      </w:pPr>
      <w:r>
        <w:rPr>
          <w:rStyle w:val="FootnoteReference"/>
        </w:rPr>
        <w:footnoteRef/>
      </w:r>
      <w:r>
        <w:t xml:space="preserve"> </w:t>
      </w:r>
      <w:r>
        <w:tab/>
      </w:r>
      <w:proofErr w:type="gramStart"/>
      <w:r>
        <w:t>NER, cl. 5.17.1.</w:t>
      </w:r>
      <w:proofErr w:type="gramEnd"/>
      <w:r>
        <w:t xml:space="preserve"> </w:t>
      </w:r>
    </w:p>
  </w:footnote>
  <w:footnote w:id="63">
    <w:p w:rsidR="00514109" w:rsidRDefault="00514109" w:rsidP="00B20D18">
      <w:pPr>
        <w:pStyle w:val="FootnoteText"/>
      </w:pPr>
      <w:r>
        <w:rPr>
          <w:rStyle w:val="FootnoteReference"/>
        </w:rPr>
        <w:footnoteRef/>
      </w:r>
      <w:r>
        <w:t xml:space="preserve"> </w:t>
      </w:r>
      <w:r>
        <w:tab/>
      </w:r>
      <w:r w:rsidRPr="00FC2AD4">
        <w:rPr>
          <w:rStyle w:val="FootnoteReference"/>
          <w:vertAlign w:val="baseline"/>
        </w:rPr>
        <w:t xml:space="preserve">Australian PV Association, </w:t>
      </w:r>
      <w:r w:rsidRPr="0058528F">
        <w:rPr>
          <w:rStyle w:val="FootnoteReference"/>
          <w:i/>
          <w:vertAlign w:val="baseline"/>
        </w:rPr>
        <w:t>APVA Response to the AER’s ‘Draft regulatory investment test for distributed generation Application Guidelines</w:t>
      </w:r>
      <w:r w:rsidRPr="00FC2AD4">
        <w:rPr>
          <w:rStyle w:val="FootnoteReference"/>
          <w:vertAlign w:val="baseline"/>
        </w:rPr>
        <w:t>, July 2013</w:t>
      </w:r>
      <w:proofErr w:type="gramStart"/>
      <w:r>
        <w:t>, p. 1.</w:t>
      </w:r>
      <w:proofErr w:type="gramEnd"/>
      <w:r>
        <w:t xml:space="preserve"> </w:t>
      </w:r>
    </w:p>
  </w:footnote>
  <w:footnote w:id="64">
    <w:p w:rsidR="00514109" w:rsidRDefault="00514109" w:rsidP="00B20D18">
      <w:pPr>
        <w:pStyle w:val="FootnoteText"/>
      </w:pPr>
      <w:r>
        <w:rPr>
          <w:rStyle w:val="FootnoteReference"/>
        </w:rPr>
        <w:footnoteRef/>
      </w:r>
      <w:r>
        <w:t xml:space="preserve"> </w:t>
      </w:r>
      <w:r>
        <w:tab/>
      </w:r>
      <w:r w:rsidRPr="0058528F">
        <w:t xml:space="preserve">EnerNOC, </w:t>
      </w:r>
      <w:r w:rsidRPr="0058528F">
        <w:rPr>
          <w:i/>
        </w:rPr>
        <w:t>Submission on the Draft Regulatory Investment Test for Distribution (“RIT-D”)</w:t>
      </w:r>
      <w:r w:rsidRPr="0058528F">
        <w:t>, 18 July 2013</w:t>
      </w:r>
      <w:r>
        <w:t xml:space="preserve">, p. 6. </w:t>
      </w:r>
    </w:p>
  </w:footnote>
  <w:footnote w:id="65">
    <w:p w:rsidR="00514109" w:rsidRDefault="00514109" w:rsidP="00B01A56">
      <w:pPr>
        <w:pStyle w:val="FootnoteText"/>
      </w:pPr>
      <w:r>
        <w:rPr>
          <w:rStyle w:val="FootnoteReference"/>
        </w:rPr>
        <w:footnoteRef/>
      </w:r>
      <w:r>
        <w:t xml:space="preserve"> </w:t>
      </w:r>
      <w:r>
        <w:tab/>
      </w:r>
      <w:r w:rsidRPr="0058528F">
        <w:t xml:space="preserve">Victorian </w:t>
      </w:r>
      <w:r>
        <w:t>DNSPs</w:t>
      </w:r>
      <w:r w:rsidRPr="0058528F">
        <w:t xml:space="preserve">, </w:t>
      </w:r>
      <w:r w:rsidRPr="0058528F">
        <w:rPr>
          <w:i/>
        </w:rPr>
        <w:t>Draft Regulatory Investment Test for Distribution</w:t>
      </w:r>
      <w:r>
        <w:t>, 18</w:t>
      </w:r>
      <w:r w:rsidRPr="0058528F">
        <w:t xml:space="preserve"> July 2013</w:t>
      </w:r>
      <w:r>
        <w:t>, pp. 20–21.</w:t>
      </w:r>
    </w:p>
  </w:footnote>
  <w:footnote w:id="66">
    <w:p w:rsidR="00514109" w:rsidRDefault="00514109" w:rsidP="00B01A56">
      <w:pPr>
        <w:pStyle w:val="FootnoteText"/>
      </w:pPr>
      <w:r>
        <w:rPr>
          <w:rStyle w:val="FootnoteReference"/>
        </w:rPr>
        <w:footnoteRef/>
      </w:r>
      <w:r>
        <w:t xml:space="preserve"> </w:t>
      </w:r>
      <w:r>
        <w:tab/>
        <w:t xml:space="preserve">AER, </w:t>
      </w:r>
      <w:r w:rsidRPr="008E7429">
        <w:rPr>
          <w:i/>
        </w:rPr>
        <w:t>Draft RIT-D</w:t>
      </w:r>
      <w:r>
        <w:t>, June 2013, pp. 9–10.</w:t>
      </w:r>
    </w:p>
  </w:footnote>
  <w:footnote w:id="67">
    <w:p w:rsidR="00514109" w:rsidRDefault="00514109" w:rsidP="006A7B3D">
      <w:pPr>
        <w:pStyle w:val="FootnoteText"/>
      </w:pPr>
      <w:r>
        <w:rPr>
          <w:rStyle w:val="FootnoteReference"/>
        </w:rPr>
        <w:footnoteRef/>
      </w:r>
      <w:r>
        <w:t xml:space="preserve"> </w:t>
      </w:r>
      <w:r>
        <w:tab/>
      </w:r>
      <w:r w:rsidRPr="0058528F">
        <w:t xml:space="preserve">Victorian </w:t>
      </w:r>
      <w:r>
        <w:t>DNSPs</w:t>
      </w:r>
      <w:r w:rsidRPr="0058528F">
        <w:t xml:space="preserve">, </w:t>
      </w:r>
      <w:r w:rsidRPr="0058528F">
        <w:rPr>
          <w:i/>
        </w:rPr>
        <w:t>Draft Regulatory Investment Test for Distribution</w:t>
      </w:r>
      <w:r w:rsidRPr="0058528F">
        <w:t>, 1</w:t>
      </w:r>
      <w:r>
        <w:t>8</w:t>
      </w:r>
      <w:r w:rsidRPr="0058528F">
        <w:t xml:space="preserve"> July 2013</w:t>
      </w:r>
      <w:r>
        <w:t>, p. 12.</w:t>
      </w:r>
    </w:p>
  </w:footnote>
  <w:footnote w:id="68">
    <w:p w:rsidR="00514109" w:rsidRDefault="00514109" w:rsidP="00E847E7">
      <w:pPr>
        <w:pStyle w:val="FootnoteText"/>
      </w:pPr>
      <w:r>
        <w:rPr>
          <w:rStyle w:val="FootnoteReference"/>
        </w:rPr>
        <w:footnoteRef/>
      </w:r>
      <w:r w:rsidRPr="00834CC4">
        <w:rPr>
          <w:rStyle w:val="FootnoteReference"/>
        </w:rPr>
        <w:t xml:space="preserve"> </w:t>
      </w:r>
      <w:r w:rsidRPr="00834CC4">
        <w:rPr>
          <w:rStyle w:val="FootnoteReference"/>
        </w:rPr>
        <w:tab/>
      </w:r>
      <w:r w:rsidRPr="00561C91">
        <w:rPr>
          <w:rStyle w:val="FootnoteReference"/>
          <w:vertAlign w:val="baseline"/>
        </w:rPr>
        <w:t>NEL, Part 1, s. 7.</w:t>
      </w:r>
      <w:r>
        <w:t xml:space="preserve"> </w:t>
      </w:r>
    </w:p>
  </w:footnote>
  <w:footnote w:id="69">
    <w:p w:rsidR="00514109" w:rsidRPr="00834CC4" w:rsidRDefault="00514109" w:rsidP="002F5260">
      <w:pPr>
        <w:pStyle w:val="FootnoteText"/>
        <w:rPr>
          <w:rStyle w:val="FootnoteReference"/>
        </w:rPr>
      </w:pPr>
      <w:r>
        <w:rPr>
          <w:rStyle w:val="FootnoteReference"/>
        </w:rPr>
        <w:footnoteRef/>
      </w:r>
      <w:r w:rsidRPr="00557038">
        <w:rPr>
          <w:rStyle w:val="FootnoteReference"/>
        </w:rPr>
        <w:t xml:space="preserve"> </w:t>
      </w:r>
      <w:r w:rsidRPr="00557038">
        <w:rPr>
          <w:rStyle w:val="FootnoteReference"/>
        </w:rPr>
        <w:tab/>
      </w:r>
      <w:r w:rsidRPr="00834CC4">
        <w:rPr>
          <w:rStyle w:val="FootnoteReference"/>
          <w:vertAlign w:val="baseline"/>
        </w:rPr>
        <w:t>NER, cl. 5.17.1(c)(6)(i).</w:t>
      </w:r>
    </w:p>
  </w:footnote>
  <w:footnote w:id="70">
    <w:p w:rsidR="00514109" w:rsidRDefault="00514109" w:rsidP="00C46808">
      <w:pPr>
        <w:pStyle w:val="FootnoteText"/>
      </w:pPr>
      <w:r>
        <w:rPr>
          <w:rStyle w:val="FootnoteReference"/>
        </w:rPr>
        <w:footnoteRef/>
      </w:r>
      <w:r>
        <w:t xml:space="preserve"> </w:t>
      </w:r>
      <w:r>
        <w:tab/>
      </w:r>
      <w:r w:rsidRPr="0058528F">
        <w:t xml:space="preserve">Victorian </w:t>
      </w:r>
      <w:r>
        <w:t>DNSPs</w:t>
      </w:r>
      <w:r w:rsidRPr="0058528F">
        <w:t xml:space="preserve">, </w:t>
      </w:r>
      <w:r w:rsidRPr="0058528F">
        <w:rPr>
          <w:i/>
        </w:rPr>
        <w:t>Draft Regulatory Investment Test for Distribution</w:t>
      </w:r>
      <w:r w:rsidRPr="0058528F">
        <w:t>, 1</w:t>
      </w:r>
      <w:r>
        <w:t>8</w:t>
      </w:r>
      <w:r w:rsidRPr="0058528F">
        <w:t xml:space="preserve"> July 2013</w:t>
      </w:r>
      <w:r>
        <w:rPr>
          <w:rStyle w:val="FootnoteReference"/>
          <w:vertAlign w:val="baseline"/>
        </w:rPr>
        <w:t xml:space="preserve">, </w:t>
      </w:r>
      <w:r>
        <w:t xml:space="preserve">pp. 20–21; </w:t>
      </w:r>
      <w:r w:rsidRPr="0058528F">
        <w:t xml:space="preserve">Energex, </w:t>
      </w:r>
      <w:r w:rsidRPr="0058528F">
        <w:rPr>
          <w:i/>
        </w:rPr>
        <w:t>Draft Regulatory Investment Test for Distribution and Application Guidelines</w:t>
      </w:r>
      <w:r w:rsidRPr="0058528F">
        <w:t>, 1</w:t>
      </w:r>
      <w:r>
        <w:t>5</w:t>
      </w:r>
      <w:r w:rsidRPr="0058528F">
        <w:t xml:space="preserve"> July 2013</w:t>
      </w:r>
      <w:r>
        <w:t>, p. 1; Grid Australia</w:t>
      </w:r>
      <w:r w:rsidRPr="0058528F">
        <w:t xml:space="preserve">, </w:t>
      </w:r>
      <w:r w:rsidRPr="0058528F">
        <w:rPr>
          <w:i/>
        </w:rPr>
        <w:t>Draft RIT-D and application guidelines</w:t>
      </w:r>
      <w:r w:rsidRPr="0058528F">
        <w:t>, 18 July 2013</w:t>
      </w:r>
      <w:r>
        <w:t>, pp. 15–17;</w:t>
      </w:r>
      <w:r>
        <w:rPr>
          <w:rStyle w:val="FootnoteReference"/>
          <w:vertAlign w:val="baseline"/>
        </w:rPr>
        <w:t xml:space="preserve"> MEU</w:t>
      </w:r>
      <w:r w:rsidRPr="00FC2AD4">
        <w:rPr>
          <w:rStyle w:val="FootnoteReference"/>
          <w:vertAlign w:val="baseline"/>
        </w:rPr>
        <w:t xml:space="preserve">, </w:t>
      </w:r>
      <w:r w:rsidRPr="0058528F">
        <w:rPr>
          <w:rStyle w:val="FootnoteReference"/>
          <w:i/>
          <w:vertAlign w:val="baseline"/>
        </w:rPr>
        <w:t>MEU response to Draft Regulatory Investment Test for Distribution (RIT-D)</w:t>
      </w:r>
      <w:r>
        <w:rPr>
          <w:rStyle w:val="FootnoteReference"/>
          <w:vertAlign w:val="baseline"/>
        </w:rPr>
        <w:t xml:space="preserve">, July </w:t>
      </w:r>
      <w:r w:rsidRPr="00BA6BDE">
        <w:rPr>
          <w:rStyle w:val="FootnoteReference"/>
          <w:vertAlign w:val="baseline"/>
        </w:rPr>
        <w:t xml:space="preserve">2013, </w:t>
      </w:r>
      <w:r w:rsidRPr="00BA6BDE">
        <w:t>p. 14;</w:t>
      </w:r>
      <w:r w:rsidRPr="00BA6BDE">
        <w:rPr>
          <w:rStyle w:val="FootnoteReference"/>
          <w:vertAlign w:val="baseline"/>
        </w:rPr>
        <w:t xml:space="preserve"> Ergon</w:t>
      </w:r>
      <w:r w:rsidRPr="00FC2AD4">
        <w:rPr>
          <w:rStyle w:val="FootnoteReference"/>
          <w:vertAlign w:val="baseline"/>
        </w:rPr>
        <w:t xml:space="preserve"> Energy, </w:t>
      </w:r>
      <w:r w:rsidRPr="0058528F">
        <w:rPr>
          <w:rStyle w:val="FootnoteReference"/>
          <w:i/>
          <w:vertAlign w:val="baseline"/>
        </w:rPr>
        <w:t>Draft Regulatory Investment Test for Distribution and Application Guidelines</w:t>
      </w:r>
      <w:r w:rsidRPr="00FC2AD4">
        <w:rPr>
          <w:rStyle w:val="FootnoteReference"/>
          <w:vertAlign w:val="baseline"/>
        </w:rPr>
        <w:t>, 1</w:t>
      </w:r>
      <w:r>
        <w:t>2</w:t>
      </w:r>
      <w:r w:rsidRPr="00FC2AD4">
        <w:rPr>
          <w:rStyle w:val="FootnoteReference"/>
          <w:vertAlign w:val="baseline"/>
        </w:rPr>
        <w:t xml:space="preserve"> July 2013</w:t>
      </w:r>
      <w:r>
        <w:t xml:space="preserve">, p. 1. </w:t>
      </w:r>
    </w:p>
  </w:footnote>
  <w:footnote w:id="71">
    <w:p w:rsidR="00514109" w:rsidRDefault="00514109">
      <w:pPr>
        <w:pStyle w:val="FootnoteText"/>
      </w:pPr>
      <w:r>
        <w:rPr>
          <w:rStyle w:val="FootnoteReference"/>
        </w:rPr>
        <w:footnoteRef/>
      </w:r>
      <w:r>
        <w:t xml:space="preserve"> </w:t>
      </w:r>
      <w:r>
        <w:tab/>
      </w:r>
      <w:r w:rsidRPr="0058528F">
        <w:t xml:space="preserve">Victorian </w:t>
      </w:r>
      <w:r>
        <w:t>DNSPs</w:t>
      </w:r>
      <w:r w:rsidRPr="0058528F">
        <w:t xml:space="preserve">, </w:t>
      </w:r>
      <w:r w:rsidRPr="0058528F">
        <w:rPr>
          <w:i/>
        </w:rPr>
        <w:t>Draft Regulatory Investment Test for Distribution</w:t>
      </w:r>
      <w:r w:rsidRPr="0058528F">
        <w:t>, 1</w:t>
      </w:r>
      <w:r>
        <w:t>8</w:t>
      </w:r>
      <w:r w:rsidRPr="0058528F">
        <w:t xml:space="preserve"> July 2013</w:t>
      </w:r>
      <w:r>
        <w:rPr>
          <w:rStyle w:val="FootnoteReference"/>
          <w:vertAlign w:val="baseline"/>
        </w:rPr>
        <w:t xml:space="preserve">, </w:t>
      </w:r>
      <w:r>
        <w:t xml:space="preserve">pp. 20–21; </w:t>
      </w:r>
      <w:r w:rsidRPr="0058528F">
        <w:t xml:space="preserve">Energex, </w:t>
      </w:r>
      <w:r w:rsidRPr="0058528F">
        <w:rPr>
          <w:i/>
        </w:rPr>
        <w:t>Draft Regulatory Investment Test for Distribution and Application Guidelines</w:t>
      </w:r>
      <w:r w:rsidRPr="0058528F">
        <w:t>, 1</w:t>
      </w:r>
      <w:r>
        <w:t>5</w:t>
      </w:r>
      <w:r w:rsidRPr="0058528F">
        <w:t xml:space="preserve"> July 2013</w:t>
      </w:r>
      <w:r>
        <w:rPr>
          <w:rStyle w:val="FootnoteReference"/>
          <w:vertAlign w:val="baseline"/>
        </w:rPr>
        <w:t xml:space="preserve">, </w:t>
      </w:r>
      <w:r>
        <w:t>p</w:t>
      </w:r>
      <w:r w:rsidRPr="005629FF">
        <w:t>. 1;</w:t>
      </w:r>
      <w:r>
        <w:t xml:space="preserve"> Grid Australia</w:t>
      </w:r>
      <w:r w:rsidRPr="0058528F">
        <w:t xml:space="preserve">, </w:t>
      </w:r>
      <w:r w:rsidRPr="0058528F">
        <w:rPr>
          <w:i/>
        </w:rPr>
        <w:t>Draft RIT-D and application guidelines</w:t>
      </w:r>
      <w:r w:rsidRPr="0058528F">
        <w:t>, 18 July 2013</w:t>
      </w:r>
      <w:r>
        <w:rPr>
          <w:rStyle w:val="FootnoteReference"/>
          <w:vertAlign w:val="baseline"/>
        </w:rPr>
        <w:t xml:space="preserve">, </w:t>
      </w:r>
      <w:r>
        <w:t>pp. 15–17;</w:t>
      </w:r>
      <w:r>
        <w:rPr>
          <w:rStyle w:val="FootnoteReference"/>
          <w:vertAlign w:val="baseline"/>
        </w:rPr>
        <w:t xml:space="preserve"> MEU</w:t>
      </w:r>
      <w:r w:rsidRPr="00FC2AD4">
        <w:rPr>
          <w:rStyle w:val="FootnoteReference"/>
          <w:vertAlign w:val="baseline"/>
        </w:rPr>
        <w:t xml:space="preserve">, </w:t>
      </w:r>
      <w:r w:rsidRPr="0058528F">
        <w:rPr>
          <w:rStyle w:val="FootnoteReference"/>
          <w:i/>
          <w:vertAlign w:val="baseline"/>
        </w:rPr>
        <w:t>MEU response to Draft Regulatory Investment Test for Distribution (RIT-D)</w:t>
      </w:r>
      <w:r>
        <w:rPr>
          <w:rStyle w:val="FootnoteReference"/>
          <w:vertAlign w:val="baseline"/>
        </w:rPr>
        <w:t xml:space="preserve">, July 2013, </w:t>
      </w:r>
      <w:r>
        <w:t>p. 14;</w:t>
      </w:r>
      <w:r w:rsidRPr="00FC2AD4">
        <w:rPr>
          <w:rStyle w:val="FootnoteReference"/>
          <w:vertAlign w:val="baseline"/>
        </w:rPr>
        <w:t xml:space="preserve"> Ergon Energy, </w:t>
      </w:r>
      <w:r w:rsidRPr="0058528F">
        <w:rPr>
          <w:rStyle w:val="FootnoteReference"/>
          <w:i/>
          <w:vertAlign w:val="baseline"/>
        </w:rPr>
        <w:t>Draft Regulatory Investment Test for Distribution and Application Guidelines</w:t>
      </w:r>
      <w:r w:rsidRPr="00FC2AD4">
        <w:rPr>
          <w:rStyle w:val="FootnoteReference"/>
          <w:vertAlign w:val="baseline"/>
        </w:rPr>
        <w:t>, 1</w:t>
      </w:r>
      <w:r>
        <w:t>2</w:t>
      </w:r>
      <w:r w:rsidRPr="00FC2AD4">
        <w:rPr>
          <w:rStyle w:val="FootnoteReference"/>
          <w:vertAlign w:val="baseline"/>
        </w:rPr>
        <w:t xml:space="preserve"> July 2013</w:t>
      </w:r>
      <w:r>
        <w:rPr>
          <w:rStyle w:val="FootnoteReference"/>
          <w:vertAlign w:val="baseline"/>
        </w:rPr>
        <w:t xml:space="preserve">, </w:t>
      </w:r>
      <w:r>
        <w:t>p</w:t>
      </w:r>
      <w:r w:rsidRPr="005629FF">
        <w:t>. 1.</w:t>
      </w:r>
      <w:r>
        <w:t xml:space="preserve"> </w:t>
      </w:r>
    </w:p>
  </w:footnote>
  <w:footnote w:id="72">
    <w:p w:rsidR="00514109" w:rsidRPr="00826946" w:rsidRDefault="00514109" w:rsidP="002F5260">
      <w:pPr>
        <w:pStyle w:val="FootnoteText"/>
        <w:rPr>
          <w:rStyle w:val="FootnoteReference"/>
        </w:rPr>
      </w:pPr>
      <w:r>
        <w:rPr>
          <w:rStyle w:val="FootnoteReference"/>
        </w:rPr>
        <w:footnoteRef/>
      </w:r>
      <w:r w:rsidRPr="00826946">
        <w:rPr>
          <w:rStyle w:val="FootnoteReference"/>
        </w:rPr>
        <w:t xml:space="preserve"> </w:t>
      </w:r>
      <w:r w:rsidRPr="00826946">
        <w:rPr>
          <w:rStyle w:val="FootnoteReference"/>
        </w:rPr>
        <w:tab/>
      </w:r>
      <w:r w:rsidRPr="008D0B25">
        <w:rPr>
          <w:rStyle w:val="FootnoteReference"/>
          <w:vertAlign w:val="baseline"/>
        </w:rPr>
        <w:t>NER, cl. 5.17.4.</w:t>
      </w:r>
    </w:p>
  </w:footnote>
  <w:footnote w:id="73">
    <w:p w:rsidR="00514109" w:rsidRPr="008D0B25" w:rsidRDefault="00514109" w:rsidP="008D0B25">
      <w:pPr>
        <w:pStyle w:val="FootnoteText"/>
      </w:pPr>
      <w:r>
        <w:rPr>
          <w:rStyle w:val="FootnoteReference"/>
        </w:rPr>
        <w:footnoteRef/>
      </w:r>
      <w:r w:rsidRPr="00FD38C3">
        <w:rPr>
          <w:rStyle w:val="FootnoteReference"/>
        </w:rPr>
        <w:t xml:space="preserve"> </w:t>
      </w:r>
      <w:r w:rsidRPr="00FD38C3">
        <w:rPr>
          <w:rStyle w:val="FootnoteReference"/>
        </w:rPr>
        <w:tab/>
      </w:r>
      <w:r w:rsidRPr="008D0B25">
        <w:rPr>
          <w:rStyle w:val="FootnoteReference"/>
          <w:vertAlign w:val="baseline"/>
        </w:rPr>
        <w:t xml:space="preserve">AEMC, Final rule determination: </w:t>
      </w:r>
      <w:r w:rsidRPr="00C46808">
        <w:rPr>
          <w:rStyle w:val="FootnoteReference"/>
          <w:i/>
          <w:vertAlign w:val="baseline"/>
        </w:rPr>
        <w:t>Distribution Network Planning and Expansion Framework</w:t>
      </w:r>
      <w:r w:rsidRPr="008D0B25">
        <w:rPr>
          <w:rStyle w:val="FootnoteReference"/>
          <w:vertAlign w:val="baseline"/>
        </w:rPr>
        <w:t>, 11 October 2012, pp. 19–42.</w:t>
      </w:r>
      <w:r w:rsidRPr="008D0B25">
        <w:t xml:space="preserve">  </w:t>
      </w:r>
    </w:p>
  </w:footnote>
  <w:footnote w:id="74">
    <w:p w:rsidR="00514109" w:rsidRDefault="00514109" w:rsidP="008B0132">
      <w:pPr>
        <w:pStyle w:val="FootnoteText"/>
      </w:pPr>
      <w:r>
        <w:rPr>
          <w:rStyle w:val="FootnoteReference"/>
        </w:rPr>
        <w:footnoteRef/>
      </w:r>
      <w:r>
        <w:t xml:space="preserve"> </w:t>
      </w:r>
      <w:r>
        <w:tab/>
      </w:r>
      <w:r w:rsidRPr="00FC2AD4">
        <w:rPr>
          <w:rStyle w:val="FootnoteReference"/>
          <w:vertAlign w:val="baseline"/>
        </w:rPr>
        <w:t xml:space="preserve">MEU, </w:t>
      </w:r>
      <w:r w:rsidRPr="0058528F">
        <w:rPr>
          <w:rStyle w:val="FootnoteReference"/>
          <w:i/>
          <w:vertAlign w:val="baseline"/>
        </w:rPr>
        <w:t>MEU response to Draft Regulatory Investment Test for Distribution (RIT-D)</w:t>
      </w:r>
      <w:r>
        <w:rPr>
          <w:rStyle w:val="FootnoteReference"/>
          <w:vertAlign w:val="baseline"/>
        </w:rPr>
        <w:t>, July 2013,</w:t>
      </w:r>
      <w:proofErr w:type="gramStart"/>
      <w:r>
        <w:t xml:space="preserve">p. 14; </w:t>
      </w:r>
      <w:r w:rsidRPr="0058528F">
        <w:t xml:space="preserve">Victorian </w:t>
      </w:r>
      <w:r>
        <w:t>DNSPs</w:t>
      </w:r>
      <w:r w:rsidRPr="0058528F">
        <w:t xml:space="preserve">, </w:t>
      </w:r>
      <w:r w:rsidRPr="0058528F">
        <w:rPr>
          <w:i/>
        </w:rPr>
        <w:t>Draft Regulatory Investment Test for Distribution</w:t>
      </w:r>
      <w:r w:rsidRPr="0058528F">
        <w:t>, 1</w:t>
      </w:r>
      <w:r>
        <w:t>8</w:t>
      </w:r>
      <w:r w:rsidRPr="0058528F">
        <w:t xml:space="preserve"> July 2013</w:t>
      </w:r>
      <w:r>
        <w:rPr>
          <w:rStyle w:val="FootnoteReference"/>
          <w:vertAlign w:val="baseline"/>
        </w:rPr>
        <w:t xml:space="preserve">, </w:t>
      </w:r>
      <w:r>
        <w:t>p. 13.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86" w:rsidRDefault="00692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86" w:rsidRDefault="00692E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86" w:rsidRDefault="00692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9E5"/>
    <w:multiLevelType w:val="hybridMultilevel"/>
    <w:tmpl w:val="9C109174"/>
    <w:lvl w:ilvl="0" w:tplc="2CFC1A36">
      <w:start w:val="1"/>
      <w:numFmt w:val="bullet"/>
      <w:pStyle w:val="ListBullet"/>
      <w:lvlText w:val=""/>
      <w:lvlJc w:val="left"/>
      <w:pPr>
        <w:tabs>
          <w:tab w:val="num" w:pos="420"/>
        </w:tabs>
        <w:ind w:left="420" w:hanging="35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3">
    <w:nsid w:val="13597CF9"/>
    <w:multiLevelType w:val="multilevel"/>
    <w:tmpl w:val="B478DFE6"/>
    <w:numStyleLink w:val="AERnumberedlist"/>
  </w:abstractNum>
  <w:abstractNum w:abstractNumId="4">
    <w:nsid w:val="14261C2A"/>
    <w:multiLevelType w:val="hybridMultilevel"/>
    <w:tmpl w:val="51A20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E262EF"/>
    <w:multiLevelType w:val="hybridMultilevel"/>
    <w:tmpl w:val="6D409F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6E6F4A"/>
    <w:multiLevelType w:val="hybridMultilevel"/>
    <w:tmpl w:val="7102B796"/>
    <w:lvl w:ilvl="0" w:tplc="0C090005">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D629D6"/>
    <w:multiLevelType w:val="hybridMultilevel"/>
    <w:tmpl w:val="B98A6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E02917"/>
    <w:multiLevelType w:val="hybridMultilevel"/>
    <w:tmpl w:val="032C2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9">
    <w:nsid w:val="23CF6469"/>
    <w:multiLevelType w:val="hybridMultilevel"/>
    <w:tmpl w:val="C87CE98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6A072E6"/>
    <w:multiLevelType w:val="hybridMultilevel"/>
    <w:tmpl w:val="464C613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824E21"/>
    <w:multiLevelType w:val="hybridMultilevel"/>
    <w:tmpl w:val="B00E9680"/>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C7B214A"/>
    <w:multiLevelType w:val="hybridMultilevel"/>
    <w:tmpl w:val="8E060CF0"/>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8">
    <w:nsid w:val="63BC606D"/>
    <w:multiLevelType w:val="multilevel"/>
    <w:tmpl w:val="727C7902"/>
    <w:lvl w:ilvl="0">
      <w:start w:val="1"/>
      <w:numFmt w:val="lowerRoman"/>
      <w:lvlText w:val="%1."/>
      <w:lvlJc w:val="right"/>
      <w:pPr>
        <w:tabs>
          <w:tab w:val="num" w:pos="720"/>
        </w:tabs>
        <w:ind w:left="720" w:firstLine="0"/>
      </w:pPr>
      <w:rPr>
        <w:rFonts w:hint="default"/>
      </w:rPr>
    </w:lvl>
    <w:lvl w:ilvl="1">
      <w:start w:val="1"/>
      <w:numFmt w:val="decimal"/>
      <w:lvlText w:val="%2."/>
      <w:lvlJc w:val="left"/>
      <w:pPr>
        <w:tabs>
          <w:tab w:val="num" w:pos="1077"/>
        </w:tabs>
        <w:ind w:left="1077" w:hanging="357"/>
      </w:pPr>
      <w:rPr>
        <w:rFonts w:hint="default"/>
      </w:rPr>
    </w:lvl>
    <w:lvl w:ilvl="2">
      <w:start w:val="1"/>
      <w:numFmt w:val="lowerLetter"/>
      <w:lvlText w:val="%3."/>
      <w:lvlJc w:val="left"/>
      <w:pPr>
        <w:tabs>
          <w:tab w:val="num" w:pos="1440"/>
        </w:tabs>
        <w:ind w:left="1440" w:hanging="363"/>
      </w:pPr>
      <w:rPr>
        <w:rFonts w:hint="default"/>
      </w:rPr>
    </w:lvl>
    <w:lvl w:ilvl="3">
      <w:start w:val="1"/>
      <w:numFmt w:val="lowerRoman"/>
      <w:lvlText w:val="%4."/>
      <w:lvlJc w:val="left"/>
      <w:pPr>
        <w:tabs>
          <w:tab w:val="num" w:pos="1797"/>
        </w:tabs>
        <w:ind w:left="1797" w:hanging="357"/>
      </w:pPr>
      <w:rPr>
        <w:rFonts w:hint="default"/>
      </w:rPr>
    </w:lvl>
    <w:lvl w:ilvl="4">
      <w:start w:val="1"/>
      <w:numFmt w:val="decimal"/>
      <w:lvlRestart w:val="1"/>
      <w:lvlText w:val="(%5)"/>
      <w:lvlJc w:val="left"/>
      <w:pPr>
        <w:tabs>
          <w:tab w:val="num" w:pos="1077"/>
        </w:tabs>
        <w:ind w:left="1077" w:hanging="357"/>
      </w:pPr>
      <w:rPr>
        <w:rFonts w:hint="default"/>
      </w:rPr>
    </w:lvl>
    <w:lvl w:ilvl="5">
      <w:start w:val="1"/>
      <w:numFmt w:val="lowerLetter"/>
      <w:lvlRestart w:val="2"/>
      <w:lvlText w:val="(%6)"/>
      <w:lvlJc w:val="left"/>
      <w:pPr>
        <w:tabs>
          <w:tab w:val="num" w:pos="1440"/>
        </w:tabs>
        <w:ind w:left="1440" w:hanging="363"/>
      </w:pPr>
      <w:rPr>
        <w:rFonts w:hint="default"/>
      </w:rPr>
    </w:lvl>
    <w:lvl w:ilvl="6">
      <w:start w:val="1"/>
      <w:numFmt w:val="lowerRoman"/>
      <w:lvlRestart w:val="3"/>
      <w:lvlText w:val="(%7)"/>
      <w:lvlJc w:val="left"/>
      <w:pPr>
        <w:tabs>
          <w:tab w:val="num" w:pos="1797"/>
        </w:tabs>
        <w:ind w:left="1797" w:hanging="357"/>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6393668"/>
    <w:multiLevelType w:val="hybridMultilevel"/>
    <w:tmpl w:val="085E4DB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7AEA3AE1"/>
    <w:multiLevelType w:val="hybridMultilevel"/>
    <w:tmpl w:val="52969776"/>
    <w:lvl w:ilvl="0" w:tplc="B214325A">
      <w:start w:val="1"/>
      <w:numFmt w:val="bullet"/>
      <w:pStyle w:val="AERquotebullet1"/>
      <w:lvlText w:val=""/>
      <w:lvlJc w:val="left"/>
      <w:pPr>
        <w:ind w:left="720" w:hanging="360"/>
      </w:pPr>
      <w:rPr>
        <w:rFonts w:ascii="Wingdings" w:hAnsi="Wingdings" w:hint="default"/>
      </w:rPr>
    </w:lvl>
    <w:lvl w:ilvl="1" w:tplc="06BCD538" w:tentative="1">
      <w:start w:val="1"/>
      <w:numFmt w:val="bullet"/>
      <w:lvlText w:val="o"/>
      <w:lvlJc w:val="left"/>
      <w:pPr>
        <w:ind w:left="1440" w:hanging="360"/>
      </w:pPr>
      <w:rPr>
        <w:rFonts w:ascii="Courier New" w:hAnsi="Courier New" w:cs="Courier New" w:hint="default"/>
      </w:rPr>
    </w:lvl>
    <w:lvl w:ilvl="2" w:tplc="5EEE3338" w:tentative="1">
      <w:start w:val="1"/>
      <w:numFmt w:val="bullet"/>
      <w:lvlText w:val=""/>
      <w:lvlJc w:val="left"/>
      <w:pPr>
        <w:ind w:left="2160" w:hanging="360"/>
      </w:pPr>
      <w:rPr>
        <w:rFonts w:ascii="Wingdings" w:hAnsi="Wingdings" w:hint="default"/>
      </w:rPr>
    </w:lvl>
    <w:lvl w:ilvl="3" w:tplc="672C5FD4" w:tentative="1">
      <w:start w:val="1"/>
      <w:numFmt w:val="bullet"/>
      <w:lvlText w:val=""/>
      <w:lvlJc w:val="left"/>
      <w:pPr>
        <w:ind w:left="2880" w:hanging="360"/>
      </w:pPr>
      <w:rPr>
        <w:rFonts w:ascii="Symbol" w:hAnsi="Symbol" w:hint="default"/>
      </w:rPr>
    </w:lvl>
    <w:lvl w:ilvl="4" w:tplc="D31ECE4C" w:tentative="1">
      <w:start w:val="1"/>
      <w:numFmt w:val="bullet"/>
      <w:lvlText w:val="o"/>
      <w:lvlJc w:val="left"/>
      <w:pPr>
        <w:ind w:left="3600" w:hanging="360"/>
      </w:pPr>
      <w:rPr>
        <w:rFonts w:ascii="Courier New" w:hAnsi="Courier New" w:cs="Courier New" w:hint="default"/>
      </w:rPr>
    </w:lvl>
    <w:lvl w:ilvl="5" w:tplc="AFF621AC" w:tentative="1">
      <w:start w:val="1"/>
      <w:numFmt w:val="bullet"/>
      <w:lvlText w:val=""/>
      <w:lvlJc w:val="left"/>
      <w:pPr>
        <w:ind w:left="4320" w:hanging="360"/>
      </w:pPr>
      <w:rPr>
        <w:rFonts w:ascii="Wingdings" w:hAnsi="Wingdings" w:hint="default"/>
      </w:rPr>
    </w:lvl>
    <w:lvl w:ilvl="6" w:tplc="29FAE4A0" w:tentative="1">
      <w:start w:val="1"/>
      <w:numFmt w:val="bullet"/>
      <w:lvlText w:val=""/>
      <w:lvlJc w:val="left"/>
      <w:pPr>
        <w:ind w:left="5040" w:hanging="360"/>
      </w:pPr>
      <w:rPr>
        <w:rFonts w:ascii="Symbol" w:hAnsi="Symbol" w:hint="default"/>
      </w:rPr>
    </w:lvl>
    <w:lvl w:ilvl="7" w:tplc="55BA2800" w:tentative="1">
      <w:start w:val="1"/>
      <w:numFmt w:val="bullet"/>
      <w:lvlText w:val="o"/>
      <w:lvlJc w:val="left"/>
      <w:pPr>
        <w:ind w:left="5760" w:hanging="360"/>
      </w:pPr>
      <w:rPr>
        <w:rFonts w:ascii="Courier New" w:hAnsi="Courier New" w:cs="Courier New" w:hint="default"/>
      </w:rPr>
    </w:lvl>
    <w:lvl w:ilvl="8" w:tplc="FB161552" w:tentative="1">
      <w:start w:val="1"/>
      <w:numFmt w:val="bullet"/>
      <w:lvlText w:val=""/>
      <w:lvlJc w:val="left"/>
      <w:pPr>
        <w:ind w:left="6480" w:hanging="360"/>
      </w:pPr>
      <w:rPr>
        <w:rFonts w:ascii="Wingdings" w:hAnsi="Wingdings" w:hint="default"/>
      </w:rPr>
    </w:lvl>
  </w:abstractNum>
  <w:abstractNum w:abstractNumId="22">
    <w:nsid w:val="7AEF67FF"/>
    <w:multiLevelType w:val="multilevel"/>
    <w:tmpl w:val="57C82482"/>
    <w:lvl w:ilvl="0">
      <w:start w:val="1"/>
      <w:numFmt w:val="bullet"/>
      <w:lvlText w:val=""/>
      <w:lvlJc w:val="left"/>
      <w:pPr>
        <w:tabs>
          <w:tab w:val="num" w:pos="357"/>
        </w:tabs>
        <w:ind w:left="357" w:hanging="357"/>
      </w:pPr>
      <w:rPr>
        <w:rFonts w:ascii="Wingdings" w:hAnsi="Wingdings" w:hint="default"/>
        <w:sz w:val="24"/>
        <w:szCs w:val="24"/>
      </w:r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E734AB3"/>
    <w:multiLevelType w:val="hybridMultilevel"/>
    <w:tmpl w:val="111C9BB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1"/>
  </w:num>
  <w:num w:numId="2">
    <w:abstractNumId w:val="14"/>
  </w:num>
  <w:num w:numId="3">
    <w:abstractNumId w:val="12"/>
  </w:num>
  <w:num w:numId="4">
    <w:abstractNumId w:val="21"/>
  </w:num>
  <w:num w:numId="5">
    <w:abstractNumId w:val="1"/>
  </w:num>
  <w:num w:numId="6">
    <w:abstractNumId w:val="16"/>
  </w:num>
  <w:num w:numId="7">
    <w:abstractNumId w:val="13"/>
  </w:num>
  <w:num w:numId="8">
    <w:abstractNumId w:val="3"/>
  </w:num>
  <w:num w:numId="9">
    <w:abstractNumId w:val="0"/>
  </w:num>
  <w:num w:numId="10">
    <w:abstractNumId w:val="19"/>
  </w:num>
  <w:num w:numId="11">
    <w:abstractNumId w:val="1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2">
    <w:abstractNumId w:val="3"/>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7"/>
  </w:num>
  <w:num w:numId="17">
    <w:abstractNumId w:val="15"/>
  </w:num>
  <w:num w:numId="18">
    <w:abstractNumId w:val="10"/>
  </w:num>
  <w:num w:numId="19">
    <w:abstractNumId w:val="9"/>
  </w:num>
  <w:num w:numId="20">
    <w:abstractNumId w:val="1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 w:numId="24">
    <w:abstractNumId w:val="18"/>
  </w:num>
  <w:num w:numId="25">
    <w:abstractNumId w:val="22"/>
  </w:num>
  <w:num w:numId="26">
    <w:abstractNumId w:val="1"/>
  </w:num>
  <w:num w:numId="27">
    <w:abstractNumId w:val="11"/>
  </w:num>
  <w:num w:numId="28">
    <w:abstractNumId w:val="17"/>
  </w:num>
  <w:num w:numId="29">
    <w:abstractNumId w:val="20"/>
  </w:num>
  <w:num w:numId="30">
    <w:abstractNumId w:val="11"/>
  </w:num>
  <w:num w:numId="31">
    <w:abstractNumId w:val="8"/>
  </w:num>
  <w:num w:numId="32">
    <w:abstractNumId w:val="3"/>
  </w:num>
  <w:num w:numId="33">
    <w:abstractNumId w:val="3"/>
  </w:num>
  <w:num w:numId="34">
    <w:abstractNumId w:val="14"/>
  </w:num>
  <w:num w:numId="35">
    <w:abstractNumId w:val="14"/>
  </w:num>
  <w:num w:numId="36">
    <w:abstractNumId w:val="11"/>
  </w:num>
  <w:num w:numId="37">
    <w:abstractNumId w:val="23"/>
  </w:num>
  <w:num w:numId="38">
    <w:abstractNumId w:val="11"/>
  </w:num>
  <w:num w:numId="39">
    <w:abstractNumId w:val="1"/>
  </w:num>
  <w:num w:numId="40">
    <w:abstractNumId w:val="11"/>
  </w:num>
  <w:num w:numId="41">
    <w:abstractNumId w:val="1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currentname" w:val="\\cbrvpwxfs01\home$\spras\2013 08 12 - final decision - (D2013-00111361).docx"/>
  </w:docVars>
  <w:rsids>
    <w:rsidRoot w:val="00E91F5E"/>
    <w:rsid w:val="00001EC1"/>
    <w:rsid w:val="00002786"/>
    <w:rsid w:val="00003C69"/>
    <w:rsid w:val="00003E83"/>
    <w:rsid w:val="000206FE"/>
    <w:rsid w:val="00021FFB"/>
    <w:rsid w:val="00023AB6"/>
    <w:rsid w:val="000254FB"/>
    <w:rsid w:val="00027A44"/>
    <w:rsid w:val="00031914"/>
    <w:rsid w:val="00031EC6"/>
    <w:rsid w:val="0003335F"/>
    <w:rsid w:val="00033BF2"/>
    <w:rsid w:val="00036653"/>
    <w:rsid w:val="000403AE"/>
    <w:rsid w:val="00042B0C"/>
    <w:rsid w:val="00043F35"/>
    <w:rsid w:val="00046EC2"/>
    <w:rsid w:val="0005004F"/>
    <w:rsid w:val="00054D12"/>
    <w:rsid w:val="00054DF3"/>
    <w:rsid w:val="00055144"/>
    <w:rsid w:val="00064123"/>
    <w:rsid w:val="00066202"/>
    <w:rsid w:val="00066220"/>
    <w:rsid w:val="000666C2"/>
    <w:rsid w:val="00066887"/>
    <w:rsid w:val="00075B33"/>
    <w:rsid w:val="00076CE1"/>
    <w:rsid w:val="00080023"/>
    <w:rsid w:val="000829DB"/>
    <w:rsid w:val="0008343B"/>
    <w:rsid w:val="000837B5"/>
    <w:rsid w:val="000975B8"/>
    <w:rsid w:val="000A0503"/>
    <w:rsid w:val="000A4F78"/>
    <w:rsid w:val="000B0863"/>
    <w:rsid w:val="000B2B9B"/>
    <w:rsid w:val="000B2FD5"/>
    <w:rsid w:val="000C1D35"/>
    <w:rsid w:val="000C44CC"/>
    <w:rsid w:val="000C5BFF"/>
    <w:rsid w:val="000C5FB4"/>
    <w:rsid w:val="000C7559"/>
    <w:rsid w:val="000D4003"/>
    <w:rsid w:val="000E577A"/>
    <w:rsid w:val="000E6496"/>
    <w:rsid w:val="000E7650"/>
    <w:rsid w:val="000F142B"/>
    <w:rsid w:val="000F17F3"/>
    <w:rsid w:val="000F268C"/>
    <w:rsid w:val="000F306E"/>
    <w:rsid w:val="000F38C7"/>
    <w:rsid w:val="000F3EA5"/>
    <w:rsid w:val="000F470C"/>
    <w:rsid w:val="000F63D5"/>
    <w:rsid w:val="000F722B"/>
    <w:rsid w:val="001015AF"/>
    <w:rsid w:val="00101E0F"/>
    <w:rsid w:val="00101F27"/>
    <w:rsid w:val="00102498"/>
    <w:rsid w:val="0010588C"/>
    <w:rsid w:val="00106026"/>
    <w:rsid w:val="00107866"/>
    <w:rsid w:val="0011034B"/>
    <w:rsid w:val="00113F97"/>
    <w:rsid w:val="00113FF9"/>
    <w:rsid w:val="0011401D"/>
    <w:rsid w:val="0012471E"/>
    <w:rsid w:val="00124CC8"/>
    <w:rsid w:val="00133EEC"/>
    <w:rsid w:val="001346FE"/>
    <w:rsid w:val="001375E5"/>
    <w:rsid w:val="001428EE"/>
    <w:rsid w:val="0015386C"/>
    <w:rsid w:val="001554B1"/>
    <w:rsid w:val="00156E78"/>
    <w:rsid w:val="001607DE"/>
    <w:rsid w:val="001629D9"/>
    <w:rsid w:val="00165C6F"/>
    <w:rsid w:val="00166AF5"/>
    <w:rsid w:val="00173636"/>
    <w:rsid w:val="00173F9D"/>
    <w:rsid w:val="001750FA"/>
    <w:rsid w:val="0017645D"/>
    <w:rsid w:val="00177EBC"/>
    <w:rsid w:val="00180347"/>
    <w:rsid w:val="001818F5"/>
    <w:rsid w:val="00181D77"/>
    <w:rsid w:val="0018304A"/>
    <w:rsid w:val="00183CC7"/>
    <w:rsid w:val="00187226"/>
    <w:rsid w:val="00187228"/>
    <w:rsid w:val="00193FCD"/>
    <w:rsid w:val="00195787"/>
    <w:rsid w:val="001A00D9"/>
    <w:rsid w:val="001A2B99"/>
    <w:rsid w:val="001A4E52"/>
    <w:rsid w:val="001B18CA"/>
    <w:rsid w:val="001B1EDC"/>
    <w:rsid w:val="001B2554"/>
    <w:rsid w:val="001B4377"/>
    <w:rsid w:val="001C3902"/>
    <w:rsid w:val="001C43AD"/>
    <w:rsid w:val="001C4BAE"/>
    <w:rsid w:val="001C7974"/>
    <w:rsid w:val="001D15FF"/>
    <w:rsid w:val="001D3876"/>
    <w:rsid w:val="001D3C82"/>
    <w:rsid w:val="001D4151"/>
    <w:rsid w:val="001E0049"/>
    <w:rsid w:val="001E06AC"/>
    <w:rsid w:val="001E1275"/>
    <w:rsid w:val="001E2EAE"/>
    <w:rsid w:val="001E533A"/>
    <w:rsid w:val="001E566B"/>
    <w:rsid w:val="001E6792"/>
    <w:rsid w:val="001F10A6"/>
    <w:rsid w:val="001F40A3"/>
    <w:rsid w:val="001F526B"/>
    <w:rsid w:val="00204900"/>
    <w:rsid w:val="00206616"/>
    <w:rsid w:val="00206C61"/>
    <w:rsid w:val="00207B0E"/>
    <w:rsid w:val="002119E7"/>
    <w:rsid w:val="00213CD3"/>
    <w:rsid w:val="00222146"/>
    <w:rsid w:val="002257B9"/>
    <w:rsid w:val="002274F6"/>
    <w:rsid w:val="002443C4"/>
    <w:rsid w:val="0024466D"/>
    <w:rsid w:val="002446F8"/>
    <w:rsid w:val="0025093D"/>
    <w:rsid w:val="00251D85"/>
    <w:rsid w:val="002526AD"/>
    <w:rsid w:val="00253E8B"/>
    <w:rsid w:val="00256E5F"/>
    <w:rsid w:val="0025788F"/>
    <w:rsid w:val="00260470"/>
    <w:rsid w:val="002634E0"/>
    <w:rsid w:val="002644FF"/>
    <w:rsid w:val="0026738D"/>
    <w:rsid w:val="00273C6B"/>
    <w:rsid w:val="00274157"/>
    <w:rsid w:val="00277912"/>
    <w:rsid w:val="00281141"/>
    <w:rsid w:val="002833C3"/>
    <w:rsid w:val="00285323"/>
    <w:rsid w:val="00290FD5"/>
    <w:rsid w:val="00293404"/>
    <w:rsid w:val="002943AE"/>
    <w:rsid w:val="002A77E7"/>
    <w:rsid w:val="002B1715"/>
    <w:rsid w:val="002B268D"/>
    <w:rsid w:val="002B3986"/>
    <w:rsid w:val="002C0895"/>
    <w:rsid w:val="002C3F02"/>
    <w:rsid w:val="002C4E80"/>
    <w:rsid w:val="002C5D77"/>
    <w:rsid w:val="002D1837"/>
    <w:rsid w:val="002D1C5B"/>
    <w:rsid w:val="002D1F3C"/>
    <w:rsid w:val="002D2C20"/>
    <w:rsid w:val="002D43AC"/>
    <w:rsid w:val="002D6187"/>
    <w:rsid w:val="002E437F"/>
    <w:rsid w:val="002E4599"/>
    <w:rsid w:val="002E5EC2"/>
    <w:rsid w:val="002E6534"/>
    <w:rsid w:val="002E67D2"/>
    <w:rsid w:val="002F09F9"/>
    <w:rsid w:val="002F105B"/>
    <w:rsid w:val="002F4326"/>
    <w:rsid w:val="002F5260"/>
    <w:rsid w:val="002F7148"/>
    <w:rsid w:val="002F7EA3"/>
    <w:rsid w:val="003015E1"/>
    <w:rsid w:val="00302819"/>
    <w:rsid w:val="00302B93"/>
    <w:rsid w:val="00303259"/>
    <w:rsid w:val="00315942"/>
    <w:rsid w:val="0032356F"/>
    <w:rsid w:val="00324F55"/>
    <w:rsid w:val="003323A0"/>
    <w:rsid w:val="0033431D"/>
    <w:rsid w:val="0033465B"/>
    <w:rsid w:val="00334F4E"/>
    <w:rsid w:val="00336443"/>
    <w:rsid w:val="00346B86"/>
    <w:rsid w:val="00351E59"/>
    <w:rsid w:val="00351E84"/>
    <w:rsid w:val="00355A24"/>
    <w:rsid w:val="00361D93"/>
    <w:rsid w:val="00366360"/>
    <w:rsid w:val="003673EA"/>
    <w:rsid w:val="003707C3"/>
    <w:rsid w:val="0037450C"/>
    <w:rsid w:val="00375A55"/>
    <w:rsid w:val="00380F38"/>
    <w:rsid w:val="00384EE2"/>
    <w:rsid w:val="003857FD"/>
    <w:rsid w:val="00390487"/>
    <w:rsid w:val="0039699E"/>
    <w:rsid w:val="003979ED"/>
    <w:rsid w:val="003B220F"/>
    <w:rsid w:val="003B3E04"/>
    <w:rsid w:val="003B77B8"/>
    <w:rsid w:val="003C2900"/>
    <w:rsid w:val="003D09ED"/>
    <w:rsid w:val="003E598A"/>
    <w:rsid w:val="003E6A89"/>
    <w:rsid w:val="003E6D68"/>
    <w:rsid w:val="003E73AB"/>
    <w:rsid w:val="003E7883"/>
    <w:rsid w:val="003E7DB5"/>
    <w:rsid w:val="003F1A34"/>
    <w:rsid w:val="003F1D08"/>
    <w:rsid w:val="003F49B5"/>
    <w:rsid w:val="004031E3"/>
    <w:rsid w:val="004035BB"/>
    <w:rsid w:val="00404B93"/>
    <w:rsid w:val="00415E2E"/>
    <w:rsid w:val="00417585"/>
    <w:rsid w:val="004225BA"/>
    <w:rsid w:val="0042785F"/>
    <w:rsid w:val="00431C05"/>
    <w:rsid w:val="00432B1F"/>
    <w:rsid w:val="004337EA"/>
    <w:rsid w:val="004354AB"/>
    <w:rsid w:val="004374E3"/>
    <w:rsid w:val="00446B46"/>
    <w:rsid w:val="0044715F"/>
    <w:rsid w:val="00455858"/>
    <w:rsid w:val="00470D2E"/>
    <w:rsid w:val="00471662"/>
    <w:rsid w:val="00473081"/>
    <w:rsid w:val="004731B5"/>
    <w:rsid w:val="004751BC"/>
    <w:rsid w:val="00475231"/>
    <w:rsid w:val="00480746"/>
    <w:rsid w:val="00482226"/>
    <w:rsid w:val="00486C72"/>
    <w:rsid w:val="0049171D"/>
    <w:rsid w:val="004A2F20"/>
    <w:rsid w:val="004A3139"/>
    <w:rsid w:val="004A3C7C"/>
    <w:rsid w:val="004B2AB0"/>
    <w:rsid w:val="004B41CD"/>
    <w:rsid w:val="004B4F23"/>
    <w:rsid w:val="004B5E13"/>
    <w:rsid w:val="004B64C3"/>
    <w:rsid w:val="004B6E64"/>
    <w:rsid w:val="004B6EBF"/>
    <w:rsid w:val="004C5B96"/>
    <w:rsid w:val="004C6A70"/>
    <w:rsid w:val="004D1B10"/>
    <w:rsid w:val="004D22DF"/>
    <w:rsid w:val="004D6D83"/>
    <w:rsid w:val="004E0D5F"/>
    <w:rsid w:val="004E3728"/>
    <w:rsid w:val="004E629B"/>
    <w:rsid w:val="004E79D5"/>
    <w:rsid w:val="004E7FD5"/>
    <w:rsid w:val="004F101E"/>
    <w:rsid w:val="004F141D"/>
    <w:rsid w:val="005004C3"/>
    <w:rsid w:val="00502897"/>
    <w:rsid w:val="00503D21"/>
    <w:rsid w:val="00505422"/>
    <w:rsid w:val="005056CB"/>
    <w:rsid w:val="00506780"/>
    <w:rsid w:val="00507D97"/>
    <w:rsid w:val="00507DC7"/>
    <w:rsid w:val="0051053E"/>
    <w:rsid w:val="00511407"/>
    <w:rsid w:val="0051142C"/>
    <w:rsid w:val="00514109"/>
    <w:rsid w:val="005214E8"/>
    <w:rsid w:val="0052462E"/>
    <w:rsid w:val="0052544F"/>
    <w:rsid w:val="0053008B"/>
    <w:rsid w:val="005335B5"/>
    <w:rsid w:val="0053532E"/>
    <w:rsid w:val="0054003C"/>
    <w:rsid w:val="005462BA"/>
    <w:rsid w:val="00552201"/>
    <w:rsid w:val="0055333B"/>
    <w:rsid w:val="00555997"/>
    <w:rsid w:val="00557133"/>
    <w:rsid w:val="00557803"/>
    <w:rsid w:val="005578D4"/>
    <w:rsid w:val="005602B9"/>
    <w:rsid w:val="00561C91"/>
    <w:rsid w:val="005629FF"/>
    <w:rsid w:val="00570057"/>
    <w:rsid w:val="005704A7"/>
    <w:rsid w:val="0057126E"/>
    <w:rsid w:val="00571CCC"/>
    <w:rsid w:val="00574BFD"/>
    <w:rsid w:val="00575512"/>
    <w:rsid w:val="00576D79"/>
    <w:rsid w:val="00583DAB"/>
    <w:rsid w:val="005849A0"/>
    <w:rsid w:val="0058528F"/>
    <w:rsid w:val="00586F1A"/>
    <w:rsid w:val="00593C97"/>
    <w:rsid w:val="00596D25"/>
    <w:rsid w:val="00597509"/>
    <w:rsid w:val="005A5A26"/>
    <w:rsid w:val="005B23C4"/>
    <w:rsid w:val="005B2B4E"/>
    <w:rsid w:val="005B778F"/>
    <w:rsid w:val="005C1CAE"/>
    <w:rsid w:val="005C3B52"/>
    <w:rsid w:val="005C58DE"/>
    <w:rsid w:val="005C6023"/>
    <w:rsid w:val="005C6EDA"/>
    <w:rsid w:val="005E5FFA"/>
    <w:rsid w:val="005E7DD8"/>
    <w:rsid w:val="005F0031"/>
    <w:rsid w:val="005F0F3B"/>
    <w:rsid w:val="005F5E27"/>
    <w:rsid w:val="005F6B72"/>
    <w:rsid w:val="005F71AA"/>
    <w:rsid w:val="005F7CAA"/>
    <w:rsid w:val="00603EA0"/>
    <w:rsid w:val="00603F8E"/>
    <w:rsid w:val="00616895"/>
    <w:rsid w:val="006177C5"/>
    <w:rsid w:val="006200F3"/>
    <w:rsid w:val="0062043D"/>
    <w:rsid w:val="00621F4B"/>
    <w:rsid w:val="00622A17"/>
    <w:rsid w:val="00624D5D"/>
    <w:rsid w:val="00625C46"/>
    <w:rsid w:val="00625F5A"/>
    <w:rsid w:val="00634434"/>
    <w:rsid w:val="00635D37"/>
    <w:rsid w:val="0064633B"/>
    <w:rsid w:val="006476FE"/>
    <w:rsid w:val="00650723"/>
    <w:rsid w:val="0065448C"/>
    <w:rsid w:val="00654544"/>
    <w:rsid w:val="006551C5"/>
    <w:rsid w:val="00656C57"/>
    <w:rsid w:val="00661BB3"/>
    <w:rsid w:val="00664A28"/>
    <w:rsid w:val="00672265"/>
    <w:rsid w:val="00674AC2"/>
    <w:rsid w:val="0067536A"/>
    <w:rsid w:val="006755E2"/>
    <w:rsid w:val="00675720"/>
    <w:rsid w:val="00677A7A"/>
    <w:rsid w:val="00681A4A"/>
    <w:rsid w:val="00684DA5"/>
    <w:rsid w:val="00685D99"/>
    <w:rsid w:val="006865F9"/>
    <w:rsid w:val="00687A16"/>
    <w:rsid w:val="006911E7"/>
    <w:rsid w:val="00692E86"/>
    <w:rsid w:val="00692F51"/>
    <w:rsid w:val="006975E9"/>
    <w:rsid w:val="006A7B3D"/>
    <w:rsid w:val="006B0BA4"/>
    <w:rsid w:val="006B0DFE"/>
    <w:rsid w:val="006B56A9"/>
    <w:rsid w:val="006B7964"/>
    <w:rsid w:val="006C1766"/>
    <w:rsid w:val="006C2C3D"/>
    <w:rsid w:val="006D23DA"/>
    <w:rsid w:val="006D7658"/>
    <w:rsid w:val="006E141F"/>
    <w:rsid w:val="006E21C7"/>
    <w:rsid w:val="006E40A8"/>
    <w:rsid w:val="006E4295"/>
    <w:rsid w:val="006E648E"/>
    <w:rsid w:val="006F06D0"/>
    <w:rsid w:val="006F40C5"/>
    <w:rsid w:val="006F53F5"/>
    <w:rsid w:val="006F564E"/>
    <w:rsid w:val="0070382C"/>
    <w:rsid w:val="00705CF3"/>
    <w:rsid w:val="00711FD3"/>
    <w:rsid w:val="007123B5"/>
    <w:rsid w:val="00713B8C"/>
    <w:rsid w:val="0071669D"/>
    <w:rsid w:val="00717978"/>
    <w:rsid w:val="007209DB"/>
    <w:rsid w:val="007258C5"/>
    <w:rsid w:val="00725F10"/>
    <w:rsid w:val="00730649"/>
    <w:rsid w:val="007330D0"/>
    <w:rsid w:val="007364A5"/>
    <w:rsid w:val="007373D1"/>
    <w:rsid w:val="00742A70"/>
    <w:rsid w:val="0075048B"/>
    <w:rsid w:val="0075452E"/>
    <w:rsid w:val="007575DD"/>
    <w:rsid w:val="00762515"/>
    <w:rsid w:val="00763406"/>
    <w:rsid w:val="007656B9"/>
    <w:rsid w:val="00766436"/>
    <w:rsid w:val="00766692"/>
    <w:rsid w:val="00775420"/>
    <w:rsid w:val="00775CF4"/>
    <w:rsid w:val="00776793"/>
    <w:rsid w:val="00776BFE"/>
    <w:rsid w:val="007771F3"/>
    <w:rsid w:val="00781E7E"/>
    <w:rsid w:val="0078361B"/>
    <w:rsid w:val="0078673D"/>
    <w:rsid w:val="00791C05"/>
    <w:rsid w:val="007944C7"/>
    <w:rsid w:val="00794A75"/>
    <w:rsid w:val="00794D77"/>
    <w:rsid w:val="00795E09"/>
    <w:rsid w:val="007A46DC"/>
    <w:rsid w:val="007A76ED"/>
    <w:rsid w:val="007B2A04"/>
    <w:rsid w:val="007B2D7D"/>
    <w:rsid w:val="007B4702"/>
    <w:rsid w:val="007C16C8"/>
    <w:rsid w:val="007C2709"/>
    <w:rsid w:val="007C7445"/>
    <w:rsid w:val="007D150B"/>
    <w:rsid w:val="007D33E4"/>
    <w:rsid w:val="007D66C6"/>
    <w:rsid w:val="007E1BD5"/>
    <w:rsid w:val="007F3ADD"/>
    <w:rsid w:val="007F4B0B"/>
    <w:rsid w:val="007F59E5"/>
    <w:rsid w:val="008078F2"/>
    <w:rsid w:val="00814918"/>
    <w:rsid w:val="008167F7"/>
    <w:rsid w:val="0082082B"/>
    <w:rsid w:val="0082273B"/>
    <w:rsid w:val="00831334"/>
    <w:rsid w:val="00834CC4"/>
    <w:rsid w:val="008351E3"/>
    <w:rsid w:val="0083748A"/>
    <w:rsid w:val="00841CAC"/>
    <w:rsid w:val="0084596F"/>
    <w:rsid w:val="00847871"/>
    <w:rsid w:val="008547CB"/>
    <w:rsid w:val="00856B93"/>
    <w:rsid w:val="008573AB"/>
    <w:rsid w:val="00861DAA"/>
    <w:rsid w:val="00867C4D"/>
    <w:rsid w:val="00867CB7"/>
    <w:rsid w:val="00870939"/>
    <w:rsid w:val="008721B1"/>
    <w:rsid w:val="0087374C"/>
    <w:rsid w:val="00874522"/>
    <w:rsid w:val="00875005"/>
    <w:rsid w:val="008776E3"/>
    <w:rsid w:val="00882D5C"/>
    <w:rsid w:val="008844F5"/>
    <w:rsid w:val="00885468"/>
    <w:rsid w:val="00892887"/>
    <w:rsid w:val="00893A4A"/>
    <w:rsid w:val="008A75E8"/>
    <w:rsid w:val="008B0132"/>
    <w:rsid w:val="008B307C"/>
    <w:rsid w:val="008C2B6D"/>
    <w:rsid w:val="008C41B2"/>
    <w:rsid w:val="008C722F"/>
    <w:rsid w:val="008D0B25"/>
    <w:rsid w:val="008D0EB6"/>
    <w:rsid w:val="008D1137"/>
    <w:rsid w:val="008D344A"/>
    <w:rsid w:val="008D3633"/>
    <w:rsid w:val="008D42F6"/>
    <w:rsid w:val="008D48DD"/>
    <w:rsid w:val="008D5FEA"/>
    <w:rsid w:val="008D6FE6"/>
    <w:rsid w:val="008E10AB"/>
    <w:rsid w:val="008E31BC"/>
    <w:rsid w:val="008E41A9"/>
    <w:rsid w:val="008E7429"/>
    <w:rsid w:val="008E7FC8"/>
    <w:rsid w:val="008F4971"/>
    <w:rsid w:val="008F4E16"/>
    <w:rsid w:val="008F79C4"/>
    <w:rsid w:val="0090335A"/>
    <w:rsid w:val="009034C4"/>
    <w:rsid w:val="009075F2"/>
    <w:rsid w:val="0091003E"/>
    <w:rsid w:val="009178A3"/>
    <w:rsid w:val="0092022C"/>
    <w:rsid w:val="009204E5"/>
    <w:rsid w:val="00921465"/>
    <w:rsid w:val="00923A8B"/>
    <w:rsid w:val="00930546"/>
    <w:rsid w:val="00931C09"/>
    <w:rsid w:val="009332B9"/>
    <w:rsid w:val="009339E7"/>
    <w:rsid w:val="00934887"/>
    <w:rsid w:val="009367A8"/>
    <w:rsid w:val="00941B94"/>
    <w:rsid w:val="00943B56"/>
    <w:rsid w:val="00946CE5"/>
    <w:rsid w:val="0094791C"/>
    <w:rsid w:val="009530B9"/>
    <w:rsid w:val="00954876"/>
    <w:rsid w:val="009658A0"/>
    <w:rsid w:val="00965BF3"/>
    <w:rsid w:val="0096772D"/>
    <w:rsid w:val="00980908"/>
    <w:rsid w:val="00980EDC"/>
    <w:rsid w:val="0099064E"/>
    <w:rsid w:val="00995EE2"/>
    <w:rsid w:val="009973E0"/>
    <w:rsid w:val="009A4569"/>
    <w:rsid w:val="009A46A9"/>
    <w:rsid w:val="009B1D0B"/>
    <w:rsid w:val="009B3F45"/>
    <w:rsid w:val="009B5F82"/>
    <w:rsid w:val="009B7530"/>
    <w:rsid w:val="009C27E7"/>
    <w:rsid w:val="009C5F5C"/>
    <w:rsid w:val="009C7DEC"/>
    <w:rsid w:val="009D3793"/>
    <w:rsid w:val="009E204A"/>
    <w:rsid w:val="009E78F9"/>
    <w:rsid w:val="009F4903"/>
    <w:rsid w:val="00A03EC0"/>
    <w:rsid w:val="00A042BC"/>
    <w:rsid w:val="00A050A7"/>
    <w:rsid w:val="00A069F5"/>
    <w:rsid w:val="00A10D89"/>
    <w:rsid w:val="00A119C2"/>
    <w:rsid w:val="00A16978"/>
    <w:rsid w:val="00A2783E"/>
    <w:rsid w:val="00A314A3"/>
    <w:rsid w:val="00A33F93"/>
    <w:rsid w:val="00A35806"/>
    <w:rsid w:val="00A41006"/>
    <w:rsid w:val="00A4730F"/>
    <w:rsid w:val="00A54D37"/>
    <w:rsid w:val="00A569F4"/>
    <w:rsid w:val="00A56E39"/>
    <w:rsid w:val="00A60037"/>
    <w:rsid w:val="00A618E4"/>
    <w:rsid w:val="00A63058"/>
    <w:rsid w:val="00A64F35"/>
    <w:rsid w:val="00A650CE"/>
    <w:rsid w:val="00A652B3"/>
    <w:rsid w:val="00A65614"/>
    <w:rsid w:val="00A6594F"/>
    <w:rsid w:val="00A65A48"/>
    <w:rsid w:val="00A67166"/>
    <w:rsid w:val="00A71490"/>
    <w:rsid w:val="00A73AE6"/>
    <w:rsid w:val="00A7486C"/>
    <w:rsid w:val="00A755A2"/>
    <w:rsid w:val="00A8078F"/>
    <w:rsid w:val="00A809E7"/>
    <w:rsid w:val="00A84CB5"/>
    <w:rsid w:val="00A8568D"/>
    <w:rsid w:val="00A85BEE"/>
    <w:rsid w:val="00A87526"/>
    <w:rsid w:val="00A92F89"/>
    <w:rsid w:val="00A950F1"/>
    <w:rsid w:val="00AB02FF"/>
    <w:rsid w:val="00AB3A79"/>
    <w:rsid w:val="00AB3D21"/>
    <w:rsid w:val="00AB68F1"/>
    <w:rsid w:val="00AC54BA"/>
    <w:rsid w:val="00AD051C"/>
    <w:rsid w:val="00AD135C"/>
    <w:rsid w:val="00AD4730"/>
    <w:rsid w:val="00AD654C"/>
    <w:rsid w:val="00AD70D7"/>
    <w:rsid w:val="00AD762C"/>
    <w:rsid w:val="00AE0FB6"/>
    <w:rsid w:val="00AE31E2"/>
    <w:rsid w:val="00AE4EEC"/>
    <w:rsid w:val="00AF0849"/>
    <w:rsid w:val="00AF2660"/>
    <w:rsid w:val="00AF69FE"/>
    <w:rsid w:val="00B01A56"/>
    <w:rsid w:val="00B023B1"/>
    <w:rsid w:val="00B04762"/>
    <w:rsid w:val="00B05D1D"/>
    <w:rsid w:val="00B07A6C"/>
    <w:rsid w:val="00B20D18"/>
    <w:rsid w:val="00B23652"/>
    <w:rsid w:val="00B2371B"/>
    <w:rsid w:val="00B25314"/>
    <w:rsid w:val="00B25566"/>
    <w:rsid w:val="00B26335"/>
    <w:rsid w:val="00B35F9A"/>
    <w:rsid w:val="00B37B7A"/>
    <w:rsid w:val="00B44256"/>
    <w:rsid w:val="00B4455F"/>
    <w:rsid w:val="00B50C52"/>
    <w:rsid w:val="00B522CB"/>
    <w:rsid w:val="00B52E74"/>
    <w:rsid w:val="00B72DE2"/>
    <w:rsid w:val="00B743FC"/>
    <w:rsid w:val="00B76424"/>
    <w:rsid w:val="00B810FD"/>
    <w:rsid w:val="00B842FF"/>
    <w:rsid w:val="00B87B4E"/>
    <w:rsid w:val="00B91D49"/>
    <w:rsid w:val="00B94AFC"/>
    <w:rsid w:val="00BA14B2"/>
    <w:rsid w:val="00BA4B5D"/>
    <w:rsid w:val="00BA6BDE"/>
    <w:rsid w:val="00BB12AA"/>
    <w:rsid w:val="00BB30A5"/>
    <w:rsid w:val="00BB488A"/>
    <w:rsid w:val="00BC4E9E"/>
    <w:rsid w:val="00BD039E"/>
    <w:rsid w:val="00BD2CB7"/>
    <w:rsid w:val="00BD518E"/>
    <w:rsid w:val="00BD589C"/>
    <w:rsid w:val="00BE45E1"/>
    <w:rsid w:val="00BF0F2F"/>
    <w:rsid w:val="00BF3411"/>
    <w:rsid w:val="00BF49F6"/>
    <w:rsid w:val="00BF55CD"/>
    <w:rsid w:val="00BF759B"/>
    <w:rsid w:val="00C056E6"/>
    <w:rsid w:val="00C10CBD"/>
    <w:rsid w:val="00C153FE"/>
    <w:rsid w:val="00C16CE3"/>
    <w:rsid w:val="00C205D5"/>
    <w:rsid w:val="00C251E5"/>
    <w:rsid w:val="00C2566F"/>
    <w:rsid w:val="00C2641E"/>
    <w:rsid w:val="00C2691D"/>
    <w:rsid w:val="00C31656"/>
    <w:rsid w:val="00C33CA6"/>
    <w:rsid w:val="00C34771"/>
    <w:rsid w:val="00C34F23"/>
    <w:rsid w:val="00C35264"/>
    <w:rsid w:val="00C35DEF"/>
    <w:rsid w:val="00C40234"/>
    <w:rsid w:val="00C421B4"/>
    <w:rsid w:val="00C429AF"/>
    <w:rsid w:val="00C42FF2"/>
    <w:rsid w:val="00C431C5"/>
    <w:rsid w:val="00C46808"/>
    <w:rsid w:val="00C472DB"/>
    <w:rsid w:val="00C50B33"/>
    <w:rsid w:val="00C5365B"/>
    <w:rsid w:val="00C554DB"/>
    <w:rsid w:val="00C559E1"/>
    <w:rsid w:val="00C5637B"/>
    <w:rsid w:val="00C60B01"/>
    <w:rsid w:val="00C61A7F"/>
    <w:rsid w:val="00C62E65"/>
    <w:rsid w:val="00C6603A"/>
    <w:rsid w:val="00C67C47"/>
    <w:rsid w:val="00C74E0A"/>
    <w:rsid w:val="00C810B6"/>
    <w:rsid w:val="00C8218F"/>
    <w:rsid w:val="00C8494D"/>
    <w:rsid w:val="00C84E1A"/>
    <w:rsid w:val="00C91C63"/>
    <w:rsid w:val="00C91EAB"/>
    <w:rsid w:val="00C91FFC"/>
    <w:rsid w:val="00C92F40"/>
    <w:rsid w:val="00C932CC"/>
    <w:rsid w:val="00C96C1D"/>
    <w:rsid w:val="00C97220"/>
    <w:rsid w:val="00C97BBC"/>
    <w:rsid w:val="00CA5561"/>
    <w:rsid w:val="00CA6C36"/>
    <w:rsid w:val="00CB2372"/>
    <w:rsid w:val="00CB4C47"/>
    <w:rsid w:val="00CB7A73"/>
    <w:rsid w:val="00CC06FA"/>
    <w:rsid w:val="00CD03F8"/>
    <w:rsid w:val="00CD3902"/>
    <w:rsid w:val="00CD584C"/>
    <w:rsid w:val="00CD7EAE"/>
    <w:rsid w:val="00CE463B"/>
    <w:rsid w:val="00CE7740"/>
    <w:rsid w:val="00CF0F43"/>
    <w:rsid w:val="00CF274A"/>
    <w:rsid w:val="00CF4047"/>
    <w:rsid w:val="00CF6F3D"/>
    <w:rsid w:val="00CF7560"/>
    <w:rsid w:val="00D01C37"/>
    <w:rsid w:val="00D05E34"/>
    <w:rsid w:val="00D06B78"/>
    <w:rsid w:val="00D07D87"/>
    <w:rsid w:val="00D119E1"/>
    <w:rsid w:val="00D12D1B"/>
    <w:rsid w:val="00D149DF"/>
    <w:rsid w:val="00D15447"/>
    <w:rsid w:val="00D16246"/>
    <w:rsid w:val="00D33CA0"/>
    <w:rsid w:val="00D34FF6"/>
    <w:rsid w:val="00D357C9"/>
    <w:rsid w:val="00D37B57"/>
    <w:rsid w:val="00D40D4B"/>
    <w:rsid w:val="00D40DB1"/>
    <w:rsid w:val="00D5298D"/>
    <w:rsid w:val="00D56ACE"/>
    <w:rsid w:val="00D619DC"/>
    <w:rsid w:val="00D67EA7"/>
    <w:rsid w:val="00D701EB"/>
    <w:rsid w:val="00D720C1"/>
    <w:rsid w:val="00D739B5"/>
    <w:rsid w:val="00D741D6"/>
    <w:rsid w:val="00D74D46"/>
    <w:rsid w:val="00D76BB5"/>
    <w:rsid w:val="00D76E49"/>
    <w:rsid w:val="00D82368"/>
    <w:rsid w:val="00D82558"/>
    <w:rsid w:val="00D84968"/>
    <w:rsid w:val="00D84C99"/>
    <w:rsid w:val="00D85A43"/>
    <w:rsid w:val="00D85D71"/>
    <w:rsid w:val="00D90B7F"/>
    <w:rsid w:val="00D90DB0"/>
    <w:rsid w:val="00D940C7"/>
    <w:rsid w:val="00DA3CD6"/>
    <w:rsid w:val="00DB7965"/>
    <w:rsid w:val="00DC46DB"/>
    <w:rsid w:val="00DC5BBD"/>
    <w:rsid w:val="00DC7725"/>
    <w:rsid w:val="00DD1061"/>
    <w:rsid w:val="00DE394D"/>
    <w:rsid w:val="00DE4086"/>
    <w:rsid w:val="00DE6F12"/>
    <w:rsid w:val="00DF2050"/>
    <w:rsid w:val="00DF51C3"/>
    <w:rsid w:val="00DF553B"/>
    <w:rsid w:val="00E2305E"/>
    <w:rsid w:val="00E30336"/>
    <w:rsid w:val="00E33D95"/>
    <w:rsid w:val="00E4273D"/>
    <w:rsid w:val="00E43FB8"/>
    <w:rsid w:val="00E457FC"/>
    <w:rsid w:val="00E4602D"/>
    <w:rsid w:val="00E47B8F"/>
    <w:rsid w:val="00E5198A"/>
    <w:rsid w:val="00E5308C"/>
    <w:rsid w:val="00E641A6"/>
    <w:rsid w:val="00E70E4D"/>
    <w:rsid w:val="00E70F26"/>
    <w:rsid w:val="00E71107"/>
    <w:rsid w:val="00E75FA1"/>
    <w:rsid w:val="00E76AA1"/>
    <w:rsid w:val="00E8288C"/>
    <w:rsid w:val="00E82EEB"/>
    <w:rsid w:val="00E847E7"/>
    <w:rsid w:val="00E853B2"/>
    <w:rsid w:val="00E867D2"/>
    <w:rsid w:val="00E91F5E"/>
    <w:rsid w:val="00E9246A"/>
    <w:rsid w:val="00E94D93"/>
    <w:rsid w:val="00EA2DB0"/>
    <w:rsid w:val="00EA5419"/>
    <w:rsid w:val="00EA5B33"/>
    <w:rsid w:val="00EB0465"/>
    <w:rsid w:val="00EB106A"/>
    <w:rsid w:val="00EC08C8"/>
    <w:rsid w:val="00EC2440"/>
    <w:rsid w:val="00EC558C"/>
    <w:rsid w:val="00ED4D1C"/>
    <w:rsid w:val="00ED68BF"/>
    <w:rsid w:val="00ED782A"/>
    <w:rsid w:val="00ED7AC1"/>
    <w:rsid w:val="00EE0302"/>
    <w:rsid w:val="00EE0360"/>
    <w:rsid w:val="00EF1C98"/>
    <w:rsid w:val="00EF21EB"/>
    <w:rsid w:val="00F05224"/>
    <w:rsid w:val="00F05D06"/>
    <w:rsid w:val="00F12337"/>
    <w:rsid w:val="00F12A06"/>
    <w:rsid w:val="00F12B91"/>
    <w:rsid w:val="00F228FD"/>
    <w:rsid w:val="00F274B8"/>
    <w:rsid w:val="00F30514"/>
    <w:rsid w:val="00F37FB5"/>
    <w:rsid w:val="00F40FE3"/>
    <w:rsid w:val="00F44F21"/>
    <w:rsid w:val="00F60B25"/>
    <w:rsid w:val="00F612C3"/>
    <w:rsid w:val="00F72471"/>
    <w:rsid w:val="00F812CC"/>
    <w:rsid w:val="00F83899"/>
    <w:rsid w:val="00F83AEB"/>
    <w:rsid w:val="00F8464A"/>
    <w:rsid w:val="00F85384"/>
    <w:rsid w:val="00F859B1"/>
    <w:rsid w:val="00F87855"/>
    <w:rsid w:val="00F915D9"/>
    <w:rsid w:val="00F92175"/>
    <w:rsid w:val="00F96768"/>
    <w:rsid w:val="00FA075F"/>
    <w:rsid w:val="00FA24D0"/>
    <w:rsid w:val="00FA5AE9"/>
    <w:rsid w:val="00FA6C0E"/>
    <w:rsid w:val="00FA769D"/>
    <w:rsid w:val="00FC129F"/>
    <w:rsid w:val="00FD754C"/>
    <w:rsid w:val="00FE22E2"/>
    <w:rsid w:val="00FE5376"/>
    <w:rsid w:val="00FF0679"/>
    <w:rsid w:val="00FF6B87"/>
    <w:rsid w:val="00FF7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F5E"/>
    <w:pPr>
      <w:spacing w:after="240" w:line="288" w:lineRule="auto"/>
      <w:jc w:val="both"/>
    </w:pPr>
    <w:rPr>
      <w:rFonts w:ascii="Gautami" w:hAnsi="Gautami"/>
      <w:lang w:eastAsia="en-US"/>
    </w:rPr>
  </w:style>
  <w:style w:type="paragraph" w:styleId="Heading1">
    <w:name w:val="heading 1"/>
    <w:next w:val="AERbodytext"/>
    <w:link w:val="Heading1Char"/>
    <w:uiPriority w:val="9"/>
    <w:qFormat/>
    <w:rsid w:val="00E91F5E"/>
    <w:pPr>
      <w:keepNext/>
      <w:keepLines/>
      <w:pageBreakBefore/>
      <w:numPr>
        <w:ilvl w:val="1"/>
        <w:numId w:val="1"/>
      </w:numPr>
      <w:spacing w:before="120" w:after="120" w:line="288" w:lineRule="auto"/>
      <w:jc w:val="both"/>
      <w:outlineLvl w:val="0"/>
    </w:pPr>
    <w:rPr>
      <w:rFonts w:ascii="Gautami" w:eastAsia="Times New Roman" w:hAnsi="Gautami"/>
      <w:b/>
      <w:bCs/>
      <w:color w:val="E36C0A"/>
      <w:sz w:val="36"/>
      <w:szCs w:val="28"/>
      <w:lang w:eastAsia="en-US"/>
    </w:rPr>
  </w:style>
  <w:style w:type="paragraph" w:styleId="Heading2">
    <w:name w:val="heading 2"/>
    <w:basedOn w:val="Heading1"/>
    <w:next w:val="AERbodytext"/>
    <w:link w:val="Heading2Char"/>
    <w:uiPriority w:val="9"/>
    <w:qFormat/>
    <w:rsid w:val="00E91F5E"/>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E91F5E"/>
    <w:pPr>
      <w:numPr>
        <w:ilvl w:val="3"/>
      </w:numPr>
      <w:outlineLvl w:val="2"/>
    </w:pPr>
    <w:rPr>
      <w:bCs/>
      <w:sz w:val="24"/>
    </w:rPr>
  </w:style>
  <w:style w:type="paragraph" w:styleId="Heading4">
    <w:name w:val="heading 4"/>
    <w:basedOn w:val="AERbodytext"/>
    <w:next w:val="AERbodytext"/>
    <w:link w:val="Heading4Char"/>
    <w:uiPriority w:val="9"/>
    <w:qFormat/>
    <w:rsid w:val="00E91F5E"/>
    <w:pPr>
      <w:keepNext/>
      <w:numPr>
        <w:numId w:val="0"/>
      </w:numPr>
      <w:outlineLvl w:val="3"/>
    </w:pPr>
    <w:rPr>
      <w:b/>
      <w:iCs/>
      <w:color w:val="365F91"/>
      <w:sz w:val="22"/>
    </w:rPr>
  </w:style>
  <w:style w:type="paragraph" w:styleId="Heading5">
    <w:name w:val="heading 5"/>
    <w:basedOn w:val="Heading4"/>
    <w:next w:val="AERbodytext"/>
    <w:link w:val="Heading5Char"/>
    <w:uiPriority w:val="9"/>
    <w:qFormat/>
    <w:rsid w:val="00E91F5E"/>
    <w:pPr>
      <w:numPr>
        <w:ilvl w:val="5"/>
      </w:numPr>
      <w:outlineLvl w:val="4"/>
    </w:pPr>
    <w:rPr>
      <w:i/>
      <w:color w:val="000000"/>
      <w:sz w:val="20"/>
    </w:rPr>
  </w:style>
  <w:style w:type="paragraph" w:styleId="Heading6">
    <w:name w:val="heading 6"/>
    <w:basedOn w:val="Heading5"/>
    <w:next w:val="AERbodytext"/>
    <w:link w:val="Heading6Char"/>
    <w:uiPriority w:val="9"/>
    <w:qFormat/>
    <w:rsid w:val="00E91F5E"/>
    <w:pPr>
      <w:numPr>
        <w:ilvl w:val="6"/>
      </w:numPr>
      <w:outlineLvl w:val="5"/>
    </w:pPr>
    <w:rPr>
      <w:b w:val="0"/>
      <w:iCs w:val="0"/>
      <w:color w:val="auto"/>
    </w:rPr>
  </w:style>
  <w:style w:type="paragraph" w:styleId="Heading7">
    <w:name w:val="heading 7"/>
    <w:basedOn w:val="UnnumberedHeading"/>
    <w:next w:val="AERbodytext"/>
    <w:link w:val="Heading7Char"/>
    <w:uiPriority w:val="9"/>
    <w:qFormat/>
    <w:rsid w:val="00E91F5E"/>
    <w:pPr>
      <w:numPr>
        <w:ilvl w:val="4"/>
      </w:numPr>
      <w:outlineLvl w:val="6"/>
    </w:pPr>
    <w:rPr>
      <w:iCs/>
      <w:szCs w:val="24"/>
    </w:rPr>
  </w:style>
  <w:style w:type="paragraph" w:styleId="Heading8">
    <w:name w:val="heading 8"/>
    <w:basedOn w:val="Heading7"/>
    <w:next w:val="AERbodytext"/>
    <w:link w:val="Heading8Char"/>
    <w:uiPriority w:val="9"/>
    <w:qFormat/>
    <w:rsid w:val="00E91F5E"/>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E91F5E"/>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E"/>
    <w:rPr>
      <w:rFonts w:ascii="Gautami" w:eastAsia="Times New Roman" w:hAnsi="Gautami"/>
      <w:b/>
      <w:bCs/>
      <w:color w:val="E36C0A"/>
      <w:sz w:val="36"/>
      <w:szCs w:val="28"/>
      <w:lang w:eastAsia="en-US"/>
    </w:rPr>
  </w:style>
  <w:style w:type="character" w:customStyle="1" w:styleId="Heading2Char">
    <w:name w:val="Heading 2 Char"/>
    <w:basedOn w:val="DefaultParagraphFont"/>
    <w:link w:val="Heading2"/>
    <w:uiPriority w:val="9"/>
    <w:rsid w:val="00E91F5E"/>
    <w:rPr>
      <w:rFonts w:ascii="Gautami" w:eastAsia="Times New Roman" w:hAnsi="Gautami"/>
      <w:b/>
      <w:color w:val="E36C0A"/>
      <w:sz w:val="28"/>
      <w:szCs w:val="26"/>
      <w:lang w:eastAsia="en-US"/>
    </w:rPr>
  </w:style>
  <w:style w:type="character" w:customStyle="1" w:styleId="Heading3Char">
    <w:name w:val="Heading 3 Char"/>
    <w:basedOn w:val="DefaultParagraphFont"/>
    <w:link w:val="Heading3"/>
    <w:uiPriority w:val="9"/>
    <w:rsid w:val="00E91F5E"/>
    <w:rPr>
      <w:rFonts w:ascii="Gautami" w:eastAsia="Times New Roman" w:hAnsi="Gautami"/>
      <w:b/>
      <w:bCs/>
      <w:color w:val="E36C0A"/>
      <w:sz w:val="24"/>
      <w:szCs w:val="26"/>
      <w:lang w:eastAsia="en-US"/>
    </w:rPr>
  </w:style>
  <w:style w:type="character" w:customStyle="1" w:styleId="Heading4Char">
    <w:name w:val="Heading 4 Char"/>
    <w:basedOn w:val="DefaultParagraphFont"/>
    <w:link w:val="Heading4"/>
    <w:uiPriority w:val="9"/>
    <w:rsid w:val="00E91F5E"/>
    <w:rPr>
      <w:rFonts w:ascii="Gautami" w:eastAsia="Times New Roman" w:hAnsi="Gautami" w:cs="Times New Roman"/>
      <w:b/>
      <w:iCs/>
      <w:color w:val="365F91"/>
      <w:szCs w:val="24"/>
    </w:rPr>
  </w:style>
  <w:style w:type="character" w:customStyle="1" w:styleId="Heading5Char">
    <w:name w:val="Heading 5 Char"/>
    <w:basedOn w:val="DefaultParagraphFont"/>
    <w:link w:val="Heading5"/>
    <w:uiPriority w:val="9"/>
    <w:rsid w:val="00E91F5E"/>
    <w:rPr>
      <w:rFonts w:ascii="Gautami" w:eastAsia="Times New Roman" w:hAnsi="Gautami" w:cs="Times New Roman"/>
      <w:b/>
      <w:i/>
      <w:iCs/>
      <w:color w:val="000000"/>
      <w:sz w:val="20"/>
      <w:szCs w:val="24"/>
    </w:rPr>
  </w:style>
  <w:style w:type="character" w:customStyle="1" w:styleId="Heading6Char">
    <w:name w:val="Heading 6 Char"/>
    <w:basedOn w:val="DefaultParagraphFont"/>
    <w:link w:val="Heading6"/>
    <w:uiPriority w:val="9"/>
    <w:rsid w:val="00E91F5E"/>
    <w:rPr>
      <w:rFonts w:ascii="Gautami" w:eastAsia="Times New Roman" w:hAnsi="Gautami" w:cs="Times New Roman"/>
      <w:i/>
      <w:sz w:val="20"/>
      <w:szCs w:val="24"/>
    </w:rPr>
  </w:style>
  <w:style w:type="character" w:customStyle="1" w:styleId="Heading7Char">
    <w:name w:val="Heading 7 Char"/>
    <w:basedOn w:val="DefaultParagraphFont"/>
    <w:link w:val="Heading7"/>
    <w:uiPriority w:val="9"/>
    <w:rsid w:val="00E91F5E"/>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E91F5E"/>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E91F5E"/>
    <w:rPr>
      <w:rFonts w:ascii="Gautami" w:eastAsia="Times New Roman" w:hAnsi="Gautami" w:cs="Times New Roman"/>
      <w:b/>
      <w:bCs/>
      <w:color w:val="E36C0A"/>
      <w:sz w:val="24"/>
      <w:szCs w:val="20"/>
    </w:rPr>
  </w:style>
  <w:style w:type="numbering" w:customStyle="1" w:styleId="AERHeadings">
    <w:name w:val="AER Headings"/>
    <w:uiPriority w:val="99"/>
    <w:rsid w:val="00E91F5E"/>
    <w:pPr>
      <w:numPr>
        <w:numId w:val="1"/>
      </w:numPr>
    </w:pPr>
  </w:style>
  <w:style w:type="paragraph" w:styleId="Caption">
    <w:name w:val="caption"/>
    <w:basedOn w:val="AERbodytext"/>
    <w:next w:val="AERbodytext"/>
    <w:uiPriority w:val="35"/>
    <w:qFormat/>
    <w:rsid w:val="00E91F5E"/>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E91F5E"/>
    <w:rPr>
      <w:rFonts w:ascii="Gautami" w:hAnsi="Gautami"/>
      <w:color w:val="auto"/>
      <w:sz w:val="20"/>
    </w:rPr>
  </w:style>
  <w:style w:type="paragraph" w:customStyle="1" w:styleId="AERbodytext">
    <w:name w:val="AER body text"/>
    <w:link w:val="AERbodytextChar"/>
    <w:qFormat/>
    <w:rsid w:val="00E91F5E"/>
    <w:pPr>
      <w:numPr>
        <w:numId w:val="8"/>
      </w:numPr>
      <w:spacing w:after="240" w:line="288" w:lineRule="auto"/>
      <w:jc w:val="both"/>
    </w:pPr>
    <w:rPr>
      <w:rFonts w:ascii="Gautami" w:eastAsia="Times New Roman" w:hAnsi="Gautami"/>
      <w:szCs w:val="24"/>
      <w:lang w:eastAsia="en-US"/>
    </w:rPr>
  </w:style>
  <w:style w:type="paragraph" w:customStyle="1" w:styleId="AERbodytextindent1">
    <w:name w:val="AER body text (indent 1)"/>
    <w:basedOn w:val="AERbodytext"/>
    <w:qFormat/>
    <w:rsid w:val="00E91F5E"/>
    <w:pPr>
      <w:numPr>
        <w:numId w:val="0"/>
      </w:numPr>
      <w:ind w:left="357"/>
    </w:pPr>
  </w:style>
  <w:style w:type="paragraph" w:customStyle="1" w:styleId="AERbodytextindent2">
    <w:name w:val="AER body text (indent 2)"/>
    <w:basedOn w:val="AERbodytextindent1"/>
    <w:qFormat/>
    <w:rsid w:val="00E91F5E"/>
    <w:pPr>
      <w:ind w:left="709"/>
    </w:pPr>
  </w:style>
  <w:style w:type="paragraph" w:customStyle="1" w:styleId="AERbodytextindent3">
    <w:name w:val="AER body text (indent 3)"/>
    <w:basedOn w:val="AERbodytext"/>
    <w:qFormat/>
    <w:rsid w:val="00E91F5E"/>
    <w:pPr>
      <w:numPr>
        <w:numId w:val="0"/>
      </w:numPr>
      <w:ind w:left="1077"/>
    </w:pPr>
  </w:style>
  <w:style w:type="paragraph" w:customStyle="1" w:styleId="AERbulletlistfirststyle">
    <w:name w:val="AER bullet list (first style)"/>
    <w:basedOn w:val="AERbodytext"/>
    <w:link w:val="AERbulletlistfirststyleChar"/>
    <w:qFormat/>
    <w:rsid w:val="00E91F5E"/>
    <w:pPr>
      <w:numPr>
        <w:numId w:val="2"/>
      </w:numPr>
      <w:tabs>
        <w:tab w:val="left" w:pos="357"/>
      </w:tabs>
      <w:spacing w:after="200"/>
    </w:pPr>
  </w:style>
  <w:style w:type="paragraph" w:customStyle="1" w:styleId="AERbulletlistsecondstyle">
    <w:name w:val="AER bullet list (second style)"/>
    <w:basedOn w:val="AERbodytext"/>
    <w:qFormat/>
    <w:rsid w:val="00E91F5E"/>
    <w:pPr>
      <w:numPr>
        <w:numId w:val="5"/>
      </w:numPr>
      <w:tabs>
        <w:tab w:val="left" w:pos="709"/>
      </w:tabs>
      <w:spacing w:after="200"/>
    </w:pPr>
  </w:style>
  <w:style w:type="paragraph" w:customStyle="1" w:styleId="AERbulletlistthirdstyle">
    <w:name w:val="AER bullet list (third style)"/>
    <w:basedOn w:val="AERbodytext"/>
    <w:qFormat/>
    <w:rsid w:val="00E91F5E"/>
    <w:pPr>
      <w:numPr>
        <w:numId w:val="3"/>
      </w:numPr>
      <w:tabs>
        <w:tab w:val="left" w:pos="1077"/>
      </w:tabs>
      <w:spacing w:after="200"/>
      <w:ind w:left="1071" w:hanging="357"/>
    </w:pPr>
  </w:style>
  <w:style w:type="character" w:customStyle="1" w:styleId="AERtextconfidential">
    <w:name w:val="AER text confidential"/>
    <w:qFormat/>
    <w:rsid w:val="00E91F5E"/>
    <w:rPr>
      <w:bdr w:val="none" w:sz="0" w:space="0" w:color="auto"/>
      <w:shd w:val="clear" w:color="auto" w:fill="CCFFFF"/>
    </w:rPr>
  </w:style>
  <w:style w:type="paragraph" w:customStyle="1" w:styleId="AERnumberedlistfirststyle">
    <w:name w:val="AER numbered list (first style)"/>
    <w:basedOn w:val="AERbodytext"/>
    <w:qFormat/>
    <w:rsid w:val="00E91F5E"/>
    <w:pPr>
      <w:numPr>
        <w:ilvl w:val="1"/>
      </w:numPr>
      <w:spacing w:after="200"/>
    </w:pPr>
  </w:style>
  <w:style w:type="paragraph" w:customStyle="1" w:styleId="AERnumberedlistsecondstyle">
    <w:name w:val="AER numbered list (second style)"/>
    <w:basedOn w:val="AERnumberedlistfirststyle"/>
    <w:qFormat/>
    <w:rsid w:val="00E91F5E"/>
    <w:pPr>
      <w:numPr>
        <w:ilvl w:val="2"/>
      </w:numPr>
    </w:pPr>
  </w:style>
  <w:style w:type="paragraph" w:customStyle="1" w:styleId="AERnumberedlistthirdstyle">
    <w:name w:val="AER numbered list (third style)"/>
    <w:basedOn w:val="AERnumberedlistsecondstyle"/>
    <w:qFormat/>
    <w:rsid w:val="00E91F5E"/>
    <w:pPr>
      <w:numPr>
        <w:ilvl w:val="3"/>
      </w:numPr>
    </w:pPr>
  </w:style>
  <w:style w:type="paragraph" w:customStyle="1" w:styleId="AERquote">
    <w:name w:val="AER quote"/>
    <w:next w:val="AERbodytext"/>
    <w:qFormat/>
    <w:rsid w:val="00E91F5E"/>
    <w:pPr>
      <w:tabs>
        <w:tab w:val="num" w:pos="709"/>
      </w:tabs>
      <w:spacing w:after="160" w:line="288" w:lineRule="auto"/>
      <w:ind w:left="709" w:right="720"/>
      <w:jc w:val="both"/>
    </w:pPr>
    <w:rPr>
      <w:rFonts w:ascii="Gautami" w:eastAsia="Times New Roman" w:hAnsi="Gautami"/>
      <w:color w:val="000000"/>
      <w:sz w:val="16"/>
      <w:szCs w:val="24"/>
      <w:lang w:eastAsia="en-US"/>
    </w:rPr>
  </w:style>
  <w:style w:type="paragraph" w:customStyle="1" w:styleId="AERquoteindent1">
    <w:name w:val="AER quote (indent 1)"/>
    <w:basedOn w:val="AERquote"/>
    <w:qFormat/>
    <w:rsid w:val="00E91F5E"/>
    <w:pPr>
      <w:tabs>
        <w:tab w:val="clear" w:pos="709"/>
        <w:tab w:val="num" w:pos="1077"/>
      </w:tabs>
      <w:ind w:left="1077" w:right="1440"/>
    </w:pPr>
  </w:style>
  <w:style w:type="paragraph" w:customStyle="1" w:styleId="AERquoteindent2">
    <w:name w:val="AER quote (indent 2)"/>
    <w:basedOn w:val="AERquoteindent1"/>
    <w:qFormat/>
    <w:rsid w:val="00E91F5E"/>
    <w:pPr>
      <w:tabs>
        <w:tab w:val="clear" w:pos="1077"/>
        <w:tab w:val="left" w:pos="1440"/>
      </w:tabs>
      <w:ind w:left="1440" w:right="1797"/>
    </w:pPr>
  </w:style>
  <w:style w:type="paragraph" w:customStyle="1" w:styleId="AERquoteindent3">
    <w:name w:val="AER quote (indent 3)"/>
    <w:basedOn w:val="AERquoteindent2"/>
    <w:qFormat/>
    <w:rsid w:val="00E91F5E"/>
    <w:pPr>
      <w:tabs>
        <w:tab w:val="clear" w:pos="1440"/>
        <w:tab w:val="left" w:pos="1803"/>
      </w:tabs>
      <w:ind w:left="1803" w:right="2160"/>
    </w:pPr>
  </w:style>
  <w:style w:type="paragraph" w:customStyle="1" w:styleId="AERquotebullet1">
    <w:name w:val="AER quote bullet 1"/>
    <w:basedOn w:val="Normal"/>
    <w:qFormat/>
    <w:rsid w:val="00E91F5E"/>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E91F5E"/>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E91F5E"/>
    <w:rPr>
      <w:rFonts w:ascii="Gautami" w:hAnsi="Gautami"/>
      <w:vertAlign w:val="subscript"/>
    </w:rPr>
  </w:style>
  <w:style w:type="character" w:customStyle="1" w:styleId="AERsuperscript">
    <w:name w:val="AER superscript"/>
    <w:qFormat/>
    <w:rsid w:val="00E91F5E"/>
    <w:rPr>
      <w:rFonts w:ascii="Gautami" w:hAnsi="Gautami"/>
      <w:vertAlign w:val="superscript"/>
    </w:rPr>
  </w:style>
  <w:style w:type="paragraph" w:customStyle="1" w:styleId="AERtablesource">
    <w:name w:val="AER table source"/>
    <w:next w:val="AERbodytext"/>
    <w:qFormat/>
    <w:rsid w:val="00E91F5E"/>
    <w:pPr>
      <w:tabs>
        <w:tab w:val="left" w:pos="794"/>
      </w:tabs>
      <w:spacing w:before="40" w:after="240"/>
      <w:ind w:left="794" w:hanging="794"/>
      <w:contextualSpacing/>
      <w:jc w:val="both"/>
    </w:pPr>
    <w:rPr>
      <w:rFonts w:ascii="Gautami" w:eastAsia="Times New Roman" w:hAnsi="Gautami"/>
      <w:sz w:val="16"/>
      <w:szCs w:val="24"/>
      <w:lang w:eastAsia="en-US"/>
    </w:rPr>
  </w:style>
  <w:style w:type="table" w:customStyle="1" w:styleId="AERtable-text">
    <w:name w:val="AER table - text"/>
    <w:basedOn w:val="TableNormal"/>
    <w:uiPriority w:val="99"/>
    <w:rsid w:val="00E91F5E"/>
    <w:pPr>
      <w:spacing w:before="120" w:after="80"/>
    </w:pPr>
    <w:rPr>
      <w:rFonts w:ascii="Gautam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E91F5E"/>
    <w:pPr>
      <w:spacing w:before="80" w:after="120" w:line="288" w:lineRule="auto"/>
    </w:pPr>
    <w:rPr>
      <w:rFonts w:ascii="Gautami" w:eastAsia="Times New Roman" w:hAnsi="Gautami"/>
      <w:sz w:val="16"/>
      <w:szCs w:val="24"/>
      <w:lang w:eastAsia="en-US"/>
    </w:rPr>
  </w:style>
  <w:style w:type="character" w:customStyle="1" w:styleId="AERtextbold">
    <w:name w:val="AER text bold"/>
    <w:qFormat/>
    <w:rsid w:val="00E91F5E"/>
    <w:rPr>
      <w:b/>
    </w:rPr>
  </w:style>
  <w:style w:type="character" w:customStyle="1" w:styleId="AERtextbolditalics">
    <w:name w:val="AER text bold italics"/>
    <w:basedOn w:val="AERtextbold"/>
    <w:qFormat/>
    <w:rsid w:val="00E91F5E"/>
    <w:rPr>
      <w:b/>
      <w:i/>
    </w:rPr>
  </w:style>
  <w:style w:type="character" w:customStyle="1" w:styleId="AERtextboldunderline">
    <w:name w:val="AER text bold underline"/>
    <w:qFormat/>
    <w:rsid w:val="00E91F5E"/>
    <w:rPr>
      <w:b/>
      <w:u w:val="single"/>
    </w:rPr>
  </w:style>
  <w:style w:type="character" w:customStyle="1" w:styleId="AERtexthighlight">
    <w:name w:val="AER text highlight"/>
    <w:qFormat/>
    <w:rsid w:val="00E91F5E"/>
    <w:rPr>
      <w:bdr w:val="none" w:sz="0" w:space="0" w:color="auto"/>
      <w:shd w:val="clear" w:color="auto" w:fill="FFFF00"/>
    </w:rPr>
  </w:style>
  <w:style w:type="character" w:customStyle="1" w:styleId="AERtextitalic">
    <w:name w:val="AER text italic"/>
    <w:qFormat/>
    <w:rsid w:val="00E91F5E"/>
    <w:rPr>
      <w:i/>
    </w:rPr>
  </w:style>
  <w:style w:type="character" w:customStyle="1" w:styleId="AERtextunderline">
    <w:name w:val="AER text underline"/>
    <w:qFormat/>
    <w:rsid w:val="00E91F5E"/>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E91F5E"/>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E91F5E"/>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E91F5E"/>
    <w:rPr>
      <w:vertAlign w:val="superscript"/>
    </w:rPr>
  </w:style>
  <w:style w:type="paragraph" w:styleId="Header">
    <w:name w:val="header"/>
    <w:basedOn w:val="Normal"/>
    <w:link w:val="HeaderChar"/>
    <w:uiPriority w:val="99"/>
    <w:unhideWhenUsed/>
    <w:rsid w:val="00E91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F5E"/>
    <w:rPr>
      <w:rFonts w:ascii="Gautami" w:eastAsia="Calibri" w:hAnsi="Gautami" w:cs="Times New Roman"/>
      <w:sz w:val="20"/>
      <w:szCs w:val="20"/>
    </w:rPr>
  </w:style>
  <w:style w:type="paragraph" w:styleId="Footer">
    <w:name w:val="footer"/>
    <w:basedOn w:val="Normal"/>
    <w:link w:val="FooterChar"/>
    <w:uiPriority w:val="99"/>
    <w:qFormat/>
    <w:rsid w:val="00E91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F5E"/>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E91F5E"/>
    <w:pPr>
      <w:numPr>
        <w:ilvl w:val="0"/>
      </w:numPr>
    </w:pPr>
  </w:style>
  <w:style w:type="table" w:styleId="TableGrid">
    <w:name w:val="Table Grid"/>
    <w:basedOn w:val="TableNormal"/>
    <w:uiPriority w:val="59"/>
    <w:rsid w:val="00E91F5E"/>
    <w:rPr>
      <w:rFonts w:ascii="Gautami" w:hAnsi="Gautam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91F5E"/>
    <w:pPr>
      <w:numPr>
        <w:numId w:val="6"/>
      </w:numPr>
    </w:pPr>
  </w:style>
  <w:style w:type="numbering" w:customStyle="1" w:styleId="OldAERheadings">
    <w:name w:val="Old AER headings"/>
    <w:uiPriority w:val="99"/>
    <w:locked/>
    <w:rsid w:val="00E91F5E"/>
    <w:pPr>
      <w:numPr>
        <w:numId w:val="7"/>
      </w:numPr>
    </w:pPr>
  </w:style>
  <w:style w:type="character" w:customStyle="1" w:styleId="AERtextorange">
    <w:name w:val="AER text orange"/>
    <w:uiPriority w:val="1"/>
    <w:qFormat/>
    <w:rsid w:val="00E91F5E"/>
    <w:rPr>
      <w:color w:val="E36C0A"/>
    </w:rPr>
  </w:style>
  <w:style w:type="paragraph" w:customStyle="1" w:styleId="AERtitle1">
    <w:name w:val="AER title 1"/>
    <w:qFormat/>
    <w:rsid w:val="00E91F5E"/>
    <w:pPr>
      <w:spacing w:after="240" w:line="288" w:lineRule="auto"/>
      <w:jc w:val="center"/>
    </w:pPr>
    <w:rPr>
      <w:rFonts w:ascii="Gautami" w:eastAsia="Times New Roman" w:hAnsi="Gautami"/>
      <w:b/>
      <w:sz w:val="40"/>
      <w:szCs w:val="24"/>
    </w:rPr>
  </w:style>
  <w:style w:type="paragraph" w:customStyle="1" w:styleId="AERtitle2">
    <w:name w:val="AER title 2"/>
    <w:qFormat/>
    <w:rsid w:val="00E91F5E"/>
    <w:pPr>
      <w:spacing w:after="240" w:line="288" w:lineRule="auto"/>
      <w:jc w:val="center"/>
    </w:pPr>
    <w:rPr>
      <w:rFonts w:ascii="Gautami" w:eastAsia="Times New Roman" w:hAnsi="Gautami"/>
      <w:sz w:val="32"/>
      <w:szCs w:val="24"/>
      <w:lang w:eastAsia="en-US"/>
    </w:rPr>
  </w:style>
  <w:style w:type="paragraph" w:styleId="ListParagraph">
    <w:name w:val="List Paragraph"/>
    <w:basedOn w:val="Normal"/>
    <w:uiPriority w:val="34"/>
    <w:unhideWhenUsed/>
    <w:qFormat/>
    <w:rsid w:val="00E91F5E"/>
    <w:pPr>
      <w:ind w:left="720"/>
      <w:contextualSpacing/>
    </w:pPr>
  </w:style>
  <w:style w:type="character" w:customStyle="1" w:styleId="AERtextblue">
    <w:name w:val="AER text blue"/>
    <w:uiPriority w:val="1"/>
    <w:qFormat/>
    <w:rsid w:val="00E91F5E"/>
    <w:rPr>
      <w:color w:val="365F91"/>
    </w:rPr>
  </w:style>
  <w:style w:type="character" w:customStyle="1" w:styleId="UnnumberedHeadingChar">
    <w:name w:val="Unnumbered Heading Char"/>
    <w:basedOn w:val="Heading1Char"/>
    <w:link w:val="UnnumberedHeading"/>
    <w:rsid w:val="00E91F5E"/>
    <w:rPr>
      <w:rFonts w:ascii="Gautami" w:eastAsia="Times New Roman" w:hAnsi="Gautami"/>
      <w:b/>
      <w:bCs/>
      <w:color w:val="E36C0A"/>
      <w:sz w:val="36"/>
      <w:szCs w:val="28"/>
      <w:lang w:val="en-AU" w:eastAsia="en-US" w:bidi="ar-SA"/>
    </w:rPr>
  </w:style>
  <w:style w:type="table" w:customStyle="1" w:styleId="AERtable-numbers">
    <w:name w:val="AER table - numbers"/>
    <w:basedOn w:val="TableNormal"/>
    <w:uiPriority w:val="99"/>
    <w:rsid w:val="00E91F5E"/>
    <w:pPr>
      <w:spacing w:before="120" w:after="80"/>
      <w:jc w:val="right"/>
    </w:pPr>
    <w:rPr>
      <w:rFonts w:ascii="Gautam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E91F5E"/>
    <w:rPr>
      <w:rFonts w:ascii="Gautami" w:hAnsi="Gautam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E91F5E"/>
    <w:pPr>
      <w:spacing w:after="0"/>
    </w:pPr>
  </w:style>
  <w:style w:type="paragraph" w:customStyle="1" w:styleId="AERtabletextright">
    <w:name w:val="AER table text right"/>
    <w:basedOn w:val="AERtabletextleft"/>
    <w:qFormat/>
    <w:rsid w:val="00E91F5E"/>
    <w:pPr>
      <w:spacing w:before="120" w:after="80"/>
      <w:jc w:val="right"/>
    </w:pPr>
  </w:style>
  <w:style w:type="paragraph" w:styleId="TOCHeading">
    <w:name w:val="TOC Heading"/>
    <w:basedOn w:val="Heading1"/>
    <w:next w:val="Normal"/>
    <w:uiPriority w:val="39"/>
    <w:semiHidden/>
    <w:unhideWhenUsed/>
    <w:qFormat/>
    <w:rsid w:val="00E91F5E"/>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E91F5E"/>
    <w:pPr>
      <w:spacing w:before="240" w:after="120"/>
      <w:jc w:val="left"/>
    </w:pPr>
    <w:rPr>
      <w:b/>
      <w:bCs/>
    </w:rPr>
  </w:style>
  <w:style w:type="paragraph" w:styleId="TOC2">
    <w:name w:val="toc 2"/>
    <w:basedOn w:val="Normal"/>
    <w:next w:val="Normal"/>
    <w:autoRedefine/>
    <w:uiPriority w:val="39"/>
    <w:unhideWhenUsed/>
    <w:qFormat/>
    <w:rsid w:val="00E91F5E"/>
    <w:pPr>
      <w:spacing w:before="120" w:after="0"/>
      <w:ind w:left="200"/>
      <w:jc w:val="left"/>
    </w:pPr>
    <w:rPr>
      <w:iCs/>
    </w:rPr>
  </w:style>
  <w:style w:type="paragraph" w:styleId="TOC3">
    <w:name w:val="toc 3"/>
    <w:basedOn w:val="Normal"/>
    <w:next w:val="Normal"/>
    <w:autoRedefine/>
    <w:uiPriority w:val="39"/>
    <w:unhideWhenUsed/>
    <w:qFormat/>
    <w:rsid w:val="00E91F5E"/>
    <w:pPr>
      <w:spacing w:after="0"/>
      <w:ind w:left="400"/>
      <w:jc w:val="left"/>
    </w:pPr>
  </w:style>
  <w:style w:type="character" w:styleId="Hyperlink">
    <w:name w:val="Hyperlink"/>
    <w:basedOn w:val="DefaultParagraphFont"/>
    <w:uiPriority w:val="99"/>
    <w:unhideWhenUsed/>
    <w:rsid w:val="00E91F5E"/>
    <w:rPr>
      <w:color w:val="0000FF"/>
      <w:u w:val="single"/>
    </w:rPr>
  </w:style>
  <w:style w:type="paragraph" w:styleId="BalloonText">
    <w:name w:val="Balloon Text"/>
    <w:basedOn w:val="Normal"/>
    <w:link w:val="BalloonTextChar"/>
    <w:uiPriority w:val="99"/>
    <w:semiHidden/>
    <w:unhideWhenUsed/>
    <w:rsid w:val="00E91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F5E"/>
    <w:rPr>
      <w:rFonts w:ascii="Tahoma" w:eastAsia="Calibri" w:hAnsi="Tahoma" w:cs="Tahoma"/>
      <w:sz w:val="16"/>
      <w:szCs w:val="16"/>
    </w:rPr>
  </w:style>
  <w:style w:type="paragraph" w:styleId="TOC4">
    <w:name w:val="toc 4"/>
    <w:basedOn w:val="Normal"/>
    <w:next w:val="Normal"/>
    <w:autoRedefine/>
    <w:uiPriority w:val="39"/>
    <w:semiHidden/>
    <w:rsid w:val="00E91F5E"/>
    <w:pPr>
      <w:spacing w:after="0"/>
      <w:ind w:left="600"/>
      <w:jc w:val="left"/>
    </w:pPr>
    <w:rPr>
      <w:rFonts w:ascii="Calibri" w:hAnsi="Calibri"/>
    </w:rPr>
  </w:style>
  <w:style w:type="paragraph" w:styleId="TOC5">
    <w:name w:val="toc 5"/>
    <w:basedOn w:val="Normal"/>
    <w:next w:val="Normal"/>
    <w:autoRedefine/>
    <w:uiPriority w:val="39"/>
    <w:semiHidden/>
    <w:rsid w:val="00E91F5E"/>
    <w:pPr>
      <w:spacing w:after="0"/>
      <w:ind w:left="800"/>
      <w:jc w:val="left"/>
    </w:pPr>
    <w:rPr>
      <w:rFonts w:ascii="Calibri" w:hAnsi="Calibri"/>
    </w:rPr>
  </w:style>
  <w:style w:type="paragraph" w:styleId="TOC6">
    <w:name w:val="toc 6"/>
    <w:basedOn w:val="Normal"/>
    <w:next w:val="Normal"/>
    <w:autoRedefine/>
    <w:uiPriority w:val="39"/>
    <w:semiHidden/>
    <w:rsid w:val="00E91F5E"/>
    <w:pPr>
      <w:spacing w:after="0"/>
      <w:ind w:left="1000"/>
      <w:jc w:val="left"/>
    </w:pPr>
    <w:rPr>
      <w:rFonts w:ascii="Calibri" w:hAnsi="Calibri"/>
    </w:rPr>
  </w:style>
  <w:style w:type="paragraph" w:styleId="TOC7">
    <w:name w:val="toc 7"/>
    <w:basedOn w:val="Normal"/>
    <w:next w:val="Normal"/>
    <w:autoRedefine/>
    <w:uiPriority w:val="39"/>
    <w:semiHidden/>
    <w:rsid w:val="00E91F5E"/>
    <w:pPr>
      <w:spacing w:after="0"/>
      <w:ind w:left="1200"/>
      <w:jc w:val="left"/>
    </w:pPr>
    <w:rPr>
      <w:rFonts w:ascii="Calibri" w:hAnsi="Calibri"/>
    </w:rPr>
  </w:style>
  <w:style w:type="paragraph" w:styleId="TOC8">
    <w:name w:val="toc 8"/>
    <w:basedOn w:val="Normal"/>
    <w:next w:val="Normal"/>
    <w:autoRedefine/>
    <w:uiPriority w:val="39"/>
    <w:semiHidden/>
    <w:rsid w:val="00E91F5E"/>
    <w:pPr>
      <w:spacing w:after="0"/>
      <w:ind w:left="1400"/>
      <w:jc w:val="left"/>
    </w:pPr>
    <w:rPr>
      <w:rFonts w:ascii="Calibri" w:hAnsi="Calibri"/>
    </w:rPr>
  </w:style>
  <w:style w:type="paragraph" w:styleId="TOC9">
    <w:name w:val="toc 9"/>
    <w:basedOn w:val="Normal"/>
    <w:next w:val="Normal"/>
    <w:autoRedefine/>
    <w:uiPriority w:val="39"/>
    <w:semiHidden/>
    <w:rsid w:val="00E91F5E"/>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E91F5E"/>
    <w:rPr>
      <w:sz w:val="16"/>
      <w:szCs w:val="16"/>
    </w:rPr>
  </w:style>
  <w:style w:type="paragraph" w:styleId="CommentText">
    <w:name w:val="annotation text"/>
    <w:basedOn w:val="Normal"/>
    <w:link w:val="CommentTextChar"/>
    <w:uiPriority w:val="99"/>
    <w:semiHidden/>
    <w:unhideWhenUsed/>
    <w:rsid w:val="00E91F5E"/>
    <w:pPr>
      <w:spacing w:line="240" w:lineRule="auto"/>
    </w:pPr>
  </w:style>
  <w:style w:type="character" w:customStyle="1" w:styleId="CommentTextChar">
    <w:name w:val="Comment Text Char"/>
    <w:basedOn w:val="DefaultParagraphFont"/>
    <w:link w:val="CommentText"/>
    <w:uiPriority w:val="99"/>
    <w:semiHidden/>
    <w:rsid w:val="00E91F5E"/>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E91F5E"/>
    <w:rPr>
      <w:b/>
      <w:bCs/>
    </w:rPr>
  </w:style>
  <w:style w:type="character" w:customStyle="1" w:styleId="CommentSubjectChar">
    <w:name w:val="Comment Subject Char"/>
    <w:basedOn w:val="CommentTextChar"/>
    <w:link w:val="CommentSubject"/>
    <w:uiPriority w:val="99"/>
    <w:semiHidden/>
    <w:rsid w:val="00E91F5E"/>
    <w:rPr>
      <w:rFonts w:ascii="Gautami" w:eastAsia="Calibri" w:hAnsi="Gautami" w:cs="Times New Roman"/>
      <w:b/>
      <w:bCs/>
      <w:sz w:val="20"/>
      <w:szCs w:val="20"/>
    </w:rPr>
  </w:style>
  <w:style w:type="character" w:customStyle="1" w:styleId="AERtextsize8">
    <w:name w:val="AER text size 8"/>
    <w:uiPriority w:val="1"/>
    <w:qFormat/>
    <w:rsid w:val="00E91F5E"/>
    <w:rPr>
      <w:sz w:val="16"/>
    </w:rPr>
  </w:style>
  <w:style w:type="character" w:customStyle="1" w:styleId="AERtextsize10">
    <w:name w:val="AER text size 10"/>
    <w:uiPriority w:val="1"/>
    <w:qFormat/>
    <w:rsid w:val="00E91F5E"/>
    <w:rPr>
      <w:sz w:val="20"/>
    </w:rPr>
  </w:style>
  <w:style w:type="paragraph" w:customStyle="1" w:styleId="AERnumberedlist2first">
    <w:name w:val="AER numbered list 2 first"/>
    <w:basedOn w:val="AERbodytext"/>
    <w:qFormat/>
    <w:rsid w:val="00E91F5E"/>
    <w:pPr>
      <w:numPr>
        <w:ilvl w:val="4"/>
      </w:numPr>
    </w:pPr>
  </w:style>
  <w:style w:type="paragraph" w:customStyle="1" w:styleId="AERnumberedlist2second">
    <w:name w:val="AER numbered list 2 second"/>
    <w:basedOn w:val="AERnumberedlist2first"/>
    <w:qFormat/>
    <w:rsid w:val="00E91F5E"/>
    <w:pPr>
      <w:numPr>
        <w:ilvl w:val="5"/>
      </w:numPr>
    </w:pPr>
  </w:style>
  <w:style w:type="paragraph" w:customStyle="1" w:styleId="AERnumberedlist2third">
    <w:name w:val="AER numbered list 2 third"/>
    <w:basedOn w:val="AERnumberedlist2second"/>
    <w:qFormat/>
    <w:rsid w:val="00E91F5E"/>
    <w:pPr>
      <w:numPr>
        <w:ilvl w:val="6"/>
      </w:numPr>
    </w:pPr>
  </w:style>
  <w:style w:type="paragraph" w:styleId="ListBullet">
    <w:name w:val="List Bullet"/>
    <w:basedOn w:val="Normal"/>
    <w:uiPriority w:val="99"/>
    <w:semiHidden/>
    <w:unhideWhenUsed/>
    <w:rsid w:val="00E91F5E"/>
    <w:pPr>
      <w:numPr>
        <w:numId w:val="9"/>
      </w:numPr>
      <w:contextualSpacing/>
    </w:pPr>
  </w:style>
  <w:style w:type="paragraph" w:styleId="Revision">
    <w:name w:val="Revision"/>
    <w:hidden/>
    <w:uiPriority w:val="99"/>
    <w:semiHidden/>
    <w:rsid w:val="00E91F5E"/>
    <w:rPr>
      <w:rFonts w:ascii="Gautami" w:hAnsi="Gautami"/>
      <w:lang w:eastAsia="en-US"/>
    </w:rPr>
  </w:style>
  <w:style w:type="character" w:styleId="FollowedHyperlink">
    <w:name w:val="FollowedHyperlink"/>
    <w:basedOn w:val="DefaultParagraphFont"/>
    <w:uiPriority w:val="99"/>
    <w:semiHidden/>
    <w:unhideWhenUsed/>
    <w:rsid w:val="00867CB7"/>
    <w:rPr>
      <w:color w:val="800080"/>
      <w:u w:val="single"/>
    </w:rPr>
  </w:style>
  <w:style w:type="character" w:customStyle="1" w:styleId="AERbodytextChar">
    <w:name w:val="AER body text Char"/>
    <w:basedOn w:val="DefaultParagraphFont"/>
    <w:link w:val="AERbodytext"/>
    <w:rsid w:val="002F5260"/>
    <w:rPr>
      <w:rFonts w:ascii="Gautami" w:eastAsia="Times New Roman" w:hAnsi="Gautami"/>
      <w:szCs w:val="24"/>
      <w:lang w:eastAsia="en-US"/>
    </w:rPr>
  </w:style>
  <w:style w:type="paragraph" w:customStyle="1" w:styleId="AERquotestyle">
    <w:name w:val="AER quote style"/>
    <w:basedOn w:val="AERbodytext"/>
    <w:rsid w:val="002F5260"/>
    <w:pPr>
      <w:numPr>
        <w:numId w:val="0"/>
      </w:numPr>
      <w:spacing w:line="240" w:lineRule="auto"/>
      <w:ind w:left="357" w:right="357"/>
      <w:jc w:val="left"/>
    </w:pPr>
    <w:rPr>
      <w:rFonts w:ascii="Times New Roman" w:hAnsi="Times New Roman"/>
      <w:szCs w:val="20"/>
      <w:lang w:eastAsia="en-AU"/>
    </w:rPr>
  </w:style>
  <w:style w:type="paragraph" w:styleId="NormalWeb">
    <w:name w:val="Normal (Web)"/>
    <w:basedOn w:val="Normal"/>
    <w:uiPriority w:val="99"/>
    <w:unhideWhenUsed/>
    <w:rsid w:val="002F5260"/>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Default">
    <w:name w:val="Default"/>
    <w:rsid w:val="0070382C"/>
    <w:pPr>
      <w:autoSpaceDE w:val="0"/>
      <w:autoSpaceDN w:val="0"/>
      <w:adjustRightInd w:val="0"/>
    </w:pPr>
    <w:rPr>
      <w:rFonts w:ascii="Times New Roman" w:hAnsi="Times New Roman"/>
      <w:color w:val="000000"/>
      <w:sz w:val="24"/>
      <w:szCs w:val="24"/>
    </w:rPr>
  </w:style>
  <w:style w:type="character" w:customStyle="1" w:styleId="AERbulletlistfirststyleChar">
    <w:name w:val="AER bullet list (first style) Char"/>
    <w:link w:val="AERbulletlistfirststyle"/>
    <w:rsid w:val="00622A17"/>
    <w:rPr>
      <w:rFonts w:ascii="Gautami" w:eastAsia="Times New Roman" w:hAnsi="Gautami"/>
      <w:szCs w:val="24"/>
      <w:lang w:eastAsia="en-US"/>
    </w:rPr>
  </w:style>
  <w:style w:type="character" w:customStyle="1" w:styleId="st1">
    <w:name w:val="st1"/>
    <w:rsid w:val="00475231"/>
  </w:style>
  <w:style w:type="numbering" w:customStyle="1" w:styleId="AERnumberedlist1">
    <w:name w:val="AER numbered list1"/>
    <w:uiPriority w:val="99"/>
    <w:rsid w:val="00B01A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ERHeadings"/>
    <w:pPr>
      <w:numPr>
        <w:numId w:val="1"/>
      </w:numPr>
    </w:pPr>
  </w:style>
  <w:style w:type="numbering" w:customStyle="1" w:styleId="Heading2Char">
    <w:name w:val="OldAERheadings"/>
    <w:pPr>
      <w:numPr>
        <w:numId w:val="7"/>
      </w:numPr>
    </w:pPr>
  </w:style>
  <w:style w:type="numbering" w:customStyle="1" w:styleId="Heading3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9702">
      <w:bodyDiv w:val="1"/>
      <w:marLeft w:val="0"/>
      <w:marRight w:val="0"/>
      <w:marTop w:val="0"/>
      <w:marBottom w:val="0"/>
      <w:divBdr>
        <w:top w:val="none" w:sz="0" w:space="0" w:color="auto"/>
        <w:left w:val="none" w:sz="0" w:space="0" w:color="auto"/>
        <w:bottom w:val="none" w:sz="0" w:space="0" w:color="auto"/>
        <w:right w:val="none" w:sz="0" w:space="0" w:color="auto"/>
      </w:divBdr>
    </w:div>
    <w:div w:id="156507782">
      <w:bodyDiv w:val="1"/>
      <w:marLeft w:val="0"/>
      <w:marRight w:val="0"/>
      <w:marTop w:val="0"/>
      <w:marBottom w:val="0"/>
      <w:divBdr>
        <w:top w:val="none" w:sz="0" w:space="0" w:color="auto"/>
        <w:left w:val="none" w:sz="0" w:space="0" w:color="auto"/>
        <w:bottom w:val="none" w:sz="0" w:space="0" w:color="auto"/>
        <w:right w:val="none" w:sz="0" w:space="0" w:color="auto"/>
      </w:divBdr>
    </w:div>
    <w:div w:id="319620644">
      <w:bodyDiv w:val="1"/>
      <w:marLeft w:val="0"/>
      <w:marRight w:val="0"/>
      <w:marTop w:val="0"/>
      <w:marBottom w:val="0"/>
      <w:divBdr>
        <w:top w:val="none" w:sz="0" w:space="0" w:color="auto"/>
        <w:left w:val="none" w:sz="0" w:space="0" w:color="auto"/>
        <w:bottom w:val="none" w:sz="0" w:space="0" w:color="auto"/>
        <w:right w:val="none" w:sz="0" w:space="0" w:color="auto"/>
      </w:divBdr>
    </w:div>
    <w:div w:id="477068930">
      <w:bodyDiv w:val="1"/>
      <w:marLeft w:val="0"/>
      <w:marRight w:val="0"/>
      <w:marTop w:val="0"/>
      <w:marBottom w:val="0"/>
      <w:divBdr>
        <w:top w:val="none" w:sz="0" w:space="0" w:color="auto"/>
        <w:left w:val="none" w:sz="0" w:space="0" w:color="auto"/>
        <w:bottom w:val="none" w:sz="0" w:space="0" w:color="auto"/>
        <w:right w:val="none" w:sz="0" w:space="0" w:color="auto"/>
      </w:divBdr>
      <w:divsChild>
        <w:div w:id="166017726">
          <w:marLeft w:val="0"/>
          <w:marRight w:val="0"/>
          <w:marTop w:val="0"/>
          <w:marBottom w:val="0"/>
          <w:divBdr>
            <w:top w:val="none" w:sz="0" w:space="0" w:color="auto"/>
            <w:left w:val="none" w:sz="0" w:space="0" w:color="auto"/>
            <w:bottom w:val="none" w:sz="0" w:space="0" w:color="auto"/>
            <w:right w:val="none" w:sz="0" w:space="0" w:color="auto"/>
          </w:divBdr>
          <w:divsChild>
            <w:div w:id="1274628301">
              <w:marLeft w:val="0"/>
              <w:marRight w:val="0"/>
              <w:marTop w:val="0"/>
              <w:marBottom w:val="0"/>
              <w:divBdr>
                <w:top w:val="none" w:sz="0" w:space="0" w:color="auto"/>
                <w:left w:val="none" w:sz="0" w:space="0" w:color="auto"/>
                <w:bottom w:val="none" w:sz="0" w:space="0" w:color="auto"/>
                <w:right w:val="none" w:sz="0" w:space="0" w:color="auto"/>
              </w:divBdr>
              <w:divsChild>
                <w:div w:id="1552032345">
                  <w:marLeft w:val="0"/>
                  <w:marRight w:val="0"/>
                  <w:marTop w:val="0"/>
                  <w:marBottom w:val="0"/>
                  <w:divBdr>
                    <w:top w:val="none" w:sz="0" w:space="0" w:color="auto"/>
                    <w:left w:val="none" w:sz="0" w:space="0" w:color="auto"/>
                    <w:bottom w:val="none" w:sz="0" w:space="0" w:color="auto"/>
                    <w:right w:val="none" w:sz="0" w:space="0" w:color="auto"/>
                  </w:divBdr>
                  <w:divsChild>
                    <w:div w:id="1584798184">
                      <w:marLeft w:val="0"/>
                      <w:marRight w:val="0"/>
                      <w:marTop w:val="0"/>
                      <w:marBottom w:val="0"/>
                      <w:divBdr>
                        <w:top w:val="none" w:sz="0" w:space="0" w:color="auto"/>
                        <w:left w:val="none" w:sz="0" w:space="0" w:color="auto"/>
                        <w:bottom w:val="none" w:sz="0" w:space="0" w:color="auto"/>
                        <w:right w:val="none" w:sz="0" w:space="0" w:color="auto"/>
                      </w:divBdr>
                      <w:divsChild>
                        <w:div w:id="2125154508">
                          <w:marLeft w:val="0"/>
                          <w:marRight w:val="0"/>
                          <w:marTop w:val="0"/>
                          <w:marBottom w:val="0"/>
                          <w:divBdr>
                            <w:top w:val="none" w:sz="0" w:space="0" w:color="auto"/>
                            <w:left w:val="none" w:sz="0" w:space="0" w:color="auto"/>
                            <w:bottom w:val="none" w:sz="0" w:space="0" w:color="auto"/>
                            <w:right w:val="none" w:sz="0" w:space="0" w:color="auto"/>
                          </w:divBdr>
                          <w:divsChild>
                            <w:div w:id="79107617">
                              <w:marLeft w:val="0"/>
                              <w:marRight w:val="0"/>
                              <w:marTop w:val="0"/>
                              <w:marBottom w:val="0"/>
                              <w:divBdr>
                                <w:top w:val="none" w:sz="0" w:space="0" w:color="auto"/>
                                <w:left w:val="none" w:sz="0" w:space="0" w:color="auto"/>
                                <w:bottom w:val="none" w:sz="0" w:space="0" w:color="auto"/>
                                <w:right w:val="none" w:sz="0" w:space="0" w:color="auto"/>
                              </w:divBdr>
                              <w:divsChild>
                                <w:div w:id="76561686">
                                  <w:marLeft w:val="0"/>
                                  <w:marRight w:val="0"/>
                                  <w:marTop w:val="0"/>
                                  <w:marBottom w:val="0"/>
                                  <w:divBdr>
                                    <w:top w:val="none" w:sz="0" w:space="0" w:color="auto"/>
                                    <w:left w:val="none" w:sz="0" w:space="0" w:color="auto"/>
                                    <w:bottom w:val="none" w:sz="0" w:space="0" w:color="auto"/>
                                    <w:right w:val="none" w:sz="0" w:space="0" w:color="auto"/>
                                  </w:divBdr>
                                  <w:divsChild>
                                    <w:div w:id="589198794">
                                      <w:marLeft w:val="240"/>
                                      <w:marRight w:val="240"/>
                                      <w:marTop w:val="240"/>
                                      <w:marBottom w:val="0"/>
                                      <w:divBdr>
                                        <w:top w:val="none" w:sz="0" w:space="0" w:color="auto"/>
                                        <w:left w:val="none" w:sz="0" w:space="0" w:color="auto"/>
                                        <w:bottom w:val="none" w:sz="0" w:space="0" w:color="auto"/>
                                        <w:right w:val="none" w:sz="0" w:space="0" w:color="auto"/>
                                      </w:divBdr>
                                      <w:divsChild>
                                        <w:div w:id="229997451">
                                          <w:marLeft w:val="0"/>
                                          <w:marRight w:val="0"/>
                                          <w:marTop w:val="0"/>
                                          <w:marBottom w:val="0"/>
                                          <w:divBdr>
                                            <w:top w:val="none" w:sz="0" w:space="0" w:color="auto"/>
                                            <w:left w:val="none" w:sz="0" w:space="0" w:color="auto"/>
                                            <w:bottom w:val="none" w:sz="0" w:space="0" w:color="auto"/>
                                            <w:right w:val="none" w:sz="0" w:space="0" w:color="auto"/>
                                          </w:divBdr>
                                          <w:divsChild>
                                            <w:div w:id="497426368">
                                              <w:marLeft w:val="0"/>
                                              <w:marRight w:val="0"/>
                                              <w:marTop w:val="0"/>
                                              <w:marBottom w:val="0"/>
                                              <w:divBdr>
                                                <w:top w:val="none" w:sz="0" w:space="0" w:color="auto"/>
                                                <w:left w:val="none" w:sz="0" w:space="0" w:color="auto"/>
                                                <w:bottom w:val="none" w:sz="0" w:space="0" w:color="auto"/>
                                                <w:right w:val="none" w:sz="0" w:space="0" w:color="auto"/>
                                              </w:divBdr>
                                              <w:divsChild>
                                                <w:div w:id="1388844024">
                                                  <w:marLeft w:val="0"/>
                                                  <w:marRight w:val="0"/>
                                                  <w:marTop w:val="0"/>
                                                  <w:marBottom w:val="0"/>
                                                  <w:divBdr>
                                                    <w:top w:val="none" w:sz="0" w:space="0" w:color="auto"/>
                                                    <w:left w:val="none" w:sz="0" w:space="0" w:color="auto"/>
                                                    <w:bottom w:val="none" w:sz="0" w:space="0" w:color="auto"/>
                                                    <w:right w:val="none" w:sz="0" w:space="0" w:color="auto"/>
                                                  </w:divBdr>
                                                  <w:divsChild>
                                                    <w:div w:id="622273674">
                                                      <w:marLeft w:val="0"/>
                                                      <w:marRight w:val="0"/>
                                                      <w:marTop w:val="0"/>
                                                      <w:marBottom w:val="120"/>
                                                      <w:divBdr>
                                                        <w:top w:val="none" w:sz="0" w:space="0" w:color="auto"/>
                                                        <w:left w:val="none" w:sz="0" w:space="0" w:color="auto"/>
                                                        <w:bottom w:val="none" w:sz="0" w:space="0" w:color="auto"/>
                                                        <w:right w:val="none" w:sz="0" w:space="0" w:color="auto"/>
                                                      </w:divBdr>
                                                      <w:divsChild>
                                                        <w:div w:id="1786609103">
                                                          <w:marLeft w:val="0"/>
                                                          <w:marRight w:val="0"/>
                                                          <w:marTop w:val="0"/>
                                                          <w:marBottom w:val="0"/>
                                                          <w:divBdr>
                                                            <w:top w:val="none" w:sz="0" w:space="0" w:color="auto"/>
                                                            <w:left w:val="none" w:sz="0" w:space="0" w:color="auto"/>
                                                            <w:bottom w:val="none" w:sz="0" w:space="0" w:color="auto"/>
                                                            <w:right w:val="none" w:sz="0" w:space="0" w:color="auto"/>
                                                          </w:divBdr>
                                                          <w:divsChild>
                                                            <w:div w:id="2044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4254402">
      <w:bodyDiv w:val="1"/>
      <w:marLeft w:val="0"/>
      <w:marRight w:val="0"/>
      <w:marTop w:val="0"/>
      <w:marBottom w:val="0"/>
      <w:divBdr>
        <w:top w:val="none" w:sz="0" w:space="0" w:color="auto"/>
        <w:left w:val="none" w:sz="0" w:space="0" w:color="auto"/>
        <w:bottom w:val="none" w:sz="0" w:space="0" w:color="auto"/>
        <w:right w:val="none" w:sz="0" w:space="0" w:color="auto"/>
      </w:divBdr>
    </w:div>
    <w:div w:id="1381708606">
      <w:bodyDiv w:val="1"/>
      <w:marLeft w:val="0"/>
      <w:marRight w:val="0"/>
      <w:marTop w:val="0"/>
      <w:marBottom w:val="0"/>
      <w:divBdr>
        <w:top w:val="none" w:sz="0" w:space="0" w:color="auto"/>
        <w:left w:val="none" w:sz="0" w:space="0" w:color="auto"/>
        <w:bottom w:val="none" w:sz="0" w:space="0" w:color="auto"/>
        <w:right w:val="none" w:sz="0" w:space="0" w:color="auto"/>
      </w:divBdr>
      <w:divsChild>
        <w:div w:id="1380014705">
          <w:marLeft w:val="0"/>
          <w:marRight w:val="0"/>
          <w:marTop w:val="0"/>
          <w:marBottom w:val="0"/>
          <w:divBdr>
            <w:top w:val="none" w:sz="0" w:space="0" w:color="auto"/>
            <w:left w:val="none" w:sz="0" w:space="0" w:color="auto"/>
            <w:bottom w:val="none" w:sz="0" w:space="0" w:color="auto"/>
            <w:right w:val="none" w:sz="0" w:space="0" w:color="auto"/>
          </w:divBdr>
          <w:divsChild>
            <w:div w:id="1371538888">
              <w:marLeft w:val="0"/>
              <w:marRight w:val="0"/>
              <w:marTop w:val="0"/>
              <w:marBottom w:val="0"/>
              <w:divBdr>
                <w:top w:val="none" w:sz="0" w:space="0" w:color="auto"/>
                <w:left w:val="none" w:sz="0" w:space="0" w:color="auto"/>
                <w:bottom w:val="none" w:sz="0" w:space="0" w:color="auto"/>
                <w:right w:val="none" w:sz="0" w:space="0" w:color="auto"/>
              </w:divBdr>
              <w:divsChild>
                <w:div w:id="406147180">
                  <w:marLeft w:val="0"/>
                  <w:marRight w:val="0"/>
                  <w:marTop w:val="0"/>
                  <w:marBottom w:val="0"/>
                  <w:divBdr>
                    <w:top w:val="none" w:sz="0" w:space="0" w:color="auto"/>
                    <w:left w:val="none" w:sz="0" w:space="0" w:color="auto"/>
                    <w:bottom w:val="none" w:sz="0" w:space="0" w:color="auto"/>
                    <w:right w:val="none" w:sz="0" w:space="0" w:color="auto"/>
                  </w:divBdr>
                  <w:divsChild>
                    <w:div w:id="970326887">
                      <w:marLeft w:val="0"/>
                      <w:marRight w:val="0"/>
                      <w:marTop w:val="0"/>
                      <w:marBottom w:val="0"/>
                      <w:divBdr>
                        <w:top w:val="none" w:sz="0" w:space="0" w:color="auto"/>
                        <w:left w:val="none" w:sz="0" w:space="0" w:color="auto"/>
                        <w:bottom w:val="none" w:sz="0" w:space="0" w:color="auto"/>
                        <w:right w:val="none" w:sz="0" w:space="0" w:color="auto"/>
                      </w:divBdr>
                      <w:divsChild>
                        <w:div w:id="1499728444">
                          <w:marLeft w:val="0"/>
                          <w:marRight w:val="0"/>
                          <w:marTop w:val="0"/>
                          <w:marBottom w:val="0"/>
                          <w:divBdr>
                            <w:top w:val="none" w:sz="0" w:space="0" w:color="auto"/>
                            <w:left w:val="none" w:sz="0" w:space="0" w:color="auto"/>
                            <w:bottom w:val="none" w:sz="0" w:space="0" w:color="auto"/>
                            <w:right w:val="none" w:sz="0" w:space="0" w:color="auto"/>
                          </w:divBdr>
                          <w:divsChild>
                            <w:div w:id="730495517">
                              <w:marLeft w:val="0"/>
                              <w:marRight w:val="0"/>
                              <w:marTop w:val="0"/>
                              <w:marBottom w:val="0"/>
                              <w:divBdr>
                                <w:top w:val="none" w:sz="0" w:space="0" w:color="auto"/>
                                <w:left w:val="none" w:sz="0" w:space="0" w:color="auto"/>
                                <w:bottom w:val="none" w:sz="0" w:space="0" w:color="auto"/>
                                <w:right w:val="none" w:sz="0" w:space="0" w:color="auto"/>
                              </w:divBdr>
                              <w:divsChild>
                                <w:div w:id="472529408">
                                  <w:marLeft w:val="0"/>
                                  <w:marRight w:val="0"/>
                                  <w:marTop w:val="0"/>
                                  <w:marBottom w:val="0"/>
                                  <w:divBdr>
                                    <w:top w:val="none" w:sz="0" w:space="0" w:color="auto"/>
                                    <w:left w:val="none" w:sz="0" w:space="0" w:color="auto"/>
                                    <w:bottom w:val="none" w:sz="0" w:space="0" w:color="auto"/>
                                    <w:right w:val="none" w:sz="0" w:space="0" w:color="auto"/>
                                  </w:divBdr>
                                  <w:divsChild>
                                    <w:div w:id="961501257">
                                      <w:marLeft w:val="240"/>
                                      <w:marRight w:val="24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726814">
      <w:bodyDiv w:val="1"/>
      <w:marLeft w:val="0"/>
      <w:marRight w:val="0"/>
      <w:marTop w:val="0"/>
      <w:marBottom w:val="0"/>
      <w:divBdr>
        <w:top w:val="none" w:sz="0" w:space="0" w:color="auto"/>
        <w:left w:val="none" w:sz="0" w:space="0" w:color="auto"/>
        <w:bottom w:val="none" w:sz="0" w:space="0" w:color="auto"/>
        <w:right w:val="none" w:sz="0" w:space="0" w:color="auto"/>
      </w:divBdr>
    </w:div>
    <w:div w:id="1492214207">
      <w:bodyDiv w:val="1"/>
      <w:marLeft w:val="0"/>
      <w:marRight w:val="0"/>
      <w:marTop w:val="0"/>
      <w:marBottom w:val="0"/>
      <w:divBdr>
        <w:top w:val="none" w:sz="0" w:space="0" w:color="auto"/>
        <w:left w:val="none" w:sz="0" w:space="0" w:color="auto"/>
        <w:bottom w:val="none" w:sz="0" w:space="0" w:color="auto"/>
        <w:right w:val="none" w:sz="0" w:space="0" w:color="auto"/>
      </w:divBdr>
    </w:div>
    <w:div w:id="1951693675">
      <w:bodyDiv w:val="1"/>
      <w:marLeft w:val="0"/>
      <w:marRight w:val="0"/>
      <w:marTop w:val="0"/>
      <w:marBottom w:val="0"/>
      <w:divBdr>
        <w:top w:val="none" w:sz="0" w:space="0" w:color="auto"/>
        <w:left w:val="none" w:sz="0" w:space="0" w:color="auto"/>
        <w:bottom w:val="none" w:sz="0" w:space="0" w:color="auto"/>
        <w:right w:val="none" w:sz="0" w:space="0" w:color="auto"/>
      </w:divBdr>
      <w:divsChild>
        <w:div w:id="497506216">
          <w:marLeft w:val="0"/>
          <w:marRight w:val="0"/>
          <w:marTop w:val="0"/>
          <w:marBottom w:val="0"/>
          <w:divBdr>
            <w:top w:val="none" w:sz="0" w:space="0" w:color="auto"/>
            <w:left w:val="none" w:sz="0" w:space="0" w:color="auto"/>
            <w:bottom w:val="none" w:sz="0" w:space="0" w:color="auto"/>
            <w:right w:val="none" w:sz="0" w:space="0" w:color="auto"/>
          </w:divBdr>
          <w:divsChild>
            <w:div w:id="1414356889">
              <w:marLeft w:val="0"/>
              <w:marRight w:val="0"/>
              <w:marTop w:val="0"/>
              <w:marBottom w:val="0"/>
              <w:divBdr>
                <w:top w:val="none" w:sz="0" w:space="0" w:color="auto"/>
                <w:left w:val="none" w:sz="0" w:space="0" w:color="auto"/>
                <w:bottom w:val="none" w:sz="0" w:space="0" w:color="auto"/>
                <w:right w:val="none" w:sz="0" w:space="0" w:color="auto"/>
              </w:divBdr>
              <w:divsChild>
                <w:div w:id="305279058">
                  <w:marLeft w:val="0"/>
                  <w:marRight w:val="0"/>
                  <w:marTop w:val="0"/>
                  <w:marBottom w:val="0"/>
                  <w:divBdr>
                    <w:top w:val="none" w:sz="0" w:space="0" w:color="auto"/>
                    <w:left w:val="none" w:sz="0" w:space="0" w:color="auto"/>
                    <w:bottom w:val="none" w:sz="0" w:space="0" w:color="auto"/>
                    <w:right w:val="none" w:sz="0" w:space="0" w:color="auto"/>
                  </w:divBdr>
                  <w:divsChild>
                    <w:div w:id="81025301">
                      <w:marLeft w:val="0"/>
                      <w:marRight w:val="0"/>
                      <w:marTop w:val="0"/>
                      <w:marBottom w:val="0"/>
                      <w:divBdr>
                        <w:top w:val="none" w:sz="0" w:space="0" w:color="auto"/>
                        <w:left w:val="none" w:sz="0" w:space="0" w:color="auto"/>
                        <w:bottom w:val="none" w:sz="0" w:space="0" w:color="auto"/>
                        <w:right w:val="none" w:sz="0" w:space="0" w:color="auto"/>
                      </w:divBdr>
                      <w:divsChild>
                        <w:div w:id="996299708">
                          <w:marLeft w:val="0"/>
                          <w:marRight w:val="0"/>
                          <w:marTop w:val="0"/>
                          <w:marBottom w:val="0"/>
                          <w:divBdr>
                            <w:top w:val="none" w:sz="0" w:space="0" w:color="auto"/>
                            <w:left w:val="none" w:sz="0" w:space="0" w:color="auto"/>
                            <w:bottom w:val="none" w:sz="0" w:space="0" w:color="auto"/>
                            <w:right w:val="none" w:sz="0" w:space="0" w:color="auto"/>
                          </w:divBdr>
                          <w:divsChild>
                            <w:div w:id="569072404">
                              <w:marLeft w:val="0"/>
                              <w:marRight w:val="0"/>
                              <w:marTop w:val="0"/>
                              <w:marBottom w:val="0"/>
                              <w:divBdr>
                                <w:top w:val="none" w:sz="0" w:space="0" w:color="auto"/>
                                <w:left w:val="none" w:sz="0" w:space="0" w:color="auto"/>
                                <w:bottom w:val="none" w:sz="0" w:space="0" w:color="auto"/>
                                <w:right w:val="none" w:sz="0" w:space="0" w:color="auto"/>
                              </w:divBdr>
                              <w:divsChild>
                                <w:div w:id="918252572">
                                  <w:marLeft w:val="0"/>
                                  <w:marRight w:val="0"/>
                                  <w:marTop w:val="0"/>
                                  <w:marBottom w:val="0"/>
                                  <w:divBdr>
                                    <w:top w:val="none" w:sz="0" w:space="0" w:color="auto"/>
                                    <w:left w:val="none" w:sz="0" w:space="0" w:color="auto"/>
                                    <w:bottom w:val="none" w:sz="0" w:space="0" w:color="auto"/>
                                    <w:right w:val="none" w:sz="0" w:space="0" w:color="auto"/>
                                  </w:divBdr>
                                  <w:divsChild>
                                    <w:div w:id="1158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ERInquiry@aer.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8667</Words>
  <Characters>46873</Characters>
  <Application>Microsoft Office Word</Application>
  <DocSecurity>0</DocSecurity>
  <Lines>791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55460</CharactersWithSpaces>
  <SharedDoc>false</SharedDoc>
  <HLinks>
    <vt:vector size="186" baseType="variant">
      <vt:variant>
        <vt:i4>1048628</vt:i4>
      </vt:variant>
      <vt:variant>
        <vt:i4>167</vt:i4>
      </vt:variant>
      <vt:variant>
        <vt:i4>0</vt:i4>
      </vt:variant>
      <vt:variant>
        <vt:i4>5</vt:i4>
      </vt:variant>
      <vt:variant>
        <vt:lpwstr/>
      </vt:variant>
      <vt:variant>
        <vt:lpwstr>_Toc357167643</vt:lpwstr>
      </vt:variant>
      <vt:variant>
        <vt:i4>1048628</vt:i4>
      </vt:variant>
      <vt:variant>
        <vt:i4>161</vt:i4>
      </vt:variant>
      <vt:variant>
        <vt:i4>0</vt:i4>
      </vt:variant>
      <vt:variant>
        <vt:i4>5</vt:i4>
      </vt:variant>
      <vt:variant>
        <vt:lpwstr/>
      </vt:variant>
      <vt:variant>
        <vt:lpwstr>_Toc357167642</vt:lpwstr>
      </vt:variant>
      <vt:variant>
        <vt:i4>1048628</vt:i4>
      </vt:variant>
      <vt:variant>
        <vt:i4>155</vt:i4>
      </vt:variant>
      <vt:variant>
        <vt:i4>0</vt:i4>
      </vt:variant>
      <vt:variant>
        <vt:i4>5</vt:i4>
      </vt:variant>
      <vt:variant>
        <vt:lpwstr/>
      </vt:variant>
      <vt:variant>
        <vt:lpwstr>_Toc357167641</vt:lpwstr>
      </vt:variant>
      <vt:variant>
        <vt:i4>1048628</vt:i4>
      </vt:variant>
      <vt:variant>
        <vt:i4>149</vt:i4>
      </vt:variant>
      <vt:variant>
        <vt:i4>0</vt:i4>
      </vt:variant>
      <vt:variant>
        <vt:i4>5</vt:i4>
      </vt:variant>
      <vt:variant>
        <vt:lpwstr/>
      </vt:variant>
      <vt:variant>
        <vt:lpwstr>_Toc357167640</vt:lpwstr>
      </vt:variant>
      <vt:variant>
        <vt:i4>1507380</vt:i4>
      </vt:variant>
      <vt:variant>
        <vt:i4>143</vt:i4>
      </vt:variant>
      <vt:variant>
        <vt:i4>0</vt:i4>
      </vt:variant>
      <vt:variant>
        <vt:i4>5</vt:i4>
      </vt:variant>
      <vt:variant>
        <vt:lpwstr/>
      </vt:variant>
      <vt:variant>
        <vt:lpwstr>_Toc357167639</vt:lpwstr>
      </vt:variant>
      <vt:variant>
        <vt:i4>1507380</vt:i4>
      </vt:variant>
      <vt:variant>
        <vt:i4>137</vt:i4>
      </vt:variant>
      <vt:variant>
        <vt:i4>0</vt:i4>
      </vt:variant>
      <vt:variant>
        <vt:i4>5</vt:i4>
      </vt:variant>
      <vt:variant>
        <vt:lpwstr/>
      </vt:variant>
      <vt:variant>
        <vt:lpwstr>_Toc357167638</vt:lpwstr>
      </vt:variant>
      <vt:variant>
        <vt:i4>1507380</vt:i4>
      </vt:variant>
      <vt:variant>
        <vt:i4>131</vt:i4>
      </vt:variant>
      <vt:variant>
        <vt:i4>0</vt:i4>
      </vt:variant>
      <vt:variant>
        <vt:i4>5</vt:i4>
      </vt:variant>
      <vt:variant>
        <vt:lpwstr/>
      </vt:variant>
      <vt:variant>
        <vt:lpwstr>_Toc357167637</vt:lpwstr>
      </vt:variant>
      <vt:variant>
        <vt:i4>1507380</vt:i4>
      </vt:variant>
      <vt:variant>
        <vt:i4>125</vt:i4>
      </vt:variant>
      <vt:variant>
        <vt:i4>0</vt:i4>
      </vt:variant>
      <vt:variant>
        <vt:i4>5</vt:i4>
      </vt:variant>
      <vt:variant>
        <vt:lpwstr/>
      </vt:variant>
      <vt:variant>
        <vt:lpwstr>_Toc357167636</vt:lpwstr>
      </vt:variant>
      <vt:variant>
        <vt:i4>1507380</vt:i4>
      </vt:variant>
      <vt:variant>
        <vt:i4>119</vt:i4>
      </vt:variant>
      <vt:variant>
        <vt:i4>0</vt:i4>
      </vt:variant>
      <vt:variant>
        <vt:i4>5</vt:i4>
      </vt:variant>
      <vt:variant>
        <vt:lpwstr/>
      </vt:variant>
      <vt:variant>
        <vt:lpwstr>_Toc357167635</vt:lpwstr>
      </vt:variant>
      <vt:variant>
        <vt:i4>1507380</vt:i4>
      </vt:variant>
      <vt:variant>
        <vt:i4>113</vt:i4>
      </vt:variant>
      <vt:variant>
        <vt:i4>0</vt:i4>
      </vt:variant>
      <vt:variant>
        <vt:i4>5</vt:i4>
      </vt:variant>
      <vt:variant>
        <vt:lpwstr/>
      </vt:variant>
      <vt:variant>
        <vt:lpwstr>_Toc357167634</vt:lpwstr>
      </vt:variant>
      <vt:variant>
        <vt:i4>1507380</vt:i4>
      </vt:variant>
      <vt:variant>
        <vt:i4>107</vt:i4>
      </vt:variant>
      <vt:variant>
        <vt:i4>0</vt:i4>
      </vt:variant>
      <vt:variant>
        <vt:i4>5</vt:i4>
      </vt:variant>
      <vt:variant>
        <vt:lpwstr/>
      </vt:variant>
      <vt:variant>
        <vt:lpwstr>_Toc357167633</vt:lpwstr>
      </vt:variant>
      <vt:variant>
        <vt:i4>1507380</vt:i4>
      </vt:variant>
      <vt:variant>
        <vt:i4>101</vt:i4>
      </vt:variant>
      <vt:variant>
        <vt:i4>0</vt:i4>
      </vt:variant>
      <vt:variant>
        <vt:i4>5</vt:i4>
      </vt:variant>
      <vt:variant>
        <vt:lpwstr/>
      </vt:variant>
      <vt:variant>
        <vt:lpwstr>_Toc357167632</vt:lpwstr>
      </vt:variant>
      <vt:variant>
        <vt:i4>1507380</vt:i4>
      </vt:variant>
      <vt:variant>
        <vt:i4>95</vt:i4>
      </vt:variant>
      <vt:variant>
        <vt:i4>0</vt:i4>
      </vt:variant>
      <vt:variant>
        <vt:i4>5</vt:i4>
      </vt:variant>
      <vt:variant>
        <vt:lpwstr/>
      </vt:variant>
      <vt:variant>
        <vt:lpwstr>_Toc357167631</vt:lpwstr>
      </vt:variant>
      <vt:variant>
        <vt:i4>1507380</vt:i4>
      </vt:variant>
      <vt:variant>
        <vt:i4>89</vt:i4>
      </vt:variant>
      <vt:variant>
        <vt:i4>0</vt:i4>
      </vt:variant>
      <vt:variant>
        <vt:i4>5</vt:i4>
      </vt:variant>
      <vt:variant>
        <vt:lpwstr/>
      </vt:variant>
      <vt:variant>
        <vt:lpwstr>_Toc357167630</vt:lpwstr>
      </vt:variant>
      <vt:variant>
        <vt:i4>1441844</vt:i4>
      </vt:variant>
      <vt:variant>
        <vt:i4>83</vt:i4>
      </vt:variant>
      <vt:variant>
        <vt:i4>0</vt:i4>
      </vt:variant>
      <vt:variant>
        <vt:i4>5</vt:i4>
      </vt:variant>
      <vt:variant>
        <vt:lpwstr/>
      </vt:variant>
      <vt:variant>
        <vt:lpwstr>_Toc357167629</vt:lpwstr>
      </vt:variant>
      <vt:variant>
        <vt:i4>1441844</vt:i4>
      </vt:variant>
      <vt:variant>
        <vt:i4>77</vt:i4>
      </vt:variant>
      <vt:variant>
        <vt:i4>0</vt:i4>
      </vt:variant>
      <vt:variant>
        <vt:i4>5</vt:i4>
      </vt:variant>
      <vt:variant>
        <vt:lpwstr/>
      </vt:variant>
      <vt:variant>
        <vt:lpwstr>_Toc357167628</vt:lpwstr>
      </vt:variant>
      <vt:variant>
        <vt:i4>1441844</vt:i4>
      </vt:variant>
      <vt:variant>
        <vt:i4>71</vt:i4>
      </vt:variant>
      <vt:variant>
        <vt:i4>0</vt:i4>
      </vt:variant>
      <vt:variant>
        <vt:i4>5</vt:i4>
      </vt:variant>
      <vt:variant>
        <vt:lpwstr/>
      </vt:variant>
      <vt:variant>
        <vt:lpwstr>_Toc357167627</vt:lpwstr>
      </vt:variant>
      <vt:variant>
        <vt:i4>1441844</vt:i4>
      </vt:variant>
      <vt:variant>
        <vt:i4>65</vt:i4>
      </vt:variant>
      <vt:variant>
        <vt:i4>0</vt:i4>
      </vt:variant>
      <vt:variant>
        <vt:i4>5</vt:i4>
      </vt:variant>
      <vt:variant>
        <vt:lpwstr/>
      </vt:variant>
      <vt:variant>
        <vt:lpwstr>_Toc357167626</vt:lpwstr>
      </vt:variant>
      <vt:variant>
        <vt:i4>1441844</vt:i4>
      </vt:variant>
      <vt:variant>
        <vt:i4>59</vt:i4>
      </vt:variant>
      <vt:variant>
        <vt:i4>0</vt:i4>
      </vt:variant>
      <vt:variant>
        <vt:i4>5</vt:i4>
      </vt:variant>
      <vt:variant>
        <vt:lpwstr/>
      </vt:variant>
      <vt:variant>
        <vt:lpwstr>_Toc357167625</vt:lpwstr>
      </vt:variant>
      <vt:variant>
        <vt:i4>1441844</vt:i4>
      </vt:variant>
      <vt:variant>
        <vt:i4>53</vt:i4>
      </vt:variant>
      <vt:variant>
        <vt:i4>0</vt:i4>
      </vt:variant>
      <vt:variant>
        <vt:i4>5</vt:i4>
      </vt:variant>
      <vt:variant>
        <vt:lpwstr/>
      </vt:variant>
      <vt:variant>
        <vt:lpwstr>_Toc357167624</vt:lpwstr>
      </vt:variant>
      <vt:variant>
        <vt:i4>1441844</vt:i4>
      </vt:variant>
      <vt:variant>
        <vt:i4>47</vt:i4>
      </vt:variant>
      <vt:variant>
        <vt:i4>0</vt:i4>
      </vt:variant>
      <vt:variant>
        <vt:i4>5</vt:i4>
      </vt:variant>
      <vt:variant>
        <vt:lpwstr/>
      </vt:variant>
      <vt:variant>
        <vt:lpwstr>_Toc357167623</vt:lpwstr>
      </vt:variant>
      <vt:variant>
        <vt:i4>1441844</vt:i4>
      </vt:variant>
      <vt:variant>
        <vt:i4>41</vt:i4>
      </vt:variant>
      <vt:variant>
        <vt:i4>0</vt:i4>
      </vt:variant>
      <vt:variant>
        <vt:i4>5</vt:i4>
      </vt:variant>
      <vt:variant>
        <vt:lpwstr/>
      </vt:variant>
      <vt:variant>
        <vt:lpwstr>_Toc357167622</vt:lpwstr>
      </vt:variant>
      <vt:variant>
        <vt:i4>1441844</vt:i4>
      </vt:variant>
      <vt:variant>
        <vt:i4>35</vt:i4>
      </vt:variant>
      <vt:variant>
        <vt:i4>0</vt:i4>
      </vt:variant>
      <vt:variant>
        <vt:i4>5</vt:i4>
      </vt:variant>
      <vt:variant>
        <vt:lpwstr/>
      </vt:variant>
      <vt:variant>
        <vt:lpwstr>_Toc357167621</vt:lpwstr>
      </vt:variant>
      <vt:variant>
        <vt:i4>1441844</vt:i4>
      </vt:variant>
      <vt:variant>
        <vt:i4>29</vt:i4>
      </vt:variant>
      <vt:variant>
        <vt:i4>0</vt:i4>
      </vt:variant>
      <vt:variant>
        <vt:i4>5</vt:i4>
      </vt:variant>
      <vt:variant>
        <vt:lpwstr/>
      </vt:variant>
      <vt:variant>
        <vt:lpwstr>_Toc357167620</vt:lpwstr>
      </vt:variant>
      <vt:variant>
        <vt:i4>1376308</vt:i4>
      </vt:variant>
      <vt:variant>
        <vt:i4>23</vt:i4>
      </vt:variant>
      <vt:variant>
        <vt:i4>0</vt:i4>
      </vt:variant>
      <vt:variant>
        <vt:i4>5</vt:i4>
      </vt:variant>
      <vt:variant>
        <vt:lpwstr/>
      </vt:variant>
      <vt:variant>
        <vt:lpwstr>_Toc357167619</vt:lpwstr>
      </vt:variant>
      <vt:variant>
        <vt:i4>1376308</vt:i4>
      </vt:variant>
      <vt:variant>
        <vt:i4>17</vt:i4>
      </vt:variant>
      <vt:variant>
        <vt:i4>0</vt:i4>
      </vt:variant>
      <vt:variant>
        <vt:i4>5</vt:i4>
      </vt:variant>
      <vt:variant>
        <vt:lpwstr/>
      </vt:variant>
      <vt:variant>
        <vt:lpwstr>_Toc357167618</vt:lpwstr>
      </vt:variant>
      <vt:variant>
        <vt:i4>1376308</vt:i4>
      </vt:variant>
      <vt:variant>
        <vt:i4>11</vt:i4>
      </vt:variant>
      <vt:variant>
        <vt:i4>0</vt:i4>
      </vt:variant>
      <vt:variant>
        <vt:i4>5</vt:i4>
      </vt:variant>
      <vt:variant>
        <vt:lpwstr/>
      </vt:variant>
      <vt:variant>
        <vt:lpwstr>_Toc357167617</vt:lpwstr>
      </vt:variant>
      <vt:variant>
        <vt:i4>6750255</vt:i4>
      </vt:variant>
      <vt:variant>
        <vt:i4>6</vt:i4>
      </vt:variant>
      <vt:variant>
        <vt:i4>0</vt:i4>
      </vt:variant>
      <vt:variant>
        <vt:i4>5</vt:i4>
      </vt:variant>
      <vt:variant>
        <vt:lpwstr>http://www.aer.gov.au/</vt:lpwstr>
      </vt:variant>
      <vt:variant>
        <vt:lpwstr/>
      </vt:variant>
      <vt:variant>
        <vt:i4>2555972</vt:i4>
      </vt:variant>
      <vt:variant>
        <vt:i4>3</vt:i4>
      </vt:variant>
      <vt:variant>
        <vt:i4>0</vt:i4>
      </vt:variant>
      <vt:variant>
        <vt:i4>5</vt:i4>
      </vt:variant>
      <vt:variant>
        <vt:lpwstr>mailto:AERInquiry@aer.gov.au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5242880</vt:i4>
      </vt:variant>
      <vt:variant>
        <vt:i4>0</vt:i4>
      </vt:variant>
      <vt:variant>
        <vt:i4>0</vt:i4>
      </vt:variant>
      <vt:variant>
        <vt:i4>5</vt:i4>
      </vt:variant>
      <vt:variant>
        <vt:lpwstr>http://www.aer.gov.au/node/18824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2013-08-22T03:13:00Z</dcterms:created>
  <dcterms:modified xsi:type="dcterms:W3CDTF">2013-08-22T03:13:00Z</dcterms:modified>
</cp:coreProperties>
</file>