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B7" w:rsidRDefault="009026D8" w:rsidP="00290C63">
      <w:r w:rsidRPr="00290C63">
        <w:rPr>
          <w:noProof/>
          <w:lang w:val="en-US"/>
        </w:rPr>
        <w:drawing>
          <wp:anchor distT="0" distB="0" distL="114300" distR="114300" simplePos="0" relativeHeight="251659264" behindDoc="1" locked="0" layoutInCell="1" allowOverlap="1" wp14:anchorId="265F8908" wp14:editId="3A18C861">
            <wp:simplePos x="0" y="0"/>
            <wp:positionH relativeFrom="column">
              <wp:posOffset>-1097915</wp:posOffset>
            </wp:positionH>
            <wp:positionV relativeFrom="paragraph">
              <wp:posOffset>-952500</wp:posOffset>
            </wp:positionV>
            <wp:extent cx="7588729" cy="11020425"/>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1024340"/>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1E1EA0">
            <w:t>FINAL</w:t>
          </w:r>
          <w:r w:rsidR="00DA4752">
            <w:t xml:space="preserve"> DECISION</w:t>
          </w:r>
        </w:p>
        <w:p w:rsidR="009026D8" w:rsidRDefault="009026D8" w:rsidP="001754EE">
          <w:pPr>
            <w:pStyle w:val="ReportSubtitle"/>
            <w:tabs>
              <w:tab w:val="left" w:pos="1122"/>
              <w:tab w:val="center" w:pos="4238"/>
            </w:tabs>
            <w:jc w:val="left"/>
          </w:pPr>
        </w:p>
        <w:p w:rsidR="009026D8" w:rsidRDefault="009026D8" w:rsidP="008F07A3">
          <w:pPr>
            <w:pStyle w:val="ReportSubtitle"/>
          </w:pPr>
          <w:r>
            <w:t>Advanced metering infrastructure</w:t>
          </w:r>
        </w:p>
        <w:p w:rsidR="009026D8" w:rsidRDefault="009026D8" w:rsidP="008F07A3">
          <w:pPr>
            <w:pStyle w:val="ReportSubtitle"/>
          </w:pPr>
          <w:r>
            <w:t xml:space="preserve"> </w:t>
          </w:r>
        </w:p>
        <w:p w:rsidR="000A6C7B" w:rsidRDefault="009026D8" w:rsidP="008F07A3">
          <w:pPr>
            <w:pStyle w:val="ReportSubtitle"/>
          </w:pPr>
          <w:r>
            <w:t>Transition Charges Application</w:t>
          </w:r>
          <w:r w:rsidR="00FA4835">
            <w:t>s</w:t>
          </w:r>
        </w:p>
        <w:p w:rsidR="008F07A3" w:rsidRPr="000A6C7B" w:rsidRDefault="008F07A3" w:rsidP="008F07A3">
          <w:pPr>
            <w:pStyle w:val="ReportSubtitle"/>
          </w:pPr>
        </w:p>
        <w:p w:rsidR="00B9733D" w:rsidRDefault="00B9733D" w:rsidP="00327A1E">
          <w:pPr>
            <w:pStyle w:val="ReportDate"/>
          </w:pPr>
        </w:p>
        <w:p w:rsidR="000A6C7B" w:rsidRPr="00327A1E" w:rsidRDefault="00033CC4" w:rsidP="00327A1E">
          <w:pPr>
            <w:pStyle w:val="ReportDate"/>
          </w:pPr>
          <w:r>
            <w:t>December</w:t>
          </w:r>
          <w:r w:rsidR="009026D8">
            <w:t xml:space="preserve"> 2016</w:t>
          </w:r>
        </w:p>
      </w:sdtContent>
    </w:sdt>
    <w:p w:rsidR="00327A1E" w:rsidRPr="00290C63" w:rsidRDefault="00327A1E" w:rsidP="00290C63">
      <w:r>
        <w:br w:type="page"/>
      </w:r>
    </w:p>
    <w:p w:rsidR="000A6C7B" w:rsidRDefault="009026D8" w:rsidP="00961A4A">
      <w:pPr>
        <w:pStyle w:val="Copyright"/>
      </w:pPr>
      <w:r>
        <w:lastRenderedPageBreak/>
        <w:t>© Commonwealth of Australia 2016</w:t>
      </w:r>
    </w:p>
    <w:p w:rsidR="000A6C7B" w:rsidRDefault="000A6C7B" w:rsidP="000A6C7B">
      <w:pPr>
        <w:pStyle w:val="Copyright"/>
      </w:pPr>
      <w:r>
        <w:t xml:space="preserve">This work is copyright. In addition to any use permitted under the Copyright Act 1968, all material contained within this work </w:t>
      </w:r>
      <w:proofErr w:type="gramStart"/>
      <w:r>
        <w:t>is provided</w:t>
      </w:r>
      <w:proofErr w:type="gramEnd"/>
      <w:r>
        <w:t xml:space="preserve">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 xml:space="preserve">Requests and inquiries concerning reproduction and rights </w:t>
      </w:r>
      <w:proofErr w:type="gramStart"/>
      <w:r>
        <w:t>should be addressed</w:t>
      </w:r>
      <w:proofErr w:type="gramEnd"/>
      <w:r>
        <w:t xml:space="preserve">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 xml:space="preserve">Inquiries about this publication </w:t>
      </w:r>
      <w:proofErr w:type="gramStart"/>
      <w:r>
        <w:t>should be addressed</w:t>
      </w:r>
      <w:proofErr w:type="gramEnd"/>
      <w:r>
        <w:t xml:space="preserve">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r>
      <w:r w:rsidR="00BC3EEE" w:rsidRPr="00BC3EEE">
        <w:t>59278</w:t>
      </w:r>
    </w:p>
    <w:p w:rsidR="009001B6" w:rsidRDefault="009001B6">
      <w:pPr>
        <w:spacing w:line="240" w:lineRule="auto"/>
      </w:pPr>
      <w:bookmarkStart w:id="0" w:name="_Toc404354899"/>
      <w:bookmarkStart w:id="1" w:name="_Toc404353070"/>
      <w:bookmarkStart w:id="2" w:name="_Toc404684201"/>
      <w:bookmarkStart w:id="3" w:name="_Toc404700923"/>
      <w:r>
        <w:br w:type="page"/>
      </w:r>
    </w:p>
    <w:bookmarkEnd w:id="0"/>
    <w:bookmarkEnd w:id="1"/>
    <w:bookmarkEnd w:id="2"/>
    <w:bookmarkEnd w:id="3"/>
    <w:p w:rsidR="008F07A3" w:rsidRPr="008F07A3" w:rsidRDefault="008F07A3" w:rsidP="00415F31">
      <w:pPr>
        <w:numPr>
          <w:ilvl w:val="0"/>
          <w:numId w:val="25"/>
        </w:num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4" w:name="_Toc403144133"/>
      <w:bookmarkStart w:id="5" w:name="_Toc467654506"/>
      <w:r>
        <w:lastRenderedPageBreak/>
        <w:t>Contents</w:t>
      </w:r>
      <w:bookmarkEnd w:id="4"/>
      <w:bookmarkEnd w:id="5"/>
    </w:p>
    <w:p w:rsidR="005D7BA2" w:rsidRDefault="005D7BA2">
      <w:pPr>
        <w:spacing w:line="240" w:lineRule="auto"/>
      </w:pPr>
    </w:p>
    <w:sdt>
      <w:sdtPr>
        <w:rPr>
          <w:rFonts w:eastAsiaTheme="minorHAnsi" w:cstheme="minorBidi"/>
          <w:bCs w:val="0"/>
          <w:noProof/>
          <w:color w:val="70635A" w:themeColor="text2"/>
          <w:sz w:val="24"/>
          <w:szCs w:val="22"/>
          <w:lang w:val="en-AU" w:eastAsia="en-US"/>
        </w:rPr>
        <w:id w:val="719166766"/>
        <w:docPartObj>
          <w:docPartGallery w:val="Table of Contents"/>
          <w:docPartUnique/>
        </w:docPartObj>
      </w:sdtPr>
      <w:sdtEndPr/>
      <w:sdtContent>
        <w:p w:rsidR="008E3B21" w:rsidRPr="008E3B21" w:rsidRDefault="008E3B21">
          <w:pPr>
            <w:pStyle w:val="TOCHeading"/>
          </w:pPr>
          <w:r w:rsidRPr="008E3B21">
            <w:t>Table of Contents</w:t>
          </w:r>
        </w:p>
        <w:p w:rsidR="00D61FA5" w:rsidRDefault="008E3B21">
          <w:pPr>
            <w:pStyle w:val="TOC1"/>
            <w:rPr>
              <w:rFonts w:asciiTheme="minorHAnsi" w:eastAsiaTheme="minorEastAsia" w:hAnsiTheme="minorHAnsi"/>
              <w:b w:val="0"/>
              <w:color w:val="auto"/>
              <w:sz w:val="22"/>
              <w:lang w:eastAsia="en-US"/>
            </w:rPr>
          </w:pPr>
          <w:r w:rsidRPr="008E3B21">
            <w:fldChar w:fldCharType="begin"/>
          </w:r>
          <w:r w:rsidRPr="008E3B21">
            <w:instrText xml:space="preserve"> TOC \o "1-3" \h \z \u </w:instrText>
          </w:r>
          <w:r w:rsidRPr="008E3B21">
            <w:fldChar w:fldCharType="separate"/>
          </w:r>
          <w:hyperlink w:anchor="_Toc467654506" w:history="1">
            <w:r w:rsidR="00D61FA5" w:rsidRPr="00542699">
              <w:rPr>
                <w:rStyle w:val="Hyperlink"/>
              </w:rPr>
              <w:t>Contents</w:t>
            </w:r>
            <w:r w:rsidR="00D61FA5">
              <w:rPr>
                <w:webHidden/>
              </w:rPr>
              <w:tab/>
            </w:r>
            <w:r w:rsidR="00D61FA5">
              <w:rPr>
                <w:webHidden/>
              </w:rPr>
              <w:fldChar w:fldCharType="begin"/>
            </w:r>
            <w:r w:rsidR="00D61FA5">
              <w:rPr>
                <w:webHidden/>
              </w:rPr>
              <w:instrText xml:space="preserve"> PAGEREF _Toc467654506 \h </w:instrText>
            </w:r>
            <w:r w:rsidR="00D61FA5">
              <w:rPr>
                <w:webHidden/>
              </w:rPr>
            </w:r>
            <w:r w:rsidR="00D61FA5">
              <w:rPr>
                <w:webHidden/>
              </w:rPr>
              <w:fldChar w:fldCharType="separate"/>
            </w:r>
            <w:r w:rsidR="0032238B">
              <w:rPr>
                <w:webHidden/>
              </w:rPr>
              <w:t>2</w:t>
            </w:r>
            <w:r w:rsidR="00D61FA5">
              <w:rPr>
                <w:webHidden/>
              </w:rPr>
              <w:fldChar w:fldCharType="end"/>
            </w:r>
          </w:hyperlink>
        </w:p>
        <w:p w:rsidR="00D61FA5" w:rsidRDefault="0032238B">
          <w:pPr>
            <w:pStyle w:val="TOC1"/>
            <w:rPr>
              <w:rFonts w:asciiTheme="minorHAnsi" w:eastAsiaTheme="minorEastAsia" w:hAnsiTheme="minorHAnsi"/>
              <w:b w:val="0"/>
              <w:color w:val="auto"/>
              <w:sz w:val="22"/>
              <w:lang w:eastAsia="en-US"/>
            </w:rPr>
          </w:pPr>
          <w:hyperlink w:anchor="_Toc467654507" w:history="1">
            <w:r w:rsidR="00D61FA5" w:rsidRPr="00542699">
              <w:rPr>
                <w:rStyle w:val="Hyperlink"/>
              </w:rPr>
              <w:t>Shortened forms</w:t>
            </w:r>
            <w:r w:rsidR="00D61FA5">
              <w:rPr>
                <w:webHidden/>
              </w:rPr>
              <w:tab/>
            </w:r>
            <w:r w:rsidR="00D61FA5">
              <w:rPr>
                <w:webHidden/>
              </w:rPr>
              <w:fldChar w:fldCharType="begin"/>
            </w:r>
            <w:r w:rsidR="00D61FA5">
              <w:rPr>
                <w:webHidden/>
              </w:rPr>
              <w:instrText xml:space="preserve"> PAGEREF _Toc467654507 \h </w:instrText>
            </w:r>
            <w:r w:rsidR="00D61FA5">
              <w:rPr>
                <w:webHidden/>
              </w:rPr>
            </w:r>
            <w:r w:rsidR="00D61FA5">
              <w:rPr>
                <w:webHidden/>
              </w:rPr>
              <w:fldChar w:fldCharType="separate"/>
            </w:r>
            <w:r>
              <w:rPr>
                <w:webHidden/>
              </w:rPr>
              <w:t>3</w:t>
            </w:r>
            <w:r w:rsidR="00D61FA5">
              <w:rPr>
                <w:webHidden/>
              </w:rPr>
              <w:fldChar w:fldCharType="end"/>
            </w:r>
          </w:hyperlink>
        </w:p>
        <w:p w:rsidR="00D61FA5" w:rsidRDefault="0032238B">
          <w:pPr>
            <w:pStyle w:val="TOC1"/>
            <w:rPr>
              <w:rFonts w:asciiTheme="minorHAnsi" w:eastAsiaTheme="minorEastAsia" w:hAnsiTheme="minorHAnsi"/>
              <w:b w:val="0"/>
              <w:color w:val="auto"/>
              <w:sz w:val="22"/>
              <w:lang w:eastAsia="en-US"/>
            </w:rPr>
          </w:pPr>
          <w:hyperlink w:anchor="_Toc467654508" w:history="1">
            <w:r w:rsidR="00D61FA5" w:rsidRPr="00542699">
              <w:rPr>
                <w:rStyle w:val="Hyperlink"/>
              </w:rPr>
              <w:t>1</w:t>
            </w:r>
            <w:r w:rsidR="00D61FA5">
              <w:rPr>
                <w:rFonts w:asciiTheme="minorHAnsi" w:eastAsiaTheme="minorEastAsia" w:hAnsiTheme="minorHAnsi"/>
                <w:b w:val="0"/>
                <w:color w:val="auto"/>
                <w:sz w:val="22"/>
                <w:lang w:eastAsia="en-US"/>
              </w:rPr>
              <w:tab/>
            </w:r>
            <w:r w:rsidR="00D61FA5" w:rsidRPr="00542699">
              <w:rPr>
                <w:rStyle w:val="Hyperlink"/>
              </w:rPr>
              <w:t>Summary</w:t>
            </w:r>
            <w:r w:rsidR="00D61FA5">
              <w:rPr>
                <w:webHidden/>
              </w:rPr>
              <w:tab/>
            </w:r>
            <w:r w:rsidR="00D61FA5">
              <w:rPr>
                <w:webHidden/>
              </w:rPr>
              <w:fldChar w:fldCharType="begin"/>
            </w:r>
            <w:r w:rsidR="00D61FA5">
              <w:rPr>
                <w:webHidden/>
              </w:rPr>
              <w:instrText xml:space="preserve"> PAGEREF _Toc467654508 \h </w:instrText>
            </w:r>
            <w:r w:rsidR="00D61FA5">
              <w:rPr>
                <w:webHidden/>
              </w:rPr>
            </w:r>
            <w:r w:rsidR="00D61FA5">
              <w:rPr>
                <w:webHidden/>
              </w:rPr>
              <w:fldChar w:fldCharType="separate"/>
            </w:r>
            <w:r>
              <w:rPr>
                <w:webHidden/>
              </w:rPr>
              <w:t>4</w:t>
            </w:r>
            <w:r w:rsidR="00D61FA5">
              <w:rPr>
                <w:webHidden/>
              </w:rPr>
              <w:fldChar w:fldCharType="end"/>
            </w:r>
          </w:hyperlink>
        </w:p>
        <w:p w:rsidR="00D61FA5" w:rsidRDefault="0032238B">
          <w:pPr>
            <w:pStyle w:val="TOC1"/>
            <w:rPr>
              <w:rFonts w:asciiTheme="minorHAnsi" w:eastAsiaTheme="minorEastAsia" w:hAnsiTheme="minorHAnsi"/>
              <w:b w:val="0"/>
              <w:color w:val="auto"/>
              <w:sz w:val="22"/>
              <w:lang w:eastAsia="en-US"/>
            </w:rPr>
          </w:pPr>
          <w:hyperlink w:anchor="_Toc467654509" w:history="1">
            <w:r w:rsidR="00D61FA5" w:rsidRPr="00542699">
              <w:rPr>
                <w:rStyle w:val="Hyperlink"/>
              </w:rPr>
              <w:t>2</w:t>
            </w:r>
            <w:r w:rsidR="00D61FA5">
              <w:rPr>
                <w:rFonts w:asciiTheme="minorHAnsi" w:eastAsiaTheme="minorEastAsia" w:hAnsiTheme="minorHAnsi"/>
                <w:b w:val="0"/>
                <w:color w:val="auto"/>
                <w:sz w:val="22"/>
                <w:lang w:eastAsia="en-US"/>
              </w:rPr>
              <w:tab/>
            </w:r>
            <w:r w:rsidR="00D61FA5" w:rsidRPr="00542699">
              <w:rPr>
                <w:rStyle w:val="Hyperlink"/>
              </w:rPr>
              <w:t>Background</w:t>
            </w:r>
            <w:r w:rsidR="00D61FA5">
              <w:rPr>
                <w:webHidden/>
              </w:rPr>
              <w:tab/>
            </w:r>
            <w:r w:rsidR="00D61FA5">
              <w:rPr>
                <w:webHidden/>
              </w:rPr>
              <w:fldChar w:fldCharType="begin"/>
            </w:r>
            <w:r w:rsidR="00D61FA5">
              <w:rPr>
                <w:webHidden/>
              </w:rPr>
              <w:instrText xml:space="preserve"> PAGEREF _Toc467654509 \h </w:instrText>
            </w:r>
            <w:r w:rsidR="00D61FA5">
              <w:rPr>
                <w:webHidden/>
              </w:rPr>
            </w:r>
            <w:r w:rsidR="00D61FA5">
              <w:rPr>
                <w:webHidden/>
              </w:rPr>
              <w:fldChar w:fldCharType="separate"/>
            </w:r>
            <w:r>
              <w:rPr>
                <w:webHidden/>
              </w:rPr>
              <w:t>7</w:t>
            </w:r>
            <w:r w:rsidR="00D61FA5">
              <w:rPr>
                <w:webHidden/>
              </w:rPr>
              <w:fldChar w:fldCharType="end"/>
            </w:r>
          </w:hyperlink>
        </w:p>
        <w:p w:rsidR="00D61FA5" w:rsidRDefault="0032238B">
          <w:pPr>
            <w:pStyle w:val="TOC1"/>
            <w:rPr>
              <w:rFonts w:asciiTheme="minorHAnsi" w:eastAsiaTheme="minorEastAsia" w:hAnsiTheme="minorHAnsi"/>
              <w:b w:val="0"/>
              <w:color w:val="auto"/>
              <w:sz w:val="22"/>
              <w:lang w:eastAsia="en-US"/>
            </w:rPr>
          </w:pPr>
          <w:hyperlink w:anchor="_Toc467654510" w:history="1">
            <w:r w:rsidR="00D61FA5" w:rsidRPr="00542699">
              <w:rPr>
                <w:rStyle w:val="Hyperlink"/>
              </w:rPr>
              <w:t>3</w:t>
            </w:r>
            <w:r w:rsidR="00D61FA5">
              <w:rPr>
                <w:rFonts w:asciiTheme="minorHAnsi" w:eastAsiaTheme="minorEastAsia" w:hAnsiTheme="minorHAnsi"/>
                <w:b w:val="0"/>
                <w:color w:val="auto"/>
                <w:sz w:val="22"/>
                <w:lang w:eastAsia="en-US"/>
              </w:rPr>
              <w:tab/>
            </w:r>
            <w:r w:rsidR="00D61FA5" w:rsidRPr="00542699">
              <w:rPr>
                <w:rStyle w:val="Hyperlink"/>
              </w:rPr>
              <w:t>Assessment approach</w:t>
            </w:r>
            <w:r w:rsidR="00D61FA5">
              <w:rPr>
                <w:webHidden/>
              </w:rPr>
              <w:tab/>
            </w:r>
            <w:r w:rsidR="00D61FA5">
              <w:rPr>
                <w:webHidden/>
              </w:rPr>
              <w:fldChar w:fldCharType="begin"/>
            </w:r>
            <w:r w:rsidR="00D61FA5">
              <w:rPr>
                <w:webHidden/>
              </w:rPr>
              <w:instrText xml:space="preserve"> PAGEREF _Toc467654510 \h </w:instrText>
            </w:r>
            <w:r w:rsidR="00D61FA5">
              <w:rPr>
                <w:webHidden/>
              </w:rPr>
            </w:r>
            <w:r w:rsidR="00D61FA5">
              <w:rPr>
                <w:webHidden/>
              </w:rPr>
              <w:fldChar w:fldCharType="separate"/>
            </w:r>
            <w:r>
              <w:rPr>
                <w:webHidden/>
              </w:rPr>
              <w:t>8</w:t>
            </w:r>
            <w:r w:rsidR="00D61FA5">
              <w:rPr>
                <w:webHidden/>
              </w:rPr>
              <w:fldChar w:fldCharType="end"/>
            </w:r>
          </w:hyperlink>
        </w:p>
        <w:p w:rsidR="00D61FA5" w:rsidRDefault="0032238B">
          <w:pPr>
            <w:pStyle w:val="TOC2"/>
            <w:rPr>
              <w:rFonts w:asciiTheme="minorHAnsi" w:eastAsiaTheme="minorEastAsia" w:hAnsiTheme="minorHAnsi"/>
              <w:b w:val="0"/>
              <w:color w:val="auto"/>
              <w:sz w:val="22"/>
              <w:lang w:val="en-US"/>
            </w:rPr>
          </w:pPr>
          <w:hyperlink w:anchor="_Toc467654511" w:history="1">
            <w:r w:rsidR="00D61FA5" w:rsidRPr="00542699">
              <w:rPr>
                <w:rStyle w:val="Hyperlink"/>
              </w:rPr>
              <w:t>3.1</w:t>
            </w:r>
            <w:r w:rsidR="00D61FA5">
              <w:rPr>
                <w:rFonts w:asciiTheme="minorHAnsi" w:eastAsiaTheme="minorEastAsia" w:hAnsiTheme="minorHAnsi"/>
                <w:b w:val="0"/>
                <w:color w:val="auto"/>
                <w:sz w:val="22"/>
                <w:lang w:val="en-US"/>
              </w:rPr>
              <w:tab/>
            </w:r>
            <w:r w:rsidR="00D61FA5" w:rsidRPr="00542699">
              <w:rPr>
                <w:rStyle w:val="Hyperlink"/>
              </w:rPr>
              <w:t>Calculation of transition charge</w:t>
            </w:r>
            <w:r w:rsidR="00D61FA5">
              <w:rPr>
                <w:webHidden/>
              </w:rPr>
              <w:tab/>
            </w:r>
            <w:r w:rsidR="00D61FA5">
              <w:rPr>
                <w:webHidden/>
              </w:rPr>
              <w:fldChar w:fldCharType="begin"/>
            </w:r>
            <w:r w:rsidR="00D61FA5">
              <w:rPr>
                <w:webHidden/>
              </w:rPr>
              <w:instrText xml:space="preserve"> PAGEREF _Toc467654511 \h </w:instrText>
            </w:r>
            <w:r w:rsidR="00D61FA5">
              <w:rPr>
                <w:webHidden/>
              </w:rPr>
            </w:r>
            <w:r w:rsidR="00D61FA5">
              <w:rPr>
                <w:webHidden/>
              </w:rPr>
              <w:fldChar w:fldCharType="separate"/>
            </w:r>
            <w:r>
              <w:rPr>
                <w:webHidden/>
              </w:rPr>
              <w:t>8</w:t>
            </w:r>
            <w:r w:rsidR="00D61FA5">
              <w:rPr>
                <w:webHidden/>
              </w:rPr>
              <w:fldChar w:fldCharType="end"/>
            </w:r>
          </w:hyperlink>
        </w:p>
        <w:p w:rsidR="00D61FA5" w:rsidRDefault="0032238B">
          <w:pPr>
            <w:pStyle w:val="TOC1"/>
            <w:rPr>
              <w:rFonts w:asciiTheme="minorHAnsi" w:eastAsiaTheme="minorEastAsia" w:hAnsiTheme="minorHAnsi"/>
              <w:b w:val="0"/>
              <w:color w:val="auto"/>
              <w:sz w:val="22"/>
              <w:lang w:eastAsia="en-US"/>
            </w:rPr>
          </w:pPr>
          <w:hyperlink w:anchor="_Toc467654514" w:history="1">
            <w:r w:rsidR="00D61FA5" w:rsidRPr="00542699">
              <w:rPr>
                <w:rStyle w:val="Hyperlink"/>
              </w:rPr>
              <w:t>4</w:t>
            </w:r>
            <w:r w:rsidR="00D61FA5">
              <w:rPr>
                <w:rFonts w:asciiTheme="minorHAnsi" w:eastAsiaTheme="minorEastAsia" w:hAnsiTheme="minorHAnsi"/>
                <w:b w:val="0"/>
                <w:color w:val="auto"/>
                <w:sz w:val="22"/>
                <w:lang w:eastAsia="en-US"/>
              </w:rPr>
              <w:tab/>
            </w:r>
            <w:r w:rsidR="00D61FA5" w:rsidRPr="00542699">
              <w:rPr>
                <w:rStyle w:val="Hyperlink"/>
              </w:rPr>
              <w:t>AusNet Services</w:t>
            </w:r>
            <w:r w:rsidR="00D61FA5">
              <w:rPr>
                <w:webHidden/>
              </w:rPr>
              <w:tab/>
            </w:r>
            <w:r w:rsidR="00D61FA5">
              <w:rPr>
                <w:webHidden/>
              </w:rPr>
              <w:fldChar w:fldCharType="begin"/>
            </w:r>
            <w:r w:rsidR="00D61FA5">
              <w:rPr>
                <w:webHidden/>
              </w:rPr>
              <w:instrText xml:space="preserve"> PAGEREF _Toc467654514 \h </w:instrText>
            </w:r>
            <w:r w:rsidR="00D61FA5">
              <w:rPr>
                <w:webHidden/>
              </w:rPr>
            </w:r>
            <w:r w:rsidR="00D61FA5">
              <w:rPr>
                <w:webHidden/>
              </w:rPr>
              <w:fldChar w:fldCharType="separate"/>
            </w:r>
            <w:r>
              <w:rPr>
                <w:webHidden/>
              </w:rPr>
              <w:t>10</w:t>
            </w:r>
            <w:r w:rsidR="00D61FA5">
              <w:rPr>
                <w:webHidden/>
              </w:rPr>
              <w:fldChar w:fldCharType="end"/>
            </w:r>
          </w:hyperlink>
        </w:p>
        <w:p w:rsidR="00D61FA5" w:rsidRDefault="0032238B">
          <w:pPr>
            <w:pStyle w:val="TOC2"/>
            <w:rPr>
              <w:rFonts w:asciiTheme="minorHAnsi" w:eastAsiaTheme="minorEastAsia" w:hAnsiTheme="minorHAnsi"/>
              <w:b w:val="0"/>
              <w:color w:val="auto"/>
              <w:sz w:val="22"/>
              <w:lang w:val="en-US"/>
            </w:rPr>
          </w:pPr>
          <w:hyperlink w:anchor="_Toc467654515" w:history="1">
            <w:r w:rsidR="00D61FA5" w:rsidRPr="00542699">
              <w:rPr>
                <w:rStyle w:val="Hyperlink"/>
              </w:rPr>
              <w:t>4.1</w:t>
            </w:r>
            <w:r w:rsidR="00D61FA5">
              <w:rPr>
                <w:rFonts w:asciiTheme="minorHAnsi" w:eastAsiaTheme="minorEastAsia" w:hAnsiTheme="minorHAnsi"/>
                <w:b w:val="0"/>
                <w:color w:val="auto"/>
                <w:sz w:val="22"/>
                <w:lang w:val="en-US"/>
              </w:rPr>
              <w:tab/>
            </w:r>
            <w:r w:rsidR="00D61FA5" w:rsidRPr="00542699">
              <w:rPr>
                <w:rStyle w:val="Hyperlink"/>
              </w:rPr>
              <w:t>Final decision</w:t>
            </w:r>
            <w:r w:rsidR="00D61FA5">
              <w:rPr>
                <w:webHidden/>
              </w:rPr>
              <w:tab/>
            </w:r>
            <w:r w:rsidR="00D61FA5">
              <w:rPr>
                <w:webHidden/>
              </w:rPr>
              <w:fldChar w:fldCharType="begin"/>
            </w:r>
            <w:r w:rsidR="00D61FA5">
              <w:rPr>
                <w:webHidden/>
              </w:rPr>
              <w:instrText xml:space="preserve"> PAGEREF _Toc467654515 \h </w:instrText>
            </w:r>
            <w:r w:rsidR="00D61FA5">
              <w:rPr>
                <w:webHidden/>
              </w:rPr>
            </w:r>
            <w:r w:rsidR="00D61FA5">
              <w:rPr>
                <w:webHidden/>
              </w:rPr>
              <w:fldChar w:fldCharType="separate"/>
            </w:r>
            <w:r>
              <w:rPr>
                <w:webHidden/>
              </w:rPr>
              <w:t>10</w:t>
            </w:r>
            <w:r w:rsidR="00D61FA5">
              <w:rPr>
                <w:webHidden/>
              </w:rPr>
              <w:fldChar w:fldCharType="end"/>
            </w:r>
          </w:hyperlink>
        </w:p>
        <w:p w:rsidR="00D61FA5" w:rsidRDefault="0032238B" w:rsidP="00D61FA5">
          <w:pPr>
            <w:pStyle w:val="TOC2"/>
            <w:rPr>
              <w:rFonts w:asciiTheme="minorHAnsi" w:eastAsiaTheme="minorEastAsia" w:hAnsiTheme="minorHAnsi"/>
              <w:lang w:val="en-US"/>
            </w:rPr>
          </w:pPr>
          <w:hyperlink w:anchor="_Toc467654516" w:history="1">
            <w:r w:rsidR="00D61FA5" w:rsidRPr="00542699">
              <w:rPr>
                <w:rStyle w:val="Hyperlink"/>
              </w:rPr>
              <w:t>4.2</w:t>
            </w:r>
            <w:r w:rsidR="00D61FA5">
              <w:rPr>
                <w:rFonts w:asciiTheme="minorHAnsi" w:eastAsiaTheme="minorEastAsia" w:hAnsiTheme="minorHAnsi"/>
                <w:b w:val="0"/>
                <w:color w:val="auto"/>
                <w:sz w:val="22"/>
                <w:lang w:val="en-US"/>
              </w:rPr>
              <w:tab/>
            </w:r>
            <w:r w:rsidR="00D61FA5" w:rsidRPr="00542699">
              <w:rPr>
                <w:rStyle w:val="Hyperlink"/>
              </w:rPr>
              <w:t>Reasons for final decision</w:t>
            </w:r>
            <w:r w:rsidR="00D61FA5">
              <w:rPr>
                <w:webHidden/>
              </w:rPr>
              <w:tab/>
            </w:r>
            <w:r w:rsidR="00D61FA5">
              <w:rPr>
                <w:webHidden/>
              </w:rPr>
              <w:fldChar w:fldCharType="begin"/>
            </w:r>
            <w:r w:rsidR="00D61FA5">
              <w:rPr>
                <w:webHidden/>
              </w:rPr>
              <w:instrText xml:space="preserve"> PAGEREF _Toc467654516 \h </w:instrText>
            </w:r>
            <w:r w:rsidR="00D61FA5">
              <w:rPr>
                <w:webHidden/>
              </w:rPr>
            </w:r>
            <w:r w:rsidR="00D61FA5">
              <w:rPr>
                <w:webHidden/>
              </w:rPr>
              <w:fldChar w:fldCharType="separate"/>
            </w:r>
            <w:r>
              <w:rPr>
                <w:webHidden/>
              </w:rPr>
              <w:t>11</w:t>
            </w:r>
            <w:r w:rsidR="00D61FA5">
              <w:rPr>
                <w:webHidden/>
              </w:rPr>
              <w:fldChar w:fldCharType="end"/>
            </w:r>
          </w:hyperlink>
        </w:p>
        <w:p w:rsidR="00D61FA5" w:rsidRDefault="0032238B">
          <w:pPr>
            <w:pStyle w:val="TOC1"/>
            <w:rPr>
              <w:rFonts w:asciiTheme="minorHAnsi" w:eastAsiaTheme="minorEastAsia" w:hAnsiTheme="minorHAnsi"/>
              <w:b w:val="0"/>
              <w:color w:val="auto"/>
              <w:sz w:val="22"/>
              <w:lang w:eastAsia="en-US"/>
            </w:rPr>
          </w:pPr>
          <w:hyperlink w:anchor="_Toc467654520" w:history="1">
            <w:r w:rsidR="00D61FA5" w:rsidRPr="00542699">
              <w:rPr>
                <w:rStyle w:val="Hyperlink"/>
              </w:rPr>
              <w:t>5</w:t>
            </w:r>
            <w:r w:rsidR="00D61FA5">
              <w:rPr>
                <w:rFonts w:asciiTheme="minorHAnsi" w:eastAsiaTheme="minorEastAsia" w:hAnsiTheme="minorHAnsi"/>
                <w:b w:val="0"/>
                <w:color w:val="auto"/>
                <w:sz w:val="22"/>
                <w:lang w:eastAsia="en-US"/>
              </w:rPr>
              <w:tab/>
            </w:r>
            <w:r w:rsidR="00D61FA5" w:rsidRPr="00542699">
              <w:rPr>
                <w:rStyle w:val="Hyperlink"/>
              </w:rPr>
              <w:t>CitiPower</w:t>
            </w:r>
            <w:r w:rsidR="00D61FA5">
              <w:rPr>
                <w:webHidden/>
              </w:rPr>
              <w:tab/>
            </w:r>
            <w:r w:rsidR="00D61FA5">
              <w:rPr>
                <w:webHidden/>
              </w:rPr>
              <w:fldChar w:fldCharType="begin"/>
            </w:r>
            <w:r w:rsidR="00D61FA5">
              <w:rPr>
                <w:webHidden/>
              </w:rPr>
              <w:instrText xml:space="preserve"> PAGEREF _Toc467654520 \h </w:instrText>
            </w:r>
            <w:r w:rsidR="00D61FA5">
              <w:rPr>
                <w:webHidden/>
              </w:rPr>
            </w:r>
            <w:r w:rsidR="00D61FA5">
              <w:rPr>
                <w:webHidden/>
              </w:rPr>
              <w:fldChar w:fldCharType="separate"/>
            </w:r>
            <w:r>
              <w:rPr>
                <w:webHidden/>
              </w:rPr>
              <w:t>28</w:t>
            </w:r>
            <w:r w:rsidR="00D61FA5">
              <w:rPr>
                <w:webHidden/>
              </w:rPr>
              <w:fldChar w:fldCharType="end"/>
            </w:r>
          </w:hyperlink>
        </w:p>
        <w:p w:rsidR="00D61FA5" w:rsidRDefault="0032238B">
          <w:pPr>
            <w:pStyle w:val="TOC2"/>
            <w:rPr>
              <w:rFonts w:asciiTheme="minorHAnsi" w:eastAsiaTheme="minorEastAsia" w:hAnsiTheme="minorHAnsi"/>
              <w:b w:val="0"/>
              <w:color w:val="auto"/>
              <w:sz w:val="22"/>
              <w:lang w:val="en-US"/>
            </w:rPr>
          </w:pPr>
          <w:hyperlink w:anchor="_Toc467654521" w:history="1">
            <w:r w:rsidR="00D61FA5" w:rsidRPr="00542699">
              <w:rPr>
                <w:rStyle w:val="Hyperlink"/>
              </w:rPr>
              <w:t>5.1</w:t>
            </w:r>
            <w:r w:rsidR="00D61FA5">
              <w:rPr>
                <w:rFonts w:asciiTheme="minorHAnsi" w:eastAsiaTheme="minorEastAsia" w:hAnsiTheme="minorHAnsi"/>
                <w:b w:val="0"/>
                <w:color w:val="auto"/>
                <w:sz w:val="22"/>
                <w:lang w:val="en-US"/>
              </w:rPr>
              <w:tab/>
            </w:r>
            <w:r w:rsidR="00D61FA5" w:rsidRPr="00542699">
              <w:rPr>
                <w:rStyle w:val="Hyperlink"/>
              </w:rPr>
              <w:t>Final decision</w:t>
            </w:r>
            <w:r w:rsidR="00D61FA5">
              <w:rPr>
                <w:webHidden/>
              </w:rPr>
              <w:tab/>
            </w:r>
            <w:r w:rsidR="00D61FA5">
              <w:rPr>
                <w:webHidden/>
              </w:rPr>
              <w:fldChar w:fldCharType="begin"/>
            </w:r>
            <w:r w:rsidR="00D61FA5">
              <w:rPr>
                <w:webHidden/>
              </w:rPr>
              <w:instrText xml:space="preserve"> PAGEREF _Toc467654521 \h </w:instrText>
            </w:r>
            <w:r w:rsidR="00D61FA5">
              <w:rPr>
                <w:webHidden/>
              </w:rPr>
            </w:r>
            <w:r w:rsidR="00D61FA5">
              <w:rPr>
                <w:webHidden/>
              </w:rPr>
              <w:fldChar w:fldCharType="separate"/>
            </w:r>
            <w:r>
              <w:rPr>
                <w:webHidden/>
              </w:rPr>
              <w:t>28</w:t>
            </w:r>
            <w:r w:rsidR="00D61FA5">
              <w:rPr>
                <w:webHidden/>
              </w:rPr>
              <w:fldChar w:fldCharType="end"/>
            </w:r>
          </w:hyperlink>
        </w:p>
        <w:p w:rsidR="00D61FA5" w:rsidRDefault="0032238B">
          <w:pPr>
            <w:pStyle w:val="TOC1"/>
            <w:rPr>
              <w:rFonts w:asciiTheme="minorHAnsi" w:eastAsiaTheme="minorEastAsia" w:hAnsiTheme="minorHAnsi"/>
              <w:b w:val="0"/>
              <w:color w:val="auto"/>
              <w:sz w:val="22"/>
              <w:lang w:eastAsia="en-US"/>
            </w:rPr>
          </w:pPr>
          <w:hyperlink w:anchor="_Toc467654522" w:history="1">
            <w:r w:rsidR="00D61FA5" w:rsidRPr="00542699">
              <w:rPr>
                <w:rStyle w:val="Hyperlink"/>
              </w:rPr>
              <w:t>6</w:t>
            </w:r>
            <w:r w:rsidR="00D61FA5">
              <w:rPr>
                <w:rFonts w:asciiTheme="minorHAnsi" w:eastAsiaTheme="minorEastAsia" w:hAnsiTheme="minorHAnsi"/>
                <w:b w:val="0"/>
                <w:color w:val="auto"/>
                <w:sz w:val="22"/>
                <w:lang w:eastAsia="en-US"/>
              </w:rPr>
              <w:tab/>
            </w:r>
            <w:r w:rsidR="00D61FA5" w:rsidRPr="00542699">
              <w:rPr>
                <w:rStyle w:val="Hyperlink"/>
              </w:rPr>
              <w:t>Jemena</w:t>
            </w:r>
            <w:r w:rsidR="00D61FA5">
              <w:rPr>
                <w:webHidden/>
              </w:rPr>
              <w:tab/>
            </w:r>
            <w:r w:rsidR="00D61FA5">
              <w:rPr>
                <w:webHidden/>
              </w:rPr>
              <w:fldChar w:fldCharType="begin"/>
            </w:r>
            <w:r w:rsidR="00D61FA5">
              <w:rPr>
                <w:webHidden/>
              </w:rPr>
              <w:instrText xml:space="preserve"> PAGEREF _Toc467654522 \h </w:instrText>
            </w:r>
            <w:r w:rsidR="00D61FA5">
              <w:rPr>
                <w:webHidden/>
              </w:rPr>
            </w:r>
            <w:r w:rsidR="00D61FA5">
              <w:rPr>
                <w:webHidden/>
              </w:rPr>
              <w:fldChar w:fldCharType="separate"/>
            </w:r>
            <w:r>
              <w:rPr>
                <w:webHidden/>
              </w:rPr>
              <w:t>29</w:t>
            </w:r>
            <w:r w:rsidR="00D61FA5">
              <w:rPr>
                <w:webHidden/>
              </w:rPr>
              <w:fldChar w:fldCharType="end"/>
            </w:r>
          </w:hyperlink>
        </w:p>
        <w:p w:rsidR="00D61FA5" w:rsidRDefault="0032238B">
          <w:pPr>
            <w:pStyle w:val="TOC2"/>
            <w:rPr>
              <w:rFonts w:asciiTheme="minorHAnsi" w:eastAsiaTheme="minorEastAsia" w:hAnsiTheme="minorHAnsi"/>
              <w:b w:val="0"/>
              <w:color w:val="auto"/>
              <w:sz w:val="22"/>
              <w:lang w:val="en-US"/>
            </w:rPr>
          </w:pPr>
          <w:hyperlink w:anchor="_Toc467654523" w:history="1">
            <w:r w:rsidR="00D61FA5" w:rsidRPr="00542699">
              <w:rPr>
                <w:rStyle w:val="Hyperlink"/>
              </w:rPr>
              <w:t>6.1</w:t>
            </w:r>
            <w:r w:rsidR="00D61FA5">
              <w:rPr>
                <w:rFonts w:asciiTheme="minorHAnsi" w:eastAsiaTheme="minorEastAsia" w:hAnsiTheme="minorHAnsi"/>
                <w:b w:val="0"/>
                <w:color w:val="auto"/>
                <w:sz w:val="22"/>
                <w:lang w:val="en-US"/>
              </w:rPr>
              <w:tab/>
            </w:r>
            <w:r w:rsidR="00D61FA5" w:rsidRPr="00542699">
              <w:rPr>
                <w:rStyle w:val="Hyperlink"/>
              </w:rPr>
              <w:t>Final decision</w:t>
            </w:r>
            <w:r w:rsidR="00D61FA5">
              <w:rPr>
                <w:webHidden/>
              </w:rPr>
              <w:tab/>
            </w:r>
            <w:r w:rsidR="00D61FA5">
              <w:rPr>
                <w:webHidden/>
              </w:rPr>
              <w:fldChar w:fldCharType="begin"/>
            </w:r>
            <w:r w:rsidR="00D61FA5">
              <w:rPr>
                <w:webHidden/>
              </w:rPr>
              <w:instrText xml:space="preserve"> PAGEREF _Toc467654523 \h </w:instrText>
            </w:r>
            <w:r w:rsidR="00D61FA5">
              <w:rPr>
                <w:webHidden/>
              </w:rPr>
            </w:r>
            <w:r w:rsidR="00D61FA5">
              <w:rPr>
                <w:webHidden/>
              </w:rPr>
              <w:fldChar w:fldCharType="separate"/>
            </w:r>
            <w:r>
              <w:rPr>
                <w:webHidden/>
              </w:rPr>
              <w:t>29</w:t>
            </w:r>
            <w:r w:rsidR="00D61FA5">
              <w:rPr>
                <w:webHidden/>
              </w:rPr>
              <w:fldChar w:fldCharType="end"/>
            </w:r>
          </w:hyperlink>
        </w:p>
        <w:p w:rsidR="00D61FA5" w:rsidRDefault="0032238B">
          <w:pPr>
            <w:pStyle w:val="TOC2"/>
            <w:rPr>
              <w:rFonts w:asciiTheme="minorHAnsi" w:eastAsiaTheme="minorEastAsia" w:hAnsiTheme="minorHAnsi"/>
              <w:b w:val="0"/>
              <w:color w:val="auto"/>
              <w:sz w:val="22"/>
              <w:lang w:val="en-US"/>
            </w:rPr>
          </w:pPr>
          <w:hyperlink w:anchor="_Toc467654524" w:history="1">
            <w:r w:rsidR="00D61FA5" w:rsidRPr="00542699">
              <w:rPr>
                <w:rStyle w:val="Hyperlink"/>
              </w:rPr>
              <w:t>6.2</w:t>
            </w:r>
            <w:r w:rsidR="00D61FA5">
              <w:rPr>
                <w:rFonts w:asciiTheme="minorHAnsi" w:eastAsiaTheme="minorEastAsia" w:hAnsiTheme="minorHAnsi"/>
                <w:b w:val="0"/>
                <w:color w:val="auto"/>
                <w:sz w:val="22"/>
                <w:lang w:val="en-US"/>
              </w:rPr>
              <w:tab/>
            </w:r>
            <w:r w:rsidR="00D61FA5" w:rsidRPr="00542699">
              <w:rPr>
                <w:rStyle w:val="Hyperlink"/>
              </w:rPr>
              <w:t>Reasons for final decision</w:t>
            </w:r>
            <w:r w:rsidR="00D61FA5">
              <w:rPr>
                <w:webHidden/>
              </w:rPr>
              <w:tab/>
            </w:r>
            <w:r w:rsidR="00D61FA5">
              <w:rPr>
                <w:webHidden/>
              </w:rPr>
              <w:fldChar w:fldCharType="begin"/>
            </w:r>
            <w:r w:rsidR="00D61FA5">
              <w:rPr>
                <w:webHidden/>
              </w:rPr>
              <w:instrText xml:space="preserve"> PAGEREF _Toc467654524 \h </w:instrText>
            </w:r>
            <w:r w:rsidR="00D61FA5">
              <w:rPr>
                <w:webHidden/>
              </w:rPr>
            </w:r>
            <w:r w:rsidR="00D61FA5">
              <w:rPr>
                <w:webHidden/>
              </w:rPr>
              <w:fldChar w:fldCharType="separate"/>
            </w:r>
            <w:r>
              <w:rPr>
                <w:webHidden/>
              </w:rPr>
              <w:t>30</w:t>
            </w:r>
            <w:r w:rsidR="00D61FA5">
              <w:rPr>
                <w:webHidden/>
              </w:rPr>
              <w:fldChar w:fldCharType="end"/>
            </w:r>
          </w:hyperlink>
        </w:p>
        <w:p w:rsidR="00D61FA5" w:rsidRDefault="0032238B">
          <w:pPr>
            <w:pStyle w:val="TOC1"/>
            <w:rPr>
              <w:rFonts w:asciiTheme="minorHAnsi" w:eastAsiaTheme="minorEastAsia" w:hAnsiTheme="minorHAnsi"/>
              <w:b w:val="0"/>
              <w:color w:val="auto"/>
              <w:sz w:val="22"/>
              <w:lang w:eastAsia="en-US"/>
            </w:rPr>
          </w:pPr>
          <w:hyperlink w:anchor="_Toc467654527" w:history="1">
            <w:r w:rsidR="00D61FA5" w:rsidRPr="00542699">
              <w:rPr>
                <w:rStyle w:val="Hyperlink"/>
              </w:rPr>
              <w:t>7</w:t>
            </w:r>
            <w:r w:rsidR="00D61FA5">
              <w:rPr>
                <w:rFonts w:asciiTheme="minorHAnsi" w:eastAsiaTheme="minorEastAsia" w:hAnsiTheme="minorHAnsi"/>
                <w:b w:val="0"/>
                <w:color w:val="auto"/>
                <w:sz w:val="22"/>
                <w:lang w:eastAsia="en-US"/>
              </w:rPr>
              <w:tab/>
            </w:r>
            <w:r w:rsidR="00D61FA5" w:rsidRPr="00542699">
              <w:rPr>
                <w:rStyle w:val="Hyperlink"/>
              </w:rPr>
              <w:t>Powercor</w:t>
            </w:r>
            <w:r w:rsidR="00D61FA5">
              <w:rPr>
                <w:webHidden/>
              </w:rPr>
              <w:tab/>
            </w:r>
            <w:r w:rsidR="00D61FA5">
              <w:rPr>
                <w:webHidden/>
              </w:rPr>
              <w:fldChar w:fldCharType="begin"/>
            </w:r>
            <w:r w:rsidR="00D61FA5">
              <w:rPr>
                <w:webHidden/>
              </w:rPr>
              <w:instrText xml:space="preserve"> PAGEREF _Toc467654527 \h </w:instrText>
            </w:r>
            <w:r w:rsidR="00D61FA5">
              <w:rPr>
                <w:webHidden/>
              </w:rPr>
            </w:r>
            <w:r w:rsidR="00D61FA5">
              <w:rPr>
                <w:webHidden/>
              </w:rPr>
              <w:fldChar w:fldCharType="separate"/>
            </w:r>
            <w:r>
              <w:rPr>
                <w:webHidden/>
              </w:rPr>
              <w:t>37</w:t>
            </w:r>
            <w:r w:rsidR="00D61FA5">
              <w:rPr>
                <w:webHidden/>
              </w:rPr>
              <w:fldChar w:fldCharType="end"/>
            </w:r>
          </w:hyperlink>
        </w:p>
        <w:p w:rsidR="00D61FA5" w:rsidRDefault="0032238B">
          <w:pPr>
            <w:pStyle w:val="TOC2"/>
            <w:rPr>
              <w:rFonts w:asciiTheme="minorHAnsi" w:eastAsiaTheme="minorEastAsia" w:hAnsiTheme="minorHAnsi"/>
              <w:b w:val="0"/>
              <w:color w:val="auto"/>
              <w:sz w:val="22"/>
              <w:lang w:val="en-US"/>
            </w:rPr>
          </w:pPr>
          <w:hyperlink w:anchor="_Toc467654528" w:history="1">
            <w:r w:rsidR="00D61FA5" w:rsidRPr="00542699">
              <w:rPr>
                <w:rStyle w:val="Hyperlink"/>
              </w:rPr>
              <w:t>7.1</w:t>
            </w:r>
            <w:r w:rsidR="00D61FA5">
              <w:rPr>
                <w:rFonts w:asciiTheme="minorHAnsi" w:eastAsiaTheme="minorEastAsia" w:hAnsiTheme="minorHAnsi"/>
                <w:b w:val="0"/>
                <w:color w:val="auto"/>
                <w:sz w:val="22"/>
                <w:lang w:val="en-US"/>
              </w:rPr>
              <w:tab/>
            </w:r>
            <w:r w:rsidR="00D61FA5" w:rsidRPr="00542699">
              <w:rPr>
                <w:rStyle w:val="Hyperlink"/>
              </w:rPr>
              <w:t>Final decision</w:t>
            </w:r>
            <w:r w:rsidR="00D61FA5">
              <w:rPr>
                <w:webHidden/>
              </w:rPr>
              <w:tab/>
            </w:r>
            <w:r w:rsidR="00D61FA5">
              <w:rPr>
                <w:webHidden/>
              </w:rPr>
              <w:fldChar w:fldCharType="begin"/>
            </w:r>
            <w:r w:rsidR="00D61FA5">
              <w:rPr>
                <w:webHidden/>
              </w:rPr>
              <w:instrText xml:space="preserve"> PAGEREF _Toc467654528 \h </w:instrText>
            </w:r>
            <w:r w:rsidR="00D61FA5">
              <w:rPr>
                <w:webHidden/>
              </w:rPr>
            </w:r>
            <w:r w:rsidR="00D61FA5">
              <w:rPr>
                <w:webHidden/>
              </w:rPr>
              <w:fldChar w:fldCharType="separate"/>
            </w:r>
            <w:r>
              <w:rPr>
                <w:webHidden/>
              </w:rPr>
              <w:t>37</w:t>
            </w:r>
            <w:r w:rsidR="00D61FA5">
              <w:rPr>
                <w:webHidden/>
              </w:rPr>
              <w:fldChar w:fldCharType="end"/>
            </w:r>
          </w:hyperlink>
        </w:p>
        <w:p w:rsidR="00D61FA5" w:rsidRDefault="0032238B">
          <w:pPr>
            <w:pStyle w:val="TOC1"/>
            <w:rPr>
              <w:rFonts w:asciiTheme="minorHAnsi" w:eastAsiaTheme="minorEastAsia" w:hAnsiTheme="minorHAnsi"/>
              <w:b w:val="0"/>
              <w:color w:val="auto"/>
              <w:sz w:val="22"/>
              <w:lang w:eastAsia="en-US"/>
            </w:rPr>
          </w:pPr>
          <w:hyperlink w:anchor="_Toc467654529" w:history="1">
            <w:r w:rsidR="00D61FA5" w:rsidRPr="00542699">
              <w:rPr>
                <w:rStyle w:val="Hyperlink"/>
              </w:rPr>
              <w:t>8</w:t>
            </w:r>
            <w:r w:rsidR="00D61FA5">
              <w:rPr>
                <w:rFonts w:asciiTheme="minorHAnsi" w:eastAsiaTheme="minorEastAsia" w:hAnsiTheme="minorHAnsi"/>
                <w:b w:val="0"/>
                <w:color w:val="auto"/>
                <w:sz w:val="22"/>
                <w:lang w:eastAsia="en-US"/>
              </w:rPr>
              <w:tab/>
            </w:r>
            <w:r w:rsidR="00D61FA5" w:rsidRPr="00542699">
              <w:rPr>
                <w:rStyle w:val="Hyperlink"/>
              </w:rPr>
              <w:t>United Energy</w:t>
            </w:r>
            <w:r w:rsidR="00D61FA5">
              <w:rPr>
                <w:webHidden/>
              </w:rPr>
              <w:tab/>
            </w:r>
            <w:r w:rsidR="00D61FA5">
              <w:rPr>
                <w:webHidden/>
              </w:rPr>
              <w:fldChar w:fldCharType="begin"/>
            </w:r>
            <w:r w:rsidR="00D61FA5">
              <w:rPr>
                <w:webHidden/>
              </w:rPr>
              <w:instrText xml:space="preserve"> PAGEREF _Toc467654529 \h </w:instrText>
            </w:r>
            <w:r w:rsidR="00D61FA5">
              <w:rPr>
                <w:webHidden/>
              </w:rPr>
            </w:r>
            <w:r w:rsidR="00D61FA5">
              <w:rPr>
                <w:webHidden/>
              </w:rPr>
              <w:fldChar w:fldCharType="separate"/>
            </w:r>
            <w:r>
              <w:rPr>
                <w:webHidden/>
              </w:rPr>
              <w:t>38</w:t>
            </w:r>
            <w:r w:rsidR="00D61FA5">
              <w:rPr>
                <w:webHidden/>
              </w:rPr>
              <w:fldChar w:fldCharType="end"/>
            </w:r>
          </w:hyperlink>
        </w:p>
        <w:p w:rsidR="00D61FA5" w:rsidRDefault="0032238B">
          <w:pPr>
            <w:pStyle w:val="TOC2"/>
            <w:rPr>
              <w:rFonts w:asciiTheme="minorHAnsi" w:eastAsiaTheme="minorEastAsia" w:hAnsiTheme="minorHAnsi"/>
              <w:b w:val="0"/>
              <w:color w:val="auto"/>
              <w:sz w:val="22"/>
              <w:lang w:val="en-US"/>
            </w:rPr>
          </w:pPr>
          <w:hyperlink w:anchor="_Toc467654530" w:history="1">
            <w:r w:rsidR="00D61FA5" w:rsidRPr="00542699">
              <w:rPr>
                <w:rStyle w:val="Hyperlink"/>
              </w:rPr>
              <w:t>8.1</w:t>
            </w:r>
            <w:r w:rsidR="00D61FA5">
              <w:rPr>
                <w:rFonts w:asciiTheme="minorHAnsi" w:eastAsiaTheme="minorEastAsia" w:hAnsiTheme="minorHAnsi"/>
                <w:b w:val="0"/>
                <w:color w:val="auto"/>
                <w:sz w:val="22"/>
                <w:lang w:val="en-US"/>
              </w:rPr>
              <w:tab/>
            </w:r>
            <w:r w:rsidR="00D61FA5" w:rsidRPr="00542699">
              <w:rPr>
                <w:rStyle w:val="Hyperlink"/>
              </w:rPr>
              <w:t>Final decision</w:t>
            </w:r>
            <w:r w:rsidR="00D61FA5">
              <w:rPr>
                <w:webHidden/>
              </w:rPr>
              <w:tab/>
            </w:r>
            <w:r w:rsidR="00D61FA5">
              <w:rPr>
                <w:webHidden/>
              </w:rPr>
              <w:fldChar w:fldCharType="begin"/>
            </w:r>
            <w:r w:rsidR="00D61FA5">
              <w:rPr>
                <w:webHidden/>
              </w:rPr>
              <w:instrText xml:space="preserve"> PAGEREF _Toc467654530 \h </w:instrText>
            </w:r>
            <w:r w:rsidR="00D61FA5">
              <w:rPr>
                <w:webHidden/>
              </w:rPr>
            </w:r>
            <w:r w:rsidR="00D61FA5">
              <w:rPr>
                <w:webHidden/>
              </w:rPr>
              <w:fldChar w:fldCharType="separate"/>
            </w:r>
            <w:r>
              <w:rPr>
                <w:webHidden/>
              </w:rPr>
              <w:t>38</w:t>
            </w:r>
            <w:r w:rsidR="00D61FA5">
              <w:rPr>
                <w:webHidden/>
              </w:rPr>
              <w:fldChar w:fldCharType="end"/>
            </w:r>
          </w:hyperlink>
        </w:p>
        <w:p w:rsidR="008E3B21" w:rsidRPr="008E3B21" w:rsidRDefault="008E3B21" w:rsidP="008E3B21">
          <w:pPr>
            <w:pStyle w:val="TOC2"/>
          </w:pPr>
          <w:r w:rsidRPr="008E3B21">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6" w:name="_Toc404700925"/>
      <w:bookmarkStart w:id="7" w:name="_Toc467654507"/>
      <w:r>
        <w:t>Shortened forms</w:t>
      </w:r>
      <w:bookmarkEnd w:id="6"/>
      <w:bookmarkEnd w:id="7"/>
    </w:p>
    <w:p w:rsidR="00DE563D" w:rsidRDefault="00DE563D" w:rsidP="00415F31"/>
    <w:tbl>
      <w:tblPr>
        <w:tblStyle w:val="AERtable-numbers"/>
        <w:tblW w:w="0" w:type="auto"/>
        <w:tblLook w:val="04A0" w:firstRow="1" w:lastRow="0" w:firstColumn="1" w:lastColumn="0" w:noHBand="0" w:noVBand="1"/>
      </w:tblPr>
      <w:tblGrid>
        <w:gridCol w:w="4340"/>
        <w:gridCol w:w="4353"/>
      </w:tblGrid>
      <w:tr w:rsidR="009026D8" w:rsidTr="009026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r>
              <w:t>Shortened form</w:t>
            </w:r>
          </w:p>
        </w:tc>
        <w:tc>
          <w:tcPr>
            <w:tcW w:w="4353" w:type="dxa"/>
          </w:tcPr>
          <w:p w:rsidR="009026D8" w:rsidRPr="009026D8" w:rsidRDefault="009026D8" w:rsidP="009026D8">
            <w:pPr>
              <w:cnfStyle w:val="100000000000" w:firstRow="1" w:lastRow="0" w:firstColumn="0" w:lastColumn="0" w:oddVBand="0" w:evenVBand="0" w:oddHBand="0" w:evenHBand="0" w:firstRowFirstColumn="0" w:firstRowLastColumn="0" w:lastRowFirstColumn="0" w:lastRowLastColumn="0"/>
            </w:pPr>
            <w:r>
              <w:t>Extended form</w:t>
            </w:r>
          </w:p>
        </w:tc>
      </w:tr>
      <w:tr w:rsidR="009026D8" w:rsidTr="009026D8">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AEMC</w:t>
            </w:r>
          </w:p>
        </w:tc>
        <w:tc>
          <w:tcPr>
            <w:tcW w:w="4353" w:type="dxa"/>
          </w:tcPr>
          <w:p w:rsidR="009026D8" w:rsidRPr="009026D8" w:rsidRDefault="009026D8" w:rsidP="009026D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Australian Energy Market Commission</w:t>
            </w:r>
          </w:p>
        </w:tc>
      </w:tr>
      <w:tr w:rsidR="009026D8" w:rsidTr="00902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AEMO</w:t>
            </w:r>
          </w:p>
        </w:tc>
        <w:tc>
          <w:tcPr>
            <w:tcW w:w="4353" w:type="dxa"/>
          </w:tcPr>
          <w:p w:rsidR="009026D8" w:rsidRPr="009026D8" w:rsidRDefault="009026D8" w:rsidP="009026D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Australian Energy Market Operator</w:t>
            </w:r>
          </w:p>
        </w:tc>
      </w:tr>
      <w:tr w:rsidR="009026D8" w:rsidTr="009026D8">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AER</w:t>
            </w:r>
          </w:p>
        </w:tc>
        <w:tc>
          <w:tcPr>
            <w:tcW w:w="4353" w:type="dxa"/>
          </w:tcPr>
          <w:p w:rsidR="009026D8" w:rsidRPr="009026D8" w:rsidRDefault="009026D8" w:rsidP="009026D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 xml:space="preserve">Australian Energy </w:t>
            </w:r>
            <w:r w:rsidRPr="009026D8">
              <w:rPr>
                <w:rStyle w:val="AERtextsize8"/>
              </w:rPr>
              <w:t>Regulator</w:t>
            </w:r>
          </w:p>
        </w:tc>
      </w:tr>
      <w:tr w:rsidR="009026D8" w:rsidTr="00902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Pr>
                <w:rStyle w:val="AERtextsize8"/>
              </w:rPr>
              <w:t>AMI</w:t>
            </w:r>
          </w:p>
        </w:tc>
        <w:tc>
          <w:tcPr>
            <w:tcW w:w="4353" w:type="dxa"/>
          </w:tcPr>
          <w:p w:rsidR="009026D8" w:rsidRPr="009026D8" w:rsidRDefault="009026D8" w:rsidP="009026D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Advanced metering infrastructure</w:t>
            </w:r>
          </w:p>
        </w:tc>
      </w:tr>
      <w:tr w:rsidR="009026D8" w:rsidTr="009026D8">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capex</w:t>
            </w:r>
          </w:p>
        </w:tc>
        <w:tc>
          <w:tcPr>
            <w:tcW w:w="4353" w:type="dxa"/>
          </w:tcPr>
          <w:p w:rsidR="009026D8" w:rsidRPr="009026D8" w:rsidRDefault="009026D8" w:rsidP="009026D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 xml:space="preserve">capital </w:t>
            </w:r>
            <w:r w:rsidRPr="009026D8">
              <w:rPr>
                <w:rStyle w:val="AERtextsize8"/>
              </w:rPr>
              <w:t>expenditure</w:t>
            </w:r>
          </w:p>
        </w:tc>
      </w:tr>
      <w:tr w:rsidR="009026D8" w:rsidTr="00902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CPI</w:t>
            </w:r>
          </w:p>
        </w:tc>
        <w:tc>
          <w:tcPr>
            <w:tcW w:w="4353" w:type="dxa"/>
          </w:tcPr>
          <w:p w:rsidR="009026D8" w:rsidRPr="009026D8" w:rsidRDefault="009026D8" w:rsidP="009026D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consumer price index</w:t>
            </w:r>
          </w:p>
        </w:tc>
      </w:tr>
      <w:tr w:rsidR="009026D8" w:rsidTr="009026D8">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DRP</w:t>
            </w:r>
          </w:p>
        </w:tc>
        <w:tc>
          <w:tcPr>
            <w:tcW w:w="4353" w:type="dxa"/>
          </w:tcPr>
          <w:p w:rsidR="009026D8" w:rsidRPr="009026D8" w:rsidRDefault="009026D8" w:rsidP="009026D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debt risk premium</w:t>
            </w:r>
          </w:p>
        </w:tc>
      </w:tr>
      <w:tr w:rsidR="009026D8" w:rsidTr="00902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distributor</w:t>
            </w:r>
          </w:p>
        </w:tc>
        <w:tc>
          <w:tcPr>
            <w:tcW w:w="4353" w:type="dxa"/>
          </w:tcPr>
          <w:p w:rsidR="009026D8" w:rsidRPr="009026D8" w:rsidRDefault="009026D8" w:rsidP="009026D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 xml:space="preserve">distribution network </w:t>
            </w:r>
            <w:r w:rsidRPr="009026D8">
              <w:rPr>
                <w:rStyle w:val="AERtextsize8"/>
              </w:rPr>
              <w:t>service provider</w:t>
            </w:r>
          </w:p>
        </w:tc>
      </w:tr>
      <w:tr w:rsidR="009026D8" w:rsidTr="009026D8">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DUoS</w:t>
            </w:r>
          </w:p>
        </w:tc>
        <w:tc>
          <w:tcPr>
            <w:tcW w:w="4353" w:type="dxa"/>
          </w:tcPr>
          <w:p w:rsidR="009026D8" w:rsidRPr="009026D8" w:rsidRDefault="009026D8" w:rsidP="009026D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distribution use of system</w:t>
            </w:r>
          </w:p>
        </w:tc>
      </w:tr>
      <w:tr w:rsidR="009026D8" w:rsidTr="00902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EBSS</w:t>
            </w:r>
          </w:p>
        </w:tc>
        <w:tc>
          <w:tcPr>
            <w:tcW w:w="4353" w:type="dxa"/>
          </w:tcPr>
          <w:p w:rsidR="009026D8" w:rsidRPr="009026D8" w:rsidRDefault="009026D8" w:rsidP="009026D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efficiency benefit sharing scheme</w:t>
            </w:r>
          </w:p>
        </w:tc>
      </w:tr>
      <w:tr w:rsidR="009026D8" w:rsidTr="009026D8">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ERP</w:t>
            </w:r>
          </w:p>
        </w:tc>
        <w:tc>
          <w:tcPr>
            <w:tcW w:w="4353" w:type="dxa"/>
          </w:tcPr>
          <w:p w:rsidR="009026D8" w:rsidRPr="009026D8" w:rsidRDefault="009026D8" w:rsidP="009026D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equity risk premium</w:t>
            </w:r>
          </w:p>
        </w:tc>
      </w:tr>
      <w:tr w:rsidR="009026D8" w:rsidTr="00902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Expenditure A</w:t>
            </w:r>
            <w:r w:rsidRPr="009026D8">
              <w:rPr>
                <w:rStyle w:val="AERtextsize8"/>
              </w:rPr>
              <w:t>ssessment Guideline</w:t>
            </w:r>
          </w:p>
        </w:tc>
        <w:tc>
          <w:tcPr>
            <w:tcW w:w="4353" w:type="dxa"/>
          </w:tcPr>
          <w:p w:rsidR="009026D8" w:rsidRPr="009026D8" w:rsidRDefault="009026D8" w:rsidP="009026D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E</w:t>
            </w:r>
            <w:r w:rsidRPr="009026D8">
              <w:rPr>
                <w:rStyle w:val="AERtextsize8"/>
              </w:rPr>
              <w:t>xpenditure Forecast Assessment Guideline for Electricity Distribution</w:t>
            </w:r>
          </w:p>
        </w:tc>
      </w:tr>
      <w:tr w:rsidR="009026D8" w:rsidTr="009026D8">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F&amp;A</w:t>
            </w:r>
          </w:p>
        </w:tc>
        <w:tc>
          <w:tcPr>
            <w:tcW w:w="4353" w:type="dxa"/>
          </w:tcPr>
          <w:p w:rsidR="009026D8" w:rsidRPr="009026D8" w:rsidRDefault="009026D8" w:rsidP="009026D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framework and approach</w:t>
            </w:r>
          </w:p>
        </w:tc>
      </w:tr>
      <w:tr w:rsidR="00DA479A" w:rsidTr="00902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A479A" w:rsidRPr="00712239" w:rsidRDefault="00DA479A" w:rsidP="009026D8">
            <w:pPr>
              <w:pStyle w:val="AERtabletextleft"/>
              <w:rPr>
                <w:rStyle w:val="AERtextsize8"/>
              </w:rPr>
            </w:pPr>
            <w:r>
              <w:rPr>
                <w:rStyle w:val="AERtextsize8"/>
              </w:rPr>
              <w:t>MAB</w:t>
            </w:r>
          </w:p>
        </w:tc>
        <w:tc>
          <w:tcPr>
            <w:tcW w:w="4353" w:type="dxa"/>
          </w:tcPr>
          <w:p w:rsidR="00DA479A" w:rsidRPr="00712239" w:rsidRDefault="00AA55D1" w:rsidP="009026D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metering asset b</w:t>
            </w:r>
            <w:r w:rsidR="00DA479A">
              <w:rPr>
                <w:rStyle w:val="AERtextsize8"/>
              </w:rPr>
              <w:t>ase</w:t>
            </w:r>
          </w:p>
        </w:tc>
      </w:tr>
      <w:tr w:rsidR="009026D8" w:rsidTr="009026D8">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MRP</w:t>
            </w:r>
          </w:p>
        </w:tc>
        <w:tc>
          <w:tcPr>
            <w:tcW w:w="4353" w:type="dxa"/>
          </w:tcPr>
          <w:p w:rsidR="009026D8" w:rsidRPr="009026D8" w:rsidRDefault="009026D8" w:rsidP="009026D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market risk premium</w:t>
            </w:r>
          </w:p>
        </w:tc>
      </w:tr>
      <w:tr w:rsidR="009026D8" w:rsidTr="00902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NEL</w:t>
            </w:r>
          </w:p>
        </w:tc>
        <w:tc>
          <w:tcPr>
            <w:tcW w:w="4353" w:type="dxa"/>
          </w:tcPr>
          <w:p w:rsidR="009026D8" w:rsidRPr="009026D8" w:rsidRDefault="009026D8" w:rsidP="009026D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national electricity law</w:t>
            </w:r>
          </w:p>
        </w:tc>
      </w:tr>
      <w:tr w:rsidR="009026D8" w:rsidTr="009026D8">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NEM</w:t>
            </w:r>
          </w:p>
        </w:tc>
        <w:tc>
          <w:tcPr>
            <w:tcW w:w="4353" w:type="dxa"/>
          </w:tcPr>
          <w:p w:rsidR="009026D8" w:rsidRPr="009026D8" w:rsidRDefault="009026D8" w:rsidP="009026D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national electricity market</w:t>
            </w:r>
          </w:p>
        </w:tc>
      </w:tr>
      <w:tr w:rsidR="009026D8" w:rsidTr="00902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NEO</w:t>
            </w:r>
          </w:p>
        </w:tc>
        <w:tc>
          <w:tcPr>
            <w:tcW w:w="4353" w:type="dxa"/>
          </w:tcPr>
          <w:p w:rsidR="009026D8" w:rsidRPr="009026D8" w:rsidRDefault="009026D8" w:rsidP="009026D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national electricity objective</w:t>
            </w:r>
          </w:p>
        </w:tc>
      </w:tr>
      <w:tr w:rsidR="009026D8" w:rsidTr="009026D8">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NER</w:t>
            </w:r>
          </w:p>
        </w:tc>
        <w:tc>
          <w:tcPr>
            <w:tcW w:w="4353" w:type="dxa"/>
          </w:tcPr>
          <w:p w:rsidR="009026D8" w:rsidRPr="009026D8" w:rsidRDefault="009026D8" w:rsidP="009026D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national electricity rules</w:t>
            </w:r>
          </w:p>
        </w:tc>
      </w:tr>
      <w:tr w:rsidR="009026D8" w:rsidTr="00902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NSP</w:t>
            </w:r>
          </w:p>
        </w:tc>
        <w:tc>
          <w:tcPr>
            <w:tcW w:w="4353" w:type="dxa"/>
          </w:tcPr>
          <w:p w:rsidR="009026D8" w:rsidRPr="009026D8" w:rsidRDefault="009026D8" w:rsidP="009026D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 xml:space="preserve">network service </w:t>
            </w:r>
            <w:r w:rsidRPr="009026D8">
              <w:rPr>
                <w:rStyle w:val="AERtextsize8"/>
              </w:rPr>
              <w:t>provider</w:t>
            </w:r>
          </w:p>
        </w:tc>
      </w:tr>
      <w:tr w:rsidR="009026D8" w:rsidTr="009026D8">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opex</w:t>
            </w:r>
          </w:p>
        </w:tc>
        <w:tc>
          <w:tcPr>
            <w:tcW w:w="4353" w:type="dxa"/>
          </w:tcPr>
          <w:p w:rsidR="009026D8" w:rsidRPr="009026D8" w:rsidRDefault="009026D8" w:rsidP="009026D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operating expenditure</w:t>
            </w:r>
          </w:p>
        </w:tc>
      </w:tr>
      <w:tr w:rsidR="009026D8" w:rsidTr="00902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PPI</w:t>
            </w:r>
          </w:p>
        </w:tc>
        <w:tc>
          <w:tcPr>
            <w:tcW w:w="4353" w:type="dxa"/>
          </w:tcPr>
          <w:p w:rsidR="009026D8" w:rsidRPr="009026D8" w:rsidRDefault="009026D8" w:rsidP="009026D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partial performance indicators</w:t>
            </w:r>
          </w:p>
        </w:tc>
      </w:tr>
      <w:tr w:rsidR="009026D8" w:rsidTr="009026D8">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PTRM</w:t>
            </w:r>
          </w:p>
        </w:tc>
        <w:tc>
          <w:tcPr>
            <w:tcW w:w="4353" w:type="dxa"/>
          </w:tcPr>
          <w:p w:rsidR="009026D8" w:rsidRPr="009026D8" w:rsidRDefault="009026D8" w:rsidP="009026D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post-tax revenue model</w:t>
            </w:r>
          </w:p>
        </w:tc>
      </w:tr>
      <w:tr w:rsidR="009026D8" w:rsidTr="00902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RAB</w:t>
            </w:r>
          </w:p>
        </w:tc>
        <w:tc>
          <w:tcPr>
            <w:tcW w:w="4353" w:type="dxa"/>
          </w:tcPr>
          <w:p w:rsidR="009026D8" w:rsidRPr="009026D8" w:rsidRDefault="009026D8" w:rsidP="009026D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regulatory asset base</w:t>
            </w:r>
          </w:p>
        </w:tc>
      </w:tr>
      <w:tr w:rsidR="009026D8" w:rsidTr="009026D8">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RBA</w:t>
            </w:r>
          </w:p>
        </w:tc>
        <w:tc>
          <w:tcPr>
            <w:tcW w:w="4353" w:type="dxa"/>
          </w:tcPr>
          <w:p w:rsidR="009026D8" w:rsidRPr="009026D8" w:rsidRDefault="009026D8" w:rsidP="009026D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Reserve Bank of Australia</w:t>
            </w:r>
          </w:p>
        </w:tc>
      </w:tr>
      <w:tr w:rsidR="009026D8" w:rsidTr="00902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RFM</w:t>
            </w:r>
          </w:p>
        </w:tc>
        <w:tc>
          <w:tcPr>
            <w:tcW w:w="4353" w:type="dxa"/>
          </w:tcPr>
          <w:p w:rsidR="009026D8" w:rsidRPr="009026D8" w:rsidRDefault="009026D8" w:rsidP="009026D8">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roll forward model</w:t>
            </w:r>
          </w:p>
        </w:tc>
      </w:tr>
      <w:tr w:rsidR="009026D8" w:rsidTr="009026D8">
        <w:tc>
          <w:tcPr>
            <w:cnfStyle w:val="001000000000" w:firstRow="0" w:lastRow="0" w:firstColumn="1" w:lastColumn="0" w:oddVBand="0" w:evenVBand="0" w:oddHBand="0" w:evenHBand="0" w:firstRowFirstColumn="0" w:firstRowLastColumn="0" w:lastRowFirstColumn="0" w:lastRowLastColumn="0"/>
            <w:tcW w:w="4340" w:type="dxa"/>
          </w:tcPr>
          <w:p w:rsidR="009026D8" w:rsidRPr="009026D8" w:rsidRDefault="009026D8" w:rsidP="009026D8">
            <w:pPr>
              <w:pStyle w:val="AERtabletextleft"/>
              <w:rPr>
                <w:rStyle w:val="AERtextsize8"/>
              </w:rPr>
            </w:pPr>
            <w:r w:rsidRPr="00712239">
              <w:rPr>
                <w:rStyle w:val="AERtextsize8"/>
              </w:rPr>
              <w:t>RIN</w:t>
            </w:r>
          </w:p>
        </w:tc>
        <w:tc>
          <w:tcPr>
            <w:tcW w:w="4353" w:type="dxa"/>
          </w:tcPr>
          <w:p w:rsidR="009026D8" w:rsidRPr="009026D8" w:rsidRDefault="009026D8" w:rsidP="009026D8">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regulatory information notice</w:t>
            </w:r>
          </w:p>
        </w:tc>
      </w:tr>
    </w:tbl>
    <w:p w:rsidR="00DE563D" w:rsidRPr="00436A39" w:rsidRDefault="00DE563D" w:rsidP="007D4722"/>
    <w:p w:rsidR="00DE563D" w:rsidRDefault="00DF70F3" w:rsidP="001754EE">
      <w:pPr>
        <w:pStyle w:val="Heading1"/>
      </w:pPr>
      <w:bookmarkStart w:id="8" w:name="_Ref461452768"/>
      <w:bookmarkStart w:id="9" w:name="_Toc467654508"/>
      <w:r>
        <w:t>Summary</w:t>
      </w:r>
      <w:bookmarkEnd w:id="8"/>
      <w:bookmarkEnd w:id="9"/>
    </w:p>
    <w:p w:rsidR="0030583E" w:rsidRDefault="002248F7" w:rsidP="0030583E">
      <w:pPr>
        <w:pStyle w:val="AERbulletlistfirststyle"/>
        <w:numPr>
          <w:ilvl w:val="0"/>
          <w:numId w:val="0"/>
        </w:numPr>
      </w:pPr>
      <w:r>
        <w:t>We are required to determine advanced metering infrastructure (AMI) transition charge</w:t>
      </w:r>
      <w:r w:rsidR="002E3149">
        <w:t>s</w:t>
      </w:r>
      <w:r>
        <w:t xml:space="preserve"> </w:t>
      </w:r>
      <w:r w:rsidR="007F24BB">
        <w:t xml:space="preserve">for </w:t>
      </w:r>
      <w:r>
        <w:t>all five Victorian electricity distributors.</w:t>
      </w:r>
      <w:r w:rsidR="00033CC4">
        <w:t xml:space="preserve"> </w:t>
      </w:r>
      <w:r w:rsidR="001E1EA0">
        <w:t xml:space="preserve">The requirement to determine AMI transition charges is set out in the </w:t>
      </w:r>
      <w:r w:rsidR="0030583E" w:rsidRPr="0030583E">
        <w:t>Victorian Government’s AMI Cost Recovery Order in Council (Order).</w:t>
      </w:r>
      <w:r w:rsidR="0030583E">
        <w:rPr>
          <w:rStyle w:val="FootnoteReference"/>
        </w:rPr>
        <w:footnoteReference w:id="1"/>
      </w:r>
      <w:r w:rsidR="008F6177">
        <w:t xml:space="preserve"> </w:t>
      </w:r>
      <w:r w:rsidR="002E3149">
        <w:t>These charges</w:t>
      </w:r>
      <w:r w:rsidR="0030583E" w:rsidRPr="0030583E">
        <w:t xml:space="preserve"> follow on from the completion of the AMI roll–out period which ran from 1 January 2009 to 31 December 2015. This is the last task the AER is required to do under the Order.</w:t>
      </w:r>
    </w:p>
    <w:p w:rsidR="00D61FA5" w:rsidRDefault="00033CC4" w:rsidP="0030583E">
      <w:r>
        <w:t>The five Victorian electricity</w:t>
      </w:r>
      <w:r w:rsidR="005525D7">
        <w:t xml:space="preserve"> distributors submitted initial </w:t>
      </w:r>
      <w:r>
        <w:t xml:space="preserve">transition charge applications on 31 May 2016. </w:t>
      </w:r>
      <w:r w:rsidRPr="00033CC4">
        <w:t>We published our draft decision</w:t>
      </w:r>
      <w:r w:rsidR="00211152">
        <w:rPr>
          <w:rStyle w:val="FootnoteReference"/>
        </w:rPr>
        <w:footnoteReference w:id="2"/>
      </w:r>
      <w:r w:rsidRPr="00033CC4">
        <w:t xml:space="preserve"> on 20 September 2016 and allowed 30 business days for submissions</w:t>
      </w:r>
      <w:r w:rsidR="00960201">
        <w:t xml:space="preserve"> including revised applications from the distributors</w:t>
      </w:r>
      <w:r w:rsidRPr="00033CC4">
        <w:t>.</w:t>
      </w:r>
      <w:r w:rsidR="00D61FA5">
        <w:t xml:space="preserve"> </w:t>
      </w:r>
    </w:p>
    <w:p w:rsidR="00D61FA5" w:rsidRDefault="00D61FA5" w:rsidP="0030583E">
      <w:r>
        <w:t>We received th</w:t>
      </w:r>
      <w:r w:rsidR="007F24BB">
        <w:t>r</w:t>
      </w:r>
      <w:r>
        <w:t xml:space="preserve">ee </w:t>
      </w:r>
      <w:r w:rsidR="00960201">
        <w:t>revised applications</w:t>
      </w:r>
      <w:r>
        <w:t>. These were from AusNet Services and Jemena, which did not accept our draft decision, and United Energy, which accepted our draft decision in full</w:t>
      </w:r>
      <w:r w:rsidRPr="00D61FA5">
        <w:t>.</w:t>
      </w:r>
      <w:r>
        <w:rPr>
          <w:rStyle w:val="FootnoteReference"/>
        </w:rPr>
        <w:footnoteReference w:id="3"/>
      </w:r>
      <w:r w:rsidRPr="00D61FA5">
        <w:t xml:space="preserve"> </w:t>
      </w:r>
      <w:r w:rsidR="005A6E13">
        <w:t>Citi</w:t>
      </w:r>
      <w:r w:rsidR="00AC6B75">
        <w:t>P</w:t>
      </w:r>
      <w:r w:rsidR="005A6E13">
        <w:t>ower and Powercor did not revise their initial transition charge applications</w:t>
      </w:r>
      <w:r w:rsidR="00960201">
        <w:t xml:space="preserve"> or make any other submission</w:t>
      </w:r>
      <w:r w:rsidR="005A6E13">
        <w:t xml:space="preserve">.  </w:t>
      </w:r>
      <w:r w:rsidR="00FD68E7">
        <w:t>We did not receive submission</w:t>
      </w:r>
      <w:r w:rsidR="007F24BB">
        <w:t>s</w:t>
      </w:r>
      <w:r w:rsidR="00FD68E7">
        <w:t xml:space="preserve"> from any other stakeholder</w:t>
      </w:r>
      <w:r w:rsidR="007F24BB">
        <w:t>s</w:t>
      </w:r>
      <w:r w:rsidR="00FD68E7" w:rsidRPr="00D61FA5">
        <w:t>.</w:t>
      </w:r>
      <w:r>
        <w:t xml:space="preserve"> </w:t>
      </w:r>
    </w:p>
    <w:p w:rsidR="008F6177" w:rsidRDefault="0030583E" w:rsidP="0030583E">
      <w:r w:rsidRPr="0030583E">
        <w:t>A transition charge (if applied) is an amount that may allow a distributor to recover from the consumer AMI costs that it has not already recovered to date.  Alternatively, a distributor may be required to return an amount to consumers if it has recovered costs for AMI that exceed the costs provided for under the Order.</w:t>
      </w:r>
      <w:r w:rsidR="008F6177">
        <w:t xml:space="preserve"> </w:t>
      </w:r>
    </w:p>
    <w:p w:rsidR="0030583E" w:rsidRPr="0030583E" w:rsidRDefault="0030583E" w:rsidP="0030583E">
      <w:r w:rsidRPr="0030583E">
        <w:t>The transition charge amount is determined under the Order by:</w:t>
      </w:r>
    </w:p>
    <w:p w:rsidR="0030583E" w:rsidRPr="0030583E" w:rsidRDefault="0030583E" w:rsidP="0030583E">
      <w:pPr>
        <w:pStyle w:val="Listalphabet"/>
      </w:pPr>
      <w:r w:rsidRPr="0030583E">
        <w:t xml:space="preserve">applying a 'true up' </w:t>
      </w:r>
      <w:r w:rsidR="008F6177">
        <w:t>of 2009–</w:t>
      </w:r>
      <w:r w:rsidRPr="0030583E">
        <w:t>15 costs and revenues that corrects for the difference between:</w:t>
      </w:r>
    </w:p>
    <w:p w:rsidR="0030583E" w:rsidRPr="0030583E" w:rsidRDefault="0030583E" w:rsidP="0030583E">
      <w:pPr>
        <w:pStyle w:val="AERbulletlistsecondstyle"/>
      </w:pPr>
      <w:r w:rsidRPr="0030583E">
        <w:t>the AMI costs over the 2009–15 period as approved by us in previous decisions</w:t>
      </w:r>
      <w:r w:rsidR="007F24BB">
        <w:t xml:space="preserve"> </w:t>
      </w:r>
      <w:r w:rsidRPr="0030583E">
        <w:t>for each distributor</w:t>
      </w:r>
      <w:r w:rsidR="007F24BB">
        <w:rPr>
          <w:rStyle w:val="FootnoteReference"/>
        </w:rPr>
        <w:footnoteReference w:id="4"/>
      </w:r>
    </w:p>
    <w:p w:rsidR="0030583E" w:rsidRPr="0030583E" w:rsidRDefault="0030583E" w:rsidP="0030583E">
      <w:pPr>
        <w:pStyle w:val="AERbulletlistsecondstyle"/>
      </w:pPr>
      <w:r w:rsidRPr="0030583E">
        <w:t>the distributor's actual revenues from AMI metering charges</w:t>
      </w:r>
      <w:r w:rsidR="00AA55D1">
        <w:t>;</w:t>
      </w:r>
      <w:r w:rsidRPr="0030583E">
        <w:rPr>
          <w:rStyle w:val="FootnoteReference"/>
        </w:rPr>
        <w:footnoteReference w:id="5"/>
      </w:r>
      <w:r w:rsidR="00AA55D1">
        <w:t xml:space="preserve"> </w:t>
      </w:r>
      <w:r w:rsidRPr="0030583E">
        <w:t>and</w:t>
      </w:r>
    </w:p>
    <w:p w:rsidR="0030583E" w:rsidRPr="0030583E" w:rsidRDefault="0030583E" w:rsidP="0030583E">
      <w:pPr>
        <w:pStyle w:val="Listalphabet"/>
      </w:pPr>
      <w:proofErr w:type="gramStart"/>
      <w:r w:rsidRPr="0030583E">
        <w:t>incorporating</w:t>
      </w:r>
      <w:proofErr w:type="gramEnd"/>
      <w:r w:rsidRPr="0030583E">
        <w:t xml:space="preserve"> any 'excess' expenditure incurred in 2014 and 2015 that we determine is prudent.  Excess expenditure is prudent where it reasonably reflects the efficient costs of a business providing AMI service</w:t>
      </w:r>
      <w:r w:rsidR="00E21CDF">
        <w:t>s.</w:t>
      </w:r>
      <w:r w:rsidRPr="0030583E">
        <w:rPr>
          <w:rStyle w:val="FootnoteReference"/>
        </w:rPr>
        <w:footnoteReference w:id="6"/>
      </w:r>
      <w:r w:rsidRPr="0030583E">
        <w:rPr>
          <w:rStyle w:val="FootnoteReference"/>
        </w:rPr>
        <w:t xml:space="preserve"> </w:t>
      </w:r>
    </w:p>
    <w:p w:rsidR="008F6177" w:rsidRPr="008F6177" w:rsidRDefault="008F6177" w:rsidP="008F6177">
      <w:pPr>
        <w:pStyle w:val="Listalphabet"/>
        <w:numPr>
          <w:ilvl w:val="0"/>
          <w:numId w:val="0"/>
        </w:numPr>
      </w:pPr>
      <w:r w:rsidRPr="008F6177">
        <w:t xml:space="preserve">Our </w:t>
      </w:r>
      <w:r w:rsidR="001E1EA0">
        <w:t>final</w:t>
      </w:r>
      <w:r w:rsidRPr="008F6177">
        <w:t xml:space="preserve"> decisions for AusNet Services, Jemena and United Energy apply a true</w:t>
      </w:r>
      <w:r w:rsidR="00564792">
        <w:t>–</w:t>
      </w:r>
      <w:r w:rsidRPr="008F6177">
        <w:t>up between approved AMI costs an</w:t>
      </w:r>
      <w:r w:rsidR="00E21CDF">
        <w:t>d actual revenues over the 2009–</w:t>
      </w:r>
      <w:r w:rsidRPr="008F6177">
        <w:t xml:space="preserve">15 </w:t>
      </w:r>
      <w:proofErr w:type="gramStart"/>
      <w:r w:rsidRPr="008F6177">
        <w:t>period</w:t>
      </w:r>
      <w:proofErr w:type="gramEnd"/>
      <w:r w:rsidRPr="008F6177">
        <w:t xml:space="preserve">.  In addition, AusNet Services, Jemena and United Energy have sought expenditure excesses. We assessed this spending as it exceeds </w:t>
      </w:r>
      <w:proofErr w:type="gramStart"/>
      <w:r w:rsidRPr="008F6177">
        <w:t>the 2012–15 Approved Budget</w:t>
      </w:r>
      <w:proofErr w:type="gramEnd"/>
      <w:r w:rsidRPr="008F6177">
        <w:rPr>
          <w:rStyle w:val="FootnoteReference"/>
        </w:rPr>
        <w:footnoteReference w:id="7"/>
      </w:r>
      <w:r w:rsidRPr="008F6177">
        <w:t xml:space="preserve"> for each of those distributors.  We have approved recovery from consumers of that part of </w:t>
      </w:r>
      <w:r w:rsidR="00332E90">
        <w:t>the excess expenditure for 2014 and 20</w:t>
      </w:r>
      <w:r w:rsidRPr="008F6177">
        <w:t>15 which we determined to be prudent.</w:t>
      </w:r>
    </w:p>
    <w:p w:rsidR="008F6177" w:rsidRDefault="008F6177" w:rsidP="008F6177">
      <w:pPr>
        <w:pStyle w:val="Listalphabet"/>
        <w:numPr>
          <w:ilvl w:val="0"/>
          <w:numId w:val="0"/>
        </w:numPr>
      </w:pPr>
      <w:r w:rsidRPr="008F6177">
        <w:t xml:space="preserve">Not all of the Victorian electricity distributors sought the recovery of excess expenditure for 2014 and 2015 in their applications. </w:t>
      </w:r>
    </w:p>
    <w:p w:rsidR="008F6177" w:rsidRPr="0030583E" w:rsidRDefault="008F6177" w:rsidP="0030583E">
      <w:r>
        <w:t>CitiPower and Powercor spent less than their 2014 and 2015 approved costs and there is no excess expenditure to assess. Underspends by CitiPower and Powercor in 2014 and 2015 will result in savings being returned to customers through a negative transitio</w:t>
      </w:r>
      <w:r w:rsidR="00AC6B75">
        <w:t>n charge. Accordingly, for CitiP</w:t>
      </w:r>
      <w:r>
        <w:t xml:space="preserve">ower and Powercor, our </w:t>
      </w:r>
      <w:r w:rsidR="001E1EA0">
        <w:t>final</w:t>
      </w:r>
      <w:r>
        <w:t xml:space="preserve"> decisions only apply a true-up between approved AMI costs an</w:t>
      </w:r>
      <w:r w:rsidR="00332E90">
        <w:t>d actual revenues over the 2009–</w:t>
      </w:r>
      <w:r>
        <w:t xml:space="preserve">15 </w:t>
      </w:r>
      <w:proofErr w:type="gramStart"/>
      <w:r>
        <w:t>period</w:t>
      </w:r>
      <w:proofErr w:type="gramEnd"/>
      <w:r>
        <w:t>.</w:t>
      </w:r>
    </w:p>
    <w:p w:rsidR="00BD1ABB" w:rsidRDefault="00D620BD" w:rsidP="00173D96">
      <w:pPr>
        <w:pStyle w:val="HeadingBoldItalic"/>
      </w:pPr>
      <w:r>
        <w:t>When the charges will apply</w:t>
      </w:r>
    </w:p>
    <w:p w:rsidR="006C1347" w:rsidRDefault="00A4640E" w:rsidP="00ED5F00">
      <w:pPr>
        <w:pStyle w:val="AERbulletlistfirststyle"/>
        <w:numPr>
          <w:ilvl w:val="0"/>
          <w:numId w:val="0"/>
        </w:numPr>
      </w:pPr>
      <w:r>
        <w:t>T</w:t>
      </w:r>
      <w:r w:rsidR="006C1347">
        <w:t>he Order</w:t>
      </w:r>
      <w:r w:rsidR="006C1347" w:rsidRPr="006C1347">
        <w:t xml:space="preserve"> allow</w:t>
      </w:r>
      <w:r>
        <w:t>s</w:t>
      </w:r>
      <w:r w:rsidR="006C1347" w:rsidRPr="006C1347">
        <w:t xml:space="preserve"> us to apply the recovery of the transition charge in </w:t>
      </w:r>
      <w:r>
        <w:t xml:space="preserve">2017 and in </w:t>
      </w:r>
      <w:r w:rsidR="006C1347" w:rsidRPr="006C1347">
        <w:t>any subsequent years of the 2016–20</w:t>
      </w:r>
      <w:r w:rsidR="00332E90">
        <w:t>20</w:t>
      </w:r>
      <w:r w:rsidR="006C1347" w:rsidRPr="006C1347">
        <w:t xml:space="preserve"> regulatory control </w:t>
      </w:r>
      <w:proofErr w:type="gramStart"/>
      <w:r w:rsidR="006C1347" w:rsidRPr="006C1347">
        <w:t>period</w:t>
      </w:r>
      <w:proofErr w:type="gramEnd"/>
      <w:r w:rsidR="006C1347" w:rsidRPr="006C1347">
        <w:t>.</w:t>
      </w:r>
      <w:r w:rsidR="006C1347" w:rsidRPr="006C1347">
        <w:rPr>
          <w:rStyle w:val="FootnoteReference"/>
        </w:rPr>
        <w:footnoteReference w:id="8"/>
      </w:r>
    </w:p>
    <w:p w:rsidR="002E17F4" w:rsidRDefault="005029E0" w:rsidP="00ED5F00">
      <w:pPr>
        <w:pStyle w:val="AERbulletlistfirststyle"/>
        <w:numPr>
          <w:ilvl w:val="0"/>
          <w:numId w:val="0"/>
        </w:numPr>
      </w:pPr>
      <w:r>
        <w:t xml:space="preserve">Our </w:t>
      </w:r>
      <w:r w:rsidR="001E1EA0">
        <w:t>final</w:t>
      </w:r>
      <w:r>
        <w:t xml:space="preserve"> decision is </w:t>
      </w:r>
      <w:r w:rsidR="00336568">
        <w:t>that the</w:t>
      </w:r>
      <w:r>
        <w:t xml:space="preserve"> </w:t>
      </w:r>
      <w:proofErr w:type="gramStart"/>
      <w:r>
        <w:t>transition charges</w:t>
      </w:r>
      <w:r w:rsidR="00336568">
        <w:t xml:space="preserve"> we approve will not be applied by the Victorian electricity distributors</w:t>
      </w:r>
      <w:proofErr w:type="gramEnd"/>
      <w:r w:rsidR="00336568">
        <w:t xml:space="preserve"> in 2017. Instead, they will take effect in 2018</w:t>
      </w:r>
      <w:r w:rsidR="002E17F4">
        <w:t xml:space="preserve"> for CitiPower, Powercor and United Energy</w:t>
      </w:r>
      <w:r w:rsidR="00336568">
        <w:t>.</w:t>
      </w:r>
      <w:r w:rsidR="002E17F4">
        <w:rPr>
          <w:rStyle w:val="FootnoteReference"/>
        </w:rPr>
        <w:footnoteReference w:id="9"/>
      </w:r>
      <w:r w:rsidR="00741D7D">
        <w:t xml:space="preserve"> </w:t>
      </w:r>
      <w:r w:rsidR="00D620BD">
        <w:t>For AusNet Services and Jemena, we accept</w:t>
      </w:r>
      <w:r w:rsidR="002E17F4">
        <w:t xml:space="preserve"> their proposals to smooth the revenue adjustment over multiple years from 2018 to 2020. </w:t>
      </w:r>
      <w:r w:rsidR="00D620BD">
        <w:t>Our final decision approves larger revenue adjustments for AusNet Services and Jemena so smoothing their transition charges will</w:t>
      </w:r>
      <w:r w:rsidR="002E17F4">
        <w:t xml:space="preserve"> </w:t>
      </w:r>
      <w:r w:rsidR="00D620BD">
        <w:t xml:space="preserve">minimise </w:t>
      </w:r>
      <w:r w:rsidR="002E17F4">
        <w:t>price volatility</w:t>
      </w:r>
      <w:r w:rsidR="00D620BD">
        <w:t xml:space="preserve"> for customers. </w:t>
      </w:r>
      <w:r w:rsidR="00211152">
        <w:t>Since we will adjust for time value of money, applying the transition charge in 2018 or over multiple years will not lead to customers being any better or worse off by the charges being applied in that year or years.</w:t>
      </w:r>
    </w:p>
    <w:p w:rsidR="00E13CF0" w:rsidRDefault="00192798" w:rsidP="00ED5F00">
      <w:pPr>
        <w:pStyle w:val="AERbulletlistfirststyle"/>
        <w:numPr>
          <w:ilvl w:val="0"/>
          <w:numId w:val="0"/>
        </w:numPr>
      </w:pPr>
      <w:r>
        <w:fldChar w:fldCharType="begin"/>
      </w:r>
      <w:r>
        <w:instrText xml:space="preserve"> REF _Ref452653682 \h </w:instrText>
      </w:r>
      <w:r>
        <w:fldChar w:fldCharType="separate"/>
      </w:r>
      <w:r w:rsidR="0032238B">
        <w:t xml:space="preserve">Table </w:t>
      </w:r>
      <w:r w:rsidR="0032238B">
        <w:rPr>
          <w:noProof/>
        </w:rPr>
        <w:t>1</w:t>
      </w:r>
      <w:r w:rsidR="0032238B">
        <w:t>.</w:t>
      </w:r>
      <w:r w:rsidR="0032238B">
        <w:rPr>
          <w:noProof/>
        </w:rPr>
        <w:t>1</w:t>
      </w:r>
      <w:r>
        <w:fldChar w:fldCharType="end"/>
      </w:r>
      <w:r>
        <w:t xml:space="preserve"> sets out our </w:t>
      </w:r>
      <w:r w:rsidR="000331AB">
        <w:t>f</w:t>
      </w:r>
      <w:r w:rsidR="001E1EA0">
        <w:t>inal</w:t>
      </w:r>
      <w:r>
        <w:t xml:space="preserve"> decision. It shows the expenditure adjustment</w:t>
      </w:r>
      <w:r w:rsidR="00CF2AE9">
        <w:t xml:space="preserve"> ($million 2018</w:t>
      </w:r>
      <w:r w:rsidR="007E0434">
        <w:t>)</w:t>
      </w:r>
      <w:r>
        <w:t xml:space="preserve"> we have determined as a result of our assessment of each</w:t>
      </w:r>
      <w:r w:rsidR="007E0434">
        <w:t xml:space="preserve"> Victorian electricity</w:t>
      </w:r>
      <w:r>
        <w:t xml:space="preserve"> distributors' approved costs and actual AMI revenues over the 2009–15 period. </w:t>
      </w:r>
      <w:r w:rsidR="002E17F4" w:rsidRPr="002E17F4">
        <w:rPr>
          <w:rStyle w:val="AERbody"/>
        </w:rPr>
        <w:fldChar w:fldCharType="begin"/>
      </w:r>
      <w:r w:rsidR="002E17F4" w:rsidRPr="002E17F4">
        <w:rPr>
          <w:rStyle w:val="AERbody"/>
        </w:rPr>
        <w:instrText xml:space="preserve"> REF _Ref461282590 \h </w:instrText>
      </w:r>
      <w:r w:rsidR="002E17F4" w:rsidRPr="002E17F4">
        <w:rPr>
          <w:rStyle w:val="AERbody"/>
        </w:rPr>
      </w:r>
      <w:r w:rsidR="002E17F4" w:rsidRPr="002E17F4">
        <w:rPr>
          <w:rStyle w:val="AERbody"/>
        </w:rPr>
        <w:fldChar w:fldCharType="separate"/>
      </w:r>
      <w:r w:rsidR="0032238B">
        <w:t xml:space="preserve">Table </w:t>
      </w:r>
      <w:r w:rsidR="0032238B">
        <w:rPr>
          <w:noProof/>
        </w:rPr>
        <w:t>1</w:t>
      </w:r>
      <w:r w:rsidR="0032238B">
        <w:t>.</w:t>
      </w:r>
      <w:r w:rsidR="0032238B">
        <w:rPr>
          <w:noProof/>
        </w:rPr>
        <w:t>2</w:t>
      </w:r>
      <w:r w:rsidR="002E17F4" w:rsidRPr="002E17F4">
        <w:rPr>
          <w:rStyle w:val="AERbody"/>
        </w:rPr>
        <w:fldChar w:fldCharType="end"/>
      </w:r>
      <w:r w:rsidR="002E17F4" w:rsidRPr="002E17F4">
        <w:rPr>
          <w:rStyle w:val="AERbody"/>
        </w:rPr>
        <w:t xml:space="preserve"> sets out our estimate of the price path for alternative metering services for each Victorian distributor in the current 2016–20</w:t>
      </w:r>
      <w:r w:rsidR="00157A24">
        <w:rPr>
          <w:rStyle w:val="AERbody"/>
        </w:rPr>
        <w:t>20</w:t>
      </w:r>
      <w:r w:rsidR="002E17F4" w:rsidRPr="002E17F4">
        <w:rPr>
          <w:rStyle w:val="AERbody"/>
        </w:rPr>
        <w:t xml:space="preserve"> regulatory control period.</w:t>
      </w:r>
      <w:r w:rsidR="00D620BD">
        <w:rPr>
          <w:rStyle w:val="AERbody"/>
        </w:rPr>
        <w:t xml:space="preserve"> The price paths </w:t>
      </w:r>
      <w:r w:rsidR="00224D4F">
        <w:rPr>
          <w:rStyle w:val="AERbody"/>
        </w:rPr>
        <w:t>shown</w:t>
      </w:r>
      <w:r w:rsidR="00D620BD">
        <w:rPr>
          <w:rStyle w:val="AERbody"/>
        </w:rPr>
        <w:t xml:space="preserve"> incorporate our final decision to apply the transition charge in </w:t>
      </w:r>
      <w:r w:rsidR="00480A96">
        <w:rPr>
          <w:rStyle w:val="AERbody"/>
        </w:rPr>
        <w:t xml:space="preserve">a </w:t>
      </w:r>
      <w:r w:rsidR="00D620BD">
        <w:rPr>
          <w:rStyle w:val="AERbody"/>
        </w:rPr>
        <w:t xml:space="preserve">single year (2018) for CitiPower, Powercor and United Energy but smooth the revenue adjustment over multiple years (2018 to 2020) for AusNet Services and Jemena. </w:t>
      </w:r>
    </w:p>
    <w:p w:rsidR="00F102B6" w:rsidRDefault="00F102B6" w:rsidP="00F102B6">
      <w:pPr>
        <w:pStyle w:val="Caption"/>
      </w:pPr>
      <w:bookmarkStart w:id="10" w:name="_Ref452653682"/>
      <w:proofErr w:type="gramStart"/>
      <w:r>
        <w:t xml:space="preserve">Table </w:t>
      </w:r>
      <w:fldSimple w:instr=" STYLEREF 1 \s ">
        <w:r w:rsidR="0032238B">
          <w:rPr>
            <w:noProof/>
          </w:rPr>
          <w:t>1</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1</w:t>
      </w:r>
      <w:r w:rsidR="005812E9">
        <w:rPr>
          <w:noProof/>
        </w:rPr>
        <w:fldChar w:fldCharType="end"/>
      </w:r>
      <w:bookmarkEnd w:id="10"/>
      <w:r>
        <w:tab/>
      </w:r>
      <w:r w:rsidR="001E1EA0">
        <w:t>Final</w:t>
      </w:r>
      <w:r>
        <w:t xml:space="preserve"> d</w:t>
      </w:r>
      <w:r w:rsidR="00192798">
        <w:t xml:space="preserve">ecision </w:t>
      </w:r>
      <w:r w:rsidR="00332E90">
        <w:t>on transition</w:t>
      </w:r>
      <w:r w:rsidR="00F11613">
        <w:t xml:space="preserve"> charge</w:t>
      </w:r>
      <w:r w:rsidR="0012448F">
        <w:t xml:space="preserve"> ($2018)</w:t>
      </w:r>
    </w:p>
    <w:tbl>
      <w:tblPr>
        <w:tblStyle w:val="AERtable-numbers"/>
        <w:tblW w:w="0" w:type="auto"/>
        <w:tblLook w:val="04A0" w:firstRow="1" w:lastRow="0" w:firstColumn="1" w:lastColumn="0" w:noHBand="0" w:noVBand="1"/>
      </w:tblPr>
      <w:tblGrid>
        <w:gridCol w:w="2897"/>
        <w:gridCol w:w="2898"/>
        <w:gridCol w:w="2898"/>
      </w:tblGrid>
      <w:tr w:rsidR="000B6029" w:rsidTr="000B6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0B6029" w:rsidRDefault="000B6029" w:rsidP="000B6029"/>
        </w:tc>
        <w:tc>
          <w:tcPr>
            <w:tcW w:w="2898" w:type="dxa"/>
          </w:tcPr>
          <w:p w:rsidR="000B6029" w:rsidRDefault="00332E90" w:rsidP="000B6029">
            <w:pPr>
              <w:cnfStyle w:val="100000000000" w:firstRow="1" w:lastRow="0" w:firstColumn="0" w:lastColumn="0" w:oddVBand="0" w:evenVBand="0" w:oddHBand="0" w:evenHBand="0" w:firstRowFirstColumn="0" w:firstRowLastColumn="0" w:lastRowFirstColumn="0" w:lastRowLastColumn="0"/>
            </w:pPr>
            <w:r>
              <w:t>Transition</w:t>
            </w:r>
            <w:r w:rsidR="000B6029">
              <w:t xml:space="preserve"> charge revenue adjustmen</w:t>
            </w:r>
            <w:r w:rsidR="002C30C6">
              <w:t>t</w:t>
            </w:r>
          </w:p>
        </w:tc>
        <w:tc>
          <w:tcPr>
            <w:tcW w:w="2898" w:type="dxa"/>
          </w:tcPr>
          <w:p w:rsidR="000B6029" w:rsidRDefault="002E17F4" w:rsidP="000B6029">
            <w:pPr>
              <w:cnfStyle w:val="100000000000" w:firstRow="1" w:lastRow="0" w:firstColumn="0" w:lastColumn="0" w:oddVBand="0" w:evenVBand="0" w:oddHBand="0" w:evenHBand="0" w:firstRowFirstColumn="0" w:firstRowLastColumn="0" w:lastRowFirstColumn="0" w:lastRowLastColumn="0"/>
            </w:pPr>
            <w:r>
              <w:t>Total e</w:t>
            </w:r>
            <w:r w:rsidR="000B6029">
              <w:t>stimated bill impact</w:t>
            </w:r>
          </w:p>
        </w:tc>
      </w:tr>
      <w:tr w:rsidR="00B03E41" w:rsidTr="000A333B">
        <w:tc>
          <w:tcPr>
            <w:cnfStyle w:val="001000000000" w:firstRow="0" w:lastRow="0" w:firstColumn="1" w:lastColumn="0" w:oddVBand="0" w:evenVBand="0" w:oddHBand="0" w:evenHBand="0" w:firstRowFirstColumn="0" w:firstRowLastColumn="0" w:lastRowFirstColumn="0" w:lastRowLastColumn="0"/>
            <w:tcW w:w="2897" w:type="dxa"/>
          </w:tcPr>
          <w:p w:rsidR="00B03E41" w:rsidRPr="00B03E41" w:rsidRDefault="00B03E41" w:rsidP="00B03E41">
            <w:r w:rsidRPr="00B03E41">
              <w:t>AusNet Services</w:t>
            </w:r>
          </w:p>
        </w:tc>
        <w:tc>
          <w:tcPr>
            <w:tcW w:w="2898" w:type="dxa"/>
          </w:tcPr>
          <w:p w:rsidR="00B03E41" w:rsidRPr="00B03E41" w:rsidRDefault="00A95A55" w:rsidP="006D4FD9">
            <w:pPr>
              <w:cnfStyle w:val="000000000000" w:firstRow="0" w:lastRow="0" w:firstColumn="0" w:lastColumn="0" w:oddVBand="0" w:evenVBand="0" w:oddHBand="0" w:evenHBand="0" w:firstRowFirstColumn="0" w:firstRowLastColumn="0" w:lastRowFirstColumn="0" w:lastRowLastColumn="0"/>
            </w:pPr>
            <w:r>
              <w:t>(52 651 730</w:t>
            </w:r>
            <w:r w:rsidR="00855B97">
              <w:t>)</w:t>
            </w:r>
          </w:p>
        </w:tc>
        <w:tc>
          <w:tcPr>
            <w:tcW w:w="2898" w:type="dxa"/>
            <w:vAlign w:val="bottom"/>
          </w:tcPr>
          <w:p w:rsidR="00B03E41" w:rsidRPr="00B03E41" w:rsidRDefault="007C1D24" w:rsidP="006D4FD9">
            <w:pPr>
              <w:cnfStyle w:val="000000000000" w:firstRow="0" w:lastRow="0" w:firstColumn="0" w:lastColumn="0" w:oddVBand="0" w:evenVBand="0" w:oddHBand="0" w:evenHBand="0" w:firstRowFirstColumn="0" w:firstRowLastColumn="0" w:lastRowFirstColumn="0" w:lastRowLastColumn="0"/>
            </w:pPr>
            <w:r>
              <w:t>70.52</w:t>
            </w:r>
          </w:p>
        </w:tc>
      </w:tr>
      <w:tr w:rsidR="00B03E41" w:rsidTr="000A33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B03E41" w:rsidRPr="00B03E41" w:rsidRDefault="00B03E41" w:rsidP="00B03E41">
            <w:r w:rsidRPr="00B03E41">
              <w:t>CitiPower</w:t>
            </w:r>
          </w:p>
        </w:tc>
        <w:tc>
          <w:tcPr>
            <w:tcW w:w="2898" w:type="dxa"/>
          </w:tcPr>
          <w:p w:rsidR="00B03E41" w:rsidRPr="00B03E41" w:rsidRDefault="00665486" w:rsidP="00B03E41">
            <w:pPr>
              <w:cnfStyle w:val="000000010000" w:firstRow="0" w:lastRow="0" w:firstColumn="0" w:lastColumn="0" w:oddVBand="0" w:evenVBand="0" w:oddHBand="0" w:evenHBand="1" w:firstRowFirstColumn="0" w:firstRowLastColumn="0" w:lastRowFirstColumn="0" w:lastRowLastColumn="0"/>
            </w:pPr>
            <w:r>
              <w:t>(1 815 012</w:t>
            </w:r>
            <w:r w:rsidR="00855B97">
              <w:t>)</w:t>
            </w:r>
          </w:p>
        </w:tc>
        <w:tc>
          <w:tcPr>
            <w:tcW w:w="2898" w:type="dxa"/>
            <w:vAlign w:val="bottom"/>
          </w:tcPr>
          <w:p w:rsidR="00B03E41" w:rsidRPr="00B03E41" w:rsidRDefault="00855B97" w:rsidP="00B03E41">
            <w:pPr>
              <w:cnfStyle w:val="000000010000" w:firstRow="0" w:lastRow="0" w:firstColumn="0" w:lastColumn="0" w:oddVBand="0" w:evenVBand="0" w:oddHBand="0" w:evenHBand="1" w:firstRowFirstColumn="0" w:firstRowLastColumn="0" w:lastRowFirstColumn="0" w:lastRowLastColumn="0"/>
            </w:pPr>
            <w:r>
              <w:t>5.</w:t>
            </w:r>
            <w:r w:rsidR="007C1D24">
              <w:t>59</w:t>
            </w:r>
          </w:p>
        </w:tc>
      </w:tr>
      <w:tr w:rsidR="00B03E41" w:rsidTr="000A333B">
        <w:tc>
          <w:tcPr>
            <w:cnfStyle w:val="001000000000" w:firstRow="0" w:lastRow="0" w:firstColumn="1" w:lastColumn="0" w:oddVBand="0" w:evenVBand="0" w:oddHBand="0" w:evenHBand="0" w:firstRowFirstColumn="0" w:firstRowLastColumn="0" w:lastRowFirstColumn="0" w:lastRowLastColumn="0"/>
            <w:tcW w:w="2897" w:type="dxa"/>
          </w:tcPr>
          <w:p w:rsidR="00B03E41" w:rsidRPr="00B03E41" w:rsidRDefault="00B03E41" w:rsidP="00B03E41">
            <w:r w:rsidRPr="00B03E41">
              <w:t>Jemena</w:t>
            </w:r>
          </w:p>
        </w:tc>
        <w:tc>
          <w:tcPr>
            <w:tcW w:w="2898" w:type="dxa"/>
          </w:tcPr>
          <w:p w:rsidR="00B03E41" w:rsidRPr="00B03E41" w:rsidRDefault="00665486" w:rsidP="006D4FD9">
            <w:pPr>
              <w:cnfStyle w:val="000000000000" w:firstRow="0" w:lastRow="0" w:firstColumn="0" w:lastColumn="0" w:oddVBand="0" w:evenVBand="0" w:oddHBand="0" w:evenHBand="0" w:firstRowFirstColumn="0" w:firstRowLastColumn="0" w:lastRowFirstColumn="0" w:lastRowLastColumn="0"/>
            </w:pPr>
            <w:r>
              <w:t>(7 668 588</w:t>
            </w:r>
            <w:r w:rsidR="00855B97">
              <w:t>)</w:t>
            </w:r>
          </w:p>
        </w:tc>
        <w:tc>
          <w:tcPr>
            <w:tcW w:w="2898" w:type="dxa"/>
            <w:vAlign w:val="bottom"/>
          </w:tcPr>
          <w:p w:rsidR="00B03E41" w:rsidRPr="00B03E41" w:rsidRDefault="00855B97" w:rsidP="006D4FD9">
            <w:pPr>
              <w:cnfStyle w:val="000000000000" w:firstRow="0" w:lastRow="0" w:firstColumn="0" w:lastColumn="0" w:oddVBand="0" w:evenVBand="0" w:oddHBand="0" w:evenHBand="0" w:firstRowFirstColumn="0" w:firstRowLastColumn="0" w:lastRowFirstColumn="0" w:lastRowLastColumn="0"/>
            </w:pPr>
            <w:r>
              <w:t>22.5</w:t>
            </w:r>
            <w:r w:rsidR="007C1D24">
              <w:t>3</w:t>
            </w:r>
          </w:p>
        </w:tc>
      </w:tr>
      <w:tr w:rsidR="00B03E41" w:rsidTr="000A33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B03E41" w:rsidRPr="00B03E41" w:rsidRDefault="00B03E41" w:rsidP="00B03E41">
            <w:r w:rsidRPr="00B03E41">
              <w:t>Powercor</w:t>
            </w:r>
          </w:p>
        </w:tc>
        <w:tc>
          <w:tcPr>
            <w:tcW w:w="2898" w:type="dxa"/>
          </w:tcPr>
          <w:p w:rsidR="00B03E41" w:rsidRPr="00B03E41" w:rsidRDefault="00665486" w:rsidP="00B03E41">
            <w:pPr>
              <w:cnfStyle w:val="000000010000" w:firstRow="0" w:lastRow="0" w:firstColumn="0" w:lastColumn="0" w:oddVBand="0" w:evenVBand="0" w:oddHBand="0" w:evenHBand="1" w:firstRowFirstColumn="0" w:firstRowLastColumn="0" w:lastRowFirstColumn="0" w:lastRowLastColumn="0"/>
            </w:pPr>
            <w:r>
              <w:t>(9 756 256</w:t>
            </w:r>
            <w:r w:rsidR="00855B97">
              <w:t>)</w:t>
            </w:r>
          </w:p>
        </w:tc>
        <w:tc>
          <w:tcPr>
            <w:tcW w:w="2898" w:type="dxa"/>
            <w:vAlign w:val="bottom"/>
          </w:tcPr>
          <w:p w:rsidR="00B03E41" w:rsidRPr="00B03E41" w:rsidRDefault="00855B97" w:rsidP="00B03E41">
            <w:pPr>
              <w:cnfStyle w:val="000000010000" w:firstRow="0" w:lastRow="0" w:firstColumn="0" w:lastColumn="0" w:oddVBand="0" w:evenVBand="0" w:oddHBand="0" w:evenHBand="1" w:firstRowFirstColumn="0" w:firstRowLastColumn="0" w:lastRowFirstColumn="0" w:lastRowLastColumn="0"/>
            </w:pPr>
            <w:r>
              <w:t>12.1</w:t>
            </w:r>
            <w:r w:rsidR="007C1D24">
              <w:t>3</w:t>
            </w:r>
          </w:p>
        </w:tc>
      </w:tr>
      <w:tr w:rsidR="00B03E41" w:rsidTr="000A333B">
        <w:tc>
          <w:tcPr>
            <w:cnfStyle w:val="001000000000" w:firstRow="0" w:lastRow="0" w:firstColumn="1" w:lastColumn="0" w:oddVBand="0" w:evenVBand="0" w:oddHBand="0" w:evenHBand="0" w:firstRowFirstColumn="0" w:firstRowLastColumn="0" w:lastRowFirstColumn="0" w:lastRowLastColumn="0"/>
            <w:tcW w:w="2897" w:type="dxa"/>
          </w:tcPr>
          <w:p w:rsidR="00B03E41" w:rsidRPr="00B03E41" w:rsidRDefault="00B03E41" w:rsidP="00B03E41">
            <w:r w:rsidRPr="00B03E41">
              <w:t>United Energy</w:t>
            </w:r>
          </w:p>
        </w:tc>
        <w:tc>
          <w:tcPr>
            <w:tcW w:w="2898" w:type="dxa"/>
          </w:tcPr>
          <w:p w:rsidR="00B03E41" w:rsidRPr="00B03E41" w:rsidRDefault="00665486" w:rsidP="00855B97">
            <w:pPr>
              <w:cnfStyle w:val="000000000000" w:firstRow="0" w:lastRow="0" w:firstColumn="0" w:lastColumn="0" w:oddVBand="0" w:evenVBand="0" w:oddHBand="0" w:evenHBand="0" w:firstRowFirstColumn="0" w:firstRowLastColumn="0" w:lastRowFirstColumn="0" w:lastRowLastColumn="0"/>
            </w:pPr>
            <w:r>
              <w:t>(3 863 122</w:t>
            </w:r>
            <w:r w:rsidR="00855B97">
              <w:t>)</w:t>
            </w:r>
          </w:p>
        </w:tc>
        <w:tc>
          <w:tcPr>
            <w:tcW w:w="2898" w:type="dxa"/>
            <w:vAlign w:val="bottom"/>
          </w:tcPr>
          <w:p w:rsidR="00B03E41" w:rsidRPr="00B03E41" w:rsidRDefault="00855B97" w:rsidP="00B03E41">
            <w:pPr>
              <w:cnfStyle w:val="000000000000" w:firstRow="0" w:lastRow="0" w:firstColumn="0" w:lastColumn="0" w:oddVBand="0" w:evenVBand="0" w:oddHBand="0" w:evenHBand="0" w:firstRowFirstColumn="0" w:firstRowLastColumn="0" w:lastRowFirstColumn="0" w:lastRowLastColumn="0"/>
            </w:pPr>
            <w:r>
              <w:t>5.63</w:t>
            </w:r>
          </w:p>
        </w:tc>
      </w:tr>
    </w:tbl>
    <w:p w:rsidR="00ED6277" w:rsidRDefault="00114942" w:rsidP="000B6029">
      <w:pPr>
        <w:pStyle w:val="AERtablesource"/>
        <w:ind w:left="0" w:firstLine="0"/>
      </w:pPr>
      <w:r>
        <w:t>Source:</w:t>
      </w:r>
      <w:r>
        <w:tab/>
        <w:t>AER analysis.</w:t>
      </w:r>
    </w:p>
    <w:p w:rsidR="008F6177" w:rsidRDefault="008F6177" w:rsidP="008F6177">
      <w:pPr>
        <w:pStyle w:val="Caption"/>
      </w:pPr>
      <w:bookmarkStart w:id="11" w:name="_Ref461282590"/>
      <w:proofErr w:type="gramStart"/>
      <w:r>
        <w:t xml:space="preserve">Table </w:t>
      </w:r>
      <w:fldSimple w:instr=" STYLEREF 1 \s ">
        <w:r w:rsidR="0032238B">
          <w:rPr>
            <w:noProof/>
          </w:rPr>
          <w:t>1</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2</w:t>
      </w:r>
      <w:r w:rsidR="005812E9">
        <w:rPr>
          <w:noProof/>
        </w:rPr>
        <w:fldChar w:fldCharType="end"/>
      </w:r>
      <w:bookmarkEnd w:id="11"/>
      <w:r>
        <w:tab/>
      </w:r>
      <w:r w:rsidR="006D4FD9">
        <w:t>Indicative average annual</w:t>
      </w:r>
      <w:r>
        <w:t xml:space="preserve"> meter</w:t>
      </w:r>
      <w:r w:rsidR="006D4FD9">
        <w:t>ing</w:t>
      </w:r>
      <w:r>
        <w:t xml:space="preserve"> bill in Victoria ($ 2018)</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8F6177" w:rsidTr="00040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8F6177" w:rsidRDefault="008F6177" w:rsidP="008F6177"/>
        </w:tc>
        <w:tc>
          <w:tcPr>
            <w:tcW w:w="1449" w:type="dxa"/>
          </w:tcPr>
          <w:p w:rsidR="008F6177" w:rsidRPr="008F6177" w:rsidRDefault="008F6177" w:rsidP="008F6177">
            <w:pPr>
              <w:cnfStyle w:val="100000000000" w:firstRow="1" w:lastRow="0" w:firstColumn="0" w:lastColumn="0" w:oddVBand="0" w:evenVBand="0" w:oddHBand="0" w:evenHBand="0" w:firstRowFirstColumn="0" w:firstRowLastColumn="0" w:lastRowFirstColumn="0" w:lastRowLastColumn="0"/>
            </w:pPr>
            <w:r>
              <w:t>2016</w:t>
            </w:r>
          </w:p>
        </w:tc>
        <w:tc>
          <w:tcPr>
            <w:tcW w:w="1449" w:type="dxa"/>
          </w:tcPr>
          <w:p w:rsidR="008F6177" w:rsidRPr="008F6177" w:rsidRDefault="008F6177" w:rsidP="008F6177">
            <w:pPr>
              <w:cnfStyle w:val="100000000000" w:firstRow="1" w:lastRow="0" w:firstColumn="0" w:lastColumn="0" w:oddVBand="0" w:evenVBand="0" w:oddHBand="0" w:evenHBand="0" w:firstRowFirstColumn="0" w:firstRowLastColumn="0" w:lastRowFirstColumn="0" w:lastRowLastColumn="0"/>
            </w:pPr>
            <w:r>
              <w:t>2017</w:t>
            </w:r>
          </w:p>
        </w:tc>
        <w:tc>
          <w:tcPr>
            <w:tcW w:w="1449" w:type="dxa"/>
          </w:tcPr>
          <w:p w:rsidR="008F6177" w:rsidRPr="008F6177" w:rsidRDefault="008F6177" w:rsidP="008F6177">
            <w:pPr>
              <w:cnfStyle w:val="100000000000" w:firstRow="1" w:lastRow="0" w:firstColumn="0" w:lastColumn="0" w:oddVBand="0" w:evenVBand="0" w:oddHBand="0" w:evenHBand="0" w:firstRowFirstColumn="0" w:firstRowLastColumn="0" w:lastRowFirstColumn="0" w:lastRowLastColumn="0"/>
            </w:pPr>
            <w:r>
              <w:t>2018</w:t>
            </w:r>
          </w:p>
        </w:tc>
        <w:tc>
          <w:tcPr>
            <w:tcW w:w="1449" w:type="dxa"/>
          </w:tcPr>
          <w:p w:rsidR="008F6177" w:rsidRPr="008F6177" w:rsidRDefault="008F6177" w:rsidP="008F6177">
            <w:pPr>
              <w:cnfStyle w:val="100000000000" w:firstRow="1" w:lastRow="0" w:firstColumn="0" w:lastColumn="0" w:oddVBand="0" w:evenVBand="0" w:oddHBand="0" w:evenHBand="0" w:firstRowFirstColumn="0" w:firstRowLastColumn="0" w:lastRowFirstColumn="0" w:lastRowLastColumn="0"/>
            </w:pPr>
            <w:r>
              <w:t>2019</w:t>
            </w:r>
          </w:p>
        </w:tc>
        <w:tc>
          <w:tcPr>
            <w:tcW w:w="1449" w:type="dxa"/>
          </w:tcPr>
          <w:p w:rsidR="008F6177" w:rsidRPr="008F6177" w:rsidRDefault="008F6177" w:rsidP="008F6177">
            <w:pPr>
              <w:cnfStyle w:val="100000000000" w:firstRow="1" w:lastRow="0" w:firstColumn="0" w:lastColumn="0" w:oddVBand="0" w:evenVBand="0" w:oddHBand="0" w:evenHBand="0" w:firstRowFirstColumn="0" w:firstRowLastColumn="0" w:lastRowFirstColumn="0" w:lastRowLastColumn="0"/>
            </w:pPr>
            <w:r>
              <w:t>2020</w:t>
            </w:r>
          </w:p>
        </w:tc>
      </w:tr>
      <w:tr w:rsidR="00665486" w:rsidTr="00040612">
        <w:tc>
          <w:tcPr>
            <w:cnfStyle w:val="001000000000" w:firstRow="0" w:lastRow="0" w:firstColumn="1" w:lastColumn="0" w:oddVBand="0" w:evenVBand="0" w:oddHBand="0" w:evenHBand="0" w:firstRowFirstColumn="0" w:firstRowLastColumn="0" w:lastRowFirstColumn="0" w:lastRowLastColumn="0"/>
            <w:tcW w:w="1448" w:type="dxa"/>
          </w:tcPr>
          <w:p w:rsidR="00665486" w:rsidRPr="00665486" w:rsidRDefault="00665486" w:rsidP="00665486">
            <w:r w:rsidRPr="00665486">
              <w:t>AusNet Services</w:t>
            </w:r>
          </w:p>
        </w:tc>
        <w:tc>
          <w:tcPr>
            <w:tcW w:w="1449" w:type="dxa"/>
            <w:vAlign w:val="bottom"/>
          </w:tcPr>
          <w:p w:rsidR="00665486" w:rsidRPr="00665486" w:rsidRDefault="00665486" w:rsidP="00665486">
            <w:pPr>
              <w:cnfStyle w:val="000000000000" w:firstRow="0" w:lastRow="0" w:firstColumn="0" w:lastColumn="0" w:oddVBand="0" w:evenVBand="0" w:oddHBand="0" w:evenHBand="0" w:firstRowFirstColumn="0" w:firstRowLastColumn="0" w:lastRowFirstColumn="0" w:lastRowLastColumn="0"/>
            </w:pPr>
            <w:r w:rsidRPr="00665486">
              <w:t>130.19</w:t>
            </w:r>
          </w:p>
        </w:tc>
        <w:tc>
          <w:tcPr>
            <w:tcW w:w="1449" w:type="dxa"/>
            <w:vAlign w:val="bottom"/>
          </w:tcPr>
          <w:p w:rsidR="00665486" w:rsidRPr="00665486" w:rsidRDefault="00665486" w:rsidP="00665486">
            <w:pPr>
              <w:cnfStyle w:val="000000000000" w:firstRow="0" w:lastRow="0" w:firstColumn="0" w:lastColumn="0" w:oddVBand="0" w:evenVBand="0" w:oddHBand="0" w:evenHBand="0" w:firstRowFirstColumn="0" w:firstRowLastColumn="0" w:lastRowFirstColumn="0" w:lastRowLastColumn="0"/>
            </w:pPr>
            <w:r w:rsidRPr="00665486">
              <w:t>127.31</w:t>
            </w:r>
          </w:p>
        </w:tc>
        <w:tc>
          <w:tcPr>
            <w:tcW w:w="1449" w:type="dxa"/>
            <w:vAlign w:val="bottom"/>
          </w:tcPr>
          <w:p w:rsidR="00665486" w:rsidRPr="00665486" w:rsidRDefault="00665486" w:rsidP="00665486">
            <w:pPr>
              <w:cnfStyle w:val="000000000000" w:firstRow="0" w:lastRow="0" w:firstColumn="0" w:lastColumn="0" w:oddVBand="0" w:evenVBand="0" w:oddHBand="0" w:evenHBand="0" w:firstRowFirstColumn="0" w:firstRowLastColumn="0" w:lastRowFirstColumn="0" w:lastRowLastColumn="0"/>
            </w:pPr>
            <w:r w:rsidRPr="00665486">
              <w:t>82.59</w:t>
            </w:r>
          </w:p>
        </w:tc>
        <w:tc>
          <w:tcPr>
            <w:tcW w:w="1449" w:type="dxa"/>
            <w:vAlign w:val="bottom"/>
          </w:tcPr>
          <w:p w:rsidR="00665486" w:rsidRPr="00665486" w:rsidRDefault="00665486" w:rsidP="00665486">
            <w:pPr>
              <w:cnfStyle w:val="000000000000" w:firstRow="0" w:lastRow="0" w:firstColumn="0" w:lastColumn="0" w:oddVBand="0" w:evenVBand="0" w:oddHBand="0" w:evenHBand="0" w:firstRowFirstColumn="0" w:firstRowLastColumn="0" w:lastRowFirstColumn="0" w:lastRowLastColumn="0"/>
            </w:pPr>
            <w:r w:rsidRPr="00665486">
              <w:t>64.20</w:t>
            </w:r>
          </w:p>
        </w:tc>
        <w:tc>
          <w:tcPr>
            <w:tcW w:w="1449" w:type="dxa"/>
            <w:vAlign w:val="bottom"/>
          </w:tcPr>
          <w:p w:rsidR="00665486" w:rsidRPr="00665486" w:rsidRDefault="00665486" w:rsidP="00665486">
            <w:pPr>
              <w:cnfStyle w:val="000000000000" w:firstRow="0" w:lastRow="0" w:firstColumn="0" w:lastColumn="0" w:oddVBand="0" w:evenVBand="0" w:oddHBand="0" w:evenHBand="0" w:firstRowFirstColumn="0" w:firstRowLastColumn="0" w:lastRowFirstColumn="0" w:lastRowLastColumn="0"/>
            </w:pPr>
            <w:r w:rsidRPr="00665486">
              <w:t>48.68</w:t>
            </w:r>
          </w:p>
        </w:tc>
      </w:tr>
      <w:tr w:rsidR="00665486" w:rsidTr="00040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665486" w:rsidRPr="00665486" w:rsidRDefault="00665486" w:rsidP="00665486">
            <w:r w:rsidRPr="00665486">
              <w:t>CitiPower</w:t>
            </w:r>
          </w:p>
        </w:tc>
        <w:tc>
          <w:tcPr>
            <w:tcW w:w="1449" w:type="dxa"/>
            <w:vAlign w:val="bottom"/>
          </w:tcPr>
          <w:p w:rsidR="00665486" w:rsidRPr="00665486" w:rsidRDefault="00665486" w:rsidP="00665486">
            <w:pPr>
              <w:cnfStyle w:val="000000010000" w:firstRow="0" w:lastRow="0" w:firstColumn="0" w:lastColumn="0" w:oddVBand="0" w:evenVBand="0" w:oddHBand="0" w:evenHBand="1" w:firstRowFirstColumn="0" w:firstRowLastColumn="0" w:lastRowFirstColumn="0" w:lastRowLastColumn="0"/>
            </w:pPr>
            <w:r w:rsidRPr="00665486">
              <w:t>100.74</w:t>
            </w:r>
          </w:p>
        </w:tc>
        <w:tc>
          <w:tcPr>
            <w:tcW w:w="1449" w:type="dxa"/>
            <w:vAlign w:val="bottom"/>
          </w:tcPr>
          <w:p w:rsidR="00665486" w:rsidRPr="00665486" w:rsidRDefault="00665486" w:rsidP="00665486">
            <w:pPr>
              <w:cnfStyle w:val="000000010000" w:firstRow="0" w:lastRow="0" w:firstColumn="0" w:lastColumn="0" w:oddVBand="0" w:evenVBand="0" w:oddHBand="0" w:evenHBand="1" w:firstRowFirstColumn="0" w:firstRowLastColumn="0" w:lastRowFirstColumn="0" w:lastRowLastColumn="0"/>
            </w:pPr>
            <w:r w:rsidRPr="00665486">
              <w:t>88.75</w:t>
            </w:r>
          </w:p>
        </w:tc>
        <w:tc>
          <w:tcPr>
            <w:tcW w:w="1449" w:type="dxa"/>
            <w:vAlign w:val="bottom"/>
          </w:tcPr>
          <w:p w:rsidR="00665486" w:rsidRPr="00665486" w:rsidRDefault="00665486" w:rsidP="00665486">
            <w:pPr>
              <w:cnfStyle w:val="000000010000" w:firstRow="0" w:lastRow="0" w:firstColumn="0" w:lastColumn="0" w:oddVBand="0" w:evenVBand="0" w:oddHBand="0" w:evenHBand="1" w:firstRowFirstColumn="0" w:firstRowLastColumn="0" w:lastRowFirstColumn="0" w:lastRowLastColumn="0"/>
            </w:pPr>
            <w:r w:rsidRPr="00665486">
              <w:t>79.01</w:t>
            </w:r>
          </w:p>
        </w:tc>
        <w:tc>
          <w:tcPr>
            <w:tcW w:w="1449" w:type="dxa"/>
            <w:vAlign w:val="bottom"/>
          </w:tcPr>
          <w:p w:rsidR="00665486" w:rsidRPr="00665486" w:rsidRDefault="00665486" w:rsidP="00665486">
            <w:pPr>
              <w:cnfStyle w:val="000000010000" w:firstRow="0" w:lastRow="0" w:firstColumn="0" w:lastColumn="0" w:oddVBand="0" w:evenVBand="0" w:oddHBand="0" w:evenHBand="1" w:firstRowFirstColumn="0" w:firstRowLastColumn="0" w:lastRowFirstColumn="0" w:lastRowLastColumn="0"/>
            </w:pPr>
            <w:r w:rsidRPr="00665486">
              <w:t>80.83</w:t>
            </w:r>
          </w:p>
        </w:tc>
        <w:tc>
          <w:tcPr>
            <w:tcW w:w="1449" w:type="dxa"/>
            <w:vAlign w:val="bottom"/>
          </w:tcPr>
          <w:p w:rsidR="00665486" w:rsidRPr="00665486" w:rsidRDefault="00665486" w:rsidP="00665486">
            <w:pPr>
              <w:cnfStyle w:val="000000010000" w:firstRow="0" w:lastRow="0" w:firstColumn="0" w:lastColumn="0" w:oddVBand="0" w:evenVBand="0" w:oddHBand="0" w:evenHBand="1" w:firstRowFirstColumn="0" w:firstRowLastColumn="0" w:lastRowFirstColumn="0" w:lastRowLastColumn="0"/>
            </w:pPr>
            <w:r w:rsidRPr="00665486">
              <w:t>77.22</w:t>
            </w:r>
          </w:p>
        </w:tc>
      </w:tr>
      <w:tr w:rsidR="00665486" w:rsidTr="00040612">
        <w:tc>
          <w:tcPr>
            <w:cnfStyle w:val="001000000000" w:firstRow="0" w:lastRow="0" w:firstColumn="1" w:lastColumn="0" w:oddVBand="0" w:evenVBand="0" w:oddHBand="0" w:evenHBand="0" w:firstRowFirstColumn="0" w:firstRowLastColumn="0" w:lastRowFirstColumn="0" w:lastRowLastColumn="0"/>
            <w:tcW w:w="1448" w:type="dxa"/>
          </w:tcPr>
          <w:p w:rsidR="00665486" w:rsidRPr="00665486" w:rsidRDefault="00665486" w:rsidP="00665486">
            <w:r w:rsidRPr="00665486">
              <w:t>Jemena</w:t>
            </w:r>
          </w:p>
        </w:tc>
        <w:tc>
          <w:tcPr>
            <w:tcW w:w="1449" w:type="dxa"/>
            <w:vAlign w:val="bottom"/>
          </w:tcPr>
          <w:p w:rsidR="00665486" w:rsidRPr="00665486" w:rsidRDefault="00665486" w:rsidP="00665486">
            <w:pPr>
              <w:cnfStyle w:val="000000000000" w:firstRow="0" w:lastRow="0" w:firstColumn="0" w:lastColumn="0" w:oddVBand="0" w:evenVBand="0" w:oddHBand="0" w:evenHBand="0" w:firstRowFirstColumn="0" w:firstRowLastColumn="0" w:lastRowFirstColumn="0" w:lastRowLastColumn="0"/>
            </w:pPr>
            <w:r w:rsidRPr="00665486">
              <w:t>134.21</w:t>
            </w:r>
          </w:p>
        </w:tc>
        <w:tc>
          <w:tcPr>
            <w:tcW w:w="1449" w:type="dxa"/>
            <w:vAlign w:val="bottom"/>
          </w:tcPr>
          <w:p w:rsidR="00665486" w:rsidRPr="00665486" w:rsidRDefault="00665486" w:rsidP="00665486">
            <w:pPr>
              <w:cnfStyle w:val="000000000000" w:firstRow="0" w:lastRow="0" w:firstColumn="0" w:lastColumn="0" w:oddVBand="0" w:evenVBand="0" w:oddHBand="0" w:evenHBand="0" w:firstRowFirstColumn="0" w:firstRowLastColumn="0" w:lastRowFirstColumn="0" w:lastRowLastColumn="0"/>
            </w:pPr>
            <w:r w:rsidRPr="00665486">
              <w:t>88.56</w:t>
            </w:r>
          </w:p>
        </w:tc>
        <w:tc>
          <w:tcPr>
            <w:tcW w:w="1449" w:type="dxa"/>
            <w:vAlign w:val="bottom"/>
          </w:tcPr>
          <w:p w:rsidR="00665486" w:rsidRPr="00665486" w:rsidRDefault="00665486" w:rsidP="00665486">
            <w:pPr>
              <w:cnfStyle w:val="000000000000" w:firstRow="0" w:lastRow="0" w:firstColumn="0" w:lastColumn="0" w:oddVBand="0" w:evenVBand="0" w:oddHBand="0" w:evenHBand="0" w:firstRowFirstColumn="0" w:firstRowLastColumn="0" w:lastRowFirstColumn="0" w:lastRowLastColumn="0"/>
            </w:pPr>
            <w:r w:rsidRPr="00665486">
              <w:t>82.58</w:t>
            </w:r>
          </w:p>
        </w:tc>
        <w:tc>
          <w:tcPr>
            <w:tcW w:w="1449" w:type="dxa"/>
            <w:vAlign w:val="bottom"/>
          </w:tcPr>
          <w:p w:rsidR="00665486" w:rsidRPr="00665486" w:rsidRDefault="00665486" w:rsidP="00665486">
            <w:pPr>
              <w:cnfStyle w:val="000000000000" w:firstRow="0" w:lastRow="0" w:firstColumn="0" w:lastColumn="0" w:oddVBand="0" w:evenVBand="0" w:oddHBand="0" w:evenHBand="0" w:firstRowFirstColumn="0" w:firstRowLastColumn="0" w:lastRowFirstColumn="0" w:lastRowLastColumn="0"/>
            </w:pPr>
            <w:r w:rsidRPr="00665486">
              <w:t>84.00</w:t>
            </w:r>
          </w:p>
        </w:tc>
        <w:tc>
          <w:tcPr>
            <w:tcW w:w="1449" w:type="dxa"/>
            <w:vAlign w:val="bottom"/>
          </w:tcPr>
          <w:p w:rsidR="00665486" w:rsidRPr="00665486" w:rsidRDefault="00665486" w:rsidP="00665486">
            <w:pPr>
              <w:cnfStyle w:val="000000000000" w:firstRow="0" w:lastRow="0" w:firstColumn="0" w:lastColumn="0" w:oddVBand="0" w:evenVBand="0" w:oddHBand="0" w:evenHBand="0" w:firstRowFirstColumn="0" w:firstRowLastColumn="0" w:lastRowFirstColumn="0" w:lastRowLastColumn="0"/>
            </w:pPr>
            <w:r w:rsidRPr="00665486">
              <w:t>85.49</w:t>
            </w:r>
          </w:p>
        </w:tc>
      </w:tr>
      <w:tr w:rsidR="00665486" w:rsidTr="000406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665486" w:rsidRPr="00665486" w:rsidRDefault="00665486" w:rsidP="00665486">
            <w:r w:rsidRPr="00665486">
              <w:t>Powercor</w:t>
            </w:r>
          </w:p>
        </w:tc>
        <w:tc>
          <w:tcPr>
            <w:tcW w:w="1449" w:type="dxa"/>
            <w:vAlign w:val="bottom"/>
          </w:tcPr>
          <w:p w:rsidR="00665486" w:rsidRPr="00665486" w:rsidRDefault="00665486" w:rsidP="00665486">
            <w:pPr>
              <w:cnfStyle w:val="000000010000" w:firstRow="0" w:lastRow="0" w:firstColumn="0" w:lastColumn="0" w:oddVBand="0" w:evenVBand="0" w:oddHBand="0" w:evenHBand="1" w:firstRowFirstColumn="0" w:firstRowLastColumn="0" w:lastRowFirstColumn="0" w:lastRowLastColumn="0"/>
            </w:pPr>
            <w:r w:rsidRPr="00665486">
              <w:t>100.50</w:t>
            </w:r>
          </w:p>
        </w:tc>
        <w:tc>
          <w:tcPr>
            <w:tcW w:w="1449" w:type="dxa"/>
            <w:vAlign w:val="bottom"/>
          </w:tcPr>
          <w:p w:rsidR="00665486" w:rsidRPr="00665486" w:rsidRDefault="00665486" w:rsidP="00665486">
            <w:pPr>
              <w:cnfStyle w:val="000000010000" w:firstRow="0" w:lastRow="0" w:firstColumn="0" w:lastColumn="0" w:oddVBand="0" w:evenVBand="0" w:oddHBand="0" w:evenHBand="1" w:firstRowFirstColumn="0" w:firstRowLastColumn="0" w:lastRowFirstColumn="0" w:lastRowLastColumn="0"/>
            </w:pPr>
            <w:r w:rsidRPr="00665486">
              <w:t>90.36</w:t>
            </w:r>
          </w:p>
        </w:tc>
        <w:tc>
          <w:tcPr>
            <w:tcW w:w="1449" w:type="dxa"/>
            <w:vAlign w:val="bottom"/>
          </w:tcPr>
          <w:p w:rsidR="00665486" w:rsidRPr="00665486" w:rsidRDefault="00665486" w:rsidP="00665486">
            <w:pPr>
              <w:cnfStyle w:val="000000010000" w:firstRow="0" w:lastRow="0" w:firstColumn="0" w:lastColumn="0" w:oddVBand="0" w:evenVBand="0" w:oddHBand="0" w:evenHBand="1" w:firstRowFirstColumn="0" w:firstRowLastColumn="0" w:lastRowFirstColumn="0" w:lastRowLastColumn="0"/>
            </w:pPr>
            <w:r w:rsidRPr="00665486">
              <w:t>72.29</w:t>
            </w:r>
          </w:p>
        </w:tc>
        <w:tc>
          <w:tcPr>
            <w:tcW w:w="1449" w:type="dxa"/>
            <w:vAlign w:val="bottom"/>
          </w:tcPr>
          <w:p w:rsidR="00665486" w:rsidRPr="00665486" w:rsidRDefault="00665486" w:rsidP="00665486">
            <w:pPr>
              <w:cnfStyle w:val="000000010000" w:firstRow="0" w:lastRow="0" w:firstColumn="0" w:lastColumn="0" w:oddVBand="0" w:evenVBand="0" w:oddHBand="0" w:evenHBand="1" w:firstRowFirstColumn="0" w:firstRowLastColumn="0" w:lastRowFirstColumn="0" w:lastRowLastColumn="0"/>
            </w:pPr>
            <w:r w:rsidRPr="00665486">
              <w:t>79.85</w:t>
            </w:r>
          </w:p>
        </w:tc>
        <w:tc>
          <w:tcPr>
            <w:tcW w:w="1449" w:type="dxa"/>
            <w:vAlign w:val="bottom"/>
          </w:tcPr>
          <w:p w:rsidR="00665486" w:rsidRPr="00665486" w:rsidRDefault="00665486" w:rsidP="00665486">
            <w:pPr>
              <w:cnfStyle w:val="000000010000" w:firstRow="0" w:lastRow="0" w:firstColumn="0" w:lastColumn="0" w:oddVBand="0" w:evenVBand="0" w:oddHBand="0" w:evenHBand="1" w:firstRowFirstColumn="0" w:firstRowLastColumn="0" w:lastRowFirstColumn="0" w:lastRowLastColumn="0"/>
            </w:pPr>
            <w:r w:rsidRPr="00665486">
              <w:t>75.52</w:t>
            </w:r>
          </w:p>
        </w:tc>
      </w:tr>
      <w:tr w:rsidR="00665486" w:rsidTr="00040612">
        <w:tc>
          <w:tcPr>
            <w:cnfStyle w:val="001000000000" w:firstRow="0" w:lastRow="0" w:firstColumn="1" w:lastColumn="0" w:oddVBand="0" w:evenVBand="0" w:oddHBand="0" w:evenHBand="0" w:firstRowFirstColumn="0" w:firstRowLastColumn="0" w:lastRowFirstColumn="0" w:lastRowLastColumn="0"/>
            <w:tcW w:w="1448" w:type="dxa"/>
          </w:tcPr>
          <w:p w:rsidR="00665486" w:rsidRPr="00665486" w:rsidRDefault="00665486" w:rsidP="00665486">
            <w:r w:rsidRPr="00665486">
              <w:t>United Energy</w:t>
            </w:r>
          </w:p>
        </w:tc>
        <w:tc>
          <w:tcPr>
            <w:tcW w:w="1449" w:type="dxa"/>
            <w:vAlign w:val="bottom"/>
          </w:tcPr>
          <w:p w:rsidR="00665486" w:rsidRPr="00665486" w:rsidRDefault="00665486" w:rsidP="00665486">
            <w:pPr>
              <w:cnfStyle w:val="000000000000" w:firstRow="0" w:lastRow="0" w:firstColumn="0" w:lastColumn="0" w:oddVBand="0" w:evenVBand="0" w:oddHBand="0" w:evenHBand="0" w:firstRowFirstColumn="0" w:firstRowLastColumn="0" w:lastRowFirstColumn="0" w:lastRowLastColumn="0"/>
            </w:pPr>
            <w:r w:rsidRPr="00665486">
              <w:t>93.23</w:t>
            </w:r>
          </w:p>
        </w:tc>
        <w:tc>
          <w:tcPr>
            <w:tcW w:w="1449" w:type="dxa"/>
            <w:vAlign w:val="bottom"/>
          </w:tcPr>
          <w:p w:rsidR="00665486" w:rsidRPr="00665486" w:rsidRDefault="00665486" w:rsidP="00665486">
            <w:pPr>
              <w:cnfStyle w:val="000000000000" w:firstRow="0" w:lastRow="0" w:firstColumn="0" w:lastColumn="0" w:oddVBand="0" w:evenVBand="0" w:oddHBand="0" w:evenHBand="0" w:firstRowFirstColumn="0" w:firstRowLastColumn="0" w:lastRowFirstColumn="0" w:lastRowLastColumn="0"/>
            </w:pPr>
            <w:r w:rsidRPr="00665486">
              <w:t>65.52</w:t>
            </w:r>
          </w:p>
        </w:tc>
        <w:tc>
          <w:tcPr>
            <w:tcW w:w="1449" w:type="dxa"/>
            <w:vAlign w:val="bottom"/>
          </w:tcPr>
          <w:p w:rsidR="00665486" w:rsidRPr="00665486" w:rsidRDefault="00665486" w:rsidP="00665486">
            <w:pPr>
              <w:cnfStyle w:val="000000000000" w:firstRow="0" w:lastRow="0" w:firstColumn="0" w:lastColumn="0" w:oddVBand="0" w:evenVBand="0" w:oddHBand="0" w:evenHBand="0" w:firstRowFirstColumn="0" w:firstRowLastColumn="0" w:lastRowFirstColumn="0" w:lastRowLastColumn="0"/>
            </w:pPr>
            <w:r w:rsidRPr="00665486">
              <w:t>56.94</w:t>
            </w:r>
          </w:p>
        </w:tc>
        <w:tc>
          <w:tcPr>
            <w:tcW w:w="1449" w:type="dxa"/>
            <w:vAlign w:val="bottom"/>
          </w:tcPr>
          <w:p w:rsidR="00665486" w:rsidRPr="00665486" w:rsidRDefault="00665486" w:rsidP="00665486">
            <w:pPr>
              <w:cnfStyle w:val="000000000000" w:firstRow="0" w:lastRow="0" w:firstColumn="0" w:lastColumn="0" w:oddVBand="0" w:evenVBand="0" w:oddHBand="0" w:evenHBand="0" w:firstRowFirstColumn="0" w:firstRowLastColumn="0" w:lastRowFirstColumn="0" w:lastRowLastColumn="0"/>
            </w:pPr>
            <w:r w:rsidRPr="00665486">
              <w:t>59.94</w:t>
            </w:r>
          </w:p>
        </w:tc>
        <w:tc>
          <w:tcPr>
            <w:tcW w:w="1449" w:type="dxa"/>
            <w:vAlign w:val="bottom"/>
          </w:tcPr>
          <w:p w:rsidR="00665486" w:rsidRPr="00665486" w:rsidRDefault="00665486" w:rsidP="00665486">
            <w:pPr>
              <w:cnfStyle w:val="000000000000" w:firstRow="0" w:lastRow="0" w:firstColumn="0" w:lastColumn="0" w:oddVBand="0" w:evenVBand="0" w:oddHBand="0" w:evenHBand="0" w:firstRowFirstColumn="0" w:firstRowLastColumn="0" w:lastRowFirstColumn="0" w:lastRowLastColumn="0"/>
            </w:pPr>
            <w:r w:rsidRPr="00665486">
              <w:t>57.44</w:t>
            </w:r>
          </w:p>
        </w:tc>
      </w:tr>
    </w:tbl>
    <w:p w:rsidR="008F6177" w:rsidRPr="008F6177" w:rsidRDefault="008F6177" w:rsidP="006D4FD9">
      <w:pPr>
        <w:pStyle w:val="AERtablesource"/>
      </w:pPr>
      <w:r w:rsidRPr="008F6177">
        <w:rPr>
          <w:rStyle w:val="AERbody"/>
          <w:sz w:val="16"/>
        </w:rPr>
        <w:t xml:space="preserve">Source: </w:t>
      </w:r>
      <w:r w:rsidR="00DD1C4E">
        <w:rPr>
          <w:rStyle w:val="AERbody"/>
        </w:rPr>
        <w:tab/>
      </w:r>
      <w:r w:rsidRPr="008F6177">
        <w:rPr>
          <w:rStyle w:val="AERbody"/>
          <w:sz w:val="16"/>
        </w:rPr>
        <w:t>AER analysis.</w:t>
      </w:r>
    </w:p>
    <w:p w:rsidR="003138E3" w:rsidRPr="00852B11" w:rsidRDefault="003138E3" w:rsidP="00852B11"/>
    <w:p w:rsidR="00093F95" w:rsidRDefault="00093F95" w:rsidP="00093F95">
      <w:pPr>
        <w:pStyle w:val="Heading1"/>
      </w:pPr>
      <w:bookmarkStart w:id="12" w:name="_Ref453083889"/>
      <w:bookmarkStart w:id="13" w:name="_Toc467654509"/>
      <w:r>
        <w:t>Background</w:t>
      </w:r>
      <w:bookmarkEnd w:id="12"/>
      <w:bookmarkEnd w:id="13"/>
    </w:p>
    <w:p w:rsidR="00693E11" w:rsidRDefault="00055F7E" w:rsidP="006711D8">
      <w:r>
        <w:t>In 2006, the Victorian Governmen</w:t>
      </w:r>
      <w:r w:rsidR="005E221A">
        <w:t xml:space="preserve">t mandated the roll–out of AMI </w:t>
      </w:r>
      <w:r w:rsidR="00F11613">
        <w:t>for all customers consuming less than 160 MWh per annum.</w:t>
      </w:r>
      <w:r w:rsidR="00693E11">
        <w:t xml:space="preserve"> </w:t>
      </w:r>
      <w:r w:rsidR="005E221A">
        <w:t>This involved the replacement of</w:t>
      </w:r>
      <w:r w:rsidR="00693E11">
        <w:t xml:space="preserve"> manually read meter</w:t>
      </w:r>
      <w:r w:rsidR="000B776C">
        <w:t>s</w:t>
      </w:r>
      <w:r w:rsidR="00693E11">
        <w:t xml:space="preserve"> with </w:t>
      </w:r>
      <w:r w:rsidR="005E221A">
        <w:t>'</w:t>
      </w:r>
      <w:r w:rsidR="00693E11">
        <w:t>smart meter</w:t>
      </w:r>
      <w:r w:rsidR="005E221A">
        <w:t xml:space="preserve">' </w:t>
      </w:r>
      <w:r w:rsidR="000B776C">
        <w:t>technology</w:t>
      </w:r>
      <w:r w:rsidR="005E221A">
        <w:t xml:space="preserve"> that allows for the remote communication</w:t>
      </w:r>
      <w:r w:rsidR="00693E11">
        <w:t xml:space="preserve"> </w:t>
      </w:r>
      <w:r w:rsidR="006264EF">
        <w:t xml:space="preserve">of </w:t>
      </w:r>
      <w:r w:rsidR="00693E11">
        <w:t>a customer's half–hourly consumption data to an electricity distributor.</w:t>
      </w:r>
    </w:p>
    <w:p w:rsidR="00546A52" w:rsidRDefault="00F5445F" w:rsidP="00F5445F">
      <w:r>
        <w:t xml:space="preserve">The regulatory arrangements relating to the AMI roll–out in Victoria were initially set out in an August 2007 Order made under the </w:t>
      </w:r>
      <w:r w:rsidRPr="00693E11">
        <w:rPr>
          <w:rStyle w:val="AERtextitalic"/>
        </w:rPr>
        <w:t>Electricity Industry Act 2000</w:t>
      </w:r>
      <w:r>
        <w:t xml:space="preserve"> (Vic). </w:t>
      </w:r>
      <w:r w:rsidR="00AD272E">
        <w:t xml:space="preserve"> </w:t>
      </w:r>
    </w:p>
    <w:p w:rsidR="00A27F5C" w:rsidRDefault="00546A52" w:rsidP="00F5445F">
      <w:r>
        <w:t xml:space="preserve">The </w:t>
      </w:r>
      <w:r w:rsidR="004279A4">
        <w:t xml:space="preserve">Order </w:t>
      </w:r>
      <w:r w:rsidR="000B776C">
        <w:t>adopts</w:t>
      </w:r>
      <w:r>
        <w:t xml:space="preserve"> a 'cost pass through'</w:t>
      </w:r>
      <w:r w:rsidR="000B776C">
        <w:t xml:space="preserve"> regulatory</w:t>
      </w:r>
      <w:r>
        <w:t xml:space="preserve"> model. </w:t>
      </w:r>
      <w:r w:rsidR="00A27F5C">
        <w:t>Under this model, the recovery of costs incurred in relation to the AMI roll–out involves the following three processes:</w:t>
      </w:r>
    </w:p>
    <w:p w:rsidR="00A27F5C" w:rsidRDefault="00546A52" w:rsidP="00F5445F">
      <w:pPr>
        <w:pStyle w:val="ListNumber"/>
      </w:pPr>
      <w:r>
        <w:t xml:space="preserve">setting </w:t>
      </w:r>
      <w:r w:rsidR="00A27F5C">
        <w:t xml:space="preserve">AMI </w:t>
      </w:r>
      <w:r>
        <w:t xml:space="preserve">budgets at the beginning of </w:t>
      </w:r>
      <w:r w:rsidR="00E11544">
        <w:t>a</w:t>
      </w:r>
      <w:r w:rsidR="00A27F5C">
        <w:t xml:space="preserve"> period</w:t>
      </w:r>
      <w:r w:rsidR="00FA4835">
        <w:rPr>
          <w:rStyle w:val="FootnoteReference"/>
        </w:rPr>
        <w:footnoteReference w:id="10"/>
      </w:r>
    </w:p>
    <w:p w:rsidR="00A27F5C" w:rsidRDefault="00F35322" w:rsidP="00F5445F">
      <w:pPr>
        <w:pStyle w:val="ListNumber"/>
      </w:pPr>
      <w:r>
        <w:t>making determinations on revised charges that update for actual expenditure</w:t>
      </w:r>
      <w:r w:rsidR="00FA4835">
        <w:rPr>
          <w:rStyle w:val="FootnoteReference"/>
        </w:rPr>
        <w:footnoteReference w:id="11"/>
      </w:r>
    </w:p>
    <w:p w:rsidR="00750EC0" w:rsidRDefault="00A27F5C" w:rsidP="00F5445F">
      <w:pPr>
        <w:pStyle w:val="ListNumber"/>
      </w:pPr>
      <w:r>
        <w:t xml:space="preserve">the approval of </w:t>
      </w:r>
      <w:r w:rsidR="007221BC">
        <w:t xml:space="preserve">a </w:t>
      </w:r>
      <w:r>
        <w:t>transition charge</w:t>
      </w:r>
      <w:r w:rsidR="007221BC">
        <w:t xml:space="preserve"> </w:t>
      </w:r>
      <w:r>
        <w:t>that correct</w:t>
      </w:r>
      <w:r w:rsidR="007221BC">
        <w:t>s</w:t>
      </w:r>
      <w:r>
        <w:t xml:space="preserve"> for the difference between costs and revenues</w:t>
      </w:r>
      <w:r w:rsidR="006264EF">
        <w:t xml:space="preserve"> </w:t>
      </w:r>
      <w:r w:rsidR="000C06DC">
        <w:t>over the entirety of the 2009–15 period</w:t>
      </w:r>
      <w:r w:rsidR="008C04D0">
        <w:t xml:space="preserve"> and which includes an assessment of any excess expenditure for the last two years of the rollout, 2014 and 2015</w:t>
      </w:r>
      <w:r>
        <w:t>.</w:t>
      </w:r>
      <w:r w:rsidR="007E77BF">
        <w:rPr>
          <w:rStyle w:val="FootnoteReference"/>
        </w:rPr>
        <w:footnoteReference w:id="12"/>
      </w:r>
    </w:p>
    <w:p w:rsidR="003E5EDA" w:rsidRDefault="000C06DC" w:rsidP="0042171C">
      <w:pPr>
        <w:pStyle w:val="ListNumber"/>
        <w:numPr>
          <w:ilvl w:val="0"/>
          <w:numId w:val="0"/>
        </w:numPr>
      </w:pPr>
      <w:r>
        <w:t xml:space="preserve">This </w:t>
      </w:r>
      <w:r w:rsidR="002B36BB">
        <w:t>f</w:t>
      </w:r>
      <w:r w:rsidR="001E1EA0">
        <w:t>inal</w:t>
      </w:r>
      <w:r>
        <w:t xml:space="preserve"> decision relates to the third process of the cost pass through</w:t>
      </w:r>
      <w:r w:rsidR="00FE5473">
        <w:t xml:space="preserve"> model</w:t>
      </w:r>
      <w:r>
        <w:t xml:space="preserve">. In making this </w:t>
      </w:r>
      <w:r w:rsidR="002B36BB">
        <w:t>f</w:t>
      </w:r>
      <w:r w:rsidR="001E1EA0">
        <w:t>inal</w:t>
      </w:r>
      <w:r>
        <w:t xml:space="preserve"> decis</w:t>
      </w:r>
      <w:r w:rsidR="00F97143">
        <w:t>ion, we are nonetheless required to</w:t>
      </w:r>
      <w:r>
        <w:t xml:space="preserve"> consider past AMI budget and revised charges determinations. </w:t>
      </w:r>
      <w:r w:rsidR="006E1488">
        <w:t xml:space="preserve">Those </w:t>
      </w:r>
      <w:r w:rsidR="003E5EDA">
        <w:t xml:space="preserve">determinations </w:t>
      </w:r>
      <w:r w:rsidR="00CF4AC1">
        <w:t>are on</w:t>
      </w:r>
      <w:r w:rsidR="003E5EDA">
        <w:t xml:space="preserve"> our website</w:t>
      </w:r>
      <w:r w:rsidR="003E5EDA">
        <w:rPr>
          <w:rStyle w:val="FootnoteReference"/>
        </w:rPr>
        <w:footnoteReference w:id="13"/>
      </w:r>
      <w:r w:rsidR="003E5EDA">
        <w:t xml:space="preserve"> </w:t>
      </w:r>
      <w:r w:rsidR="006E1488">
        <w:t>and a summary of each is set out in our draft decision.</w:t>
      </w:r>
      <w:r w:rsidR="006E1488">
        <w:rPr>
          <w:rStyle w:val="FootnoteReference"/>
        </w:rPr>
        <w:footnoteReference w:id="14"/>
      </w:r>
    </w:p>
    <w:p w:rsidR="00750EC0" w:rsidRDefault="00750EC0" w:rsidP="0042171C">
      <w:pPr>
        <w:pStyle w:val="ListNumber"/>
        <w:numPr>
          <w:ilvl w:val="0"/>
          <w:numId w:val="0"/>
        </w:numPr>
      </w:pPr>
      <w:r w:rsidRPr="00317D44">
        <w:t xml:space="preserve">The amount to </w:t>
      </w:r>
      <w:proofErr w:type="gramStart"/>
      <w:r w:rsidRPr="00317D44">
        <w:t>be recovered</w:t>
      </w:r>
      <w:proofErr w:type="gramEnd"/>
      <w:r w:rsidRPr="00317D44">
        <w:t xml:space="preserve"> through </w:t>
      </w:r>
      <w:r>
        <w:t>a</w:t>
      </w:r>
      <w:r w:rsidRPr="00317D44">
        <w:t xml:space="preserve"> transition charge is</w:t>
      </w:r>
      <w:r w:rsidR="003E5EDA">
        <w:t xml:space="preserve"> set out in Order. It provides that the transition charge is to be calculated as</w:t>
      </w:r>
      <w:r>
        <w:t>:</w:t>
      </w:r>
    </w:p>
    <w:p w:rsidR="00750EC0" w:rsidRDefault="00750EC0" w:rsidP="00750EC0">
      <w:pPr>
        <w:pStyle w:val="AERquote"/>
      </w:pPr>
      <w:proofErr w:type="gramStart"/>
      <w:r>
        <w:t>the</w:t>
      </w:r>
      <w:proofErr w:type="gramEnd"/>
      <w:r>
        <w:t xml:space="preserve"> </w:t>
      </w:r>
      <w:r w:rsidRPr="00317D44">
        <w:t>difference between the future value in 2017</w:t>
      </w:r>
      <w:r w:rsidR="00E21CDF">
        <w:t xml:space="preserve"> (or 2018)</w:t>
      </w:r>
      <w:r w:rsidRPr="00317D44">
        <w:t xml:space="preserve"> dollars of costs and the future value of revenue fo</w:t>
      </w:r>
      <w:r>
        <w:t>r the [2009–15 period]</w:t>
      </w:r>
      <w:r w:rsidRPr="00317D44">
        <w:t>.</w:t>
      </w:r>
      <w:r w:rsidRPr="00317D44">
        <w:rPr>
          <w:rStyle w:val="FootnoteReference"/>
        </w:rPr>
        <w:footnoteReference w:id="15"/>
      </w:r>
      <w:r w:rsidRPr="00317D44">
        <w:t xml:space="preserve"> </w:t>
      </w:r>
    </w:p>
    <w:p w:rsidR="00E95FAA" w:rsidRDefault="00750EC0" w:rsidP="00750EC0">
      <w:r>
        <w:t xml:space="preserve">In effect, the transition charge is a true up between costs and revenues over the AMI roll–out period from 1 January 2009 to 31 December 2015. </w:t>
      </w:r>
      <w:r w:rsidR="00CE6129">
        <w:t xml:space="preserve">The approval of a transition charge for a distributor will have the effect of increasing or decreasing the revenue </w:t>
      </w:r>
      <w:r w:rsidR="007273B0">
        <w:t>that</w:t>
      </w:r>
      <w:r w:rsidR="00CE6129">
        <w:t xml:space="preserve"> </w:t>
      </w:r>
      <w:proofErr w:type="gramStart"/>
      <w:r w:rsidR="00CE6129">
        <w:t xml:space="preserve">can </w:t>
      </w:r>
      <w:r w:rsidR="007273B0">
        <w:t xml:space="preserve">be </w:t>
      </w:r>
      <w:r w:rsidR="00CE6129">
        <w:t>recover</w:t>
      </w:r>
      <w:r w:rsidR="007273B0">
        <w:t>ed</w:t>
      </w:r>
      <w:proofErr w:type="gramEnd"/>
      <w:r w:rsidR="00CE6129">
        <w:t xml:space="preserve"> from customers. </w:t>
      </w:r>
      <w:r w:rsidR="007273B0">
        <w:t>I</w:t>
      </w:r>
      <w:r w:rsidR="00CE6129">
        <w:t>t</w:t>
      </w:r>
      <w:r w:rsidR="00907616">
        <w:t xml:space="preserve"> </w:t>
      </w:r>
      <w:r w:rsidR="0022175D">
        <w:t xml:space="preserve">also </w:t>
      </w:r>
      <w:r w:rsidR="00CE6129">
        <w:t>acts a</w:t>
      </w:r>
      <w:r w:rsidR="007273B0">
        <w:t>s a</w:t>
      </w:r>
      <w:r w:rsidR="00CE6129">
        <w:t xml:space="preserve"> single year adjustment to our </w:t>
      </w:r>
      <w:r w:rsidR="00E21CDF">
        <w:t>2016–</w:t>
      </w:r>
      <w:r w:rsidR="006D47AE">
        <w:t xml:space="preserve">2020 distribution </w:t>
      </w:r>
      <w:r w:rsidR="00CE6129">
        <w:t>determination</w:t>
      </w:r>
      <w:r w:rsidR="006D47AE">
        <w:t>s</w:t>
      </w:r>
      <w:r w:rsidR="00CE6129">
        <w:t xml:space="preserve"> on the Victorian distributors' </w:t>
      </w:r>
      <w:r w:rsidR="007273B0">
        <w:t xml:space="preserve">revenue for </w:t>
      </w:r>
      <w:r w:rsidR="00CE6129">
        <w:t xml:space="preserve">metering </w:t>
      </w:r>
      <w:r w:rsidR="000E7D8F">
        <w:t xml:space="preserve">(AMI) </w:t>
      </w:r>
      <w:r w:rsidR="00CE6129">
        <w:t xml:space="preserve">services </w:t>
      </w:r>
      <w:r w:rsidR="003E250A">
        <w:t xml:space="preserve">for </w:t>
      </w:r>
      <w:r w:rsidR="00CE6129">
        <w:t>the</w:t>
      </w:r>
      <w:r w:rsidR="007273B0">
        <w:t xml:space="preserve"> current</w:t>
      </w:r>
      <w:r w:rsidR="00CE6129">
        <w:t xml:space="preserve"> 2016–20</w:t>
      </w:r>
      <w:r w:rsidR="001B06BF">
        <w:t>20</w:t>
      </w:r>
      <w:r w:rsidR="00CE6129">
        <w:t xml:space="preserve"> regulatory control period</w:t>
      </w:r>
      <w:r w:rsidR="0068246C">
        <w:t>, as explained below</w:t>
      </w:r>
      <w:r w:rsidR="00CF4AC1">
        <w:t>.</w:t>
      </w:r>
    </w:p>
    <w:p w:rsidR="00C52B87" w:rsidRDefault="00CF00AE" w:rsidP="00C46A68">
      <w:pPr>
        <w:pStyle w:val="Heading1"/>
      </w:pPr>
      <w:bookmarkStart w:id="14" w:name="_Ref453139411"/>
      <w:bookmarkStart w:id="15" w:name="_Toc467654510"/>
      <w:r>
        <w:t>Assessment approach</w:t>
      </w:r>
      <w:bookmarkEnd w:id="14"/>
      <w:bookmarkEnd w:id="15"/>
    </w:p>
    <w:p w:rsidR="006D4FD9" w:rsidRDefault="006D4FD9" w:rsidP="006D4FD9">
      <w:pPr>
        <w:rPr>
          <w:rStyle w:val="AERbody"/>
        </w:rPr>
      </w:pPr>
      <w:r>
        <w:rPr>
          <w:rStyle w:val="AERbody"/>
        </w:rPr>
        <w:t xml:space="preserve">The Order sets out the assessment framework for our </w:t>
      </w:r>
      <w:r w:rsidR="002B36BB">
        <w:rPr>
          <w:rStyle w:val="AERbody"/>
        </w:rPr>
        <w:t>f</w:t>
      </w:r>
      <w:r w:rsidR="001E1EA0">
        <w:rPr>
          <w:rStyle w:val="AERbody"/>
        </w:rPr>
        <w:t>inal</w:t>
      </w:r>
      <w:r>
        <w:rPr>
          <w:rStyle w:val="AERbody"/>
        </w:rPr>
        <w:t xml:space="preserve"> decision on the five Victorian electricity distributors' transition charge applications.</w:t>
      </w:r>
    </w:p>
    <w:p w:rsidR="006D4FD9" w:rsidRDefault="006D4FD9" w:rsidP="000E55FD">
      <w:pPr>
        <w:pStyle w:val="Heading2"/>
      </w:pPr>
      <w:bookmarkStart w:id="16" w:name="_Toc461447498"/>
      <w:bookmarkStart w:id="17" w:name="_Ref461458739"/>
      <w:bookmarkStart w:id="18" w:name="_Ref467137368"/>
      <w:bookmarkStart w:id="19" w:name="_Toc467654511"/>
      <w:r>
        <w:t>Calculation of transition charge</w:t>
      </w:r>
      <w:bookmarkEnd w:id="16"/>
      <w:bookmarkEnd w:id="17"/>
      <w:bookmarkEnd w:id="18"/>
      <w:bookmarkEnd w:id="19"/>
    </w:p>
    <w:p w:rsidR="006D4FD9" w:rsidRDefault="00AE418D" w:rsidP="006D4FD9">
      <w:r>
        <w:t>Under the Order, the</w:t>
      </w:r>
      <w:r w:rsidR="006D4FD9">
        <w:t xml:space="preserve"> transition charge </w:t>
      </w:r>
      <w:r w:rsidR="006E1488">
        <w:t xml:space="preserve">is comprised </w:t>
      </w:r>
      <w:r w:rsidR="006D4FD9">
        <w:t>of two 'true–up' adjustments</w:t>
      </w:r>
      <w:r w:rsidR="00E21CDF">
        <w:t>:</w:t>
      </w:r>
      <w:r w:rsidR="00D87322">
        <w:t xml:space="preserve"> the 'revenue and costs true–</w:t>
      </w:r>
      <w:r w:rsidR="000E7D8F">
        <w:t>up' and the 'metering asset</w:t>
      </w:r>
      <w:r w:rsidR="00D87322">
        <w:t xml:space="preserve"> base true–</w:t>
      </w:r>
      <w:r w:rsidR="000E7D8F">
        <w:t xml:space="preserve">up'. These </w:t>
      </w:r>
      <w:proofErr w:type="gramStart"/>
      <w:r w:rsidR="000E7D8F">
        <w:t>are outlined</w:t>
      </w:r>
      <w:proofErr w:type="gramEnd"/>
      <w:r w:rsidR="000E7D8F">
        <w:t xml:space="preserve"> below.</w:t>
      </w:r>
    </w:p>
    <w:p w:rsidR="009A436D" w:rsidRDefault="00AA098F" w:rsidP="006D4FD9">
      <w:r>
        <w:t xml:space="preserve">The </w:t>
      </w:r>
      <w:r w:rsidR="009A436D">
        <w:t xml:space="preserve">value of these </w:t>
      </w:r>
      <w:r w:rsidR="000E7D8F">
        <w:t xml:space="preserve">(true-up) </w:t>
      </w:r>
      <w:r w:rsidR="009A436D">
        <w:t>adjustments are</w:t>
      </w:r>
      <w:r w:rsidR="000E7D8F">
        <w:t xml:space="preserve"> also</w:t>
      </w:r>
      <w:r w:rsidR="009A436D">
        <w:t xml:space="preserve"> effected by the ex post review of the Victorian distributors</w:t>
      </w:r>
      <w:r>
        <w:t>'</w:t>
      </w:r>
      <w:r w:rsidR="009A436D">
        <w:t xml:space="preserve"> expenditure in 2014 and 2015</w:t>
      </w:r>
      <w:r w:rsidR="00AC0C71">
        <w:t>, which we refer to as our assessment of any expenditure excess in these years</w:t>
      </w:r>
      <w:r w:rsidR="009A436D">
        <w:t xml:space="preserve">. In accordance with the Order, </w:t>
      </w:r>
      <w:r>
        <w:t xml:space="preserve">this </w:t>
      </w:r>
      <w:r w:rsidR="009A436D">
        <w:t xml:space="preserve">ex post review </w:t>
      </w:r>
      <w:proofErr w:type="gramStart"/>
      <w:r>
        <w:t>must be conducted</w:t>
      </w:r>
      <w:proofErr w:type="gramEnd"/>
      <w:r>
        <w:t xml:space="preserve"> as part of this</w:t>
      </w:r>
      <w:r w:rsidR="009A436D">
        <w:t xml:space="preserve"> transition charges decision.</w:t>
      </w:r>
    </w:p>
    <w:p w:rsidR="006D4FD9" w:rsidRDefault="00AE418D" w:rsidP="000E55FD">
      <w:pPr>
        <w:pStyle w:val="Heading3"/>
      </w:pPr>
      <w:bookmarkStart w:id="20" w:name="_Toc467654512"/>
      <w:r>
        <w:t>Revenue and costs true–up</w:t>
      </w:r>
      <w:bookmarkEnd w:id="20"/>
    </w:p>
    <w:p w:rsidR="00AE418D" w:rsidRDefault="00AE418D" w:rsidP="00AE418D">
      <w:pPr>
        <w:pStyle w:val="ListParagraph"/>
        <w:numPr>
          <w:ilvl w:val="0"/>
          <w:numId w:val="25"/>
        </w:numPr>
      </w:pPr>
      <w:r>
        <w:t xml:space="preserve">The first adjustment required under the Order corrects for: </w:t>
      </w:r>
    </w:p>
    <w:p w:rsidR="00AE418D" w:rsidRDefault="00AE418D" w:rsidP="00AE418D">
      <w:pPr>
        <w:pStyle w:val="AERquote"/>
      </w:pPr>
      <w:proofErr w:type="gramStart"/>
      <w:r>
        <w:t>the</w:t>
      </w:r>
      <w:proofErr w:type="gramEnd"/>
      <w:r>
        <w:t xml:space="preserve"> </w:t>
      </w:r>
      <w:r w:rsidRPr="00317D44">
        <w:t>difference between the future value in 2017</w:t>
      </w:r>
      <w:r w:rsidR="009A436D">
        <w:t xml:space="preserve"> [or 2018]</w:t>
      </w:r>
      <w:r w:rsidRPr="00317D44">
        <w:t xml:space="preserve"> dollars of costs and the future value of revenue fo</w:t>
      </w:r>
      <w:r>
        <w:t>r the [2009–15 period]</w:t>
      </w:r>
      <w:r w:rsidRPr="00317D44">
        <w:t>.</w:t>
      </w:r>
      <w:r w:rsidRPr="00317D44">
        <w:rPr>
          <w:rStyle w:val="FootnoteReference"/>
        </w:rPr>
        <w:footnoteReference w:id="16"/>
      </w:r>
      <w:r w:rsidRPr="00317D44">
        <w:t xml:space="preserve"> </w:t>
      </w:r>
    </w:p>
    <w:p w:rsidR="009A436D" w:rsidRDefault="00AE418D" w:rsidP="00E53055">
      <w:pPr>
        <w:rPr>
          <w:rStyle w:val="AERbody"/>
        </w:rPr>
      </w:pPr>
      <w:r w:rsidRPr="00640593">
        <w:t>The term 'costs' refers to the 'building block costs' we have determined to be recoverable from customers</w:t>
      </w:r>
      <w:r>
        <w:t xml:space="preserve"> in our previous budget determinations</w:t>
      </w:r>
      <w:r w:rsidRPr="00640593">
        <w:t xml:space="preserve">. For the purposes of the transition charge, 'revenue' is </w:t>
      </w:r>
      <w:r w:rsidR="00AC0C71">
        <w:t xml:space="preserve">what </w:t>
      </w:r>
      <w:proofErr w:type="gramStart"/>
      <w:r w:rsidR="00AC0C71">
        <w:t>has been actually recovered</w:t>
      </w:r>
      <w:proofErr w:type="gramEnd"/>
      <w:r w:rsidR="00AC0C71">
        <w:t xml:space="preserve"> from customers and is </w:t>
      </w:r>
      <w:r w:rsidR="00E53055">
        <w:t>to be calculated '</w:t>
      </w:r>
      <w:r w:rsidRPr="00E53055">
        <w:t>by</w:t>
      </w:r>
      <w:r w:rsidRPr="00640593">
        <w:t xml:space="preserve"> using the actual revenue figures in the distributor's Regulatory Accounting Statements for each year of the [2009–15 period]'.</w:t>
      </w:r>
      <w:r>
        <w:rPr>
          <w:rStyle w:val="FootnoteReference"/>
        </w:rPr>
        <w:footnoteReference w:id="17"/>
      </w:r>
      <w:r w:rsidR="009A436D">
        <w:t xml:space="preserve"> </w:t>
      </w:r>
      <w:r w:rsidR="009A436D">
        <w:rPr>
          <w:rStyle w:val="AERbody"/>
        </w:rPr>
        <w:fldChar w:fldCharType="begin"/>
      </w:r>
      <w:r w:rsidR="009A436D">
        <w:rPr>
          <w:rStyle w:val="AERbody"/>
        </w:rPr>
        <w:instrText xml:space="preserve"> REF _Ref453083543 \h </w:instrText>
      </w:r>
      <w:r w:rsidR="009A436D">
        <w:rPr>
          <w:rStyle w:val="AERbody"/>
        </w:rPr>
      </w:r>
      <w:r w:rsidR="009A436D">
        <w:rPr>
          <w:rStyle w:val="AERbody"/>
        </w:rPr>
        <w:fldChar w:fldCharType="separate"/>
      </w:r>
      <w:r w:rsidR="0032238B">
        <w:t xml:space="preserve">Table </w:t>
      </w:r>
      <w:r w:rsidR="0032238B">
        <w:rPr>
          <w:noProof/>
        </w:rPr>
        <w:t>3</w:t>
      </w:r>
      <w:r w:rsidR="0032238B">
        <w:t>.</w:t>
      </w:r>
      <w:r w:rsidR="0032238B">
        <w:rPr>
          <w:noProof/>
        </w:rPr>
        <w:t>1</w:t>
      </w:r>
      <w:r w:rsidR="009A436D">
        <w:rPr>
          <w:rStyle w:val="AERbody"/>
        </w:rPr>
        <w:fldChar w:fldCharType="end"/>
      </w:r>
      <w:r w:rsidR="009A436D">
        <w:rPr>
          <w:rStyle w:val="AERbody"/>
        </w:rPr>
        <w:t xml:space="preserve"> sets out how AMI revenues and costs are to be calculated. </w:t>
      </w:r>
    </w:p>
    <w:p w:rsidR="009A436D" w:rsidRDefault="009A436D" w:rsidP="009A436D">
      <w:pPr>
        <w:pStyle w:val="Caption"/>
      </w:pPr>
      <w:bookmarkStart w:id="21" w:name="_Ref453083543"/>
      <w:proofErr w:type="gramStart"/>
      <w:r>
        <w:t xml:space="preserve">Table </w:t>
      </w:r>
      <w:fldSimple w:instr=" STYLEREF 1 \s ">
        <w:r w:rsidR="0032238B">
          <w:rPr>
            <w:noProof/>
          </w:rPr>
          <w:t>3</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1</w:t>
      </w:r>
      <w:r w:rsidR="005812E9">
        <w:rPr>
          <w:noProof/>
        </w:rPr>
        <w:fldChar w:fldCharType="end"/>
      </w:r>
      <w:bookmarkEnd w:id="21"/>
      <w:r>
        <w:tab/>
        <w:t>Calculation of costs and revenue under the Order</w:t>
      </w:r>
    </w:p>
    <w:tbl>
      <w:tblPr>
        <w:tblStyle w:val="AERtable-text0"/>
        <w:tblW w:w="0" w:type="auto"/>
        <w:tblLook w:val="04A0" w:firstRow="1" w:lastRow="0" w:firstColumn="1" w:lastColumn="0" w:noHBand="0" w:noVBand="1"/>
      </w:tblPr>
      <w:tblGrid>
        <w:gridCol w:w="2642"/>
        <w:gridCol w:w="3074"/>
        <w:gridCol w:w="2977"/>
      </w:tblGrid>
      <w:tr w:rsidR="009A436D" w:rsidTr="00040612">
        <w:trPr>
          <w:cnfStyle w:val="100000000000" w:firstRow="1" w:lastRow="0" w:firstColumn="0" w:lastColumn="0" w:oddVBand="0" w:evenVBand="0" w:oddHBand="0" w:evenHBand="0" w:firstRowFirstColumn="0" w:firstRowLastColumn="0" w:lastRowFirstColumn="0" w:lastRowLastColumn="0"/>
        </w:trPr>
        <w:tc>
          <w:tcPr>
            <w:tcW w:w="2642" w:type="dxa"/>
          </w:tcPr>
          <w:p w:rsidR="009A436D" w:rsidRPr="009A436D" w:rsidRDefault="009A436D" w:rsidP="009A436D">
            <w:r>
              <w:t>Year</w:t>
            </w:r>
          </w:p>
        </w:tc>
        <w:tc>
          <w:tcPr>
            <w:tcW w:w="3074" w:type="dxa"/>
          </w:tcPr>
          <w:p w:rsidR="009A436D" w:rsidRDefault="009A436D" w:rsidP="009A436D">
            <w:r>
              <w:t>Costs</w:t>
            </w:r>
          </w:p>
        </w:tc>
        <w:tc>
          <w:tcPr>
            <w:tcW w:w="2977" w:type="dxa"/>
          </w:tcPr>
          <w:p w:rsidR="009A436D" w:rsidRDefault="009A436D" w:rsidP="009A436D">
            <w:r>
              <w:t>Revenue</w:t>
            </w:r>
          </w:p>
        </w:tc>
      </w:tr>
      <w:tr w:rsidR="009A436D" w:rsidTr="00040612">
        <w:tc>
          <w:tcPr>
            <w:tcW w:w="2642" w:type="dxa"/>
          </w:tcPr>
          <w:p w:rsidR="009A436D" w:rsidRPr="009A436D" w:rsidRDefault="009A436D" w:rsidP="009A436D">
            <w:r>
              <w:t>2009, 2011, 2012 and 2013</w:t>
            </w:r>
          </w:p>
        </w:tc>
        <w:tc>
          <w:tcPr>
            <w:tcW w:w="3074" w:type="dxa"/>
          </w:tcPr>
          <w:p w:rsidR="009A436D" w:rsidRPr="009A436D" w:rsidRDefault="009A436D" w:rsidP="009A436D">
            <w:pPr>
              <w:rPr>
                <w:rStyle w:val="AERtextboldunderline"/>
              </w:rPr>
            </w:pPr>
            <w:r w:rsidRPr="009A436D">
              <w:rPr>
                <w:rStyle w:val="AERtextboldunderline"/>
              </w:rPr>
              <w:t>Already determined.</w:t>
            </w:r>
          </w:p>
          <w:p w:rsidR="009A436D" w:rsidRPr="009A436D" w:rsidRDefault="00AA098F" w:rsidP="00AA098F">
            <w:r>
              <w:t xml:space="preserve">Building block costs </w:t>
            </w:r>
            <w:proofErr w:type="gramStart"/>
            <w:r>
              <w:t>are taken</w:t>
            </w:r>
            <w:proofErr w:type="gramEnd"/>
            <w:r>
              <w:t xml:space="preserve"> from the </w:t>
            </w:r>
            <w:r w:rsidR="009A436D" w:rsidRPr="009A436D">
              <w:t>Revised Charges Determinations.</w:t>
            </w:r>
          </w:p>
        </w:tc>
        <w:tc>
          <w:tcPr>
            <w:tcW w:w="2977" w:type="dxa"/>
            <w:vMerge w:val="restart"/>
          </w:tcPr>
          <w:p w:rsidR="009A436D" w:rsidRPr="009A436D" w:rsidRDefault="009A436D" w:rsidP="009A436D">
            <w:r>
              <w:t xml:space="preserve">Revenue is to </w:t>
            </w:r>
            <w:proofErr w:type="gramStart"/>
            <w:r>
              <w:t>be calculated</w:t>
            </w:r>
            <w:proofErr w:type="gramEnd"/>
            <w:r>
              <w:t xml:space="preserve"> by using the actual revenue figures in the distributor's Regulatory Accounting Statements for each year of the initial regulatory period </w:t>
            </w:r>
            <w:r w:rsidRPr="009A436D">
              <w:t>(2009–15).</w:t>
            </w:r>
          </w:p>
        </w:tc>
      </w:tr>
      <w:tr w:rsidR="009A436D" w:rsidTr="00040612">
        <w:trPr>
          <w:cnfStyle w:val="000000010000" w:firstRow="0" w:lastRow="0" w:firstColumn="0" w:lastColumn="0" w:oddVBand="0" w:evenVBand="0" w:oddHBand="0" w:evenHBand="1" w:firstRowFirstColumn="0" w:firstRowLastColumn="0" w:lastRowFirstColumn="0" w:lastRowLastColumn="0"/>
        </w:trPr>
        <w:tc>
          <w:tcPr>
            <w:tcW w:w="2642" w:type="dxa"/>
          </w:tcPr>
          <w:p w:rsidR="009A436D" w:rsidRPr="009A436D" w:rsidRDefault="009A436D" w:rsidP="009A436D">
            <w:r>
              <w:t>2010</w:t>
            </w:r>
          </w:p>
        </w:tc>
        <w:tc>
          <w:tcPr>
            <w:tcW w:w="3074" w:type="dxa"/>
          </w:tcPr>
          <w:p w:rsidR="009A436D" w:rsidRPr="009A436D" w:rsidRDefault="009A436D" w:rsidP="009A436D">
            <w:pPr>
              <w:rPr>
                <w:rStyle w:val="AERtextboldunderline"/>
              </w:rPr>
            </w:pPr>
            <w:r w:rsidRPr="009A436D">
              <w:rPr>
                <w:rStyle w:val="AERtextboldunderline"/>
              </w:rPr>
              <w:t>Already determined.</w:t>
            </w:r>
          </w:p>
          <w:p w:rsidR="009A436D" w:rsidRPr="009A436D" w:rsidRDefault="00AA098F" w:rsidP="009A436D">
            <w:r>
              <w:t xml:space="preserve">Building block costs </w:t>
            </w:r>
            <w:proofErr w:type="gramStart"/>
            <w:r>
              <w:t>are taken</w:t>
            </w:r>
            <w:proofErr w:type="gramEnd"/>
            <w:r>
              <w:t xml:space="preserve"> from the</w:t>
            </w:r>
            <w:r w:rsidR="009A436D" w:rsidRPr="009A436D">
              <w:t xml:space="preserve"> 2012–15 Approved Budget.</w:t>
            </w:r>
          </w:p>
        </w:tc>
        <w:tc>
          <w:tcPr>
            <w:tcW w:w="2977" w:type="dxa"/>
            <w:vMerge/>
          </w:tcPr>
          <w:p w:rsidR="009A436D" w:rsidRDefault="009A436D" w:rsidP="009A436D"/>
        </w:tc>
      </w:tr>
      <w:tr w:rsidR="009A436D" w:rsidTr="00040612">
        <w:tc>
          <w:tcPr>
            <w:tcW w:w="2642" w:type="dxa"/>
          </w:tcPr>
          <w:p w:rsidR="009A436D" w:rsidRPr="009A436D" w:rsidRDefault="009A436D" w:rsidP="009A436D">
            <w:r>
              <w:t>2014</w:t>
            </w:r>
            <w:r w:rsidRPr="009A436D">
              <w:t>, 2015</w:t>
            </w:r>
          </w:p>
        </w:tc>
        <w:tc>
          <w:tcPr>
            <w:tcW w:w="3074" w:type="dxa"/>
          </w:tcPr>
          <w:p w:rsidR="009A436D" w:rsidRPr="009A436D" w:rsidRDefault="009A436D" w:rsidP="009A436D">
            <w:pPr>
              <w:rPr>
                <w:rStyle w:val="AERtextboldunderline"/>
              </w:rPr>
            </w:pPr>
            <w:r w:rsidRPr="009A436D">
              <w:rPr>
                <w:rStyle w:val="AERtextboldunderline"/>
              </w:rPr>
              <w:t>Not yet determined.</w:t>
            </w:r>
          </w:p>
          <w:p w:rsidR="009A436D" w:rsidRPr="009A436D" w:rsidRDefault="009A436D" w:rsidP="009A436D">
            <w:r>
              <w:t>We</w:t>
            </w:r>
            <w:r w:rsidRPr="009A436D">
              <w:t xml:space="preserve"> must determine the 2014 and 2015 b</w:t>
            </w:r>
            <w:r w:rsidR="00AA098F">
              <w:t>uilding block costs in this</w:t>
            </w:r>
            <w:r w:rsidRPr="009A436D">
              <w:t xml:space="preserve"> transition charges determination. </w:t>
            </w:r>
          </w:p>
        </w:tc>
        <w:tc>
          <w:tcPr>
            <w:tcW w:w="2977" w:type="dxa"/>
            <w:vMerge/>
          </w:tcPr>
          <w:p w:rsidR="009A436D" w:rsidRDefault="009A436D" w:rsidP="009A436D"/>
        </w:tc>
      </w:tr>
    </w:tbl>
    <w:p w:rsidR="009A436D" w:rsidRDefault="009A436D" w:rsidP="009A436D">
      <w:pPr>
        <w:pStyle w:val="AERtablesource"/>
        <w:rPr>
          <w:rStyle w:val="AERtextitalic"/>
        </w:rPr>
      </w:pPr>
      <w:r>
        <w:t>Source:</w:t>
      </w:r>
      <w:r>
        <w:tab/>
      </w:r>
      <w:r w:rsidRPr="000D6BDF">
        <w:rPr>
          <w:rStyle w:val="AERtextitalic"/>
        </w:rPr>
        <w:t>Victorian Advanced Metering Infrastructure Cost Recovery Order In Council</w:t>
      </w:r>
      <w:r>
        <w:rPr>
          <w:rStyle w:val="AERtextitalic"/>
        </w:rPr>
        <w:t>, cl 5L.4.</w:t>
      </w:r>
    </w:p>
    <w:p w:rsidR="009A436D" w:rsidRDefault="009A436D" w:rsidP="009A436D">
      <w:pPr>
        <w:rPr>
          <w:rStyle w:val="AERbody"/>
        </w:rPr>
      </w:pPr>
      <w:r>
        <w:rPr>
          <w:rStyle w:val="AERbody"/>
        </w:rPr>
        <w:t xml:space="preserve">As noted in </w:t>
      </w:r>
      <w:r>
        <w:rPr>
          <w:rStyle w:val="AERbody"/>
        </w:rPr>
        <w:fldChar w:fldCharType="begin"/>
      </w:r>
      <w:r>
        <w:rPr>
          <w:rStyle w:val="AERbody"/>
        </w:rPr>
        <w:instrText xml:space="preserve"> REF _Ref453083543 \h </w:instrText>
      </w:r>
      <w:r>
        <w:rPr>
          <w:rStyle w:val="AERbody"/>
        </w:rPr>
      </w:r>
      <w:r>
        <w:rPr>
          <w:rStyle w:val="AERbody"/>
        </w:rPr>
        <w:fldChar w:fldCharType="separate"/>
      </w:r>
      <w:r w:rsidR="0032238B">
        <w:t xml:space="preserve">Table </w:t>
      </w:r>
      <w:r w:rsidR="0032238B">
        <w:rPr>
          <w:noProof/>
        </w:rPr>
        <w:t>3</w:t>
      </w:r>
      <w:r w:rsidR="0032238B">
        <w:t>.</w:t>
      </w:r>
      <w:r w:rsidR="0032238B">
        <w:rPr>
          <w:noProof/>
        </w:rPr>
        <w:t>1</w:t>
      </w:r>
      <w:r>
        <w:rPr>
          <w:rStyle w:val="AERbody"/>
        </w:rPr>
        <w:fldChar w:fldCharType="end"/>
      </w:r>
      <w:r>
        <w:rPr>
          <w:rStyle w:val="AERbody"/>
        </w:rPr>
        <w:t xml:space="preserve"> above, we are required to determine the Victorian electricity distributors' 2014 and 2015 approved building block costs in making this determination. In doing this we must have regard to a number of factors. These include the application of 'scope' and 'prudency' tests.</w:t>
      </w:r>
      <w:r>
        <w:rPr>
          <w:rStyle w:val="FootnoteReference"/>
        </w:rPr>
        <w:footnoteReference w:id="18"/>
      </w:r>
      <w:r>
        <w:rPr>
          <w:rStyle w:val="AERbody"/>
        </w:rPr>
        <w:t xml:space="preserve"> </w:t>
      </w:r>
    </w:p>
    <w:p w:rsidR="00AE418D" w:rsidRDefault="00AE418D" w:rsidP="000E55FD">
      <w:pPr>
        <w:pStyle w:val="Heading3"/>
      </w:pPr>
      <w:bookmarkStart w:id="22" w:name="_Toc467654513"/>
      <w:r>
        <w:t>Metering asset base true–up</w:t>
      </w:r>
      <w:bookmarkEnd w:id="22"/>
    </w:p>
    <w:p w:rsidR="009A436D" w:rsidRDefault="009A436D" w:rsidP="00AE418D">
      <w:r>
        <w:t>The second true–up adjustment relates to the metering asset base (MAB).</w:t>
      </w:r>
    </w:p>
    <w:p w:rsidR="00AE418D" w:rsidRDefault="00AE418D" w:rsidP="00AE418D">
      <w:r w:rsidRPr="00D4283A">
        <w:t xml:space="preserve">We calculated an opening MAB value for each of the Victorian electricity distributors in our </w:t>
      </w:r>
      <w:r>
        <w:t>2016–2020 distribution determination</w:t>
      </w:r>
      <w:r w:rsidRPr="00D4283A">
        <w:t xml:space="preserve">. These MAB values </w:t>
      </w:r>
      <w:proofErr w:type="gramStart"/>
      <w:r w:rsidRPr="00D4283A">
        <w:t>were based</w:t>
      </w:r>
      <w:proofErr w:type="gramEnd"/>
      <w:r w:rsidRPr="00D4283A">
        <w:t xml:space="preserve"> on actual capex from 2011 to 2013. However, we used forecast capex for 2014 and 2015. These forecast amounts </w:t>
      </w:r>
      <w:proofErr w:type="gramStart"/>
      <w:r w:rsidRPr="00D4283A">
        <w:t>were taken</w:t>
      </w:r>
      <w:proofErr w:type="gramEnd"/>
      <w:r>
        <w:t xml:space="preserve"> from</w:t>
      </w:r>
      <w:r w:rsidRPr="00D4283A">
        <w:t xml:space="preserve"> </w:t>
      </w:r>
      <w:r>
        <w:t>the Victorian distributors' 2015 AMI Charges Revision Applications.</w:t>
      </w:r>
      <w:r>
        <w:rPr>
          <w:rStyle w:val="FootnoteReference"/>
        </w:rPr>
        <w:footnoteReference w:id="19"/>
      </w:r>
      <w:r>
        <w:t xml:space="preserve"> The 2014 and 2015 capex amounts that were an input into our calculation of the opening MAB in our 2016–20</w:t>
      </w:r>
      <w:r w:rsidR="00157A24">
        <w:t>20</w:t>
      </w:r>
      <w:r>
        <w:t xml:space="preserve"> distribution determination therefore reflect the Victorian distributors' forecasts, </w:t>
      </w:r>
      <w:r w:rsidR="000254C6">
        <w:t xml:space="preserve">submitted </w:t>
      </w:r>
      <w:r>
        <w:t xml:space="preserve">in August 2014.  </w:t>
      </w:r>
    </w:p>
    <w:p w:rsidR="00706790" w:rsidRPr="00D4283A" w:rsidRDefault="00AE418D" w:rsidP="00AE418D">
      <w:r w:rsidRPr="00D4283A">
        <w:t xml:space="preserve">To </w:t>
      </w:r>
      <w:r w:rsidR="000254C6">
        <w:t xml:space="preserve">update these capex forecast values </w:t>
      </w:r>
      <w:r w:rsidR="006D63F1">
        <w:t>with actual amounts</w:t>
      </w:r>
      <w:r w:rsidRPr="00D4283A">
        <w:t>, we are required to make a revenue adjustment.</w:t>
      </w:r>
      <w:r w:rsidRPr="00D4283A">
        <w:rPr>
          <w:rStyle w:val="FootnoteReference"/>
        </w:rPr>
        <w:footnoteReference w:id="20"/>
      </w:r>
      <w:r w:rsidRPr="00D4283A">
        <w:t xml:space="preserve"> This involves, first, calculating the return on capital and depreciation building blocks </w:t>
      </w:r>
      <w:r>
        <w:t xml:space="preserve">components </w:t>
      </w:r>
      <w:r w:rsidRPr="00D4283A">
        <w:t xml:space="preserve">using the opening MAB value set in our </w:t>
      </w:r>
      <w:r>
        <w:t xml:space="preserve">2016–2020 distribution </w:t>
      </w:r>
      <w:r w:rsidRPr="00D4283A">
        <w:t xml:space="preserve">determination. We are then required to perform the same calculation again. However, when making the calculation the second time we are required to </w:t>
      </w:r>
      <w:r>
        <w:t xml:space="preserve">use the actual capex amounts for 2014 and 2015 which have been determined in this </w:t>
      </w:r>
      <w:r w:rsidR="002B36BB">
        <w:t>f</w:t>
      </w:r>
      <w:r w:rsidR="001E1EA0">
        <w:t>inal</w:t>
      </w:r>
      <w:r>
        <w:t xml:space="preserve"> decision</w:t>
      </w:r>
      <w:r w:rsidRPr="00D4283A">
        <w:t xml:space="preserve">. The difference between these two calculations produces a higher (or lower) revenue amount which a distributor must recover (or return) to customers. This higher (or lower) amount </w:t>
      </w:r>
      <w:r>
        <w:t>is included or accounted for in</w:t>
      </w:r>
      <w:r w:rsidRPr="00D4283A">
        <w:t xml:space="preserve"> the transition charge. </w:t>
      </w:r>
    </w:p>
    <w:p w:rsidR="00AE418D" w:rsidRPr="0052146F" w:rsidRDefault="00AE418D" w:rsidP="00AE418D">
      <w:pPr>
        <w:rPr>
          <w:rStyle w:val="AERbody"/>
        </w:rPr>
      </w:pPr>
      <w:r w:rsidRPr="00163DFA">
        <w:t>Through this process,</w:t>
      </w:r>
      <w:r w:rsidRPr="00163DFA" w:rsidDel="00434BEC">
        <w:t xml:space="preserve"> </w:t>
      </w:r>
      <w:r w:rsidRPr="00163DFA">
        <w:t xml:space="preserve">we will not be </w:t>
      </w:r>
      <w:r>
        <w:t xml:space="preserve">actually </w:t>
      </w:r>
      <w:r w:rsidRPr="00163DFA">
        <w:t>amending the MAB value or building blocks approved in the 2016–20</w:t>
      </w:r>
      <w:r>
        <w:t>20 distribution determination.</w:t>
      </w:r>
      <w:r w:rsidRPr="00163DFA">
        <w:t xml:space="preserve"> They will remain </w:t>
      </w:r>
      <w:r>
        <w:t>the same</w:t>
      </w:r>
      <w:r w:rsidRPr="00163DFA">
        <w:t xml:space="preserve">. Any differences in the return on capital and depreciation building blocks </w:t>
      </w:r>
      <w:proofErr w:type="gramStart"/>
      <w:r w:rsidRPr="00163DFA">
        <w:t>will be adjusted</w:t>
      </w:r>
      <w:proofErr w:type="gramEnd"/>
      <w:r w:rsidRPr="00163DFA">
        <w:t xml:space="preserve"> for via a revenue adjustment, incorporated into the transition charge.</w:t>
      </w:r>
      <w:r>
        <w:t xml:space="preserve"> In this way, we do not have to reopen the 2016–2020 distribution determination</w:t>
      </w:r>
      <w:r w:rsidR="00E21CDF">
        <w:t xml:space="preserve"> in relation to smart metering</w:t>
      </w:r>
      <w:r w:rsidR="000254C6">
        <w:t xml:space="preserve"> services</w:t>
      </w:r>
      <w:r>
        <w:t>.</w:t>
      </w:r>
    </w:p>
    <w:p w:rsidR="00511D62" w:rsidRDefault="00D25591" w:rsidP="00511D62">
      <w:pPr>
        <w:pStyle w:val="Heading1"/>
      </w:pPr>
      <w:bookmarkStart w:id="23" w:name="_Ref459906016"/>
      <w:bookmarkStart w:id="24" w:name="_Toc467654514"/>
      <w:r>
        <w:t>AusNet Services</w:t>
      </w:r>
      <w:bookmarkEnd w:id="23"/>
      <w:bookmarkEnd w:id="24"/>
    </w:p>
    <w:p w:rsidR="00205813" w:rsidRDefault="00205813" w:rsidP="00205813">
      <w:r>
        <w:t>We have calculated a substitute transition charge for AusNet Services that accepts some aspects of its revised proposal including an increased</w:t>
      </w:r>
      <w:r w:rsidRPr="00205813">
        <w:t xml:space="preserve"> allowance </w:t>
      </w:r>
      <w:r>
        <w:t>for</w:t>
      </w:r>
      <w:r w:rsidRPr="00205813">
        <w:t xml:space="preserve"> 3G communications infill</w:t>
      </w:r>
      <w:r>
        <w:t>.</w:t>
      </w:r>
    </w:p>
    <w:p w:rsidR="00205813" w:rsidRDefault="00205813" w:rsidP="00205813">
      <w:r w:rsidRPr="00205813">
        <w:t xml:space="preserve">Our draft decision on AusNet Services’ excess expenditure </w:t>
      </w:r>
      <w:r w:rsidR="00D41B2A">
        <w:t>required</w:t>
      </w:r>
      <w:r>
        <w:t xml:space="preserve"> </w:t>
      </w:r>
      <w:r w:rsidR="005145D9">
        <w:t>AusNet Services</w:t>
      </w:r>
      <w:r>
        <w:t xml:space="preserve"> </w:t>
      </w:r>
      <w:proofErr w:type="gramStart"/>
      <w:r w:rsidR="00D41B2A">
        <w:t xml:space="preserve">to </w:t>
      </w:r>
      <w:r>
        <w:t xml:space="preserve"> refund</w:t>
      </w:r>
      <w:proofErr w:type="gramEnd"/>
      <w:r>
        <w:t xml:space="preserve"> </w:t>
      </w:r>
      <w:r w:rsidRPr="00205813">
        <w:t xml:space="preserve">$62.1 million ($2018) to consumers. </w:t>
      </w:r>
    </w:p>
    <w:p w:rsidR="002D47D1" w:rsidRDefault="00205813" w:rsidP="000837DF">
      <w:r w:rsidRPr="00205813">
        <w:t xml:space="preserve">In its revised proposal, AusNet </w:t>
      </w:r>
      <w:r w:rsidR="005145D9">
        <w:t xml:space="preserve">Services </w:t>
      </w:r>
      <w:r w:rsidRPr="00205813">
        <w:t xml:space="preserve">submitted that it be required to return to customers $23.4 million ($2018). </w:t>
      </w:r>
      <w:r>
        <w:t>In arriving at our final decision, w</w:t>
      </w:r>
      <w:r w:rsidRPr="00205813">
        <w:t xml:space="preserve">e have considered the information provided in AusNet Services’ revised proposals </w:t>
      </w:r>
      <w:r>
        <w:t xml:space="preserve">as well as the Victorian </w:t>
      </w:r>
      <w:r w:rsidR="005145D9">
        <w:t>G</w:t>
      </w:r>
      <w:r>
        <w:t>overnment's submission</w:t>
      </w:r>
      <w:r w:rsidR="00DD1C4E">
        <w:t xml:space="preserve"> on the initial proposal</w:t>
      </w:r>
      <w:r>
        <w:t>.</w:t>
      </w:r>
      <w:r w:rsidR="00DD1C4E">
        <w:rPr>
          <w:rStyle w:val="FootnoteReference"/>
        </w:rPr>
        <w:footnoteReference w:id="21"/>
      </w:r>
    </w:p>
    <w:p w:rsidR="00AF19A7" w:rsidRDefault="001E1EA0" w:rsidP="002200BA">
      <w:pPr>
        <w:pStyle w:val="Heading2"/>
      </w:pPr>
      <w:bookmarkStart w:id="25" w:name="_Toc467654515"/>
      <w:r>
        <w:t>Final</w:t>
      </w:r>
      <w:r w:rsidR="00AF19A7">
        <w:t xml:space="preserve"> decision</w:t>
      </w:r>
      <w:bookmarkEnd w:id="25"/>
    </w:p>
    <w:p w:rsidR="00C5458E" w:rsidRDefault="00EA403A" w:rsidP="00EA403A">
      <w:r w:rsidRPr="00EA403A">
        <w:t xml:space="preserve">Our </w:t>
      </w:r>
      <w:r w:rsidR="00FB4397">
        <w:t>f</w:t>
      </w:r>
      <w:r w:rsidR="001E1EA0">
        <w:t>inal</w:t>
      </w:r>
      <w:r w:rsidRPr="00EA403A">
        <w:t xml:space="preserve"> decision provides for a neg</w:t>
      </w:r>
      <w:r w:rsidR="005A119A">
        <w:t>ativ</w:t>
      </w:r>
      <w:r w:rsidR="005F343A">
        <w:t>e transition charge of $</w:t>
      </w:r>
      <w:r w:rsidR="00A95A55">
        <w:t>52.7</w:t>
      </w:r>
      <w:r w:rsidRPr="00EA403A">
        <w:t xml:space="preserve"> million ($2018). </w:t>
      </w:r>
    </w:p>
    <w:p w:rsidR="00A83852" w:rsidRDefault="00A83852" w:rsidP="00EA403A">
      <w:r>
        <w:t xml:space="preserve">Under the Order, the calculation of AusNet Services' transition charge must consist of </w:t>
      </w:r>
      <w:proofErr w:type="gramStart"/>
      <w:r>
        <w:t>a revenue</w:t>
      </w:r>
      <w:proofErr w:type="gramEnd"/>
      <w:r>
        <w:t xml:space="preserve"> and costs true–up and a MAB adjustment (see section </w:t>
      </w:r>
      <w:r>
        <w:fldChar w:fldCharType="begin"/>
      </w:r>
      <w:r>
        <w:instrText xml:space="preserve"> REF _Ref461458739 \n \h </w:instrText>
      </w:r>
      <w:r>
        <w:fldChar w:fldCharType="separate"/>
      </w:r>
      <w:r w:rsidR="0032238B">
        <w:t>3.1</w:t>
      </w:r>
      <w:r>
        <w:fldChar w:fldCharType="end"/>
      </w:r>
      <w:r>
        <w:t>).</w:t>
      </w:r>
      <w:r>
        <w:rPr>
          <w:rStyle w:val="FootnoteReference"/>
        </w:rPr>
        <w:footnoteReference w:id="22"/>
      </w:r>
      <w:r>
        <w:t xml:space="preserve"> A</w:t>
      </w:r>
      <w:r w:rsidR="00365502">
        <w:t xml:space="preserve">usNet Services' </w:t>
      </w:r>
      <w:r w:rsidR="00FB4397">
        <w:t xml:space="preserve">initial </w:t>
      </w:r>
      <w:r w:rsidR="00365502">
        <w:t>application</w:t>
      </w:r>
      <w:r>
        <w:t xml:space="preserve"> included the revenue and costs true–up in the calculation of its proposed transition charge</w:t>
      </w:r>
      <w:r w:rsidR="00365502">
        <w:t xml:space="preserve"> but </w:t>
      </w:r>
      <w:r w:rsidR="000254C6">
        <w:t xml:space="preserve">did </w:t>
      </w:r>
      <w:r w:rsidR="00365502">
        <w:t xml:space="preserve">not </w:t>
      </w:r>
      <w:r w:rsidR="000254C6">
        <w:t xml:space="preserve">include </w:t>
      </w:r>
      <w:r w:rsidR="00365502">
        <w:t>the MAB adjustment</w:t>
      </w:r>
      <w:r>
        <w:t xml:space="preserve">. </w:t>
      </w:r>
      <w:r w:rsidR="00FB4397">
        <w:t xml:space="preserve">Its submission on our draft decision, however, accepted that the Order requires </w:t>
      </w:r>
      <w:r w:rsidR="004B150D">
        <w:t>a</w:t>
      </w:r>
      <w:r w:rsidR="00FB4397">
        <w:t xml:space="preserve"> MAB adjustment.</w:t>
      </w:r>
      <w:r w:rsidR="00A7732C">
        <w:rPr>
          <w:rStyle w:val="FootnoteReference"/>
        </w:rPr>
        <w:footnoteReference w:id="23"/>
      </w:r>
    </w:p>
    <w:p w:rsidR="0032238B" w:rsidRDefault="00EB0E89" w:rsidP="00DD1C4E">
      <w:r>
        <w:fldChar w:fldCharType="begin"/>
      </w:r>
      <w:r>
        <w:instrText xml:space="preserve"> REF _Ref466632419 \h </w:instrText>
      </w:r>
      <w:r>
        <w:fldChar w:fldCharType="separate"/>
      </w:r>
    </w:p>
    <w:p w:rsidR="00DD1C4E" w:rsidRDefault="0032238B" w:rsidP="00DD1C4E">
      <w:r>
        <w:t xml:space="preserve">Table </w:t>
      </w:r>
      <w:r>
        <w:rPr>
          <w:noProof/>
        </w:rPr>
        <w:t>4</w:t>
      </w:r>
      <w:r>
        <w:t>.</w:t>
      </w:r>
      <w:r>
        <w:rPr>
          <w:noProof/>
        </w:rPr>
        <w:t>1</w:t>
      </w:r>
      <w:r w:rsidR="00EB0E89">
        <w:fldChar w:fldCharType="end"/>
      </w:r>
      <w:r w:rsidR="00EB0E89">
        <w:t xml:space="preserve"> </w:t>
      </w:r>
      <w:r w:rsidR="006715B3">
        <w:t xml:space="preserve">sets out the components that make up our </w:t>
      </w:r>
      <w:r w:rsidR="00FB4397">
        <w:t>f</w:t>
      </w:r>
      <w:r w:rsidR="001E1EA0">
        <w:t>inal</w:t>
      </w:r>
      <w:r w:rsidR="00051190">
        <w:t xml:space="preserve"> decision. </w:t>
      </w:r>
      <w:r w:rsidR="00732808">
        <w:t>It shows that our </w:t>
      </w:r>
      <w:r w:rsidR="00FB4397">
        <w:t>f</w:t>
      </w:r>
      <w:r w:rsidR="001E1EA0">
        <w:t>inal</w:t>
      </w:r>
      <w:r w:rsidR="006D3CCA">
        <w:t xml:space="preserve"> decision transition charge consists of a revenue and costs true–up</w:t>
      </w:r>
      <w:r w:rsidR="00732808">
        <w:t xml:space="preserve"> of </w:t>
      </w:r>
      <w:r w:rsidR="003D3DB2">
        <w:t xml:space="preserve">negative </w:t>
      </w:r>
      <w:r w:rsidR="00732808">
        <w:t>$</w:t>
      </w:r>
      <w:r w:rsidR="00A95A55">
        <w:t>39.1</w:t>
      </w:r>
      <w:r w:rsidR="00732808">
        <w:t xml:space="preserve"> million ($2018)</w:t>
      </w:r>
      <w:r w:rsidR="006D3CCA">
        <w:t xml:space="preserve"> </w:t>
      </w:r>
      <w:r w:rsidR="00FB4397">
        <w:t>plus a</w:t>
      </w:r>
      <w:r w:rsidR="006D3CCA">
        <w:t xml:space="preserve"> </w:t>
      </w:r>
      <w:r w:rsidR="00732808">
        <w:t xml:space="preserve">MAB </w:t>
      </w:r>
      <w:r w:rsidR="003B5A94">
        <w:t>adjustment</w:t>
      </w:r>
      <w:r w:rsidR="00732808">
        <w:t xml:space="preserve"> of </w:t>
      </w:r>
      <w:r w:rsidR="003D3DB2">
        <w:t xml:space="preserve">negative </w:t>
      </w:r>
      <w:r w:rsidR="005F343A">
        <w:t>$</w:t>
      </w:r>
      <w:r w:rsidR="00A95A55">
        <w:t>13.5</w:t>
      </w:r>
      <w:r w:rsidR="00732808">
        <w:t xml:space="preserve"> million ($2018)</w:t>
      </w:r>
      <w:r w:rsidR="003D3DB2">
        <w:t xml:space="preserve"> giving a total transition charge of </w:t>
      </w:r>
      <w:r w:rsidR="005F343A">
        <w:t>negative $</w:t>
      </w:r>
      <w:r w:rsidR="00A95A55">
        <w:t>52.7</w:t>
      </w:r>
      <w:r w:rsidR="003D3DB2">
        <w:t xml:space="preserve"> million ($2018)</w:t>
      </w:r>
      <w:r w:rsidR="006D3CCA">
        <w:t>.</w:t>
      </w:r>
      <w:r w:rsidR="00FB4397">
        <w:t xml:space="preserve"> This is a lower return to customers than our draft decision</w:t>
      </w:r>
      <w:r w:rsidR="004B150D">
        <w:t xml:space="preserve"> but </w:t>
      </w:r>
      <w:r w:rsidR="00855B97">
        <w:t>more than</w:t>
      </w:r>
      <w:r w:rsidR="004B150D">
        <w:t xml:space="preserve"> double the amo</w:t>
      </w:r>
      <w:r w:rsidR="00A95A55">
        <w:t>unt proposed by AusNet Services</w:t>
      </w:r>
      <w:r w:rsidR="00D41B2A">
        <w:t xml:space="preserve"> in their revised proposal</w:t>
      </w:r>
      <w:r w:rsidR="00FB4397">
        <w:t xml:space="preserve">. </w:t>
      </w:r>
      <w:r w:rsidR="00361C94">
        <w:t xml:space="preserve">The lower return is due to our final decision to accept </w:t>
      </w:r>
      <w:r w:rsidR="00A7732C">
        <w:t>more</w:t>
      </w:r>
      <w:r w:rsidR="00361C94">
        <w:t xml:space="preserve"> excess expenditure than in our draft decision (see section </w:t>
      </w:r>
      <w:r w:rsidR="00361C94">
        <w:fldChar w:fldCharType="begin"/>
      </w:r>
      <w:r w:rsidR="00361C94">
        <w:instrText xml:space="preserve"> REF _Ref461204081 \n \h </w:instrText>
      </w:r>
      <w:r w:rsidR="00361C94">
        <w:fldChar w:fldCharType="separate"/>
      </w:r>
      <w:r>
        <w:t>4.2</w:t>
      </w:r>
      <w:r w:rsidR="00361C94">
        <w:fldChar w:fldCharType="end"/>
      </w:r>
      <w:r w:rsidR="00361C94">
        <w:t>).</w:t>
      </w:r>
      <w:r w:rsidR="003457D3">
        <w:t xml:space="preserve"> In calculating the transition charge, we also used updated WACC and CPI numbers which were not available </w:t>
      </w:r>
      <w:r w:rsidR="008E3907">
        <w:t>when we made our</w:t>
      </w:r>
      <w:r w:rsidR="003457D3">
        <w:t xml:space="preserve"> draft decision.</w:t>
      </w:r>
      <w:r w:rsidR="004B150D">
        <w:rPr>
          <w:rStyle w:val="FootnoteReference"/>
        </w:rPr>
        <w:footnoteReference w:id="24"/>
      </w:r>
      <w:bookmarkStart w:id="26" w:name="_Ref466632419"/>
    </w:p>
    <w:p w:rsidR="00434015" w:rsidRDefault="00AF6B52" w:rsidP="00AF6B52">
      <w:pPr>
        <w:pStyle w:val="Caption"/>
      </w:pPr>
      <w:proofErr w:type="gramStart"/>
      <w:r>
        <w:t xml:space="preserve">Table </w:t>
      </w:r>
      <w:fldSimple w:instr=" STYLEREF 1 \s ">
        <w:r w:rsidR="0032238B">
          <w:rPr>
            <w:noProof/>
          </w:rPr>
          <w:t>4</w:t>
        </w:r>
      </w:fldSimple>
      <w:r w:rsidR="002F1365">
        <w:t>.</w:t>
      </w:r>
      <w:proofErr w:type="gramEnd"/>
      <w:r w:rsidR="0032238B">
        <w:fldChar w:fldCharType="begin"/>
      </w:r>
      <w:r w:rsidR="0032238B">
        <w:instrText xml:space="preserve"> SEQ Table \* ARABIC \s 1 </w:instrText>
      </w:r>
      <w:r w:rsidR="0032238B">
        <w:fldChar w:fldCharType="separate"/>
      </w:r>
      <w:r w:rsidR="0032238B">
        <w:rPr>
          <w:noProof/>
        </w:rPr>
        <w:t>1</w:t>
      </w:r>
      <w:r w:rsidR="0032238B">
        <w:rPr>
          <w:noProof/>
        </w:rPr>
        <w:fldChar w:fldCharType="end"/>
      </w:r>
      <w:bookmarkEnd w:id="26"/>
      <w:r w:rsidR="00434015">
        <w:tab/>
      </w:r>
      <w:r w:rsidR="001E1EA0">
        <w:t>Final</w:t>
      </w:r>
      <w:r w:rsidR="00434015">
        <w:t xml:space="preserve"> decision transition charge ($2018)</w:t>
      </w:r>
    </w:p>
    <w:tbl>
      <w:tblPr>
        <w:tblStyle w:val="AERtable-numbers"/>
        <w:tblW w:w="0" w:type="auto"/>
        <w:tblLook w:val="04A0" w:firstRow="1" w:lastRow="0" w:firstColumn="1" w:lastColumn="0" w:noHBand="0" w:noVBand="1"/>
      </w:tblPr>
      <w:tblGrid>
        <w:gridCol w:w="2173"/>
        <w:gridCol w:w="2173"/>
        <w:gridCol w:w="2173"/>
        <w:gridCol w:w="2174"/>
      </w:tblGrid>
      <w:tr w:rsidR="00EB0E89" w:rsidTr="00EB0E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EB0E89" w:rsidRDefault="00EB0E89" w:rsidP="00EA403A"/>
        </w:tc>
        <w:tc>
          <w:tcPr>
            <w:tcW w:w="2173" w:type="dxa"/>
          </w:tcPr>
          <w:p w:rsidR="00EB0E89" w:rsidRDefault="00EB0E89" w:rsidP="00EB0E89">
            <w:pPr>
              <w:cnfStyle w:val="100000000000" w:firstRow="1" w:lastRow="0" w:firstColumn="0" w:lastColumn="0" w:oddVBand="0" w:evenVBand="0" w:oddHBand="0" w:evenHBand="0" w:firstRowFirstColumn="0" w:firstRowLastColumn="0" w:lastRowFirstColumn="0" w:lastRowLastColumn="0"/>
            </w:pPr>
            <w:r>
              <w:t>Revenue and costs    true–up</w:t>
            </w:r>
          </w:p>
        </w:tc>
        <w:tc>
          <w:tcPr>
            <w:tcW w:w="2173" w:type="dxa"/>
          </w:tcPr>
          <w:p w:rsidR="00EB0E89" w:rsidRDefault="00EB0E89" w:rsidP="00EA403A">
            <w:pPr>
              <w:cnfStyle w:val="100000000000" w:firstRow="1" w:lastRow="0" w:firstColumn="0" w:lastColumn="0" w:oddVBand="0" w:evenVBand="0" w:oddHBand="0" w:evenHBand="0" w:firstRowFirstColumn="0" w:firstRowLastColumn="0" w:lastRowFirstColumn="0" w:lastRowLastColumn="0"/>
            </w:pPr>
            <w:r>
              <w:t>Metering asset base true–up</w:t>
            </w:r>
          </w:p>
        </w:tc>
        <w:tc>
          <w:tcPr>
            <w:tcW w:w="2174" w:type="dxa"/>
          </w:tcPr>
          <w:p w:rsidR="00EB0E89" w:rsidRDefault="00EB0E89" w:rsidP="00EA403A">
            <w:pPr>
              <w:cnfStyle w:val="100000000000" w:firstRow="1" w:lastRow="0" w:firstColumn="0" w:lastColumn="0" w:oddVBand="0" w:evenVBand="0" w:oddHBand="0" w:evenHBand="0" w:firstRowFirstColumn="0" w:firstRowLastColumn="0" w:lastRowFirstColumn="0" w:lastRowLastColumn="0"/>
            </w:pPr>
            <w:r>
              <w:t>Transition charge</w:t>
            </w:r>
          </w:p>
        </w:tc>
      </w:tr>
      <w:tr w:rsidR="00EB0E89" w:rsidTr="00EB0E89">
        <w:tc>
          <w:tcPr>
            <w:cnfStyle w:val="001000000000" w:firstRow="0" w:lastRow="0" w:firstColumn="1" w:lastColumn="0" w:oddVBand="0" w:evenVBand="0" w:oddHBand="0" w:evenHBand="0" w:firstRowFirstColumn="0" w:firstRowLastColumn="0" w:lastRowFirstColumn="0" w:lastRowLastColumn="0"/>
            <w:tcW w:w="2173" w:type="dxa"/>
          </w:tcPr>
          <w:p w:rsidR="00EB0E89" w:rsidRDefault="00EB0E89" w:rsidP="00EA403A">
            <w:r>
              <w:t>Initial proposal</w:t>
            </w:r>
          </w:p>
        </w:tc>
        <w:tc>
          <w:tcPr>
            <w:tcW w:w="2173" w:type="dxa"/>
          </w:tcPr>
          <w:p w:rsidR="00EB0E89" w:rsidRDefault="00210B34" w:rsidP="00EA403A">
            <w:pPr>
              <w:cnfStyle w:val="000000000000" w:firstRow="0" w:lastRow="0" w:firstColumn="0" w:lastColumn="0" w:oddVBand="0" w:evenVBand="0" w:oddHBand="0" w:evenHBand="0" w:firstRowFirstColumn="0" w:firstRowLastColumn="0" w:lastRowFirstColumn="0" w:lastRowLastColumn="0"/>
            </w:pPr>
            <w:r>
              <w:t>(25.5)</w:t>
            </w:r>
          </w:p>
        </w:tc>
        <w:tc>
          <w:tcPr>
            <w:tcW w:w="2173" w:type="dxa"/>
          </w:tcPr>
          <w:p w:rsidR="00EB0E89" w:rsidRDefault="00210B34" w:rsidP="00EA403A">
            <w:pPr>
              <w:cnfStyle w:val="000000000000" w:firstRow="0" w:lastRow="0" w:firstColumn="0" w:lastColumn="0" w:oddVBand="0" w:evenVBand="0" w:oddHBand="0" w:evenHBand="0" w:firstRowFirstColumn="0" w:firstRowLastColumn="0" w:lastRowFirstColumn="0" w:lastRowLastColumn="0"/>
            </w:pPr>
            <w:r>
              <w:t>0.0</w:t>
            </w:r>
          </w:p>
        </w:tc>
        <w:tc>
          <w:tcPr>
            <w:tcW w:w="2174" w:type="dxa"/>
          </w:tcPr>
          <w:p w:rsidR="00EB0E89" w:rsidRDefault="00210B34" w:rsidP="00EA403A">
            <w:pPr>
              <w:cnfStyle w:val="000000000000" w:firstRow="0" w:lastRow="0" w:firstColumn="0" w:lastColumn="0" w:oddVBand="0" w:evenVBand="0" w:oddHBand="0" w:evenHBand="0" w:firstRowFirstColumn="0" w:firstRowLastColumn="0" w:lastRowFirstColumn="0" w:lastRowLastColumn="0"/>
            </w:pPr>
            <w:r>
              <w:t>(25.5)</w:t>
            </w:r>
          </w:p>
        </w:tc>
      </w:tr>
      <w:tr w:rsidR="00EB0E89" w:rsidTr="00EB0E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EB0E89" w:rsidRDefault="00EB0E89" w:rsidP="00EA403A">
            <w:r>
              <w:t>Draft decision</w:t>
            </w:r>
          </w:p>
        </w:tc>
        <w:tc>
          <w:tcPr>
            <w:tcW w:w="2173" w:type="dxa"/>
          </w:tcPr>
          <w:p w:rsidR="00EB0E89" w:rsidRDefault="00EB0E89" w:rsidP="00EA403A">
            <w:pPr>
              <w:cnfStyle w:val="000000010000" w:firstRow="0" w:lastRow="0" w:firstColumn="0" w:lastColumn="0" w:oddVBand="0" w:evenVBand="0" w:oddHBand="0" w:evenHBand="1" w:firstRowFirstColumn="0" w:firstRowLastColumn="0" w:lastRowFirstColumn="0" w:lastRowLastColumn="0"/>
            </w:pPr>
            <w:r>
              <w:t>(42.0)</w:t>
            </w:r>
          </w:p>
        </w:tc>
        <w:tc>
          <w:tcPr>
            <w:tcW w:w="2173" w:type="dxa"/>
          </w:tcPr>
          <w:p w:rsidR="00EB0E89" w:rsidRDefault="00EB0E89" w:rsidP="00EA403A">
            <w:pPr>
              <w:cnfStyle w:val="000000010000" w:firstRow="0" w:lastRow="0" w:firstColumn="0" w:lastColumn="0" w:oddVBand="0" w:evenVBand="0" w:oddHBand="0" w:evenHBand="1" w:firstRowFirstColumn="0" w:firstRowLastColumn="0" w:lastRowFirstColumn="0" w:lastRowLastColumn="0"/>
            </w:pPr>
            <w:r>
              <w:t>(20.1)</w:t>
            </w:r>
          </w:p>
        </w:tc>
        <w:tc>
          <w:tcPr>
            <w:tcW w:w="2174" w:type="dxa"/>
          </w:tcPr>
          <w:p w:rsidR="00EB0E89" w:rsidRDefault="00EB0E89" w:rsidP="00EA403A">
            <w:pPr>
              <w:cnfStyle w:val="000000010000" w:firstRow="0" w:lastRow="0" w:firstColumn="0" w:lastColumn="0" w:oddVBand="0" w:evenVBand="0" w:oddHBand="0" w:evenHBand="1" w:firstRowFirstColumn="0" w:firstRowLastColumn="0" w:lastRowFirstColumn="0" w:lastRowLastColumn="0"/>
            </w:pPr>
            <w:r>
              <w:t>(62.1)</w:t>
            </w:r>
          </w:p>
        </w:tc>
      </w:tr>
      <w:tr w:rsidR="00EB0E89" w:rsidTr="00EB0E89">
        <w:tc>
          <w:tcPr>
            <w:cnfStyle w:val="001000000000" w:firstRow="0" w:lastRow="0" w:firstColumn="1" w:lastColumn="0" w:oddVBand="0" w:evenVBand="0" w:oddHBand="0" w:evenHBand="0" w:firstRowFirstColumn="0" w:firstRowLastColumn="0" w:lastRowFirstColumn="0" w:lastRowLastColumn="0"/>
            <w:tcW w:w="2173" w:type="dxa"/>
          </w:tcPr>
          <w:p w:rsidR="00EB0E89" w:rsidRDefault="00EB0E89" w:rsidP="00EA403A">
            <w:r>
              <w:t>Revised proposal</w:t>
            </w:r>
          </w:p>
        </w:tc>
        <w:tc>
          <w:tcPr>
            <w:tcW w:w="2173" w:type="dxa"/>
          </w:tcPr>
          <w:p w:rsidR="00EB0E89" w:rsidRDefault="00210B34" w:rsidP="00EA403A">
            <w:pPr>
              <w:cnfStyle w:val="000000000000" w:firstRow="0" w:lastRow="0" w:firstColumn="0" w:lastColumn="0" w:oddVBand="0" w:evenVBand="0" w:oddHBand="0" w:evenHBand="0" w:firstRowFirstColumn="0" w:firstRowLastColumn="0" w:lastRowFirstColumn="0" w:lastRowLastColumn="0"/>
            </w:pPr>
            <w:r>
              <w:t>(35.2)</w:t>
            </w:r>
          </w:p>
        </w:tc>
        <w:tc>
          <w:tcPr>
            <w:tcW w:w="2173" w:type="dxa"/>
          </w:tcPr>
          <w:p w:rsidR="00EB0E89" w:rsidRDefault="00210B34" w:rsidP="00EA403A">
            <w:pPr>
              <w:cnfStyle w:val="000000000000" w:firstRow="0" w:lastRow="0" w:firstColumn="0" w:lastColumn="0" w:oddVBand="0" w:evenVBand="0" w:oddHBand="0" w:evenHBand="0" w:firstRowFirstColumn="0" w:firstRowLastColumn="0" w:lastRowFirstColumn="0" w:lastRowLastColumn="0"/>
            </w:pPr>
            <w:r>
              <w:t>11.9</w:t>
            </w:r>
          </w:p>
        </w:tc>
        <w:tc>
          <w:tcPr>
            <w:tcW w:w="2174" w:type="dxa"/>
          </w:tcPr>
          <w:p w:rsidR="00EB0E89" w:rsidRDefault="00EB0E89" w:rsidP="00EA403A">
            <w:pPr>
              <w:cnfStyle w:val="000000000000" w:firstRow="0" w:lastRow="0" w:firstColumn="0" w:lastColumn="0" w:oddVBand="0" w:evenVBand="0" w:oddHBand="0" w:evenHBand="0" w:firstRowFirstColumn="0" w:firstRowLastColumn="0" w:lastRowFirstColumn="0" w:lastRowLastColumn="0"/>
            </w:pPr>
            <w:r>
              <w:t>(23.4)</w:t>
            </w:r>
          </w:p>
        </w:tc>
      </w:tr>
      <w:tr w:rsidR="00EB0E89" w:rsidTr="00EB0E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EB0E89" w:rsidRDefault="00EB0E89" w:rsidP="00EA403A">
            <w:r>
              <w:t>Final decision</w:t>
            </w:r>
          </w:p>
        </w:tc>
        <w:tc>
          <w:tcPr>
            <w:tcW w:w="2173" w:type="dxa"/>
          </w:tcPr>
          <w:p w:rsidR="00EB0E89" w:rsidRDefault="00A95A55" w:rsidP="00EA403A">
            <w:pPr>
              <w:cnfStyle w:val="000000010000" w:firstRow="0" w:lastRow="0" w:firstColumn="0" w:lastColumn="0" w:oddVBand="0" w:evenVBand="0" w:oddHBand="0" w:evenHBand="1" w:firstRowFirstColumn="0" w:firstRowLastColumn="0" w:lastRowFirstColumn="0" w:lastRowLastColumn="0"/>
            </w:pPr>
            <w:r>
              <w:t>(39.1</w:t>
            </w:r>
            <w:r w:rsidR="00210B34">
              <w:t>)</w:t>
            </w:r>
          </w:p>
        </w:tc>
        <w:tc>
          <w:tcPr>
            <w:tcW w:w="2173" w:type="dxa"/>
          </w:tcPr>
          <w:p w:rsidR="00EB0E89" w:rsidRDefault="00A95A55" w:rsidP="00EA403A">
            <w:pPr>
              <w:cnfStyle w:val="000000010000" w:firstRow="0" w:lastRow="0" w:firstColumn="0" w:lastColumn="0" w:oddVBand="0" w:evenVBand="0" w:oddHBand="0" w:evenHBand="1" w:firstRowFirstColumn="0" w:firstRowLastColumn="0" w:lastRowFirstColumn="0" w:lastRowLastColumn="0"/>
            </w:pPr>
            <w:r>
              <w:t>(13.5</w:t>
            </w:r>
            <w:r w:rsidR="00210B34">
              <w:t>)</w:t>
            </w:r>
          </w:p>
        </w:tc>
        <w:tc>
          <w:tcPr>
            <w:tcW w:w="2174" w:type="dxa"/>
          </w:tcPr>
          <w:p w:rsidR="00EB0E89" w:rsidRDefault="00A95A55" w:rsidP="00EA403A">
            <w:pPr>
              <w:cnfStyle w:val="000000010000" w:firstRow="0" w:lastRow="0" w:firstColumn="0" w:lastColumn="0" w:oddVBand="0" w:evenVBand="0" w:oddHBand="0" w:evenHBand="1" w:firstRowFirstColumn="0" w:firstRowLastColumn="0" w:lastRowFirstColumn="0" w:lastRowLastColumn="0"/>
            </w:pPr>
            <w:r>
              <w:t>(52.7</w:t>
            </w:r>
            <w:r w:rsidR="00210B34">
              <w:t>)</w:t>
            </w:r>
          </w:p>
        </w:tc>
      </w:tr>
    </w:tbl>
    <w:p w:rsidR="00051190" w:rsidRDefault="00051190" w:rsidP="00210B34">
      <w:pPr>
        <w:pStyle w:val="AERtablesource"/>
        <w:ind w:left="0" w:firstLine="0"/>
      </w:pPr>
      <w:r>
        <w:t>Source:</w:t>
      </w:r>
      <w:r>
        <w:tab/>
        <w:t>AER analysis</w:t>
      </w:r>
      <w:r w:rsidR="00210B34">
        <w:t>.</w:t>
      </w:r>
    </w:p>
    <w:p w:rsidR="00AF19A7" w:rsidRDefault="00AF19A7" w:rsidP="00AF19A7">
      <w:pPr>
        <w:pStyle w:val="Heading2"/>
      </w:pPr>
      <w:bookmarkStart w:id="27" w:name="_Toc460336328"/>
      <w:bookmarkStart w:id="28" w:name="_Toc460336329"/>
      <w:bookmarkStart w:id="29" w:name="_Ref461204081"/>
      <w:bookmarkStart w:id="30" w:name="_Toc467654516"/>
      <w:bookmarkEnd w:id="27"/>
      <w:bookmarkEnd w:id="28"/>
      <w:r>
        <w:t xml:space="preserve">Reasons for </w:t>
      </w:r>
      <w:r w:rsidR="00FC0A97">
        <w:t>f</w:t>
      </w:r>
      <w:r w:rsidR="001E1EA0">
        <w:t>inal</w:t>
      </w:r>
      <w:r>
        <w:t xml:space="preserve"> decision</w:t>
      </w:r>
      <w:bookmarkEnd w:id="29"/>
      <w:bookmarkEnd w:id="30"/>
    </w:p>
    <w:p w:rsidR="008E3907" w:rsidRDefault="008E3907" w:rsidP="008E3907">
      <w:r>
        <w:t xml:space="preserve">Our </w:t>
      </w:r>
      <w:r w:rsidR="00FC0A97">
        <w:t>final</w:t>
      </w:r>
      <w:r>
        <w:t xml:space="preserve"> decision does not accept the proposed excess capital and operating expenditure included in AusNet Services' transition charges application. Our reasons </w:t>
      </w:r>
      <w:proofErr w:type="gramStart"/>
      <w:r>
        <w:t>are outlined</w:t>
      </w:r>
      <w:proofErr w:type="gramEnd"/>
      <w:r>
        <w:t xml:space="preserve"> below. </w:t>
      </w:r>
    </w:p>
    <w:p w:rsidR="00875797" w:rsidRDefault="008E3907" w:rsidP="008E3907">
      <w:pPr>
        <w:pStyle w:val="Heading3"/>
      </w:pPr>
      <w:bookmarkStart w:id="31" w:name="_Toc467654517"/>
      <w:r>
        <w:t>Expenditure excess</w:t>
      </w:r>
      <w:bookmarkEnd w:id="31"/>
    </w:p>
    <w:p w:rsidR="008E3907" w:rsidRDefault="00FC0A97" w:rsidP="008E3907">
      <w:r>
        <w:t>We accept</w:t>
      </w:r>
      <w:r w:rsidR="00A95A55">
        <w:t xml:space="preserve"> $56.9</w:t>
      </w:r>
      <w:r w:rsidR="008E3907">
        <w:t xml:space="preserve"> million ($2018) </w:t>
      </w:r>
      <w:r>
        <w:t xml:space="preserve">of </w:t>
      </w:r>
      <w:r w:rsidR="008E3907">
        <w:t>AusNet Services</w:t>
      </w:r>
      <w:r>
        <w:t>' proposed 2014 and 2015</w:t>
      </w:r>
      <w:r w:rsidR="008E3907">
        <w:t xml:space="preserve"> </w:t>
      </w:r>
      <w:r>
        <w:t>excess expenditure</w:t>
      </w:r>
      <w:r w:rsidR="008E3907">
        <w:t xml:space="preserve">. This </w:t>
      </w:r>
      <w:r>
        <w:t>is</w:t>
      </w:r>
      <w:r w:rsidR="008E3907">
        <w:t xml:space="preserve"> </w:t>
      </w:r>
      <w:r>
        <w:t>about</w:t>
      </w:r>
      <w:r w:rsidR="00A95A55">
        <w:t xml:space="preserve"> 62</w:t>
      </w:r>
      <w:r w:rsidR="008E3907">
        <w:t xml:space="preserve"> percent of the $92.4 million ($2018) </w:t>
      </w:r>
      <w:r>
        <w:t xml:space="preserve">of expenditure </w:t>
      </w:r>
      <w:r w:rsidR="008E3907">
        <w:t xml:space="preserve">AusNet Services sought to recover in its revised application. </w:t>
      </w:r>
      <w:r w:rsidR="008E3907">
        <w:fldChar w:fldCharType="begin"/>
      </w:r>
      <w:r w:rsidR="008E3907">
        <w:instrText xml:space="preserve"> REF _Ref466882161 \h </w:instrText>
      </w:r>
      <w:r w:rsidR="008E3907">
        <w:fldChar w:fldCharType="separate"/>
      </w:r>
      <w:r w:rsidR="0032238B">
        <w:t xml:space="preserve">Table </w:t>
      </w:r>
      <w:r w:rsidR="0032238B">
        <w:rPr>
          <w:noProof/>
        </w:rPr>
        <w:t>4</w:t>
      </w:r>
      <w:r w:rsidR="0032238B">
        <w:t>.</w:t>
      </w:r>
      <w:r w:rsidR="0032238B">
        <w:rPr>
          <w:noProof/>
        </w:rPr>
        <w:t>2</w:t>
      </w:r>
      <w:r w:rsidR="008E3907">
        <w:fldChar w:fldCharType="end"/>
      </w:r>
      <w:r w:rsidR="008E3907">
        <w:t xml:space="preserve"> sets out our final decision.</w:t>
      </w:r>
    </w:p>
    <w:p w:rsidR="008E3907" w:rsidRDefault="008E3907" w:rsidP="008E3907">
      <w:pPr>
        <w:pStyle w:val="Caption"/>
      </w:pPr>
      <w:bookmarkStart w:id="32" w:name="_Ref466882161"/>
      <w:proofErr w:type="gramStart"/>
      <w:r>
        <w:t xml:space="preserve">Table </w:t>
      </w:r>
      <w:fldSimple w:instr=" STYLEREF 1 \s ">
        <w:r w:rsidR="0032238B">
          <w:rPr>
            <w:noProof/>
          </w:rPr>
          <w:t>4</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2</w:t>
      </w:r>
      <w:r w:rsidR="005812E9">
        <w:rPr>
          <w:noProof/>
        </w:rPr>
        <w:fldChar w:fldCharType="end"/>
      </w:r>
      <w:bookmarkEnd w:id="32"/>
      <w:r>
        <w:tab/>
        <w:t>Final decision on excess expenditure ($m 2018)</w:t>
      </w:r>
    </w:p>
    <w:tbl>
      <w:tblPr>
        <w:tblStyle w:val="AERtable-numbers"/>
        <w:tblW w:w="0" w:type="auto"/>
        <w:tblLook w:val="04A0" w:firstRow="1" w:lastRow="0" w:firstColumn="1" w:lastColumn="0" w:noHBand="0" w:noVBand="1"/>
      </w:tblPr>
      <w:tblGrid>
        <w:gridCol w:w="1839"/>
        <w:gridCol w:w="1715"/>
        <w:gridCol w:w="1713"/>
        <w:gridCol w:w="1713"/>
        <w:gridCol w:w="1713"/>
      </w:tblGrid>
      <w:tr w:rsidR="008E3907" w:rsidTr="008E3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8E3907" w:rsidRDefault="008E3907" w:rsidP="008E3907"/>
        </w:tc>
        <w:tc>
          <w:tcPr>
            <w:tcW w:w="1715" w:type="dxa"/>
          </w:tcPr>
          <w:p w:rsidR="008E3907" w:rsidRDefault="008E3907" w:rsidP="008E3907">
            <w:pPr>
              <w:cnfStyle w:val="100000000000" w:firstRow="1" w:lastRow="0" w:firstColumn="0" w:lastColumn="0" w:oddVBand="0" w:evenVBand="0" w:oddHBand="0" w:evenHBand="0" w:firstRowFirstColumn="0" w:firstRowLastColumn="0" w:lastRowFirstColumn="0" w:lastRowLastColumn="0"/>
            </w:pPr>
            <w:r>
              <w:t>Initial      application</w:t>
            </w:r>
          </w:p>
        </w:tc>
        <w:tc>
          <w:tcPr>
            <w:tcW w:w="1713" w:type="dxa"/>
          </w:tcPr>
          <w:p w:rsidR="008E3907" w:rsidRDefault="008E3907" w:rsidP="008E3907">
            <w:pPr>
              <w:cnfStyle w:val="100000000000" w:firstRow="1" w:lastRow="0" w:firstColumn="0" w:lastColumn="0" w:oddVBand="0" w:evenVBand="0" w:oddHBand="0" w:evenHBand="0" w:firstRowFirstColumn="0" w:firstRowLastColumn="0" w:lastRowFirstColumn="0" w:lastRowLastColumn="0"/>
            </w:pPr>
            <w:r>
              <w:t>Draft decision</w:t>
            </w:r>
          </w:p>
        </w:tc>
        <w:tc>
          <w:tcPr>
            <w:tcW w:w="1713" w:type="dxa"/>
          </w:tcPr>
          <w:p w:rsidR="008E3907" w:rsidRDefault="008E3907" w:rsidP="008E3907">
            <w:pPr>
              <w:cnfStyle w:val="100000000000" w:firstRow="1" w:lastRow="0" w:firstColumn="0" w:lastColumn="0" w:oddVBand="0" w:evenVBand="0" w:oddHBand="0" w:evenHBand="0" w:firstRowFirstColumn="0" w:firstRowLastColumn="0" w:lastRowFirstColumn="0" w:lastRowLastColumn="0"/>
            </w:pPr>
            <w:r>
              <w:t>Revised application</w:t>
            </w:r>
          </w:p>
        </w:tc>
        <w:tc>
          <w:tcPr>
            <w:tcW w:w="1713" w:type="dxa"/>
          </w:tcPr>
          <w:p w:rsidR="008E3907" w:rsidRDefault="008E3907" w:rsidP="008E3907">
            <w:pPr>
              <w:cnfStyle w:val="100000000000" w:firstRow="1" w:lastRow="0" w:firstColumn="0" w:lastColumn="0" w:oddVBand="0" w:evenVBand="0" w:oddHBand="0" w:evenHBand="0" w:firstRowFirstColumn="0" w:firstRowLastColumn="0" w:lastRowFirstColumn="0" w:lastRowLastColumn="0"/>
            </w:pPr>
            <w:r>
              <w:t>Final decision</w:t>
            </w:r>
          </w:p>
        </w:tc>
      </w:tr>
      <w:tr w:rsidR="008E3907" w:rsidTr="008E3907">
        <w:tc>
          <w:tcPr>
            <w:cnfStyle w:val="001000000000" w:firstRow="0" w:lastRow="0" w:firstColumn="1" w:lastColumn="0" w:oddVBand="0" w:evenVBand="0" w:oddHBand="0" w:evenHBand="0" w:firstRowFirstColumn="0" w:firstRowLastColumn="0" w:lastRowFirstColumn="0" w:lastRowLastColumn="0"/>
            <w:tcW w:w="1839" w:type="dxa"/>
          </w:tcPr>
          <w:p w:rsidR="008E3907" w:rsidRPr="008E3907" w:rsidRDefault="008E3907" w:rsidP="008E3907">
            <w:r w:rsidRPr="008E3907">
              <w:t>Capex</w:t>
            </w:r>
          </w:p>
        </w:tc>
        <w:tc>
          <w:tcPr>
            <w:tcW w:w="1715"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p>
        </w:tc>
      </w:tr>
      <w:tr w:rsidR="008E3907" w:rsidTr="008E39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8E3907" w:rsidRPr="008E3907" w:rsidRDefault="008E3907" w:rsidP="008E3907">
            <w:pPr>
              <w:pStyle w:val="ListContinue"/>
            </w:pPr>
            <w:r w:rsidRPr="008E3907">
              <w:t>Meter supply</w:t>
            </w:r>
          </w:p>
        </w:tc>
        <w:tc>
          <w:tcPr>
            <w:tcW w:w="1715"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25.6</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13.9</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15.1</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15.1</w:t>
            </w:r>
          </w:p>
        </w:tc>
      </w:tr>
      <w:tr w:rsidR="008E3907" w:rsidTr="008E3907">
        <w:tc>
          <w:tcPr>
            <w:cnfStyle w:val="001000000000" w:firstRow="0" w:lastRow="0" w:firstColumn="1" w:lastColumn="0" w:oddVBand="0" w:evenVBand="0" w:oddHBand="0" w:evenHBand="0" w:firstRowFirstColumn="0" w:firstRowLastColumn="0" w:lastRowFirstColumn="0" w:lastRowLastColumn="0"/>
            <w:tcW w:w="1839" w:type="dxa"/>
          </w:tcPr>
          <w:p w:rsidR="008E3907" w:rsidRPr="008E3907" w:rsidRDefault="008E3907" w:rsidP="008E3907">
            <w:pPr>
              <w:pStyle w:val="ListContinue"/>
            </w:pPr>
            <w:r w:rsidRPr="008E3907">
              <w:t>Meter installation</w:t>
            </w:r>
          </w:p>
        </w:tc>
        <w:tc>
          <w:tcPr>
            <w:tcW w:w="1715"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15.4</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6.</w:t>
            </w:r>
            <w:r w:rsidR="00E914E8">
              <w:t>4</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15.4</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6.</w:t>
            </w:r>
            <w:r w:rsidR="00A95A55">
              <w:t>4</w:t>
            </w:r>
          </w:p>
        </w:tc>
      </w:tr>
      <w:tr w:rsidR="008E3907" w:rsidTr="008E39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8E3907" w:rsidRPr="008E3907" w:rsidRDefault="008E3907" w:rsidP="008E3907">
            <w:pPr>
              <w:pStyle w:val="ListContinue"/>
            </w:pPr>
            <w:r w:rsidRPr="008E3907">
              <w:t xml:space="preserve">IT </w:t>
            </w:r>
          </w:p>
        </w:tc>
        <w:tc>
          <w:tcPr>
            <w:tcW w:w="1715"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33.3</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5.7</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33.3</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13.0</w:t>
            </w:r>
          </w:p>
        </w:tc>
      </w:tr>
      <w:tr w:rsidR="008E3907" w:rsidTr="008E3907">
        <w:tc>
          <w:tcPr>
            <w:cnfStyle w:val="001000000000" w:firstRow="0" w:lastRow="0" w:firstColumn="1" w:lastColumn="0" w:oddVBand="0" w:evenVBand="0" w:oddHBand="0" w:evenHBand="0" w:firstRowFirstColumn="0" w:firstRowLastColumn="0" w:lastRowFirstColumn="0" w:lastRowLastColumn="0"/>
            <w:tcW w:w="1839" w:type="dxa"/>
          </w:tcPr>
          <w:p w:rsidR="008E3907" w:rsidRPr="008E3907" w:rsidRDefault="008E3907" w:rsidP="008E3907">
            <w:pPr>
              <w:pStyle w:val="ListContinue"/>
            </w:pPr>
            <w:r w:rsidRPr="008E3907">
              <w:t>Subtotal: capex</w:t>
            </w:r>
          </w:p>
        </w:tc>
        <w:tc>
          <w:tcPr>
            <w:tcW w:w="1715"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74.4</w:t>
            </w:r>
          </w:p>
        </w:tc>
        <w:tc>
          <w:tcPr>
            <w:tcW w:w="1713" w:type="dxa"/>
          </w:tcPr>
          <w:p w:rsidR="008E3907" w:rsidRPr="008E3907" w:rsidRDefault="00B4172F" w:rsidP="008E3907">
            <w:pPr>
              <w:cnfStyle w:val="000000000000" w:firstRow="0" w:lastRow="0" w:firstColumn="0" w:lastColumn="0" w:oddVBand="0" w:evenVBand="0" w:oddHBand="0" w:evenHBand="0" w:firstRowFirstColumn="0" w:firstRowLastColumn="0" w:lastRowFirstColumn="0" w:lastRowLastColumn="0"/>
            </w:pPr>
            <w:r>
              <w:t>26.0</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63.8</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34.</w:t>
            </w:r>
            <w:r w:rsidR="00A95A55">
              <w:t>8</w:t>
            </w:r>
          </w:p>
        </w:tc>
      </w:tr>
      <w:tr w:rsidR="008E3907" w:rsidTr="008E39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8E3907" w:rsidRPr="008E3907" w:rsidRDefault="008E3907" w:rsidP="008E3907">
            <w:r w:rsidRPr="008E3907">
              <w:t>Opex</w:t>
            </w:r>
          </w:p>
        </w:tc>
        <w:tc>
          <w:tcPr>
            <w:tcW w:w="1715"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p>
        </w:tc>
      </w:tr>
      <w:tr w:rsidR="008E3907" w:rsidTr="008E3907">
        <w:tc>
          <w:tcPr>
            <w:cnfStyle w:val="001000000000" w:firstRow="0" w:lastRow="0" w:firstColumn="1" w:lastColumn="0" w:oddVBand="0" w:evenVBand="0" w:oddHBand="0" w:evenHBand="0" w:firstRowFirstColumn="0" w:firstRowLastColumn="0" w:lastRowFirstColumn="0" w:lastRowLastColumn="0"/>
            <w:tcW w:w="1839" w:type="dxa"/>
          </w:tcPr>
          <w:p w:rsidR="008E3907" w:rsidRPr="008E3907" w:rsidRDefault="008E3907" w:rsidP="008E3907">
            <w:pPr>
              <w:pStyle w:val="ListContinue"/>
            </w:pPr>
            <w:r w:rsidRPr="008E3907">
              <w:t>Project management office (PMO)</w:t>
            </w:r>
          </w:p>
        </w:tc>
        <w:tc>
          <w:tcPr>
            <w:tcW w:w="1715"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5.8</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1.1</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5.8</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1.1</w:t>
            </w:r>
          </w:p>
        </w:tc>
      </w:tr>
      <w:tr w:rsidR="008E3907" w:rsidTr="008E39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8E3907" w:rsidRPr="008E3907" w:rsidRDefault="008E3907" w:rsidP="008E3907">
            <w:pPr>
              <w:pStyle w:val="ListContinue"/>
            </w:pPr>
            <w:r w:rsidRPr="008E3907">
              <w:t xml:space="preserve">Meter maintenance </w:t>
            </w:r>
          </w:p>
        </w:tc>
        <w:tc>
          <w:tcPr>
            <w:tcW w:w="1715"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2.0</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2.0</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2.0</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2.0</w:t>
            </w:r>
          </w:p>
        </w:tc>
      </w:tr>
      <w:tr w:rsidR="008E3907" w:rsidTr="008E3907">
        <w:tc>
          <w:tcPr>
            <w:cnfStyle w:val="001000000000" w:firstRow="0" w:lastRow="0" w:firstColumn="1" w:lastColumn="0" w:oddVBand="0" w:evenVBand="0" w:oddHBand="0" w:evenHBand="0" w:firstRowFirstColumn="0" w:firstRowLastColumn="0" w:lastRowFirstColumn="0" w:lastRowLastColumn="0"/>
            <w:tcW w:w="1839" w:type="dxa"/>
          </w:tcPr>
          <w:p w:rsidR="008E3907" w:rsidRPr="008E3907" w:rsidRDefault="008E3907" w:rsidP="008E3907">
            <w:pPr>
              <w:pStyle w:val="ListContinue"/>
            </w:pPr>
            <w:r w:rsidRPr="008E3907">
              <w:t>Meter data management</w:t>
            </w:r>
          </w:p>
        </w:tc>
        <w:tc>
          <w:tcPr>
            <w:tcW w:w="1715"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4.8</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4.8</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4.8</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4.8</w:t>
            </w:r>
          </w:p>
        </w:tc>
      </w:tr>
      <w:tr w:rsidR="008E3907" w:rsidTr="008E39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8E3907" w:rsidRPr="008E3907" w:rsidRDefault="008E3907" w:rsidP="008E3907">
            <w:pPr>
              <w:pStyle w:val="ListContinue"/>
            </w:pPr>
            <w:r w:rsidRPr="008E3907">
              <w:t>Communications infrastructure</w:t>
            </w:r>
          </w:p>
        </w:tc>
        <w:tc>
          <w:tcPr>
            <w:tcW w:w="1715"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4.0</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4.0</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4.0</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4.0</w:t>
            </w:r>
          </w:p>
        </w:tc>
      </w:tr>
      <w:tr w:rsidR="008E3907" w:rsidTr="008E3907">
        <w:tc>
          <w:tcPr>
            <w:cnfStyle w:val="001000000000" w:firstRow="0" w:lastRow="0" w:firstColumn="1" w:lastColumn="0" w:oddVBand="0" w:evenVBand="0" w:oddHBand="0" w:evenHBand="0" w:firstRowFirstColumn="0" w:firstRowLastColumn="0" w:lastRowFirstColumn="0" w:lastRowLastColumn="0"/>
            <w:tcW w:w="1839" w:type="dxa"/>
          </w:tcPr>
          <w:p w:rsidR="008E3907" w:rsidRPr="008E3907" w:rsidRDefault="008E3907" w:rsidP="008E3907">
            <w:pPr>
              <w:pStyle w:val="ListContinue"/>
            </w:pPr>
            <w:r w:rsidRPr="008E3907">
              <w:t>IT</w:t>
            </w:r>
          </w:p>
        </w:tc>
        <w:tc>
          <w:tcPr>
            <w:tcW w:w="1715"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8.5</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8.5</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8.5</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8.5</w:t>
            </w:r>
          </w:p>
        </w:tc>
      </w:tr>
      <w:tr w:rsidR="008E3907" w:rsidTr="008E39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8E3907" w:rsidRPr="008E3907" w:rsidRDefault="008E3907" w:rsidP="008E3907">
            <w:pPr>
              <w:pStyle w:val="ListContinue"/>
            </w:pPr>
            <w:r w:rsidRPr="008E3907">
              <w:t>Meter reading</w:t>
            </w:r>
          </w:p>
        </w:tc>
        <w:tc>
          <w:tcPr>
            <w:tcW w:w="1715"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3.4</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1.7</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3.4</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1.7</w:t>
            </w:r>
          </w:p>
        </w:tc>
      </w:tr>
      <w:tr w:rsidR="008E3907" w:rsidTr="008E3907">
        <w:tc>
          <w:tcPr>
            <w:cnfStyle w:val="001000000000" w:firstRow="0" w:lastRow="0" w:firstColumn="1" w:lastColumn="0" w:oddVBand="0" w:evenVBand="0" w:oddHBand="0" w:evenHBand="0" w:firstRowFirstColumn="0" w:firstRowLastColumn="0" w:lastRowFirstColumn="0" w:lastRowLastColumn="0"/>
            <w:tcW w:w="1839" w:type="dxa"/>
          </w:tcPr>
          <w:p w:rsidR="008E3907" w:rsidRPr="008E3907" w:rsidRDefault="008E3907" w:rsidP="008E3907">
            <w:pPr>
              <w:pStyle w:val="ListContinue"/>
            </w:pPr>
            <w:r w:rsidRPr="008E3907">
              <w:t>Subtotal: opex</w:t>
            </w:r>
          </w:p>
        </w:tc>
        <w:tc>
          <w:tcPr>
            <w:tcW w:w="1715"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28.6</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22.2</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28.5</w:t>
            </w:r>
          </w:p>
        </w:tc>
        <w:tc>
          <w:tcPr>
            <w:tcW w:w="1713" w:type="dxa"/>
          </w:tcPr>
          <w:p w:rsidR="008E3907" w:rsidRPr="008E3907" w:rsidRDefault="008E3907" w:rsidP="008E3907">
            <w:pPr>
              <w:cnfStyle w:val="000000000000" w:firstRow="0" w:lastRow="0" w:firstColumn="0" w:lastColumn="0" w:oddVBand="0" w:evenVBand="0" w:oddHBand="0" w:evenHBand="0" w:firstRowFirstColumn="0" w:firstRowLastColumn="0" w:lastRowFirstColumn="0" w:lastRowLastColumn="0"/>
            </w:pPr>
            <w:r w:rsidRPr="008E3907">
              <w:t>22.1</w:t>
            </w:r>
          </w:p>
        </w:tc>
      </w:tr>
      <w:tr w:rsidR="008E3907" w:rsidTr="008E39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8E3907" w:rsidRPr="008E3907" w:rsidRDefault="008E3907" w:rsidP="008E3907">
            <w:r w:rsidRPr="008E3907">
              <w:t>Total excess expenditure</w:t>
            </w:r>
          </w:p>
        </w:tc>
        <w:tc>
          <w:tcPr>
            <w:tcW w:w="1715"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103.0</w:t>
            </w:r>
          </w:p>
        </w:tc>
        <w:tc>
          <w:tcPr>
            <w:tcW w:w="1713" w:type="dxa"/>
          </w:tcPr>
          <w:p w:rsidR="008E3907" w:rsidRPr="008E3907" w:rsidRDefault="00B4172F" w:rsidP="008E3907">
            <w:pPr>
              <w:cnfStyle w:val="000000010000" w:firstRow="0" w:lastRow="0" w:firstColumn="0" w:lastColumn="0" w:oddVBand="0" w:evenVBand="0" w:oddHBand="0" w:evenHBand="1" w:firstRowFirstColumn="0" w:firstRowLastColumn="0" w:lastRowFirstColumn="0" w:lastRowLastColumn="0"/>
            </w:pPr>
            <w:r>
              <w:t>48.2</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92.4</w:t>
            </w:r>
          </w:p>
        </w:tc>
        <w:tc>
          <w:tcPr>
            <w:tcW w:w="1713" w:type="dxa"/>
          </w:tcPr>
          <w:p w:rsidR="008E3907" w:rsidRPr="008E3907" w:rsidRDefault="008E3907" w:rsidP="008E3907">
            <w:pPr>
              <w:cnfStyle w:val="000000010000" w:firstRow="0" w:lastRow="0" w:firstColumn="0" w:lastColumn="0" w:oddVBand="0" w:evenVBand="0" w:oddHBand="0" w:evenHBand="1" w:firstRowFirstColumn="0" w:firstRowLastColumn="0" w:lastRowFirstColumn="0" w:lastRowLastColumn="0"/>
            </w:pPr>
            <w:r w:rsidRPr="008E3907">
              <w:t>56.</w:t>
            </w:r>
            <w:r w:rsidR="00A95A55">
              <w:t>9</w:t>
            </w:r>
          </w:p>
        </w:tc>
      </w:tr>
    </w:tbl>
    <w:p w:rsidR="00034744" w:rsidRDefault="00034744" w:rsidP="00DD1C4E">
      <w:pPr>
        <w:pStyle w:val="AERtablesource"/>
        <w:ind w:left="0" w:firstLine="0"/>
      </w:pPr>
      <w:r>
        <w:t>Source:</w:t>
      </w:r>
      <w:r>
        <w:tab/>
        <w:t>AER analysis</w:t>
      </w:r>
      <w:r w:rsidRPr="00051190">
        <w:t>.</w:t>
      </w:r>
    </w:p>
    <w:p w:rsidR="008E3907" w:rsidRDefault="00034744" w:rsidP="00034744">
      <w:pPr>
        <w:pStyle w:val="Heading3"/>
      </w:pPr>
      <w:bookmarkStart w:id="33" w:name="_Toc467654518"/>
      <w:r>
        <w:t>Excess capital expenditure</w:t>
      </w:r>
      <w:bookmarkEnd w:id="33"/>
    </w:p>
    <w:p w:rsidR="00034744" w:rsidRDefault="00034744" w:rsidP="00034744">
      <w:r>
        <w:t>We accept $34.</w:t>
      </w:r>
      <w:r w:rsidR="00A95A55">
        <w:t>8</w:t>
      </w:r>
      <w:r>
        <w:t xml:space="preserve"> million ($2018) of AusNet Services' revised excess capital expenditure proposal for 2014 and 2015. Our final decision is that this amount meets the requirements in the Order. </w:t>
      </w:r>
    </w:p>
    <w:p w:rsidR="00034744" w:rsidRDefault="00034744" w:rsidP="00034744">
      <w:pPr>
        <w:pStyle w:val="HeadingBoldItalic"/>
      </w:pPr>
      <w:r>
        <w:t>Meter supply</w:t>
      </w:r>
    </w:p>
    <w:p w:rsidR="00034744" w:rsidRDefault="00034744" w:rsidP="00034744">
      <w:r>
        <w:t>We accept $15.1 million ($2018) in excess capital expenditure for 'meter supply'. This is the full amount AusNet Services sought to recover in its revised application</w:t>
      </w:r>
      <w:r w:rsidR="00B45F79">
        <w:t>, but less than it originally proposed in its initial application</w:t>
      </w:r>
      <w:r>
        <w:t xml:space="preserve">. </w:t>
      </w:r>
      <w:r w:rsidR="00B45F79">
        <w:fldChar w:fldCharType="begin"/>
      </w:r>
      <w:r w:rsidR="00B45F79">
        <w:instrText xml:space="preserve"> REF _Ref466883078 \h </w:instrText>
      </w:r>
      <w:r w:rsidR="00B45F79">
        <w:fldChar w:fldCharType="separate"/>
      </w:r>
      <w:r w:rsidR="0032238B">
        <w:t xml:space="preserve">Table </w:t>
      </w:r>
      <w:r w:rsidR="0032238B">
        <w:rPr>
          <w:noProof/>
        </w:rPr>
        <w:t>4</w:t>
      </w:r>
      <w:r w:rsidR="0032238B">
        <w:t>.</w:t>
      </w:r>
      <w:r w:rsidR="0032238B">
        <w:rPr>
          <w:noProof/>
        </w:rPr>
        <w:t>3</w:t>
      </w:r>
      <w:r w:rsidR="00B45F79">
        <w:fldChar w:fldCharType="end"/>
      </w:r>
      <w:r w:rsidR="00B45F79">
        <w:t xml:space="preserve"> </w:t>
      </w:r>
      <w:r>
        <w:t xml:space="preserve">sets out our final decision. </w:t>
      </w:r>
    </w:p>
    <w:p w:rsidR="00034744" w:rsidRDefault="00034744" w:rsidP="00034744">
      <w:pPr>
        <w:pStyle w:val="Caption"/>
      </w:pPr>
      <w:bookmarkStart w:id="34" w:name="_Ref466883078"/>
      <w:proofErr w:type="gramStart"/>
      <w:r>
        <w:t xml:space="preserve">Table </w:t>
      </w:r>
      <w:fldSimple w:instr=" STYLEREF 1 \s ">
        <w:r w:rsidR="0032238B">
          <w:rPr>
            <w:noProof/>
          </w:rPr>
          <w:t>4</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3</w:t>
      </w:r>
      <w:r w:rsidR="005812E9">
        <w:rPr>
          <w:noProof/>
        </w:rPr>
        <w:fldChar w:fldCharType="end"/>
      </w:r>
      <w:bookmarkEnd w:id="34"/>
      <w:r>
        <w:tab/>
        <w:t>Final decision on meter supply capex ($m 2018)</w:t>
      </w:r>
    </w:p>
    <w:tbl>
      <w:tblPr>
        <w:tblStyle w:val="AERtable-numbers"/>
        <w:tblW w:w="0" w:type="auto"/>
        <w:tblLook w:val="04A0" w:firstRow="1" w:lastRow="0" w:firstColumn="1" w:lastColumn="0" w:noHBand="0" w:noVBand="1"/>
      </w:tblPr>
      <w:tblGrid>
        <w:gridCol w:w="1738"/>
        <w:gridCol w:w="1738"/>
        <w:gridCol w:w="1739"/>
        <w:gridCol w:w="1739"/>
        <w:gridCol w:w="1739"/>
      </w:tblGrid>
      <w:tr w:rsidR="00923960" w:rsidTr="00923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923960" w:rsidRDefault="00923960" w:rsidP="00923960"/>
        </w:tc>
        <w:tc>
          <w:tcPr>
            <w:tcW w:w="1738" w:type="dxa"/>
          </w:tcPr>
          <w:p w:rsidR="00923960" w:rsidRPr="00923960" w:rsidRDefault="00923960" w:rsidP="00923960">
            <w:pPr>
              <w:cnfStyle w:val="100000000000" w:firstRow="1" w:lastRow="0" w:firstColumn="0" w:lastColumn="0" w:oddVBand="0" w:evenVBand="0" w:oddHBand="0" w:evenHBand="0" w:firstRowFirstColumn="0" w:firstRowLastColumn="0" w:lastRowFirstColumn="0" w:lastRowLastColumn="0"/>
            </w:pPr>
            <w:r>
              <w:t>I</w:t>
            </w:r>
            <w:r w:rsidRPr="00923960">
              <w:t>nitial application</w:t>
            </w:r>
          </w:p>
        </w:tc>
        <w:tc>
          <w:tcPr>
            <w:tcW w:w="1739" w:type="dxa"/>
          </w:tcPr>
          <w:p w:rsidR="00923960" w:rsidRPr="00923960" w:rsidRDefault="00923960" w:rsidP="00923960">
            <w:pPr>
              <w:cnfStyle w:val="100000000000" w:firstRow="1" w:lastRow="0" w:firstColumn="0" w:lastColumn="0" w:oddVBand="0" w:evenVBand="0" w:oddHBand="0" w:evenHBand="0" w:firstRowFirstColumn="0" w:firstRowLastColumn="0" w:lastRowFirstColumn="0" w:lastRowLastColumn="0"/>
            </w:pPr>
            <w:r>
              <w:t>Draft decision</w:t>
            </w:r>
          </w:p>
        </w:tc>
        <w:tc>
          <w:tcPr>
            <w:tcW w:w="1739" w:type="dxa"/>
          </w:tcPr>
          <w:p w:rsidR="00923960" w:rsidRPr="00923960" w:rsidRDefault="00923960" w:rsidP="00923960">
            <w:pPr>
              <w:cnfStyle w:val="100000000000" w:firstRow="1" w:lastRow="0" w:firstColumn="0" w:lastColumn="0" w:oddVBand="0" w:evenVBand="0" w:oddHBand="0" w:evenHBand="0" w:firstRowFirstColumn="0" w:firstRowLastColumn="0" w:lastRowFirstColumn="0" w:lastRowLastColumn="0"/>
            </w:pPr>
            <w:r>
              <w:t>Revised application</w:t>
            </w:r>
          </w:p>
        </w:tc>
        <w:tc>
          <w:tcPr>
            <w:tcW w:w="1739" w:type="dxa"/>
          </w:tcPr>
          <w:p w:rsidR="00923960" w:rsidRPr="00923960" w:rsidRDefault="00923960" w:rsidP="00923960">
            <w:pPr>
              <w:cnfStyle w:val="100000000000" w:firstRow="1" w:lastRow="0" w:firstColumn="0" w:lastColumn="0" w:oddVBand="0" w:evenVBand="0" w:oddHBand="0" w:evenHBand="0" w:firstRowFirstColumn="0" w:firstRowLastColumn="0" w:lastRowFirstColumn="0" w:lastRowLastColumn="0"/>
            </w:pPr>
            <w:r>
              <w:t>Final decision</w:t>
            </w:r>
          </w:p>
        </w:tc>
      </w:tr>
      <w:tr w:rsidR="00923960" w:rsidTr="00923960">
        <w:tc>
          <w:tcPr>
            <w:cnfStyle w:val="001000000000" w:firstRow="0" w:lastRow="0" w:firstColumn="1" w:lastColumn="0" w:oddVBand="0" w:evenVBand="0" w:oddHBand="0" w:evenHBand="0" w:firstRowFirstColumn="0" w:firstRowLastColumn="0" w:lastRowFirstColumn="0" w:lastRowLastColumn="0"/>
            <w:tcW w:w="1738" w:type="dxa"/>
          </w:tcPr>
          <w:p w:rsidR="00923960" w:rsidRPr="00923960" w:rsidRDefault="00923960" w:rsidP="00923960">
            <w:pPr>
              <w:pStyle w:val="ListContinue"/>
              <w:ind w:left="0"/>
            </w:pPr>
            <w:r>
              <w:t>2014</w:t>
            </w:r>
          </w:p>
        </w:tc>
        <w:tc>
          <w:tcPr>
            <w:tcW w:w="1738"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t>24.2</w:t>
            </w:r>
          </w:p>
        </w:tc>
        <w:tc>
          <w:tcPr>
            <w:tcW w:w="1739"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t>12.5</w:t>
            </w:r>
          </w:p>
        </w:tc>
        <w:tc>
          <w:tcPr>
            <w:tcW w:w="1739"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t>13.7</w:t>
            </w:r>
          </w:p>
        </w:tc>
        <w:tc>
          <w:tcPr>
            <w:tcW w:w="1739"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t>13.7</w:t>
            </w:r>
          </w:p>
        </w:tc>
      </w:tr>
      <w:tr w:rsidR="00923960" w:rsidTr="009239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923960" w:rsidRPr="00923960" w:rsidRDefault="00923960" w:rsidP="00923960">
            <w:pPr>
              <w:pStyle w:val="ListContinue"/>
              <w:ind w:left="0"/>
            </w:pPr>
            <w:r>
              <w:t>2015</w:t>
            </w:r>
          </w:p>
        </w:tc>
        <w:tc>
          <w:tcPr>
            <w:tcW w:w="1738" w:type="dxa"/>
          </w:tcPr>
          <w:p w:rsidR="00923960" w:rsidRPr="00923960" w:rsidRDefault="00923960" w:rsidP="00923960">
            <w:pPr>
              <w:cnfStyle w:val="000000010000" w:firstRow="0" w:lastRow="0" w:firstColumn="0" w:lastColumn="0" w:oddVBand="0" w:evenVBand="0" w:oddHBand="0" w:evenHBand="1" w:firstRowFirstColumn="0" w:firstRowLastColumn="0" w:lastRowFirstColumn="0" w:lastRowLastColumn="0"/>
            </w:pPr>
            <w:r>
              <w:t xml:space="preserve">1.4 </w:t>
            </w:r>
          </w:p>
        </w:tc>
        <w:tc>
          <w:tcPr>
            <w:tcW w:w="1739" w:type="dxa"/>
          </w:tcPr>
          <w:p w:rsidR="00923960" w:rsidRPr="00923960" w:rsidRDefault="00923960" w:rsidP="00923960">
            <w:pPr>
              <w:cnfStyle w:val="000000010000" w:firstRow="0" w:lastRow="0" w:firstColumn="0" w:lastColumn="0" w:oddVBand="0" w:evenVBand="0" w:oddHBand="0" w:evenHBand="1" w:firstRowFirstColumn="0" w:firstRowLastColumn="0" w:lastRowFirstColumn="0" w:lastRowLastColumn="0"/>
            </w:pPr>
            <w:r>
              <w:t>1.4</w:t>
            </w:r>
          </w:p>
        </w:tc>
        <w:tc>
          <w:tcPr>
            <w:tcW w:w="1739" w:type="dxa"/>
          </w:tcPr>
          <w:p w:rsidR="00923960" w:rsidRPr="00923960" w:rsidRDefault="00923960" w:rsidP="00923960">
            <w:pPr>
              <w:cnfStyle w:val="000000010000" w:firstRow="0" w:lastRow="0" w:firstColumn="0" w:lastColumn="0" w:oddVBand="0" w:evenVBand="0" w:oddHBand="0" w:evenHBand="1" w:firstRowFirstColumn="0" w:firstRowLastColumn="0" w:lastRowFirstColumn="0" w:lastRowLastColumn="0"/>
            </w:pPr>
            <w:r>
              <w:t>4.1</w:t>
            </w:r>
          </w:p>
        </w:tc>
        <w:tc>
          <w:tcPr>
            <w:tcW w:w="1739" w:type="dxa"/>
          </w:tcPr>
          <w:p w:rsidR="00923960" w:rsidRPr="00923960" w:rsidRDefault="00923960" w:rsidP="00923960">
            <w:pPr>
              <w:cnfStyle w:val="000000010000" w:firstRow="0" w:lastRow="0" w:firstColumn="0" w:lastColumn="0" w:oddVBand="0" w:evenVBand="0" w:oddHBand="0" w:evenHBand="1" w:firstRowFirstColumn="0" w:firstRowLastColumn="0" w:lastRowFirstColumn="0" w:lastRowLastColumn="0"/>
            </w:pPr>
            <w:r>
              <w:t>1.4</w:t>
            </w:r>
          </w:p>
        </w:tc>
      </w:tr>
      <w:tr w:rsidR="00923960" w:rsidTr="00923960">
        <w:tc>
          <w:tcPr>
            <w:cnfStyle w:val="001000000000" w:firstRow="0" w:lastRow="0" w:firstColumn="1" w:lastColumn="0" w:oddVBand="0" w:evenVBand="0" w:oddHBand="0" w:evenHBand="0" w:firstRowFirstColumn="0" w:firstRowLastColumn="0" w:lastRowFirstColumn="0" w:lastRowLastColumn="0"/>
            <w:tcW w:w="1738" w:type="dxa"/>
          </w:tcPr>
          <w:p w:rsidR="00923960" w:rsidRPr="00923960" w:rsidRDefault="00923960" w:rsidP="00923960">
            <w:pPr>
              <w:pStyle w:val="ListContinue"/>
              <w:ind w:left="0"/>
            </w:pPr>
            <w:r>
              <w:t>Total</w:t>
            </w:r>
            <w:r w:rsidRPr="00923960">
              <w:t xml:space="preserve"> </w:t>
            </w:r>
          </w:p>
        </w:tc>
        <w:tc>
          <w:tcPr>
            <w:tcW w:w="1738"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t>25.6</w:t>
            </w:r>
          </w:p>
        </w:tc>
        <w:tc>
          <w:tcPr>
            <w:tcW w:w="1739"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t>13.9</w:t>
            </w:r>
          </w:p>
        </w:tc>
        <w:tc>
          <w:tcPr>
            <w:tcW w:w="1739"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t>15.1</w:t>
            </w:r>
          </w:p>
        </w:tc>
        <w:tc>
          <w:tcPr>
            <w:tcW w:w="1739"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t>15.1</w:t>
            </w:r>
          </w:p>
        </w:tc>
      </w:tr>
    </w:tbl>
    <w:p w:rsidR="00B45F79" w:rsidRDefault="00034744" w:rsidP="00923960">
      <w:pPr>
        <w:pStyle w:val="AERtablesource"/>
        <w:ind w:left="0" w:firstLine="0"/>
      </w:pPr>
      <w:r>
        <w:t xml:space="preserve">Source: </w:t>
      </w:r>
      <w:r>
        <w:tab/>
        <w:t>AER analysis.</w:t>
      </w:r>
    </w:p>
    <w:p w:rsidR="00B45F79" w:rsidRPr="00680CE7" w:rsidRDefault="00B45F79" w:rsidP="00B45F79">
      <w:pPr>
        <w:rPr>
          <w:rStyle w:val="AERtextboldunderline"/>
        </w:rPr>
      </w:pPr>
      <w:r w:rsidRPr="00680CE7">
        <w:rPr>
          <w:rStyle w:val="AERtextboldunderline"/>
        </w:rPr>
        <w:t xml:space="preserve">2014 meter supply </w:t>
      </w:r>
    </w:p>
    <w:p w:rsidR="00BC060F" w:rsidRPr="00BC060F" w:rsidRDefault="00BC060F" w:rsidP="00BC060F">
      <w:r w:rsidRPr="00BC060F">
        <w:t>We accept $</w:t>
      </w:r>
      <w:r w:rsidR="009B6D5E">
        <w:t>13.7</w:t>
      </w:r>
      <w:r w:rsidRPr="00BC060F">
        <w:t xml:space="preserve"> million ($2018) in excess expenditure for 2014 meter supply.</w:t>
      </w:r>
    </w:p>
    <w:bookmarkStart w:id="35" w:name="_Ref466884162"/>
    <w:p w:rsidR="00173F68" w:rsidRDefault="00173F68" w:rsidP="00173F68">
      <w:r>
        <w:fldChar w:fldCharType="begin"/>
      </w:r>
      <w:r>
        <w:instrText xml:space="preserve"> REF _Ref466884246 \h </w:instrText>
      </w:r>
      <w:r>
        <w:fldChar w:fldCharType="separate"/>
      </w:r>
      <w:r w:rsidR="0032238B">
        <w:t xml:space="preserve">Table </w:t>
      </w:r>
      <w:r w:rsidR="0032238B">
        <w:rPr>
          <w:noProof/>
        </w:rPr>
        <w:t>4</w:t>
      </w:r>
      <w:r w:rsidR="0032238B">
        <w:t>.</w:t>
      </w:r>
      <w:r w:rsidR="0032238B">
        <w:rPr>
          <w:noProof/>
        </w:rPr>
        <w:t>4</w:t>
      </w:r>
      <w:r>
        <w:fldChar w:fldCharType="end"/>
      </w:r>
      <w:r>
        <w:t xml:space="preserve"> sets out the components of our final decision. It shows that we accept both the total volume of metering units put forward by AusNet Services' revised application and the technology mix between 3G, WiMAX and mesh radio modules.</w:t>
      </w:r>
    </w:p>
    <w:p w:rsidR="00BC060F" w:rsidRDefault="00173F68" w:rsidP="00173F68">
      <w:pPr>
        <w:pStyle w:val="Caption"/>
      </w:pPr>
      <w:bookmarkStart w:id="36" w:name="_Ref466884246"/>
      <w:proofErr w:type="gramStart"/>
      <w:r>
        <w:t xml:space="preserve">Table </w:t>
      </w:r>
      <w:fldSimple w:instr=" STYLEREF 1 \s ">
        <w:r w:rsidR="0032238B">
          <w:rPr>
            <w:noProof/>
          </w:rPr>
          <w:t>4</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4</w:t>
      </w:r>
      <w:r w:rsidR="005812E9">
        <w:rPr>
          <w:noProof/>
        </w:rPr>
        <w:fldChar w:fldCharType="end"/>
      </w:r>
      <w:bookmarkEnd w:id="35"/>
      <w:bookmarkEnd w:id="36"/>
      <w:r w:rsidR="00BC060F" w:rsidRPr="00BC060F">
        <w:tab/>
        <w:t>Final decision on 2014 meter supply capex volumes</w:t>
      </w:r>
    </w:p>
    <w:tbl>
      <w:tblPr>
        <w:tblStyle w:val="AERtable-numbers"/>
        <w:tblW w:w="0" w:type="auto"/>
        <w:tblLook w:val="04A0" w:firstRow="1" w:lastRow="0" w:firstColumn="1" w:lastColumn="0" w:noHBand="0" w:noVBand="1"/>
      </w:tblPr>
      <w:tblGrid>
        <w:gridCol w:w="1738"/>
        <w:gridCol w:w="1738"/>
        <w:gridCol w:w="1739"/>
        <w:gridCol w:w="1739"/>
        <w:gridCol w:w="1739"/>
      </w:tblGrid>
      <w:tr w:rsidR="00923960" w:rsidTr="00923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923960" w:rsidRPr="00BC060F" w:rsidRDefault="00923960" w:rsidP="00923960"/>
        </w:tc>
        <w:tc>
          <w:tcPr>
            <w:tcW w:w="1738" w:type="dxa"/>
          </w:tcPr>
          <w:p w:rsidR="00923960" w:rsidRPr="00923960" w:rsidRDefault="00923960" w:rsidP="00923960">
            <w:pPr>
              <w:cnfStyle w:val="100000000000" w:firstRow="1" w:lastRow="0" w:firstColumn="0" w:lastColumn="0" w:oddVBand="0" w:evenVBand="0" w:oddHBand="0" w:evenHBand="0" w:firstRowFirstColumn="0" w:firstRowLastColumn="0" w:lastRowFirstColumn="0" w:lastRowLastColumn="0"/>
            </w:pPr>
            <w:r w:rsidRPr="00BC060F">
              <w:t xml:space="preserve"> Initial </w:t>
            </w:r>
            <w:r w:rsidRPr="00923960">
              <w:t>application</w:t>
            </w:r>
          </w:p>
        </w:tc>
        <w:tc>
          <w:tcPr>
            <w:tcW w:w="1739" w:type="dxa"/>
          </w:tcPr>
          <w:p w:rsidR="00923960" w:rsidRPr="00923960" w:rsidRDefault="00923960" w:rsidP="00923960">
            <w:pPr>
              <w:cnfStyle w:val="100000000000" w:firstRow="1" w:lastRow="0" w:firstColumn="0" w:lastColumn="0" w:oddVBand="0" w:evenVBand="0" w:oddHBand="0" w:evenHBand="0" w:firstRowFirstColumn="0" w:firstRowLastColumn="0" w:lastRowFirstColumn="0" w:lastRowLastColumn="0"/>
            </w:pPr>
            <w:r w:rsidRPr="00BC060F">
              <w:t>Draft decision</w:t>
            </w:r>
          </w:p>
        </w:tc>
        <w:tc>
          <w:tcPr>
            <w:tcW w:w="1739" w:type="dxa"/>
          </w:tcPr>
          <w:p w:rsidR="00923960" w:rsidRPr="00923960" w:rsidRDefault="00923960" w:rsidP="00923960">
            <w:pPr>
              <w:cnfStyle w:val="100000000000" w:firstRow="1" w:lastRow="0" w:firstColumn="0" w:lastColumn="0" w:oddVBand="0" w:evenVBand="0" w:oddHBand="0" w:evenHBand="0" w:firstRowFirstColumn="0" w:firstRowLastColumn="0" w:lastRowFirstColumn="0" w:lastRowLastColumn="0"/>
            </w:pPr>
            <w:r w:rsidRPr="00BC060F">
              <w:t xml:space="preserve"> </w:t>
            </w:r>
            <w:r w:rsidRPr="00923960">
              <w:t>Revised application</w:t>
            </w:r>
          </w:p>
        </w:tc>
        <w:tc>
          <w:tcPr>
            <w:tcW w:w="1739" w:type="dxa"/>
          </w:tcPr>
          <w:p w:rsidR="00923960" w:rsidRPr="00923960" w:rsidRDefault="00923960" w:rsidP="00923960">
            <w:pPr>
              <w:cnfStyle w:val="100000000000" w:firstRow="1" w:lastRow="0" w:firstColumn="0" w:lastColumn="0" w:oddVBand="0" w:evenVBand="0" w:oddHBand="0" w:evenHBand="0" w:firstRowFirstColumn="0" w:firstRowLastColumn="0" w:lastRowFirstColumn="0" w:lastRowLastColumn="0"/>
            </w:pPr>
            <w:r w:rsidRPr="00BC060F">
              <w:t xml:space="preserve">Final </w:t>
            </w:r>
            <w:r w:rsidRPr="00923960">
              <w:t>decision</w:t>
            </w:r>
          </w:p>
        </w:tc>
      </w:tr>
      <w:tr w:rsidR="00923960" w:rsidTr="00923960">
        <w:tc>
          <w:tcPr>
            <w:cnfStyle w:val="001000000000" w:firstRow="0" w:lastRow="0" w:firstColumn="1" w:lastColumn="0" w:oddVBand="0" w:evenVBand="0" w:oddHBand="0" w:evenHBand="0" w:firstRowFirstColumn="0" w:firstRowLastColumn="0" w:lastRowFirstColumn="0" w:lastRowLastColumn="0"/>
            <w:tcW w:w="1738" w:type="dxa"/>
          </w:tcPr>
          <w:p w:rsidR="00923960" w:rsidRPr="00923960" w:rsidRDefault="00923960" w:rsidP="00923960">
            <w:r w:rsidRPr="00BC060F">
              <w:t>Meters</w:t>
            </w:r>
          </w:p>
        </w:tc>
        <w:tc>
          <w:tcPr>
            <w:tcW w:w="1738"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rsidRPr="00BC060F">
              <w:t>0</w:t>
            </w:r>
          </w:p>
        </w:tc>
        <w:tc>
          <w:tcPr>
            <w:tcW w:w="1739"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rsidRPr="00BC060F">
              <w:t>0</w:t>
            </w:r>
          </w:p>
        </w:tc>
        <w:tc>
          <w:tcPr>
            <w:tcW w:w="1739"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rsidRPr="00BC060F">
              <w:t>0</w:t>
            </w:r>
          </w:p>
        </w:tc>
        <w:tc>
          <w:tcPr>
            <w:tcW w:w="1739"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rsidRPr="00BC060F">
              <w:t>0</w:t>
            </w:r>
          </w:p>
        </w:tc>
      </w:tr>
      <w:tr w:rsidR="00923960" w:rsidTr="009239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923960" w:rsidRPr="00923960" w:rsidRDefault="00923960" w:rsidP="00923960">
            <w:r w:rsidRPr="00BC060F">
              <w:t>3G modules</w:t>
            </w:r>
          </w:p>
        </w:tc>
        <w:tc>
          <w:tcPr>
            <w:tcW w:w="1738" w:type="dxa"/>
          </w:tcPr>
          <w:p w:rsidR="00923960" w:rsidRPr="00923960" w:rsidRDefault="00923960" w:rsidP="00923960">
            <w:pPr>
              <w:cnfStyle w:val="000000010000" w:firstRow="0" w:lastRow="0" w:firstColumn="0" w:lastColumn="0" w:oddVBand="0" w:evenVBand="0" w:oddHBand="0" w:evenHBand="1" w:firstRowFirstColumn="0" w:firstRowLastColumn="0" w:lastRowFirstColumn="0" w:lastRowLastColumn="0"/>
            </w:pPr>
            <w:r w:rsidRPr="00BC060F">
              <w:t>122 579</w:t>
            </w:r>
          </w:p>
        </w:tc>
        <w:tc>
          <w:tcPr>
            <w:tcW w:w="1739" w:type="dxa"/>
          </w:tcPr>
          <w:p w:rsidR="00923960" w:rsidRPr="00923960" w:rsidRDefault="00923960" w:rsidP="00923960">
            <w:pPr>
              <w:cnfStyle w:val="000000010000" w:firstRow="0" w:lastRow="0" w:firstColumn="0" w:lastColumn="0" w:oddVBand="0" w:evenVBand="0" w:oddHBand="0" w:evenHBand="1" w:firstRowFirstColumn="0" w:firstRowLastColumn="0" w:lastRowFirstColumn="0" w:lastRowLastColumn="0"/>
            </w:pPr>
            <w:r w:rsidRPr="00BC060F">
              <w:t>4 376</w:t>
            </w:r>
          </w:p>
        </w:tc>
        <w:tc>
          <w:tcPr>
            <w:tcW w:w="1739" w:type="dxa"/>
          </w:tcPr>
          <w:p w:rsidR="00923960" w:rsidRPr="00923960" w:rsidRDefault="00923960" w:rsidP="00923960">
            <w:pPr>
              <w:cnfStyle w:val="000000010000" w:firstRow="0" w:lastRow="0" w:firstColumn="0" w:lastColumn="0" w:oddVBand="0" w:evenVBand="0" w:oddHBand="0" w:evenHBand="1" w:firstRowFirstColumn="0" w:firstRowLastColumn="0" w:lastRowFirstColumn="0" w:lastRowLastColumn="0"/>
            </w:pPr>
            <w:r w:rsidRPr="00BC060F">
              <w:t>10 064</w:t>
            </w:r>
          </w:p>
        </w:tc>
        <w:tc>
          <w:tcPr>
            <w:tcW w:w="1739" w:type="dxa"/>
          </w:tcPr>
          <w:p w:rsidR="00923960" w:rsidRPr="00923960" w:rsidRDefault="00923960" w:rsidP="00923960">
            <w:pPr>
              <w:cnfStyle w:val="000000010000" w:firstRow="0" w:lastRow="0" w:firstColumn="0" w:lastColumn="0" w:oddVBand="0" w:evenVBand="0" w:oddHBand="0" w:evenHBand="1" w:firstRowFirstColumn="0" w:firstRowLastColumn="0" w:lastRowFirstColumn="0" w:lastRowLastColumn="0"/>
            </w:pPr>
            <w:r w:rsidRPr="00BC060F">
              <w:t>10 064</w:t>
            </w:r>
          </w:p>
        </w:tc>
      </w:tr>
      <w:tr w:rsidR="00923960" w:rsidTr="00923960">
        <w:tc>
          <w:tcPr>
            <w:cnfStyle w:val="001000000000" w:firstRow="0" w:lastRow="0" w:firstColumn="1" w:lastColumn="0" w:oddVBand="0" w:evenVBand="0" w:oddHBand="0" w:evenHBand="0" w:firstRowFirstColumn="0" w:firstRowLastColumn="0" w:lastRowFirstColumn="0" w:lastRowLastColumn="0"/>
            <w:tcW w:w="1738" w:type="dxa"/>
          </w:tcPr>
          <w:p w:rsidR="00923960" w:rsidRPr="00923960" w:rsidRDefault="00923960" w:rsidP="00923960">
            <w:r w:rsidRPr="00BC060F">
              <w:t>WiMAX modules</w:t>
            </w:r>
          </w:p>
        </w:tc>
        <w:tc>
          <w:tcPr>
            <w:tcW w:w="1738"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rsidRPr="00BC060F">
              <w:t>23 277</w:t>
            </w:r>
          </w:p>
        </w:tc>
        <w:tc>
          <w:tcPr>
            <w:tcW w:w="1739"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rsidRPr="00BC060F">
              <w:t>0</w:t>
            </w:r>
          </w:p>
        </w:tc>
        <w:tc>
          <w:tcPr>
            <w:tcW w:w="1739"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rsidRPr="00BC060F">
              <w:t>0</w:t>
            </w:r>
          </w:p>
        </w:tc>
        <w:tc>
          <w:tcPr>
            <w:tcW w:w="1739"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rsidRPr="00BC060F">
              <w:t>0</w:t>
            </w:r>
          </w:p>
        </w:tc>
      </w:tr>
      <w:tr w:rsidR="00923960" w:rsidTr="009239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923960" w:rsidRPr="00923960" w:rsidRDefault="00923960" w:rsidP="00923960">
            <w:r w:rsidRPr="00BC060F">
              <w:t>Mesh radio modules</w:t>
            </w:r>
          </w:p>
        </w:tc>
        <w:tc>
          <w:tcPr>
            <w:tcW w:w="1738" w:type="dxa"/>
          </w:tcPr>
          <w:p w:rsidR="00923960" w:rsidRPr="00923960" w:rsidRDefault="00923960" w:rsidP="00923960">
            <w:pPr>
              <w:cnfStyle w:val="000000010000" w:firstRow="0" w:lastRow="0" w:firstColumn="0" w:lastColumn="0" w:oddVBand="0" w:evenVBand="0" w:oddHBand="0" w:evenHBand="1" w:firstRowFirstColumn="0" w:firstRowLastColumn="0" w:lastRowFirstColumn="0" w:lastRowLastColumn="0"/>
            </w:pPr>
            <w:r w:rsidRPr="00BC060F">
              <w:t>0</w:t>
            </w:r>
          </w:p>
        </w:tc>
        <w:tc>
          <w:tcPr>
            <w:tcW w:w="1739" w:type="dxa"/>
          </w:tcPr>
          <w:p w:rsidR="00923960" w:rsidRPr="00923960" w:rsidRDefault="00923960" w:rsidP="00923960">
            <w:pPr>
              <w:cnfStyle w:val="000000010000" w:firstRow="0" w:lastRow="0" w:firstColumn="0" w:lastColumn="0" w:oddVBand="0" w:evenVBand="0" w:oddHBand="0" w:evenHBand="1" w:firstRowFirstColumn="0" w:firstRowLastColumn="0" w:lastRowFirstColumn="0" w:lastRowLastColumn="0"/>
            </w:pPr>
            <w:r w:rsidRPr="00BC060F">
              <w:t>141 480</w:t>
            </w:r>
          </w:p>
        </w:tc>
        <w:tc>
          <w:tcPr>
            <w:tcW w:w="1739" w:type="dxa"/>
          </w:tcPr>
          <w:p w:rsidR="00923960" w:rsidRPr="00923960" w:rsidRDefault="00923960" w:rsidP="00923960">
            <w:pPr>
              <w:cnfStyle w:val="000000010000" w:firstRow="0" w:lastRow="0" w:firstColumn="0" w:lastColumn="0" w:oddVBand="0" w:evenVBand="0" w:oddHBand="0" w:evenHBand="1" w:firstRowFirstColumn="0" w:firstRowLastColumn="0" w:lastRowFirstColumn="0" w:lastRowLastColumn="0"/>
            </w:pPr>
            <w:r w:rsidRPr="00BC060F">
              <w:t>135 792</w:t>
            </w:r>
          </w:p>
        </w:tc>
        <w:tc>
          <w:tcPr>
            <w:tcW w:w="1739" w:type="dxa"/>
          </w:tcPr>
          <w:p w:rsidR="00923960" w:rsidRPr="00923960" w:rsidRDefault="00923960" w:rsidP="00923960">
            <w:pPr>
              <w:cnfStyle w:val="000000010000" w:firstRow="0" w:lastRow="0" w:firstColumn="0" w:lastColumn="0" w:oddVBand="0" w:evenVBand="0" w:oddHBand="0" w:evenHBand="1" w:firstRowFirstColumn="0" w:firstRowLastColumn="0" w:lastRowFirstColumn="0" w:lastRowLastColumn="0"/>
            </w:pPr>
            <w:r w:rsidRPr="00BC060F">
              <w:t>135 792</w:t>
            </w:r>
          </w:p>
        </w:tc>
      </w:tr>
      <w:tr w:rsidR="00923960" w:rsidTr="00923960">
        <w:tc>
          <w:tcPr>
            <w:cnfStyle w:val="001000000000" w:firstRow="0" w:lastRow="0" w:firstColumn="1" w:lastColumn="0" w:oddVBand="0" w:evenVBand="0" w:oddHBand="0" w:evenHBand="0" w:firstRowFirstColumn="0" w:firstRowLastColumn="0" w:lastRowFirstColumn="0" w:lastRowLastColumn="0"/>
            <w:tcW w:w="1738" w:type="dxa"/>
          </w:tcPr>
          <w:p w:rsidR="00923960" w:rsidRPr="00923960" w:rsidRDefault="00923960" w:rsidP="00923960">
            <w:r w:rsidRPr="00BC060F">
              <w:t>Total metering units</w:t>
            </w:r>
          </w:p>
        </w:tc>
        <w:tc>
          <w:tcPr>
            <w:tcW w:w="1738"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rsidRPr="00BC060F">
              <w:t>145 856</w:t>
            </w:r>
          </w:p>
        </w:tc>
        <w:tc>
          <w:tcPr>
            <w:tcW w:w="1739"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rsidRPr="00BC060F">
              <w:t>145 856</w:t>
            </w:r>
          </w:p>
        </w:tc>
        <w:tc>
          <w:tcPr>
            <w:tcW w:w="1739"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rsidRPr="00BC060F">
              <w:t>145 856</w:t>
            </w:r>
          </w:p>
        </w:tc>
        <w:tc>
          <w:tcPr>
            <w:tcW w:w="1739" w:type="dxa"/>
          </w:tcPr>
          <w:p w:rsidR="00923960" w:rsidRPr="00923960" w:rsidRDefault="00923960" w:rsidP="00923960">
            <w:pPr>
              <w:cnfStyle w:val="000000000000" w:firstRow="0" w:lastRow="0" w:firstColumn="0" w:lastColumn="0" w:oddVBand="0" w:evenVBand="0" w:oddHBand="0" w:evenHBand="0" w:firstRowFirstColumn="0" w:firstRowLastColumn="0" w:lastRowFirstColumn="0" w:lastRowLastColumn="0"/>
            </w:pPr>
            <w:r w:rsidRPr="00BC060F">
              <w:t>145 856</w:t>
            </w:r>
          </w:p>
        </w:tc>
      </w:tr>
    </w:tbl>
    <w:p w:rsidR="00173F68" w:rsidRDefault="00173F68" w:rsidP="00923960">
      <w:pPr>
        <w:pStyle w:val="AERtablesource"/>
        <w:ind w:left="0" w:firstLine="0"/>
      </w:pPr>
      <w:r>
        <w:t xml:space="preserve">Source: </w:t>
      </w:r>
      <w:r>
        <w:tab/>
        <w:t>AER analysis.</w:t>
      </w:r>
    </w:p>
    <w:p w:rsidR="00E156E7" w:rsidRDefault="00DB4DFD" w:rsidP="00034744">
      <w:r>
        <w:t>O</w:t>
      </w:r>
      <w:r w:rsidR="00BB4C65">
        <w:t>ur draft decision accepted the total volume of metering units in AusNet Services' initial appl</w:t>
      </w:r>
      <w:r w:rsidR="00E156E7">
        <w:t xml:space="preserve">ication. </w:t>
      </w:r>
      <w:r w:rsidR="00034B59">
        <w:t>W</w:t>
      </w:r>
      <w:r w:rsidR="00BB4C65">
        <w:t>e did not</w:t>
      </w:r>
      <w:r w:rsidR="00034B59">
        <w:t>, however,</w:t>
      </w:r>
      <w:r w:rsidR="00BB4C65">
        <w:t xml:space="preserve"> accept the proposed technology mix. </w:t>
      </w:r>
      <w:r w:rsidR="00034B59">
        <w:t xml:space="preserve">We accepted 4 376 communication modules with 3G capabilities instead of AusNet Services' initial proposal of 122 579. </w:t>
      </w:r>
      <w:r w:rsidR="00607EC6">
        <w:t>Consistent with past Tribunal and AER determinations,</w:t>
      </w:r>
      <w:r w:rsidR="00607EC6">
        <w:rPr>
          <w:rStyle w:val="FootnoteReference"/>
        </w:rPr>
        <w:footnoteReference w:id="25"/>
      </w:r>
      <w:r w:rsidR="00607EC6">
        <w:t xml:space="preserve"> we </w:t>
      </w:r>
      <w:r w:rsidR="00BB4C65">
        <w:t xml:space="preserve">also did not accept any of </w:t>
      </w:r>
      <w:r w:rsidR="00034B59">
        <w:t>AusNet Services' proposed volume of</w:t>
      </w:r>
      <w:r w:rsidR="00E156E7">
        <w:t xml:space="preserve"> </w:t>
      </w:r>
      <w:r w:rsidR="00BB4C65">
        <w:t>WiMAX communication modules.</w:t>
      </w:r>
      <w:r w:rsidR="00E156E7">
        <w:t xml:space="preserve"> </w:t>
      </w:r>
      <w:r w:rsidR="00034B59">
        <w:t xml:space="preserve">For each 3G and WiMAX communication module we did not approve, our draft decision </w:t>
      </w:r>
      <w:r w:rsidR="00E156E7">
        <w:t xml:space="preserve">accepted an additional </w:t>
      </w:r>
      <w:r w:rsidR="00034B59">
        <w:t xml:space="preserve">mesh radio </w:t>
      </w:r>
      <w:r w:rsidR="00E156E7">
        <w:t>equivalent device</w:t>
      </w:r>
      <w:r w:rsidR="00034B59">
        <w:t xml:space="preserve">. </w:t>
      </w:r>
      <w:r w:rsidR="00E156E7">
        <w:t>By doing this, we considered our draft decision to give effect to an efficient</w:t>
      </w:r>
      <w:r w:rsidR="00607EC6">
        <w:t xml:space="preserve"> technology mix</w:t>
      </w:r>
      <w:r w:rsidR="00E156E7">
        <w:t>.</w:t>
      </w:r>
      <w:r w:rsidR="00D84006">
        <w:t xml:space="preserve"> Mesh radio has the lowest unit cost of the communication technology available to AusNet Services.</w:t>
      </w:r>
    </w:p>
    <w:p w:rsidR="00DB4DFD" w:rsidRDefault="00034B59" w:rsidP="00034744">
      <w:r>
        <w:t xml:space="preserve">In response, AusNet Services' revised application accepted our draft decision to not approve any WiMAX communication modules. </w:t>
      </w:r>
      <w:r w:rsidR="00CD6571">
        <w:t>However, it</w:t>
      </w:r>
      <w:r w:rsidR="00607EC6">
        <w:t xml:space="preserve"> sought a higher volume of 3G commu</w:t>
      </w:r>
      <w:r w:rsidR="00233E0F">
        <w:t xml:space="preserve">nication modules. </w:t>
      </w:r>
      <w:r w:rsidR="00DB4DFD">
        <w:t>It proposed</w:t>
      </w:r>
      <w:r w:rsidR="00233E0F">
        <w:t xml:space="preserve"> 10 064</w:t>
      </w:r>
      <w:r w:rsidR="00DB4DFD">
        <w:t xml:space="preserve"> communication modules with 3G capabilities </w:t>
      </w:r>
      <w:r w:rsidR="00A43F48">
        <w:t>compared</w:t>
      </w:r>
      <w:r w:rsidR="00DB4DFD">
        <w:t xml:space="preserve"> to 4 376 we accepted in our draft decision</w:t>
      </w:r>
      <w:r w:rsidR="00233E0F">
        <w:t>.</w:t>
      </w:r>
    </w:p>
    <w:p w:rsidR="00D84006" w:rsidRPr="00D84006" w:rsidRDefault="00BC63F3" w:rsidP="00D84006">
      <w:r>
        <w:t xml:space="preserve">With respect to 3G communication modules, </w:t>
      </w:r>
      <w:r w:rsidR="002B5454">
        <w:t>we accept that</w:t>
      </w:r>
      <w:r w:rsidR="00D84006" w:rsidRPr="00D84006">
        <w:t xml:space="preserve"> </w:t>
      </w:r>
      <w:r>
        <w:t>s</w:t>
      </w:r>
      <w:r w:rsidR="00F66A3D">
        <w:t xml:space="preserve">uch technology </w:t>
      </w:r>
      <w:r w:rsidR="00D84006" w:rsidRPr="00D84006">
        <w:t>may be an efficient technology choice</w:t>
      </w:r>
      <w:r>
        <w:t xml:space="preserve"> in certain circumstances</w:t>
      </w:r>
      <w:r w:rsidR="00D84006" w:rsidRPr="00D84006">
        <w:t xml:space="preserve">. These circumstances relate to lower density areas where the presence of few customers means that it is more cost effective to use 3G technology than install the infrastructure needed to operate a mesh radio solution. </w:t>
      </w:r>
      <w:r w:rsidR="00A43F48">
        <w:t>Consistent with this</w:t>
      </w:r>
      <w:r w:rsidR="00D84006" w:rsidRPr="00D84006">
        <w:t>, our draft decision adopted the view that AusNet Services would require the same level of 3G communication modules as Powercor. We reached this conclusion on the basis that AusNet Services and Powercor operate networks with similar characteristics in terms of customer density</w:t>
      </w:r>
      <w:r w:rsidR="00A43F48">
        <w:t xml:space="preserve"> and size</w:t>
      </w:r>
      <w:r w:rsidR="00D84006" w:rsidRPr="00D84006">
        <w:t>. Since we observed that Powercor has a 3G infill of 3 percent, we applied that percentage to AusNet Services’ 2014 meter supply proposal.</w:t>
      </w:r>
      <w:r w:rsidR="00211152">
        <w:rPr>
          <w:rStyle w:val="FootnoteReference"/>
        </w:rPr>
        <w:footnoteReference w:id="26"/>
      </w:r>
    </w:p>
    <w:p w:rsidR="00D84006" w:rsidRPr="00D84006" w:rsidRDefault="00F66A3D" w:rsidP="00D84006">
      <w:r>
        <w:t xml:space="preserve">In its revised application, AusNet Services submitted </w:t>
      </w:r>
      <w:r w:rsidR="00D84006" w:rsidRPr="00D84006">
        <w:t>that we should approve a 3G infill of 6.9 percent rather than the 3 percent accepted in our draft decision. To support its proposed higher level of 3G infill, AusNet Services provided us with a report from a spatial information consultant, ‘we–do–IT’.</w:t>
      </w:r>
      <w:r w:rsidR="00AA1F4B">
        <w:rPr>
          <w:rStyle w:val="FootnoteReference"/>
        </w:rPr>
        <w:footnoteReference w:id="27"/>
      </w:r>
      <w:r w:rsidR="00D84006" w:rsidRPr="00D84006">
        <w:t xml:space="preserve"> The report identifies that the terrain associated with AusNet Services’ distribution area has the highest level of ‘roughness’ of all Victorian electricity distributors.</w:t>
      </w:r>
      <w:r w:rsidR="00A56B47">
        <w:rPr>
          <w:rStyle w:val="FootnoteReference"/>
        </w:rPr>
        <w:footnoteReference w:id="28"/>
      </w:r>
      <w:r w:rsidR="00D84006" w:rsidRPr="00D84006">
        <w:t xml:space="preserve">  In the report, terrain roughness </w:t>
      </w:r>
      <w:proofErr w:type="gramStart"/>
      <w:r w:rsidR="00D84006" w:rsidRPr="00D84006">
        <w:t>is identified</w:t>
      </w:r>
      <w:proofErr w:type="gramEnd"/>
      <w:r w:rsidR="00D84006" w:rsidRPr="00D84006">
        <w:t xml:space="preserve"> by mapping the Victorian distributor’s networks and observing the variability in the topographic surface.</w:t>
      </w:r>
      <w:r w:rsidR="00A56B47">
        <w:rPr>
          <w:rStyle w:val="FootnoteReference"/>
        </w:rPr>
        <w:footnoteReference w:id="29"/>
      </w:r>
    </w:p>
    <w:p w:rsidR="00D84006" w:rsidRPr="00D84006" w:rsidRDefault="00D84006" w:rsidP="00D84006">
      <w:r>
        <w:t>Based on</w:t>
      </w:r>
      <w:r w:rsidR="00CD6571">
        <w:t xml:space="preserve"> this information</w:t>
      </w:r>
      <w:r>
        <w:t xml:space="preserve">, we </w:t>
      </w:r>
      <w:r w:rsidRPr="00D84006">
        <w:t xml:space="preserve">accept AusNet Services’ submission that it has a more geographically rugged </w:t>
      </w:r>
      <w:r w:rsidR="00A43F48">
        <w:t xml:space="preserve">or diverse </w:t>
      </w:r>
      <w:r w:rsidRPr="00D84006">
        <w:t xml:space="preserve">network than Powercor and that this may require greater reliance on 3G communications technology. We consider that our final </w:t>
      </w:r>
      <w:r w:rsidR="00BC63F3">
        <w:t>decision</w:t>
      </w:r>
      <w:r w:rsidRPr="00D84006">
        <w:t xml:space="preserve"> should accept an allowance that </w:t>
      </w:r>
      <w:proofErr w:type="gramStart"/>
      <w:r w:rsidRPr="00D84006">
        <w:t>is based</w:t>
      </w:r>
      <w:proofErr w:type="gramEnd"/>
      <w:r w:rsidRPr="00D84006">
        <w:t xml:space="preserve"> on a 3G communications infill that is greater than the percentage used by Powercor. Our view is that the proposed 6.9 percent infill would reasonably reflect the number of 3G communication modules required by AusNet Services</w:t>
      </w:r>
      <w:r w:rsidR="00A43F48">
        <w:t>,</w:t>
      </w:r>
      <w:r w:rsidRPr="00D84006">
        <w:t xml:space="preserve"> given the ruggedness of its network terrain. Compared to our draft decision, this leads to a</w:t>
      </w:r>
      <w:r w:rsidR="00BC63F3">
        <w:t>n</w:t>
      </w:r>
      <w:r w:rsidRPr="00D84006">
        <w:t xml:space="preserve"> increase in AusNet Services’ allowed excess expenditure of $1.2 million ($2018). It </w:t>
      </w:r>
      <w:r w:rsidR="00BC63F3">
        <w:t xml:space="preserve">in turn </w:t>
      </w:r>
      <w:r w:rsidRPr="00D84006">
        <w:t xml:space="preserve">leads to </w:t>
      </w:r>
      <w:r w:rsidR="00BC63F3">
        <w:t>us</w:t>
      </w:r>
      <w:r w:rsidRPr="00D84006">
        <w:t xml:space="preserve"> accepting an excess expenditure allowance for 2014 meter supply of $13.7 million ($2018), which</w:t>
      </w:r>
      <w:r w:rsidR="00BC63F3">
        <w:t xml:space="preserve"> is</w:t>
      </w:r>
      <w:r w:rsidRPr="00D84006">
        <w:t xml:space="preserve"> about 10 percent more than the $12.5 million ($2018) we accepted </w:t>
      </w:r>
      <w:r w:rsidR="00CD6571">
        <w:t>in</w:t>
      </w:r>
      <w:r w:rsidRPr="00D84006">
        <w:t xml:space="preserve"> the draft decision.</w:t>
      </w:r>
    </w:p>
    <w:p w:rsidR="000F6A59" w:rsidRDefault="00680CE7" w:rsidP="00034744">
      <w:pPr>
        <w:rPr>
          <w:rStyle w:val="AERtextboldunderline"/>
        </w:rPr>
      </w:pPr>
      <w:r>
        <w:rPr>
          <w:rStyle w:val="AERtextboldunderline"/>
        </w:rPr>
        <w:t xml:space="preserve">2015 meter supply </w:t>
      </w:r>
    </w:p>
    <w:p w:rsidR="00923960" w:rsidRDefault="00923960" w:rsidP="00923960">
      <w:r>
        <w:t>We accept $1.4 million ($2018) in excess expenditure for 2015 meter supply.</w:t>
      </w:r>
    </w:p>
    <w:p w:rsidR="00680CE7" w:rsidRDefault="00680CE7" w:rsidP="00680CE7">
      <w:r w:rsidRPr="00680CE7">
        <w:t>Our draft decision accepted AusNet Services’ p</w:t>
      </w:r>
      <w:r w:rsidR="00923960">
        <w:t xml:space="preserve">roposed 2015 meter supply capex. </w:t>
      </w:r>
      <w:r w:rsidRPr="00680CE7">
        <w:t xml:space="preserve">AusNet Services has not sought to revise this aspect of its initial </w:t>
      </w:r>
      <w:r>
        <w:t>application</w:t>
      </w:r>
      <w:r w:rsidR="00CD6571">
        <w:t>.</w:t>
      </w:r>
      <w:r w:rsidR="00923960">
        <w:t xml:space="preserve"> </w:t>
      </w:r>
      <w:r w:rsidR="00CD6571">
        <w:t>W</w:t>
      </w:r>
      <w:r w:rsidR="00923960">
        <w:t>e affirm our draft decision</w:t>
      </w:r>
      <w:r>
        <w:t xml:space="preserve">. </w:t>
      </w:r>
      <w:r w:rsidR="009B6D5E">
        <w:fldChar w:fldCharType="begin"/>
      </w:r>
      <w:r w:rsidR="009B6D5E">
        <w:instrText xml:space="preserve"> REF _Ref466893699 \h </w:instrText>
      </w:r>
      <w:r w:rsidR="009B6D5E">
        <w:fldChar w:fldCharType="separate"/>
      </w:r>
      <w:r w:rsidR="0032238B">
        <w:t xml:space="preserve">Table </w:t>
      </w:r>
      <w:r w:rsidR="0032238B">
        <w:rPr>
          <w:noProof/>
        </w:rPr>
        <w:t>4</w:t>
      </w:r>
      <w:r w:rsidR="0032238B">
        <w:t>.</w:t>
      </w:r>
      <w:r w:rsidR="0032238B">
        <w:rPr>
          <w:noProof/>
        </w:rPr>
        <w:t>5</w:t>
      </w:r>
      <w:r w:rsidR="009B6D5E">
        <w:fldChar w:fldCharType="end"/>
      </w:r>
      <w:r w:rsidR="009B6D5E">
        <w:t xml:space="preserve"> sets out the volume of metering units making up our final decision.</w:t>
      </w:r>
    </w:p>
    <w:p w:rsidR="00680CE7" w:rsidRDefault="00923960" w:rsidP="00923960">
      <w:pPr>
        <w:pStyle w:val="Caption"/>
      </w:pPr>
      <w:bookmarkStart w:id="37" w:name="_Ref466893699"/>
      <w:proofErr w:type="gramStart"/>
      <w:r>
        <w:t xml:space="preserve">Table </w:t>
      </w:r>
      <w:fldSimple w:instr=" STYLEREF 1 \s ">
        <w:r w:rsidR="0032238B">
          <w:rPr>
            <w:noProof/>
          </w:rPr>
          <w:t>4</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5</w:t>
      </w:r>
      <w:r w:rsidR="005812E9">
        <w:rPr>
          <w:noProof/>
        </w:rPr>
        <w:fldChar w:fldCharType="end"/>
      </w:r>
      <w:bookmarkEnd w:id="37"/>
      <w:r>
        <w:tab/>
        <w:t>Final decision on 2015 meter supply capex volumes</w:t>
      </w:r>
    </w:p>
    <w:tbl>
      <w:tblPr>
        <w:tblStyle w:val="AERtable-numbers"/>
        <w:tblW w:w="0" w:type="auto"/>
        <w:tblLook w:val="04A0" w:firstRow="1" w:lastRow="0" w:firstColumn="1" w:lastColumn="0" w:noHBand="0" w:noVBand="1"/>
      </w:tblPr>
      <w:tblGrid>
        <w:gridCol w:w="1738"/>
        <w:gridCol w:w="1738"/>
        <w:gridCol w:w="1739"/>
        <w:gridCol w:w="1739"/>
        <w:gridCol w:w="1739"/>
      </w:tblGrid>
      <w:tr w:rsidR="00813522" w:rsidTr="00813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813522" w:rsidRDefault="00813522" w:rsidP="00813522"/>
        </w:tc>
        <w:tc>
          <w:tcPr>
            <w:tcW w:w="1738" w:type="dxa"/>
          </w:tcPr>
          <w:p w:rsidR="00813522" w:rsidRPr="00813522" w:rsidRDefault="00813522" w:rsidP="00813522">
            <w:pPr>
              <w:cnfStyle w:val="100000000000" w:firstRow="1" w:lastRow="0" w:firstColumn="0" w:lastColumn="0" w:oddVBand="0" w:evenVBand="0" w:oddHBand="0" w:evenHBand="0" w:firstRowFirstColumn="0" w:firstRowLastColumn="0" w:lastRowFirstColumn="0" w:lastRowLastColumn="0"/>
            </w:pPr>
            <w:r>
              <w:t>I</w:t>
            </w:r>
            <w:r w:rsidRPr="00813522">
              <w:t>nitial application</w:t>
            </w:r>
          </w:p>
        </w:tc>
        <w:tc>
          <w:tcPr>
            <w:tcW w:w="1739" w:type="dxa"/>
          </w:tcPr>
          <w:p w:rsidR="00813522" w:rsidRPr="00813522" w:rsidRDefault="00813522" w:rsidP="00813522">
            <w:pPr>
              <w:cnfStyle w:val="100000000000" w:firstRow="1" w:lastRow="0" w:firstColumn="0" w:lastColumn="0" w:oddVBand="0" w:evenVBand="0" w:oddHBand="0" w:evenHBand="0" w:firstRowFirstColumn="0" w:firstRowLastColumn="0" w:lastRowFirstColumn="0" w:lastRowLastColumn="0"/>
            </w:pPr>
            <w:r>
              <w:t>Draft decision</w:t>
            </w:r>
          </w:p>
        </w:tc>
        <w:tc>
          <w:tcPr>
            <w:tcW w:w="1739" w:type="dxa"/>
          </w:tcPr>
          <w:p w:rsidR="00813522" w:rsidRPr="00813522" w:rsidRDefault="00813522" w:rsidP="00813522">
            <w:pPr>
              <w:cnfStyle w:val="100000000000" w:firstRow="1" w:lastRow="0" w:firstColumn="0" w:lastColumn="0" w:oddVBand="0" w:evenVBand="0" w:oddHBand="0" w:evenHBand="0" w:firstRowFirstColumn="0" w:firstRowLastColumn="0" w:lastRowFirstColumn="0" w:lastRowLastColumn="0"/>
            </w:pPr>
            <w:r>
              <w:t>Revised application</w:t>
            </w:r>
          </w:p>
        </w:tc>
        <w:tc>
          <w:tcPr>
            <w:tcW w:w="1739" w:type="dxa"/>
          </w:tcPr>
          <w:p w:rsidR="00813522" w:rsidRPr="00813522" w:rsidRDefault="00813522" w:rsidP="00813522">
            <w:pPr>
              <w:cnfStyle w:val="100000000000" w:firstRow="1" w:lastRow="0" w:firstColumn="0" w:lastColumn="0" w:oddVBand="0" w:evenVBand="0" w:oddHBand="0" w:evenHBand="0" w:firstRowFirstColumn="0" w:firstRowLastColumn="0" w:lastRowFirstColumn="0" w:lastRowLastColumn="0"/>
            </w:pPr>
            <w:r>
              <w:t>Final decision</w:t>
            </w:r>
          </w:p>
        </w:tc>
      </w:tr>
      <w:tr w:rsidR="00813522" w:rsidTr="00813522">
        <w:tc>
          <w:tcPr>
            <w:cnfStyle w:val="001000000000" w:firstRow="0" w:lastRow="0" w:firstColumn="1" w:lastColumn="0" w:oddVBand="0" w:evenVBand="0" w:oddHBand="0" w:evenHBand="0" w:firstRowFirstColumn="0" w:firstRowLastColumn="0" w:lastRowFirstColumn="0" w:lastRowLastColumn="0"/>
            <w:tcW w:w="1738" w:type="dxa"/>
          </w:tcPr>
          <w:p w:rsidR="00813522" w:rsidRPr="00813522" w:rsidRDefault="00813522" w:rsidP="00813522">
            <w:r>
              <w:t>Meters</w:t>
            </w:r>
          </w:p>
        </w:tc>
        <w:tc>
          <w:tcPr>
            <w:tcW w:w="173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t>12 570</w:t>
            </w:r>
          </w:p>
        </w:tc>
        <w:tc>
          <w:tcPr>
            <w:tcW w:w="1739"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t>12 570</w:t>
            </w:r>
          </w:p>
        </w:tc>
        <w:tc>
          <w:tcPr>
            <w:tcW w:w="1739"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t>12 570</w:t>
            </w:r>
          </w:p>
        </w:tc>
        <w:tc>
          <w:tcPr>
            <w:tcW w:w="1739"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t>12 570</w:t>
            </w:r>
          </w:p>
        </w:tc>
      </w:tr>
      <w:tr w:rsidR="00813522" w:rsidTr="008135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813522" w:rsidRPr="00813522" w:rsidRDefault="00813522" w:rsidP="00813522">
            <w:r>
              <w:t xml:space="preserve">3G </w:t>
            </w:r>
            <w:r w:rsidRPr="00813522">
              <w:t>modules</w:t>
            </w:r>
          </w:p>
        </w:tc>
        <w:tc>
          <w:tcPr>
            <w:tcW w:w="1738"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t>0</w:t>
            </w:r>
          </w:p>
        </w:tc>
        <w:tc>
          <w:tcPr>
            <w:tcW w:w="1739"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t>0</w:t>
            </w:r>
          </w:p>
        </w:tc>
        <w:tc>
          <w:tcPr>
            <w:tcW w:w="1739"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t>0</w:t>
            </w:r>
          </w:p>
        </w:tc>
        <w:tc>
          <w:tcPr>
            <w:tcW w:w="1739"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t>0</w:t>
            </w:r>
          </w:p>
        </w:tc>
      </w:tr>
      <w:tr w:rsidR="00813522" w:rsidTr="00813522">
        <w:tc>
          <w:tcPr>
            <w:cnfStyle w:val="001000000000" w:firstRow="0" w:lastRow="0" w:firstColumn="1" w:lastColumn="0" w:oddVBand="0" w:evenVBand="0" w:oddHBand="0" w:evenHBand="0" w:firstRowFirstColumn="0" w:firstRowLastColumn="0" w:lastRowFirstColumn="0" w:lastRowLastColumn="0"/>
            <w:tcW w:w="1738" w:type="dxa"/>
          </w:tcPr>
          <w:p w:rsidR="00813522" w:rsidRPr="00813522" w:rsidRDefault="00813522" w:rsidP="00813522">
            <w:r>
              <w:t xml:space="preserve">WiMAX </w:t>
            </w:r>
            <w:r w:rsidRPr="00813522">
              <w:t>modules</w:t>
            </w:r>
          </w:p>
        </w:tc>
        <w:tc>
          <w:tcPr>
            <w:tcW w:w="173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t>0</w:t>
            </w:r>
          </w:p>
        </w:tc>
        <w:tc>
          <w:tcPr>
            <w:tcW w:w="1739"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t>0</w:t>
            </w:r>
          </w:p>
        </w:tc>
        <w:tc>
          <w:tcPr>
            <w:tcW w:w="1739"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t>0</w:t>
            </w:r>
          </w:p>
        </w:tc>
        <w:tc>
          <w:tcPr>
            <w:tcW w:w="1739"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t>0</w:t>
            </w:r>
          </w:p>
        </w:tc>
      </w:tr>
      <w:tr w:rsidR="00813522" w:rsidTr="008135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813522" w:rsidRPr="00813522" w:rsidRDefault="00813522" w:rsidP="00813522">
            <w:r>
              <w:t>Mesh radio modules</w:t>
            </w:r>
          </w:p>
        </w:tc>
        <w:tc>
          <w:tcPr>
            <w:tcW w:w="1738"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t>0</w:t>
            </w:r>
          </w:p>
        </w:tc>
        <w:tc>
          <w:tcPr>
            <w:tcW w:w="1739"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t>0</w:t>
            </w:r>
          </w:p>
        </w:tc>
        <w:tc>
          <w:tcPr>
            <w:tcW w:w="1739"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t>0</w:t>
            </w:r>
          </w:p>
        </w:tc>
        <w:tc>
          <w:tcPr>
            <w:tcW w:w="1739"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t>0</w:t>
            </w:r>
          </w:p>
        </w:tc>
      </w:tr>
      <w:tr w:rsidR="00813522" w:rsidTr="00813522">
        <w:tc>
          <w:tcPr>
            <w:cnfStyle w:val="001000000000" w:firstRow="0" w:lastRow="0" w:firstColumn="1" w:lastColumn="0" w:oddVBand="0" w:evenVBand="0" w:oddHBand="0" w:evenHBand="0" w:firstRowFirstColumn="0" w:firstRowLastColumn="0" w:lastRowFirstColumn="0" w:lastRowLastColumn="0"/>
            <w:tcW w:w="1738" w:type="dxa"/>
          </w:tcPr>
          <w:p w:rsidR="00813522" w:rsidRPr="00813522" w:rsidRDefault="00813522" w:rsidP="00813522">
            <w:r>
              <w:t>Total metering units</w:t>
            </w:r>
          </w:p>
        </w:tc>
        <w:tc>
          <w:tcPr>
            <w:tcW w:w="173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t>12 570</w:t>
            </w:r>
          </w:p>
        </w:tc>
        <w:tc>
          <w:tcPr>
            <w:tcW w:w="1739"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t>12 570</w:t>
            </w:r>
          </w:p>
        </w:tc>
        <w:tc>
          <w:tcPr>
            <w:tcW w:w="1739"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t>12 570</w:t>
            </w:r>
          </w:p>
        </w:tc>
        <w:tc>
          <w:tcPr>
            <w:tcW w:w="1739"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t>12 570</w:t>
            </w:r>
          </w:p>
        </w:tc>
      </w:tr>
    </w:tbl>
    <w:p w:rsidR="00923960" w:rsidRPr="00320379" w:rsidRDefault="00923960" w:rsidP="00813522">
      <w:pPr>
        <w:pStyle w:val="AERtablesource"/>
        <w:ind w:left="0" w:firstLine="0"/>
      </w:pPr>
      <w:r>
        <w:t>Source:</w:t>
      </w:r>
      <w:r>
        <w:tab/>
        <w:t>AER analysis.</w:t>
      </w:r>
    </w:p>
    <w:p w:rsidR="00680CE7" w:rsidRDefault="00923960" w:rsidP="00923960">
      <w:pPr>
        <w:pStyle w:val="HeadingBoldBlue"/>
      </w:pPr>
      <w:bookmarkStart w:id="38" w:name="_Toc467654519"/>
      <w:r>
        <w:t>Meter installation</w:t>
      </w:r>
      <w:bookmarkEnd w:id="38"/>
    </w:p>
    <w:p w:rsidR="00923960" w:rsidRDefault="00923960" w:rsidP="00923960">
      <w:r>
        <w:t xml:space="preserve">Our final decision is to accept $6.0 million ($2018) in excess capital expenditure for meter and communication module installations. This is </w:t>
      </w:r>
      <w:r w:rsidR="00542EA2">
        <w:t xml:space="preserve">approximately </w:t>
      </w:r>
      <w:r>
        <w:t>38 percent of AusNet Services' revised application to recover $15.5 million ($2018).</w:t>
      </w:r>
      <w:r w:rsidR="00813522">
        <w:t xml:space="preserve"> </w:t>
      </w:r>
      <w:r w:rsidR="00813522">
        <w:fldChar w:fldCharType="begin"/>
      </w:r>
      <w:r w:rsidR="00813522">
        <w:instrText xml:space="preserve"> REF _Ref466894752 \h </w:instrText>
      </w:r>
      <w:r w:rsidR="00813522">
        <w:fldChar w:fldCharType="separate"/>
      </w:r>
      <w:r w:rsidR="0032238B">
        <w:t xml:space="preserve">Table </w:t>
      </w:r>
      <w:r w:rsidR="0032238B">
        <w:rPr>
          <w:noProof/>
        </w:rPr>
        <w:t>4</w:t>
      </w:r>
      <w:r w:rsidR="0032238B">
        <w:t>.</w:t>
      </w:r>
      <w:r w:rsidR="0032238B">
        <w:rPr>
          <w:noProof/>
        </w:rPr>
        <w:t>6</w:t>
      </w:r>
      <w:r w:rsidR="00813522">
        <w:fldChar w:fldCharType="end"/>
      </w:r>
      <w:r w:rsidR="00813522">
        <w:t xml:space="preserve"> sets out our final decision.</w:t>
      </w:r>
    </w:p>
    <w:p w:rsidR="00813522" w:rsidRDefault="00813522" w:rsidP="00813522">
      <w:pPr>
        <w:pStyle w:val="Caption"/>
      </w:pPr>
      <w:bookmarkStart w:id="39" w:name="_Ref466894752"/>
      <w:proofErr w:type="gramStart"/>
      <w:r>
        <w:t xml:space="preserve">Table </w:t>
      </w:r>
      <w:fldSimple w:instr=" STYLEREF 1 \s ">
        <w:r w:rsidR="0032238B">
          <w:rPr>
            <w:noProof/>
          </w:rPr>
          <w:t>4</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6</w:t>
      </w:r>
      <w:r w:rsidR="005812E9">
        <w:rPr>
          <w:noProof/>
        </w:rPr>
        <w:fldChar w:fldCharType="end"/>
      </w:r>
      <w:bookmarkEnd w:id="39"/>
      <w:r>
        <w:tab/>
        <w:t>Final decision on meter installation capex ($m 2018)</w:t>
      </w:r>
    </w:p>
    <w:tbl>
      <w:tblPr>
        <w:tblStyle w:val="AERtable-numbers"/>
        <w:tblW w:w="0" w:type="auto"/>
        <w:tblLook w:val="04A0" w:firstRow="1" w:lastRow="0" w:firstColumn="1" w:lastColumn="0" w:noHBand="0" w:noVBand="1"/>
      </w:tblPr>
      <w:tblGrid>
        <w:gridCol w:w="1728"/>
        <w:gridCol w:w="1728"/>
        <w:gridCol w:w="1728"/>
        <w:gridCol w:w="1728"/>
        <w:gridCol w:w="1728"/>
      </w:tblGrid>
      <w:tr w:rsidR="00813522" w:rsidRPr="0068171D" w:rsidTr="00813522">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728" w:type="dxa"/>
          </w:tcPr>
          <w:p w:rsidR="00813522" w:rsidRPr="00813522" w:rsidRDefault="00813522" w:rsidP="00813522"/>
        </w:tc>
        <w:tc>
          <w:tcPr>
            <w:tcW w:w="1728" w:type="dxa"/>
          </w:tcPr>
          <w:p w:rsidR="00813522" w:rsidRPr="00813522" w:rsidRDefault="00813522" w:rsidP="00813522">
            <w:pPr>
              <w:cnfStyle w:val="100000000000" w:firstRow="1" w:lastRow="0" w:firstColumn="0" w:lastColumn="0" w:oddVBand="0" w:evenVBand="0" w:oddHBand="0" w:evenHBand="0" w:firstRowFirstColumn="0" w:firstRowLastColumn="0" w:lastRowFirstColumn="0" w:lastRowLastColumn="0"/>
            </w:pPr>
            <w:r w:rsidRPr="00813522">
              <w:t xml:space="preserve"> Initial proposal</w:t>
            </w:r>
          </w:p>
        </w:tc>
        <w:tc>
          <w:tcPr>
            <w:tcW w:w="1728" w:type="dxa"/>
          </w:tcPr>
          <w:p w:rsidR="00813522" w:rsidRPr="00813522" w:rsidRDefault="00813522" w:rsidP="00813522">
            <w:pPr>
              <w:cnfStyle w:val="100000000000" w:firstRow="1" w:lastRow="0" w:firstColumn="0" w:lastColumn="0" w:oddVBand="0" w:evenVBand="0" w:oddHBand="0" w:evenHBand="0" w:firstRowFirstColumn="0" w:firstRowLastColumn="0" w:lastRowFirstColumn="0" w:lastRowLastColumn="0"/>
            </w:pPr>
            <w:r w:rsidRPr="00813522">
              <w:t>Draft decision</w:t>
            </w:r>
          </w:p>
        </w:tc>
        <w:tc>
          <w:tcPr>
            <w:tcW w:w="1728" w:type="dxa"/>
          </w:tcPr>
          <w:p w:rsidR="00813522" w:rsidRPr="00813522" w:rsidRDefault="00813522" w:rsidP="00813522">
            <w:pPr>
              <w:cnfStyle w:val="100000000000" w:firstRow="1" w:lastRow="0" w:firstColumn="0" w:lastColumn="0" w:oddVBand="0" w:evenVBand="0" w:oddHBand="0" w:evenHBand="0" w:firstRowFirstColumn="0" w:firstRowLastColumn="0" w:lastRowFirstColumn="0" w:lastRowLastColumn="0"/>
            </w:pPr>
            <w:r w:rsidRPr="00813522">
              <w:t xml:space="preserve"> Revised application</w:t>
            </w:r>
          </w:p>
        </w:tc>
        <w:tc>
          <w:tcPr>
            <w:tcW w:w="1728" w:type="dxa"/>
          </w:tcPr>
          <w:p w:rsidR="00813522" w:rsidRPr="00813522" w:rsidRDefault="00813522" w:rsidP="00813522">
            <w:pPr>
              <w:cnfStyle w:val="100000000000" w:firstRow="1" w:lastRow="0" w:firstColumn="0" w:lastColumn="0" w:oddVBand="0" w:evenVBand="0" w:oddHBand="0" w:evenHBand="0" w:firstRowFirstColumn="0" w:firstRowLastColumn="0" w:lastRowFirstColumn="0" w:lastRowLastColumn="0"/>
            </w:pPr>
            <w:r w:rsidRPr="00813522">
              <w:t>Final decision</w:t>
            </w:r>
          </w:p>
        </w:tc>
      </w:tr>
      <w:tr w:rsidR="00813522" w:rsidRPr="0068171D" w:rsidTr="00813522">
        <w:trPr>
          <w:trHeight w:val="415"/>
        </w:trPr>
        <w:tc>
          <w:tcPr>
            <w:cnfStyle w:val="001000000000" w:firstRow="0" w:lastRow="0" w:firstColumn="1" w:lastColumn="0" w:oddVBand="0" w:evenVBand="0" w:oddHBand="0" w:evenHBand="0" w:firstRowFirstColumn="0" w:firstRowLastColumn="0" w:lastRowFirstColumn="0" w:lastRowLastColumn="0"/>
            <w:tcW w:w="1728" w:type="dxa"/>
          </w:tcPr>
          <w:p w:rsidR="00813522" w:rsidRPr="00813522" w:rsidRDefault="00813522" w:rsidP="00813522">
            <w:r w:rsidRPr="00813522">
              <w:t>2014</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14.3</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5.4</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14.3</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5.4</w:t>
            </w:r>
          </w:p>
        </w:tc>
      </w:tr>
      <w:tr w:rsidR="00813522" w:rsidRPr="0068171D" w:rsidTr="00813522">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728" w:type="dxa"/>
          </w:tcPr>
          <w:p w:rsidR="00813522" w:rsidRPr="00813522" w:rsidRDefault="00813522" w:rsidP="00813522">
            <w:r w:rsidRPr="00813522">
              <w:t>2015</w:t>
            </w:r>
          </w:p>
        </w:tc>
        <w:tc>
          <w:tcPr>
            <w:tcW w:w="1728"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rsidRPr="00813522">
              <w:t>1.3</w:t>
            </w:r>
          </w:p>
        </w:tc>
        <w:tc>
          <w:tcPr>
            <w:tcW w:w="1728"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rsidRPr="00813522">
              <w:t>0.6</w:t>
            </w:r>
          </w:p>
        </w:tc>
        <w:tc>
          <w:tcPr>
            <w:tcW w:w="1728"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rsidRPr="00813522">
              <w:t>1.3</w:t>
            </w:r>
          </w:p>
        </w:tc>
        <w:tc>
          <w:tcPr>
            <w:tcW w:w="1728"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rsidRPr="00813522">
              <w:t>0.6</w:t>
            </w:r>
          </w:p>
        </w:tc>
      </w:tr>
      <w:tr w:rsidR="00813522" w:rsidRPr="0068171D" w:rsidTr="00813522">
        <w:trPr>
          <w:trHeight w:val="415"/>
        </w:trPr>
        <w:tc>
          <w:tcPr>
            <w:cnfStyle w:val="001000000000" w:firstRow="0" w:lastRow="0" w:firstColumn="1" w:lastColumn="0" w:oddVBand="0" w:evenVBand="0" w:oddHBand="0" w:evenHBand="0" w:firstRowFirstColumn="0" w:firstRowLastColumn="0" w:lastRowFirstColumn="0" w:lastRowLastColumn="0"/>
            <w:tcW w:w="1728" w:type="dxa"/>
          </w:tcPr>
          <w:p w:rsidR="00813522" w:rsidRPr="00813522" w:rsidRDefault="00813522" w:rsidP="00813522">
            <w:r w:rsidRPr="00813522">
              <w:t>Total</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15.5</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6.0</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15.5</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6.0</w:t>
            </w:r>
          </w:p>
        </w:tc>
      </w:tr>
    </w:tbl>
    <w:p w:rsidR="00813522" w:rsidRPr="00813522" w:rsidRDefault="00813522" w:rsidP="00813522">
      <w:pPr>
        <w:pStyle w:val="AERtablesource"/>
      </w:pPr>
      <w:r>
        <w:t>Source:</w:t>
      </w:r>
      <w:r>
        <w:tab/>
        <w:t>AER analysis.</w:t>
      </w:r>
    </w:p>
    <w:p w:rsidR="00962D26" w:rsidRDefault="00962D26" w:rsidP="00923960">
      <w:pPr>
        <w:rPr>
          <w:rStyle w:val="AERtextboldunderline"/>
        </w:rPr>
      </w:pPr>
    </w:p>
    <w:p w:rsidR="00962D26" w:rsidRDefault="00962D26" w:rsidP="00923960">
      <w:pPr>
        <w:rPr>
          <w:rStyle w:val="AERtextboldunderline"/>
        </w:rPr>
      </w:pPr>
    </w:p>
    <w:p w:rsidR="00813522" w:rsidRPr="00813522" w:rsidRDefault="00813522" w:rsidP="00923960">
      <w:pPr>
        <w:rPr>
          <w:rStyle w:val="AERtextboldunderline"/>
        </w:rPr>
      </w:pPr>
      <w:r w:rsidRPr="00813522">
        <w:rPr>
          <w:rStyle w:val="AERtextboldunderline"/>
        </w:rPr>
        <w:t>2014 meter installation</w:t>
      </w:r>
    </w:p>
    <w:p w:rsidR="00813522" w:rsidRDefault="00813522" w:rsidP="00813522">
      <w:r>
        <w:t xml:space="preserve">We </w:t>
      </w:r>
      <w:r w:rsidR="00F66A3D">
        <w:t>maintain</w:t>
      </w:r>
      <w:r>
        <w:t xml:space="preserve"> o</w:t>
      </w:r>
      <w:r w:rsidRPr="00813522">
        <w:t>ur draft decision accepting $5.4 million ($2018) in excess</w:t>
      </w:r>
      <w:r w:rsidR="00F66A3D">
        <w:t xml:space="preserve"> capital</w:t>
      </w:r>
      <w:r w:rsidRPr="00813522">
        <w:t xml:space="preserve"> expenditure for 2014 meter installation. </w:t>
      </w:r>
      <w:r w:rsidR="00F66A3D">
        <w:fldChar w:fldCharType="begin"/>
      </w:r>
      <w:r w:rsidR="00F66A3D">
        <w:instrText xml:space="preserve"> REF _Ref466895897 \h </w:instrText>
      </w:r>
      <w:r w:rsidR="00F66A3D">
        <w:fldChar w:fldCharType="separate"/>
      </w:r>
      <w:r w:rsidR="0032238B">
        <w:t xml:space="preserve">Table </w:t>
      </w:r>
      <w:r w:rsidR="0032238B">
        <w:rPr>
          <w:noProof/>
        </w:rPr>
        <w:t>4</w:t>
      </w:r>
      <w:r w:rsidR="0032238B">
        <w:t>.</w:t>
      </w:r>
      <w:r w:rsidR="0032238B">
        <w:rPr>
          <w:noProof/>
        </w:rPr>
        <w:t>7</w:t>
      </w:r>
      <w:r w:rsidR="00F66A3D">
        <w:fldChar w:fldCharType="end"/>
      </w:r>
      <w:r w:rsidR="00F66A3D">
        <w:t xml:space="preserve"> </w:t>
      </w:r>
      <w:r w:rsidRPr="00813522">
        <w:t xml:space="preserve">sets out the components of our final decision. It shows that </w:t>
      </w:r>
      <w:r w:rsidR="00F66A3D">
        <w:t>we</w:t>
      </w:r>
      <w:r w:rsidRPr="00813522">
        <w:t xml:space="preserve"> accept the volume of meter installations associated with ‘faults’ and ‘roll–out – meter installations’ but not ‘standalone 3G modules’. This lead</w:t>
      </w:r>
      <w:r w:rsidR="00F66A3D">
        <w:t>s</w:t>
      </w:r>
      <w:r w:rsidRPr="00813522">
        <w:t xml:space="preserve"> to us substituting AusNet Services’ proposed 2014 volume of metering installations of 110 944 with 41 082.</w:t>
      </w:r>
    </w:p>
    <w:p w:rsidR="00813522" w:rsidRPr="00813522" w:rsidRDefault="00813522" w:rsidP="00813522">
      <w:pPr>
        <w:pStyle w:val="Caption"/>
      </w:pPr>
      <w:bookmarkStart w:id="40" w:name="_Ref466895897"/>
      <w:proofErr w:type="gramStart"/>
      <w:r>
        <w:t xml:space="preserve">Table </w:t>
      </w:r>
      <w:fldSimple w:instr=" STYLEREF 1 \s ">
        <w:r w:rsidR="0032238B">
          <w:rPr>
            <w:noProof/>
          </w:rPr>
          <w:t>4</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7</w:t>
      </w:r>
      <w:r w:rsidR="005812E9">
        <w:rPr>
          <w:noProof/>
        </w:rPr>
        <w:fldChar w:fldCharType="end"/>
      </w:r>
      <w:bookmarkEnd w:id="40"/>
      <w:r w:rsidRPr="00813522">
        <w:tab/>
        <w:t>Final decision on 2014 meter installation capex volumes</w:t>
      </w:r>
    </w:p>
    <w:tbl>
      <w:tblPr>
        <w:tblStyle w:val="AERtable-numbers"/>
        <w:tblW w:w="0" w:type="auto"/>
        <w:tblLook w:val="04A0" w:firstRow="1" w:lastRow="0" w:firstColumn="1" w:lastColumn="0" w:noHBand="0" w:noVBand="1"/>
      </w:tblPr>
      <w:tblGrid>
        <w:gridCol w:w="1728"/>
        <w:gridCol w:w="1728"/>
        <w:gridCol w:w="1728"/>
        <w:gridCol w:w="1728"/>
        <w:gridCol w:w="1728"/>
      </w:tblGrid>
      <w:tr w:rsidR="00813522" w:rsidTr="00813522">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728" w:type="dxa"/>
          </w:tcPr>
          <w:p w:rsidR="00813522" w:rsidRPr="00813522" w:rsidRDefault="00813522" w:rsidP="00813522"/>
        </w:tc>
        <w:tc>
          <w:tcPr>
            <w:tcW w:w="1728" w:type="dxa"/>
          </w:tcPr>
          <w:p w:rsidR="00813522" w:rsidRPr="00813522" w:rsidRDefault="00813522" w:rsidP="00813522">
            <w:pPr>
              <w:cnfStyle w:val="100000000000" w:firstRow="1" w:lastRow="0" w:firstColumn="0" w:lastColumn="0" w:oddVBand="0" w:evenVBand="0" w:oddHBand="0" w:evenHBand="0" w:firstRowFirstColumn="0" w:firstRowLastColumn="0" w:lastRowFirstColumn="0" w:lastRowLastColumn="0"/>
            </w:pPr>
            <w:r w:rsidRPr="00813522">
              <w:t xml:space="preserve"> Initial proposal</w:t>
            </w:r>
          </w:p>
        </w:tc>
        <w:tc>
          <w:tcPr>
            <w:tcW w:w="1728" w:type="dxa"/>
          </w:tcPr>
          <w:p w:rsidR="00813522" w:rsidRPr="00813522" w:rsidRDefault="00813522" w:rsidP="00813522">
            <w:pPr>
              <w:cnfStyle w:val="100000000000" w:firstRow="1" w:lastRow="0" w:firstColumn="0" w:lastColumn="0" w:oddVBand="0" w:evenVBand="0" w:oddHBand="0" w:evenHBand="0" w:firstRowFirstColumn="0" w:firstRowLastColumn="0" w:lastRowFirstColumn="0" w:lastRowLastColumn="0"/>
            </w:pPr>
            <w:r w:rsidRPr="00813522">
              <w:t>Draft decision</w:t>
            </w:r>
          </w:p>
        </w:tc>
        <w:tc>
          <w:tcPr>
            <w:tcW w:w="1728" w:type="dxa"/>
          </w:tcPr>
          <w:p w:rsidR="00813522" w:rsidRPr="00813522" w:rsidRDefault="00813522" w:rsidP="00813522">
            <w:pPr>
              <w:cnfStyle w:val="100000000000" w:firstRow="1" w:lastRow="0" w:firstColumn="0" w:lastColumn="0" w:oddVBand="0" w:evenVBand="0" w:oddHBand="0" w:evenHBand="0" w:firstRowFirstColumn="0" w:firstRowLastColumn="0" w:lastRowFirstColumn="0" w:lastRowLastColumn="0"/>
            </w:pPr>
            <w:r w:rsidRPr="00813522">
              <w:t xml:space="preserve"> Revised application</w:t>
            </w:r>
          </w:p>
        </w:tc>
        <w:tc>
          <w:tcPr>
            <w:tcW w:w="1728" w:type="dxa"/>
          </w:tcPr>
          <w:p w:rsidR="00813522" w:rsidRPr="00813522" w:rsidRDefault="00813522" w:rsidP="00813522">
            <w:pPr>
              <w:cnfStyle w:val="100000000000" w:firstRow="1" w:lastRow="0" w:firstColumn="0" w:lastColumn="0" w:oddVBand="0" w:evenVBand="0" w:oddHBand="0" w:evenHBand="0" w:firstRowFirstColumn="0" w:firstRowLastColumn="0" w:lastRowFirstColumn="0" w:lastRowLastColumn="0"/>
            </w:pPr>
            <w:r w:rsidRPr="00813522">
              <w:t>Final decision</w:t>
            </w:r>
          </w:p>
        </w:tc>
      </w:tr>
      <w:tr w:rsidR="00813522" w:rsidRPr="00A12CE3" w:rsidTr="00813522">
        <w:trPr>
          <w:trHeight w:val="415"/>
        </w:trPr>
        <w:tc>
          <w:tcPr>
            <w:cnfStyle w:val="001000000000" w:firstRow="0" w:lastRow="0" w:firstColumn="1" w:lastColumn="0" w:oddVBand="0" w:evenVBand="0" w:oddHBand="0" w:evenHBand="0" w:firstRowFirstColumn="0" w:firstRowLastColumn="0" w:lastRowFirstColumn="0" w:lastRowLastColumn="0"/>
            <w:tcW w:w="1728" w:type="dxa"/>
          </w:tcPr>
          <w:p w:rsidR="00813522" w:rsidRPr="00813522" w:rsidRDefault="00813522" w:rsidP="00813522">
            <w:r w:rsidRPr="00813522">
              <w:t>Faults</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4 060</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4 060</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4 060</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4 060</w:t>
            </w:r>
          </w:p>
        </w:tc>
      </w:tr>
      <w:tr w:rsidR="00813522" w:rsidRPr="00A12CE3" w:rsidTr="00813522">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728" w:type="dxa"/>
          </w:tcPr>
          <w:p w:rsidR="00813522" w:rsidRPr="00813522" w:rsidRDefault="00813522" w:rsidP="00813522">
            <w:r w:rsidRPr="00813522">
              <w:t>Roll–out – Meter installations</w:t>
            </w:r>
          </w:p>
        </w:tc>
        <w:tc>
          <w:tcPr>
            <w:tcW w:w="1728"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rsidRPr="00813522">
              <w:t>37 022</w:t>
            </w:r>
          </w:p>
        </w:tc>
        <w:tc>
          <w:tcPr>
            <w:tcW w:w="1728"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rsidRPr="00813522">
              <w:t>37 022</w:t>
            </w:r>
          </w:p>
        </w:tc>
        <w:tc>
          <w:tcPr>
            <w:tcW w:w="1728"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rsidRPr="00813522">
              <w:t>37 022</w:t>
            </w:r>
          </w:p>
        </w:tc>
        <w:tc>
          <w:tcPr>
            <w:tcW w:w="1728"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rsidRPr="00813522">
              <w:t>37 022</w:t>
            </w:r>
          </w:p>
        </w:tc>
      </w:tr>
      <w:tr w:rsidR="00813522" w:rsidRPr="00A12CE3" w:rsidTr="00813522">
        <w:trPr>
          <w:trHeight w:val="415"/>
        </w:trPr>
        <w:tc>
          <w:tcPr>
            <w:cnfStyle w:val="001000000000" w:firstRow="0" w:lastRow="0" w:firstColumn="1" w:lastColumn="0" w:oddVBand="0" w:evenVBand="0" w:oddHBand="0" w:evenHBand="0" w:firstRowFirstColumn="0" w:firstRowLastColumn="0" w:lastRowFirstColumn="0" w:lastRowLastColumn="0"/>
            <w:tcW w:w="1728" w:type="dxa"/>
          </w:tcPr>
          <w:p w:rsidR="00813522" w:rsidRPr="00813522" w:rsidRDefault="00813522" w:rsidP="00813522">
            <w:r w:rsidRPr="00813522">
              <w:t>Standalone 3G modules</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69 862</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0</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69 862</w:t>
            </w:r>
          </w:p>
        </w:tc>
        <w:tc>
          <w:tcPr>
            <w:tcW w:w="1728" w:type="dxa"/>
          </w:tcPr>
          <w:p w:rsidR="00813522" w:rsidRPr="00813522" w:rsidRDefault="00813522" w:rsidP="00813522">
            <w:pPr>
              <w:cnfStyle w:val="000000000000" w:firstRow="0" w:lastRow="0" w:firstColumn="0" w:lastColumn="0" w:oddVBand="0" w:evenVBand="0" w:oddHBand="0" w:evenHBand="0" w:firstRowFirstColumn="0" w:firstRowLastColumn="0" w:lastRowFirstColumn="0" w:lastRowLastColumn="0"/>
            </w:pPr>
            <w:r w:rsidRPr="00813522">
              <w:t>0</w:t>
            </w:r>
          </w:p>
        </w:tc>
      </w:tr>
      <w:tr w:rsidR="00813522" w:rsidRPr="0061797E" w:rsidTr="00813522">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728" w:type="dxa"/>
          </w:tcPr>
          <w:p w:rsidR="00813522" w:rsidRPr="00813522" w:rsidRDefault="00813522" w:rsidP="00813522">
            <w:r w:rsidRPr="00813522">
              <w:t>Total </w:t>
            </w:r>
          </w:p>
        </w:tc>
        <w:tc>
          <w:tcPr>
            <w:tcW w:w="1728"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rsidRPr="00813522">
              <w:t>110 944</w:t>
            </w:r>
          </w:p>
        </w:tc>
        <w:tc>
          <w:tcPr>
            <w:tcW w:w="1728"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rsidRPr="00813522">
              <w:t>41 0</w:t>
            </w:r>
            <w:r w:rsidR="00DD1C4E">
              <w:t>82</w:t>
            </w:r>
          </w:p>
        </w:tc>
        <w:tc>
          <w:tcPr>
            <w:tcW w:w="1728"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rsidRPr="00813522">
              <w:t>110 944</w:t>
            </w:r>
          </w:p>
        </w:tc>
        <w:tc>
          <w:tcPr>
            <w:tcW w:w="1728" w:type="dxa"/>
          </w:tcPr>
          <w:p w:rsidR="00813522" w:rsidRPr="00813522" w:rsidRDefault="00813522" w:rsidP="00813522">
            <w:pPr>
              <w:cnfStyle w:val="000000010000" w:firstRow="0" w:lastRow="0" w:firstColumn="0" w:lastColumn="0" w:oddVBand="0" w:evenVBand="0" w:oddHBand="0" w:evenHBand="1" w:firstRowFirstColumn="0" w:firstRowLastColumn="0" w:lastRowFirstColumn="0" w:lastRowLastColumn="0"/>
            </w:pPr>
            <w:r w:rsidRPr="00813522">
              <w:t>41 0</w:t>
            </w:r>
            <w:r w:rsidR="00DD1C4E">
              <w:t>82</w:t>
            </w:r>
          </w:p>
        </w:tc>
      </w:tr>
    </w:tbl>
    <w:p w:rsidR="00923960" w:rsidRDefault="00383E7E" w:rsidP="00383E7E">
      <w:pPr>
        <w:pStyle w:val="AERtablesource"/>
      </w:pPr>
      <w:r>
        <w:t>Source:</w:t>
      </w:r>
      <w:r>
        <w:tab/>
        <w:t>AER analysis.</w:t>
      </w:r>
    </w:p>
    <w:p w:rsidR="004F21D2" w:rsidRDefault="004F21D2" w:rsidP="004F21D2">
      <w:r>
        <w:t xml:space="preserve">We affirm our draft decision accepting AusNet Services' proposed volume of fault installations. </w:t>
      </w:r>
      <w:r w:rsidR="007F4526">
        <w:t xml:space="preserve">In 2014, AusNet Services had </w:t>
      </w:r>
      <w:r w:rsidR="00EE28F4">
        <w:t>approximately</w:t>
      </w:r>
      <w:r w:rsidR="007F4526">
        <w:t xml:space="preserve"> 692 949 meters</w:t>
      </w:r>
      <w:r w:rsidR="009E17F4">
        <w:rPr>
          <w:rStyle w:val="FootnoteReference"/>
        </w:rPr>
        <w:footnoteReference w:id="30"/>
      </w:r>
      <w:r w:rsidR="007F4526">
        <w:t xml:space="preserve"> and therefore the proposed volume of 4 060 fault installations is equal to an annual failure rate of 0.6 percent. We consider this rate to be reasonable as it reflects the volume of faults which we accepted in our 2016–20</w:t>
      </w:r>
      <w:r w:rsidR="009D3750">
        <w:t>20</w:t>
      </w:r>
      <w:r w:rsidR="007F4526">
        <w:t xml:space="preserve"> distribution determination.</w:t>
      </w:r>
      <w:r w:rsidR="00546EB3">
        <w:rPr>
          <w:rStyle w:val="FootnoteReference"/>
        </w:rPr>
        <w:footnoteReference w:id="31"/>
      </w:r>
      <w:r w:rsidR="007F4526">
        <w:t xml:space="preserve"> </w:t>
      </w:r>
    </w:p>
    <w:p w:rsidR="004F21D2" w:rsidRDefault="00A43F48" w:rsidP="004F21D2">
      <w:r>
        <w:t>In relation to standalone 3G module installations, and following further c</w:t>
      </w:r>
      <w:r w:rsidR="00DD1C4E">
        <w:t>areful consideration of AusNet Services'</w:t>
      </w:r>
      <w:r>
        <w:t xml:space="preserve"> revised </w:t>
      </w:r>
      <w:r w:rsidR="009F2323">
        <w:t>application</w:t>
      </w:r>
      <w:r>
        <w:t xml:space="preserve">, we maintain our position from the draft </w:t>
      </w:r>
      <w:r w:rsidR="002B273F">
        <w:t>decision</w:t>
      </w:r>
      <w:r>
        <w:t xml:space="preserve">. </w:t>
      </w:r>
      <w:r w:rsidR="004F21D2" w:rsidRPr="00F651E1">
        <w:t xml:space="preserve">We </w:t>
      </w:r>
      <w:r w:rsidR="004F21D2">
        <w:t>are not satisfied</w:t>
      </w:r>
      <w:r w:rsidR="004F21D2" w:rsidRPr="00F651E1">
        <w:t xml:space="preserve"> that the standalone 3G module installations AusNet Services made in 2014 </w:t>
      </w:r>
      <w:r w:rsidR="004F21D2">
        <w:t xml:space="preserve">reasonably reflect the efficient costs of a </w:t>
      </w:r>
      <w:r w:rsidR="004F21D2" w:rsidRPr="00F651E1">
        <w:t>distributor</w:t>
      </w:r>
      <w:r w:rsidR="004F21D2">
        <w:t xml:space="preserve"> providing AMI services, as required under the AMI Order</w:t>
      </w:r>
      <w:r w:rsidR="004F21D2" w:rsidRPr="00F651E1">
        <w:t xml:space="preserve">. </w:t>
      </w:r>
      <w:r w:rsidR="009F2323">
        <w:t>In o</w:t>
      </w:r>
      <w:r w:rsidR="004F21D2" w:rsidRPr="00F651E1">
        <w:t>ur view, expenditure associated with AusNet Services' standalone 3G installations is not prudent</w:t>
      </w:r>
      <w:r w:rsidR="00D41B2A">
        <w:t>,</w:t>
      </w:r>
      <w:r w:rsidR="004F21D2" w:rsidRPr="00F651E1">
        <w:t xml:space="preserve"> and in accordance with the Order</w:t>
      </w:r>
      <w:r w:rsidR="00D41B2A">
        <w:t>,</w:t>
      </w:r>
      <w:r w:rsidR="004F21D2" w:rsidRPr="00F651E1">
        <w:t xml:space="preserve"> we do not approve its recovery from customers as part of this final decision. In reaching this conclusion</w:t>
      </w:r>
      <w:r w:rsidR="00D41B2A">
        <w:t>,</w:t>
      </w:r>
      <w:r w:rsidR="004F21D2" w:rsidRPr="00F651E1">
        <w:t xml:space="preserve"> we considered whether the </w:t>
      </w:r>
      <w:r w:rsidR="009F2323">
        <w:t xml:space="preserve">additional </w:t>
      </w:r>
      <w:r w:rsidR="004F21D2" w:rsidRPr="00F651E1">
        <w:t>$9.0 million ($2018) in excess expenditure to install the 3G modules reflects the efficient costs of a business providing AMI services. Applying this test, we consider that a cost efficient business would have installed its meters and communication modules at the same time—thus avoiding any additional cost associated with having to make standalone module installations</w:t>
      </w:r>
      <w:r w:rsidR="009F2323">
        <w:t xml:space="preserve"> under a two-step process</w:t>
      </w:r>
      <w:r w:rsidR="004F21D2" w:rsidRPr="00F651E1">
        <w:t>.</w:t>
      </w:r>
    </w:p>
    <w:p w:rsidR="004F21D2" w:rsidRDefault="004F21D2" w:rsidP="004F21D2">
      <w:r>
        <w:t xml:space="preserve">AusNet Services </w:t>
      </w:r>
      <w:r w:rsidR="00790B96">
        <w:t xml:space="preserve">submitted it </w:t>
      </w:r>
      <w:r w:rsidR="00962D26">
        <w:t>made</w:t>
      </w:r>
      <w:r w:rsidR="00962D26" w:rsidRPr="00F651E1">
        <w:t xml:space="preserve"> </w:t>
      </w:r>
      <w:r w:rsidRPr="00F651E1">
        <w:t xml:space="preserve">standalone 3G module installations </w:t>
      </w:r>
      <w:r>
        <w:t>as part</w:t>
      </w:r>
      <w:r w:rsidRPr="00F651E1">
        <w:t xml:space="preserve"> of a two–step process. </w:t>
      </w:r>
      <w:r>
        <w:t>First, AusNet Services installed</w:t>
      </w:r>
      <w:r w:rsidRPr="00F651E1">
        <w:t xml:space="preserve"> a meter and then,</w:t>
      </w:r>
      <w:r>
        <w:t xml:space="preserve"> at a later date, revisited 62 </w:t>
      </w:r>
      <w:r w:rsidRPr="00F651E1">
        <w:t xml:space="preserve">862 sites to make the standalone 3G module installations. </w:t>
      </w:r>
      <w:r>
        <w:t xml:space="preserve"> We concluded</w:t>
      </w:r>
      <w:r w:rsidR="00790B96">
        <w:t>,</w:t>
      </w:r>
      <w:r>
        <w:t xml:space="preserve"> in our draft decision,</w:t>
      </w:r>
      <w:r w:rsidR="00962D26">
        <w:rPr>
          <w:rStyle w:val="FootnoteReference"/>
        </w:rPr>
        <w:footnoteReference w:id="32"/>
      </w:r>
      <w:r>
        <w:t xml:space="preserve"> that w</w:t>
      </w:r>
      <w:r w:rsidRPr="00F651E1">
        <w:t xml:space="preserve">e consider this two–step process to be inefficient and, accordingly, </w:t>
      </w:r>
      <w:r>
        <w:t xml:space="preserve">it </w:t>
      </w:r>
      <w:r w:rsidRPr="00F651E1">
        <w:t xml:space="preserve">does not satisfy the </w:t>
      </w:r>
      <w:r>
        <w:t>requirements of</w:t>
      </w:r>
      <w:r w:rsidRPr="00F651E1">
        <w:t xml:space="preserve"> the Order.</w:t>
      </w:r>
      <w:r>
        <w:rPr>
          <w:rStyle w:val="FootnoteReference"/>
        </w:rPr>
        <w:footnoteReference w:id="33"/>
      </w:r>
      <w:r w:rsidRPr="00F651E1">
        <w:t xml:space="preserve"> </w:t>
      </w:r>
    </w:p>
    <w:p w:rsidR="004F21D2" w:rsidRPr="00F651E1" w:rsidRDefault="004F21D2" w:rsidP="004F21D2">
      <w:r w:rsidRPr="00F651E1">
        <w:t xml:space="preserve">The Victorian Government </w:t>
      </w:r>
      <w:r>
        <w:t>in its</w:t>
      </w:r>
      <w:r w:rsidRPr="00F651E1">
        <w:t xml:space="preserve"> submission</w:t>
      </w:r>
      <w:r>
        <w:t xml:space="preserve"> made </w:t>
      </w:r>
      <w:r w:rsidRPr="00F651E1">
        <w:t>prior to our draft decision, took the same view.</w:t>
      </w:r>
      <w:r>
        <w:rPr>
          <w:rStyle w:val="FootnoteReference"/>
        </w:rPr>
        <w:footnoteReference w:id="34"/>
      </w:r>
      <w:r>
        <w:t xml:space="preserve">  The Victorian Government submitted that </w:t>
      </w:r>
      <w:r w:rsidR="00962D26">
        <w:t>'</w:t>
      </w:r>
      <w:r>
        <w:t xml:space="preserve">it considers the installation of meters without communications modules to be an inefficient practice </w:t>
      </w:r>
      <w:r w:rsidR="00962D26">
        <w:t>—</w:t>
      </w:r>
      <w:r>
        <w:t xml:space="preserve"> this practice required two site visits rather than one</w:t>
      </w:r>
      <w:r w:rsidR="00962D26">
        <w:t>'</w:t>
      </w:r>
      <w:r>
        <w:t>.</w:t>
      </w:r>
      <w:r>
        <w:rPr>
          <w:rStyle w:val="FootnoteReference"/>
        </w:rPr>
        <w:footnoteReference w:id="35"/>
      </w:r>
      <w:r>
        <w:t xml:space="preserve">  </w:t>
      </w:r>
    </w:p>
    <w:p w:rsidR="004F21D2" w:rsidRDefault="004F21D2" w:rsidP="004F21D2">
      <w:r w:rsidRPr="00F651E1">
        <w:t>In reaching our final decision, we have considered AusNet Services’ rationale for implementing its two–step process</w:t>
      </w:r>
      <w:r>
        <w:t xml:space="preserve"> as set out in its initial and its revised application</w:t>
      </w:r>
      <w:r w:rsidRPr="00F651E1">
        <w:t>.</w:t>
      </w:r>
      <w:r>
        <w:t xml:space="preserve">  In particular, we have taken into account the nature of the rollout obligation and the nature of the installation undertaken by AusNet Services.  </w:t>
      </w:r>
    </w:p>
    <w:p w:rsidR="002C1722" w:rsidRPr="00EE28F4" w:rsidRDefault="002C1722" w:rsidP="004F21D2">
      <w:pPr>
        <w:rPr>
          <w:rStyle w:val="AERtextitalic"/>
        </w:rPr>
      </w:pPr>
      <w:r>
        <w:rPr>
          <w:rStyle w:val="AERtextitalic"/>
        </w:rPr>
        <w:t xml:space="preserve">AusNet Services' </w:t>
      </w:r>
      <w:r w:rsidR="00546EB3">
        <w:rPr>
          <w:rStyle w:val="AERtextitalic"/>
        </w:rPr>
        <w:t>application</w:t>
      </w:r>
      <w:r w:rsidR="005E0E09">
        <w:rPr>
          <w:rStyle w:val="AERtextitalic"/>
        </w:rPr>
        <w:t>s</w:t>
      </w:r>
    </w:p>
    <w:p w:rsidR="004F21D2" w:rsidRDefault="004F21D2" w:rsidP="004F21D2">
      <w:r>
        <w:t>In its initial appl</w:t>
      </w:r>
      <w:r w:rsidR="005E0E09">
        <w:t>ication and revised application</w:t>
      </w:r>
      <w:r>
        <w:t>, AusNet Services identifies a range of factors which it submits led to the delay in the roll-out and in turn led to A</w:t>
      </w:r>
      <w:r w:rsidR="005E0E09">
        <w:t>usNet Services adopting the two-</w:t>
      </w:r>
      <w:r>
        <w:t xml:space="preserve">step process.  It refers to delays in the roll-out due to customer concerns </w:t>
      </w:r>
      <w:r w:rsidR="00EE28F4">
        <w:t>and G</w:t>
      </w:r>
      <w:r>
        <w:t>overnment reviews which it states impacted the rate of meter installation.</w:t>
      </w:r>
      <w:r>
        <w:rPr>
          <w:rStyle w:val="FootnoteReference"/>
        </w:rPr>
        <w:footnoteReference w:id="36"/>
      </w:r>
      <w:r>
        <w:t xml:space="preserve"> It specifically refers to the </w:t>
      </w:r>
      <w:r w:rsidR="00790B96">
        <w:t xml:space="preserve">then </w:t>
      </w:r>
      <w:r w:rsidR="002B273F">
        <w:t>G</w:t>
      </w:r>
      <w:r>
        <w:t xml:space="preserve">overnment's  announcement of a review in November 2010, the </w:t>
      </w:r>
      <w:r w:rsidR="009F2323">
        <w:t xml:space="preserve">then </w:t>
      </w:r>
      <w:r>
        <w:t>Energy Minister</w:t>
      </w:r>
      <w:r w:rsidR="009F2323">
        <w:t>'s statement</w:t>
      </w:r>
      <w:r>
        <w:t xml:space="preserve"> in January 2011 not ruling out suspension of the rollout, the April 2011 cost benefit analysis and the November 2011 </w:t>
      </w:r>
      <w:r w:rsidR="00EE28F4">
        <w:t>G</w:t>
      </w:r>
      <w:r>
        <w:t xml:space="preserve">overnment announcement that the AMI Program would be continued.  </w:t>
      </w:r>
    </w:p>
    <w:p w:rsidR="004F21D2" w:rsidRDefault="004F21D2" w:rsidP="004F21D2">
      <w:r>
        <w:t>In its initial application, AusNet Services also states:</w:t>
      </w:r>
      <w:r w:rsidR="00546EB3">
        <w:rPr>
          <w:rStyle w:val="FootnoteReference"/>
        </w:rPr>
        <w:footnoteReference w:id="37"/>
      </w:r>
    </w:p>
    <w:p w:rsidR="004F21D2" w:rsidRDefault="004F21D2" w:rsidP="00EE28F4">
      <w:pPr>
        <w:pStyle w:val="AERquote"/>
      </w:pPr>
      <w:r>
        <w:t>Due to the 2011 Government review of the AMI roll-out, AusNet Services experienced delays to its meter deployment schedule.  The 13 months of uncertainty between November 2010 and December 2011, led to increased customer opposition, increased refusals and no access sites…The delays and uncertainties also led to a delay in the delivery of the 3G communications modules</w:t>
      </w:r>
      <w:r w:rsidR="008A6032">
        <w:t xml:space="preserve"> as detailed earlier.</w:t>
      </w:r>
    </w:p>
    <w:p w:rsidR="004F21D2" w:rsidRDefault="002C1722" w:rsidP="004F21D2">
      <w:r>
        <w:t xml:space="preserve">Additionally, </w:t>
      </w:r>
      <w:r w:rsidR="004F21D2">
        <w:t xml:space="preserve">AusNet Services' initial application </w:t>
      </w:r>
      <w:r>
        <w:t xml:space="preserve">states </w:t>
      </w:r>
      <w:r w:rsidR="004F21D2">
        <w:t xml:space="preserve">that there was </w:t>
      </w:r>
      <w:r>
        <w:t>'</w:t>
      </w:r>
      <w:r w:rsidR="004F21D2">
        <w:t>a significant decline in the number of meter installations during mid-late 2011 due to the uncertainty noted</w:t>
      </w:r>
      <w:r>
        <w:t>'</w:t>
      </w:r>
      <w:r w:rsidR="004F21D2">
        <w:t>.</w:t>
      </w:r>
      <w:r w:rsidR="008A6032">
        <w:rPr>
          <w:rStyle w:val="FootnoteReference"/>
        </w:rPr>
        <w:footnoteReference w:id="38"/>
      </w:r>
      <w:r w:rsidR="004F21D2">
        <w:t xml:space="preserve">  This led to a 'catch up' post 2012.</w:t>
      </w:r>
      <w:r w:rsidR="008A6032">
        <w:rPr>
          <w:rStyle w:val="FootnoteReference"/>
        </w:rPr>
        <w:footnoteReference w:id="39"/>
      </w:r>
      <w:r>
        <w:t xml:space="preserve"> AusNet Services submits that</w:t>
      </w:r>
      <w:r w:rsidR="004F21D2">
        <w:t xml:space="preserve"> the </w:t>
      </w:r>
      <w:r w:rsidR="005E0E09">
        <w:t>impact of G</w:t>
      </w:r>
      <w:r w:rsidR="004F21D2">
        <w:t>overnment announcements on customer refusals and site access issues noting that refusals and no access rate peaked at 67% in 2011.</w:t>
      </w:r>
      <w:r w:rsidR="004F21D2">
        <w:rPr>
          <w:rStyle w:val="FootnoteReference"/>
        </w:rPr>
        <w:footnoteReference w:id="40"/>
      </w:r>
      <w:r w:rsidR="004F21D2">
        <w:t xml:space="preserve">  It concludes that the delays c</w:t>
      </w:r>
      <w:r w:rsidR="00EE28F4">
        <w:t>aused by customer concerns and G</w:t>
      </w:r>
      <w:r w:rsidR="004F21D2">
        <w:t>overnment reviews</w:t>
      </w:r>
      <w:r>
        <w:t>:</w:t>
      </w:r>
      <w:r w:rsidR="008A6032">
        <w:rPr>
          <w:rStyle w:val="FootnoteReference"/>
        </w:rPr>
        <w:footnoteReference w:id="41"/>
      </w:r>
    </w:p>
    <w:p w:rsidR="004F21D2" w:rsidRDefault="004F21D2" w:rsidP="00EE28F4">
      <w:pPr>
        <w:pStyle w:val="AERquote"/>
      </w:pPr>
      <w:proofErr w:type="gramStart"/>
      <w:r>
        <w:t>led</w:t>
      </w:r>
      <w:proofErr w:type="gramEnd"/>
      <w:r>
        <w:t xml:space="preserve"> to the extension of the AMI roll-out.  As mentioned in section 6.1 [of its initial application], there was a delay in the delivery of the 3G communications modules in 2014 as a result of the impact of policy changes.  This prevented AusNet Services from installing the communications modules at the same time as the meters in 2013.</w:t>
      </w:r>
    </w:p>
    <w:p w:rsidR="004F21D2" w:rsidRDefault="004F21D2" w:rsidP="004F21D2">
      <w:r>
        <w:t>In its initial application, with reference to the delay in delivery it states:</w:t>
      </w:r>
      <w:r w:rsidR="002C1722">
        <w:rPr>
          <w:rStyle w:val="FootnoteReference"/>
        </w:rPr>
        <w:footnoteReference w:id="42"/>
      </w:r>
    </w:p>
    <w:p w:rsidR="004F21D2" w:rsidRDefault="004F21D2" w:rsidP="00EE28F4">
      <w:pPr>
        <w:pStyle w:val="AERquote"/>
      </w:pPr>
      <w:r>
        <w:t>As a result of the delays due to government policy changes, AusNet Services ordered the 3G communications modules in 2013.</w:t>
      </w:r>
    </w:p>
    <w:p w:rsidR="004F21D2" w:rsidRDefault="004F21D2" w:rsidP="00EE28F4">
      <w:pPr>
        <w:pStyle w:val="AERquote"/>
      </w:pPr>
      <w:r>
        <w:t>However, AusNet Services experienced a significant delay in taking delivery of the 3G communications modules. This occurred because the 3G communications module was a brand new product, and as such had to undergo proof of concept and prototype testing.  Although the factory ramped up its production in 2013, delivery still took approximately 4 months, preventing AusNet Services from installing the communications modules at the same time as the meters in 2013.</w:t>
      </w:r>
      <w:r w:rsidR="002C1722" w:rsidDel="002C1722">
        <w:rPr>
          <w:rStyle w:val="FootnoteReference"/>
        </w:rPr>
        <w:t xml:space="preserve"> </w:t>
      </w:r>
    </w:p>
    <w:p w:rsidR="004F21D2" w:rsidRDefault="004F21D2" w:rsidP="004F21D2">
      <w:r>
        <w:t>In its revised application, AusNet Services refers to the requirement imposed on the</w:t>
      </w:r>
      <w:r w:rsidRPr="00F651E1">
        <w:t xml:space="preserve"> Victorian distributors to make a rebate payment to customers whose premises did not have an AMI meter installed on 30 June 2014, and pay a second rebate to customers who did not have a remotely connected meter by 31 March 2015.</w:t>
      </w:r>
      <w:r>
        <w:rPr>
          <w:rStyle w:val="FootnoteReference"/>
        </w:rPr>
        <w:footnoteReference w:id="43"/>
      </w:r>
      <w:r w:rsidRPr="00A93B91">
        <w:t xml:space="preserve"> </w:t>
      </w:r>
      <w:r w:rsidRPr="00F651E1">
        <w:t>AusNet Services states that it went ahead with installing meters without 3G communications modules because it was ‘cognisant of increasing liability for rebate payments under the Order by delaying meter installations</w:t>
      </w:r>
      <w:r>
        <w:t xml:space="preserve"> while it awaited delivery of the 3G communications modules</w:t>
      </w:r>
      <w:r w:rsidRPr="00F651E1">
        <w:t>’.</w:t>
      </w:r>
      <w:r>
        <w:rPr>
          <w:rStyle w:val="FootnoteReference"/>
        </w:rPr>
        <w:footnoteReference w:id="44"/>
      </w:r>
    </w:p>
    <w:p w:rsidR="004F21D2" w:rsidRDefault="004F21D2" w:rsidP="004F21D2">
      <w:r>
        <w:t>In both its applications it refers to Deloitte's ex-post review which states:</w:t>
      </w:r>
      <w:r w:rsidR="008A6032">
        <w:rPr>
          <w:rStyle w:val="FootnoteReference"/>
        </w:rPr>
        <w:footnoteReference w:id="45"/>
      </w:r>
    </w:p>
    <w:p w:rsidR="004F21D2" w:rsidRDefault="004F21D2" w:rsidP="00EE28F4">
      <w:pPr>
        <w:pStyle w:val="AERquote"/>
      </w:pPr>
      <w:r>
        <w:t xml:space="preserve">Delays in the AMI Program in 2011 and 2012 impacted the rate at which AusNet Services' AMI installation costs </w:t>
      </w:r>
      <w:proofErr w:type="gramStart"/>
      <w:r>
        <w:t>were incurred</w:t>
      </w:r>
      <w:proofErr w:type="gramEnd"/>
      <w:r>
        <w:t xml:space="preserve">, with a significant number of meter installations being required in the later years beyond the budgeted allowance.  While the challenges faced by AusNet Services in its communications technology and in the timely supply of 3G infill comms cards led to it revisiting some premises in 2014, despite additional travel and installation time per site that this required the total cost per completed installation </w:t>
      </w:r>
      <w:proofErr w:type="gramStart"/>
      <w:r>
        <w:t>is 9% below the AER accepted</w:t>
      </w:r>
      <w:proofErr w:type="gramEnd"/>
      <w:r>
        <w:t xml:space="preserve"> benchmark cost of $151 per installation…</w:t>
      </w:r>
    </w:p>
    <w:p w:rsidR="004F21D2" w:rsidRPr="00F651E1" w:rsidRDefault="004F21D2" w:rsidP="00EE28F4">
      <w:pPr>
        <w:pStyle w:val="AERquote"/>
      </w:pPr>
      <w:r>
        <w:t xml:space="preserve">The nature of the rollout obligations…is also relevant to this cost category, as </w:t>
      </w:r>
      <w:proofErr w:type="gramStart"/>
      <w:r>
        <w:t>significant delays were caused by the policy uncertainty and the customer issues surrounding the AMI Program</w:t>
      </w:r>
      <w:proofErr w:type="gramEnd"/>
      <w:r>
        <w:t>.  Delays caused by the delivery of 3G cards are also associated with the nature of the rollout obligation under the OIC timetable…</w:t>
      </w:r>
    </w:p>
    <w:p w:rsidR="004F21D2" w:rsidRDefault="004F21D2" w:rsidP="004F21D2">
      <w:r>
        <w:t>AusNet Services also responded to the Victorian Government's submission in which the Victorian Government concurred with Jemena's view that the requirement to rollout meters by 31 December 2013 on a best endeavours basis:</w:t>
      </w:r>
      <w:r w:rsidR="002C1722">
        <w:rPr>
          <w:rStyle w:val="FootnoteReference"/>
        </w:rPr>
        <w:footnoteReference w:id="46"/>
      </w:r>
    </w:p>
    <w:p w:rsidR="004F21D2" w:rsidRDefault="004F21D2" w:rsidP="00EE28F4">
      <w:pPr>
        <w:pStyle w:val="AERquote"/>
      </w:pPr>
      <w:r>
        <w:tab/>
        <w:t>…is neither an unqualified obligation to achieve the outcome prescribed in the AMI OIC, nor a warranty that it will be achieved - for example, a best endeavours obligation does not require JEN to select the option that best mitigates the risk of delay, in isolation of the costs associated with the implementing that option.</w:t>
      </w:r>
      <w:r w:rsidR="002C1722" w:rsidDel="002C1722">
        <w:rPr>
          <w:rStyle w:val="FootnoteReference"/>
        </w:rPr>
        <w:t xml:space="preserve"> </w:t>
      </w:r>
    </w:p>
    <w:p w:rsidR="004F21D2" w:rsidRDefault="004F21D2" w:rsidP="004F21D2">
      <w:r>
        <w:t xml:space="preserve">AusNet Services states that it agrees in principle with Jemena's position but </w:t>
      </w:r>
      <w:r w:rsidR="002C1722">
        <w:t>'</w:t>
      </w:r>
      <w:r>
        <w:t>the circumstances in which the best endeavours obligation applied and the performance against the obligation was assessed necessitated a different approach in practice</w:t>
      </w:r>
      <w:r w:rsidR="002C1722">
        <w:t>'</w:t>
      </w:r>
      <w:r>
        <w:t>.</w:t>
      </w:r>
      <w:r w:rsidR="008B52AF">
        <w:rPr>
          <w:rStyle w:val="FootnoteReference"/>
        </w:rPr>
        <w:footnoteReference w:id="47"/>
      </w:r>
      <w:r>
        <w:t xml:space="preserve">  AusNet Services goes on to state that </w:t>
      </w:r>
      <w:r w:rsidR="002C1722">
        <w:t>'[t]</w:t>
      </w:r>
      <w:r>
        <w:t>here was no clarification or guidance from the Victorian Government prior to 31 December 2013.</w:t>
      </w:r>
      <w:r w:rsidR="000E7EC7">
        <w:t>'</w:t>
      </w:r>
      <w:r>
        <w:rPr>
          <w:rStyle w:val="FootnoteReference"/>
        </w:rPr>
        <w:footnoteReference w:id="48"/>
      </w:r>
    </w:p>
    <w:p w:rsidR="002C1722" w:rsidRPr="00EE28F4" w:rsidRDefault="004C70AA" w:rsidP="004F21D2">
      <w:pPr>
        <w:rPr>
          <w:rStyle w:val="AERtextitalic"/>
        </w:rPr>
      </w:pPr>
      <w:r>
        <w:rPr>
          <w:rStyle w:val="AERtextitalic"/>
        </w:rPr>
        <w:t>AER view</w:t>
      </w:r>
    </w:p>
    <w:p w:rsidR="002C1722" w:rsidRDefault="004F21D2" w:rsidP="004F21D2">
      <w:r>
        <w:t xml:space="preserve">Based on information before us, we are not satisfied that the excess expenditure reasonably reflects the efficient costs of providing the AMI services.  </w:t>
      </w:r>
    </w:p>
    <w:p w:rsidR="002C1722" w:rsidRDefault="004F21D2" w:rsidP="004F21D2">
      <w:r>
        <w:t xml:space="preserve">We do accept that the nature of the rollout resulted in delays and as AusNet </w:t>
      </w:r>
      <w:r w:rsidR="002B273F">
        <w:t>Services points out, changes in G</w:t>
      </w:r>
      <w:r>
        <w:t xml:space="preserve">overnment policy in the period between November 2010 and December 2011 had a major impact upon installation at that time. </w:t>
      </w:r>
      <w:r w:rsidR="004C70AA">
        <w:t xml:space="preserve">This of course also impacted on the timing of other distributors' AMI roll-outs. </w:t>
      </w:r>
      <w:r>
        <w:t xml:space="preserve"> AusNet Services therefore increased its installation rate in 2012 and 2013.  However, we are not satisfied that these policy changes</w:t>
      </w:r>
      <w:r w:rsidR="00EA5426">
        <w:t xml:space="preserve"> or period of uncertainty</w:t>
      </w:r>
      <w:r>
        <w:t xml:space="preserve"> </w:t>
      </w:r>
      <w:r w:rsidR="004C70AA">
        <w:t xml:space="preserve">which affected the AMI roll-out in the 13 month period between November 2010 and December 2011 </w:t>
      </w:r>
      <w:r>
        <w:t>were the reason for</w:t>
      </w:r>
      <w:r w:rsidR="004C70AA">
        <w:t xml:space="preserve"> higher</w:t>
      </w:r>
      <w:r>
        <w:t xml:space="preserve"> installation costs in 2014.  This is not</w:t>
      </w:r>
      <w:r w:rsidR="00603E2D">
        <w:t xml:space="preserve"> only because there is </w:t>
      </w:r>
      <w:proofErr w:type="gramStart"/>
      <w:r w:rsidR="00603E2D">
        <w:t xml:space="preserve">no </w:t>
      </w:r>
      <w:r w:rsidR="00931263">
        <w:t xml:space="preserve"> </w:t>
      </w:r>
      <w:r w:rsidR="00577125">
        <w:t>causal</w:t>
      </w:r>
      <w:proofErr w:type="gramEnd"/>
      <w:r w:rsidR="00577125">
        <w:t xml:space="preserve"> link specific to AusNet </w:t>
      </w:r>
      <w:r w:rsidR="002D47D1">
        <w:t xml:space="preserve">Services </w:t>
      </w:r>
      <w:r>
        <w:t>to support these conclusions</w:t>
      </w:r>
      <w:r w:rsidR="004C70AA">
        <w:t>,</w:t>
      </w:r>
      <w:r>
        <w:t xml:space="preserve"> but also because installation of the meters </w:t>
      </w:r>
      <w:r w:rsidR="004C70AA">
        <w:t xml:space="preserve">under this two-step </w:t>
      </w:r>
      <w:r w:rsidR="002B273F">
        <w:t xml:space="preserve">approach </w:t>
      </w:r>
      <w:r>
        <w:t>was occurring prior to that time</w:t>
      </w:r>
      <w:r w:rsidR="004C70AA">
        <w:t xml:space="preserve"> (of policy uncertainty)</w:t>
      </w:r>
      <w:r>
        <w:t xml:space="preserve">.  </w:t>
      </w:r>
    </w:p>
    <w:p w:rsidR="004F21D2" w:rsidRDefault="004F21D2" w:rsidP="004F21D2">
      <w:r>
        <w:t>What is at issue is not the impact of the policy changes upon the continuation of the AMI rollout</w:t>
      </w:r>
      <w:r w:rsidR="004C70AA">
        <w:t>,</w:t>
      </w:r>
      <w:r>
        <w:t xml:space="preserve"> but the narrower issue of why the installation that did occur only amounted to a first step.  From the information available, it is apparent that AusNet Services was not in a position to install the complete working meter</w:t>
      </w:r>
      <w:r w:rsidR="004C70AA">
        <w:t>, even outside this period</w:t>
      </w:r>
      <w:r>
        <w:t xml:space="preserve">. The need for that second visit was </w:t>
      </w:r>
      <w:r w:rsidR="004C70AA">
        <w:t xml:space="preserve">therefore </w:t>
      </w:r>
      <w:r>
        <w:t xml:space="preserve">unlikely to be necessitated by the policy changes and more likely to be associated with the two stage approach AusNet Services </w:t>
      </w:r>
      <w:r w:rsidR="00131D9C">
        <w:t xml:space="preserve">actually </w:t>
      </w:r>
      <w:r>
        <w:t xml:space="preserve">adopted. For the same reason, we are not satisfied that the evidence supports a conclusion that the nature of the best endeavours obligation resulted in installation costs in 2014.  Again, the installation in question is installation limited to the 3G modules only.  </w:t>
      </w:r>
    </w:p>
    <w:p w:rsidR="004F21D2" w:rsidRPr="00F651E1" w:rsidRDefault="005B3402" w:rsidP="004F21D2">
      <w:r>
        <w:t>B</w:t>
      </w:r>
      <w:r w:rsidR="004F21D2">
        <w:t xml:space="preserve">ased on the available </w:t>
      </w:r>
      <w:r w:rsidR="002B273F">
        <w:t>information</w:t>
      </w:r>
      <w:r w:rsidR="00577125">
        <w:t>,</w:t>
      </w:r>
      <w:r w:rsidR="002B273F">
        <w:t xml:space="preserve"> </w:t>
      </w:r>
      <w:r w:rsidR="00017149">
        <w:t>it is reasonable to conclude that</w:t>
      </w:r>
      <w:r w:rsidR="004F21D2">
        <w:t xml:space="preserve"> </w:t>
      </w:r>
      <w:r w:rsidR="00017149">
        <w:t>the two stage installation approach</w:t>
      </w:r>
      <w:r w:rsidR="004F21D2" w:rsidRPr="00F651E1">
        <w:t xml:space="preserve"> </w:t>
      </w:r>
      <w:proofErr w:type="gramStart"/>
      <w:r w:rsidR="00165C06">
        <w:t>was related</w:t>
      </w:r>
      <w:proofErr w:type="gramEnd"/>
      <w:r w:rsidR="00165C06">
        <w:t xml:space="preserve"> to </w:t>
      </w:r>
      <w:r w:rsidR="00017149">
        <w:t>AusNet Services choice of</w:t>
      </w:r>
      <w:r w:rsidR="004F21D2" w:rsidRPr="00F651E1">
        <w:t xml:space="preserve"> </w:t>
      </w:r>
      <w:r w:rsidR="00165C06">
        <w:t xml:space="preserve">meter </w:t>
      </w:r>
      <w:r w:rsidR="004F21D2" w:rsidRPr="00F651E1">
        <w:t>and supplier</w:t>
      </w:r>
      <w:r w:rsidR="004F21D2">
        <w:t>, matters within</w:t>
      </w:r>
      <w:r w:rsidR="004F21D2" w:rsidRPr="00F651E1">
        <w:t xml:space="preserve"> </w:t>
      </w:r>
      <w:r w:rsidR="004F21D2">
        <w:t>its</w:t>
      </w:r>
      <w:r w:rsidR="004F21D2" w:rsidRPr="00F651E1">
        <w:t xml:space="preserve"> control</w:t>
      </w:r>
      <w:r w:rsidR="004F21D2">
        <w:t>.</w:t>
      </w:r>
      <w:r w:rsidR="004F21D2" w:rsidRPr="0001556A">
        <w:t xml:space="preserve"> </w:t>
      </w:r>
      <w:r w:rsidR="004F21D2">
        <w:t>As Deloitte states</w:t>
      </w:r>
      <w:r w:rsidR="002C1722">
        <w:t xml:space="preserve"> (in part)</w:t>
      </w:r>
      <w:r w:rsidR="004F21D2">
        <w:t xml:space="preserve">: </w:t>
      </w:r>
      <w:r w:rsidR="002C1722">
        <w:t>'</w:t>
      </w:r>
      <w:r w:rsidR="004F21D2">
        <w:t>…the challenges faced by AusNet Services in its communications technology and in the timely supply of 3G infill comms cards led to it revisiting some premises in 2014</w:t>
      </w:r>
      <w:r w:rsidR="002C1722">
        <w:t>'</w:t>
      </w:r>
      <w:r w:rsidR="004F21D2">
        <w:t>.</w:t>
      </w:r>
      <w:r w:rsidR="000E7EC7">
        <w:rPr>
          <w:rStyle w:val="FootnoteReference"/>
        </w:rPr>
        <w:footnoteReference w:id="49"/>
      </w:r>
      <w:r w:rsidR="004F21D2">
        <w:t xml:space="preserve">  </w:t>
      </w:r>
    </w:p>
    <w:p w:rsidR="004F21D2" w:rsidRPr="00F651E1" w:rsidRDefault="004F21D2" w:rsidP="004F21D2">
      <w:r w:rsidRPr="00F651E1">
        <w:t xml:space="preserve">In terms of </w:t>
      </w:r>
      <w:r w:rsidR="00577125">
        <w:t xml:space="preserve">the meter </w:t>
      </w:r>
      <w:r w:rsidRPr="00F651E1">
        <w:t xml:space="preserve">technology, AusNet Services made the choice to use a modular meter design. This design required the distributor to procure AMI meters and communication modules separately. </w:t>
      </w:r>
      <w:r w:rsidR="00577125">
        <w:t xml:space="preserve">Given that other meter technology was available such as </w:t>
      </w:r>
      <w:r w:rsidR="00C217F6">
        <w:t xml:space="preserve">the </w:t>
      </w:r>
      <w:r w:rsidR="00577125">
        <w:t>bundled units procured by</w:t>
      </w:r>
      <w:r w:rsidR="002200BA">
        <w:t>,</w:t>
      </w:r>
      <w:r w:rsidR="00577125">
        <w:t xml:space="preserve"> </w:t>
      </w:r>
      <w:r w:rsidR="002200BA">
        <w:t xml:space="preserve">for example, </w:t>
      </w:r>
      <w:r w:rsidR="00577125">
        <w:t>Powercor, we consider that this option would have been availabl</w:t>
      </w:r>
      <w:r w:rsidR="00C217F6">
        <w:t xml:space="preserve">e to AusNet </w:t>
      </w:r>
      <w:r w:rsidR="002200BA">
        <w:t xml:space="preserve">Services </w:t>
      </w:r>
      <w:r w:rsidR="00C217F6">
        <w:t xml:space="preserve">also.  </w:t>
      </w:r>
      <w:r w:rsidRPr="00F651E1">
        <w:t xml:space="preserve">Powercor did not incur any excess expenditure in 2014 and 2015 for its 3G infill. </w:t>
      </w:r>
      <w:r w:rsidR="00017149">
        <w:t>O</w:t>
      </w:r>
      <w:r w:rsidR="00C217F6">
        <w:t xml:space="preserve">nce </w:t>
      </w:r>
      <w:r w:rsidR="00017149">
        <w:t>AusNet Services</w:t>
      </w:r>
      <w:r w:rsidR="00C217F6">
        <w:t xml:space="preserve"> had chosen </w:t>
      </w:r>
      <w:r w:rsidR="00017149">
        <w:t xml:space="preserve">its </w:t>
      </w:r>
      <w:r w:rsidR="00C217F6">
        <w:t xml:space="preserve">particular meter technology, </w:t>
      </w:r>
      <w:r w:rsidR="00017149">
        <w:t>we consider that it would have been prudent for</w:t>
      </w:r>
      <w:r w:rsidR="00C217F6">
        <w:t xml:space="preserve"> AusNet Services' </w:t>
      </w:r>
      <w:r w:rsidR="00017149">
        <w:t xml:space="preserve">to have factored into its </w:t>
      </w:r>
      <w:r w:rsidR="00C217F6">
        <w:t xml:space="preserve">roll-out strategy any </w:t>
      </w:r>
      <w:r w:rsidR="00165C06">
        <w:t>consequences</w:t>
      </w:r>
      <w:r w:rsidR="00C217F6">
        <w:t xml:space="preserve"> associated with its </w:t>
      </w:r>
      <w:r w:rsidR="00017149">
        <w:t>choice</w:t>
      </w:r>
      <w:r w:rsidR="00C217F6">
        <w:t xml:space="preserve">. </w:t>
      </w:r>
      <w:r w:rsidR="00017149">
        <w:t xml:space="preserve">When the timing of the supply and installation </w:t>
      </w:r>
      <w:proofErr w:type="gramStart"/>
      <w:r w:rsidR="00017149">
        <w:t>are taken</w:t>
      </w:r>
      <w:proofErr w:type="gramEnd"/>
      <w:r w:rsidR="00017149">
        <w:t xml:space="preserve"> into account, w</w:t>
      </w:r>
      <w:r w:rsidR="00C217F6">
        <w:t>e are not satisfied that AusNet Services managed those risks appropriately</w:t>
      </w:r>
      <w:r w:rsidR="005B3402">
        <w:t>.</w:t>
      </w:r>
      <w:r w:rsidR="00017149">
        <w:t xml:space="preserve"> </w:t>
      </w:r>
    </w:p>
    <w:p w:rsidR="004F21D2" w:rsidRPr="00F651E1" w:rsidRDefault="004F21D2" w:rsidP="004F21D2">
      <w:r w:rsidRPr="00F651E1">
        <w:t>With respect to suppliers, AusNet Services made the choice to select the manufacturer which provided the 3G communication modules. In making this choice</w:t>
      </w:r>
      <w:r w:rsidR="00EA5426">
        <w:t>,</w:t>
      </w:r>
      <w:r w:rsidRPr="00F651E1">
        <w:t xml:space="preserve"> AusNet Services also made the decision to enter into an agreement with its supplier as late as April 2013</w:t>
      </w:r>
      <w:r w:rsidR="00EA5426">
        <w:t>, well after the period of policy uncertainty</w:t>
      </w:r>
      <w:r w:rsidRPr="00F651E1">
        <w:t xml:space="preserve">. We consider the timing of this agreement </w:t>
      </w:r>
      <w:r>
        <w:t>also contributed to excess expenditure</w:t>
      </w:r>
      <w:r w:rsidRPr="00F651E1">
        <w:t>. This is because it only gave AusNet Services a constrained period, approximately 14 months, to take delivery of its 3G modules and have them installed with an AMI meter by the 30 June 2014 deadline.</w:t>
      </w:r>
      <w:r>
        <w:rPr>
          <w:rStyle w:val="FootnoteReference"/>
        </w:rPr>
        <w:footnoteReference w:id="50"/>
      </w:r>
      <w:r w:rsidRPr="00F651E1">
        <w:t xml:space="preserve"> Given that the type of 3G modules which AusNet Services procured were a 'brand new product'</w:t>
      </w:r>
      <w:r>
        <w:rPr>
          <w:rStyle w:val="FootnoteReference"/>
        </w:rPr>
        <w:footnoteReference w:id="51"/>
      </w:r>
      <w:r w:rsidRPr="00F651E1">
        <w:t xml:space="preserve"> which had yet to 'undergo proof of concept and prototype testing'</w:t>
      </w:r>
      <w:r>
        <w:rPr>
          <w:rStyle w:val="FootnoteReference"/>
        </w:rPr>
        <w:footnoteReference w:id="52"/>
      </w:r>
      <w:r w:rsidRPr="00F651E1">
        <w:t xml:space="preserve"> we consider AusNet Services' did not act prudently in providing AMI services. Our view is that a prudent operator would have entered into arrangements with its supplier at an earlier date, enabling it to install both its meters and 3G modules simultaneously</w:t>
      </w:r>
      <w:r w:rsidR="00EA5426">
        <w:t xml:space="preserve"> as other </w:t>
      </w:r>
      <w:r w:rsidR="00E96DFA">
        <w:t>distributors</w:t>
      </w:r>
      <w:r w:rsidR="00EA5426">
        <w:t xml:space="preserve"> have done</w:t>
      </w:r>
      <w:r w:rsidRPr="00F651E1">
        <w:t>.</w:t>
      </w:r>
    </w:p>
    <w:p w:rsidR="004F21D2" w:rsidRDefault="004F21D2" w:rsidP="004F21D2">
      <w:r w:rsidRPr="00F651E1">
        <w:t>To further support its proposed excess expenditure relating to standalone 3G communication modules, AusNet Services notes that its installation cost for the entirety of the AMI roll–out period was $138.00 ($nominal) per meter. It states that this ‘unit cost is 9% below the efficient benchmark determined by the AER in its Final Decision for the 2013 Expenditure Excess Application’.</w:t>
      </w:r>
      <w:r>
        <w:rPr>
          <w:rStyle w:val="FootnoteReference"/>
        </w:rPr>
        <w:footnoteReference w:id="53"/>
      </w:r>
      <w:r w:rsidRPr="00F651E1">
        <w:t xml:space="preserve"> We have </w:t>
      </w:r>
      <w:r>
        <w:t>considered this submission</w:t>
      </w:r>
      <w:r w:rsidRPr="00F651E1">
        <w:t xml:space="preserve">, but </w:t>
      </w:r>
      <w:r>
        <w:t>are of</w:t>
      </w:r>
      <w:r w:rsidRPr="00F651E1">
        <w:t xml:space="preserve"> the view that a distributor's unit cost is not necessarily indicative of overall efficiency. As noted by Jemena in its revised application, a distributor's unit cost may be higher (or lower) than an assessed benchmark on account of the distributor performing less (or more) of a set activity.</w:t>
      </w:r>
      <w:r>
        <w:rPr>
          <w:rStyle w:val="FootnoteReference"/>
        </w:rPr>
        <w:footnoteReference w:id="54"/>
      </w:r>
      <w:r w:rsidRPr="00F651E1">
        <w:t xml:space="preserve"> We further find that AusNet Services</w:t>
      </w:r>
      <w:r>
        <w:t>'</w:t>
      </w:r>
      <w:r w:rsidRPr="00F651E1">
        <w:t xml:space="preserve"> unit cost may be lower due to the reduced time to make standalone communication module installations, compared to the time to install a meter and communication module.</w:t>
      </w:r>
      <w:r>
        <w:rPr>
          <w:rStyle w:val="FootnoteReference"/>
        </w:rPr>
        <w:footnoteReference w:id="55"/>
      </w:r>
      <w:r w:rsidRPr="00F651E1">
        <w:t xml:space="preserve"> </w:t>
      </w:r>
    </w:p>
    <w:p w:rsidR="004F21D2" w:rsidRDefault="005B3402" w:rsidP="004F21D2">
      <w:r>
        <w:t xml:space="preserve">We </w:t>
      </w:r>
      <w:r w:rsidR="004F21D2">
        <w:t xml:space="preserve">consider </w:t>
      </w:r>
      <w:r w:rsidR="00165C06">
        <w:t xml:space="preserve">AusNet Services' choices of meter and supplier </w:t>
      </w:r>
      <w:r w:rsidR="004F21D2">
        <w:t>to have a causal link to the need to implement standalone 3G module installations</w:t>
      </w:r>
      <w:r w:rsidR="00EA5426">
        <w:t xml:space="preserve"> which resulted in higher costs</w:t>
      </w:r>
      <w:r w:rsidR="004F21D2">
        <w:t>. With respect to such choices, we note that the Essential Services Commission Victoria observed deficiencies in AusNet Services' (formerly SP AusNet) management decisions. In October 2014, it stated:</w:t>
      </w:r>
      <w:r w:rsidR="004F21D2">
        <w:rPr>
          <w:rStyle w:val="FootnoteReference"/>
        </w:rPr>
        <w:footnoteReference w:id="56"/>
      </w:r>
      <w:r w:rsidR="004F21D2">
        <w:t xml:space="preserve">  </w:t>
      </w:r>
    </w:p>
    <w:p w:rsidR="004F21D2" w:rsidRPr="00F651E1" w:rsidRDefault="004F21D2" w:rsidP="004F21D2">
      <w:pPr>
        <w:pStyle w:val="AERquote"/>
      </w:pPr>
      <w:r w:rsidRPr="008546A6">
        <w:t>The Commission notes that SP AusNet has referred to</w:t>
      </w:r>
      <w:r>
        <w:t xml:space="preserve"> </w:t>
      </w:r>
      <w:r w:rsidRPr="008546A6">
        <w:t>political uncertainty, customer hostility, demanding timeframes and complex systems</w:t>
      </w:r>
      <w:r>
        <w:t xml:space="preserve"> </w:t>
      </w:r>
      <w:r w:rsidRPr="008546A6">
        <w:t>and interfaces as particular circumstances impeding its rollout. The audits of the other</w:t>
      </w:r>
      <w:r>
        <w:t xml:space="preserve"> </w:t>
      </w:r>
      <w:r w:rsidRPr="008546A6">
        <w:t>distributors have reported similar issues and SP AusNet provided no evidence that it</w:t>
      </w:r>
      <w:r>
        <w:t xml:space="preserve"> </w:t>
      </w:r>
      <w:proofErr w:type="gramStart"/>
      <w:r w:rsidRPr="008546A6">
        <w:t>was disproportionately affected</w:t>
      </w:r>
      <w:proofErr w:type="gramEnd"/>
      <w:r w:rsidRPr="008546A6">
        <w:t xml:space="preserve"> when compared to other distributors. These issues</w:t>
      </w:r>
      <w:r>
        <w:t xml:space="preserve"> </w:t>
      </w:r>
      <w:r w:rsidRPr="008546A6">
        <w:t>alone cannot account for an installation rollout of 58 per cent by 31 December 2013.</w:t>
      </w:r>
      <w:r>
        <w:t xml:space="preserve"> </w:t>
      </w:r>
      <w:r w:rsidRPr="008546A6">
        <w:t>The Commission considered that particular circumstances that surrounded</w:t>
      </w:r>
      <w:r>
        <w:t xml:space="preserve"> </w:t>
      </w:r>
      <w:r w:rsidRPr="008546A6">
        <w:t>SP AusNet’s program arose from the distributor’s own management and</w:t>
      </w:r>
      <w:r>
        <w:t xml:space="preserve"> </w:t>
      </w:r>
      <w:r w:rsidRPr="008546A6">
        <w:t>implementation processes.</w:t>
      </w:r>
    </w:p>
    <w:p w:rsidR="004F21D2" w:rsidRPr="00F651E1" w:rsidRDefault="004F21D2" w:rsidP="004F21D2">
      <w:r w:rsidRPr="00F651E1">
        <w:t xml:space="preserve">Our final decision is to accept $5.4 million ($2018) in excess capital expenditure for 2014 meter installations. This final decision deducts the 69 862 standalone 3G communication module installations from AusNet Services’ proposed $14.3 million ($2018) in expenditure, </w:t>
      </w:r>
      <w:r>
        <w:t>and</w:t>
      </w:r>
      <w:r w:rsidRPr="00F651E1">
        <w:t xml:space="preserve"> accepts 4 060 installations associated with meter faults and 37 022 meter installations associated with the on–going mass roll–out program. </w:t>
      </w:r>
    </w:p>
    <w:p w:rsidR="00011542" w:rsidRDefault="009C6288" w:rsidP="006D5520">
      <w:pPr>
        <w:rPr>
          <w:rStyle w:val="AERtextboldunderline"/>
        </w:rPr>
      </w:pPr>
      <w:r>
        <w:rPr>
          <w:rStyle w:val="AERtextboldunderline"/>
        </w:rPr>
        <w:t>2015 meter installations</w:t>
      </w:r>
    </w:p>
    <w:p w:rsidR="00732D7C" w:rsidRPr="00732D7C" w:rsidRDefault="00732D7C" w:rsidP="00732D7C">
      <w:r>
        <w:t>We accept</w:t>
      </w:r>
      <w:r w:rsidR="00A95A55">
        <w:t xml:space="preserve"> $1.1</w:t>
      </w:r>
      <w:r w:rsidRPr="00732D7C">
        <w:t xml:space="preserve"> million ($2018) in excess </w:t>
      </w:r>
      <w:r>
        <w:t>capital expenditure for 2015</w:t>
      </w:r>
      <w:r w:rsidRPr="00732D7C">
        <w:t xml:space="preserve"> meter installation</w:t>
      </w:r>
      <w:r>
        <w:t>s</w:t>
      </w:r>
      <w:r w:rsidRPr="00732D7C">
        <w:t xml:space="preserve">. </w:t>
      </w:r>
      <w:r>
        <w:fldChar w:fldCharType="begin"/>
      </w:r>
      <w:r>
        <w:instrText xml:space="preserve"> REF _Ref466901612 \h </w:instrText>
      </w:r>
      <w:r>
        <w:fldChar w:fldCharType="separate"/>
      </w:r>
      <w:r w:rsidR="0032238B">
        <w:t xml:space="preserve">Table </w:t>
      </w:r>
      <w:r w:rsidR="0032238B">
        <w:rPr>
          <w:noProof/>
        </w:rPr>
        <w:t>4</w:t>
      </w:r>
      <w:r w:rsidR="0032238B">
        <w:t>.</w:t>
      </w:r>
      <w:r w:rsidR="0032238B">
        <w:rPr>
          <w:noProof/>
        </w:rPr>
        <w:t>8</w:t>
      </w:r>
      <w:r>
        <w:fldChar w:fldCharType="end"/>
      </w:r>
      <w:r>
        <w:t xml:space="preserve"> </w:t>
      </w:r>
      <w:r w:rsidRPr="00732D7C">
        <w:t xml:space="preserve">sets out the components of our </w:t>
      </w:r>
      <w:r>
        <w:t>final</w:t>
      </w:r>
      <w:r w:rsidRPr="00732D7C">
        <w:t xml:space="preserve"> decision. It shows that AusNet Services proposed a level of volumes associated with ‘faults’, which we </w:t>
      </w:r>
      <w:r w:rsidR="00ED2FE4">
        <w:t xml:space="preserve">have </w:t>
      </w:r>
      <w:r w:rsidRPr="00732D7C">
        <w:t>accepted</w:t>
      </w:r>
      <w:r>
        <w:t>.</w:t>
      </w:r>
    </w:p>
    <w:p w:rsidR="00732D7C" w:rsidRPr="00732D7C" w:rsidRDefault="00732D7C" w:rsidP="00732D7C">
      <w:pPr>
        <w:pStyle w:val="Caption"/>
      </w:pPr>
      <w:bookmarkStart w:id="41" w:name="_Ref466901612"/>
      <w:proofErr w:type="gramStart"/>
      <w:r>
        <w:t xml:space="preserve">Table </w:t>
      </w:r>
      <w:fldSimple w:instr=" STYLEREF 1 \s ">
        <w:r w:rsidR="0032238B">
          <w:rPr>
            <w:noProof/>
          </w:rPr>
          <w:t>4</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8</w:t>
      </w:r>
      <w:r w:rsidR="005812E9">
        <w:rPr>
          <w:noProof/>
        </w:rPr>
        <w:fldChar w:fldCharType="end"/>
      </w:r>
      <w:bookmarkEnd w:id="41"/>
      <w:r>
        <w:tab/>
      </w:r>
      <w:r w:rsidRPr="00732D7C">
        <w:t>Final decision on 2014 meter installation capex volumes</w:t>
      </w:r>
    </w:p>
    <w:tbl>
      <w:tblPr>
        <w:tblStyle w:val="AERtable-numbers"/>
        <w:tblW w:w="0" w:type="auto"/>
        <w:tblLook w:val="04A0" w:firstRow="1" w:lastRow="0" w:firstColumn="1" w:lastColumn="0" w:noHBand="0" w:noVBand="1"/>
      </w:tblPr>
      <w:tblGrid>
        <w:gridCol w:w="1728"/>
        <w:gridCol w:w="1728"/>
        <w:gridCol w:w="1728"/>
        <w:gridCol w:w="1728"/>
        <w:gridCol w:w="1728"/>
      </w:tblGrid>
      <w:tr w:rsidR="00732D7C" w:rsidTr="00732D7C">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728" w:type="dxa"/>
          </w:tcPr>
          <w:p w:rsidR="00732D7C" w:rsidRPr="00732D7C" w:rsidRDefault="00732D7C" w:rsidP="00732D7C"/>
        </w:tc>
        <w:tc>
          <w:tcPr>
            <w:tcW w:w="1728" w:type="dxa"/>
          </w:tcPr>
          <w:p w:rsidR="00732D7C" w:rsidRPr="00732D7C" w:rsidRDefault="00732D7C" w:rsidP="00732D7C">
            <w:pPr>
              <w:cnfStyle w:val="100000000000" w:firstRow="1" w:lastRow="0" w:firstColumn="0" w:lastColumn="0" w:oddVBand="0" w:evenVBand="0" w:oddHBand="0" w:evenHBand="0" w:firstRowFirstColumn="0" w:firstRowLastColumn="0" w:lastRowFirstColumn="0" w:lastRowLastColumn="0"/>
            </w:pPr>
            <w:r w:rsidRPr="00732D7C">
              <w:t xml:space="preserve"> Initial proposal</w:t>
            </w:r>
          </w:p>
        </w:tc>
        <w:tc>
          <w:tcPr>
            <w:tcW w:w="1728" w:type="dxa"/>
          </w:tcPr>
          <w:p w:rsidR="00732D7C" w:rsidRPr="00732D7C" w:rsidRDefault="00732D7C" w:rsidP="00732D7C">
            <w:pPr>
              <w:cnfStyle w:val="100000000000" w:firstRow="1" w:lastRow="0" w:firstColumn="0" w:lastColumn="0" w:oddVBand="0" w:evenVBand="0" w:oddHBand="0" w:evenHBand="0" w:firstRowFirstColumn="0" w:firstRowLastColumn="0" w:lastRowFirstColumn="0" w:lastRowLastColumn="0"/>
            </w:pPr>
            <w:r w:rsidRPr="00732D7C">
              <w:t>Draft decision</w:t>
            </w:r>
          </w:p>
        </w:tc>
        <w:tc>
          <w:tcPr>
            <w:tcW w:w="1728" w:type="dxa"/>
          </w:tcPr>
          <w:p w:rsidR="00732D7C" w:rsidRPr="00732D7C" w:rsidRDefault="00732D7C" w:rsidP="00732D7C">
            <w:pPr>
              <w:cnfStyle w:val="100000000000" w:firstRow="1" w:lastRow="0" w:firstColumn="0" w:lastColumn="0" w:oddVBand="0" w:evenVBand="0" w:oddHBand="0" w:evenHBand="0" w:firstRowFirstColumn="0" w:firstRowLastColumn="0" w:lastRowFirstColumn="0" w:lastRowLastColumn="0"/>
            </w:pPr>
            <w:r w:rsidRPr="00732D7C">
              <w:t xml:space="preserve"> Revised application</w:t>
            </w:r>
          </w:p>
        </w:tc>
        <w:tc>
          <w:tcPr>
            <w:tcW w:w="1728" w:type="dxa"/>
          </w:tcPr>
          <w:p w:rsidR="00732D7C" w:rsidRPr="00732D7C" w:rsidRDefault="00732D7C" w:rsidP="00732D7C">
            <w:pPr>
              <w:cnfStyle w:val="100000000000" w:firstRow="1" w:lastRow="0" w:firstColumn="0" w:lastColumn="0" w:oddVBand="0" w:evenVBand="0" w:oddHBand="0" w:evenHBand="0" w:firstRowFirstColumn="0" w:firstRowLastColumn="0" w:lastRowFirstColumn="0" w:lastRowLastColumn="0"/>
            </w:pPr>
            <w:r w:rsidRPr="00732D7C">
              <w:t>Final decision</w:t>
            </w:r>
          </w:p>
        </w:tc>
      </w:tr>
      <w:tr w:rsidR="00732D7C" w:rsidRPr="00A12CE3" w:rsidTr="00732D7C">
        <w:trPr>
          <w:trHeight w:val="415"/>
        </w:trPr>
        <w:tc>
          <w:tcPr>
            <w:cnfStyle w:val="001000000000" w:firstRow="0" w:lastRow="0" w:firstColumn="1" w:lastColumn="0" w:oddVBand="0" w:evenVBand="0" w:oddHBand="0" w:evenHBand="0" w:firstRowFirstColumn="0" w:firstRowLastColumn="0" w:lastRowFirstColumn="0" w:lastRowLastColumn="0"/>
            <w:tcW w:w="1728" w:type="dxa"/>
          </w:tcPr>
          <w:p w:rsidR="00732D7C" w:rsidRPr="00732D7C" w:rsidRDefault="00732D7C" w:rsidP="00732D7C">
            <w:r w:rsidRPr="00732D7C">
              <w:t>Faults</w:t>
            </w:r>
          </w:p>
        </w:tc>
        <w:tc>
          <w:tcPr>
            <w:tcW w:w="1728" w:type="dxa"/>
          </w:tcPr>
          <w:p w:rsidR="00732D7C" w:rsidRPr="00732D7C" w:rsidRDefault="00732D7C" w:rsidP="00732D7C">
            <w:pPr>
              <w:cnfStyle w:val="000000000000" w:firstRow="0" w:lastRow="0" w:firstColumn="0" w:lastColumn="0" w:oddVBand="0" w:evenVBand="0" w:oddHBand="0" w:evenHBand="0" w:firstRowFirstColumn="0" w:firstRowLastColumn="0" w:lastRowFirstColumn="0" w:lastRowLastColumn="0"/>
            </w:pPr>
            <w:r w:rsidRPr="00732D7C">
              <w:t>3 319</w:t>
            </w:r>
          </w:p>
        </w:tc>
        <w:tc>
          <w:tcPr>
            <w:tcW w:w="1728" w:type="dxa"/>
          </w:tcPr>
          <w:p w:rsidR="00732D7C" w:rsidRPr="00732D7C" w:rsidRDefault="00732D7C" w:rsidP="00732D7C">
            <w:pPr>
              <w:cnfStyle w:val="000000000000" w:firstRow="0" w:lastRow="0" w:firstColumn="0" w:lastColumn="0" w:oddVBand="0" w:evenVBand="0" w:oddHBand="0" w:evenHBand="0" w:firstRowFirstColumn="0" w:firstRowLastColumn="0" w:lastRowFirstColumn="0" w:lastRowLastColumn="0"/>
            </w:pPr>
            <w:r w:rsidRPr="00732D7C">
              <w:t>3 319</w:t>
            </w:r>
          </w:p>
        </w:tc>
        <w:tc>
          <w:tcPr>
            <w:tcW w:w="1728" w:type="dxa"/>
          </w:tcPr>
          <w:p w:rsidR="00732D7C" w:rsidRPr="00732D7C" w:rsidRDefault="00732D7C" w:rsidP="00732D7C">
            <w:pPr>
              <w:cnfStyle w:val="000000000000" w:firstRow="0" w:lastRow="0" w:firstColumn="0" w:lastColumn="0" w:oddVBand="0" w:evenVBand="0" w:oddHBand="0" w:evenHBand="0" w:firstRowFirstColumn="0" w:firstRowLastColumn="0" w:lastRowFirstColumn="0" w:lastRowLastColumn="0"/>
            </w:pPr>
            <w:r w:rsidRPr="00732D7C">
              <w:t>3 319</w:t>
            </w:r>
          </w:p>
        </w:tc>
        <w:tc>
          <w:tcPr>
            <w:tcW w:w="1728" w:type="dxa"/>
          </w:tcPr>
          <w:p w:rsidR="00732D7C" w:rsidRPr="00732D7C" w:rsidRDefault="00732D7C" w:rsidP="00732D7C">
            <w:pPr>
              <w:cnfStyle w:val="000000000000" w:firstRow="0" w:lastRow="0" w:firstColumn="0" w:lastColumn="0" w:oddVBand="0" w:evenVBand="0" w:oddHBand="0" w:evenHBand="0" w:firstRowFirstColumn="0" w:firstRowLastColumn="0" w:lastRowFirstColumn="0" w:lastRowLastColumn="0"/>
            </w:pPr>
            <w:r w:rsidRPr="00732D7C">
              <w:t>3 319</w:t>
            </w:r>
          </w:p>
        </w:tc>
      </w:tr>
      <w:tr w:rsidR="00732D7C" w:rsidRPr="00A12CE3" w:rsidTr="00732D7C">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728" w:type="dxa"/>
          </w:tcPr>
          <w:p w:rsidR="00732D7C" w:rsidRPr="00732D7C" w:rsidRDefault="00732D7C" w:rsidP="00732D7C">
            <w:r w:rsidRPr="00732D7C">
              <w:t>Roll–out – Meter installations</w:t>
            </w:r>
          </w:p>
        </w:tc>
        <w:tc>
          <w:tcPr>
            <w:tcW w:w="1728" w:type="dxa"/>
          </w:tcPr>
          <w:p w:rsidR="00732D7C" w:rsidRPr="00732D7C" w:rsidRDefault="00732D7C" w:rsidP="00732D7C">
            <w:pPr>
              <w:cnfStyle w:val="000000010000" w:firstRow="0" w:lastRow="0" w:firstColumn="0" w:lastColumn="0" w:oddVBand="0" w:evenVBand="0" w:oddHBand="0" w:evenHBand="1" w:firstRowFirstColumn="0" w:firstRowLastColumn="0" w:lastRowFirstColumn="0" w:lastRowLastColumn="0"/>
            </w:pPr>
            <w:r w:rsidRPr="00732D7C">
              <w:t>0</w:t>
            </w:r>
          </w:p>
        </w:tc>
        <w:tc>
          <w:tcPr>
            <w:tcW w:w="1728" w:type="dxa"/>
          </w:tcPr>
          <w:p w:rsidR="00732D7C" w:rsidRPr="00732D7C" w:rsidRDefault="00732D7C" w:rsidP="00732D7C">
            <w:pPr>
              <w:cnfStyle w:val="000000010000" w:firstRow="0" w:lastRow="0" w:firstColumn="0" w:lastColumn="0" w:oddVBand="0" w:evenVBand="0" w:oddHBand="0" w:evenHBand="1" w:firstRowFirstColumn="0" w:firstRowLastColumn="0" w:lastRowFirstColumn="0" w:lastRowLastColumn="0"/>
            </w:pPr>
            <w:r w:rsidRPr="00732D7C">
              <w:t>0</w:t>
            </w:r>
          </w:p>
        </w:tc>
        <w:tc>
          <w:tcPr>
            <w:tcW w:w="1728" w:type="dxa"/>
          </w:tcPr>
          <w:p w:rsidR="00732D7C" w:rsidRPr="00732D7C" w:rsidRDefault="00732D7C" w:rsidP="00732D7C">
            <w:pPr>
              <w:cnfStyle w:val="000000010000" w:firstRow="0" w:lastRow="0" w:firstColumn="0" w:lastColumn="0" w:oddVBand="0" w:evenVBand="0" w:oddHBand="0" w:evenHBand="1" w:firstRowFirstColumn="0" w:firstRowLastColumn="0" w:lastRowFirstColumn="0" w:lastRowLastColumn="0"/>
            </w:pPr>
            <w:r w:rsidRPr="00732D7C">
              <w:t>0</w:t>
            </w:r>
          </w:p>
        </w:tc>
        <w:tc>
          <w:tcPr>
            <w:tcW w:w="1728" w:type="dxa"/>
          </w:tcPr>
          <w:p w:rsidR="00732D7C" w:rsidRPr="00732D7C" w:rsidRDefault="00732D7C" w:rsidP="00732D7C">
            <w:pPr>
              <w:cnfStyle w:val="000000010000" w:firstRow="0" w:lastRow="0" w:firstColumn="0" w:lastColumn="0" w:oddVBand="0" w:evenVBand="0" w:oddHBand="0" w:evenHBand="1" w:firstRowFirstColumn="0" w:firstRowLastColumn="0" w:lastRowFirstColumn="0" w:lastRowLastColumn="0"/>
            </w:pPr>
            <w:r w:rsidRPr="00732D7C">
              <w:t>0</w:t>
            </w:r>
          </w:p>
        </w:tc>
      </w:tr>
      <w:tr w:rsidR="00732D7C" w:rsidRPr="00A12CE3" w:rsidTr="00732D7C">
        <w:trPr>
          <w:trHeight w:val="415"/>
        </w:trPr>
        <w:tc>
          <w:tcPr>
            <w:cnfStyle w:val="001000000000" w:firstRow="0" w:lastRow="0" w:firstColumn="1" w:lastColumn="0" w:oddVBand="0" w:evenVBand="0" w:oddHBand="0" w:evenHBand="0" w:firstRowFirstColumn="0" w:firstRowLastColumn="0" w:lastRowFirstColumn="0" w:lastRowLastColumn="0"/>
            <w:tcW w:w="1728" w:type="dxa"/>
          </w:tcPr>
          <w:p w:rsidR="00732D7C" w:rsidRPr="00732D7C" w:rsidRDefault="00732D7C" w:rsidP="00732D7C">
            <w:r w:rsidRPr="00732D7C">
              <w:t>Standalone 3G modules</w:t>
            </w:r>
          </w:p>
        </w:tc>
        <w:tc>
          <w:tcPr>
            <w:tcW w:w="1728" w:type="dxa"/>
          </w:tcPr>
          <w:p w:rsidR="00732D7C" w:rsidRPr="00732D7C" w:rsidRDefault="00732D7C" w:rsidP="00732D7C">
            <w:pPr>
              <w:cnfStyle w:val="000000000000" w:firstRow="0" w:lastRow="0" w:firstColumn="0" w:lastColumn="0" w:oddVBand="0" w:evenVBand="0" w:oddHBand="0" w:evenHBand="0" w:firstRowFirstColumn="0" w:firstRowLastColumn="0" w:lastRowFirstColumn="0" w:lastRowLastColumn="0"/>
            </w:pPr>
            <w:r w:rsidRPr="00732D7C">
              <w:t>0</w:t>
            </w:r>
          </w:p>
        </w:tc>
        <w:tc>
          <w:tcPr>
            <w:tcW w:w="1728" w:type="dxa"/>
          </w:tcPr>
          <w:p w:rsidR="00732D7C" w:rsidRPr="00732D7C" w:rsidRDefault="00732D7C" w:rsidP="00732D7C">
            <w:pPr>
              <w:cnfStyle w:val="000000000000" w:firstRow="0" w:lastRow="0" w:firstColumn="0" w:lastColumn="0" w:oddVBand="0" w:evenVBand="0" w:oddHBand="0" w:evenHBand="0" w:firstRowFirstColumn="0" w:firstRowLastColumn="0" w:lastRowFirstColumn="0" w:lastRowLastColumn="0"/>
            </w:pPr>
            <w:r w:rsidRPr="00732D7C">
              <w:t>0</w:t>
            </w:r>
          </w:p>
        </w:tc>
        <w:tc>
          <w:tcPr>
            <w:tcW w:w="1728" w:type="dxa"/>
          </w:tcPr>
          <w:p w:rsidR="00732D7C" w:rsidRPr="00732D7C" w:rsidRDefault="00732D7C" w:rsidP="00732D7C">
            <w:pPr>
              <w:cnfStyle w:val="000000000000" w:firstRow="0" w:lastRow="0" w:firstColumn="0" w:lastColumn="0" w:oddVBand="0" w:evenVBand="0" w:oddHBand="0" w:evenHBand="0" w:firstRowFirstColumn="0" w:firstRowLastColumn="0" w:lastRowFirstColumn="0" w:lastRowLastColumn="0"/>
            </w:pPr>
            <w:r w:rsidRPr="00732D7C">
              <w:t>0</w:t>
            </w:r>
          </w:p>
        </w:tc>
        <w:tc>
          <w:tcPr>
            <w:tcW w:w="1728" w:type="dxa"/>
          </w:tcPr>
          <w:p w:rsidR="00732D7C" w:rsidRPr="00732D7C" w:rsidRDefault="00732D7C" w:rsidP="00732D7C">
            <w:pPr>
              <w:cnfStyle w:val="000000000000" w:firstRow="0" w:lastRow="0" w:firstColumn="0" w:lastColumn="0" w:oddVBand="0" w:evenVBand="0" w:oddHBand="0" w:evenHBand="0" w:firstRowFirstColumn="0" w:firstRowLastColumn="0" w:lastRowFirstColumn="0" w:lastRowLastColumn="0"/>
            </w:pPr>
            <w:r w:rsidRPr="00732D7C">
              <w:t>0</w:t>
            </w:r>
          </w:p>
        </w:tc>
      </w:tr>
      <w:tr w:rsidR="00732D7C" w:rsidRPr="0061797E" w:rsidTr="00732D7C">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728" w:type="dxa"/>
          </w:tcPr>
          <w:p w:rsidR="00732D7C" w:rsidRPr="00732D7C" w:rsidRDefault="00732D7C" w:rsidP="00732D7C">
            <w:r w:rsidRPr="00732D7C">
              <w:t>Total </w:t>
            </w:r>
          </w:p>
        </w:tc>
        <w:tc>
          <w:tcPr>
            <w:tcW w:w="1728" w:type="dxa"/>
          </w:tcPr>
          <w:p w:rsidR="00732D7C" w:rsidRPr="00732D7C" w:rsidRDefault="00732D7C" w:rsidP="00732D7C">
            <w:pPr>
              <w:cnfStyle w:val="000000010000" w:firstRow="0" w:lastRow="0" w:firstColumn="0" w:lastColumn="0" w:oddVBand="0" w:evenVBand="0" w:oddHBand="0" w:evenHBand="1" w:firstRowFirstColumn="0" w:firstRowLastColumn="0" w:lastRowFirstColumn="0" w:lastRowLastColumn="0"/>
            </w:pPr>
            <w:r w:rsidRPr="00732D7C">
              <w:t>3 319</w:t>
            </w:r>
          </w:p>
        </w:tc>
        <w:tc>
          <w:tcPr>
            <w:tcW w:w="1728" w:type="dxa"/>
          </w:tcPr>
          <w:p w:rsidR="00732D7C" w:rsidRPr="00732D7C" w:rsidRDefault="00732D7C" w:rsidP="00732D7C">
            <w:pPr>
              <w:cnfStyle w:val="000000010000" w:firstRow="0" w:lastRow="0" w:firstColumn="0" w:lastColumn="0" w:oddVBand="0" w:evenVBand="0" w:oddHBand="0" w:evenHBand="1" w:firstRowFirstColumn="0" w:firstRowLastColumn="0" w:lastRowFirstColumn="0" w:lastRowLastColumn="0"/>
            </w:pPr>
            <w:r w:rsidRPr="00732D7C">
              <w:t>3 319</w:t>
            </w:r>
          </w:p>
        </w:tc>
        <w:tc>
          <w:tcPr>
            <w:tcW w:w="1728" w:type="dxa"/>
          </w:tcPr>
          <w:p w:rsidR="00732D7C" w:rsidRPr="00732D7C" w:rsidRDefault="00732D7C" w:rsidP="00732D7C">
            <w:pPr>
              <w:cnfStyle w:val="000000010000" w:firstRow="0" w:lastRow="0" w:firstColumn="0" w:lastColumn="0" w:oddVBand="0" w:evenVBand="0" w:oddHBand="0" w:evenHBand="1" w:firstRowFirstColumn="0" w:firstRowLastColumn="0" w:lastRowFirstColumn="0" w:lastRowLastColumn="0"/>
            </w:pPr>
            <w:r w:rsidRPr="00732D7C">
              <w:t>3 319</w:t>
            </w:r>
          </w:p>
        </w:tc>
        <w:tc>
          <w:tcPr>
            <w:tcW w:w="1728" w:type="dxa"/>
          </w:tcPr>
          <w:p w:rsidR="00732D7C" w:rsidRPr="00732D7C" w:rsidRDefault="00732D7C" w:rsidP="00732D7C">
            <w:pPr>
              <w:cnfStyle w:val="000000010000" w:firstRow="0" w:lastRow="0" w:firstColumn="0" w:lastColumn="0" w:oddVBand="0" w:evenVBand="0" w:oddHBand="0" w:evenHBand="1" w:firstRowFirstColumn="0" w:firstRowLastColumn="0" w:lastRowFirstColumn="0" w:lastRowLastColumn="0"/>
            </w:pPr>
            <w:r w:rsidRPr="00732D7C">
              <w:t>3 319</w:t>
            </w:r>
          </w:p>
        </w:tc>
      </w:tr>
    </w:tbl>
    <w:p w:rsidR="00732D7C" w:rsidRDefault="00732D7C" w:rsidP="00732D7C">
      <w:pPr>
        <w:pStyle w:val="AERtablesource"/>
      </w:pPr>
      <w:r>
        <w:t>Source:</w:t>
      </w:r>
      <w:r>
        <w:tab/>
        <w:t>AER analysis.</w:t>
      </w:r>
    </w:p>
    <w:p w:rsidR="009C6288" w:rsidRDefault="00732D7C" w:rsidP="00732D7C">
      <w:pPr>
        <w:pStyle w:val="HeadingBoldItalic"/>
      </w:pPr>
      <w:r>
        <w:t>IT capex</w:t>
      </w:r>
    </w:p>
    <w:p w:rsidR="00732D7C" w:rsidRDefault="009762F6" w:rsidP="00732D7C">
      <w:r>
        <w:t xml:space="preserve">We accept $13.0 million ($2018) in excess IT capital expenditure. </w:t>
      </w:r>
      <w:r w:rsidR="0030152D">
        <w:fldChar w:fldCharType="begin"/>
      </w:r>
      <w:r w:rsidR="0030152D">
        <w:instrText xml:space="preserve"> REF _Ref466901699 \h </w:instrText>
      </w:r>
      <w:r w:rsidR="0030152D">
        <w:fldChar w:fldCharType="separate"/>
      </w:r>
      <w:r w:rsidR="0032238B">
        <w:t xml:space="preserve">Table </w:t>
      </w:r>
      <w:r w:rsidR="0032238B">
        <w:rPr>
          <w:noProof/>
        </w:rPr>
        <w:t>4</w:t>
      </w:r>
      <w:r w:rsidR="0032238B">
        <w:t>.</w:t>
      </w:r>
      <w:r w:rsidR="0032238B">
        <w:rPr>
          <w:noProof/>
        </w:rPr>
        <w:t>9</w:t>
      </w:r>
      <w:r w:rsidR="0030152D">
        <w:fldChar w:fldCharType="end"/>
      </w:r>
      <w:r w:rsidR="0030152D">
        <w:t xml:space="preserve"> s</w:t>
      </w:r>
      <w:r w:rsidR="00401DC3">
        <w:t xml:space="preserve">hows that our final decision accepts more excess expenditure for IT </w:t>
      </w:r>
      <w:r w:rsidR="0030152D">
        <w:t>than our draft determination, but less than the $33.3 million ($2018) AusNet Services sought.</w:t>
      </w:r>
    </w:p>
    <w:p w:rsidR="00732D7C" w:rsidRPr="00732D7C" w:rsidRDefault="00732D7C" w:rsidP="00732D7C">
      <w:pPr>
        <w:pStyle w:val="Caption"/>
      </w:pPr>
      <w:bookmarkStart w:id="42" w:name="_Ref466901699"/>
      <w:proofErr w:type="gramStart"/>
      <w:r>
        <w:t xml:space="preserve">Table </w:t>
      </w:r>
      <w:fldSimple w:instr=" STYLEREF 1 \s ">
        <w:r w:rsidR="0032238B">
          <w:rPr>
            <w:noProof/>
          </w:rPr>
          <w:t>4</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9</w:t>
      </w:r>
      <w:r w:rsidR="005812E9">
        <w:rPr>
          <w:noProof/>
        </w:rPr>
        <w:fldChar w:fldCharType="end"/>
      </w:r>
      <w:bookmarkEnd w:id="42"/>
      <w:r>
        <w:tab/>
      </w:r>
      <w:r w:rsidRPr="00732D7C">
        <w:t>Final decision on AusNet Services’ IT capex ($m, 2018)</w:t>
      </w:r>
    </w:p>
    <w:tbl>
      <w:tblPr>
        <w:tblStyle w:val="AERtable-numbers"/>
        <w:tblW w:w="0" w:type="auto"/>
        <w:tblLook w:val="04A0" w:firstRow="1" w:lastRow="0" w:firstColumn="1" w:lastColumn="0" w:noHBand="0" w:noVBand="1"/>
      </w:tblPr>
      <w:tblGrid>
        <w:gridCol w:w="1738"/>
        <w:gridCol w:w="1738"/>
        <w:gridCol w:w="1739"/>
        <w:gridCol w:w="1739"/>
        <w:gridCol w:w="1739"/>
      </w:tblGrid>
      <w:tr w:rsidR="00732D7C" w:rsidTr="00732D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732D7C" w:rsidRDefault="00732D7C" w:rsidP="00732D7C"/>
        </w:tc>
        <w:tc>
          <w:tcPr>
            <w:tcW w:w="1738" w:type="dxa"/>
          </w:tcPr>
          <w:p w:rsidR="00732D7C" w:rsidRDefault="00732D7C" w:rsidP="00732D7C">
            <w:pPr>
              <w:cnfStyle w:val="100000000000" w:firstRow="1" w:lastRow="0" w:firstColumn="0" w:lastColumn="0" w:oddVBand="0" w:evenVBand="0" w:oddHBand="0" w:evenHBand="0" w:firstRowFirstColumn="0" w:firstRowLastColumn="0" w:lastRowFirstColumn="0" w:lastRowLastColumn="0"/>
            </w:pPr>
            <w:r>
              <w:t>Initial application</w:t>
            </w:r>
          </w:p>
        </w:tc>
        <w:tc>
          <w:tcPr>
            <w:tcW w:w="1739" w:type="dxa"/>
          </w:tcPr>
          <w:p w:rsidR="00732D7C" w:rsidRDefault="00732D7C" w:rsidP="00732D7C">
            <w:pPr>
              <w:cnfStyle w:val="100000000000" w:firstRow="1" w:lastRow="0" w:firstColumn="0" w:lastColumn="0" w:oddVBand="0" w:evenVBand="0" w:oddHBand="0" w:evenHBand="0" w:firstRowFirstColumn="0" w:firstRowLastColumn="0" w:lastRowFirstColumn="0" w:lastRowLastColumn="0"/>
            </w:pPr>
            <w:r>
              <w:t>Draft decision</w:t>
            </w:r>
          </w:p>
        </w:tc>
        <w:tc>
          <w:tcPr>
            <w:tcW w:w="1739" w:type="dxa"/>
          </w:tcPr>
          <w:p w:rsidR="00732D7C" w:rsidRDefault="00732D7C" w:rsidP="00732D7C">
            <w:pPr>
              <w:cnfStyle w:val="100000000000" w:firstRow="1" w:lastRow="0" w:firstColumn="0" w:lastColumn="0" w:oddVBand="0" w:evenVBand="0" w:oddHBand="0" w:evenHBand="0" w:firstRowFirstColumn="0" w:firstRowLastColumn="0" w:lastRowFirstColumn="0" w:lastRowLastColumn="0"/>
            </w:pPr>
            <w:r>
              <w:t>Revised application</w:t>
            </w:r>
          </w:p>
        </w:tc>
        <w:tc>
          <w:tcPr>
            <w:tcW w:w="1739" w:type="dxa"/>
          </w:tcPr>
          <w:p w:rsidR="00732D7C" w:rsidRDefault="00732D7C" w:rsidP="00732D7C">
            <w:pPr>
              <w:cnfStyle w:val="100000000000" w:firstRow="1" w:lastRow="0" w:firstColumn="0" w:lastColumn="0" w:oddVBand="0" w:evenVBand="0" w:oddHBand="0" w:evenHBand="0" w:firstRowFirstColumn="0" w:firstRowLastColumn="0" w:lastRowFirstColumn="0" w:lastRowLastColumn="0"/>
            </w:pPr>
            <w:r>
              <w:t>Final decision</w:t>
            </w:r>
          </w:p>
        </w:tc>
      </w:tr>
      <w:tr w:rsidR="00732D7C" w:rsidTr="00732D7C">
        <w:tc>
          <w:tcPr>
            <w:cnfStyle w:val="001000000000" w:firstRow="0" w:lastRow="0" w:firstColumn="1" w:lastColumn="0" w:oddVBand="0" w:evenVBand="0" w:oddHBand="0" w:evenHBand="0" w:firstRowFirstColumn="0" w:firstRowLastColumn="0" w:lastRowFirstColumn="0" w:lastRowLastColumn="0"/>
            <w:tcW w:w="1738" w:type="dxa"/>
          </w:tcPr>
          <w:p w:rsidR="00732D7C" w:rsidRDefault="00732D7C" w:rsidP="00732D7C">
            <w:r>
              <w:t>IT capex</w:t>
            </w:r>
          </w:p>
        </w:tc>
        <w:tc>
          <w:tcPr>
            <w:tcW w:w="1738" w:type="dxa"/>
          </w:tcPr>
          <w:p w:rsidR="00732D7C" w:rsidRDefault="00732D7C" w:rsidP="00732D7C">
            <w:pPr>
              <w:cnfStyle w:val="000000000000" w:firstRow="0" w:lastRow="0" w:firstColumn="0" w:lastColumn="0" w:oddVBand="0" w:evenVBand="0" w:oddHBand="0" w:evenHBand="0" w:firstRowFirstColumn="0" w:firstRowLastColumn="0" w:lastRowFirstColumn="0" w:lastRowLastColumn="0"/>
            </w:pPr>
            <w:r>
              <w:t>33.3</w:t>
            </w:r>
          </w:p>
        </w:tc>
        <w:tc>
          <w:tcPr>
            <w:tcW w:w="1739" w:type="dxa"/>
          </w:tcPr>
          <w:p w:rsidR="00732D7C" w:rsidRDefault="00732D7C" w:rsidP="00732D7C">
            <w:pPr>
              <w:cnfStyle w:val="000000000000" w:firstRow="0" w:lastRow="0" w:firstColumn="0" w:lastColumn="0" w:oddVBand="0" w:evenVBand="0" w:oddHBand="0" w:evenHBand="0" w:firstRowFirstColumn="0" w:firstRowLastColumn="0" w:lastRowFirstColumn="0" w:lastRowLastColumn="0"/>
            </w:pPr>
            <w:r>
              <w:t>5.7</w:t>
            </w:r>
          </w:p>
        </w:tc>
        <w:tc>
          <w:tcPr>
            <w:tcW w:w="1739" w:type="dxa"/>
          </w:tcPr>
          <w:p w:rsidR="00732D7C" w:rsidRDefault="00732D7C" w:rsidP="00732D7C">
            <w:pPr>
              <w:cnfStyle w:val="000000000000" w:firstRow="0" w:lastRow="0" w:firstColumn="0" w:lastColumn="0" w:oddVBand="0" w:evenVBand="0" w:oddHBand="0" w:evenHBand="0" w:firstRowFirstColumn="0" w:firstRowLastColumn="0" w:lastRowFirstColumn="0" w:lastRowLastColumn="0"/>
            </w:pPr>
            <w:r>
              <w:t>33.3</w:t>
            </w:r>
          </w:p>
        </w:tc>
        <w:tc>
          <w:tcPr>
            <w:tcW w:w="1739" w:type="dxa"/>
          </w:tcPr>
          <w:p w:rsidR="00732D7C" w:rsidRDefault="00732D7C" w:rsidP="00732D7C">
            <w:pPr>
              <w:cnfStyle w:val="000000000000" w:firstRow="0" w:lastRow="0" w:firstColumn="0" w:lastColumn="0" w:oddVBand="0" w:evenVBand="0" w:oddHBand="0" w:evenHBand="0" w:firstRowFirstColumn="0" w:firstRowLastColumn="0" w:lastRowFirstColumn="0" w:lastRowLastColumn="0"/>
            </w:pPr>
            <w:r>
              <w:t>13.0</w:t>
            </w:r>
          </w:p>
        </w:tc>
      </w:tr>
    </w:tbl>
    <w:p w:rsidR="00732D7C" w:rsidRDefault="009762F6" w:rsidP="009762F6">
      <w:pPr>
        <w:pStyle w:val="AERtablesource"/>
      </w:pPr>
      <w:r>
        <w:t>Source:</w:t>
      </w:r>
      <w:r>
        <w:tab/>
        <w:t>AER analysis.</w:t>
      </w:r>
    </w:p>
    <w:p w:rsidR="00732D7C" w:rsidRDefault="009762F6" w:rsidP="00732D7C">
      <w:r>
        <w:t xml:space="preserve">AusNet Services incurred more capital expenditure on its IT systems than any other Victorian distributor. </w:t>
      </w:r>
      <w:r>
        <w:fldChar w:fldCharType="begin"/>
      </w:r>
      <w:r>
        <w:instrText xml:space="preserve"> REF _Ref466902301 \h </w:instrText>
      </w:r>
      <w:r>
        <w:fldChar w:fldCharType="separate"/>
      </w:r>
      <w:r w:rsidR="0032238B">
        <w:t xml:space="preserve">Figure </w:t>
      </w:r>
      <w:r w:rsidR="0032238B">
        <w:rPr>
          <w:noProof/>
        </w:rPr>
        <w:t>4</w:t>
      </w:r>
      <w:r w:rsidR="0032238B">
        <w:t>.</w:t>
      </w:r>
      <w:r w:rsidR="0032238B">
        <w:rPr>
          <w:noProof/>
        </w:rPr>
        <w:t>1</w:t>
      </w:r>
      <w:r>
        <w:fldChar w:fldCharType="end"/>
      </w:r>
      <w:r>
        <w:t xml:space="preserve"> compares AusNet Services' IT capital </w:t>
      </w:r>
      <w:r w:rsidR="00D438DC">
        <w:t xml:space="preserve">actual and forecast </w:t>
      </w:r>
      <w:r>
        <w:t xml:space="preserve">expenditure profile </w:t>
      </w:r>
      <w:r w:rsidR="00D438DC">
        <w:t>from 2009 to 2020</w:t>
      </w:r>
      <w:r w:rsidR="004C762C">
        <w:t>. It shows that from 2009 to 2015 AusNet Services</w:t>
      </w:r>
      <w:r w:rsidR="00D438DC">
        <w:t xml:space="preserve"> actual</w:t>
      </w:r>
      <w:r w:rsidR="004C762C">
        <w:t xml:space="preserve"> IT capital expenditure exceeded all of the other Victorian distributors, except in 2009 when United Energy incurred most of its </w:t>
      </w:r>
      <w:r w:rsidR="00401DC3">
        <w:t xml:space="preserve">IT </w:t>
      </w:r>
      <w:r w:rsidR="004C762C">
        <w:t>costs in a single year.</w:t>
      </w:r>
      <w:r w:rsidR="0030152D">
        <w:t xml:space="preserve"> As with all the Victorian distributors, AusNet Services' capital expenditure on its IT systems is</w:t>
      </w:r>
      <w:r w:rsidR="00401DC3">
        <w:t xml:space="preserve"> forecast to decline in the 2016</w:t>
      </w:r>
      <w:r w:rsidR="0030152D">
        <w:t xml:space="preserve">–2020 </w:t>
      </w:r>
      <w:proofErr w:type="gramStart"/>
      <w:r w:rsidR="0030152D">
        <w:t>period</w:t>
      </w:r>
      <w:proofErr w:type="gramEnd"/>
      <w:r w:rsidR="0030152D">
        <w:t>.</w:t>
      </w:r>
    </w:p>
    <w:p w:rsidR="009762F6" w:rsidRDefault="009762F6" w:rsidP="009762F6">
      <w:pPr>
        <w:pStyle w:val="Caption"/>
      </w:pPr>
      <w:bookmarkStart w:id="43" w:name="_Ref466902301"/>
      <w:proofErr w:type="gramStart"/>
      <w:r>
        <w:t xml:space="preserve">Figure </w:t>
      </w:r>
      <w:fldSimple w:instr=" STYLEREF 1 \s ">
        <w:r w:rsidR="0032238B">
          <w:rPr>
            <w:noProof/>
          </w:rPr>
          <w:t>4</w:t>
        </w:r>
      </w:fldSimple>
      <w:r w:rsidR="00B3619F">
        <w:t>.</w:t>
      </w:r>
      <w:proofErr w:type="gramEnd"/>
      <w:r w:rsidR="005812E9">
        <w:fldChar w:fldCharType="begin"/>
      </w:r>
      <w:r w:rsidR="005812E9">
        <w:instrText xml:space="preserve"> SEQ Figure \* ARABIC \s 1 </w:instrText>
      </w:r>
      <w:r w:rsidR="005812E9">
        <w:fldChar w:fldCharType="separate"/>
      </w:r>
      <w:r w:rsidR="0032238B">
        <w:rPr>
          <w:noProof/>
        </w:rPr>
        <w:t>1</w:t>
      </w:r>
      <w:r w:rsidR="005812E9">
        <w:rPr>
          <w:noProof/>
        </w:rPr>
        <w:fldChar w:fldCharType="end"/>
      </w:r>
      <w:bookmarkEnd w:id="43"/>
      <w:r>
        <w:tab/>
        <w:t>Victorian electricity distributors IT capex ($m 2018)</w:t>
      </w:r>
    </w:p>
    <w:p w:rsidR="009762F6" w:rsidRPr="00732D7C" w:rsidRDefault="009762F6" w:rsidP="00732D7C">
      <w:r w:rsidRPr="009762F6">
        <w:rPr>
          <w:noProof/>
          <w:lang w:val="en-US"/>
        </w:rPr>
        <w:drawing>
          <wp:inline distT="0" distB="0" distL="0" distR="0" wp14:anchorId="79DE0C00" wp14:editId="567F53A9">
            <wp:extent cx="4585608" cy="2743200"/>
            <wp:effectExtent l="0" t="0" r="571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762C" w:rsidRDefault="004C762C" w:rsidP="004C762C">
      <w:pPr>
        <w:pStyle w:val="AERtablesource"/>
      </w:pPr>
      <w:r>
        <w:t>Source:</w:t>
      </w:r>
      <w:r>
        <w:tab/>
        <w:t>AER analysis.</w:t>
      </w:r>
    </w:p>
    <w:p w:rsidR="00A816CB" w:rsidRDefault="004C762C" w:rsidP="004C762C">
      <w:r>
        <w:t xml:space="preserve">In our draft decision, we assessed AusNet Services’ proposed </w:t>
      </w:r>
      <w:r w:rsidRPr="004C762C">
        <w:t xml:space="preserve">2014 and 2015 excess IT capex by benchmarking it against a comparator we considered efficient. When choosing the comparator for conducting our benchmarking analysis, our draft decision selected Powercor’s and CitiPower’s </w:t>
      </w:r>
      <w:r w:rsidRPr="00A816CB">
        <w:rPr>
          <w:rStyle w:val="Strong"/>
        </w:rPr>
        <w:t>combined</w:t>
      </w:r>
      <w:r w:rsidRPr="004C762C">
        <w:t xml:space="preserve"> IT capex.</w:t>
      </w:r>
      <w:r w:rsidR="00211152">
        <w:rPr>
          <w:rStyle w:val="FootnoteReference"/>
        </w:rPr>
        <w:footnoteReference w:id="57"/>
      </w:r>
      <w:r w:rsidRPr="004C762C">
        <w:t xml:space="preserve"> </w:t>
      </w:r>
      <w:r w:rsidR="0013648F">
        <w:t>This was consistent with advice provided by Energeia</w:t>
      </w:r>
      <w:r w:rsidR="00211152">
        <w:t>.</w:t>
      </w:r>
      <w:r w:rsidR="00211152">
        <w:rPr>
          <w:rStyle w:val="FootnoteReference"/>
        </w:rPr>
        <w:footnoteReference w:id="58"/>
      </w:r>
      <w:r w:rsidR="0013648F">
        <w:t xml:space="preserve"> </w:t>
      </w:r>
    </w:p>
    <w:p w:rsidR="004C762C" w:rsidRPr="004C762C" w:rsidRDefault="0013648F" w:rsidP="004C762C">
      <w:r>
        <w:t xml:space="preserve">At the draft decision stage, our </w:t>
      </w:r>
      <w:r w:rsidR="004B001B">
        <w:t xml:space="preserve">starting point for our selection of </w:t>
      </w:r>
      <w:r w:rsidR="004C762C">
        <w:t xml:space="preserve">the combined IT capex of Powercor and CitiPower as the benchmark </w:t>
      </w:r>
      <w:r w:rsidR="004B001B">
        <w:t>was</w:t>
      </w:r>
      <w:r w:rsidR="004C762C" w:rsidRPr="004C762C">
        <w:t xml:space="preserve"> that Powercor’s IT capex on its own would be a reasonable comparator for AusNet Services.</w:t>
      </w:r>
      <w:r>
        <w:rPr>
          <w:rStyle w:val="FootnoteReference"/>
        </w:rPr>
        <w:footnoteReference w:id="59"/>
      </w:r>
      <w:r w:rsidR="004C762C" w:rsidRPr="004C762C">
        <w:t xml:space="preserve"> This is because Powercor has similar network size and characteristics to AusNet Services and about the same number of customers.</w:t>
      </w:r>
      <w:r>
        <w:rPr>
          <w:rStyle w:val="FootnoteReference"/>
        </w:rPr>
        <w:footnoteReference w:id="60"/>
      </w:r>
      <w:r w:rsidR="004C762C" w:rsidRPr="004C762C">
        <w:t xml:space="preserve"> We nonetheless did not use Powercor’s IT capex by itself because Powercor shares its IT system, and thus the associated costs, with CitiPower.</w:t>
      </w:r>
      <w:r>
        <w:rPr>
          <w:rStyle w:val="FootnoteReference"/>
        </w:rPr>
        <w:footnoteReference w:id="61"/>
      </w:r>
      <w:r w:rsidR="004C762C" w:rsidRPr="004C762C">
        <w:t xml:space="preserve"> This led to our draft decision selecting the combined IT capex of Powercor and CitiPower as a conservative comparator for </w:t>
      </w:r>
      <w:proofErr w:type="gramStart"/>
      <w:r w:rsidR="004C762C" w:rsidRPr="004C762C">
        <w:t>benchmarking,</w:t>
      </w:r>
      <w:proofErr w:type="gramEnd"/>
      <w:r w:rsidR="004C762C" w:rsidRPr="004C762C">
        <w:t xml:space="preserve"> on the basis that this combined total would adjust for Powercor’s ability to share fixed IT cost</w:t>
      </w:r>
      <w:r w:rsidR="00C64976">
        <w:t>s</w:t>
      </w:r>
      <w:r w:rsidR="004C762C" w:rsidRPr="004C762C">
        <w:t xml:space="preserve"> with CitiPower.</w:t>
      </w:r>
    </w:p>
    <w:p w:rsidR="004C762C" w:rsidRPr="004C762C" w:rsidRDefault="004C762C" w:rsidP="004C762C">
      <w:r>
        <w:t xml:space="preserve">In response, AusNet Services’ </w:t>
      </w:r>
      <w:r w:rsidR="00D438DC">
        <w:t>revised application</w:t>
      </w:r>
      <w:r>
        <w:t xml:space="preserve"> </w:t>
      </w:r>
      <w:r w:rsidR="00D438DC">
        <w:t>submits</w:t>
      </w:r>
      <w:r>
        <w:t xml:space="preserve"> that </w:t>
      </w:r>
      <w:r w:rsidR="00D438DC">
        <w:t>its IT excess expenditure proposal should not be assessed using benchmarking techniques.</w:t>
      </w:r>
      <w:r>
        <w:t xml:space="preserve"> </w:t>
      </w:r>
      <w:r w:rsidR="00D438DC">
        <w:t>In AusNet Services' view 'IT capex is too difficult and subjective to benchmark due to various factors'.</w:t>
      </w:r>
      <w:r w:rsidR="00D438DC">
        <w:rPr>
          <w:rStyle w:val="FootnoteReference"/>
        </w:rPr>
        <w:footnoteReference w:id="62"/>
      </w:r>
      <w:r>
        <w:t xml:space="preserve"> </w:t>
      </w:r>
      <w:r w:rsidR="00D438DC">
        <w:t>These factors include:</w:t>
      </w:r>
    </w:p>
    <w:p w:rsidR="004C762C" w:rsidRPr="004C762C" w:rsidRDefault="004C762C" w:rsidP="00A816CB">
      <w:pPr>
        <w:pStyle w:val="AERbulletlistfirststyle"/>
      </w:pPr>
      <w:r>
        <w:t>differences in hardware and software</w:t>
      </w:r>
    </w:p>
    <w:p w:rsidR="004C762C" w:rsidRPr="004C762C" w:rsidRDefault="004C762C" w:rsidP="00A816CB">
      <w:pPr>
        <w:pStyle w:val="AERbulletlistfirststyle"/>
      </w:pPr>
      <w:r>
        <w:t>differences in technology and software obsolescence</w:t>
      </w:r>
    </w:p>
    <w:p w:rsidR="004C762C" w:rsidRPr="004C762C" w:rsidRDefault="004C762C" w:rsidP="00A816CB">
      <w:pPr>
        <w:pStyle w:val="AERbulletlistfirststyle"/>
      </w:pPr>
      <w:r>
        <w:t>differences in business needs</w:t>
      </w:r>
    </w:p>
    <w:p w:rsidR="004C762C" w:rsidRPr="004C762C" w:rsidRDefault="004C762C" w:rsidP="00A816CB">
      <w:pPr>
        <w:pStyle w:val="AERbulletlistfirststyle"/>
      </w:pPr>
      <w:r>
        <w:t>differences in asset age and IT capex lifecycle</w:t>
      </w:r>
    </w:p>
    <w:p w:rsidR="004C762C" w:rsidRPr="004C762C" w:rsidRDefault="004C762C" w:rsidP="00A816CB">
      <w:pPr>
        <w:pStyle w:val="AERbulletlistfirststyle"/>
      </w:pPr>
      <w:proofErr w:type="gramStart"/>
      <w:r>
        <w:t>differences</w:t>
      </w:r>
      <w:proofErr w:type="gramEnd"/>
      <w:r>
        <w:t xml:space="preserve"> in system capacity and functionality.</w:t>
      </w:r>
      <w:r w:rsidR="00012051">
        <w:rPr>
          <w:rStyle w:val="FootnoteReference"/>
        </w:rPr>
        <w:footnoteReference w:id="63"/>
      </w:r>
    </w:p>
    <w:p w:rsidR="00F26753" w:rsidRDefault="00D438DC" w:rsidP="004C762C">
      <w:r>
        <w:t xml:space="preserve">AusNet Services' revised application did not elaborate on why these factors make it 'too difficult' to benchmark IT capital expenditure. In terms of </w:t>
      </w:r>
      <w:r w:rsidR="00470BBB">
        <w:t>each</w:t>
      </w:r>
      <w:r w:rsidR="008612C7">
        <w:t xml:space="preserve"> factor</w:t>
      </w:r>
      <w:r>
        <w:t>, we accept that there is likely to be hardware and software differences</w:t>
      </w:r>
      <w:r w:rsidR="008C2C47">
        <w:t xml:space="preserve"> between AusNet Services' IT systems and the other Victorian distributors. </w:t>
      </w:r>
      <w:r w:rsidR="001479E7">
        <w:t>Similarly</w:t>
      </w:r>
      <w:r w:rsidR="008C2C47">
        <w:t>, we accept that there is likely to be differences</w:t>
      </w:r>
      <w:r>
        <w:t xml:space="preserve"> </w:t>
      </w:r>
      <w:r w:rsidR="008C2C47">
        <w:t xml:space="preserve">in technology and software obsolescence as well as variations in business needs, </w:t>
      </w:r>
      <w:r w:rsidR="00470BBB">
        <w:t xml:space="preserve">IT lifecycles, </w:t>
      </w:r>
      <w:r w:rsidR="008C2C47">
        <w:t xml:space="preserve">system capacity and functionality. </w:t>
      </w:r>
      <w:r w:rsidR="00497FC0">
        <w:t xml:space="preserve">We do not, however, consider that these factors </w:t>
      </w:r>
      <w:r w:rsidR="00470BBB">
        <w:t xml:space="preserve">undermine the use of </w:t>
      </w:r>
      <w:r w:rsidR="001479E7">
        <w:t>benchmarking</w:t>
      </w:r>
      <w:r w:rsidR="00470BBB">
        <w:t xml:space="preserve">. Ultimately, our task is to assess the efficiency of the costs relating to AusNet Services' excess expenditure on </w:t>
      </w:r>
      <w:r w:rsidR="00B020FC">
        <w:t>its IT systems</w:t>
      </w:r>
      <w:r w:rsidR="00470BBB">
        <w:t>. We consider benchmarking to provide a reasonable basis for making that assessment.</w:t>
      </w:r>
      <w:r w:rsidR="00497FC0">
        <w:t xml:space="preserve"> </w:t>
      </w:r>
      <w:r w:rsidR="00031771">
        <w:t>Additionally,</w:t>
      </w:r>
      <w:r w:rsidR="00031771" w:rsidRPr="00031771">
        <w:t xml:space="preserve"> AusNet Services</w:t>
      </w:r>
      <w:r w:rsidR="00031771">
        <w:t>' revised application</w:t>
      </w:r>
      <w:r w:rsidR="00031771" w:rsidRPr="00031771">
        <w:t xml:space="preserve"> referred to comments from Energeia in relation to this decision, and from the AER in relation to a past decision, that AusNet Services had the option of developing a joint IT program with Jemena.</w:t>
      </w:r>
      <w:r w:rsidR="00031771">
        <w:rPr>
          <w:rStyle w:val="FootnoteReference"/>
        </w:rPr>
        <w:footnoteReference w:id="64"/>
      </w:r>
      <w:r w:rsidR="00031771" w:rsidRPr="00031771">
        <w:t xml:space="preserve">  To clarify, these comments do not form part of our reasoning for this decision. </w:t>
      </w:r>
    </w:p>
    <w:p w:rsidR="00F26753" w:rsidRDefault="00470BBB" w:rsidP="003D047E">
      <w:r w:rsidRPr="00F26753">
        <w:t>With respect to AusNet Services' benchmark efficient comparator, our</w:t>
      </w:r>
      <w:r w:rsidR="004C762C" w:rsidRPr="00F26753">
        <w:t xml:space="preserve"> final decision</w:t>
      </w:r>
      <w:r w:rsidRPr="00F26753">
        <w:t xml:space="preserve"> is</w:t>
      </w:r>
      <w:r w:rsidR="004C762C" w:rsidRPr="00F26753">
        <w:t xml:space="preserve"> </w:t>
      </w:r>
      <w:r w:rsidRPr="00F26753">
        <w:t xml:space="preserve">to </w:t>
      </w:r>
      <w:r w:rsidR="004C762C" w:rsidRPr="00F26753">
        <w:t xml:space="preserve">continue </w:t>
      </w:r>
      <w:r w:rsidRPr="00F26753">
        <w:t>using</w:t>
      </w:r>
      <w:r w:rsidR="004C762C" w:rsidRPr="00F26753">
        <w:t xml:space="preserve"> Powercor’s and CitiPower’s combined IT </w:t>
      </w:r>
      <w:r w:rsidRPr="00F26753">
        <w:t>capital expenditure</w:t>
      </w:r>
      <w:r w:rsidR="004C762C" w:rsidRPr="00F26753">
        <w:t xml:space="preserve">. </w:t>
      </w:r>
      <w:r w:rsidR="00F26753" w:rsidRPr="00F26753">
        <w:t>Our view is that a claim of system differences does not support AusNet Services' position</w:t>
      </w:r>
      <w:r w:rsidR="00F26753" w:rsidRPr="00F56A0C">
        <w:t xml:space="preserve"> that IT c</w:t>
      </w:r>
      <w:r w:rsidR="00F26753" w:rsidRPr="005C184B">
        <w:t>apital expenditure cannot be benchmarked or benchmarked against Powercor's and Citi</w:t>
      </w:r>
      <w:r w:rsidR="003D047E">
        <w:t>P</w:t>
      </w:r>
      <w:r w:rsidR="00F26753" w:rsidRPr="005C184B">
        <w:t>ower's combin</w:t>
      </w:r>
      <w:r w:rsidR="00F26753" w:rsidRPr="00031771">
        <w:t>ed total. We consider that our approach to benchmarking AusNet Services against Powercor and Citi</w:t>
      </w:r>
      <w:r w:rsidR="003D047E">
        <w:t>P</w:t>
      </w:r>
      <w:r w:rsidR="00F26753" w:rsidRPr="00031771">
        <w:t>ower is consistent with the Order. The Order requires us to take into account the expenditure of a benchmark efficient entity over part of, or all of, 2009</w:t>
      </w:r>
      <w:r w:rsidR="00F26753">
        <w:t>–2015</w:t>
      </w:r>
      <w:r w:rsidR="00F26753" w:rsidRPr="00F26753">
        <w:t>.</w:t>
      </w:r>
      <w:r w:rsidR="00F26753">
        <w:rPr>
          <w:rStyle w:val="FootnoteReference"/>
        </w:rPr>
        <w:footnoteReference w:id="65"/>
      </w:r>
      <w:r w:rsidR="00F26753" w:rsidRPr="00F26753">
        <w:t xml:space="preserve"> The Order also provides that the starting point for benchmarking is not necessarily what a distributor has in fact done but may begin with what a hypothetical benchmark e</w:t>
      </w:r>
      <w:r w:rsidR="00F26753">
        <w:t>fficient entity would have done</w:t>
      </w:r>
      <w:r w:rsidR="00F26753" w:rsidRPr="00F26753">
        <w:t>.</w:t>
      </w:r>
      <w:r w:rsidR="00F26753">
        <w:rPr>
          <w:rStyle w:val="FootnoteReference"/>
        </w:rPr>
        <w:footnoteReference w:id="66"/>
      </w:r>
      <w:r w:rsidR="00F26753" w:rsidRPr="00F26753">
        <w:t xml:space="preserve">  </w:t>
      </w:r>
    </w:p>
    <w:p w:rsidR="0013648F" w:rsidRDefault="00A816CB" w:rsidP="004C762C">
      <w:r>
        <w:t>I</w:t>
      </w:r>
      <w:r w:rsidR="004C762C" w:rsidRPr="004C762C">
        <w:t xml:space="preserve">n applying this approach, </w:t>
      </w:r>
      <w:r>
        <w:t xml:space="preserve">we </w:t>
      </w:r>
      <w:r w:rsidR="00F26753">
        <w:t xml:space="preserve">considered the time horizon over which we should conduct our benchmarking analysis and whether it </w:t>
      </w:r>
      <w:proofErr w:type="gramStart"/>
      <w:r w:rsidR="00F26753">
        <w:t>should be expanded</w:t>
      </w:r>
      <w:proofErr w:type="gramEnd"/>
      <w:r w:rsidR="00F26753">
        <w:t xml:space="preserve"> in response to AusNet Services' revised application</w:t>
      </w:r>
      <w:r w:rsidR="004C762C" w:rsidRPr="004C762C">
        <w:t xml:space="preserve">. At the draft decision stage, we assessed the efficiency of AusNet Services’ IT </w:t>
      </w:r>
      <w:r w:rsidR="00470BBB">
        <w:t>capital expenditure</w:t>
      </w:r>
      <w:r w:rsidR="004C762C" w:rsidRPr="004C762C">
        <w:t xml:space="preserve"> in 2014 and 2015 by benchmarking the expenditure against </w:t>
      </w:r>
      <w:r w:rsidR="00470BBB">
        <w:t xml:space="preserve">the </w:t>
      </w:r>
      <w:r w:rsidR="00B020FC">
        <w:t>costs</w:t>
      </w:r>
      <w:r w:rsidR="00470BBB">
        <w:t xml:space="preserve"> </w:t>
      </w:r>
      <w:r w:rsidR="004C762C" w:rsidRPr="004C762C">
        <w:t>Powercor and CitiPower incurred in 2014 and 2015 plus the 2016–20</w:t>
      </w:r>
      <w:r w:rsidR="0077654A">
        <w:t>20</w:t>
      </w:r>
      <w:r w:rsidR="004C762C" w:rsidRPr="004C762C">
        <w:t xml:space="preserve"> regulatory control period. </w:t>
      </w:r>
      <w:r w:rsidR="008612C7">
        <w:t>We included the 2016–20</w:t>
      </w:r>
      <w:r w:rsidR="0077654A">
        <w:t>20</w:t>
      </w:r>
      <w:r w:rsidR="008612C7">
        <w:t xml:space="preserve"> period to take differences in IT capital expenditure lifecycles into account.</w:t>
      </w:r>
      <w:r w:rsidR="00C64976">
        <w:rPr>
          <w:rStyle w:val="FootnoteReference"/>
        </w:rPr>
        <w:footnoteReference w:id="67"/>
      </w:r>
      <w:r w:rsidR="008612C7">
        <w:t xml:space="preserve"> </w:t>
      </w:r>
      <w:r w:rsidR="0013648F">
        <w:t>This is consistent with the analysis performed by Energeia</w:t>
      </w:r>
      <w:r w:rsidR="00F26753">
        <w:t>, which stated that by including the 2016–20</w:t>
      </w:r>
      <w:r w:rsidR="003D047E">
        <w:t>20</w:t>
      </w:r>
      <w:r w:rsidR="00F26753">
        <w:t xml:space="preserve"> period it 'considered whether [AusNet Services'] IT capex was simply bringing forward investments that other DNSPs, facing similar circumstances had included in the 2016–20</w:t>
      </w:r>
      <w:r w:rsidR="003D047E">
        <w:t>20</w:t>
      </w:r>
      <w:r w:rsidR="00F26753">
        <w:t xml:space="preserve"> submissions instead'.</w:t>
      </w:r>
      <w:r w:rsidR="00F26753">
        <w:rPr>
          <w:rStyle w:val="FootnoteReference"/>
        </w:rPr>
        <w:footnoteReference w:id="68"/>
      </w:r>
    </w:p>
    <w:p w:rsidR="004C762C" w:rsidRPr="004C762C" w:rsidRDefault="004C762C" w:rsidP="004C762C">
      <w:r w:rsidRPr="004C762C">
        <w:t xml:space="preserve">For the final decision, </w:t>
      </w:r>
      <w:r w:rsidR="00A816CB">
        <w:t>we have</w:t>
      </w:r>
      <w:r w:rsidRPr="004C762C">
        <w:t xml:space="preserve"> </w:t>
      </w:r>
      <w:r w:rsidR="00F56A0C">
        <w:t xml:space="preserve">decided to </w:t>
      </w:r>
      <w:r w:rsidRPr="004C762C">
        <w:t>expand the time horizon</w:t>
      </w:r>
      <w:r w:rsidR="00F56A0C">
        <w:t xml:space="preserve"> for benchmarking</w:t>
      </w:r>
      <w:r w:rsidRPr="004C762C">
        <w:t xml:space="preserve"> to incorporate the entire AMI roll–out period (2009–15)</w:t>
      </w:r>
      <w:r w:rsidR="00F56A0C">
        <w:t>, while still including the 2016–20</w:t>
      </w:r>
      <w:r w:rsidR="003D047E">
        <w:t>20</w:t>
      </w:r>
      <w:r w:rsidR="00F56A0C">
        <w:t xml:space="preserve"> regulatory control period</w:t>
      </w:r>
      <w:r w:rsidRPr="004C762C">
        <w:t>. This capture</w:t>
      </w:r>
      <w:r w:rsidR="00A816CB">
        <w:t>s</w:t>
      </w:r>
      <w:r w:rsidRPr="004C762C">
        <w:t xml:space="preserve"> all years of AMI related IT </w:t>
      </w:r>
      <w:r w:rsidR="00B020FC">
        <w:t>capital expenditure</w:t>
      </w:r>
      <w:r w:rsidRPr="004C762C">
        <w:t xml:space="preserve"> and mean</w:t>
      </w:r>
      <w:r w:rsidR="00A816CB">
        <w:t>s</w:t>
      </w:r>
      <w:r w:rsidRPr="004C762C">
        <w:t xml:space="preserve"> that any costs AusNet Services incurred above our selected benchmark would be due to inefficiencies, rather than a difference in the timing of when the costs </w:t>
      </w:r>
      <w:proofErr w:type="gramStart"/>
      <w:r w:rsidRPr="004C762C">
        <w:t>were incurred</w:t>
      </w:r>
      <w:proofErr w:type="gramEnd"/>
      <w:r w:rsidRPr="004C762C">
        <w:t xml:space="preserve">. </w:t>
      </w:r>
      <w:r w:rsidR="00A816CB">
        <w:fldChar w:fldCharType="begin"/>
      </w:r>
      <w:r w:rsidR="00A816CB">
        <w:instrText xml:space="preserve"> REF _Ref466903579 \h </w:instrText>
      </w:r>
      <w:r w:rsidR="00A816CB">
        <w:fldChar w:fldCharType="separate"/>
      </w:r>
      <w:r w:rsidR="0032238B">
        <w:t xml:space="preserve">Table </w:t>
      </w:r>
      <w:r w:rsidR="0032238B">
        <w:rPr>
          <w:noProof/>
        </w:rPr>
        <w:t>4</w:t>
      </w:r>
      <w:r w:rsidR="0032238B">
        <w:t>.</w:t>
      </w:r>
      <w:r w:rsidR="0032238B">
        <w:rPr>
          <w:noProof/>
        </w:rPr>
        <w:t>10</w:t>
      </w:r>
      <w:r w:rsidR="00A816CB">
        <w:fldChar w:fldCharType="end"/>
      </w:r>
      <w:r w:rsidR="00A816CB">
        <w:t xml:space="preserve"> </w:t>
      </w:r>
      <w:r w:rsidRPr="004C762C">
        <w:t xml:space="preserve">sets out the results of our benchmarking analysis. It shows that AusNet Services’ IT </w:t>
      </w:r>
      <w:r w:rsidR="00B020FC">
        <w:t>capital expenditure</w:t>
      </w:r>
      <w:r w:rsidRPr="004C762C">
        <w:t xml:space="preserve"> in the benchmarking period, from 2009 to 2020, is greater than </w:t>
      </w:r>
      <w:r w:rsidR="00B020FC">
        <w:t>Powercor's and CitiPower's combined total</w:t>
      </w:r>
      <w:r w:rsidRPr="004C762C">
        <w:t xml:space="preserve">. </w:t>
      </w:r>
    </w:p>
    <w:p w:rsidR="004C762C" w:rsidRPr="004C762C" w:rsidRDefault="00A816CB" w:rsidP="00A816CB">
      <w:pPr>
        <w:pStyle w:val="Caption"/>
      </w:pPr>
      <w:bookmarkStart w:id="44" w:name="_Ref466903579"/>
      <w:proofErr w:type="gramStart"/>
      <w:r>
        <w:t xml:space="preserve">Table </w:t>
      </w:r>
      <w:fldSimple w:instr=" STYLEREF 1 \s ">
        <w:r w:rsidR="0032238B">
          <w:rPr>
            <w:noProof/>
          </w:rPr>
          <w:t>4</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10</w:t>
      </w:r>
      <w:r w:rsidR="005812E9">
        <w:rPr>
          <w:noProof/>
        </w:rPr>
        <w:fldChar w:fldCharType="end"/>
      </w:r>
      <w:bookmarkEnd w:id="44"/>
      <w:r w:rsidR="004C762C" w:rsidRPr="004C762C">
        <w:tab/>
        <w:t>Benchmarking of AusNet Services’ IT capex</w:t>
      </w:r>
    </w:p>
    <w:tbl>
      <w:tblPr>
        <w:tblStyle w:val="AERtable-numbers"/>
        <w:tblW w:w="0" w:type="auto"/>
        <w:tblLook w:val="04A0" w:firstRow="1" w:lastRow="0" w:firstColumn="1" w:lastColumn="0" w:noHBand="0" w:noVBand="1"/>
      </w:tblPr>
      <w:tblGrid>
        <w:gridCol w:w="1941"/>
        <w:gridCol w:w="1650"/>
        <w:gridCol w:w="1650"/>
        <w:gridCol w:w="1650"/>
        <w:gridCol w:w="1650"/>
      </w:tblGrid>
      <w:tr w:rsidR="00A816CB" w:rsidRPr="00A12CE3" w:rsidTr="00A816CB">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941" w:type="dxa"/>
          </w:tcPr>
          <w:p w:rsidR="004C762C" w:rsidRPr="004C762C" w:rsidRDefault="004C762C" w:rsidP="004C762C"/>
        </w:tc>
        <w:tc>
          <w:tcPr>
            <w:tcW w:w="1650" w:type="dxa"/>
          </w:tcPr>
          <w:p w:rsidR="004C762C" w:rsidRPr="004C762C" w:rsidRDefault="004C762C" w:rsidP="004C762C">
            <w:pPr>
              <w:cnfStyle w:val="100000000000" w:firstRow="1" w:lastRow="0" w:firstColumn="0" w:lastColumn="0" w:oddVBand="0" w:evenVBand="0" w:oddHBand="0" w:evenHBand="0" w:firstRowFirstColumn="0" w:firstRowLastColumn="0" w:lastRowFirstColumn="0" w:lastRowLastColumn="0"/>
            </w:pPr>
            <w:r w:rsidRPr="004C762C">
              <w:t>2009–13</w:t>
            </w:r>
          </w:p>
        </w:tc>
        <w:tc>
          <w:tcPr>
            <w:tcW w:w="1650" w:type="dxa"/>
          </w:tcPr>
          <w:p w:rsidR="004C762C" w:rsidRPr="004C762C" w:rsidRDefault="004C762C" w:rsidP="004C762C">
            <w:pPr>
              <w:cnfStyle w:val="100000000000" w:firstRow="1" w:lastRow="0" w:firstColumn="0" w:lastColumn="0" w:oddVBand="0" w:evenVBand="0" w:oddHBand="0" w:evenHBand="0" w:firstRowFirstColumn="0" w:firstRowLastColumn="0" w:lastRowFirstColumn="0" w:lastRowLastColumn="0"/>
            </w:pPr>
            <w:r w:rsidRPr="004C762C">
              <w:t>2014 and 2015</w:t>
            </w:r>
          </w:p>
        </w:tc>
        <w:tc>
          <w:tcPr>
            <w:tcW w:w="1650" w:type="dxa"/>
          </w:tcPr>
          <w:p w:rsidR="004C762C" w:rsidRPr="004C762C" w:rsidRDefault="004C762C" w:rsidP="004C762C">
            <w:pPr>
              <w:cnfStyle w:val="100000000000" w:firstRow="1" w:lastRow="0" w:firstColumn="0" w:lastColumn="0" w:oddVBand="0" w:evenVBand="0" w:oddHBand="0" w:evenHBand="0" w:firstRowFirstColumn="0" w:firstRowLastColumn="0" w:lastRowFirstColumn="0" w:lastRowLastColumn="0"/>
            </w:pPr>
            <w:r w:rsidRPr="004C762C">
              <w:t>2016–20</w:t>
            </w:r>
          </w:p>
        </w:tc>
        <w:tc>
          <w:tcPr>
            <w:tcW w:w="1650" w:type="dxa"/>
          </w:tcPr>
          <w:p w:rsidR="004C762C" w:rsidRPr="004C762C" w:rsidRDefault="004C762C" w:rsidP="004C762C">
            <w:pPr>
              <w:cnfStyle w:val="100000000000" w:firstRow="1" w:lastRow="0" w:firstColumn="0" w:lastColumn="0" w:oddVBand="0" w:evenVBand="0" w:oddHBand="0" w:evenHBand="0" w:firstRowFirstColumn="0" w:firstRowLastColumn="0" w:lastRowFirstColumn="0" w:lastRowLastColumn="0"/>
            </w:pPr>
            <w:r w:rsidRPr="004C762C">
              <w:t>Total</w:t>
            </w:r>
          </w:p>
        </w:tc>
      </w:tr>
      <w:tr w:rsidR="004C762C" w:rsidRPr="00A12CE3" w:rsidTr="00A816CB">
        <w:trPr>
          <w:trHeight w:val="423"/>
        </w:trPr>
        <w:tc>
          <w:tcPr>
            <w:cnfStyle w:val="001000000000" w:firstRow="0" w:lastRow="0" w:firstColumn="1" w:lastColumn="0" w:oddVBand="0" w:evenVBand="0" w:oddHBand="0" w:evenHBand="0" w:firstRowFirstColumn="0" w:firstRowLastColumn="0" w:lastRowFirstColumn="0" w:lastRowLastColumn="0"/>
            <w:tcW w:w="1941" w:type="dxa"/>
          </w:tcPr>
          <w:p w:rsidR="004C762C" w:rsidRPr="004C762C" w:rsidRDefault="004C762C" w:rsidP="004C762C">
            <w:r w:rsidRPr="004C762C">
              <w:t>AusNet Services</w:t>
            </w:r>
          </w:p>
        </w:tc>
        <w:tc>
          <w:tcPr>
            <w:tcW w:w="1650" w:type="dxa"/>
          </w:tcPr>
          <w:p w:rsidR="004C762C" w:rsidRPr="004C762C" w:rsidRDefault="004C762C" w:rsidP="004C762C">
            <w:pPr>
              <w:cnfStyle w:val="000000000000" w:firstRow="0" w:lastRow="0" w:firstColumn="0" w:lastColumn="0" w:oddVBand="0" w:evenVBand="0" w:oddHBand="0" w:evenHBand="0" w:firstRowFirstColumn="0" w:firstRowLastColumn="0" w:lastRowFirstColumn="0" w:lastRowLastColumn="0"/>
            </w:pPr>
            <w:r w:rsidRPr="004C762C">
              <w:t>142.5</w:t>
            </w:r>
          </w:p>
        </w:tc>
        <w:tc>
          <w:tcPr>
            <w:tcW w:w="1650" w:type="dxa"/>
          </w:tcPr>
          <w:p w:rsidR="004C762C" w:rsidRPr="004C762C" w:rsidRDefault="004C762C" w:rsidP="004C762C">
            <w:pPr>
              <w:cnfStyle w:val="000000000000" w:firstRow="0" w:lastRow="0" w:firstColumn="0" w:lastColumn="0" w:oddVBand="0" w:evenVBand="0" w:oddHBand="0" w:evenHBand="0" w:firstRowFirstColumn="0" w:firstRowLastColumn="0" w:lastRowFirstColumn="0" w:lastRowLastColumn="0"/>
            </w:pPr>
            <w:r w:rsidRPr="004C762C">
              <w:t>33.3</w:t>
            </w:r>
          </w:p>
        </w:tc>
        <w:tc>
          <w:tcPr>
            <w:tcW w:w="1650" w:type="dxa"/>
          </w:tcPr>
          <w:p w:rsidR="004C762C" w:rsidRPr="004C762C" w:rsidRDefault="004C762C" w:rsidP="004C762C">
            <w:pPr>
              <w:cnfStyle w:val="000000000000" w:firstRow="0" w:lastRow="0" w:firstColumn="0" w:lastColumn="0" w:oddVBand="0" w:evenVBand="0" w:oddHBand="0" w:evenHBand="0" w:firstRowFirstColumn="0" w:firstRowLastColumn="0" w:lastRowFirstColumn="0" w:lastRowLastColumn="0"/>
            </w:pPr>
            <w:r w:rsidRPr="004C762C">
              <w:t>0.9</w:t>
            </w:r>
          </w:p>
        </w:tc>
        <w:tc>
          <w:tcPr>
            <w:tcW w:w="1650" w:type="dxa"/>
          </w:tcPr>
          <w:p w:rsidR="004C762C" w:rsidRPr="004C762C" w:rsidRDefault="004C762C" w:rsidP="004C762C">
            <w:pPr>
              <w:cnfStyle w:val="000000000000" w:firstRow="0" w:lastRow="0" w:firstColumn="0" w:lastColumn="0" w:oddVBand="0" w:evenVBand="0" w:oddHBand="0" w:evenHBand="0" w:firstRowFirstColumn="0" w:firstRowLastColumn="0" w:lastRowFirstColumn="0" w:lastRowLastColumn="0"/>
            </w:pPr>
            <w:r w:rsidRPr="004C762C">
              <w:t>176.7</w:t>
            </w:r>
          </w:p>
        </w:tc>
      </w:tr>
      <w:tr w:rsidR="00A816CB" w:rsidRPr="00A12CE3" w:rsidTr="00A816CB">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941" w:type="dxa"/>
          </w:tcPr>
          <w:p w:rsidR="004C762C" w:rsidRPr="004C762C" w:rsidRDefault="004C762C" w:rsidP="004C762C">
            <w:r w:rsidRPr="004C762C">
              <w:t>Powercor and CitiPower</w:t>
            </w:r>
          </w:p>
        </w:tc>
        <w:tc>
          <w:tcPr>
            <w:tcW w:w="1650" w:type="dxa"/>
          </w:tcPr>
          <w:p w:rsidR="004C762C" w:rsidRPr="004C762C" w:rsidRDefault="004C762C" w:rsidP="004C762C">
            <w:pPr>
              <w:cnfStyle w:val="000000010000" w:firstRow="0" w:lastRow="0" w:firstColumn="0" w:lastColumn="0" w:oddVBand="0" w:evenVBand="0" w:oddHBand="0" w:evenHBand="1" w:firstRowFirstColumn="0" w:firstRowLastColumn="0" w:lastRowFirstColumn="0" w:lastRowLastColumn="0"/>
            </w:pPr>
            <w:r w:rsidRPr="004C762C">
              <w:t>134.0</w:t>
            </w:r>
          </w:p>
        </w:tc>
        <w:tc>
          <w:tcPr>
            <w:tcW w:w="1650" w:type="dxa"/>
          </w:tcPr>
          <w:p w:rsidR="004C762C" w:rsidRPr="004C762C" w:rsidRDefault="004C762C" w:rsidP="004C762C">
            <w:pPr>
              <w:cnfStyle w:val="000000010000" w:firstRow="0" w:lastRow="0" w:firstColumn="0" w:lastColumn="0" w:oddVBand="0" w:evenVBand="0" w:oddHBand="0" w:evenHBand="1" w:firstRowFirstColumn="0" w:firstRowLastColumn="0" w:lastRowFirstColumn="0" w:lastRowLastColumn="0"/>
            </w:pPr>
            <w:r w:rsidRPr="004C762C">
              <w:t>15.8</w:t>
            </w:r>
          </w:p>
        </w:tc>
        <w:tc>
          <w:tcPr>
            <w:tcW w:w="1650" w:type="dxa"/>
          </w:tcPr>
          <w:p w:rsidR="004C762C" w:rsidRPr="004C762C" w:rsidRDefault="004C762C" w:rsidP="004C762C">
            <w:pPr>
              <w:cnfStyle w:val="000000010000" w:firstRow="0" w:lastRow="0" w:firstColumn="0" w:lastColumn="0" w:oddVBand="0" w:evenVBand="0" w:oddHBand="0" w:evenHBand="1" w:firstRowFirstColumn="0" w:firstRowLastColumn="0" w:lastRowFirstColumn="0" w:lastRowLastColumn="0"/>
            </w:pPr>
            <w:r w:rsidRPr="004C762C">
              <w:t>6.6</w:t>
            </w:r>
          </w:p>
        </w:tc>
        <w:tc>
          <w:tcPr>
            <w:tcW w:w="1650" w:type="dxa"/>
          </w:tcPr>
          <w:p w:rsidR="004C762C" w:rsidRPr="004C762C" w:rsidRDefault="004C762C" w:rsidP="004C762C">
            <w:pPr>
              <w:cnfStyle w:val="000000010000" w:firstRow="0" w:lastRow="0" w:firstColumn="0" w:lastColumn="0" w:oddVBand="0" w:evenVBand="0" w:oddHBand="0" w:evenHBand="1" w:firstRowFirstColumn="0" w:firstRowLastColumn="0" w:lastRowFirstColumn="0" w:lastRowLastColumn="0"/>
            </w:pPr>
            <w:r w:rsidRPr="004C762C">
              <w:t>156.4</w:t>
            </w:r>
          </w:p>
        </w:tc>
      </w:tr>
    </w:tbl>
    <w:p w:rsidR="006F174F" w:rsidRDefault="006F174F" w:rsidP="006F174F">
      <w:pPr>
        <w:pStyle w:val="AERtablesource"/>
      </w:pPr>
      <w:r>
        <w:t>Source:</w:t>
      </w:r>
      <w:r>
        <w:tab/>
        <w:t>AER analysis.</w:t>
      </w:r>
    </w:p>
    <w:p w:rsidR="004C762C" w:rsidRPr="004C762C" w:rsidRDefault="00B020FC" w:rsidP="004C762C">
      <w:r>
        <w:t xml:space="preserve">In light of the analysis in </w:t>
      </w:r>
      <w:r>
        <w:fldChar w:fldCharType="begin"/>
      </w:r>
      <w:r>
        <w:instrText xml:space="preserve"> REF _Ref466882161 \h </w:instrText>
      </w:r>
      <w:r>
        <w:fldChar w:fldCharType="separate"/>
      </w:r>
      <w:r w:rsidR="0032238B">
        <w:t xml:space="preserve">Table </w:t>
      </w:r>
      <w:r w:rsidR="0032238B">
        <w:rPr>
          <w:noProof/>
        </w:rPr>
        <w:t>4</w:t>
      </w:r>
      <w:r w:rsidR="0032238B">
        <w:t>.</w:t>
      </w:r>
      <w:r w:rsidR="0032238B">
        <w:rPr>
          <w:noProof/>
        </w:rPr>
        <w:t>2</w:t>
      </w:r>
      <w:r>
        <w:fldChar w:fldCharType="end"/>
      </w:r>
      <w:r>
        <w:t>, we</w:t>
      </w:r>
      <w:r w:rsidR="004C762C">
        <w:t xml:space="preserve"> </w:t>
      </w:r>
      <w:r w:rsidR="004C762C" w:rsidRPr="004C762C">
        <w:t xml:space="preserve">consider that AusNet Services’ proposed excess IT </w:t>
      </w:r>
      <w:r>
        <w:t>capital expenditure</w:t>
      </w:r>
      <w:r w:rsidR="004C762C" w:rsidRPr="004C762C">
        <w:t xml:space="preserve"> in 2014 and 2015 </w:t>
      </w:r>
      <w:proofErr w:type="gramStart"/>
      <w:r w:rsidR="004C762C" w:rsidRPr="004C762C">
        <w:t>should be adjusted</w:t>
      </w:r>
      <w:proofErr w:type="gramEnd"/>
      <w:r w:rsidR="004C762C" w:rsidRPr="004C762C">
        <w:t xml:space="preserve">. This is to a level where AusNet Services recovers no more IT </w:t>
      </w:r>
      <w:r>
        <w:t>capital expenditure</w:t>
      </w:r>
      <w:r w:rsidR="004C762C" w:rsidRPr="004C762C">
        <w:t xml:space="preserve"> over the 2009–20</w:t>
      </w:r>
      <w:r w:rsidR="00B13436">
        <w:t>20</w:t>
      </w:r>
      <w:r w:rsidR="004C762C" w:rsidRPr="004C762C">
        <w:t xml:space="preserve"> benchmarking period than Powercor’s and CitiPower’s</w:t>
      </w:r>
      <w:r>
        <w:t xml:space="preserve"> combined</w:t>
      </w:r>
      <w:r w:rsidR="004C762C" w:rsidRPr="004C762C">
        <w:t xml:space="preserve"> IT </w:t>
      </w:r>
      <w:r>
        <w:t>capital expenditure</w:t>
      </w:r>
      <w:r w:rsidR="004C762C" w:rsidRPr="004C762C">
        <w:t xml:space="preserve">. When this approach </w:t>
      </w:r>
      <w:proofErr w:type="gramStart"/>
      <w:r w:rsidR="004C762C" w:rsidRPr="004C762C">
        <w:t>is taken</w:t>
      </w:r>
      <w:proofErr w:type="gramEnd"/>
      <w:r w:rsidR="004C762C" w:rsidRPr="004C762C">
        <w:t xml:space="preserve"> we calculate that AusNet Services’ IT capex in 2014 and 2015 should be $13.0 million ($2018).</w:t>
      </w:r>
      <w:r w:rsidR="006F174F">
        <w:t xml:space="preserve"> </w:t>
      </w:r>
      <w:r>
        <w:fldChar w:fldCharType="begin"/>
      </w:r>
      <w:r>
        <w:instrText xml:space="preserve"> REF _Ref467573494 \h </w:instrText>
      </w:r>
      <w:r>
        <w:fldChar w:fldCharType="separate"/>
      </w:r>
      <w:r w:rsidR="0032238B">
        <w:t xml:space="preserve">Figure </w:t>
      </w:r>
      <w:r w:rsidR="0032238B">
        <w:rPr>
          <w:noProof/>
        </w:rPr>
        <w:t>4</w:t>
      </w:r>
      <w:r w:rsidR="0032238B">
        <w:t>.</w:t>
      </w:r>
      <w:r w:rsidR="0032238B">
        <w:rPr>
          <w:noProof/>
        </w:rPr>
        <w:t>2</w:t>
      </w:r>
      <w:r>
        <w:fldChar w:fldCharType="end"/>
      </w:r>
      <w:r>
        <w:t xml:space="preserve"> </w:t>
      </w:r>
      <w:r w:rsidR="004C762C" w:rsidRPr="004C762C">
        <w:t xml:space="preserve">shows that when AusNet Services recovers this amount, </w:t>
      </w:r>
      <w:r>
        <w:t>its</w:t>
      </w:r>
      <w:r w:rsidR="004C762C" w:rsidRPr="004C762C">
        <w:t xml:space="preserve"> total IT </w:t>
      </w:r>
      <w:r>
        <w:t>capital expenditure</w:t>
      </w:r>
      <w:r w:rsidR="004C762C" w:rsidRPr="004C762C">
        <w:t xml:space="preserve"> over the 2009 to 2020 benchmarking period is equal to the combined IT </w:t>
      </w:r>
      <w:bookmarkStart w:id="45" w:name="_Ref465261237"/>
      <w:r>
        <w:t>capital expenditure</w:t>
      </w:r>
      <w:r w:rsidR="004C762C" w:rsidRPr="004C762C">
        <w:t xml:space="preserve"> of Powercor and CitiPower.</w:t>
      </w:r>
    </w:p>
    <w:p w:rsidR="004C762C" w:rsidRPr="00A323B8" w:rsidRDefault="006F174F" w:rsidP="006F174F">
      <w:pPr>
        <w:pStyle w:val="Caption"/>
      </w:pPr>
      <w:bookmarkStart w:id="46" w:name="_Ref467573494"/>
      <w:bookmarkEnd w:id="45"/>
      <w:proofErr w:type="gramStart"/>
      <w:r>
        <w:t xml:space="preserve">Figure </w:t>
      </w:r>
      <w:fldSimple w:instr=" STYLEREF 1 \s ">
        <w:r w:rsidR="0032238B">
          <w:rPr>
            <w:noProof/>
          </w:rPr>
          <w:t>4</w:t>
        </w:r>
      </w:fldSimple>
      <w:r w:rsidR="00B3619F">
        <w:t>.</w:t>
      </w:r>
      <w:proofErr w:type="gramEnd"/>
      <w:r w:rsidR="005812E9">
        <w:fldChar w:fldCharType="begin"/>
      </w:r>
      <w:r w:rsidR="005812E9">
        <w:instrText xml:space="preserve"> SEQ Figure \* ARABIC \s 1 </w:instrText>
      </w:r>
      <w:r w:rsidR="005812E9">
        <w:fldChar w:fldCharType="separate"/>
      </w:r>
      <w:r w:rsidR="0032238B">
        <w:rPr>
          <w:noProof/>
        </w:rPr>
        <w:t>2</w:t>
      </w:r>
      <w:r w:rsidR="005812E9">
        <w:rPr>
          <w:noProof/>
        </w:rPr>
        <w:fldChar w:fldCharType="end"/>
      </w:r>
      <w:bookmarkEnd w:id="46"/>
      <w:r w:rsidR="004C762C" w:rsidRPr="004C762C">
        <w:tab/>
        <w:t>Benchmarking of AusNet Services’ IT capex</w:t>
      </w:r>
    </w:p>
    <w:p w:rsidR="004C762C" w:rsidRPr="004C762C" w:rsidRDefault="004C762C" w:rsidP="004C762C">
      <w:r w:rsidRPr="004C762C">
        <w:rPr>
          <w:noProof/>
          <w:lang w:val="en-US"/>
        </w:rPr>
        <w:drawing>
          <wp:inline distT="0" distB="0" distL="0" distR="0" wp14:anchorId="6DB95761" wp14:editId="7A5A0E09">
            <wp:extent cx="4572000" cy="2512612"/>
            <wp:effectExtent l="0" t="0" r="0" b="2540"/>
            <wp:docPr id="4"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762C" w:rsidRDefault="006F174F" w:rsidP="006F174F">
      <w:pPr>
        <w:pStyle w:val="AERtablesource"/>
      </w:pPr>
      <w:r>
        <w:t>Source:</w:t>
      </w:r>
      <w:r>
        <w:tab/>
        <w:t>AER analysis.</w:t>
      </w:r>
    </w:p>
    <w:p w:rsidR="004C762C" w:rsidRPr="004C762C" w:rsidRDefault="004C762C" w:rsidP="004C762C">
      <w:r>
        <w:t xml:space="preserve">Our final decision is to accept a total of $13.0 million ($2018) in excess IT capex for 2014 and 2015. This is equal to about 39 percent of the $33.3 million ($2018) in excess IT capex proposed by AusNet Services. It is, however, </w:t>
      </w:r>
      <w:r w:rsidRPr="004C762C">
        <w:t xml:space="preserve">around $7.3 million ($2018) more than we accepted in </w:t>
      </w:r>
      <w:r w:rsidR="008612C7">
        <w:t>our</w:t>
      </w:r>
      <w:r w:rsidRPr="004C762C">
        <w:t xml:space="preserve"> draft decision.</w:t>
      </w:r>
    </w:p>
    <w:p w:rsidR="00732D7C" w:rsidRPr="00732D7C" w:rsidRDefault="00BB21B4" w:rsidP="00BB21B4">
      <w:pPr>
        <w:pStyle w:val="HeadingBoldItalic"/>
      </w:pPr>
      <w:r>
        <w:t>Operating expenditure</w:t>
      </w:r>
    </w:p>
    <w:p w:rsidR="00BB21B4" w:rsidRPr="00BB21B4" w:rsidRDefault="00364B6A" w:rsidP="00BB21B4">
      <w:r>
        <w:t>We maintain ou</w:t>
      </w:r>
      <w:r w:rsidR="00790593">
        <w:t>r draft decision accepting $22.2</w:t>
      </w:r>
      <w:r>
        <w:t xml:space="preserve"> million ($2018) in excess operating expenditure. </w:t>
      </w:r>
      <w:r w:rsidR="00BE09D3">
        <w:fldChar w:fldCharType="begin"/>
      </w:r>
      <w:r w:rsidR="00BE09D3">
        <w:instrText xml:space="preserve"> REF _Ref466904311 \h </w:instrText>
      </w:r>
      <w:r w:rsidR="00BE09D3">
        <w:fldChar w:fldCharType="separate"/>
      </w:r>
      <w:r w:rsidR="0032238B">
        <w:t xml:space="preserve">Table </w:t>
      </w:r>
      <w:r w:rsidR="0032238B">
        <w:rPr>
          <w:noProof/>
        </w:rPr>
        <w:t>4</w:t>
      </w:r>
      <w:r w:rsidR="0032238B">
        <w:t>.</w:t>
      </w:r>
      <w:r w:rsidR="0032238B">
        <w:rPr>
          <w:noProof/>
        </w:rPr>
        <w:t>11</w:t>
      </w:r>
      <w:r w:rsidR="00BE09D3">
        <w:fldChar w:fldCharType="end"/>
      </w:r>
      <w:r w:rsidR="00BB21B4" w:rsidRPr="00BB21B4">
        <w:t xml:space="preserve"> </w:t>
      </w:r>
      <w:r>
        <w:t>sets out each of the cost categories which make up AusNet Services' initial and revised applications. It shows that both our draft and final decisions do not accept AusNet Services' proposed</w:t>
      </w:r>
      <w:r w:rsidR="00B527FE">
        <w:t xml:space="preserve"> customer service and</w:t>
      </w:r>
      <w:r>
        <w:t xml:space="preserve"> </w:t>
      </w:r>
      <w:r w:rsidR="00E44B9F">
        <w:t>project management</w:t>
      </w:r>
      <w:r>
        <w:t xml:space="preserve"> operating expenditure.</w:t>
      </w:r>
      <w:r w:rsidR="00B527FE">
        <w:t xml:space="preserve"> We also do not accept AusNet Services' proposed</w:t>
      </w:r>
      <w:r w:rsidR="00AF54D2">
        <w:t xml:space="preserve"> </w:t>
      </w:r>
      <w:r w:rsidR="00B527FE">
        <w:t>excess expenditure for meter reading.</w:t>
      </w:r>
      <w:r w:rsidR="009E6B96">
        <w:t xml:space="preserve"> </w:t>
      </w:r>
      <w:r w:rsidR="00836CA6">
        <w:t>We have accepted t</w:t>
      </w:r>
      <w:r w:rsidR="009E6B96">
        <w:t xml:space="preserve">he excess operating expenditure associated with all </w:t>
      </w:r>
      <w:r w:rsidR="00AF54D2">
        <w:t>other cost categories.</w:t>
      </w:r>
    </w:p>
    <w:p w:rsidR="00BB21B4" w:rsidRDefault="00BE09D3" w:rsidP="00BE09D3">
      <w:pPr>
        <w:pStyle w:val="Caption"/>
      </w:pPr>
      <w:bookmarkStart w:id="47" w:name="_Ref466904311"/>
      <w:proofErr w:type="gramStart"/>
      <w:r>
        <w:t xml:space="preserve">Table </w:t>
      </w:r>
      <w:fldSimple w:instr=" STYLEREF 1 \s ">
        <w:r w:rsidR="0032238B">
          <w:rPr>
            <w:noProof/>
          </w:rPr>
          <w:t>4</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11</w:t>
      </w:r>
      <w:r w:rsidR="005812E9">
        <w:rPr>
          <w:noProof/>
        </w:rPr>
        <w:fldChar w:fldCharType="end"/>
      </w:r>
      <w:bookmarkEnd w:id="47"/>
      <w:r w:rsidR="00BB21B4" w:rsidRPr="00BB21B4">
        <w:tab/>
        <w:t xml:space="preserve">Final decision on excess opex </w:t>
      </w:r>
      <w:r>
        <w:t>expenditure</w:t>
      </w:r>
      <w:r w:rsidR="00BB21B4" w:rsidRPr="00BB21B4">
        <w:t xml:space="preserve"> ($</w:t>
      </w:r>
      <w:r>
        <w:t xml:space="preserve">m </w:t>
      </w:r>
      <w:r w:rsidR="00BB21B4" w:rsidRPr="00BB21B4">
        <w:t>2018)</w:t>
      </w:r>
    </w:p>
    <w:tbl>
      <w:tblPr>
        <w:tblStyle w:val="AERtable-numbers"/>
        <w:tblW w:w="0" w:type="auto"/>
        <w:tblLook w:val="04A0" w:firstRow="1" w:lastRow="0" w:firstColumn="1" w:lastColumn="0" w:noHBand="0" w:noVBand="1"/>
      </w:tblPr>
      <w:tblGrid>
        <w:gridCol w:w="1839"/>
        <w:gridCol w:w="1715"/>
        <w:gridCol w:w="1713"/>
        <w:gridCol w:w="1713"/>
        <w:gridCol w:w="1713"/>
      </w:tblGrid>
      <w:tr w:rsidR="00DD1734" w:rsidRPr="008E3907" w:rsidTr="009B6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DD1734" w:rsidRPr="008E3907" w:rsidRDefault="00DD1734" w:rsidP="00DD1734"/>
        </w:tc>
        <w:tc>
          <w:tcPr>
            <w:tcW w:w="1715" w:type="dxa"/>
          </w:tcPr>
          <w:p w:rsidR="00DD1734" w:rsidRPr="008E3907" w:rsidRDefault="00DD1734" w:rsidP="00DD1734">
            <w:pPr>
              <w:cnfStyle w:val="100000000000" w:firstRow="1" w:lastRow="0" w:firstColumn="0" w:lastColumn="0" w:oddVBand="0" w:evenVBand="0" w:oddHBand="0" w:evenHBand="0" w:firstRowFirstColumn="0" w:firstRowLastColumn="0" w:lastRowFirstColumn="0" w:lastRowLastColumn="0"/>
            </w:pPr>
            <w:r>
              <w:t>Initial proposal</w:t>
            </w:r>
          </w:p>
        </w:tc>
        <w:tc>
          <w:tcPr>
            <w:tcW w:w="1713" w:type="dxa"/>
          </w:tcPr>
          <w:p w:rsidR="00DD1734" w:rsidRPr="008E3907" w:rsidRDefault="00DD1734" w:rsidP="00DD1734">
            <w:pPr>
              <w:cnfStyle w:val="100000000000" w:firstRow="1" w:lastRow="0" w:firstColumn="0" w:lastColumn="0" w:oddVBand="0" w:evenVBand="0" w:oddHBand="0" w:evenHBand="0" w:firstRowFirstColumn="0" w:firstRowLastColumn="0" w:lastRowFirstColumn="0" w:lastRowLastColumn="0"/>
            </w:pPr>
            <w:r>
              <w:t>Draft decision</w:t>
            </w:r>
          </w:p>
        </w:tc>
        <w:tc>
          <w:tcPr>
            <w:tcW w:w="1713" w:type="dxa"/>
          </w:tcPr>
          <w:p w:rsidR="00DD1734" w:rsidRPr="008E3907" w:rsidRDefault="00DD1734" w:rsidP="00DD1734">
            <w:pPr>
              <w:cnfStyle w:val="100000000000" w:firstRow="1" w:lastRow="0" w:firstColumn="0" w:lastColumn="0" w:oddVBand="0" w:evenVBand="0" w:oddHBand="0" w:evenHBand="0" w:firstRowFirstColumn="0" w:firstRowLastColumn="0" w:lastRowFirstColumn="0" w:lastRowLastColumn="0"/>
            </w:pPr>
            <w:r>
              <w:t>Revised application</w:t>
            </w:r>
          </w:p>
        </w:tc>
        <w:tc>
          <w:tcPr>
            <w:tcW w:w="1713" w:type="dxa"/>
          </w:tcPr>
          <w:p w:rsidR="00DD1734" w:rsidRPr="008E3907" w:rsidRDefault="00DD1734" w:rsidP="00DD1734">
            <w:pPr>
              <w:cnfStyle w:val="100000000000" w:firstRow="1" w:lastRow="0" w:firstColumn="0" w:lastColumn="0" w:oddVBand="0" w:evenVBand="0" w:oddHBand="0" w:evenHBand="0" w:firstRowFirstColumn="0" w:firstRowLastColumn="0" w:lastRowFirstColumn="0" w:lastRowLastColumn="0"/>
            </w:pPr>
            <w:r>
              <w:t>Final decision</w:t>
            </w:r>
          </w:p>
        </w:tc>
      </w:tr>
      <w:tr w:rsidR="00DD1734" w:rsidRPr="008E3907" w:rsidTr="009B6D5E">
        <w:tc>
          <w:tcPr>
            <w:cnfStyle w:val="001000000000" w:firstRow="0" w:lastRow="0" w:firstColumn="1" w:lastColumn="0" w:oddVBand="0" w:evenVBand="0" w:oddHBand="0" w:evenHBand="0" w:firstRowFirstColumn="0" w:firstRowLastColumn="0" w:lastRowFirstColumn="0" w:lastRowLastColumn="0"/>
            <w:tcW w:w="1839" w:type="dxa"/>
          </w:tcPr>
          <w:p w:rsidR="00DD1734" w:rsidRPr="008E3907" w:rsidRDefault="00B527FE" w:rsidP="00E44B9F">
            <w:pPr>
              <w:pStyle w:val="ListContinue"/>
              <w:ind w:left="0"/>
            </w:pPr>
            <w:r>
              <w:t>Customer service and p</w:t>
            </w:r>
            <w:r w:rsidR="00DD1734" w:rsidRPr="008E3907">
              <w:t xml:space="preserve">roject management </w:t>
            </w:r>
          </w:p>
        </w:tc>
        <w:tc>
          <w:tcPr>
            <w:tcW w:w="1715" w:type="dxa"/>
          </w:tcPr>
          <w:p w:rsidR="00DD1734" w:rsidRPr="008E3907" w:rsidRDefault="00DD1734" w:rsidP="00DD1734">
            <w:pPr>
              <w:cnfStyle w:val="000000000000" w:firstRow="0" w:lastRow="0" w:firstColumn="0" w:lastColumn="0" w:oddVBand="0" w:evenVBand="0" w:oddHBand="0" w:evenHBand="0" w:firstRowFirstColumn="0" w:firstRowLastColumn="0" w:lastRowFirstColumn="0" w:lastRowLastColumn="0"/>
            </w:pPr>
            <w:r w:rsidRPr="008E3907">
              <w:t>5.8</w:t>
            </w:r>
          </w:p>
        </w:tc>
        <w:tc>
          <w:tcPr>
            <w:tcW w:w="1713" w:type="dxa"/>
          </w:tcPr>
          <w:p w:rsidR="00DD1734" w:rsidRPr="008E3907" w:rsidRDefault="00DD1734" w:rsidP="00DD1734">
            <w:pPr>
              <w:cnfStyle w:val="000000000000" w:firstRow="0" w:lastRow="0" w:firstColumn="0" w:lastColumn="0" w:oddVBand="0" w:evenVBand="0" w:oddHBand="0" w:evenHBand="0" w:firstRowFirstColumn="0" w:firstRowLastColumn="0" w:lastRowFirstColumn="0" w:lastRowLastColumn="0"/>
            </w:pPr>
            <w:r w:rsidRPr="008E3907">
              <w:t>1.1</w:t>
            </w:r>
          </w:p>
        </w:tc>
        <w:tc>
          <w:tcPr>
            <w:tcW w:w="1713" w:type="dxa"/>
          </w:tcPr>
          <w:p w:rsidR="00DD1734" w:rsidRPr="008E3907" w:rsidRDefault="00DD1734" w:rsidP="00DD1734">
            <w:pPr>
              <w:cnfStyle w:val="000000000000" w:firstRow="0" w:lastRow="0" w:firstColumn="0" w:lastColumn="0" w:oddVBand="0" w:evenVBand="0" w:oddHBand="0" w:evenHBand="0" w:firstRowFirstColumn="0" w:firstRowLastColumn="0" w:lastRowFirstColumn="0" w:lastRowLastColumn="0"/>
            </w:pPr>
            <w:r w:rsidRPr="008E3907">
              <w:t>5.8</w:t>
            </w:r>
          </w:p>
        </w:tc>
        <w:tc>
          <w:tcPr>
            <w:tcW w:w="1713" w:type="dxa"/>
          </w:tcPr>
          <w:p w:rsidR="00DD1734" w:rsidRPr="008E3907" w:rsidRDefault="00DD1734" w:rsidP="00DD1734">
            <w:pPr>
              <w:cnfStyle w:val="000000000000" w:firstRow="0" w:lastRow="0" w:firstColumn="0" w:lastColumn="0" w:oddVBand="0" w:evenVBand="0" w:oddHBand="0" w:evenHBand="0" w:firstRowFirstColumn="0" w:firstRowLastColumn="0" w:lastRowFirstColumn="0" w:lastRowLastColumn="0"/>
            </w:pPr>
            <w:r w:rsidRPr="008E3907">
              <w:t>1.1</w:t>
            </w:r>
          </w:p>
        </w:tc>
      </w:tr>
      <w:tr w:rsidR="00DD1734" w:rsidRPr="008E3907" w:rsidTr="009B6D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DD1734" w:rsidRPr="008E3907" w:rsidRDefault="00DD1734" w:rsidP="00DD1734">
            <w:pPr>
              <w:pStyle w:val="ListContinue"/>
              <w:ind w:left="0"/>
            </w:pPr>
            <w:r w:rsidRPr="008E3907">
              <w:t xml:space="preserve">Meter maintenance </w:t>
            </w:r>
          </w:p>
        </w:tc>
        <w:tc>
          <w:tcPr>
            <w:tcW w:w="1715" w:type="dxa"/>
          </w:tcPr>
          <w:p w:rsidR="00DD1734" w:rsidRPr="008E3907" w:rsidRDefault="00DD1734" w:rsidP="00DD1734">
            <w:pPr>
              <w:cnfStyle w:val="000000010000" w:firstRow="0" w:lastRow="0" w:firstColumn="0" w:lastColumn="0" w:oddVBand="0" w:evenVBand="0" w:oddHBand="0" w:evenHBand="1" w:firstRowFirstColumn="0" w:firstRowLastColumn="0" w:lastRowFirstColumn="0" w:lastRowLastColumn="0"/>
            </w:pPr>
            <w:r w:rsidRPr="008E3907">
              <w:t>2.0</w:t>
            </w:r>
          </w:p>
        </w:tc>
        <w:tc>
          <w:tcPr>
            <w:tcW w:w="1713" w:type="dxa"/>
          </w:tcPr>
          <w:p w:rsidR="00DD1734" w:rsidRPr="008E3907" w:rsidRDefault="00DD1734" w:rsidP="00DD1734">
            <w:pPr>
              <w:cnfStyle w:val="000000010000" w:firstRow="0" w:lastRow="0" w:firstColumn="0" w:lastColumn="0" w:oddVBand="0" w:evenVBand="0" w:oddHBand="0" w:evenHBand="1" w:firstRowFirstColumn="0" w:firstRowLastColumn="0" w:lastRowFirstColumn="0" w:lastRowLastColumn="0"/>
            </w:pPr>
            <w:r w:rsidRPr="008E3907">
              <w:t>2.0</w:t>
            </w:r>
          </w:p>
        </w:tc>
        <w:tc>
          <w:tcPr>
            <w:tcW w:w="1713" w:type="dxa"/>
          </w:tcPr>
          <w:p w:rsidR="00DD1734" w:rsidRPr="008E3907" w:rsidRDefault="00DD1734" w:rsidP="00DD1734">
            <w:pPr>
              <w:cnfStyle w:val="000000010000" w:firstRow="0" w:lastRow="0" w:firstColumn="0" w:lastColumn="0" w:oddVBand="0" w:evenVBand="0" w:oddHBand="0" w:evenHBand="1" w:firstRowFirstColumn="0" w:firstRowLastColumn="0" w:lastRowFirstColumn="0" w:lastRowLastColumn="0"/>
            </w:pPr>
            <w:r w:rsidRPr="008E3907">
              <w:t>2.0</w:t>
            </w:r>
          </w:p>
        </w:tc>
        <w:tc>
          <w:tcPr>
            <w:tcW w:w="1713" w:type="dxa"/>
          </w:tcPr>
          <w:p w:rsidR="00DD1734" w:rsidRPr="008E3907" w:rsidRDefault="00DD1734" w:rsidP="00DD1734">
            <w:pPr>
              <w:cnfStyle w:val="000000010000" w:firstRow="0" w:lastRow="0" w:firstColumn="0" w:lastColumn="0" w:oddVBand="0" w:evenVBand="0" w:oddHBand="0" w:evenHBand="1" w:firstRowFirstColumn="0" w:firstRowLastColumn="0" w:lastRowFirstColumn="0" w:lastRowLastColumn="0"/>
            </w:pPr>
            <w:r w:rsidRPr="008E3907">
              <w:t>2.0</w:t>
            </w:r>
          </w:p>
        </w:tc>
      </w:tr>
      <w:tr w:rsidR="00DD1734" w:rsidRPr="008E3907" w:rsidTr="009B6D5E">
        <w:tc>
          <w:tcPr>
            <w:cnfStyle w:val="001000000000" w:firstRow="0" w:lastRow="0" w:firstColumn="1" w:lastColumn="0" w:oddVBand="0" w:evenVBand="0" w:oddHBand="0" w:evenHBand="0" w:firstRowFirstColumn="0" w:firstRowLastColumn="0" w:lastRowFirstColumn="0" w:lastRowLastColumn="0"/>
            <w:tcW w:w="1839" w:type="dxa"/>
          </w:tcPr>
          <w:p w:rsidR="00DD1734" w:rsidRPr="008E3907" w:rsidRDefault="00DD1734" w:rsidP="00DD1734">
            <w:pPr>
              <w:pStyle w:val="ListContinue"/>
              <w:ind w:left="0"/>
            </w:pPr>
            <w:r w:rsidRPr="008E3907">
              <w:t>Meter data management</w:t>
            </w:r>
          </w:p>
        </w:tc>
        <w:tc>
          <w:tcPr>
            <w:tcW w:w="1715" w:type="dxa"/>
          </w:tcPr>
          <w:p w:rsidR="00DD1734" w:rsidRPr="008E3907" w:rsidRDefault="00DD1734" w:rsidP="00DD1734">
            <w:pPr>
              <w:cnfStyle w:val="000000000000" w:firstRow="0" w:lastRow="0" w:firstColumn="0" w:lastColumn="0" w:oddVBand="0" w:evenVBand="0" w:oddHBand="0" w:evenHBand="0" w:firstRowFirstColumn="0" w:firstRowLastColumn="0" w:lastRowFirstColumn="0" w:lastRowLastColumn="0"/>
            </w:pPr>
            <w:r w:rsidRPr="008E3907">
              <w:t>4.8</w:t>
            </w:r>
          </w:p>
        </w:tc>
        <w:tc>
          <w:tcPr>
            <w:tcW w:w="1713" w:type="dxa"/>
          </w:tcPr>
          <w:p w:rsidR="00DD1734" w:rsidRPr="008E3907" w:rsidRDefault="00DD1734" w:rsidP="00DD1734">
            <w:pPr>
              <w:cnfStyle w:val="000000000000" w:firstRow="0" w:lastRow="0" w:firstColumn="0" w:lastColumn="0" w:oddVBand="0" w:evenVBand="0" w:oddHBand="0" w:evenHBand="0" w:firstRowFirstColumn="0" w:firstRowLastColumn="0" w:lastRowFirstColumn="0" w:lastRowLastColumn="0"/>
            </w:pPr>
            <w:r w:rsidRPr="008E3907">
              <w:t>4.8</w:t>
            </w:r>
          </w:p>
        </w:tc>
        <w:tc>
          <w:tcPr>
            <w:tcW w:w="1713" w:type="dxa"/>
          </w:tcPr>
          <w:p w:rsidR="00DD1734" w:rsidRPr="008E3907" w:rsidRDefault="00DD1734" w:rsidP="00DD1734">
            <w:pPr>
              <w:cnfStyle w:val="000000000000" w:firstRow="0" w:lastRow="0" w:firstColumn="0" w:lastColumn="0" w:oddVBand="0" w:evenVBand="0" w:oddHBand="0" w:evenHBand="0" w:firstRowFirstColumn="0" w:firstRowLastColumn="0" w:lastRowFirstColumn="0" w:lastRowLastColumn="0"/>
            </w:pPr>
            <w:r w:rsidRPr="008E3907">
              <w:t>4.8</w:t>
            </w:r>
          </w:p>
        </w:tc>
        <w:tc>
          <w:tcPr>
            <w:tcW w:w="1713" w:type="dxa"/>
          </w:tcPr>
          <w:p w:rsidR="00DD1734" w:rsidRPr="008E3907" w:rsidRDefault="00DD1734" w:rsidP="00DD1734">
            <w:pPr>
              <w:cnfStyle w:val="000000000000" w:firstRow="0" w:lastRow="0" w:firstColumn="0" w:lastColumn="0" w:oddVBand="0" w:evenVBand="0" w:oddHBand="0" w:evenHBand="0" w:firstRowFirstColumn="0" w:firstRowLastColumn="0" w:lastRowFirstColumn="0" w:lastRowLastColumn="0"/>
            </w:pPr>
            <w:r w:rsidRPr="008E3907">
              <w:t>4.8</w:t>
            </w:r>
          </w:p>
        </w:tc>
      </w:tr>
      <w:tr w:rsidR="00DD1734" w:rsidRPr="008E3907" w:rsidTr="009B6D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DD1734" w:rsidRPr="008E3907" w:rsidRDefault="00DD1734" w:rsidP="00DD1734">
            <w:pPr>
              <w:pStyle w:val="ListContinue"/>
              <w:ind w:left="0"/>
            </w:pPr>
            <w:r w:rsidRPr="008E3907">
              <w:t>Communications infrastructure</w:t>
            </w:r>
          </w:p>
        </w:tc>
        <w:tc>
          <w:tcPr>
            <w:tcW w:w="1715" w:type="dxa"/>
          </w:tcPr>
          <w:p w:rsidR="00DD1734" w:rsidRPr="008E3907" w:rsidRDefault="00DD1734" w:rsidP="00DD1734">
            <w:pPr>
              <w:cnfStyle w:val="000000010000" w:firstRow="0" w:lastRow="0" w:firstColumn="0" w:lastColumn="0" w:oddVBand="0" w:evenVBand="0" w:oddHBand="0" w:evenHBand="1" w:firstRowFirstColumn="0" w:firstRowLastColumn="0" w:lastRowFirstColumn="0" w:lastRowLastColumn="0"/>
            </w:pPr>
            <w:r w:rsidRPr="008E3907">
              <w:t>4.0</w:t>
            </w:r>
          </w:p>
        </w:tc>
        <w:tc>
          <w:tcPr>
            <w:tcW w:w="1713" w:type="dxa"/>
          </w:tcPr>
          <w:p w:rsidR="00DD1734" w:rsidRPr="008E3907" w:rsidRDefault="00DD1734" w:rsidP="00DD1734">
            <w:pPr>
              <w:cnfStyle w:val="000000010000" w:firstRow="0" w:lastRow="0" w:firstColumn="0" w:lastColumn="0" w:oddVBand="0" w:evenVBand="0" w:oddHBand="0" w:evenHBand="1" w:firstRowFirstColumn="0" w:firstRowLastColumn="0" w:lastRowFirstColumn="0" w:lastRowLastColumn="0"/>
            </w:pPr>
            <w:r w:rsidRPr="008E3907">
              <w:t>4.0</w:t>
            </w:r>
          </w:p>
        </w:tc>
        <w:tc>
          <w:tcPr>
            <w:tcW w:w="1713" w:type="dxa"/>
          </w:tcPr>
          <w:p w:rsidR="00DD1734" w:rsidRPr="008E3907" w:rsidRDefault="00DD1734" w:rsidP="00DD1734">
            <w:pPr>
              <w:cnfStyle w:val="000000010000" w:firstRow="0" w:lastRow="0" w:firstColumn="0" w:lastColumn="0" w:oddVBand="0" w:evenVBand="0" w:oddHBand="0" w:evenHBand="1" w:firstRowFirstColumn="0" w:firstRowLastColumn="0" w:lastRowFirstColumn="0" w:lastRowLastColumn="0"/>
            </w:pPr>
            <w:r w:rsidRPr="008E3907">
              <w:t>4.0</w:t>
            </w:r>
          </w:p>
        </w:tc>
        <w:tc>
          <w:tcPr>
            <w:tcW w:w="1713" w:type="dxa"/>
          </w:tcPr>
          <w:p w:rsidR="00DD1734" w:rsidRPr="008E3907" w:rsidRDefault="00DD1734" w:rsidP="00DD1734">
            <w:pPr>
              <w:cnfStyle w:val="000000010000" w:firstRow="0" w:lastRow="0" w:firstColumn="0" w:lastColumn="0" w:oddVBand="0" w:evenVBand="0" w:oddHBand="0" w:evenHBand="1" w:firstRowFirstColumn="0" w:firstRowLastColumn="0" w:lastRowFirstColumn="0" w:lastRowLastColumn="0"/>
            </w:pPr>
            <w:r w:rsidRPr="008E3907">
              <w:t>4.0</w:t>
            </w:r>
          </w:p>
        </w:tc>
      </w:tr>
      <w:tr w:rsidR="00DD1734" w:rsidRPr="008E3907" w:rsidTr="009B6D5E">
        <w:tc>
          <w:tcPr>
            <w:cnfStyle w:val="001000000000" w:firstRow="0" w:lastRow="0" w:firstColumn="1" w:lastColumn="0" w:oddVBand="0" w:evenVBand="0" w:oddHBand="0" w:evenHBand="0" w:firstRowFirstColumn="0" w:firstRowLastColumn="0" w:lastRowFirstColumn="0" w:lastRowLastColumn="0"/>
            <w:tcW w:w="1839" w:type="dxa"/>
          </w:tcPr>
          <w:p w:rsidR="00DD1734" w:rsidRPr="008E3907" w:rsidRDefault="00DD1734" w:rsidP="00DD1734">
            <w:pPr>
              <w:pStyle w:val="ListContinue"/>
              <w:ind w:left="0"/>
            </w:pPr>
            <w:r w:rsidRPr="008E3907">
              <w:t>IT</w:t>
            </w:r>
          </w:p>
        </w:tc>
        <w:tc>
          <w:tcPr>
            <w:tcW w:w="1715" w:type="dxa"/>
          </w:tcPr>
          <w:p w:rsidR="00DD1734" w:rsidRPr="008E3907" w:rsidRDefault="00DD1734" w:rsidP="00DD1734">
            <w:pPr>
              <w:cnfStyle w:val="000000000000" w:firstRow="0" w:lastRow="0" w:firstColumn="0" w:lastColumn="0" w:oddVBand="0" w:evenVBand="0" w:oddHBand="0" w:evenHBand="0" w:firstRowFirstColumn="0" w:firstRowLastColumn="0" w:lastRowFirstColumn="0" w:lastRowLastColumn="0"/>
            </w:pPr>
            <w:r w:rsidRPr="008E3907">
              <w:t>8.5</w:t>
            </w:r>
          </w:p>
        </w:tc>
        <w:tc>
          <w:tcPr>
            <w:tcW w:w="1713" w:type="dxa"/>
          </w:tcPr>
          <w:p w:rsidR="00DD1734" w:rsidRPr="008E3907" w:rsidRDefault="00DD1734" w:rsidP="00DD1734">
            <w:pPr>
              <w:cnfStyle w:val="000000000000" w:firstRow="0" w:lastRow="0" w:firstColumn="0" w:lastColumn="0" w:oddVBand="0" w:evenVBand="0" w:oddHBand="0" w:evenHBand="0" w:firstRowFirstColumn="0" w:firstRowLastColumn="0" w:lastRowFirstColumn="0" w:lastRowLastColumn="0"/>
            </w:pPr>
            <w:r w:rsidRPr="008E3907">
              <w:t>8.5</w:t>
            </w:r>
          </w:p>
        </w:tc>
        <w:tc>
          <w:tcPr>
            <w:tcW w:w="1713" w:type="dxa"/>
          </w:tcPr>
          <w:p w:rsidR="00DD1734" w:rsidRPr="008E3907" w:rsidRDefault="00DD1734" w:rsidP="00DD1734">
            <w:pPr>
              <w:cnfStyle w:val="000000000000" w:firstRow="0" w:lastRow="0" w:firstColumn="0" w:lastColumn="0" w:oddVBand="0" w:evenVBand="0" w:oddHBand="0" w:evenHBand="0" w:firstRowFirstColumn="0" w:firstRowLastColumn="0" w:lastRowFirstColumn="0" w:lastRowLastColumn="0"/>
            </w:pPr>
            <w:r w:rsidRPr="008E3907">
              <w:t>8.5</w:t>
            </w:r>
          </w:p>
        </w:tc>
        <w:tc>
          <w:tcPr>
            <w:tcW w:w="1713" w:type="dxa"/>
          </w:tcPr>
          <w:p w:rsidR="00DD1734" w:rsidRPr="008E3907" w:rsidRDefault="00DD1734" w:rsidP="00DD1734">
            <w:pPr>
              <w:cnfStyle w:val="000000000000" w:firstRow="0" w:lastRow="0" w:firstColumn="0" w:lastColumn="0" w:oddVBand="0" w:evenVBand="0" w:oddHBand="0" w:evenHBand="0" w:firstRowFirstColumn="0" w:firstRowLastColumn="0" w:lastRowFirstColumn="0" w:lastRowLastColumn="0"/>
            </w:pPr>
            <w:r w:rsidRPr="008E3907">
              <w:t>8.5</w:t>
            </w:r>
          </w:p>
        </w:tc>
      </w:tr>
      <w:tr w:rsidR="00DD1734" w:rsidRPr="008E3907" w:rsidTr="009B6D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DD1734" w:rsidRPr="008E3907" w:rsidRDefault="00DD1734" w:rsidP="00DD1734">
            <w:pPr>
              <w:pStyle w:val="ListContinue"/>
              <w:ind w:left="0"/>
            </w:pPr>
            <w:r w:rsidRPr="008E3907">
              <w:t>Meter reading</w:t>
            </w:r>
          </w:p>
        </w:tc>
        <w:tc>
          <w:tcPr>
            <w:tcW w:w="1715" w:type="dxa"/>
          </w:tcPr>
          <w:p w:rsidR="00DD1734" w:rsidRPr="008E3907" w:rsidRDefault="00DD1734" w:rsidP="00DD1734">
            <w:pPr>
              <w:cnfStyle w:val="000000010000" w:firstRow="0" w:lastRow="0" w:firstColumn="0" w:lastColumn="0" w:oddVBand="0" w:evenVBand="0" w:oddHBand="0" w:evenHBand="1" w:firstRowFirstColumn="0" w:firstRowLastColumn="0" w:lastRowFirstColumn="0" w:lastRowLastColumn="0"/>
            </w:pPr>
            <w:r w:rsidRPr="008E3907">
              <w:t>3.4</w:t>
            </w:r>
          </w:p>
        </w:tc>
        <w:tc>
          <w:tcPr>
            <w:tcW w:w="1713" w:type="dxa"/>
          </w:tcPr>
          <w:p w:rsidR="00DD1734" w:rsidRPr="008E3907" w:rsidRDefault="00DD1734" w:rsidP="00DD1734">
            <w:pPr>
              <w:cnfStyle w:val="000000010000" w:firstRow="0" w:lastRow="0" w:firstColumn="0" w:lastColumn="0" w:oddVBand="0" w:evenVBand="0" w:oddHBand="0" w:evenHBand="1" w:firstRowFirstColumn="0" w:firstRowLastColumn="0" w:lastRowFirstColumn="0" w:lastRowLastColumn="0"/>
            </w:pPr>
            <w:r w:rsidRPr="008E3907">
              <w:t>1.7</w:t>
            </w:r>
          </w:p>
        </w:tc>
        <w:tc>
          <w:tcPr>
            <w:tcW w:w="1713" w:type="dxa"/>
          </w:tcPr>
          <w:p w:rsidR="00DD1734" w:rsidRPr="008E3907" w:rsidRDefault="00DD1734" w:rsidP="00DD1734">
            <w:pPr>
              <w:cnfStyle w:val="000000010000" w:firstRow="0" w:lastRow="0" w:firstColumn="0" w:lastColumn="0" w:oddVBand="0" w:evenVBand="0" w:oddHBand="0" w:evenHBand="1" w:firstRowFirstColumn="0" w:firstRowLastColumn="0" w:lastRowFirstColumn="0" w:lastRowLastColumn="0"/>
            </w:pPr>
            <w:r w:rsidRPr="008E3907">
              <w:t>3.4</w:t>
            </w:r>
          </w:p>
        </w:tc>
        <w:tc>
          <w:tcPr>
            <w:tcW w:w="1713" w:type="dxa"/>
          </w:tcPr>
          <w:p w:rsidR="00DD1734" w:rsidRPr="008E3907" w:rsidRDefault="00DD1734" w:rsidP="00DD1734">
            <w:pPr>
              <w:cnfStyle w:val="000000010000" w:firstRow="0" w:lastRow="0" w:firstColumn="0" w:lastColumn="0" w:oddVBand="0" w:evenVBand="0" w:oddHBand="0" w:evenHBand="1" w:firstRowFirstColumn="0" w:firstRowLastColumn="0" w:lastRowFirstColumn="0" w:lastRowLastColumn="0"/>
            </w:pPr>
            <w:r w:rsidRPr="008E3907">
              <w:t>1.7</w:t>
            </w:r>
          </w:p>
        </w:tc>
      </w:tr>
      <w:tr w:rsidR="00DD1734" w:rsidRPr="008E3907" w:rsidTr="009B6D5E">
        <w:tc>
          <w:tcPr>
            <w:cnfStyle w:val="001000000000" w:firstRow="0" w:lastRow="0" w:firstColumn="1" w:lastColumn="0" w:oddVBand="0" w:evenVBand="0" w:oddHBand="0" w:evenHBand="0" w:firstRowFirstColumn="0" w:firstRowLastColumn="0" w:lastRowFirstColumn="0" w:lastRowLastColumn="0"/>
            <w:tcW w:w="1839" w:type="dxa"/>
          </w:tcPr>
          <w:p w:rsidR="00DD1734" w:rsidRPr="008E3907" w:rsidRDefault="00DD1734" w:rsidP="00DD1734">
            <w:pPr>
              <w:pStyle w:val="ListContinue"/>
              <w:ind w:left="0"/>
            </w:pPr>
            <w:r>
              <w:t>Total</w:t>
            </w:r>
            <w:r w:rsidRPr="008E3907">
              <w:t xml:space="preserve"> opex</w:t>
            </w:r>
          </w:p>
        </w:tc>
        <w:tc>
          <w:tcPr>
            <w:tcW w:w="1715" w:type="dxa"/>
          </w:tcPr>
          <w:p w:rsidR="00DD1734" w:rsidRPr="008E3907" w:rsidRDefault="00DD1734" w:rsidP="00DD1734">
            <w:pPr>
              <w:cnfStyle w:val="000000000000" w:firstRow="0" w:lastRow="0" w:firstColumn="0" w:lastColumn="0" w:oddVBand="0" w:evenVBand="0" w:oddHBand="0" w:evenHBand="0" w:firstRowFirstColumn="0" w:firstRowLastColumn="0" w:lastRowFirstColumn="0" w:lastRowLastColumn="0"/>
            </w:pPr>
            <w:r w:rsidRPr="008E3907">
              <w:t>28.6</w:t>
            </w:r>
          </w:p>
        </w:tc>
        <w:tc>
          <w:tcPr>
            <w:tcW w:w="1713" w:type="dxa"/>
          </w:tcPr>
          <w:p w:rsidR="00DD1734" w:rsidRPr="008E3907" w:rsidRDefault="00DD1734" w:rsidP="00DD1734">
            <w:pPr>
              <w:cnfStyle w:val="000000000000" w:firstRow="0" w:lastRow="0" w:firstColumn="0" w:lastColumn="0" w:oddVBand="0" w:evenVBand="0" w:oddHBand="0" w:evenHBand="0" w:firstRowFirstColumn="0" w:firstRowLastColumn="0" w:lastRowFirstColumn="0" w:lastRowLastColumn="0"/>
            </w:pPr>
            <w:r w:rsidRPr="008E3907">
              <w:t>22.2</w:t>
            </w:r>
          </w:p>
        </w:tc>
        <w:tc>
          <w:tcPr>
            <w:tcW w:w="1713" w:type="dxa"/>
          </w:tcPr>
          <w:p w:rsidR="00DD1734" w:rsidRPr="008E3907" w:rsidRDefault="00790593" w:rsidP="00DD1734">
            <w:pPr>
              <w:cnfStyle w:val="000000000000" w:firstRow="0" w:lastRow="0" w:firstColumn="0" w:lastColumn="0" w:oddVBand="0" w:evenVBand="0" w:oddHBand="0" w:evenHBand="0" w:firstRowFirstColumn="0" w:firstRowLastColumn="0" w:lastRowFirstColumn="0" w:lastRowLastColumn="0"/>
            </w:pPr>
            <w:r>
              <w:t>28.6</w:t>
            </w:r>
          </w:p>
        </w:tc>
        <w:tc>
          <w:tcPr>
            <w:tcW w:w="1713" w:type="dxa"/>
          </w:tcPr>
          <w:p w:rsidR="00DD1734" w:rsidRPr="008E3907" w:rsidRDefault="00DD1734" w:rsidP="00DD1734">
            <w:pPr>
              <w:cnfStyle w:val="000000000000" w:firstRow="0" w:lastRow="0" w:firstColumn="0" w:lastColumn="0" w:oddVBand="0" w:evenVBand="0" w:oddHBand="0" w:evenHBand="0" w:firstRowFirstColumn="0" w:firstRowLastColumn="0" w:lastRowFirstColumn="0" w:lastRowLastColumn="0"/>
            </w:pPr>
            <w:r w:rsidRPr="008E3907">
              <w:t>22.</w:t>
            </w:r>
            <w:r w:rsidR="001B4874">
              <w:t>2</w:t>
            </w:r>
          </w:p>
        </w:tc>
      </w:tr>
    </w:tbl>
    <w:p w:rsidR="00BE09D3" w:rsidRDefault="00BE09D3" w:rsidP="00364B6A">
      <w:pPr>
        <w:pStyle w:val="AERtablesource"/>
        <w:ind w:left="0" w:firstLine="0"/>
      </w:pPr>
      <w:r>
        <w:t>Source:</w:t>
      </w:r>
      <w:r>
        <w:tab/>
        <w:t>AER analysis.</w:t>
      </w:r>
    </w:p>
    <w:p w:rsidR="00032C1D" w:rsidRDefault="00364B6A" w:rsidP="00BB21B4">
      <w:r>
        <w:t>In our draft decision,</w:t>
      </w:r>
      <w:r w:rsidR="001B4874">
        <w:t xml:space="preserve"> </w:t>
      </w:r>
      <w:r w:rsidR="00E44B9F">
        <w:t xml:space="preserve">we did not accept AusNet Services' proposed </w:t>
      </w:r>
      <w:r w:rsidR="00AF54D2">
        <w:t xml:space="preserve">excess operating expenditure for </w:t>
      </w:r>
      <w:r w:rsidR="00E44B9F">
        <w:t>customer service and project management</w:t>
      </w:r>
      <w:r w:rsidR="00AF54D2">
        <w:t xml:space="preserve">. We accepted $1.1 million ($2018) in place of AusNet Services' proposed $5.8 million ($2018). The driver of this </w:t>
      </w:r>
      <w:r w:rsidR="009E6B96">
        <w:t xml:space="preserve">reduced allowance </w:t>
      </w:r>
      <w:r w:rsidR="00AF54D2">
        <w:t xml:space="preserve">was the application of </w:t>
      </w:r>
      <w:r w:rsidR="009E6B96">
        <w:t>our</w:t>
      </w:r>
      <w:r w:rsidR="00AF54D2">
        <w:t xml:space="preserve"> 2012–15 Approved Budget unit prices</w:t>
      </w:r>
      <w:r w:rsidR="009E6B96">
        <w:t xml:space="preserve"> for</w:t>
      </w:r>
      <w:r w:rsidR="00AF54D2">
        <w:t xml:space="preserve"> </w:t>
      </w:r>
      <w:r w:rsidR="009E6B96">
        <w:t>customer service and project management</w:t>
      </w:r>
      <w:r w:rsidR="00AF54D2">
        <w:t>, adjusted for CPI and wage inflation.</w:t>
      </w:r>
      <w:r w:rsidR="00F56A0C">
        <w:rPr>
          <w:rStyle w:val="FootnoteReference"/>
        </w:rPr>
        <w:footnoteReference w:id="69"/>
      </w:r>
      <w:r w:rsidR="00AF54D2">
        <w:t xml:space="preserve"> </w:t>
      </w:r>
      <w:r w:rsidR="00032C1D">
        <w:t xml:space="preserve">We considered these unit prices to reflect the efficient costs of a distributor providing AMI services and accordingly we applied them to the volume of </w:t>
      </w:r>
      <w:r w:rsidR="006663C6">
        <w:t xml:space="preserve">AusNet Services' </w:t>
      </w:r>
      <w:r w:rsidR="00032C1D">
        <w:t>activities associated with customer service and project management.</w:t>
      </w:r>
      <w:r w:rsidR="00F56A0C">
        <w:rPr>
          <w:rStyle w:val="FootnoteReference"/>
        </w:rPr>
        <w:footnoteReference w:id="70"/>
      </w:r>
      <w:r w:rsidR="00F56A0C">
        <w:t xml:space="preserve"> This was consistent with advice that Energeia provided to us.</w:t>
      </w:r>
      <w:r w:rsidR="00F56A0C">
        <w:rPr>
          <w:rStyle w:val="FootnoteReference"/>
        </w:rPr>
        <w:footnoteReference w:id="71"/>
      </w:r>
    </w:p>
    <w:p w:rsidR="00E44B9F" w:rsidRDefault="00417AEF" w:rsidP="00BB21B4">
      <w:r>
        <w:t>O</w:t>
      </w:r>
      <w:r w:rsidR="009E6B96">
        <w:t>ur draft decision accepted $1.7 million ($2018)</w:t>
      </w:r>
      <w:r>
        <w:t xml:space="preserve"> in excess meter reading operating expenditure. This was less than $3.4 million ($2018) which AusNet Services sought to recover in it application</w:t>
      </w:r>
      <w:r w:rsidR="009E6B96">
        <w:t xml:space="preserve">. </w:t>
      </w:r>
      <w:r w:rsidR="00323A7A">
        <w:t>To derive our substitute, we considered the meter reading allowance we accepted for AusNet Services in our 2016–20</w:t>
      </w:r>
      <w:r w:rsidR="00B86E93">
        <w:t>20</w:t>
      </w:r>
      <w:r w:rsidR="00323A7A">
        <w:t xml:space="preserve"> Victorian distribution determination. </w:t>
      </w:r>
      <w:r w:rsidR="00923B39">
        <w:t xml:space="preserve">Our view was that the efficient meter reading operating expenditure was the allowance we approved for AusNet Services' 2016 year of that determination. This was on the basis that we considered </w:t>
      </w:r>
      <w:r w:rsidR="00032C1D">
        <w:t xml:space="preserve">AusNet Services' 2016 meter reading </w:t>
      </w:r>
      <w:r w:rsidR="007E0807">
        <w:t>allowance</w:t>
      </w:r>
      <w:r w:rsidR="00032C1D">
        <w:t xml:space="preserve"> </w:t>
      </w:r>
      <w:r w:rsidR="00923B39">
        <w:t>reflected</w:t>
      </w:r>
      <w:r w:rsidR="00032C1D">
        <w:t xml:space="preserve"> </w:t>
      </w:r>
      <w:r>
        <w:t>the</w:t>
      </w:r>
      <w:r w:rsidR="00032C1D">
        <w:t xml:space="preserve"> </w:t>
      </w:r>
      <w:r>
        <w:t>efficient costs of a prudent</w:t>
      </w:r>
      <w:r w:rsidR="00032C1D">
        <w:t xml:space="preserve"> distributor providing AMI services at the closing stage of the roll–out in 2014.</w:t>
      </w:r>
      <w:r w:rsidR="00F56A0C">
        <w:rPr>
          <w:rStyle w:val="FootnoteReference"/>
        </w:rPr>
        <w:footnoteReference w:id="72"/>
      </w:r>
      <w:r w:rsidR="005C184B">
        <w:t xml:space="preserve"> This </w:t>
      </w:r>
      <w:proofErr w:type="gramStart"/>
      <w:r w:rsidR="005C184B">
        <w:t>was based</w:t>
      </w:r>
      <w:proofErr w:type="gramEnd"/>
      <w:r w:rsidR="005C184B">
        <w:t xml:space="preserve"> on Energeia's advice to us on AusNet Services' excess operating expenditure proposal.</w:t>
      </w:r>
      <w:r w:rsidR="005C184B">
        <w:rPr>
          <w:rStyle w:val="FootnoteReference"/>
        </w:rPr>
        <w:footnoteReference w:id="73"/>
      </w:r>
    </w:p>
    <w:p w:rsidR="008952FB" w:rsidRDefault="0083329D" w:rsidP="008952FB">
      <w:r>
        <w:t>In response</w:t>
      </w:r>
      <w:r w:rsidR="0068244A">
        <w:t xml:space="preserve"> to our draft decision</w:t>
      </w:r>
      <w:r>
        <w:t xml:space="preserve">, AusNet Services' revised application </w:t>
      </w:r>
      <w:r w:rsidR="0068244A">
        <w:t xml:space="preserve">describes the circumstances leading up to it incurring the excess operating expenditure. With respect to customer service and project management, AusNet Services' revised application states that policy uncertainties led to </w:t>
      </w:r>
      <w:r w:rsidR="00012051">
        <w:t xml:space="preserve">the </w:t>
      </w:r>
      <w:r w:rsidR="0068244A">
        <w:t>additional costs it has sought to recover via the transition charge. AusNet Services states that 'the volume of customer refusals and no access issues as well as the uncertainties of the AMI Program resulted in the inability to close out meter routes in 2014'.</w:t>
      </w:r>
      <w:r w:rsidR="0068244A">
        <w:rPr>
          <w:rStyle w:val="FootnoteReference"/>
        </w:rPr>
        <w:footnoteReference w:id="74"/>
      </w:r>
      <w:r w:rsidR="0068244A">
        <w:t xml:space="preserve"> Similarly, it raises policy uncertainty as the driver for its excess expenditure relating to customer service and project management. It states the 'delays in the AMI Program caused by policy uncertainty also resulted in the need for AusNet Services to maintain its project management office (PMO) function in 2014 to ensure adequate staff with historical knowledge and experience were available to manage AusNet Services' </w:t>
      </w:r>
      <w:r w:rsidR="00012051">
        <w:t>continued compliance with the roll–out obligations'.</w:t>
      </w:r>
      <w:r w:rsidR="00012051">
        <w:rPr>
          <w:rStyle w:val="FootnoteReference"/>
        </w:rPr>
        <w:footnoteReference w:id="75"/>
      </w:r>
    </w:p>
    <w:p w:rsidR="00012051" w:rsidRDefault="00CE5C26" w:rsidP="008952FB">
      <w:r>
        <w:t>In taking</w:t>
      </w:r>
      <w:r w:rsidR="00012051">
        <w:t xml:space="preserve"> </w:t>
      </w:r>
      <w:r>
        <w:t>its</w:t>
      </w:r>
      <w:r w:rsidR="00012051">
        <w:t xml:space="preserve"> revised </w:t>
      </w:r>
      <w:r>
        <w:t xml:space="preserve">application into consideration, </w:t>
      </w:r>
      <w:r w:rsidR="00012051">
        <w:t xml:space="preserve">we accept </w:t>
      </w:r>
      <w:r>
        <w:t xml:space="preserve">AusNet Services' </w:t>
      </w:r>
      <w:r w:rsidR="00083A9A">
        <w:t>submission</w:t>
      </w:r>
      <w:r>
        <w:t xml:space="preserve"> that</w:t>
      </w:r>
      <w:r w:rsidR="00012051">
        <w:t xml:space="preserve"> policy uncertainty would have led to </w:t>
      </w:r>
      <w:r>
        <w:t xml:space="preserve">it </w:t>
      </w:r>
      <w:r w:rsidR="00012051">
        <w:t>incurring additional costs in relation to its customer service and project management operating expenditure. We also consider that such uncertainty would have led to further costs in relation to meter reading. However, we maintain our draft decision in respect of both categories</w:t>
      </w:r>
      <w:r>
        <w:t xml:space="preserve"> of excess expenditure</w:t>
      </w:r>
      <w:r w:rsidR="00012051">
        <w:t xml:space="preserve">. </w:t>
      </w:r>
      <w:r w:rsidR="00083A9A">
        <w:t xml:space="preserve">Our view </w:t>
      </w:r>
      <w:r>
        <w:t>is that the 2012–15 Approved Budget unit prices for customer service and project management should be the basis for calculating AusNet Services' excess expenditure for that cost category. Likewise, we maintain the view that AusNet Services</w:t>
      </w:r>
      <w:r w:rsidR="005C184B">
        <w:t>' meter reading excess operating expenditure</w:t>
      </w:r>
      <w:r>
        <w:t xml:space="preserve"> should be determined according to the allowance we approved in its 2016–20</w:t>
      </w:r>
      <w:r w:rsidR="003D047E">
        <w:t>20</w:t>
      </w:r>
      <w:r>
        <w:t xml:space="preserve"> Victorian distribution determination. </w:t>
      </w:r>
      <w:r w:rsidR="005C184B">
        <w:t>This is how we quantified AusNet Services' express operating expenditure in our draft decision.</w:t>
      </w:r>
      <w:r w:rsidR="005C184B">
        <w:rPr>
          <w:rStyle w:val="FootnoteReference"/>
        </w:rPr>
        <w:footnoteReference w:id="76"/>
      </w:r>
      <w:r w:rsidR="005C184B">
        <w:t xml:space="preserve"> AusNet Services' revised application has not expressly challenged this method of quantification and, accordingly, we affirm our draft decision.</w:t>
      </w:r>
    </w:p>
    <w:p w:rsidR="00CE5C26" w:rsidRPr="008952FB" w:rsidRDefault="00CE5C26" w:rsidP="008952FB">
      <w:r>
        <w:t>We maintain our draft decision accepting $22.2 million ($2018) in excess operating expenditure. This includes $19.4 million ($2018) for meter maintenance, overheads, meter data management, communications infrastructure maintenance and IT operating expenditure. It also includes $1.7 million ($2018) for meter reading and $1.1 million ($2018) for customer service and project management costs.</w:t>
      </w:r>
    </w:p>
    <w:p w:rsidR="00511D62" w:rsidRDefault="003C78E7" w:rsidP="00511D62">
      <w:pPr>
        <w:pStyle w:val="Heading1"/>
      </w:pPr>
      <w:bookmarkStart w:id="48" w:name="_Toc467654520"/>
      <w:r>
        <w:t>CitiPower</w:t>
      </w:r>
      <w:bookmarkEnd w:id="48"/>
    </w:p>
    <w:p w:rsidR="00A95428" w:rsidRDefault="009A23F2" w:rsidP="009A23F2">
      <w:bookmarkStart w:id="49" w:name="_Toc460336342"/>
      <w:bookmarkEnd w:id="49"/>
      <w:r>
        <w:t xml:space="preserve">We accept </w:t>
      </w:r>
      <w:r w:rsidR="003C78E7">
        <w:t>a</w:t>
      </w:r>
      <w:r w:rsidR="00706868">
        <w:t xml:space="preserve"> negative</w:t>
      </w:r>
      <w:r w:rsidR="00596D1C">
        <w:t xml:space="preserve"> </w:t>
      </w:r>
      <w:r w:rsidR="00E77AFF">
        <w:t>transition charge</w:t>
      </w:r>
      <w:r w:rsidR="003C78E7">
        <w:t xml:space="preserve"> for CitiPower</w:t>
      </w:r>
      <w:r w:rsidR="00E77AFF">
        <w:t xml:space="preserve"> of </w:t>
      </w:r>
      <w:r w:rsidR="00706868">
        <w:t>$</w:t>
      </w:r>
      <w:r w:rsidR="00A95428">
        <w:t>1.8</w:t>
      </w:r>
      <w:r w:rsidR="00596D1C">
        <w:t xml:space="preserve"> million ($2018)</w:t>
      </w:r>
      <w:r>
        <w:t xml:space="preserve">.  </w:t>
      </w:r>
    </w:p>
    <w:p w:rsidR="009A23F2" w:rsidRDefault="001E1EA0" w:rsidP="009A23F2">
      <w:pPr>
        <w:pStyle w:val="Heading2"/>
      </w:pPr>
      <w:bookmarkStart w:id="50" w:name="_Toc467654521"/>
      <w:r>
        <w:t>Final</w:t>
      </w:r>
      <w:r w:rsidR="009A23F2">
        <w:t xml:space="preserve"> decision</w:t>
      </w:r>
      <w:bookmarkEnd w:id="50"/>
    </w:p>
    <w:p w:rsidR="006C14CA" w:rsidRDefault="00295C6F" w:rsidP="009A23F2">
      <w:r>
        <w:t>Our final decision is effectively the same as our draft determination</w:t>
      </w:r>
      <w:r w:rsidR="00B86E93">
        <w:t xml:space="preserve"> on CitiP</w:t>
      </w:r>
      <w:r w:rsidR="00EB7BCF">
        <w:t>ower's initial application</w:t>
      </w:r>
      <w:r>
        <w:t xml:space="preserve">. </w:t>
      </w:r>
      <w:r w:rsidR="00EB7BCF">
        <w:t xml:space="preserve"> We note that</w:t>
      </w:r>
      <w:r>
        <w:t xml:space="preserve"> CitiPower </w:t>
      </w:r>
      <w:r w:rsidR="00EB7BCF">
        <w:t>did not submit</w:t>
      </w:r>
      <w:r>
        <w:t xml:space="preserve"> a revised application. </w:t>
      </w:r>
    </w:p>
    <w:p w:rsidR="00295C6F" w:rsidRDefault="00295C6F" w:rsidP="009A23F2">
      <w:r>
        <w:t xml:space="preserve">The only difference from our draft determination </w:t>
      </w:r>
      <w:r w:rsidR="005D7DF2">
        <w:t xml:space="preserve">and </w:t>
      </w:r>
      <w:r>
        <w:t xml:space="preserve">this final decision </w:t>
      </w:r>
      <w:r w:rsidR="005D7DF2">
        <w:t xml:space="preserve">is </w:t>
      </w:r>
      <w:r>
        <w:t>we have applied updated WACC and CPI values</w:t>
      </w:r>
      <w:r w:rsidR="00CF6EE5">
        <w:t>.</w:t>
      </w:r>
      <w:r w:rsidR="00CF6EE5">
        <w:rPr>
          <w:rStyle w:val="FootnoteReference"/>
        </w:rPr>
        <w:footnoteReference w:id="77"/>
      </w:r>
      <w:r>
        <w:t xml:space="preserve"> </w:t>
      </w:r>
      <w:r>
        <w:fldChar w:fldCharType="begin"/>
      </w:r>
      <w:r>
        <w:instrText xml:space="preserve"> REF _Ref467078068 \h </w:instrText>
      </w:r>
      <w:r>
        <w:fldChar w:fldCharType="separate"/>
      </w:r>
      <w:r w:rsidR="0032238B">
        <w:t xml:space="preserve">Table </w:t>
      </w:r>
      <w:r w:rsidR="0032238B">
        <w:rPr>
          <w:noProof/>
        </w:rPr>
        <w:t>5</w:t>
      </w:r>
      <w:r w:rsidR="0032238B">
        <w:t>.</w:t>
      </w:r>
      <w:r w:rsidR="0032238B">
        <w:rPr>
          <w:noProof/>
        </w:rPr>
        <w:t>1</w:t>
      </w:r>
      <w:r>
        <w:fldChar w:fldCharType="end"/>
      </w:r>
      <w:r>
        <w:t xml:space="preserve"> sets out our final</w:t>
      </w:r>
      <w:r w:rsidRPr="00EA403A">
        <w:t xml:space="preserve"> decision </w:t>
      </w:r>
      <w:r>
        <w:t>on CitiPower's transition charge.</w:t>
      </w:r>
      <w:r w:rsidRPr="00EA403A">
        <w:t xml:space="preserve"> </w:t>
      </w:r>
    </w:p>
    <w:p w:rsidR="009A23F2" w:rsidRDefault="003457D3" w:rsidP="003457D3">
      <w:pPr>
        <w:pStyle w:val="Caption"/>
      </w:pPr>
      <w:bookmarkStart w:id="51" w:name="_Ref467078068"/>
      <w:proofErr w:type="gramStart"/>
      <w:r>
        <w:t xml:space="preserve">Table </w:t>
      </w:r>
      <w:fldSimple w:instr=" STYLEREF 1 \s ">
        <w:r w:rsidR="0032238B">
          <w:rPr>
            <w:noProof/>
          </w:rPr>
          <w:t>5</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1</w:t>
      </w:r>
      <w:r w:rsidR="005812E9">
        <w:rPr>
          <w:noProof/>
        </w:rPr>
        <w:fldChar w:fldCharType="end"/>
      </w:r>
      <w:bookmarkEnd w:id="51"/>
      <w:r w:rsidR="009A23F2">
        <w:tab/>
      </w:r>
      <w:r w:rsidR="001E1EA0">
        <w:t>Final</w:t>
      </w:r>
      <w:r w:rsidR="009A23F2">
        <w:t xml:space="preserve"> decision transition charge ($2018)</w:t>
      </w:r>
    </w:p>
    <w:tbl>
      <w:tblPr>
        <w:tblStyle w:val="AERtable-numbers"/>
        <w:tblW w:w="0" w:type="auto"/>
        <w:tblLook w:val="04A0" w:firstRow="1" w:lastRow="0" w:firstColumn="1" w:lastColumn="0" w:noHBand="0" w:noVBand="1"/>
      </w:tblPr>
      <w:tblGrid>
        <w:gridCol w:w="2173"/>
        <w:gridCol w:w="2173"/>
        <w:gridCol w:w="2173"/>
        <w:gridCol w:w="2174"/>
      </w:tblGrid>
      <w:tr w:rsidR="002F0C97" w:rsidTr="002F0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2F0C97" w:rsidRDefault="002F0C97" w:rsidP="002F0C97"/>
        </w:tc>
        <w:tc>
          <w:tcPr>
            <w:tcW w:w="2173" w:type="dxa"/>
          </w:tcPr>
          <w:p w:rsidR="002F0C97" w:rsidRDefault="002F0C97" w:rsidP="002F0C97">
            <w:pPr>
              <w:cnfStyle w:val="100000000000" w:firstRow="1" w:lastRow="0" w:firstColumn="0" w:lastColumn="0" w:oddVBand="0" w:evenVBand="0" w:oddHBand="0" w:evenHBand="0" w:firstRowFirstColumn="0" w:firstRowLastColumn="0" w:lastRowFirstColumn="0" w:lastRowLastColumn="0"/>
            </w:pPr>
            <w:r>
              <w:t>Revenue and costs    true–up</w:t>
            </w:r>
          </w:p>
        </w:tc>
        <w:tc>
          <w:tcPr>
            <w:tcW w:w="2173" w:type="dxa"/>
          </w:tcPr>
          <w:p w:rsidR="002F0C97" w:rsidRDefault="002F0C97" w:rsidP="002F0C97">
            <w:pPr>
              <w:cnfStyle w:val="100000000000" w:firstRow="1" w:lastRow="0" w:firstColumn="0" w:lastColumn="0" w:oddVBand="0" w:evenVBand="0" w:oddHBand="0" w:evenHBand="0" w:firstRowFirstColumn="0" w:firstRowLastColumn="0" w:lastRowFirstColumn="0" w:lastRowLastColumn="0"/>
            </w:pPr>
            <w:r>
              <w:t>Metering asset base true–up</w:t>
            </w:r>
          </w:p>
        </w:tc>
        <w:tc>
          <w:tcPr>
            <w:tcW w:w="2174" w:type="dxa"/>
          </w:tcPr>
          <w:p w:rsidR="002F0C97" w:rsidRDefault="002F0C97" w:rsidP="002F0C97">
            <w:pPr>
              <w:cnfStyle w:val="100000000000" w:firstRow="1" w:lastRow="0" w:firstColumn="0" w:lastColumn="0" w:oddVBand="0" w:evenVBand="0" w:oddHBand="0" w:evenHBand="0" w:firstRowFirstColumn="0" w:firstRowLastColumn="0" w:lastRowFirstColumn="0" w:lastRowLastColumn="0"/>
            </w:pPr>
            <w:r>
              <w:t>Transition charge</w:t>
            </w:r>
          </w:p>
        </w:tc>
      </w:tr>
      <w:tr w:rsidR="00BC25B2" w:rsidTr="002F0C97">
        <w:tc>
          <w:tcPr>
            <w:cnfStyle w:val="001000000000" w:firstRow="0" w:lastRow="0" w:firstColumn="1" w:lastColumn="0" w:oddVBand="0" w:evenVBand="0" w:oddHBand="0" w:evenHBand="0" w:firstRowFirstColumn="0" w:firstRowLastColumn="0" w:lastRowFirstColumn="0" w:lastRowLastColumn="0"/>
            <w:tcW w:w="2173" w:type="dxa"/>
          </w:tcPr>
          <w:p w:rsidR="00BC25B2" w:rsidRPr="002F0C97" w:rsidRDefault="00BC25B2" w:rsidP="00BC25B2">
            <w:r w:rsidRPr="002F0C97">
              <w:t>Initial proposal</w:t>
            </w:r>
          </w:p>
        </w:tc>
        <w:tc>
          <w:tcPr>
            <w:tcW w:w="2173" w:type="dxa"/>
          </w:tcPr>
          <w:p w:rsidR="00BC25B2" w:rsidRPr="00BC25B2" w:rsidRDefault="00BC25B2" w:rsidP="00BC25B2">
            <w:pPr>
              <w:cnfStyle w:val="000000000000" w:firstRow="0" w:lastRow="0" w:firstColumn="0" w:lastColumn="0" w:oddVBand="0" w:evenVBand="0" w:oddHBand="0" w:evenHBand="0" w:firstRowFirstColumn="0" w:firstRowLastColumn="0" w:lastRowFirstColumn="0" w:lastRowLastColumn="0"/>
            </w:pPr>
            <w:r>
              <w:t>(0.6)</w:t>
            </w:r>
          </w:p>
        </w:tc>
        <w:tc>
          <w:tcPr>
            <w:tcW w:w="2173" w:type="dxa"/>
          </w:tcPr>
          <w:p w:rsidR="00BC25B2" w:rsidRPr="00BC25B2" w:rsidRDefault="00BC25B2" w:rsidP="00BC25B2">
            <w:pPr>
              <w:cnfStyle w:val="000000000000" w:firstRow="0" w:lastRow="0" w:firstColumn="0" w:lastColumn="0" w:oddVBand="0" w:evenVBand="0" w:oddHBand="0" w:evenHBand="0" w:firstRowFirstColumn="0" w:firstRowLastColumn="0" w:lastRowFirstColumn="0" w:lastRowLastColumn="0"/>
            </w:pPr>
            <w:r>
              <w:t>(1.2)</w:t>
            </w:r>
          </w:p>
        </w:tc>
        <w:tc>
          <w:tcPr>
            <w:tcW w:w="2174" w:type="dxa"/>
          </w:tcPr>
          <w:p w:rsidR="00BC25B2" w:rsidRPr="00BC25B2" w:rsidRDefault="00BC25B2" w:rsidP="00BC25B2">
            <w:pPr>
              <w:cnfStyle w:val="000000000000" w:firstRow="0" w:lastRow="0" w:firstColumn="0" w:lastColumn="0" w:oddVBand="0" w:evenVBand="0" w:oddHBand="0" w:evenHBand="0" w:firstRowFirstColumn="0" w:firstRowLastColumn="0" w:lastRowFirstColumn="0" w:lastRowLastColumn="0"/>
            </w:pPr>
            <w:r>
              <w:t>(1.8)</w:t>
            </w:r>
          </w:p>
        </w:tc>
      </w:tr>
      <w:tr w:rsidR="002F0C97" w:rsidTr="002F0C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2F0C97" w:rsidRPr="002F0C97" w:rsidRDefault="002F0C97" w:rsidP="002F0C97">
            <w:r w:rsidRPr="002F0C97">
              <w:t>Draft decision</w:t>
            </w:r>
          </w:p>
        </w:tc>
        <w:tc>
          <w:tcPr>
            <w:tcW w:w="2173" w:type="dxa"/>
          </w:tcPr>
          <w:p w:rsidR="002F0C97" w:rsidRDefault="002F0C97" w:rsidP="002F0C97">
            <w:pPr>
              <w:cnfStyle w:val="000000010000" w:firstRow="0" w:lastRow="0" w:firstColumn="0" w:lastColumn="0" w:oddVBand="0" w:evenVBand="0" w:oddHBand="0" w:evenHBand="1" w:firstRowFirstColumn="0" w:firstRowLastColumn="0" w:lastRowFirstColumn="0" w:lastRowLastColumn="0"/>
            </w:pPr>
            <w:r>
              <w:t>(0.6)</w:t>
            </w:r>
          </w:p>
        </w:tc>
        <w:tc>
          <w:tcPr>
            <w:tcW w:w="2173" w:type="dxa"/>
          </w:tcPr>
          <w:p w:rsidR="002F0C97" w:rsidRDefault="002F0C97" w:rsidP="002F0C97">
            <w:pPr>
              <w:cnfStyle w:val="000000010000" w:firstRow="0" w:lastRow="0" w:firstColumn="0" w:lastColumn="0" w:oddVBand="0" w:evenVBand="0" w:oddHBand="0" w:evenHBand="1" w:firstRowFirstColumn="0" w:firstRowLastColumn="0" w:lastRowFirstColumn="0" w:lastRowLastColumn="0"/>
            </w:pPr>
            <w:r>
              <w:t>(1.2)</w:t>
            </w:r>
          </w:p>
        </w:tc>
        <w:tc>
          <w:tcPr>
            <w:tcW w:w="2174" w:type="dxa"/>
          </w:tcPr>
          <w:p w:rsidR="002F0C97" w:rsidRDefault="002F0C97" w:rsidP="002F0C97">
            <w:pPr>
              <w:cnfStyle w:val="000000010000" w:firstRow="0" w:lastRow="0" w:firstColumn="0" w:lastColumn="0" w:oddVBand="0" w:evenVBand="0" w:oddHBand="0" w:evenHBand="1" w:firstRowFirstColumn="0" w:firstRowLastColumn="0" w:lastRowFirstColumn="0" w:lastRowLastColumn="0"/>
            </w:pPr>
            <w:r>
              <w:t>(1.8)</w:t>
            </w:r>
          </w:p>
        </w:tc>
      </w:tr>
      <w:tr w:rsidR="002F0C97" w:rsidTr="002F0C97">
        <w:tc>
          <w:tcPr>
            <w:cnfStyle w:val="001000000000" w:firstRow="0" w:lastRow="0" w:firstColumn="1" w:lastColumn="0" w:oddVBand="0" w:evenVBand="0" w:oddHBand="0" w:evenHBand="0" w:firstRowFirstColumn="0" w:firstRowLastColumn="0" w:lastRowFirstColumn="0" w:lastRowLastColumn="0"/>
            <w:tcW w:w="2173" w:type="dxa"/>
          </w:tcPr>
          <w:p w:rsidR="002F0C97" w:rsidRPr="002F0C97" w:rsidRDefault="002F0C97" w:rsidP="002F0C97">
            <w:r w:rsidRPr="002F0C97">
              <w:t>Revised proposal</w:t>
            </w:r>
          </w:p>
        </w:tc>
        <w:tc>
          <w:tcPr>
            <w:tcW w:w="2173" w:type="dxa"/>
          </w:tcPr>
          <w:p w:rsidR="002F0C97" w:rsidRDefault="002F0C97" w:rsidP="002F0C97">
            <w:pPr>
              <w:cnfStyle w:val="000000000000" w:firstRow="0" w:lastRow="0" w:firstColumn="0" w:lastColumn="0" w:oddVBand="0" w:evenVBand="0" w:oddHBand="0" w:evenHBand="0" w:firstRowFirstColumn="0" w:firstRowLastColumn="0" w:lastRowFirstColumn="0" w:lastRowLastColumn="0"/>
            </w:pPr>
            <w:r>
              <w:t>–</w:t>
            </w:r>
          </w:p>
        </w:tc>
        <w:tc>
          <w:tcPr>
            <w:tcW w:w="2173" w:type="dxa"/>
          </w:tcPr>
          <w:p w:rsidR="002F0C97" w:rsidRDefault="002F0C97" w:rsidP="002F0C97">
            <w:pPr>
              <w:cnfStyle w:val="000000000000" w:firstRow="0" w:lastRow="0" w:firstColumn="0" w:lastColumn="0" w:oddVBand="0" w:evenVBand="0" w:oddHBand="0" w:evenHBand="0" w:firstRowFirstColumn="0" w:firstRowLastColumn="0" w:lastRowFirstColumn="0" w:lastRowLastColumn="0"/>
            </w:pPr>
            <w:r>
              <w:t>–</w:t>
            </w:r>
          </w:p>
        </w:tc>
        <w:tc>
          <w:tcPr>
            <w:tcW w:w="2174" w:type="dxa"/>
          </w:tcPr>
          <w:p w:rsidR="002F0C97" w:rsidRDefault="002F0C97" w:rsidP="002F0C97">
            <w:pPr>
              <w:cnfStyle w:val="000000000000" w:firstRow="0" w:lastRow="0" w:firstColumn="0" w:lastColumn="0" w:oddVBand="0" w:evenVBand="0" w:oddHBand="0" w:evenHBand="0" w:firstRowFirstColumn="0" w:firstRowLastColumn="0" w:lastRowFirstColumn="0" w:lastRowLastColumn="0"/>
            </w:pPr>
            <w:r>
              <w:t>–</w:t>
            </w:r>
          </w:p>
        </w:tc>
      </w:tr>
      <w:tr w:rsidR="002F0C97" w:rsidTr="002F0C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2F0C97" w:rsidRPr="002F0C97" w:rsidRDefault="002F0C97" w:rsidP="002F0C97">
            <w:r w:rsidRPr="002F0C97">
              <w:t>Final decision</w:t>
            </w:r>
          </w:p>
        </w:tc>
        <w:tc>
          <w:tcPr>
            <w:tcW w:w="2173" w:type="dxa"/>
          </w:tcPr>
          <w:p w:rsidR="002F0C97" w:rsidRDefault="002F0C97" w:rsidP="002F0C97">
            <w:pPr>
              <w:cnfStyle w:val="000000010000" w:firstRow="0" w:lastRow="0" w:firstColumn="0" w:lastColumn="0" w:oddVBand="0" w:evenVBand="0" w:oddHBand="0" w:evenHBand="1" w:firstRowFirstColumn="0" w:firstRowLastColumn="0" w:lastRowFirstColumn="0" w:lastRowLastColumn="0"/>
            </w:pPr>
            <w:r>
              <w:t>(0.6)</w:t>
            </w:r>
          </w:p>
        </w:tc>
        <w:tc>
          <w:tcPr>
            <w:tcW w:w="2173" w:type="dxa"/>
          </w:tcPr>
          <w:p w:rsidR="002F0C97" w:rsidRDefault="002F0C97" w:rsidP="002F0C97">
            <w:pPr>
              <w:cnfStyle w:val="000000010000" w:firstRow="0" w:lastRow="0" w:firstColumn="0" w:lastColumn="0" w:oddVBand="0" w:evenVBand="0" w:oddHBand="0" w:evenHBand="1" w:firstRowFirstColumn="0" w:firstRowLastColumn="0" w:lastRowFirstColumn="0" w:lastRowLastColumn="0"/>
            </w:pPr>
            <w:r>
              <w:t>(1.2)</w:t>
            </w:r>
          </w:p>
        </w:tc>
        <w:tc>
          <w:tcPr>
            <w:tcW w:w="2174" w:type="dxa"/>
          </w:tcPr>
          <w:p w:rsidR="002F0C97" w:rsidRDefault="002F0C97" w:rsidP="002F0C97">
            <w:pPr>
              <w:cnfStyle w:val="000000010000" w:firstRow="0" w:lastRow="0" w:firstColumn="0" w:lastColumn="0" w:oddVBand="0" w:evenVBand="0" w:oddHBand="0" w:evenHBand="1" w:firstRowFirstColumn="0" w:firstRowLastColumn="0" w:lastRowFirstColumn="0" w:lastRowLastColumn="0"/>
            </w:pPr>
            <w:r>
              <w:t>(1.8)</w:t>
            </w:r>
          </w:p>
        </w:tc>
      </w:tr>
    </w:tbl>
    <w:p w:rsidR="009A23F2" w:rsidRDefault="009A23F2" w:rsidP="002F0C97">
      <w:pPr>
        <w:pStyle w:val="AERtablesource"/>
        <w:ind w:left="0" w:firstLine="0"/>
      </w:pPr>
      <w:r>
        <w:t>Source:</w:t>
      </w:r>
      <w:r>
        <w:tab/>
        <w:t>AER analysis</w:t>
      </w:r>
      <w:r w:rsidR="003F035B">
        <w:t>.</w:t>
      </w:r>
    </w:p>
    <w:p w:rsidR="00295C6F" w:rsidRDefault="00295C6F" w:rsidP="00295C6F">
      <w:pPr>
        <w:pStyle w:val="AERtablesource"/>
      </w:pPr>
      <w:r>
        <w:t>Note:</w:t>
      </w:r>
      <w:r>
        <w:tab/>
        <w:t>Our draft decision accepted a negative transition charge of $1,818,827 ($2018). Using updated WACC and CPI values, our final decision approves a marginally less return of revenue to customers, totalling $1,815,012 ($2018).</w:t>
      </w:r>
    </w:p>
    <w:p w:rsidR="005A4076" w:rsidRDefault="00A204D6" w:rsidP="005A4076">
      <w:r>
        <w:t>In 2014 and 2015, CitiPower spent less than its allowed AMI budget. It therefore did not submit an application for the recovery of excess expenditure. Instead,</w:t>
      </w:r>
      <w:r w:rsidR="00B50EF2">
        <w:t xml:space="preserve"> as required,</w:t>
      </w:r>
      <w:r w:rsidR="00B50EF2">
        <w:rPr>
          <w:rStyle w:val="FootnoteReference"/>
        </w:rPr>
        <w:footnoteReference w:id="78"/>
      </w:r>
      <w:r>
        <w:t xml:space="preserve"> </w:t>
      </w:r>
      <w:r w:rsidR="00B50EF2">
        <w:t>CitiPower</w:t>
      </w:r>
      <w:r>
        <w:t xml:space="preserve"> provided us with audit reports certifying that its actual expenditure in 2014 and 2015 was within scope and </w:t>
      </w:r>
      <w:r w:rsidR="00B50EF2">
        <w:t>equal to</w:t>
      </w:r>
      <w:r>
        <w:t xml:space="preserve"> the amount claim</w:t>
      </w:r>
      <w:r w:rsidR="001E0640">
        <w:t>ed</w:t>
      </w:r>
      <w:r>
        <w:t>.</w:t>
      </w:r>
      <w:r w:rsidR="00B50EF2">
        <w:rPr>
          <w:rStyle w:val="FootnoteReference"/>
        </w:rPr>
        <w:footnoteReference w:id="79"/>
      </w:r>
    </w:p>
    <w:p w:rsidR="00E9700A" w:rsidRDefault="00E9700A" w:rsidP="005A4076">
      <w:r>
        <w:t>When calculating the negative transition charge of $1.8 million ($2018), we have factored in CitiPower spending less than its AMI budget in 2014 and 2015. By doing this</w:t>
      </w:r>
      <w:r w:rsidR="001E0640">
        <w:t>,</w:t>
      </w:r>
      <w:r>
        <w:t xml:space="preserve"> customers will have the budgeted costs which CitiPower did not incur returned to them via the transition charge. </w:t>
      </w:r>
    </w:p>
    <w:p w:rsidR="001F7EFE" w:rsidRDefault="001F7EFE" w:rsidP="00511D62">
      <w:pPr>
        <w:pStyle w:val="Heading1"/>
      </w:pPr>
      <w:bookmarkStart w:id="52" w:name="_Toc460336347"/>
      <w:bookmarkStart w:id="53" w:name="_Ref461285672"/>
      <w:bookmarkStart w:id="54" w:name="_Toc467654522"/>
      <w:bookmarkEnd w:id="52"/>
      <w:r>
        <w:t>Jemena</w:t>
      </w:r>
      <w:bookmarkEnd w:id="53"/>
      <w:bookmarkEnd w:id="54"/>
    </w:p>
    <w:p w:rsidR="00D423A1" w:rsidRDefault="008E1252" w:rsidP="008E1252">
      <w:bookmarkStart w:id="55" w:name="_Ref461462102"/>
      <w:r>
        <w:t>We accept Jemena's revised transition charge application.</w:t>
      </w:r>
      <w:r w:rsidR="00D423A1">
        <w:t xml:space="preserve"> </w:t>
      </w:r>
    </w:p>
    <w:p w:rsidR="008E1252" w:rsidRDefault="008E1252" w:rsidP="008E1252">
      <w:r>
        <w:t>Our draft decision accepted a negative transition charge of $16.5 million ($2018). In response Jemena made a submission to us proposing a return to customers of $7.7 million ($2018). We have taken this submission into account and have accept</w:t>
      </w:r>
      <w:r w:rsidR="00840472">
        <w:t>ed</w:t>
      </w:r>
      <w:r>
        <w:t xml:space="preserve"> Jemena's revised transition charge. </w:t>
      </w:r>
    </w:p>
    <w:p w:rsidR="00645C98" w:rsidRDefault="00645C98" w:rsidP="00645C98">
      <w:pPr>
        <w:pStyle w:val="Heading2"/>
      </w:pPr>
      <w:bookmarkStart w:id="56" w:name="_Toc467654523"/>
      <w:r>
        <w:t>Final decision</w:t>
      </w:r>
      <w:bookmarkEnd w:id="56"/>
    </w:p>
    <w:p w:rsidR="00645C98" w:rsidRDefault="00645C98" w:rsidP="00645C98">
      <w:r w:rsidRPr="00EA403A">
        <w:t xml:space="preserve">Our </w:t>
      </w:r>
      <w:r>
        <w:t>final</w:t>
      </w:r>
      <w:r w:rsidRPr="00EA403A">
        <w:t xml:space="preserve"> decision provides for a neg</w:t>
      </w:r>
      <w:r>
        <w:t>ative transition charge of $</w:t>
      </w:r>
      <w:r w:rsidR="00010116">
        <w:t>7.7</w:t>
      </w:r>
      <w:r w:rsidRPr="00EA403A">
        <w:t xml:space="preserve"> million ($2018). </w:t>
      </w:r>
    </w:p>
    <w:p w:rsidR="00615541" w:rsidRDefault="00645C98" w:rsidP="00615541">
      <w:r>
        <w:t xml:space="preserve">Under the Order, the calculation of </w:t>
      </w:r>
      <w:r w:rsidR="001D6BB1">
        <w:t>Jemena's</w:t>
      </w:r>
      <w:r>
        <w:t xml:space="preserve"> transition charge must consist of </w:t>
      </w:r>
      <w:proofErr w:type="gramStart"/>
      <w:r>
        <w:t>a revenue</w:t>
      </w:r>
      <w:proofErr w:type="gramEnd"/>
      <w:r>
        <w:t xml:space="preserve"> and costs true–up and a MAB adjustment (see section </w:t>
      </w:r>
      <w:r>
        <w:fldChar w:fldCharType="begin"/>
      </w:r>
      <w:r>
        <w:instrText xml:space="preserve"> REF _Ref461458739 \n \h </w:instrText>
      </w:r>
      <w:r>
        <w:fldChar w:fldCharType="separate"/>
      </w:r>
      <w:r w:rsidR="0032238B">
        <w:t>3.1</w:t>
      </w:r>
      <w:r>
        <w:fldChar w:fldCharType="end"/>
      </w:r>
      <w:r>
        <w:t>).</w:t>
      </w:r>
      <w:r>
        <w:rPr>
          <w:rStyle w:val="FootnoteReference"/>
        </w:rPr>
        <w:footnoteReference w:id="80"/>
      </w:r>
      <w:r>
        <w:t xml:space="preserve"> </w:t>
      </w:r>
      <w:r w:rsidR="001D6BB1">
        <w:t>Jemena's</w:t>
      </w:r>
      <w:r>
        <w:t xml:space="preserve"> initial application included the revenue and costs true–up in the calculation of its proposed transition charge but did not </w:t>
      </w:r>
      <w:r w:rsidR="00721E8A">
        <w:t xml:space="preserve">include </w:t>
      </w:r>
      <w:r>
        <w:t xml:space="preserve">the MAB adjustment. Its submission on our draft decision, however, accepted that the Order requires </w:t>
      </w:r>
      <w:r w:rsidR="00CF6EE5">
        <w:t>a</w:t>
      </w:r>
      <w:r>
        <w:t xml:space="preserve"> MAB adjustment.</w:t>
      </w:r>
      <w:r>
        <w:rPr>
          <w:rStyle w:val="FootnoteReference"/>
        </w:rPr>
        <w:footnoteReference w:id="81"/>
      </w:r>
    </w:p>
    <w:p w:rsidR="00645C98" w:rsidRDefault="00615541" w:rsidP="00645C98">
      <w:r>
        <w:fldChar w:fldCharType="begin"/>
      </w:r>
      <w:r>
        <w:instrText xml:space="preserve"> REF _Ref469491522 \h </w:instrText>
      </w:r>
      <w:r>
        <w:fldChar w:fldCharType="separate"/>
      </w:r>
      <w:r w:rsidR="0032238B">
        <w:t xml:space="preserve">Table </w:t>
      </w:r>
      <w:r w:rsidR="0032238B">
        <w:rPr>
          <w:noProof/>
        </w:rPr>
        <w:t>6</w:t>
      </w:r>
      <w:r w:rsidR="0032238B">
        <w:t>.</w:t>
      </w:r>
      <w:r w:rsidR="0032238B">
        <w:rPr>
          <w:noProof/>
        </w:rPr>
        <w:t>1</w:t>
      </w:r>
      <w:r>
        <w:fldChar w:fldCharType="end"/>
      </w:r>
      <w:r>
        <w:t xml:space="preserve"> </w:t>
      </w:r>
      <w:r w:rsidR="00645C98">
        <w:t>sets out the components that make up our final decision. It shows that our final decision transition charge consists of a revenue and costs true–up of negative $</w:t>
      </w:r>
      <w:r w:rsidR="00010116">
        <w:t>2.4</w:t>
      </w:r>
      <w:r w:rsidR="00645C98">
        <w:t xml:space="preserve"> million ($2018) plus a MAB adjustment of negative $</w:t>
      </w:r>
      <w:r w:rsidR="00010116">
        <w:t>5.3</w:t>
      </w:r>
      <w:r w:rsidR="00645C98">
        <w:t xml:space="preserve"> million ($2018) giving a total transition charge of negative $</w:t>
      </w:r>
      <w:r w:rsidR="00010116">
        <w:t>7.7</w:t>
      </w:r>
      <w:r w:rsidR="00645C98">
        <w:t xml:space="preserve"> million ($2018). This is a lower return to customers than our draft decision</w:t>
      </w:r>
      <w:r w:rsidR="00CF6EE5">
        <w:t xml:space="preserve"> but around four times higher th</w:t>
      </w:r>
      <w:r w:rsidR="00B86E93">
        <w:t>an initially proposed by Jemena</w:t>
      </w:r>
      <w:r w:rsidR="00645C98">
        <w:t>. The lower return is due to our final decision to accept more excess expenditure than in our draft decision (see section</w:t>
      </w:r>
      <w:r w:rsidR="001D6BB1">
        <w:t xml:space="preserve"> </w:t>
      </w:r>
      <w:r w:rsidR="001D6BB1">
        <w:fldChar w:fldCharType="begin"/>
      </w:r>
      <w:r w:rsidR="001D6BB1">
        <w:instrText xml:space="preserve"> REF _Ref467139335 \r \h </w:instrText>
      </w:r>
      <w:r w:rsidR="001D6BB1">
        <w:fldChar w:fldCharType="separate"/>
      </w:r>
      <w:r w:rsidR="0032238B">
        <w:t>6.2</w:t>
      </w:r>
      <w:r w:rsidR="001D6BB1">
        <w:fldChar w:fldCharType="end"/>
      </w:r>
      <w:r w:rsidR="00645C98">
        <w:t>). In calculating the transition charge, we also used updated WACC and CPI numbers which were not available when we made our draft decision.</w:t>
      </w:r>
      <w:r w:rsidR="00CF6EE5">
        <w:rPr>
          <w:rStyle w:val="FootnoteReference"/>
        </w:rPr>
        <w:footnoteReference w:id="82"/>
      </w:r>
    </w:p>
    <w:p w:rsidR="00645C98" w:rsidRDefault="00D423A1" w:rsidP="00D423A1">
      <w:pPr>
        <w:pStyle w:val="Caption"/>
      </w:pPr>
      <w:bookmarkStart w:id="57" w:name="_Ref469491522"/>
      <w:proofErr w:type="gramStart"/>
      <w:r>
        <w:t xml:space="preserve">Table </w:t>
      </w:r>
      <w:fldSimple w:instr=" STYLEREF 1 \s ">
        <w:r w:rsidR="0032238B">
          <w:rPr>
            <w:noProof/>
          </w:rPr>
          <w:t>6</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1</w:t>
      </w:r>
      <w:r w:rsidR="005812E9">
        <w:rPr>
          <w:noProof/>
        </w:rPr>
        <w:fldChar w:fldCharType="end"/>
      </w:r>
      <w:bookmarkEnd w:id="57"/>
      <w:r w:rsidR="00645C98">
        <w:tab/>
        <w:t>Final decision transition charge ($2018)</w:t>
      </w:r>
    </w:p>
    <w:tbl>
      <w:tblPr>
        <w:tblStyle w:val="AERtable-numbers"/>
        <w:tblW w:w="0" w:type="auto"/>
        <w:tblLook w:val="04A0" w:firstRow="1" w:lastRow="0" w:firstColumn="1" w:lastColumn="0" w:noHBand="0" w:noVBand="1"/>
      </w:tblPr>
      <w:tblGrid>
        <w:gridCol w:w="2173"/>
        <w:gridCol w:w="2173"/>
        <w:gridCol w:w="2173"/>
        <w:gridCol w:w="2174"/>
      </w:tblGrid>
      <w:tr w:rsidR="00645C98" w:rsidTr="00295C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645C98" w:rsidRDefault="00645C98" w:rsidP="00645C98"/>
        </w:tc>
        <w:tc>
          <w:tcPr>
            <w:tcW w:w="2173" w:type="dxa"/>
          </w:tcPr>
          <w:p w:rsidR="00645C98" w:rsidRDefault="00645C98" w:rsidP="00645C98">
            <w:pPr>
              <w:cnfStyle w:val="100000000000" w:firstRow="1" w:lastRow="0" w:firstColumn="0" w:lastColumn="0" w:oddVBand="0" w:evenVBand="0" w:oddHBand="0" w:evenHBand="0" w:firstRowFirstColumn="0" w:firstRowLastColumn="0" w:lastRowFirstColumn="0" w:lastRowLastColumn="0"/>
            </w:pPr>
            <w:r>
              <w:t>Revenue and costs    true–up</w:t>
            </w:r>
          </w:p>
        </w:tc>
        <w:tc>
          <w:tcPr>
            <w:tcW w:w="2173" w:type="dxa"/>
          </w:tcPr>
          <w:p w:rsidR="00645C98" w:rsidRDefault="00645C98" w:rsidP="00645C98">
            <w:pPr>
              <w:cnfStyle w:val="100000000000" w:firstRow="1" w:lastRow="0" w:firstColumn="0" w:lastColumn="0" w:oddVBand="0" w:evenVBand="0" w:oddHBand="0" w:evenHBand="0" w:firstRowFirstColumn="0" w:firstRowLastColumn="0" w:lastRowFirstColumn="0" w:lastRowLastColumn="0"/>
            </w:pPr>
            <w:r>
              <w:t>Metering asset base true–up</w:t>
            </w:r>
          </w:p>
        </w:tc>
        <w:tc>
          <w:tcPr>
            <w:tcW w:w="2174" w:type="dxa"/>
          </w:tcPr>
          <w:p w:rsidR="00645C98" w:rsidRDefault="00645C98" w:rsidP="00645C98">
            <w:pPr>
              <w:cnfStyle w:val="100000000000" w:firstRow="1" w:lastRow="0" w:firstColumn="0" w:lastColumn="0" w:oddVBand="0" w:evenVBand="0" w:oddHBand="0" w:evenHBand="0" w:firstRowFirstColumn="0" w:firstRowLastColumn="0" w:lastRowFirstColumn="0" w:lastRowLastColumn="0"/>
            </w:pPr>
            <w:r>
              <w:t>Transition charge</w:t>
            </w:r>
          </w:p>
        </w:tc>
      </w:tr>
      <w:tr w:rsidR="00645C98" w:rsidTr="00295C6F">
        <w:tc>
          <w:tcPr>
            <w:cnfStyle w:val="001000000000" w:firstRow="0" w:lastRow="0" w:firstColumn="1" w:lastColumn="0" w:oddVBand="0" w:evenVBand="0" w:oddHBand="0" w:evenHBand="0" w:firstRowFirstColumn="0" w:firstRowLastColumn="0" w:lastRowFirstColumn="0" w:lastRowLastColumn="0"/>
            <w:tcW w:w="2173" w:type="dxa"/>
          </w:tcPr>
          <w:p w:rsidR="00645C98" w:rsidRDefault="00645C98" w:rsidP="00645C98">
            <w:r>
              <w:t>Initial proposal</w:t>
            </w:r>
          </w:p>
        </w:tc>
        <w:tc>
          <w:tcPr>
            <w:tcW w:w="2173" w:type="dxa"/>
          </w:tcPr>
          <w:p w:rsidR="00645C98" w:rsidRPr="00645C98" w:rsidRDefault="004D7159" w:rsidP="00645C98">
            <w:pPr>
              <w:cnfStyle w:val="000000000000" w:firstRow="0" w:lastRow="0" w:firstColumn="0" w:lastColumn="0" w:oddVBand="0" w:evenVBand="0" w:oddHBand="0" w:evenHBand="0" w:firstRowFirstColumn="0" w:firstRowLastColumn="0" w:lastRowFirstColumn="0" w:lastRowLastColumn="0"/>
            </w:pPr>
            <w:r>
              <w:t>(1.7)</w:t>
            </w:r>
          </w:p>
        </w:tc>
        <w:tc>
          <w:tcPr>
            <w:tcW w:w="2173" w:type="dxa"/>
          </w:tcPr>
          <w:p w:rsidR="00645C98" w:rsidRPr="00645C98" w:rsidRDefault="004D7159" w:rsidP="00645C98">
            <w:pPr>
              <w:cnfStyle w:val="000000000000" w:firstRow="0" w:lastRow="0" w:firstColumn="0" w:lastColumn="0" w:oddVBand="0" w:evenVBand="0" w:oddHBand="0" w:evenHBand="0" w:firstRowFirstColumn="0" w:firstRowLastColumn="0" w:lastRowFirstColumn="0" w:lastRowLastColumn="0"/>
            </w:pPr>
            <w:r>
              <w:t>0.0</w:t>
            </w:r>
          </w:p>
        </w:tc>
        <w:tc>
          <w:tcPr>
            <w:tcW w:w="2174" w:type="dxa"/>
          </w:tcPr>
          <w:p w:rsidR="00645C98" w:rsidRPr="00645C98" w:rsidRDefault="004D7159" w:rsidP="00645C98">
            <w:pPr>
              <w:cnfStyle w:val="000000000000" w:firstRow="0" w:lastRow="0" w:firstColumn="0" w:lastColumn="0" w:oddVBand="0" w:evenVBand="0" w:oddHBand="0" w:evenHBand="0" w:firstRowFirstColumn="0" w:firstRowLastColumn="0" w:lastRowFirstColumn="0" w:lastRowLastColumn="0"/>
            </w:pPr>
            <w:r>
              <w:t>(1.7)</w:t>
            </w:r>
          </w:p>
        </w:tc>
      </w:tr>
      <w:tr w:rsidR="00645C98" w:rsidTr="00295C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645C98" w:rsidRDefault="00645C98" w:rsidP="00645C98">
            <w:r>
              <w:t>Draft decision</w:t>
            </w:r>
          </w:p>
        </w:tc>
        <w:tc>
          <w:tcPr>
            <w:tcW w:w="2173" w:type="dxa"/>
          </w:tcPr>
          <w:p w:rsidR="00645C98" w:rsidRDefault="004D7159" w:rsidP="00645C98">
            <w:pPr>
              <w:cnfStyle w:val="000000010000" w:firstRow="0" w:lastRow="0" w:firstColumn="0" w:lastColumn="0" w:oddVBand="0" w:evenVBand="0" w:oddHBand="0" w:evenHBand="1" w:firstRowFirstColumn="0" w:firstRowLastColumn="0" w:lastRowFirstColumn="0" w:lastRowLastColumn="0"/>
            </w:pPr>
            <w:r>
              <w:t>(7.0)</w:t>
            </w:r>
          </w:p>
        </w:tc>
        <w:tc>
          <w:tcPr>
            <w:tcW w:w="2173" w:type="dxa"/>
          </w:tcPr>
          <w:p w:rsidR="00645C98" w:rsidRDefault="004D7159" w:rsidP="00645C98">
            <w:pPr>
              <w:cnfStyle w:val="000000010000" w:firstRow="0" w:lastRow="0" w:firstColumn="0" w:lastColumn="0" w:oddVBand="0" w:evenVBand="0" w:oddHBand="0" w:evenHBand="1" w:firstRowFirstColumn="0" w:firstRowLastColumn="0" w:lastRowFirstColumn="0" w:lastRowLastColumn="0"/>
            </w:pPr>
            <w:r>
              <w:t>(9.6)</w:t>
            </w:r>
          </w:p>
        </w:tc>
        <w:tc>
          <w:tcPr>
            <w:tcW w:w="2174" w:type="dxa"/>
          </w:tcPr>
          <w:p w:rsidR="00645C98" w:rsidRDefault="004D7159" w:rsidP="00645C98">
            <w:pPr>
              <w:cnfStyle w:val="000000010000" w:firstRow="0" w:lastRow="0" w:firstColumn="0" w:lastColumn="0" w:oddVBand="0" w:evenVBand="0" w:oddHBand="0" w:evenHBand="1" w:firstRowFirstColumn="0" w:firstRowLastColumn="0" w:lastRowFirstColumn="0" w:lastRowLastColumn="0"/>
            </w:pPr>
            <w:r>
              <w:t>(16.5)</w:t>
            </w:r>
          </w:p>
        </w:tc>
      </w:tr>
      <w:tr w:rsidR="00645C98" w:rsidTr="00295C6F">
        <w:tc>
          <w:tcPr>
            <w:cnfStyle w:val="001000000000" w:firstRow="0" w:lastRow="0" w:firstColumn="1" w:lastColumn="0" w:oddVBand="0" w:evenVBand="0" w:oddHBand="0" w:evenHBand="0" w:firstRowFirstColumn="0" w:firstRowLastColumn="0" w:lastRowFirstColumn="0" w:lastRowLastColumn="0"/>
            <w:tcW w:w="2173" w:type="dxa"/>
          </w:tcPr>
          <w:p w:rsidR="00645C98" w:rsidRDefault="00645C98" w:rsidP="00645C98">
            <w:r>
              <w:t>Revised proposal</w:t>
            </w:r>
          </w:p>
        </w:tc>
        <w:tc>
          <w:tcPr>
            <w:tcW w:w="2173" w:type="dxa"/>
          </w:tcPr>
          <w:p w:rsidR="00645C98" w:rsidRPr="00645C98" w:rsidRDefault="004D7159" w:rsidP="00645C98">
            <w:pPr>
              <w:cnfStyle w:val="000000000000" w:firstRow="0" w:lastRow="0" w:firstColumn="0" w:lastColumn="0" w:oddVBand="0" w:evenVBand="0" w:oddHBand="0" w:evenHBand="0" w:firstRowFirstColumn="0" w:firstRowLastColumn="0" w:lastRowFirstColumn="0" w:lastRowLastColumn="0"/>
            </w:pPr>
            <w:r>
              <w:t>(2.4)</w:t>
            </w:r>
          </w:p>
        </w:tc>
        <w:tc>
          <w:tcPr>
            <w:tcW w:w="2173" w:type="dxa"/>
          </w:tcPr>
          <w:p w:rsidR="00645C98" w:rsidRPr="00645C98" w:rsidRDefault="004D7159" w:rsidP="00645C98">
            <w:pPr>
              <w:cnfStyle w:val="000000000000" w:firstRow="0" w:lastRow="0" w:firstColumn="0" w:lastColumn="0" w:oddVBand="0" w:evenVBand="0" w:oddHBand="0" w:evenHBand="0" w:firstRowFirstColumn="0" w:firstRowLastColumn="0" w:lastRowFirstColumn="0" w:lastRowLastColumn="0"/>
            </w:pPr>
            <w:r>
              <w:t>(5.3)</w:t>
            </w:r>
          </w:p>
        </w:tc>
        <w:tc>
          <w:tcPr>
            <w:tcW w:w="2174" w:type="dxa"/>
          </w:tcPr>
          <w:p w:rsidR="00645C98" w:rsidRDefault="004D7159" w:rsidP="00645C98">
            <w:pPr>
              <w:cnfStyle w:val="000000000000" w:firstRow="0" w:lastRow="0" w:firstColumn="0" w:lastColumn="0" w:oddVBand="0" w:evenVBand="0" w:oddHBand="0" w:evenHBand="0" w:firstRowFirstColumn="0" w:firstRowLastColumn="0" w:lastRowFirstColumn="0" w:lastRowLastColumn="0"/>
            </w:pPr>
            <w:r>
              <w:t>(7.7)</w:t>
            </w:r>
          </w:p>
        </w:tc>
      </w:tr>
      <w:tr w:rsidR="00645C98" w:rsidTr="00295C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645C98" w:rsidRDefault="00645C98" w:rsidP="00645C98">
            <w:r>
              <w:t>Final decision</w:t>
            </w:r>
          </w:p>
        </w:tc>
        <w:tc>
          <w:tcPr>
            <w:tcW w:w="2173" w:type="dxa"/>
          </w:tcPr>
          <w:p w:rsidR="00645C98" w:rsidRPr="00645C98" w:rsidRDefault="004D7159" w:rsidP="00645C98">
            <w:pPr>
              <w:cnfStyle w:val="000000010000" w:firstRow="0" w:lastRow="0" w:firstColumn="0" w:lastColumn="0" w:oddVBand="0" w:evenVBand="0" w:oddHBand="0" w:evenHBand="1" w:firstRowFirstColumn="0" w:firstRowLastColumn="0" w:lastRowFirstColumn="0" w:lastRowLastColumn="0"/>
            </w:pPr>
            <w:r>
              <w:t>(2.4)</w:t>
            </w:r>
          </w:p>
        </w:tc>
        <w:tc>
          <w:tcPr>
            <w:tcW w:w="2173" w:type="dxa"/>
          </w:tcPr>
          <w:p w:rsidR="00645C98" w:rsidRPr="00645C98" w:rsidRDefault="004D7159" w:rsidP="00645C98">
            <w:pPr>
              <w:cnfStyle w:val="000000010000" w:firstRow="0" w:lastRow="0" w:firstColumn="0" w:lastColumn="0" w:oddVBand="0" w:evenVBand="0" w:oddHBand="0" w:evenHBand="1" w:firstRowFirstColumn="0" w:firstRowLastColumn="0" w:lastRowFirstColumn="0" w:lastRowLastColumn="0"/>
            </w:pPr>
            <w:r>
              <w:t>(5.3)</w:t>
            </w:r>
          </w:p>
        </w:tc>
        <w:tc>
          <w:tcPr>
            <w:tcW w:w="2174" w:type="dxa"/>
          </w:tcPr>
          <w:p w:rsidR="00645C98" w:rsidRPr="00645C98" w:rsidRDefault="004D7159" w:rsidP="00645C98">
            <w:pPr>
              <w:cnfStyle w:val="000000010000" w:firstRow="0" w:lastRow="0" w:firstColumn="0" w:lastColumn="0" w:oddVBand="0" w:evenVBand="0" w:oddHBand="0" w:evenHBand="1" w:firstRowFirstColumn="0" w:firstRowLastColumn="0" w:lastRowFirstColumn="0" w:lastRowLastColumn="0"/>
            </w:pPr>
            <w:r>
              <w:t>(7.7)</w:t>
            </w:r>
          </w:p>
        </w:tc>
      </w:tr>
    </w:tbl>
    <w:p w:rsidR="00D423A1" w:rsidRDefault="00645C98" w:rsidP="00CF6EE5">
      <w:pPr>
        <w:pStyle w:val="AERtablesource"/>
      </w:pPr>
      <w:r>
        <w:t>Source:</w:t>
      </w:r>
      <w:r>
        <w:tab/>
        <w:t>AER analysis</w:t>
      </w:r>
      <w:r w:rsidRPr="00645C98">
        <w:t>.</w:t>
      </w:r>
    </w:p>
    <w:p w:rsidR="009C6907" w:rsidRDefault="009C6907" w:rsidP="009C6907">
      <w:pPr>
        <w:pStyle w:val="Heading2"/>
      </w:pPr>
      <w:bookmarkStart w:id="58" w:name="_Ref467139335"/>
      <w:bookmarkStart w:id="59" w:name="_Toc467654524"/>
      <w:r>
        <w:t xml:space="preserve">Reasons for </w:t>
      </w:r>
      <w:r w:rsidR="00D27927">
        <w:t>f</w:t>
      </w:r>
      <w:r w:rsidR="001E1EA0">
        <w:t>inal</w:t>
      </w:r>
      <w:r>
        <w:t xml:space="preserve"> decision</w:t>
      </w:r>
      <w:bookmarkEnd w:id="55"/>
      <w:bookmarkEnd w:id="58"/>
      <w:bookmarkEnd w:id="59"/>
    </w:p>
    <w:p w:rsidR="00FC0A97" w:rsidRDefault="00FC0A97" w:rsidP="00FC0A97">
      <w:r>
        <w:t xml:space="preserve">Our final decision accepts the proposed excess capital and operating expenditure included in </w:t>
      </w:r>
      <w:r w:rsidR="00BA6E3C">
        <w:t>Jemena's</w:t>
      </w:r>
      <w:r>
        <w:t xml:space="preserve"> transition charges application. Our reasons </w:t>
      </w:r>
      <w:proofErr w:type="gramStart"/>
      <w:r>
        <w:t>are outlined</w:t>
      </w:r>
      <w:proofErr w:type="gramEnd"/>
      <w:r>
        <w:t xml:space="preserve"> below. </w:t>
      </w:r>
    </w:p>
    <w:p w:rsidR="00FC0A97" w:rsidRDefault="00FC0A97" w:rsidP="00FC0A97">
      <w:pPr>
        <w:pStyle w:val="Heading3"/>
      </w:pPr>
      <w:bookmarkStart w:id="60" w:name="_Toc467654525"/>
      <w:r>
        <w:t>Expenditure excess</w:t>
      </w:r>
      <w:bookmarkEnd w:id="60"/>
    </w:p>
    <w:p w:rsidR="00FC0A97" w:rsidRDefault="00DE11F1" w:rsidP="00FC0A97">
      <w:r>
        <w:t>Our final decision accepts Jemena's revised excess expenditure proposal of $11.6 million ($2018)</w:t>
      </w:r>
      <w:r w:rsidR="00FC0A97">
        <w:t xml:space="preserve">. </w:t>
      </w:r>
      <w:r w:rsidR="00615541">
        <w:fldChar w:fldCharType="begin"/>
      </w:r>
      <w:r w:rsidR="00615541">
        <w:instrText xml:space="preserve"> REF _Ref469491557 \h </w:instrText>
      </w:r>
      <w:r w:rsidR="00615541">
        <w:fldChar w:fldCharType="separate"/>
      </w:r>
      <w:r w:rsidR="0032238B">
        <w:t xml:space="preserve">Table </w:t>
      </w:r>
      <w:r w:rsidR="0032238B">
        <w:rPr>
          <w:noProof/>
        </w:rPr>
        <w:t>6</w:t>
      </w:r>
      <w:r w:rsidR="0032238B">
        <w:t>.</w:t>
      </w:r>
      <w:r w:rsidR="0032238B">
        <w:rPr>
          <w:noProof/>
        </w:rPr>
        <w:t>2</w:t>
      </w:r>
      <w:r w:rsidR="00615541">
        <w:fldChar w:fldCharType="end"/>
      </w:r>
      <w:r w:rsidR="00615541">
        <w:t xml:space="preserve"> </w:t>
      </w:r>
      <w:r w:rsidR="00FC0A97">
        <w:t>sets out our final decision.</w:t>
      </w:r>
      <w:r>
        <w:t xml:space="preserve"> It shows that </w:t>
      </w:r>
      <w:r w:rsidR="005A582D">
        <w:t>we have approved more excess expenditure than at the draft determination stage. Nonetheless, our final decision accepts less excess expenditure than Jemena actually incurred and which it sought to recover in its initial application.</w:t>
      </w:r>
    </w:p>
    <w:p w:rsidR="00FC0A97" w:rsidRDefault="00FC0A97" w:rsidP="00FC0A97">
      <w:pPr>
        <w:pStyle w:val="Caption"/>
      </w:pPr>
      <w:bookmarkStart w:id="61" w:name="_Ref469491557"/>
      <w:proofErr w:type="gramStart"/>
      <w:r>
        <w:t xml:space="preserve">Table </w:t>
      </w:r>
      <w:fldSimple w:instr=" STYLEREF 1 \s ">
        <w:r w:rsidR="0032238B">
          <w:rPr>
            <w:noProof/>
          </w:rPr>
          <w:t>6</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2</w:t>
      </w:r>
      <w:r w:rsidR="005812E9">
        <w:rPr>
          <w:noProof/>
        </w:rPr>
        <w:fldChar w:fldCharType="end"/>
      </w:r>
      <w:bookmarkEnd w:id="61"/>
      <w:r>
        <w:tab/>
        <w:t>Final decision on excess expenditure ($m 2018)</w:t>
      </w:r>
    </w:p>
    <w:tbl>
      <w:tblPr>
        <w:tblStyle w:val="AERtable-numbers"/>
        <w:tblW w:w="0" w:type="auto"/>
        <w:tblLook w:val="04A0" w:firstRow="1" w:lastRow="0" w:firstColumn="1" w:lastColumn="0" w:noHBand="0" w:noVBand="1"/>
      </w:tblPr>
      <w:tblGrid>
        <w:gridCol w:w="1839"/>
        <w:gridCol w:w="1715"/>
        <w:gridCol w:w="1713"/>
        <w:gridCol w:w="1713"/>
        <w:gridCol w:w="1713"/>
      </w:tblGrid>
      <w:tr w:rsidR="00FC0A97" w:rsidTr="00F570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FC0A97" w:rsidRDefault="00FC0A97" w:rsidP="00FC0A97"/>
        </w:tc>
        <w:tc>
          <w:tcPr>
            <w:tcW w:w="1715" w:type="dxa"/>
          </w:tcPr>
          <w:p w:rsidR="00FC0A97" w:rsidRDefault="00FC0A97" w:rsidP="00FC0A97">
            <w:pPr>
              <w:cnfStyle w:val="100000000000" w:firstRow="1" w:lastRow="0" w:firstColumn="0" w:lastColumn="0" w:oddVBand="0" w:evenVBand="0" w:oddHBand="0" w:evenHBand="0" w:firstRowFirstColumn="0" w:firstRowLastColumn="0" w:lastRowFirstColumn="0" w:lastRowLastColumn="0"/>
            </w:pPr>
            <w:r>
              <w:t>Initial      application</w:t>
            </w:r>
          </w:p>
        </w:tc>
        <w:tc>
          <w:tcPr>
            <w:tcW w:w="1713" w:type="dxa"/>
          </w:tcPr>
          <w:p w:rsidR="00FC0A97" w:rsidRDefault="00FC0A97" w:rsidP="00FC0A97">
            <w:pPr>
              <w:cnfStyle w:val="100000000000" w:firstRow="1" w:lastRow="0" w:firstColumn="0" w:lastColumn="0" w:oddVBand="0" w:evenVBand="0" w:oddHBand="0" w:evenHBand="0" w:firstRowFirstColumn="0" w:firstRowLastColumn="0" w:lastRowFirstColumn="0" w:lastRowLastColumn="0"/>
            </w:pPr>
            <w:r>
              <w:t>Draft decision</w:t>
            </w:r>
          </w:p>
        </w:tc>
        <w:tc>
          <w:tcPr>
            <w:tcW w:w="1713" w:type="dxa"/>
          </w:tcPr>
          <w:p w:rsidR="00FC0A97" w:rsidRDefault="00FC0A97" w:rsidP="00FC0A97">
            <w:pPr>
              <w:cnfStyle w:val="100000000000" w:firstRow="1" w:lastRow="0" w:firstColumn="0" w:lastColumn="0" w:oddVBand="0" w:evenVBand="0" w:oddHBand="0" w:evenHBand="0" w:firstRowFirstColumn="0" w:firstRowLastColumn="0" w:lastRowFirstColumn="0" w:lastRowLastColumn="0"/>
            </w:pPr>
            <w:r>
              <w:t>Revised application</w:t>
            </w:r>
          </w:p>
        </w:tc>
        <w:tc>
          <w:tcPr>
            <w:tcW w:w="1713" w:type="dxa"/>
          </w:tcPr>
          <w:p w:rsidR="00FC0A97" w:rsidRDefault="00FC0A97" w:rsidP="00FC0A97">
            <w:pPr>
              <w:cnfStyle w:val="100000000000" w:firstRow="1" w:lastRow="0" w:firstColumn="0" w:lastColumn="0" w:oddVBand="0" w:evenVBand="0" w:oddHBand="0" w:evenHBand="0" w:firstRowFirstColumn="0" w:firstRowLastColumn="0" w:lastRowFirstColumn="0" w:lastRowLastColumn="0"/>
            </w:pPr>
            <w:r>
              <w:t>Final decision</w:t>
            </w:r>
          </w:p>
        </w:tc>
      </w:tr>
      <w:tr w:rsidR="00CE00EF" w:rsidTr="00F57046">
        <w:tc>
          <w:tcPr>
            <w:cnfStyle w:val="001000000000" w:firstRow="0" w:lastRow="0" w:firstColumn="1" w:lastColumn="0" w:oddVBand="0" w:evenVBand="0" w:oddHBand="0" w:evenHBand="0" w:firstRowFirstColumn="0" w:firstRowLastColumn="0" w:lastRowFirstColumn="0" w:lastRowLastColumn="0"/>
            <w:tcW w:w="1839" w:type="dxa"/>
          </w:tcPr>
          <w:p w:rsidR="00CE00EF" w:rsidRPr="00CE00EF" w:rsidRDefault="00CE00EF" w:rsidP="00CE00EF">
            <w:r w:rsidRPr="00CE00EF">
              <w:t>Capex</w:t>
            </w:r>
          </w:p>
        </w:tc>
        <w:tc>
          <w:tcPr>
            <w:tcW w:w="1715"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p>
        </w:tc>
        <w:tc>
          <w:tcPr>
            <w:tcW w:w="1713"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p>
        </w:tc>
        <w:tc>
          <w:tcPr>
            <w:tcW w:w="1713"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p>
        </w:tc>
        <w:tc>
          <w:tcPr>
            <w:tcW w:w="1713"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p>
        </w:tc>
      </w:tr>
      <w:tr w:rsidR="00CE00EF" w:rsidTr="00F570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CE00EF" w:rsidRPr="00CE00EF" w:rsidRDefault="00CE00EF" w:rsidP="00CE00EF">
            <w:pPr>
              <w:pStyle w:val="ListContinue"/>
            </w:pPr>
            <w:r w:rsidRPr="00CE00EF">
              <w:t>Meter supply</w:t>
            </w:r>
          </w:p>
        </w:tc>
        <w:tc>
          <w:tcPr>
            <w:tcW w:w="1715"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r w:rsidRPr="00CE00EF">
              <w:t>1.6</w:t>
            </w:r>
          </w:p>
        </w:tc>
        <w:tc>
          <w:tcPr>
            <w:tcW w:w="1713"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r w:rsidRPr="00CE00EF">
              <w:t>1.6</w:t>
            </w:r>
          </w:p>
        </w:tc>
        <w:tc>
          <w:tcPr>
            <w:tcW w:w="1713"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r w:rsidRPr="00CE00EF">
              <w:t>1.6</w:t>
            </w:r>
          </w:p>
        </w:tc>
        <w:tc>
          <w:tcPr>
            <w:tcW w:w="1713"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r w:rsidRPr="00CE00EF">
              <w:t>1.6</w:t>
            </w:r>
          </w:p>
        </w:tc>
      </w:tr>
      <w:tr w:rsidR="00CE00EF" w:rsidTr="00F57046">
        <w:tc>
          <w:tcPr>
            <w:cnfStyle w:val="001000000000" w:firstRow="0" w:lastRow="0" w:firstColumn="1" w:lastColumn="0" w:oddVBand="0" w:evenVBand="0" w:oddHBand="0" w:evenHBand="0" w:firstRowFirstColumn="0" w:firstRowLastColumn="0" w:lastRowFirstColumn="0" w:lastRowLastColumn="0"/>
            <w:tcW w:w="1839" w:type="dxa"/>
          </w:tcPr>
          <w:p w:rsidR="00CE00EF" w:rsidRPr="00CE00EF" w:rsidRDefault="00CE00EF" w:rsidP="00CE00EF">
            <w:pPr>
              <w:pStyle w:val="ListContinue"/>
            </w:pPr>
            <w:r w:rsidRPr="00CE00EF">
              <w:t>Meter installation</w:t>
            </w:r>
          </w:p>
        </w:tc>
        <w:tc>
          <w:tcPr>
            <w:tcW w:w="1715"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8.2</w:t>
            </w:r>
          </w:p>
        </w:tc>
        <w:tc>
          <w:tcPr>
            <w:tcW w:w="1713"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4.8</w:t>
            </w:r>
          </w:p>
        </w:tc>
        <w:tc>
          <w:tcPr>
            <w:tcW w:w="1713"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6.3</w:t>
            </w:r>
          </w:p>
        </w:tc>
        <w:tc>
          <w:tcPr>
            <w:tcW w:w="1713"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6.3</w:t>
            </w:r>
          </w:p>
        </w:tc>
      </w:tr>
      <w:tr w:rsidR="00CE00EF" w:rsidTr="00F570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CE00EF" w:rsidRPr="00CE00EF" w:rsidRDefault="00CE00EF" w:rsidP="00CE00EF">
            <w:pPr>
              <w:pStyle w:val="ListContinue"/>
            </w:pPr>
            <w:r w:rsidRPr="00CE00EF">
              <w:t xml:space="preserve">Back office </w:t>
            </w:r>
          </w:p>
        </w:tc>
        <w:tc>
          <w:tcPr>
            <w:tcW w:w="1715"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r w:rsidRPr="00CE00EF">
              <w:t>2.4</w:t>
            </w:r>
          </w:p>
        </w:tc>
        <w:tc>
          <w:tcPr>
            <w:tcW w:w="1713"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r w:rsidRPr="00CE00EF">
              <w:t>1.2</w:t>
            </w:r>
          </w:p>
        </w:tc>
        <w:tc>
          <w:tcPr>
            <w:tcW w:w="1713"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r w:rsidRPr="00CE00EF">
              <w:t>2.4</w:t>
            </w:r>
          </w:p>
        </w:tc>
        <w:tc>
          <w:tcPr>
            <w:tcW w:w="1713"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r w:rsidRPr="00CE00EF">
              <w:t>2.4</w:t>
            </w:r>
          </w:p>
        </w:tc>
      </w:tr>
      <w:tr w:rsidR="00CE00EF" w:rsidTr="00F57046">
        <w:tc>
          <w:tcPr>
            <w:cnfStyle w:val="001000000000" w:firstRow="0" w:lastRow="0" w:firstColumn="1" w:lastColumn="0" w:oddVBand="0" w:evenVBand="0" w:oddHBand="0" w:evenHBand="0" w:firstRowFirstColumn="0" w:firstRowLastColumn="0" w:lastRowFirstColumn="0" w:lastRowLastColumn="0"/>
            <w:tcW w:w="1839" w:type="dxa"/>
          </w:tcPr>
          <w:p w:rsidR="00CE00EF" w:rsidRPr="00CE00EF" w:rsidRDefault="00CE00EF" w:rsidP="00CE00EF">
            <w:pPr>
              <w:pStyle w:val="ListContinue"/>
            </w:pPr>
            <w:r w:rsidRPr="00CE00EF">
              <w:t>Subtotal: capex</w:t>
            </w:r>
          </w:p>
        </w:tc>
        <w:tc>
          <w:tcPr>
            <w:tcW w:w="1715"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12.2</w:t>
            </w:r>
          </w:p>
        </w:tc>
        <w:tc>
          <w:tcPr>
            <w:tcW w:w="1713"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7.6</w:t>
            </w:r>
          </w:p>
        </w:tc>
        <w:tc>
          <w:tcPr>
            <w:tcW w:w="1713"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10.5</w:t>
            </w:r>
          </w:p>
        </w:tc>
        <w:tc>
          <w:tcPr>
            <w:tcW w:w="1713"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10.5</w:t>
            </w:r>
          </w:p>
        </w:tc>
      </w:tr>
      <w:tr w:rsidR="00CE00EF" w:rsidTr="00F570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CE00EF" w:rsidRPr="00CE00EF" w:rsidRDefault="00CE00EF" w:rsidP="00CE00EF">
            <w:r w:rsidRPr="00CE00EF">
              <w:t>Opex</w:t>
            </w:r>
          </w:p>
        </w:tc>
        <w:tc>
          <w:tcPr>
            <w:tcW w:w="1715"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p>
        </w:tc>
        <w:tc>
          <w:tcPr>
            <w:tcW w:w="1713"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p>
        </w:tc>
        <w:tc>
          <w:tcPr>
            <w:tcW w:w="1713"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p>
        </w:tc>
        <w:tc>
          <w:tcPr>
            <w:tcW w:w="1713"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p>
        </w:tc>
      </w:tr>
      <w:tr w:rsidR="00CE00EF" w:rsidTr="00F57046">
        <w:tc>
          <w:tcPr>
            <w:cnfStyle w:val="001000000000" w:firstRow="0" w:lastRow="0" w:firstColumn="1" w:lastColumn="0" w:oddVBand="0" w:evenVBand="0" w:oddHBand="0" w:evenHBand="0" w:firstRowFirstColumn="0" w:firstRowLastColumn="0" w:lastRowFirstColumn="0" w:lastRowLastColumn="0"/>
            <w:tcW w:w="1839" w:type="dxa"/>
          </w:tcPr>
          <w:p w:rsidR="00CE00EF" w:rsidRPr="00CE00EF" w:rsidRDefault="00CE00EF" w:rsidP="00CE00EF">
            <w:pPr>
              <w:pStyle w:val="ListContinue"/>
            </w:pPr>
            <w:r w:rsidRPr="00CE00EF">
              <w:t>Meter data</w:t>
            </w:r>
          </w:p>
        </w:tc>
        <w:tc>
          <w:tcPr>
            <w:tcW w:w="1715"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2.5</w:t>
            </w:r>
          </w:p>
        </w:tc>
        <w:tc>
          <w:tcPr>
            <w:tcW w:w="1713"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0.3</w:t>
            </w:r>
          </w:p>
        </w:tc>
        <w:tc>
          <w:tcPr>
            <w:tcW w:w="1713"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1.1</w:t>
            </w:r>
          </w:p>
        </w:tc>
        <w:tc>
          <w:tcPr>
            <w:tcW w:w="1713"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1.1</w:t>
            </w:r>
          </w:p>
        </w:tc>
      </w:tr>
      <w:tr w:rsidR="00CE00EF" w:rsidTr="00F570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CE00EF" w:rsidRPr="00CE00EF" w:rsidRDefault="00CE00EF" w:rsidP="00CE00EF">
            <w:pPr>
              <w:pStyle w:val="ListContinue"/>
            </w:pPr>
            <w:r w:rsidRPr="00CE00EF">
              <w:t>Subtotal: opex</w:t>
            </w:r>
          </w:p>
        </w:tc>
        <w:tc>
          <w:tcPr>
            <w:tcW w:w="1715"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r w:rsidRPr="00CE00EF">
              <w:t>2.5</w:t>
            </w:r>
          </w:p>
        </w:tc>
        <w:tc>
          <w:tcPr>
            <w:tcW w:w="1713"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r w:rsidRPr="00CE00EF">
              <w:t>0.3</w:t>
            </w:r>
          </w:p>
        </w:tc>
        <w:tc>
          <w:tcPr>
            <w:tcW w:w="1713"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r w:rsidRPr="00CE00EF">
              <w:t>1.1</w:t>
            </w:r>
          </w:p>
        </w:tc>
        <w:tc>
          <w:tcPr>
            <w:tcW w:w="1713" w:type="dxa"/>
          </w:tcPr>
          <w:p w:rsidR="00CE00EF" w:rsidRPr="00CE00EF" w:rsidRDefault="00CE00EF" w:rsidP="00CE00EF">
            <w:pPr>
              <w:cnfStyle w:val="000000010000" w:firstRow="0" w:lastRow="0" w:firstColumn="0" w:lastColumn="0" w:oddVBand="0" w:evenVBand="0" w:oddHBand="0" w:evenHBand="1" w:firstRowFirstColumn="0" w:firstRowLastColumn="0" w:lastRowFirstColumn="0" w:lastRowLastColumn="0"/>
            </w:pPr>
            <w:r w:rsidRPr="00CE00EF">
              <w:t>1.1</w:t>
            </w:r>
          </w:p>
        </w:tc>
      </w:tr>
      <w:tr w:rsidR="00CE00EF" w:rsidTr="00F57046">
        <w:tc>
          <w:tcPr>
            <w:cnfStyle w:val="001000000000" w:firstRow="0" w:lastRow="0" w:firstColumn="1" w:lastColumn="0" w:oddVBand="0" w:evenVBand="0" w:oddHBand="0" w:evenHBand="0" w:firstRowFirstColumn="0" w:firstRowLastColumn="0" w:lastRowFirstColumn="0" w:lastRowLastColumn="0"/>
            <w:tcW w:w="1839" w:type="dxa"/>
          </w:tcPr>
          <w:p w:rsidR="00CE00EF" w:rsidRPr="00CE00EF" w:rsidRDefault="00CE00EF" w:rsidP="00CE00EF">
            <w:r w:rsidRPr="00CE00EF">
              <w:t>Total excess expenditure</w:t>
            </w:r>
          </w:p>
        </w:tc>
        <w:tc>
          <w:tcPr>
            <w:tcW w:w="1715"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14.7</w:t>
            </w:r>
          </w:p>
        </w:tc>
        <w:tc>
          <w:tcPr>
            <w:tcW w:w="1713"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7.9</w:t>
            </w:r>
          </w:p>
        </w:tc>
        <w:tc>
          <w:tcPr>
            <w:tcW w:w="1713"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11.6</w:t>
            </w:r>
          </w:p>
        </w:tc>
        <w:tc>
          <w:tcPr>
            <w:tcW w:w="1713" w:type="dxa"/>
          </w:tcPr>
          <w:p w:rsidR="00CE00EF" w:rsidRPr="00CE00EF" w:rsidRDefault="00CE00EF" w:rsidP="00CE00EF">
            <w:pPr>
              <w:cnfStyle w:val="000000000000" w:firstRow="0" w:lastRow="0" w:firstColumn="0" w:lastColumn="0" w:oddVBand="0" w:evenVBand="0" w:oddHBand="0" w:evenHBand="0" w:firstRowFirstColumn="0" w:firstRowLastColumn="0" w:lastRowFirstColumn="0" w:lastRowLastColumn="0"/>
            </w:pPr>
            <w:r w:rsidRPr="00CE00EF">
              <w:t>11.6</w:t>
            </w:r>
          </w:p>
        </w:tc>
      </w:tr>
    </w:tbl>
    <w:p w:rsidR="00FC0A97" w:rsidRDefault="00FC0A97" w:rsidP="00FC0A97">
      <w:pPr>
        <w:pStyle w:val="AERtablesource"/>
      </w:pPr>
      <w:r>
        <w:t>Source:</w:t>
      </w:r>
      <w:r>
        <w:tab/>
        <w:t>AER analysis</w:t>
      </w:r>
      <w:r w:rsidRPr="00051190">
        <w:t>.</w:t>
      </w:r>
    </w:p>
    <w:p w:rsidR="00424A8D" w:rsidRDefault="00424A8D" w:rsidP="00424A8D">
      <w:pPr>
        <w:pStyle w:val="Heading3"/>
      </w:pPr>
      <w:bookmarkStart w:id="62" w:name="_Toc467654526"/>
      <w:r>
        <w:t>Excess capital expenditure</w:t>
      </w:r>
      <w:bookmarkEnd w:id="62"/>
    </w:p>
    <w:p w:rsidR="00424A8D" w:rsidRDefault="00424A8D" w:rsidP="00424A8D">
      <w:r>
        <w:t xml:space="preserve">We accept $10.5 million ($2018) of </w:t>
      </w:r>
      <w:r w:rsidR="00A24ED5">
        <w:t>Jemena's</w:t>
      </w:r>
      <w:r>
        <w:t xml:space="preserve"> revised excess capital expenditure proposal for 2014 and 2015. Our final decision is that this amount meets the requirements in the Order to </w:t>
      </w:r>
      <w:proofErr w:type="gramStart"/>
      <w:r>
        <w:t>be recovered</w:t>
      </w:r>
      <w:proofErr w:type="gramEnd"/>
      <w:r>
        <w:t xml:space="preserve"> through the transition charge. </w:t>
      </w:r>
    </w:p>
    <w:p w:rsidR="00424A8D" w:rsidRDefault="00424A8D" w:rsidP="00424A8D">
      <w:pPr>
        <w:pStyle w:val="HeadingBoldItalic"/>
      </w:pPr>
      <w:r>
        <w:t>Meter supply</w:t>
      </w:r>
    </w:p>
    <w:p w:rsidR="009E0BDB" w:rsidRDefault="009E0BDB" w:rsidP="00A24ED5">
      <w:r w:rsidRPr="00A24ED5">
        <w:t xml:space="preserve">We accept $1.6 million ($2018) in excess capital expenditure for 'meter supply'. This is the full amount that Jemena sought to recover for additional metering units. </w:t>
      </w:r>
      <w:r w:rsidRPr="00A24ED5">
        <w:fldChar w:fldCharType="begin"/>
      </w:r>
      <w:r w:rsidRPr="00A24ED5">
        <w:instrText xml:space="preserve"> REF _Ref467164927 \h </w:instrText>
      </w:r>
      <w:r w:rsidR="00A24ED5">
        <w:instrText xml:space="preserve"> \* MERGEFORMAT </w:instrText>
      </w:r>
      <w:r w:rsidRPr="00A24ED5">
        <w:fldChar w:fldCharType="separate"/>
      </w:r>
      <w:r w:rsidR="0032238B">
        <w:t>Table 6.3</w:t>
      </w:r>
      <w:r w:rsidRPr="00A24ED5">
        <w:fldChar w:fldCharType="end"/>
      </w:r>
      <w:r>
        <w:t xml:space="preserve"> sets out our final decision.</w:t>
      </w:r>
    </w:p>
    <w:p w:rsidR="00A24ED5" w:rsidRDefault="00A24ED5" w:rsidP="00A24ED5"/>
    <w:p w:rsidR="009E0BDB" w:rsidRDefault="009E0BDB" w:rsidP="009E0BDB">
      <w:pPr>
        <w:pStyle w:val="Caption"/>
      </w:pPr>
      <w:bookmarkStart w:id="63" w:name="_Ref467164927"/>
      <w:proofErr w:type="gramStart"/>
      <w:r>
        <w:t xml:space="preserve">Table </w:t>
      </w:r>
      <w:fldSimple w:instr=" STYLEREF 1 \s ">
        <w:r w:rsidR="0032238B">
          <w:rPr>
            <w:noProof/>
          </w:rPr>
          <w:t>6</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3</w:t>
      </w:r>
      <w:r w:rsidR="005812E9">
        <w:rPr>
          <w:noProof/>
        </w:rPr>
        <w:fldChar w:fldCharType="end"/>
      </w:r>
      <w:bookmarkEnd w:id="63"/>
      <w:r>
        <w:tab/>
        <w:t>Draft decision on meter supply capex ($m 2018)</w:t>
      </w:r>
    </w:p>
    <w:tbl>
      <w:tblPr>
        <w:tblStyle w:val="AERtable-numbers"/>
        <w:tblW w:w="0" w:type="auto"/>
        <w:tblLook w:val="04A0" w:firstRow="1" w:lastRow="0" w:firstColumn="1" w:lastColumn="0" w:noHBand="0" w:noVBand="1"/>
      </w:tblPr>
      <w:tblGrid>
        <w:gridCol w:w="1892"/>
        <w:gridCol w:w="1689"/>
        <w:gridCol w:w="1752"/>
        <w:gridCol w:w="1815"/>
        <w:gridCol w:w="1545"/>
      </w:tblGrid>
      <w:tr w:rsidR="003E76B4" w:rsidTr="003E76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Pr>
          <w:p w:rsidR="003E76B4" w:rsidRDefault="003E76B4" w:rsidP="003E76B4"/>
        </w:tc>
        <w:tc>
          <w:tcPr>
            <w:tcW w:w="1689" w:type="dxa"/>
          </w:tcPr>
          <w:p w:rsidR="003E76B4" w:rsidRPr="003E76B4" w:rsidRDefault="003E76B4" w:rsidP="003E76B4">
            <w:pPr>
              <w:cnfStyle w:val="100000000000" w:firstRow="1" w:lastRow="0" w:firstColumn="0" w:lastColumn="0" w:oddVBand="0" w:evenVBand="0" w:oddHBand="0" w:evenHBand="0" w:firstRowFirstColumn="0" w:firstRowLastColumn="0" w:lastRowFirstColumn="0" w:lastRowLastColumn="0"/>
            </w:pPr>
            <w:r>
              <w:t>Initial application</w:t>
            </w:r>
          </w:p>
        </w:tc>
        <w:tc>
          <w:tcPr>
            <w:tcW w:w="1752" w:type="dxa"/>
          </w:tcPr>
          <w:p w:rsidR="003E76B4" w:rsidRPr="003E76B4" w:rsidRDefault="003E76B4" w:rsidP="003E76B4">
            <w:pPr>
              <w:cnfStyle w:val="100000000000" w:firstRow="1" w:lastRow="0" w:firstColumn="0" w:lastColumn="0" w:oddVBand="0" w:evenVBand="0" w:oddHBand="0" w:evenHBand="0" w:firstRowFirstColumn="0" w:firstRowLastColumn="0" w:lastRowFirstColumn="0" w:lastRowLastColumn="0"/>
            </w:pPr>
            <w:r>
              <w:t>Draft decision</w:t>
            </w:r>
          </w:p>
        </w:tc>
        <w:tc>
          <w:tcPr>
            <w:tcW w:w="1815" w:type="dxa"/>
          </w:tcPr>
          <w:p w:rsidR="003E76B4" w:rsidRPr="003E76B4" w:rsidRDefault="003E76B4" w:rsidP="003E76B4">
            <w:pPr>
              <w:cnfStyle w:val="100000000000" w:firstRow="1" w:lastRow="0" w:firstColumn="0" w:lastColumn="0" w:oddVBand="0" w:evenVBand="0" w:oddHBand="0" w:evenHBand="0" w:firstRowFirstColumn="0" w:firstRowLastColumn="0" w:lastRowFirstColumn="0" w:lastRowLastColumn="0"/>
            </w:pPr>
            <w:r>
              <w:t>Revised application</w:t>
            </w:r>
          </w:p>
        </w:tc>
        <w:tc>
          <w:tcPr>
            <w:tcW w:w="1545" w:type="dxa"/>
          </w:tcPr>
          <w:p w:rsidR="003E76B4" w:rsidRDefault="003E76B4" w:rsidP="003E76B4">
            <w:pPr>
              <w:cnfStyle w:val="100000000000" w:firstRow="1" w:lastRow="0" w:firstColumn="0" w:lastColumn="0" w:oddVBand="0" w:evenVBand="0" w:oddHBand="0" w:evenHBand="0" w:firstRowFirstColumn="0" w:firstRowLastColumn="0" w:lastRowFirstColumn="0" w:lastRowLastColumn="0"/>
            </w:pPr>
            <w:r>
              <w:t>Final decision</w:t>
            </w:r>
          </w:p>
        </w:tc>
      </w:tr>
      <w:tr w:rsidR="003E76B4" w:rsidTr="003E76B4">
        <w:tc>
          <w:tcPr>
            <w:cnfStyle w:val="001000000000" w:firstRow="0" w:lastRow="0" w:firstColumn="1" w:lastColumn="0" w:oddVBand="0" w:evenVBand="0" w:oddHBand="0" w:evenHBand="0" w:firstRowFirstColumn="0" w:firstRowLastColumn="0" w:lastRowFirstColumn="0" w:lastRowLastColumn="0"/>
            <w:tcW w:w="1892" w:type="dxa"/>
          </w:tcPr>
          <w:p w:rsidR="003E76B4" w:rsidRPr="003E76B4" w:rsidRDefault="003E76B4" w:rsidP="003E76B4">
            <w:pPr>
              <w:pStyle w:val="ListContinue"/>
            </w:pPr>
            <w:r>
              <w:t>2014</w:t>
            </w:r>
          </w:p>
        </w:tc>
        <w:tc>
          <w:tcPr>
            <w:tcW w:w="1689" w:type="dxa"/>
          </w:tcPr>
          <w:p w:rsidR="003E76B4" w:rsidRPr="003E76B4" w:rsidRDefault="003E76B4" w:rsidP="003E76B4">
            <w:pPr>
              <w:cnfStyle w:val="000000000000" w:firstRow="0" w:lastRow="0" w:firstColumn="0" w:lastColumn="0" w:oddVBand="0" w:evenVBand="0" w:oddHBand="0" w:evenHBand="0" w:firstRowFirstColumn="0" w:firstRowLastColumn="0" w:lastRowFirstColumn="0" w:lastRowLastColumn="0"/>
            </w:pPr>
            <w:r>
              <w:t>2.8</w:t>
            </w:r>
          </w:p>
        </w:tc>
        <w:tc>
          <w:tcPr>
            <w:tcW w:w="1752" w:type="dxa"/>
          </w:tcPr>
          <w:p w:rsidR="003E76B4" w:rsidRPr="003E76B4" w:rsidRDefault="003E76B4" w:rsidP="003E76B4">
            <w:pPr>
              <w:cnfStyle w:val="000000000000" w:firstRow="0" w:lastRow="0" w:firstColumn="0" w:lastColumn="0" w:oddVBand="0" w:evenVBand="0" w:oddHBand="0" w:evenHBand="0" w:firstRowFirstColumn="0" w:firstRowLastColumn="0" w:lastRowFirstColumn="0" w:lastRowLastColumn="0"/>
            </w:pPr>
            <w:r>
              <w:t>2.8</w:t>
            </w:r>
          </w:p>
        </w:tc>
        <w:tc>
          <w:tcPr>
            <w:tcW w:w="1815" w:type="dxa"/>
          </w:tcPr>
          <w:p w:rsidR="003E76B4" w:rsidRPr="003E76B4" w:rsidRDefault="003E76B4" w:rsidP="003E76B4">
            <w:pPr>
              <w:cnfStyle w:val="000000000000" w:firstRow="0" w:lastRow="0" w:firstColumn="0" w:lastColumn="0" w:oddVBand="0" w:evenVBand="0" w:oddHBand="0" w:evenHBand="0" w:firstRowFirstColumn="0" w:firstRowLastColumn="0" w:lastRowFirstColumn="0" w:lastRowLastColumn="0"/>
            </w:pPr>
            <w:r>
              <w:t>2.8</w:t>
            </w:r>
          </w:p>
        </w:tc>
        <w:tc>
          <w:tcPr>
            <w:tcW w:w="1545" w:type="dxa"/>
          </w:tcPr>
          <w:p w:rsidR="003E76B4" w:rsidRPr="003E76B4" w:rsidRDefault="003E76B4" w:rsidP="003E76B4">
            <w:pPr>
              <w:cnfStyle w:val="000000000000" w:firstRow="0" w:lastRow="0" w:firstColumn="0" w:lastColumn="0" w:oddVBand="0" w:evenVBand="0" w:oddHBand="0" w:evenHBand="0" w:firstRowFirstColumn="0" w:firstRowLastColumn="0" w:lastRowFirstColumn="0" w:lastRowLastColumn="0"/>
            </w:pPr>
            <w:r>
              <w:t>2.8</w:t>
            </w:r>
          </w:p>
        </w:tc>
      </w:tr>
      <w:tr w:rsidR="003E76B4" w:rsidTr="003E76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Pr>
          <w:p w:rsidR="003E76B4" w:rsidRPr="003E76B4" w:rsidRDefault="003E76B4" w:rsidP="003E76B4">
            <w:pPr>
              <w:pStyle w:val="ListContinue"/>
            </w:pPr>
            <w:r>
              <w:t>2015</w:t>
            </w:r>
          </w:p>
        </w:tc>
        <w:tc>
          <w:tcPr>
            <w:tcW w:w="1689" w:type="dxa"/>
          </w:tcPr>
          <w:p w:rsidR="003E76B4" w:rsidRPr="003E76B4" w:rsidRDefault="003E76B4" w:rsidP="003E76B4">
            <w:pPr>
              <w:cnfStyle w:val="000000010000" w:firstRow="0" w:lastRow="0" w:firstColumn="0" w:lastColumn="0" w:oddVBand="0" w:evenVBand="0" w:oddHBand="0" w:evenHBand="1" w:firstRowFirstColumn="0" w:firstRowLastColumn="0" w:lastRowFirstColumn="0" w:lastRowLastColumn="0"/>
            </w:pPr>
            <w:r>
              <w:t>(</w:t>
            </w:r>
            <w:r w:rsidRPr="003E76B4">
              <w:t>1.1)</w:t>
            </w:r>
          </w:p>
        </w:tc>
        <w:tc>
          <w:tcPr>
            <w:tcW w:w="1752" w:type="dxa"/>
          </w:tcPr>
          <w:p w:rsidR="003E76B4" w:rsidRPr="003E76B4" w:rsidRDefault="003E76B4" w:rsidP="003E76B4">
            <w:pPr>
              <w:cnfStyle w:val="000000010000" w:firstRow="0" w:lastRow="0" w:firstColumn="0" w:lastColumn="0" w:oddVBand="0" w:evenVBand="0" w:oddHBand="0" w:evenHBand="1" w:firstRowFirstColumn="0" w:firstRowLastColumn="0" w:lastRowFirstColumn="0" w:lastRowLastColumn="0"/>
            </w:pPr>
            <w:r>
              <w:t>(</w:t>
            </w:r>
            <w:r w:rsidRPr="003E76B4">
              <w:t>1.1)</w:t>
            </w:r>
          </w:p>
        </w:tc>
        <w:tc>
          <w:tcPr>
            <w:tcW w:w="1815" w:type="dxa"/>
          </w:tcPr>
          <w:p w:rsidR="003E76B4" w:rsidRPr="003E76B4" w:rsidRDefault="003E76B4" w:rsidP="003E76B4">
            <w:pPr>
              <w:cnfStyle w:val="000000010000" w:firstRow="0" w:lastRow="0" w:firstColumn="0" w:lastColumn="0" w:oddVBand="0" w:evenVBand="0" w:oddHBand="0" w:evenHBand="1" w:firstRowFirstColumn="0" w:firstRowLastColumn="0" w:lastRowFirstColumn="0" w:lastRowLastColumn="0"/>
            </w:pPr>
            <w:r>
              <w:t>(</w:t>
            </w:r>
            <w:r w:rsidRPr="003E76B4">
              <w:t>1.1)</w:t>
            </w:r>
          </w:p>
        </w:tc>
        <w:tc>
          <w:tcPr>
            <w:tcW w:w="1545" w:type="dxa"/>
          </w:tcPr>
          <w:p w:rsidR="003E76B4" w:rsidRPr="003E76B4" w:rsidRDefault="003E76B4" w:rsidP="003E76B4">
            <w:pPr>
              <w:cnfStyle w:val="000000010000" w:firstRow="0" w:lastRow="0" w:firstColumn="0" w:lastColumn="0" w:oddVBand="0" w:evenVBand="0" w:oddHBand="0" w:evenHBand="1" w:firstRowFirstColumn="0" w:firstRowLastColumn="0" w:lastRowFirstColumn="0" w:lastRowLastColumn="0"/>
            </w:pPr>
            <w:r>
              <w:t>(</w:t>
            </w:r>
            <w:r w:rsidRPr="003E76B4">
              <w:t>1.1)</w:t>
            </w:r>
          </w:p>
        </w:tc>
      </w:tr>
      <w:tr w:rsidR="003E76B4" w:rsidTr="003E76B4">
        <w:tc>
          <w:tcPr>
            <w:cnfStyle w:val="001000000000" w:firstRow="0" w:lastRow="0" w:firstColumn="1" w:lastColumn="0" w:oddVBand="0" w:evenVBand="0" w:oddHBand="0" w:evenHBand="0" w:firstRowFirstColumn="0" w:firstRowLastColumn="0" w:lastRowFirstColumn="0" w:lastRowLastColumn="0"/>
            <w:tcW w:w="1892" w:type="dxa"/>
          </w:tcPr>
          <w:p w:rsidR="003E76B4" w:rsidRPr="003E76B4" w:rsidRDefault="003E76B4" w:rsidP="003E76B4">
            <w:pPr>
              <w:pStyle w:val="ListContinue"/>
            </w:pPr>
            <w:r>
              <w:t>Total</w:t>
            </w:r>
            <w:r w:rsidRPr="003E76B4">
              <w:t xml:space="preserve"> </w:t>
            </w:r>
          </w:p>
        </w:tc>
        <w:tc>
          <w:tcPr>
            <w:tcW w:w="1689" w:type="dxa"/>
          </w:tcPr>
          <w:p w:rsidR="003E76B4" w:rsidRPr="003E76B4" w:rsidRDefault="003E76B4" w:rsidP="003E76B4">
            <w:pPr>
              <w:cnfStyle w:val="000000000000" w:firstRow="0" w:lastRow="0" w:firstColumn="0" w:lastColumn="0" w:oddVBand="0" w:evenVBand="0" w:oddHBand="0" w:evenHBand="0" w:firstRowFirstColumn="0" w:firstRowLastColumn="0" w:lastRowFirstColumn="0" w:lastRowLastColumn="0"/>
            </w:pPr>
            <w:r>
              <w:t>1.6</w:t>
            </w:r>
          </w:p>
        </w:tc>
        <w:tc>
          <w:tcPr>
            <w:tcW w:w="1752" w:type="dxa"/>
          </w:tcPr>
          <w:p w:rsidR="003E76B4" w:rsidRPr="003E76B4" w:rsidRDefault="003E76B4" w:rsidP="003E76B4">
            <w:pPr>
              <w:cnfStyle w:val="000000000000" w:firstRow="0" w:lastRow="0" w:firstColumn="0" w:lastColumn="0" w:oddVBand="0" w:evenVBand="0" w:oddHBand="0" w:evenHBand="0" w:firstRowFirstColumn="0" w:firstRowLastColumn="0" w:lastRowFirstColumn="0" w:lastRowLastColumn="0"/>
            </w:pPr>
            <w:r>
              <w:t>1.6</w:t>
            </w:r>
          </w:p>
        </w:tc>
        <w:tc>
          <w:tcPr>
            <w:tcW w:w="1815" w:type="dxa"/>
          </w:tcPr>
          <w:p w:rsidR="003E76B4" w:rsidRPr="003E76B4" w:rsidRDefault="003E76B4" w:rsidP="003E76B4">
            <w:pPr>
              <w:cnfStyle w:val="000000000000" w:firstRow="0" w:lastRow="0" w:firstColumn="0" w:lastColumn="0" w:oddVBand="0" w:evenVBand="0" w:oddHBand="0" w:evenHBand="0" w:firstRowFirstColumn="0" w:firstRowLastColumn="0" w:lastRowFirstColumn="0" w:lastRowLastColumn="0"/>
            </w:pPr>
            <w:r>
              <w:t>1.6</w:t>
            </w:r>
          </w:p>
        </w:tc>
        <w:tc>
          <w:tcPr>
            <w:tcW w:w="1545" w:type="dxa"/>
          </w:tcPr>
          <w:p w:rsidR="003E76B4" w:rsidRPr="003E76B4" w:rsidRDefault="003E76B4" w:rsidP="003E76B4">
            <w:pPr>
              <w:cnfStyle w:val="000000000000" w:firstRow="0" w:lastRow="0" w:firstColumn="0" w:lastColumn="0" w:oddVBand="0" w:evenVBand="0" w:oddHBand="0" w:evenHBand="0" w:firstRowFirstColumn="0" w:firstRowLastColumn="0" w:lastRowFirstColumn="0" w:lastRowLastColumn="0"/>
            </w:pPr>
            <w:r>
              <w:t>1.6</w:t>
            </w:r>
          </w:p>
        </w:tc>
      </w:tr>
    </w:tbl>
    <w:p w:rsidR="009E0BDB" w:rsidRDefault="009E0BDB" w:rsidP="009E0BDB">
      <w:pPr>
        <w:pStyle w:val="AERtablesource"/>
      </w:pPr>
      <w:r>
        <w:t xml:space="preserve">Source: </w:t>
      </w:r>
      <w:r>
        <w:tab/>
        <w:t>AER analysis.</w:t>
      </w:r>
    </w:p>
    <w:p w:rsidR="009E0BDB" w:rsidRDefault="009E0BDB" w:rsidP="009E0BDB">
      <w:r>
        <w:t>At the draft decision stage, Jemena proposed—and we accepted—that its excess capital expenditure for meter supply was due to delays in its AMI roll–out that were outside of its control.</w:t>
      </w:r>
      <w:r>
        <w:rPr>
          <w:rStyle w:val="FootnoteReference"/>
        </w:rPr>
        <w:footnoteReference w:id="83"/>
      </w:r>
      <w:r w:rsidR="00B86E93">
        <w:t xml:space="preserve"> Our view is that there were g</w:t>
      </w:r>
      <w:r>
        <w:t>overnment policy and market changes which would have caused delays. This is consistent with our determinations for both AusNet Services and United Energy.</w:t>
      </w:r>
      <w:r>
        <w:rPr>
          <w:rStyle w:val="FootnoteReference"/>
        </w:rPr>
        <w:footnoteReference w:id="84"/>
      </w:r>
      <w:r>
        <w:t xml:space="preserve"> We also note that benchmarking conducted by Energeia observed that Jemena's 2009–15 meter supply capex was reasonably efficient.</w:t>
      </w:r>
      <w:r>
        <w:rPr>
          <w:rStyle w:val="FootnoteReference"/>
        </w:rPr>
        <w:footnoteReference w:id="85"/>
      </w:r>
      <w:r>
        <w:t xml:space="preserve"> We accordingly affirm our draft decision accepting Jemena's proposed meter supply capex</w:t>
      </w:r>
      <w:r w:rsidR="00D25638">
        <w:t xml:space="preserve"> of $1.6 million ($2018)</w:t>
      </w:r>
      <w:r>
        <w:t>.</w:t>
      </w:r>
    </w:p>
    <w:p w:rsidR="003E76B4" w:rsidRDefault="003E76B4" w:rsidP="003E76B4">
      <w:pPr>
        <w:pStyle w:val="HeadingBoldItalic"/>
      </w:pPr>
      <w:r>
        <w:t>Meter installation</w:t>
      </w:r>
    </w:p>
    <w:p w:rsidR="003E76B4" w:rsidRDefault="00D25638" w:rsidP="003E76B4">
      <w:r>
        <w:t>We accept Jemena's revised proposed $6.3 million ($2018) in excess capital expenditure for meter installations.</w:t>
      </w:r>
      <w:r w:rsidR="003E76B4">
        <w:t xml:space="preserve"> </w:t>
      </w:r>
      <w:r>
        <w:fldChar w:fldCharType="begin"/>
      </w:r>
      <w:r>
        <w:instrText xml:space="preserve"> REF _Ref467166308 \h </w:instrText>
      </w:r>
      <w:r>
        <w:fldChar w:fldCharType="separate"/>
      </w:r>
      <w:r w:rsidR="0032238B">
        <w:t xml:space="preserve">Table </w:t>
      </w:r>
      <w:r w:rsidR="0032238B">
        <w:rPr>
          <w:noProof/>
        </w:rPr>
        <w:t>6</w:t>
      </w:r>
      <w:r w:rsidR="0032238B">
        <w:t>.</w:t>
      </w:r>
      <w:r w:rsidR="0032238B">
        <w:rPr>
          <w:noProof/>
        </w:rPr>
        <w:t>4</w:t>
      </w:r>
      <w:r>
        <w:fldChar w:fldCharType="end"/>
      </w:r>
      <w:r>
        <w:t xml:space="preserve"> </w:t>
      </w:r>
      <w:r w:rsidR="003E76B4">
        <w:t xml:space="preserve">sets out our </w:t>
      </w:r>
      <w:r>
        <w:t>final</w:t>
      </w:r>
      <w:r w:rsidR="003E76B4">
        <w:t xml:space="preserve"> decision.</w:t>
      </w:r>
    </w:p>
    <w:p w:rsidR="003E76B4" w:rsidRDefault="00D25638" w:rsidP="00D25638">
      <w:pPr>
        <w:pStyle w:val="Caption"/>
      </w:pPr>
      <w:bookmarkStart w:id="64" w:name="_Ref467166308"/>
      <w:proofErr w:type="gramStart"/>
      <w:r>
        <w:t xml:space="preserve">Table </w:t>
      </w:r>
      <w:fldSimple w:instr=" STYLEREF 1 \s ">
        <w:r w:rsidR="0032238B">
          <w:rPr>
            <w:noProof/>
          </w:rPr>
          <w:t>6</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4</w:t>
      </w:r>
      <w:r w:rsidR="005812E9">
        <w:rPr>
          <w:noProof/>
        </w:rPr>
        <w:fldChar w:fldCharType="end"/>
      </w:r>
      <w:bookmarkEnd w:id="64"/>
      <w:r>
        <w:tab/>
      </w:r>
      <w:r w:rsidR="003E76B4">
        <w:t>Draft decision on meter installation capex ($m 2018)</w:t>
      </w:r>
    </w:p>
    <w:tbl>
      <w:tblPr>
        <w:tblStyle w:val="AERtable-numbers"/>
        <w:tblW w:w="0" w:type="auto"/>
        <w:tblLook w:val="04A0" w:firstRow="1" w:lastRow="0" w:firstColumn="1" w:lastColumn="0" w:noHBand="0" w:noVBand="1"/>
      </w:tblPr>
      <w:tblGrid>
        <w:gridCol w:w="1738"/>
        <w:gridCol w:w="1738"/>
        <w:gridCol w:w="1739"/>
        <w:gridCol w:w="1739"/>
        <w:gridCol w:w="1739"/>
      </w:tblGrid>
      <w:tr w:rsidR="00D25638" w:rsidTr="00D25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D25638" w:rsidRDefault="00D25638" w:rsidP="00D25638"/>
        </w:tc>
        <w:tc>
          <w:tcPr>
            <w:tcW w:w="1738" w:type="dxa"/>
          </w:tcPr>
          <w:p w:rsidR="00D25638" w:rsidRPr="00D25638" w:rsidRDefault="00D25638" w:rsidP="00D25638">
            <w:pPr>
              <w:cnfStyle w:val="100000000000" w:firstRow="1" w:lastRow="0" w:firstColumn="0" w:lastColumn="0" w:oddVBand="0" w:evenVBand="0" w:oddHBand="0" w:evenHBand="0" w:firstRowFirstColumn="0" w:firstRowLastColumn="0" w:lastRowFirstColumn="0" w:lastRowLastColumn="0"/>
            </w:pPr>
            <w:r>
              <w:t>I</w:t>
            </w:r>
            <w:r w:rsidRPr="00D25638">
              <w:t>nitial application</w:t>
            </w:r>
          </w:p>
        </w:tc>
        <w:tc>
          <w:tcPr>
            <w:tcW w:w="1739" w:type="dxa"/>
          </w:tcPr>
          <w:p w:rsidR="00D25638" w:rsidRPr="00D25638" w:rsidRDefault="00D25638" w:rsidP="00D25638">
            <w:pPr>
              <w:cnfStyle w:val="100000000000" w:firstRow="1" w:lastRow="0" w:firstColumn="0" w:lastColumn="0" w:oddVBand="0" w:evenVBand="0" w:oddHBand="0" w:evenHBand="0" w:firstRowFirstColumn="0" w:firstRowLastColumn="0" w:lastRowFirstColumn="0" w:lastRowLastColumn="0"/>
            </w:pPr>
            <w:r>
              <w:t>Draft decision</w:t>
            </w:r>
          </w:p>
        </w:tc>
        <w:tc>
          <w:tcPr>
            <w:tcW w:w="1739" w:type="dxa"/>
          </w:tcPr>
          <w:p w:rsidR="00D25638" w:rsidRPr="00D25638" w:rsidRDefault="00D25638" w:rsidP="00D25638">
            <w:pPr>
              <w:cnfStyle w:val="100000000000" w:firstRow="1" w:lastRow="0" w:firstColumn="0" w:lastColumn="0" w:oddVBand="0" w:evenVBand="0" w:oddHBand="0" w:evenHBand="0" w:firstRowFirstColumn="0" w:firstRowLastColumn="0" w:lastRowFirstColumn="0" w:lastRowLastColumn="0"/>
            </w:pPr>
            <w:r>
              <w:t>Revised application</w:t>
            </w:r>
          </w:p>
        </w:tc>
        <w:tc>
          <w:tcPr>
            <w:tcW w:w="1739" w:type="dxa"/>
          </w:tcPr>
          <w:p w:rsidR="00D25638" w:rsidRPr="00D25638" w:rsidRDefault="00D25638" w:rsidP="00D25638">
            <w:pPr>
              <w:cnfStyle w:val="100000000000" w:firstRow="1" w:lastRow="0" w:firstColumn="0" w:lastColumn="0" w:oddVBand="0" w:evenVBand="0" w:oddHBand="0" w:evenHBand="0" w:firstRowFirstColumn="0" w:firstRowLastColumn="0" w:lastRowFirstColumn="0" w:lastRowLastColumn="0"/>
            </w:pPr>
            <w:r>
              <w:t>Final decision</w:t>
            </w:r>
          </w:p>
        </w:tc>
      </w:tr>
      <w:tr w:rsidR="00D25638" w:rsidTr="00D25638">
        <w:tc>
          <w:tcPr>
            <w:cnfStyle w:val="001000000000" w:firstRow="0" w:lastRow="0" w:firstColumn="1" w:lastColumn="0" w:oddVBand="0" w:evenVBand="0" w:oddHBand="0" w:evenHBand="0" w:firstRowFirstColumn="0" w:firstRowLastColumn="0" w:lastRowFirstColumn="0" w:lastRowLastColumn="0"/>
            <w:tcW w:w="1738" w:type="dxa"/>
          </w:tcPr>
          <w:p w:rsidR="00D25638" w:rsidRPr="00D25638" w:rsidRDefault="00D25638" w:rsidP="00D25638">
            <w:pPr>
              <w:pStyle w:val="ListContinue"/>
              <w:ind w:left="0"/>
            </w:pPr>
            <w:r>
              <w:t>2014</w:t>
            </w:r>
          </w:p>
        </w:tc>
        <w:tc>
          <w:tcPr>
            <w:tcW w:w="1738" w:type="dxa"/>
          </w:tcPr>
          <w:p w:rsidR="00D25638" w:rsidRPr="00D25638" w:rsidRDefault="00D25638" w:rsidP="00D25638">
            <w:pPr>
              <w:cnfStyle w:val="000000000000" w:firstRow="0" w:lastRow="0" w:firstColumn="0" w:lastColumn="0" w:oddVBand="0" w:evenVBand="0" w:oddHBand="0" w:evenHBand="0" w:firstRowFirstColumn="0" w:firstRowLastColumn="0" w:lastRowFirstColumn="0" w:lastRowLastColumn="0"/>
            </w:pPr>
            <w:r>
              <w:t>8.0</w:t>
            </w:r>
          </w:p>
        </w:tc>
        <w:tc>
          <w:tcPr>
            <w:tcW w:w="1739" w:type="dxa"/>
          </w:tcPr>
          <w:p w:rsidR="00D25638" w:rsidRPr="00D25638" w:rsidRDefault="00D25638" w:rsidP="00D25638">
            <w:pPr>
              <w:cnfStyle w:val="000000000000" w:firstRow="0" w:lastRow="0" w:firstColumn="0" w:lastColumn="0" w:oddVBand="0" w:evenVBand="0" w:oddHBand="0" w:evenHBand="0" w:firstRowFirstColumn="0" w:firstRowLastColumn="0" w:lastRowFirstColumn="0" w:lastRowLastColumn="0"/>
            </w:pPr>
            <w:r>
              <w:t>4.5</w:t>
            </w:r>
          </w:p>
        </w:tc>
        <w:tc>
          <w:tcPr>
            <w:tcW w:w="1739" w:type="dxa"/>
          </w:tcPr>
          <w:p w:rsidR="00D25638" w:rsidRPr="00D25638" w:rsidRDefault="00D25638" w:rsidP="00D25638">
            <w:pPr>
              <w:cnfStyle w:val="000000000000" w:firstRow="0" w:lastRow="0" w:firstColumn="0" w:lastColumn="0" w:oddVBand="0" w:evenVBand="0" w:oddHBand="0" w:evenHBand="0" w:firstRowFirstColumn="0" w:firstRowLastColumn="0" w:lastRowFirstColumn="0" w:lastRowLastColumn="0"/>
            </w:pPr>
            <w:r>
              <w:t>6.1</w:t>
            </w:r>
          </w:p>
        </w:tc>
        <w:tc>
          <w:tcPr>
            <w:tcW w:w="1739" w:type="dxa"/>
          </w:tcPr>
          <w:p w:rsidR="00D25638" w:rsidRPr="00D25638" w:rsidRDefault="00D25638" w:rsidP="00D25638">
            <w:pPr>
              <w:cnfStyle w:val="000000000000" w:firstRow="0" w:lastRow="0" w:firstColumn="0" w:lastColumn="0" w:oddVBand="0" w:evenVBand="0" w:oddHBand="0" w:evenHBand="0" w:firstRowFirstColumn="0" w:firstRowLastColumn="0" w:lastRowFirstColumn="0" w:lastRowLastColumn="0"/>
            </w:pPr>
            <w:r>
              <w:t>6.1</w:t>
            </w:r>
          </w:p>
        </w:tc>
      </w:tr>
      <w:tr w:rsidR="00D25638" w:rsidTr="00D256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D25638" w:rsidRPr="00D25638" w:rsidRDefault="00D25638" w:rsidP="00D25638">
            <w:pPr>
              <w:pStyle w:val="ListContinue"/>
              <w:ind w:left="0"/>
            </w:pPr>
            <w:r>
              <w:t>2015</w:t>
            </w:r>
          </w:p>
        </w:tc>
        <w:tc>
          <w:tcPr>
            <w:tcW w:w="1738" w:type="dxa"/>
          </w:tcPr>
          <w:p w:rsidR="00D25638" w:rsidRPr="00D25638" w:rsidRDefault="00D25638" w:rsidP="00D25638">
            <w:pPr>
              <w:cnfStyle w:val="000000010000" w:firstRow="0" w:lastRow="0" w:firstColumn="0" w:lastColumn="0" w:oddVBand="0" w:evenVBand="0" w:oddHBand="0" w:evenHBand="1" w:firstRowFirstColumn="0" w:firstRowLastColumn="0" w:lastRowFirstColumn="0" w:lastRowLastColumn="0"/>
            </w:pPr>
            <w:r>
              <w:t>0.3</w:t>
            </w:r>
          </w:p>
        </w:tc>
        <w:tc>
          <w:tcPr>
            <w:tcW w:w="1739" w:type="dxa"/>
          </w:tcPr>
          <w:p w:rsidR="00D25638" w:rsidRPr="00D25638" w:rsidRDefault="00D25638" w:rsidP="00D25638">
            <w:pPr>
              <w:cnfStyle w:val="000000010000" w:firstRow="0" w:lastRow="0" w:firstColumn="0" w:lastColumn="0" w:oddVBand="0" w:evenVBand="0" w:oddHBand="0" w:evenHBand="1" w:firstRowFirstColumn="0" w:firstRowLastColumn="0" w:lastRowFirstColumn="0" w:lastRowLastColumn="0"/>
            </w:pPr>
            <w:r>
              <w:t>0.3</w:t>
            </w:r>
          </w:p>
        </w:tc>
        <w:tc>
          <w:tcPr>
            <w:tcW w:w="1739" w:type="dxa"/>
          </w:tcPr>
          <w:p w:rsidR="00D25638" w:rsidRPr="00D25638" w:rsidRDefault="00D25638" w:rsidP="00D25638">
            <w:pPr>
              <w:cnfStyle w:val="000000010000" w:firstRow="0" w:lastRow="0" w:firstColumn="0" w:lastColumn="0" w:oddVBand="0" w:evenVBand="0" w:oddHBand="0" w:evenHBand="1" w:firstRowFirstColumn="0" w:firstRowLastColumn="0" w:lastRowFirstColumn="0" w:lastRowLastColumn="0"/>
            </w:pPr>
            <w:r>
              <w:t>0.3</w:t>
            </w:r>
          </w:p>
        </w:tc>
        <w:tc>
          <w:tcPr>
            <w:tcW w:w="1739" w:type="dxa"/>
          </w:tcPr>
          <w:p w:rsidR="00D25638" w:rsidRPr="00D25638" w:rsidRDefault="00D25638" w:rsidP="00D25638">
            <w:pPr>
              <w:cnfStyle w:val="000000010000" w:firstRow="0" w:lastRow="0" w:firstColumn="0" w:lastColumn="0" w:oddVBand="0" w:evenVBand="0" w:oddHBand="0" w:evenHBand="1" w:firstRowFirstColumn="0" w:firstRowLastColumn="0" w:lastRowFirstColumn="0" w:lastRowLastColumn="0"/>
            </w:pPr>
            <w:r>
              <w:t>0.3</w:t>
            </w:r>
          </w:p>
        </w:tc>
      </w:tr>
      <w:tr w:rsidR="00D25638" w:rsidTr="00D25638">
        <w:tc>
          <w:tcPr>
            <w:cnfStyle w:val="001000000000" w:firstRow="0" w:lastRow="0" w:firstColumn="1" w:lastColumn="0" w:oddVBand="0" w:evenVBand="0" w:oddHBand="0" w:evenHBand="0" w:firstRowFirstColumn="0" w:firstRowLastColumn="0" w:lastRowFirstColumn="0" w:lastRowLastColumn="0"/>
            <w:tcW w:w="1738" w:type="dxa"/>
          </w:tcPr>
          <w:p w:rsidR="00D25638" w:rsidRPr="00D25638" w:rsidRDefault="00D25638" w:rsidP="00D25638">
            <w:pPr>
              <w:pStyle w:val="ListContinue"/>
              <w:ind w:left="0"/>
            </w:pPr>
            <w:r>
              <w:t>Total</w:t>
            </w:r>
            <w:r w:rsidRPr="00D25638">
              <w:t xml:space="preserve"> </w:t>
            </w:r>
          </w:p>
        </w:tc>
        <w:tc>
          <w:tcPr>
            <w:tcW w:w="1738" w:type="dxa"/>
          </w:tcPr>
          <w:p w:rsidR="00D25638" w:rsidRPr="00D25638" w:rsidRDefault="00D25638" w:rsidP="00D25638">
            <w:pPr>
              <w:cnfStyle w:val="000000000000" w:firstRow="0" w:lastRow="0" w:firstColumn="0" w:lastColumn="0" w:oddVBand="0" w:evenVBand="0" w:oddHBand="0" w:evenHBand="0" w:firstRowFirstColumn="0" w:firstRowLastColumn="0" w:lastRowFirstColumn="0" w:lastRowLastColumn="0"/>
            </w:pPr>
            <w:r>
              <w:t>8.2</w:t>
            </w:r>
          </w:p>
        </w:tc>
        <w:tc>
          <w:tcPr>
            <w:tcW w:w="1739" w:type="dxa"/>
          </w:tcPr>
          <w:p w:rsidR="00D25638" w:rsidRPr="00D25638" w:rsidRDefault="00D25638" w:rsidP="00D25638">
            <w:pPr>
              <w:cnfStyle w:val="000000000000" w:firstRow="0" w:lastRow="0" w:firstColumn="0" w:lastColumn="0" w:oddVBand="0" w:evenVBand="0" w:oddHBand="0" w:evenHBand="0" w:firstRowFirstColumn="0" w:firstRowLastColumn="0" w:lastRowFirstColumn="0" w:lastRowLastColumn="0"/>
            </w:pPr>
            <w:r>
              <w:t>4.8</w:t>
            </w:r>
          </w:p>
        </w:tc>
        <w:tc>
          <w:tcPr>
            <w:tcW w:w="1739" w:type="dxa"/>
          </w:tcPr>
          <w:p w:rsidR="00D25638" w:rsidRPr="00D25638" w:rsidRDefault="00D25638" w:rsidP="00D25638">
            <w:pPr>
              <w:cnfStyle w:val="000000000000" w:firstRow="0" w:lastRow="0" w:firstColumn="0" w:lastColumn="0" w:oddVBand="0" w:evenVBand="0" w:oddHBand="0" w:evenHBand="0" w:firstRowFirstColumn="0" w:firstRowLastColumn="0" w:lastRowFirstColumn="0" w:lastRowLastColumn="0"/>
            </w:pPr>
            <w:r>
              <w:t>6.3</w:t>
            </w:r>
          </w:p>
        </w:tc>
        <w:tc>
          <w:tcPr>
            <w:tcW w:w="1739" w:type="dxa"/>
          </w:tcPr>
          <w:p w:rsidR="00D25638" w:rsidRPr="00D25638" w:rsidRDefault="00D25638" w:rsidP="00D25638">
            <w:pPr>
              <w:cnfStyle w:val="000000000000" w:firstRow="0" w:lastRow="0" w:firstColumn="0" w:lastColumn="0" w:oddVBand="0" w:evenVBand="0" w:oddHBand="0" w:evenHBand="0" w:firstRowFirstColumn="0" w:firstRowLastColumn="0" w:lastRowFirstColumn="0" w:lastRowLastColumn="0"/>
            </w:pPr>
            <w:r>
              <w:t>6.3</w:t>
            </w:r>
          </w:p>
        </w:tc>
      </w:tr>
    </w:tbl>
    <w:p w:rsidR="003E76B4" w:rsidRDefault="003E76B4" w:rsidP="00D25638">
      <w:pPr>
        <w:pStyle w:val="AERtablesource"/>
        <w:ind w:left="0" w:firstLine="0"/>
      </w:pPr>
      <w:r>
        <w:t xml:space="preserve">Source: </w:t>
      </w:r>
      <w:r>
        <w:tab/>
      </w:r>
      <w:r w:rsidR="00D25638">
        <w:t>AER analysis.</w:t>
      </w:r>
    </w:p>
    <w:p w:rsidR="00D25638" w:rsidRPr="00D25638" w:rsidRDefault="00D25638" w:rsidP="00D25638">
      <w:r>
        <w:t>We accepted Jemena’s proposed volume of new meter installations at the draft decision stage.</w:t>
      </w:r>
      <w:r w:rsidR="004161E9">
        <w:rPr>
          <w:rStyle w:val="FootnoteReference"/>
        </w:rPr>
        <w:footnoteReference w:id="86"/>
      </w:r>
      <w:r w:rsidRPr="00D25638">
        <w:t xml:space="preserve">  Our view was that changes to government policy would have pushed out the installation of meters past the initially scheduled completion date (December 2013). We accordingly accepted excess expenditure based on an additional 26 782 installations in 2014 and a further 1 103 installations in 2015.</w:t>
      </w:r>
    </w:p>
    <w:p w:rsidR="002E578B" w:rsidRDefault="00D25638" w:rsidP="00D25638">
      <w:r>
        <w:t xml:space="preserve">Though we accepted </w:t>
      </w:r>
      <w:r w:rsidRPr="00D25638">
        <w:t xml:space="preserve">Jemena’s proposed volume of metering installations, our draft decision rejected its proposed unit costs. </w:t>
      </w:r>
      <w:r>
        <w:t>In response, Jemena has revised its</w:t>
      </w:r>
      <w:r w:rsidRPr="00D25638">
        <w:t xml:space="preserve"> 2014 installation unit costs. </w:t>
      </w:r>
      <w:r w:rsidR="008612C7">
        <w:fldChar w:fldCharType="begin"/>
      </w:r>
      <w:r w:rsidR="008612C7">
        <w:instrText xml:space="preserve"> REF _Ref467574193 \h </w:instrText>
      </w:r>
      <w:r w:rsidR="008612C7">
        <w:fldChar w:fldCharType="separate"/>
      </w:r>
      <w:r w:rsidR="0032238B">
        <w:t xml:space="preserve">Table </w:t>
      </w:r>
      <w:r w:rsidR="0032238B">
        <w:rPr>
          <w:noProof/>
        </w:rPr>
        <w:t>6</w:t>
      </w:r>
      <w:r w:rsidR="0032238B">
        <w:t>.</w:t>
      </w:r>
      <w:r w:rsidR="0032238B">
        <w:rPr>
          <w:noProof/>
        </w:rPr>
        <w:t>5</w:t>
      </w:r>
      <w:r w:rsidR="008612C7">
        <w:fldChar w:fldCharType="end"/>
      </w:r>
      <w:r w:rsidR="008612C7">
        <w:t xml:space="preserve"> </w:t>
      </w:r>
      <w:r w:rsidRPr="00D25638">
        <w:t xml:space="preserve">shows that this revised amount is $208.17 ($nominal) per installation. This is lower than Jemena’s actual 2014 installation unit cost of $277.00 ($ nominal) put forward in its initial application. </w:t>
      </w:r>
      <w:r w:rsidR="002E578B">
        <w:t>Our final decision is to accept Jemena's revised installation unit cost.</w:t>
      </w:r>
    </w:p>
    <w:p w:rsidR="00E26FAC" w:rsidRPr="00D25638" w:rsidRDefault="008612C7" w:rsidP="008612C7">
      <w:pPr>
        <w:pStyle w:val="Caption"/>
      </w:pPr>
      <w:bookmarkStart w:id="65" w:name="_Ref467574193"/>
      <w:proofErr w:type="gramStart"/>
      <w:r>
        <w:t xml:space="preserve">Table </w:t>
      </w:r>
      <w:fldSimple w:instr=" STYLEREF 1 \s ">
        <w:r w:rsidR="0032238B">
          <w:rPr>
            <w:noProof/>
          </w:rPr>
          <w:t>6</w:t>
        </w:r>
      </w:fldSimple>
      <w:r w:rsidR="002F1365">
        <w:t>.</w:t>
      </w:r>
      <w:proofErr w:type="gramEnd"/>
      <w:r w:rsidR="005812E9">
        <w:fldChar w:fldCharType="begin"/>
      </w:r>
      <w:r w:rsidR="005812E9">
        <w:instrText xml:space="preserve"> SEQ Table \* ARABIC \s 1 </w:instrText>
      </w:r>
      <w:r w:rsidR="005812E9">
        <w:fldChar w:fldCharType="separate"/>
      </w:r>
      <w:r w:rsidR="0032238B">
        <w:rPr>
          <w:noProof/>
        </w:rPr>
        <w:t>5</w:t>
      </w:r>
      <w:r w:rsidR="005812E9">
        <w:rPr>
          <w:noProof/>
        </w:rPr>
        <w:fldChar w:fldCharType="end"/>
      </w:r>
      <w:bookmarkEnd w:id="65"/>
      <w:r w:rsidR="00E26FAC">
        <w:tab/>
      </w:r>
      <w:r w:rsidR="002E578B">
        <w:t>Final decision on metering installation unit costs ($ nominal)</w:t>
      </w:r>
    </w:p>
    <w:tbl>
      <w:tblPr>
        <w:tblStyle w:val="AERtable-numbers"/>
        <w:tblW w:w="0" w:type="auto"/>
        <w:tblLook w:val="04A0" w:firstRow="1" w:lastRow="0" w:firstColumn="1" w:lastColumn="0" w:noHBand="0" w:noVBand="1"/>
      </w:tblPr>
      <w:tblGrid>
        <w:gridCol w:w="1992"/>
        <w:gridCol w:w="1782"/>
        <w:gridCol w:w="1740"/>
        <w:gridCol w:w="1724"/>
        <w:gridCol w:w="1455"/>
      </w:tblGrid>
      <w:tr w:rsidR="0030228C" w:rsidRPr="0068171D" w:rsidTr="00E26F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tcPr>
          <w:p w:rsidR="00E26FAC" w:rsidRPr="00E26FAC" w:rsidRDefault="00E26FAC" w:rsidP="00E26FAC"/>
        </w:tc>
        <w:tc>
          <w:tcPr>
            <w:tcW w:w="1913" w:type="dxa"/>
          </w:tcPr>
          <w:p w:rsidR="00E26FAC" w:rsidRPr="00E26FAC" w:rsidRDefault="00E26FAC" w:rsidP="00E26FAC">
            <w:pPr>
              <w:cnfStyle w:val="100000000000" w:firstRow="1" w:lastRow="0" w:firstColumn="0" w:lastColumn="0" w:oddVBand="0" w:evenVBand="0" w:oddHBand="0" w:evenHBand="0" w:firstRowFirstColumn="0" w:firstRowLastColumn="0" w:lastRowFirstColumn="0" w:lastRowLastColumn="0"/>
            </w:pPr>
            <w:r w:rsidRPr="00E26FAC">
              <w:t>Initial proposal</w:t>
            </w:r>
          </w:p>
        </w:tc>
        <w:tc>
          <w:tcPr>
            <w:tcW w:w="1868" w:type="dxa"/>
          </w:tcPr>
          <w:p w:rsidR="00E26FAC" w:rsidRPr="00E26FAC" w:rsidRDefault="00E26FAC" w:rsidP="00E26FAC">
            <w:pPr>
              <w:cnfStyle w:val="100000000000" w:firstRow="1" w:lastRow="0" w:firstColumn="0" w:lastColumn="0" w:oddVBand="0" w:evenVBand="0" w:oddHBand="0" w:evenHBand="0" w:firstRowFirstColumn="0" w:firstRowLastColumn="0" w:lastRowFirstColumn="0" w:lastRowLastColumn="0"/>
            </w:pPr>
            <w:r w:rsidRPr="00E26FAC">
              <w:t>Draft decision</w:t>
            </w:r>
          </w:p>
        </w:tc>
        <w:tc>
          <w:tcPr>
            <w:tcW w:w="1822" w:type="dxa"/>
          </w:tcPr>
          <w:p w:rsidR="00E26FAC" w:rsidRPr="00E26FAC" w:rsidRDefault="00E26FAC" w:rsidP="0030228C">
            <w:pPr>
              <w:cnfStyle w:val="100000000000" w:firstRow="1" w:lastRow="0" w:firstColumn="0" w:lastColumn="0" w:oddVBand="0" w:evenVBand="0" w:oddHBand="0" w:evenHBand="0" w:firstRowFirstColumn="0" w:firstRowLastColumn="0" w:lastRowFirstColumn="0" w:lastRowLastColumn="0"/>
            </w:pPr>
            <w:r w:rsidRPr="00E26FAC">
              <w:t xml:space="preserve">Revised </w:t>
            </w:r>
            <w:r w:rsidR="0030228C">
              <w:t>application</w:t>
            </w:r>
          </w:p>
        </w:tc>
        <w:tc>
          <w:tcPr>
            <w:tcW w:w="1541" w:type="dxa"/>
          </w:tcPr>
          <w:p w:rsidR="00E26FAC" w:rsidRPr="00E26FAC" w:rsidRDefault="002E578B" w:rsidP="002E578B">
            <w:pPr>
              <w:cnfStyle w:val="100000000000" w:firstRow="1" w:lastRow="0" w:firstColumn="0" w:lastColumn="0" w:oddVBand="0" w:evenVBand="0" w:oddHBand="0" w:evenHBand="0" w:firstRowFirstColumn="0" w:firstRowLastColumn="0" w:lastRowFirstColumn="0" w:lastRowLastColumn="0"/>
            </w:pPr>
            <w:r>
              <w:t xml:space="preserve"> F</w:t>
            </w:r>
            <w:r w:rsidR="00E26FAC" w:rsidRPr="00E26FAC">
              <w:t>inal decision</w:t>
            </w:r>
          </w:p>
        </w:tc>
      </w:tr>
      <w:tr w:rsidR="00E26FAC" w:rsidRPr="0068171D" w:rsidTr="00E26FAC">
        <w:tc>
          <w:tcPr>
            <w:cnfStyle w:val="001000000000" w:firstRow="0" w:lastRow="0" w:firstColumn="1" w:lastColumn="0" w:oddVBand="0" w:evenVBand="0" w:oddHBand="0" w:evenHBand="0" w:firstRowFirstColumn="0" w:firstRowLastColumn="0" w:lastRowFirstColumn="0" w:lastRowLastColumn="0"/>
            <w:tcW w:w="2142" w:type="dxa"/>
          </w:tcPr>
          <w:p w:rsidR="00E26FAC" w:rsidRPr="00E26FAC" w:rsidRDefault="00E26FAC" w:rsidP="00E26FAC">
            <w:r w:rsidRPr="00E26FAC">
              <w:t xml:space="preserve">2014 installation unit costs </w:t>
            </w:r>
          </w:p>
        </w:tc>
        <w:tc>
          <w:tcPr>
            <w:tcW w:w="1913" w:type="dxa"/>
          </w:tcPr>
          <w:p w:rsidR="00E26FAC" w:rsidRPr="00E26FAC" w:rsidRDefault="00E26FAC" w:rsidP="00E26FAC">
            <w:pPr>
              <w:cnfStyle w:val="000000000000" w:firstRow="0" w:lastRow="0" w:firstColumn="0" w:lastColumn="0" w:oddVBand="0" w:evenVBand="0" w:oddHBand="0" w:evenHBand="0" w:firstRowFirstColumn="0" w:firstRowLastColumn="0" w:lastRowFirstColumn="0" w:lastRowLastColumn="0"/>
            </w:pPr>
            <w:r w:rsidRPr="00E26FAC">
              <w:t>277.00</w:t>
            </w:r>
          </w:p>
        </w:tc>
        <w:tc>
          <w:tcPr>
            <w:tcW w:w="1868" w:type="dxa"/>
          </w:tcPr>
          <w:p w:rsidR="00E26FAC" w:rsidRPr="00E26FAC" w:rsidRDefault="00E26FAC" w:rsidP="00E26FAC">
            <w:pPr>
              <w:cnfStyle w:val="000000000000" w:firstRow="0" w:lastRow="0" w:firstColumn="0" w:lastColumn="0" w:oddVBand="0" w:evenVBand="0" w:oddHBand="0" w:evenHBand="0" w:firstRowFirstColumn="0" w:firstRowLastColumn="0" w:lastRowFirstColumn="0" w:lastRowLastColumn="0"/>
            </w:pPr>
            <w:r w:rsidRPr="00E26FAC">
              <w:t>132.00</w:t>
            </w:r>
          </w:p>
        </w:tc>
        <w:tc>
          <w:tcPr>
            <w:tcW w:w="1822" w:type="dxa"/>
          </w:tcPr>
          <w:p w:rsidR="00E26FAC" w:rsidRPr="00E26FAC" w:rsidRDefault="00E26FAC" w:rsidP="00E26FAC">
            <w:pPr>
              <w:cnfStyle w:val="000000000000" w:firstRow="0" w:lastRow="0" w:firstColumn="0" w:lastColumn="0" w:oddVBand="0" w:evenVBand="0" w:oddHBand="0" w:evenHBand="0" w:firstRowFirstColumn="0" w:firstRowLastColumn="0" w:lastRowFirstColumn="0" w:lastRowLastColumn="0"/>
            </w:pPr>
            <w:r w:rsidRPr="00E26FAC">
              <w:t>208.17</w:t>
            </w:r>
          </w:p>
        </w:tc>
        <w:tc>
          <w:tcPr>
            <w:tcW w:w="1541" w:type="dxa"/>
          </w:tcPr>
          <w:p w:rsidR="00E26FAC" w:rsidRPr="00E26FAC" w:rsidRDefault="00E26FAC" w:rsidP="00E26FAC">
            <w:pPr>
              <w:cnfStyle w:val="000000000000" w:firstRow="0" w:lastRow="0" w:firstColumn="0" w:lastColumn="0" w:oddVBand="0" w:evenVBand="0" w:oddHBand="0" w:evenHBand="0" w:firstRowFirstColumn="0" w:firstRowLastColumn="0" w:lastRowFirstColumn="0" w:lastRowLastColumn="0"/>
            </w:pPr>
            <w:r w:rsidRPr="00E26FAC">
              <w:t>208.17</w:t>
            </w:r>
          </w:p>
        </w:tc>
      </w:tr>
    </w:tbl>
    <w:p w:rsidR="005D24A5" w:rsidRDefault="002E578B" w:rsidP="002E578B">
      <w:pPr>
        <w:pStyle w:val="AERtablesource"/>
      </w:pPr>
      <w:r>
        <w:t>Source:</w:t>
      </w:r>
      <w:r>
        <w:tab/>
        <w:t>AER analysis.</w:t>
      </w:r>
    </w:p>
    <w:p w:rsidR="008612C7" w:rsidRDefault="008612C7" w:rsidP="002E578B">
      <w:r>
        <w:t xml:space="preserve">We accept the revised unit cost for metering installations in light of additional information </w:t>
      </w:r>
      <w:r w:rsidR="00A11C3D">
        <w:t>provided</w:t>
      </w:r>
      <w:r>
        <w:t xml:space="preserve"> in Jemena's revised application. This information responded to </w:t>
      </w:r>
      <w:r w:rsidR="00A11C3D">
        <w:t>the</w:t>
      </w:r>
      <w:r>
        <w:t xml:space="preserve"> construction of a benchmark unit cost in our draft decision. </w:t>
      </w:r>
    </w:p>
    <w:p w:rsidR="0030228C" w:rsidRDefault="002E578B" w:rsidP="002E578B">
      <w:r>
        <w:t>At the draft decision stage</w:t>
      </w:r>
      <w:r w:rsidRPr="00D25638">
        <w:t xml:space="preserve">, we applied benchmarking </w:t>
      </w:r>
      <w:bookmarkStart w:id="66" w:name="_GoBack"/>
      <w:bookmarkEnd w:id="66"/>
      <w:r w:rsidRPr="00D25638">
        <w:t xml:space="preserve">analysis performed by Energeia. It identified that for metering installations the benchmark efficient entity (BEE) was United Energy. Based on Energeia’s </w:t>
      </w:r>
      <w:r>
        <w:t>analysis</w:t>
      </w:r>
      <w:r w:rsidRPr="00D25638">
        <w:t xml:space="preserve"> we substituted Jemena’s installation unit cost of $277.00 with United Energy’s actual 2014 unit cost of $132.00 ($ nominal). </w:t>
      </w:r>
      <w:r w:rsidR="0030228C">
        <w:t xml:space="preserve">In light of </w:t>
      </w:r>
      <w:r w:rsidR="008612C7">
        <w:t>the</w:t>
      </w:r>
      <w:r w:rsidR="0030228C">
        <w:t xml:space="preserve"> information in Jemena's revised application, we accept that there </w:t>
      </w:r>
      <w:r w:rsidR="008612C7">
        <w:t>were</w:t>
      </w:r>
      <w:r w:rsidR="0030228C">
        <w:t xml:space="preserve"> differences between Jemena</w:t>
      </w:r>
      <w:r w:rsidR="008612C7">
        <w:t>'s</w:t>
      </w:r>
      <w:r w:rsidR="0030228C">
        <w:t xml:space="preserve"> and United Energy</w:t>
      </w:r>
      <w:r w:rsidR="008612C7">
        <w:t>'s metering installation progra</w:t>
      </w:r>
      <w:r w:rsidR="00A11C3D">
        <w:t>ms in 2014</w:t>
      </w:r>
      <w:r w:rsidR="00EB7BCF">
        <w:t xml:space="preserve"> and based on this information, we have taken these into account in the benchmarking applied to Jemena</w:t>
      </w:r>
      <w:r w:rsidR="0030228C">
        <w:t>. These differences relate to the stage at which Jemena was in its AMI roll–out program compared to United Energy.</w:t>
      </w:r>
    </w:p>
    <w:p w:rsidR="0030228C" w:rsidRPr="0030228C" w:rsidRDefault="0030228C" w:rsidP="0030228C">
      <w:r>
        <w:t xml:space="preserve">In 2014, Jemena installed 26 782 meters whereas United Energy installed 117 701, or 439 percent more. Jemena considers that this </w:t>
      </w:r>
      <w:proofErr w:type="gramStart"/>
      <w:r>
        <w:t>must be taken</w:t>
      </w:r>
      <w:proofErr w:type="gramEnd"/>
      <w:r>
        <w:t xml:space="preserve"> into account when benchmarking its unit costs because there are </w:t>
      </w:r>
      <w:r w:rsidRPr="0030228C">
        <w:t xml:space="preserve">greater efficiencies available to a distributor when it is installing a larger volume of meters. It also submits that meter density </w:t>
      </w:r>
      <w:proofErr w:type="gramStart"/>
      <w:r w:rsidRPr="0030228C">
        <w:t>should be taken</w:t>
      </w:r>
      <w:proofErr w:type="gramEnd"/>
      <w:r w:rsidRPr="0030228C">
        <w:t xml:space="preserve"> into account. </w:t>
      </w:r>
      <w:proofErr w:type="gramStart"/>
      <w:r w:rsidRPr="0030228C">
        <w:t>With respect to this, Jemena’s and United Energy’s territories cover 4 515 km</w:t>
      </w:r>
      <w:r w:rsidRPr="0030228C">
        <w:rPr>
          <w:rStyle w:val="AERsuperscript"/>
        </w:rPr>
        <w:t>2</w:t>
      </w:r>
      <w:r w:rsidRPr="0030228C">
        <w:t xml:space="preserve"> and 7 483 km</w:t>
      </w:r>
      <w:r w:rsidRPr="0030228C">
        <w:rPr>
          <w:rStyle w:val="AERsuperscript"/>
        </w:rPr>
        <w:t>2</w:t>
      </w:r>
      <w:r w:rsidRPr="0030228C">
        <w:t xml:space="preserve"> respectively.</w:t>
      </w:r>
      <w:proofErr w:type="gramEnd"/>
      <w:r w:rsidRPr="0030228C">
        <w:t xml:space="preserve"> Jemena notes that when 2014 volumes </w:t>
      </w:r>
      <w:proofErr w:type="gramStart"/>
      <w:r w:rsidRPr="0030228C">
        <w:t>are overlaid</w:t>
      </w:r>
      <w:proofErr w:type="gramEnd"/>
      <w:r w:rsidRPr="0030228C">
        <w:t xml:space="preserve"> on each distributor’s territory, it arrives at a meter density of 5.9</w:t>
      </w:r>
      <w:r w:rsidRPr="0030228C">
        <w:rPr>
          <w:rStyle w:val="FootnoteReference"/>
        </w:rPr>
        <w:footnoteReference w:id="87"/>
      </w:r>
      <w:r w:rsidRPr="0030228C">
        <w:t xml:space="preserve"> for Jemena and 15.7</w:t>
      </w:r>
      <w:r w:rsidRPr="0030228C">
        <w:rPr>
          <w:rStyle w:val="FootnoteReference"/>
        </w:rPr>
        <w:footnoteReference w:id="88"/>
      </w:r>
      <w:r w:rsidRPr="0030228C">
        <w:t xml:space="preserve"> for United Energy. This means that ‘an installer in [Jemena’s] area is installing a meter every 0.169km (1/5.9) whereas, in United Energy’s area, it is one every 0.063 km (1/15.7)’.</w:t>
      </w:r>
      <w:r w:rsidR="00CC0A50">
        <w:rPr>
          <w:rStyle w:val="FootnoteReference"/>
        </w:rPr>
        <w:footnoteReference w:id="89"/>
      </w:r>
      <w:r w:rsidRPr="0030228C">
        <w:t xml:space="preserve"> In percentage terms, these calculations reveal that Jemena’s meter density was 266 percent </w:t>
      </w:r>
      <w:r w:rsidR="00572F98">
        <w:t>worse than United Energy, which</w:t>
      </w:r>
      <w:r w:rsidRPr="0030228C">
        <w:t xml:space="preserve"> is significant with respect to travel times between sites.</w:t>
      </w:r>
      <w:r w:rsidR="00572F98">
        <w:rPr>
          <w:rStyle w:val="FootnoteReference"/>
        </w:rPr>
        <w:footnoteReference w:id="90"/>
      </w:r>
    </w:p>
    <w:p w:rsidR="0030228C" w:rsidRPr="0030228C" w:rsidRDefault="0030228C" w:rsidP="0030228C">
      <w:r>
        <w:t>Using</w:t>
      </w:r>
      <w:r w:rsidRPr="0030228C">
        <w:t xml:space="preserve"> this information, Jemena’s submission states that in 2014 its installation unit costs were more reflective of a ‘business as usual’ (BAU) scenario.</w:t>
      </w:r>
      <w:r w:rsidR="00572F98">
        <w:rPr>
          <w:rStyle w:val="FootnoteReference"/>
        </w:rPr>
        <w:footnoteReference w:id="91"/>
      </w:r>
      <w:r w:rsidRPr="0030228C">
        <w:t xml:space="preserve"> This is opposed to the mass roll–out (MRO) program under which United Energy was still operating. Jemena submits that given its circumstances, its installation unit costs </w:t>
      </w:r>
      <w:proofErr w:type="gramStart"/>
      <w:r w:rsidRPr="0030228C">
        <w:t>should be based</w:t>
      </w:r>
      <w:proofErr w:type="gramEnd"/>
      <w:r w:rsidRPr="0030228C">
        <w:t xml:space="preserve"> on the post–MRO rates which the AER approved in its 2016–20</w:t>
      </w:r>
      <w:r w:rsidR="00B86E93">
        <w:t>20</w:t>
      </w:r>
      <w:r w:rsidRPr="0030228C">
        <w:t xml:space="preserve"> Victorian distribution determination.</w:t>
      </w:r>
      <w:r w:rsidR="00572F98">
        <w:rPr>
          <w:rStyle w:val="FootnoteReference"/>
        </w:rPr>
        <w:footnoteReference w:id="92"/>
      </w:r>
      <w:r w:rsidRPr="0030228C">
        <w:t xml:space="preserve"> These unit costs reflect a BAU situation whereby Jemena would not have access to the economies of scale or shorter travel times that are associated with a MRO scenario. In effect, Jemena’s submission is that it was finalising its MRO at an earlier date than United Energy and that this difference in its roll–out schedule accounts for why Jemena had higher unit costs. </w:t>
      </w:r>
      <w:r w:rsidR="00A11C3D">
        <w:t>Put simply</w:t>
      </w:r>
      <w:r w:rsidRPr="0030228C">
        <w:t>, the unit cost to Jemena of installing 26 782 meters in 2014 is higher than the unit cost of United Energy installing 117 701 meters in 2014.</w:t>
      </w:r>
    </w:p>
    <w:p w:rsidR="007E3DAB" w:rsidRDefault="0030228C" w:rsidP="0030228C">
      <w:r>
        <w:t>We</w:t>
      </w:r>
      <w:r w:rsidR="00A11C3D">
        <w:t xml:space="preserve"> accept Jemena's </w:t>
      </w:r>
      <w:r w:rsidR="00D54DF9">
        <w:t>submission</w:t>
      </w:r>
      <w:r w:rsidR="00A11C3D">
        <w:t xml:space="preserve"> that its roll–out schedule was at a more advanced stage than United Energy's and that this would have led to higher unit costs</w:t>
      </w:r>
      <w:r w:rsidRPr="0030228C">
        <w:t>.</w:t>
      </w:r>
      <w:r w:rsidR="00A11C3D">
        <w:t xml:space="preserve"> Our view is that given the advanced stage of Jemena's roll–out in</w:t>
      </w:r>
      <w:r w:rsidR="007E3DAB">
        <w:t xml:space="preserve"> 2014 it is reasonable to accept a </w:t>
      </w:r>
      <w:r w:rsidR="00B86E93">
        <w:t>unit cost</w:t>
      </w:r>
      <w:r w:rsidR="007E3DAB">
        <w:t xml:space="preserve"> </w:t>
      </w:r>
      <w:r w:rsidR="002F1365">
        <w:t xml:space="preserve">which is </w:t>
      </w:r>
      <w:r w:rsidR="00A11C3D">
        <w:t>reflect</w:t>
      </w:r>
      <w:r w:rsidR="007E3DAB">
        <w:t>ive of</w:t>
      </w:r>
      <w:r w:rsidR="00A11C3D">
        <w:t xml:space="preserve"> a post–MRO, or BAU, phase.</w:t>
      </w:r>
      <w:r w:rsidR="007E3DAB">
        <w:t xml:space="preserve"> </w:t>
      </w:r>
      <w:r w:rsidR="00D54DF9">
        <w:t>Jemena</w:t>
      </w:r>
      <w:r w:rsidR="002F1365">
        <w:t xml:space="preserve">'s revised application notes </w:t>
      </w:r>
      <w:r w:rsidR="00D54DF9">
        <w:t xml:space="preserve">two </w:t>
      </w:r>
      <w:r w:rsidR="002F1365">
        <w:t xml:space="preserve">possible </w:t>
      </w:r>
      <w:r w:rsidR="00D54DF9">
        <w:t xml:space="preserve">approaches to </w:t>
      </w:r>
      <w:r w:rsidR="002F1365">
        <w:t>constructing</w:t>
      </w:r>
      <w:r w:rsidR="00D54DF9">
        <w:t xml:space="preserve"> such a unit cost. </w:t>
      </w:r>
      <w:r w:rsidR="002F1365">
        <w:fldChar w:fldCharType="begin"/>
      </w:r>
      <w:r w:rsidR="002F1365">
        <w:instrText xml:space="preserve"> REF _Ref467576446 \h </w:instrText>
      </w:r>
      <w:r w:rsidR="002F1365">
        <w:fldChar w:fldCharType="separate"/>
      </w:r>
      <w:r w:rsidR="0032238B">
        <w:t xml:space="preserve">Table </w:t>
      </w:r>
      <w:r w:rsidR="0032238B">
        <w:rPr>
          <w:noProof/>
        </w:rPr>
        <w:t>6</w:t>
      </w:r>
      <w:r w:rsidR="0032238B">
        <w:t>.</w:t>
      </w:r>
      <w:r w:rsidR="0032238B">
        <w:rPr>
          <w:noProof/>
        </w:rPr>
        <w:t>6</w:t>
      </w:r>
      <w:r w:rsidR="002F1365">
        <w:fldChar w:fldCharType="end"/>
      </w:r>
      <w:r w:rsidR="002F1365">
        <w:t xml:space="preserve"> sets out each of these approaches and their value.</w:t>
      </w:r>
    </w:p>
    <w:p w:rsidR="00D54DF9" w:rsidRDefault="002F1365" w:rsidP="002F1365">
      <w:pPr>
        <w:pStyle w:val="Caption"/>
      </w:pPr>
      <w:bookmarkStart w:id="67" w:name="_Ref467576446"/>
      <w:proofErr w:type="gramStart"/>
      <w:r>
        <w:t xml:space="preserve">Table </w:t>
      </w:r>
      <w:fldSimple w:instr=" STYLEREF 1 \s ">
        <w:r w:rsidR="0032238B">
          <w:rPr>
            <w:noProof/>
          </w:rPr>
          <w:t>6</w:t>
        </w:r>
      </w:fldSimple>
      <w:r>
        <w:t>.</w:t>
      </w:r>
      <w:proofErr w:type="gramEnd"/>
      <w:r w:rsidR="005812E9">
        <w:fldChar w:fldCharType="begin"/>
      </w:r>
      <w:r w:rsidR="005812E9">
        <w:instrText xml:space="preserve"> SEQ Table \* ARABIC \s 1 </w:instrText>
      </w:r>
      <w:r w:rsidR="005812E9">
        <w:fldChar w:fldCharType="separate"/>
      </w:r>
      <w:r w:rsidR="0032238B">
        <w:rPr>
          <w:noProof/>
        </w:rPr>
        <w:t>6</w:t>
      </w:r>
      <w:r w:rsidR="005812E9">
        <w:rPr>
          <w:noProof/>
        </w:rPr>
        <w:fldChar w:fldCharType="end"/>
      </w:r>
      <w:bookmarkEnd w:id="67"/>
      <w:r>
        <w:tab/>
        <w:t>Jemena's proposed construction of installation unit costs</w:t>
      </w:r>
    </w:p>
    <w:tbl>
      <w:tblPr>
        <w:tblStyle w:val="AERtable-text0"/>
        <w:tblW w:w="0" w:type="auto"/>
        <w:tblLook w:val="04A0" w:firstRow="1" w:lastRow="0" w:firstColumn="1" w:lastColumn="0" w:noHBand="0" w:noVBand="1"/>
      </w:tblPr>
      <w:tblGrid>
        <w:gridCol w:w="1188"/>
        <w:gridCol w:w="4607"/>
        <w:gridCol w:w="2898"/>
      </w:tblGrid>
      <w:tr w:rsidR="00D54DF9" w:rsidTr="00D54DF9">
        <w:trPr>
          <w:cnfStyle w:val="100000000000" w:firstRow="1" w:lastRow="0" w:firstColumn="0" w:lastColumn="0" w:oddVBand="0" w:evenVBand="0" w:oddHBand="0" w:evenHBand="0" w:firstRowFirstColumn="0" w:firstRowLastColumn="0" w:lastRowFirstColumn="0" w:lastRowLastColumn="0"/>
        </w:trPr>
        <w:tc>
          <w:tcPr>
            <w:tcW w:w="1188" w:type="dxa"/>
          </w:tcPr>
          <w:p w:rsidR="00D54DF9" w:rsidRDefault="00D54DF9" w:rsidP="00D54DF9">
            <w:pPr>
              <w:pStyle w:val="ListNumber"/>
              <w:numPr>
                <w:ilvl w:val="0"/>
                <w:numId w:val="0"/>
              </w:numPr>
            </w:pPr>
          </w:p>
        </w:tc>
        <w:tc>
          <w:tcPr>
            <w:tcW w:w="4607" w:type="dxa"/>
          </w:tcPr>
          <w:p w:rsidR="00D54DF9" w:rsidRDefault="00D54DF9" w:rsidP="00D54DF9">
            <w:pPr>
              <w:pStyle w:val="ListNumber"/>
              <w:numPr>
                <w:ilvl w:val="0"/>
                <w:numId w:val="0"/>
              </w:numPr>
            </w:pPr>
            <w:r>
              <w:t>Option</w:t>
            </w:r>
          </w:p>
        </w:tc>
        <w:tc>
          <w:tcPr>
            <w:tcW w:w="2898" w:type="dxa"/>
          </w:tcPr>
          <w:p w:rsidR="00D54DF9" w:rsidRDefault="00D54DF9" w:rsidP="00D54DF9">
            <w:pPr>
              <w:pStyle w:val="ListNumber"/>
              <w:numPr>
                <w:ilvl w:val="0"/>
                <w:numId w:val="0"/>
              </w:numPr>
            </w:pPr>
            <w:r>
              <w:t>Unit cost ($ nominal)</w:t>
            </w:r>
          </w:p>
        </w:tc>
      </w:tr>
      <w:tr w:rsidR="00D54DF9" w:rsidTr="00D54DF9">
        <w:tc>
          <w:tcPr>
            <w:tcW w:w="1188" w:type="dxa"/>
          </w:tcPr>
          <w:p w:rsidR="00D54DF9" w:rsidRDefault="00D54DF9" w:rsidP="00D54DF9">
            <w:pPr>
              <w:pStyle w:val="ListNumber"/>
              <w:numPr>
                <w:ilvl w:val="0"/>
                <w:numId w:val="0"/>
              </w:numPr>
            </w:pPr>
            <w:r>
              <w:t>Option 1</w:t>
            </w:r>
          </w:p>
        </w:tc>
        <w:tc>
          <w:tcPr>
            <w:tcW w:w="4607" w:type="dxa"/>
          </w:tcPr>
          <w:p w:rsidR="00D54DF9" w:rsidRDefault="002F1365" w:rsidP="002F1365">
            <w:pPr>
              <w:pStyle w:val="ListNumber"/>
              <w:numPr>
                <w:ilvl w:val="0"/>
                <w:numId w:val="0"/>
              </w:numPr>
            </w:pPr>
            <w:r>
              <w:t>Apply</w:t>
            </w:r>
            <w:r w:rsidR="00D54DF9">
              <w:t xml:space="preserve"> the unit cost </w:t>
            </w:r>
            <w:r>
              <w:t xml:space="preserve">the AER </w:t>
            </w:r>
            <w:r w:rsidR="00D54DF9">
              <w:t xml:space="preserve">approved in </w:t>
            </w:r>
            <w:r>
              <w:t>its</w:t>
            </w:r>
            <w:r w:rsidR="00D54DF9">
              <w:t xml:space="preserve"> 2016–20</w:t>
            </w:r>
            <w:r w:rsidR="00B86E93">
              <w:t>20</w:t>
            </w:r>
            <w:r w:rsidR="00D54DF9">
              <w:t xml:space="preserve"> Victorian distribution determination</w:t>
            </w:r>
            <w:r>
              <w:t xml:space="preserve"> for Jemena.</w:t>
            </w:r>
            <w:r w:rsidR="00D54DF9">
              <w:t xml:space="preserve"> </w:t>
            </w:r>
          </w:p>
        </w:tc>
        <w:tc>
          <w:tcPr>
            <w:tcW w:w="2898" w:type="dxa"/>
          </w:tcPr>
          <w:p w:rsidR="00D54DF9" w:rsidRDefault="00D54DF9" w:rsidP="00D54DF9">
            <w:pPr>
              <w:pStyle w:val="ListNumber"/>
              <w:numPr>
                <w:ilvl w:val="0"/>
                <w:numId w:val="0"/>
              </w:numPr>
            </w:pPr>
            <w:r>
              <w:t>204.09</w:t>
            </w:r>
            <w:r w:rsidR="002F1365">
              <w:t xml:space="preserve"> per meter</w:t>
            </w:r>
          </w:p>
        </w:tc>
      </w:tr>
      <w:tr w:rsidR="00D54DF9" w:rsidTr="00D54DF9">
        <w:trPr>
          <w:cnfStyle w:val="000000010000" w:firstRow="0" w:lastRow="0" w:firstColumn="0" w:lastColumn="0" w:oddVBand="0" w:evenVBand="0" w:oddHBand="0" w:evenHBand="1" w:firstRowFirstColumn="0" w:firstRowLastColumn="0" w:lastRowFirstColumn="0" w:lastRowLastColumn="0"/>
        </w:trPr>
        <w:tc>
          <w:tcPr>
            <w:tcW w:w="1188" w:type="dxa"/>
          </w:tcPr>
          <w:p w:rsidR="00D54DF9" w:rsidRDefault="00D54DF9" w:rsidP="00D54DF9">
            <w:pPr>
              <w:pStyle w:val="ListNumber"/>
              <w:numPr>
                <w:ilvl w:val="0"/>
                <w:numId w:val="0"/>
              </w:numPr>
            </w:pPr>
            <w:r>
              <w:t>Option 2</w:t>
            </w:r>
          </w:p>
        </w:tc>
        <w:tc>
          <w:tcPr>
            <w:tcW w:w="4607" w:type="dxa"/>
          </w:tcPr>
          <w:p w:rsidR="00D54DF9" w:rsidRDefault="002F1365" w:rsidP="00E61324">
            <w:pPr>
              <w:pStyle w:val="ListNumber"/>
              <w:numPr>
                <w:ilvl w:val="0"/>
                <w:numId w:val="0"/>
              </w:numPr>
            </w:pPr>
            <w:r>
              <w:t xml:space="preserve">Use the </w:t>
            </w:r>
            <w:r w:rsidR="00287F1C">
              <w:t>unit cost</w:t>
            </w:r>
            <w:r>
              <w:t xml:space="preserve"> </w:t>
            </w:r>
            <w:r w:rsidR="00287F1C">
              <w:t>we applied</w:t>
            </w:r>
            <w:r>
              <w:t xml:space="preserve"> in our draft transition charge </w:t>
            </w:r>
            <w:r w:rsidR="00287F1C">
              <w:t>determination</w:t>
            </w:r>
            <w:r>
              <w:t>, but apply an uplift</w:t>
            </w:r>
            <w:r w:rsidR="00287F1C">
              <w:t xml:space="preserve"> to it</w:t>
            </w:r>
            <w:r>
              <w:t xml:space="preserve"> </w:t>
            </w:r>
            <w:r w:rsidR="00287F1C">
              <w:t>which</w:t>
            </w:r>
            <w:r>
              <w:t xml:space="preserve"> adjusts for Jemena's change in meter density in 2014. </w:t>
            </w:r>
          </w:p>
        </w:tc>
        <w:tc>
          <w:tcPr>
            <w:tcW w:w="2898" w:type="dxa"/>
          </w:tcPr>
          <w:p w:rsidR="00D54DF9" w:rsidRDefault="002F1365" w:rsidP="00D54DF9">
            <w:pPr>
              <w:pStyle w:val="ListNumber"/>
              <w:numPr>
                <w:ilvl w:val="0"/>
                <w:numId w:val="0"/>
              </w:numPr>
            </w:pPr>
            <w:r>
              <w:t>212.25 per meter</w:t>
            </w:r>
          </w:p>
        </w:tc>
      </w:tr>
    </w:tbl>
    <w:p w:rsidR="002F1365" w:rsidRDefault="002F1365" w:rsidP="00287F1C">
      <w:pPr>
        <w:pStyle w:val="AERtablesource"/>
      </w:pPr>
      <w:r>
        <w:t>Source:</w:t>
      </w:r>
      <w:r>
        <w:tab/>
        <w:t xml:space="preserve">Jemena, </w:t>
      </w:r>
      <w:r w:rsidRPr="00070629">
        <w:rPr>
          <w:rStyle w:val="AERtextitalic"/>
        </w:rPr>
        <w:t>Submission on transition charges application draft decision</w:t>
      </w:r>
      <w:r w:rsidR="00932206">
        <w:t>, 2 November 2016, p. 26</w:t>
      </w:r>
      <w:r>
        <w:t>.</w:t>
      </w:r>
    </w:p>
    <w:p w:rsidR="00E61324" w:rsidRDefault="00287F1C" w:rsidP="00287F1C">
      <w:r>
        <w:t xml:space="preserve">Our view is that both options set out in </w:t>
      </w:r>
      <w:r>
        <w:fldChar w:fldCharType="begin"/>
      </w:r>
      <w:r>
        <w:instrText xml:space="preserve"> REF _Ref467576446 \h </w:instrText>
      </w:r>
      <w:r>
        <w:fldChar w:fldCharType="separate"/>
      </w:r>
      <w:r w:rsidR="0032238B">
        <w:t xml:space="preserve">Table </w:t>
      </w:r>
      <w:r w:rsidR="0032238B">
        <w:rPr>
          <w:noProof/>
        </w:rPr>
        <w:t>6</w:t>
      </w:r>
      <w:r w:rsidR="0032238B">
        <w:t>.</w:t>
      </w:r>
      <w:r w:rsidR="0032238B">
        <w:rPr>
          <w:noProof/>
        </w:rPr>
        <w:t>6</w:t>
      </w:r>
      <w:r>
        <w:fldChar w:fldCharType="end"/>
      </w:r>
      <w:r>
        <w:t xml:space="preserve"> are reasonable. The unit cost we </w:t>
      </w:r>
      <w:proofErr w:type="gramStart"/>
      <w:r>
        <w:t>accepted</w:t>
      </w:r>
      <w:proofErr w:type="gramEnd"/>
      <w:r>
        <w:t xml:space="preserve"> in our 2016–20</w:t>
      </w:r>
      <w:r w:rsidR="00721E8A">
        <w:t>20</w:t>
      </w:r>
      <w:r>
        <w:t xml:space="preserve"> Victorian determination </w:t>
      </w:r>
      <w:r w:rsidR="00E61324">
        <w:t>took into consideration Jemena moving into a</w:t>
      </w:r>
      <w:r>
        <w:t xml:space="preserve"> </w:t>
      </w:r>
      <w:r w:rsidR="00E61324">
        <w:t>post–MRO</w:t>
      </w:r>
      <w:r>
        <w:t xml:space="preserve"> </w:t>
      </w:r>
      <w:r w:rsidR="00534F65">
        <w:t>stage</w:t>
      </w:r>
      <w:r w:rsidR="00E61324">
        <w:t xml:space="preserve"> of its smart meter operations. It is reflective of </w:t>
      </w:r>
      <w:r>
        <w:t>Jemena</w:t>
      </w:r>
      <w:r w:rsidR="00E61324">
        <w:t>'s circumstances in 2014 when it was finalising its AMI roll–out. Similarly, we consider using the unit cost we applied in our draft transition charge</w:t>
      </w:r>
      <w:r w:rsidR="00154F5D">
        <w:t xml:space="preserve"> decision</w:t>
      </w:r>
      <w:r w:rsidR="00E61324">
        <w:t xml:space="preserve"> with </w:t>
      </w:r>
      <w:proofErr w:type="gramStart"/>
      <w:r w:rsidR="00E61324">
        <w:t>an uplift</w:t>
      </w:r>
      <w:proofErr w:type="gramEnd"/>
      <w:r w:rsidR="00E61324">
        <w:t xml:space="preserve"> applied to it, to be a reasonable approach. This is because the application of the uplift would calculate a </w:t>
      </w:r>
      <w:r w:rsidR="00534F65">
        <w:t>unit cost which reflects the decreasing meter density of Jemena in 2014, when it was installing the final meters in its roll–out</w:t>
      </w:r>
      <w:r w:rsidR="004161E9">
        <w:t xml:space="preserve"> program</w:t>
      </w:r>
      <w:r w:rsidR="00E61324">
        <w:t xml:space="preserve">. </w:t>
      </w:r>
    </w:p>
    <w:p w:rsidR="0030228C" w:rsidRPr="0030228C" w:rsidRDefault="00534F65" w:rsidP="0030228C">
      <w:r>
        <w:t xml:space="preserve">Given </w:t>
      </w:r>
      <w:r w:rsidR="004161E9">
        <w:t>each</w:t>
      </w:r>
      <w:r>
        <w:t xml:space="preserve"> option </w:t>
      </w:r>
      <w:r w:rsidR="004161E9">
        <w:t>is</w:t>
      </w:r>
      <w:r>
        <w:t xml:space="preserve"> reasonable, we accept Jemena's proposal in its revised application to construct a benchmark meter installation rate that </w:t>
      </w:r>
      <w:proofErr w:type="gramStart"/>
      <w:r>
        <w:t>is based</w:t>
      </w:r>
      <w:proofErr w:type="gramEnd"/>
      <w:r>
        <w:t xml:space="preserve"> on a simple average of both. This </w:t>
      </w:r>
      <w:r w:rsidR="004161E9">
        <w:t>leads to</w:t>
      </w:r>
      <w:r>
        <w:t xml:space="preserve"> a unit cost of $208.17 ($ nominal)</w:t>
      </w:r>
      <w:r w:rsidR="004161E9">
        <w:t>. By accepting this unit cost, along with the volume of installations made in 2014,</w:t>
      </w:r>
      <w:r w:rsidR="004161E9">
        <w:rPr>
          <w:rStyle w:val="FootnoteReference"/>
        </w:rPr>
        <w:footnoteReference w:id="93"/>
      </w:r>
      <w:r w:rsidR="004161E9">
        <w:t xml:space="preserve"> our final decision is to approve Jemena's proposed </w:t>
      </w:r>
      <w:r w:rsidR="0030228C" w:rsidRPr="0030228C">
        <w:t>excess expenditure</w:t>
      </w:r>
      <w:r>
        <w:t xml:space="preserve"> proposal</w:t>
      </w:r>
      <w:r w:rsidR="0030228C" w:rsidRPr="0030228C">
        <w:t xml:space="preserve"> for meter installations of $6.3 million ($2018). </w:t>
      </w:r>
    </w:p>
    <w:p w:rsidR="0030228C" w:rsidRDefault="00200730" w:rsidP="00200730">
      <w:pPr>
        <w:pStyle w:val="HeadingBoldItalic"/>
      </w:pPr>
      <w:r>
        <w:t>Mass roll–out back office</w:t>
      </w:r>
    </w:p>
    <w:p w:rsidR="00200730" w:rsidRDefault="00CC0A50" w:rsidP="00200730">
      <w:r>
        <w:t>Our final decision approves Jemena's proposed $</w:t>
      </w:r>
      <w:r w:rsidR="00B77F49">
        <w:t>2.4 million ($2018) in meter roll–out capital expenditure incurred in 2014. This is in comparison to our draft decision which accepted $1.3 million ($2018).</w:t>
      </w:r>
    </w:p>
    <w:p w:rsidR="00B77F49" w:rsidRDefault="00B77F49" w:rsidP="00200730">
      <w:r>
        <w:t>At the draft decision stage, we accepted that Jemena would have incurred additional back office capital expenditure activities in 2014. However, we did not accept the proposed unit costs making up those activities. Instead, we applied the unit costs, updated for labour cost escalation</w:t>
      </w:r>
      <w:r w:rsidR="00EB7BCF">
        <w:t xml:space="preserve"> that </w:t>
      </w:r>
      <w:r>
        <w:t xml:space="preserve">we </w:t>
      </w:r>
      <w:r w:rsidR="00EB7BCF">
        <w:t xml:space="preserve">had </w:t>
      </w:r>
      <w:r>
        <w:t xml:space="preserve">accepted for Jemena in our 2012–15 Approved Budget. This </w:t>
      </w:r>
      <w:r w:rsidR="00EB7BCF">
        <w:t>reflected</w:t>
      </w:r>
      <w:r>
        <w:t xml:space="preserve"> advice we received from Energeia.</w:t>
      </w:r>
      <w:r>
        <w:rPr>
          <w:rStyle w:val="FootnoteReference"/>
        </w:rPr>
        <w:footnoteReference w:id="94"/>
      </w:r>
      <w:r w:rsidR="00930A84">
        <w:t xml:space="preserve"> The unit cost we accepted was $40.20 ($nominal) per meter.</w:t>
      </w:r>
    </w:p>
    <w:p w:rsidR="00504DDD" w:rsidRDefault="00504DDD" w:rsidP="00504DDD">
      <w:r>
        <w:t xml:space="preserve">In its revised application, Jemena </w:t>
      </w:r>
      <w:r w:rsidR="00930A84">
        <w:t>stated</w:t>
      </w:r>
      <w:r>
        <w:t xml:space="preserve"> that the unit rate which </w:t>
      </w:r>
      <w:r w:rsidR="00930A84">
        <w:t>we applied in our draft decision</w:t>
      </w:r>
      <w:r>
        <w:t xml:space="preserve"> </w:t>
      </w:r>
      <w:r w:rsidR="000151D8">
        <w:t>did</w:t>
      </w:r>
      <w:r>
        <w:t xml:space="preserve"> </w:t>
      </w:r>
      <w:r w:rsidR="00930A84">
        <w:t>not reflect the</w:t>
      </w:r>
      <w:r>
        <w:t xml:space="preserve"> period </w:t>
      </w:r>
      <w:r w:rsidRPr="00504DDD">
        <w:t>under review</w:t>
      </w:r>
      <w:r w:rsidR="000151D8">
        <w:t xml:space="preserve">. It asserts that in 2014 and 2015 Jemena had entered a phase of 'largely BAU or high cost residual MRO activities, </w:t>
      </w:r>
      <w:r w:rsidRPr="00504DDD">
        <w:t>where scale efficiencies are depleted and [Jemena] is having to address the residual complex jobs and difficult customers using BAU processes’.</w:t>
      </w:r>
      <w:r w:rsidRPr="00504DDD">
        <w:rPr>
          <w:rStyle w:val="FootnoteReference"/>
        </w:rPr>
        <w:footnoteReference w:id="95"/>
      </w:r>
      <w:r w:rsidRPr="00504DDD">
        <w:t xml:space="preserve"> </w:t>
      </w:r>
      <w:proofErr w:type="gramStart"/>
      <w:r w:rsidRPr="00504DDD">
        <w:t>Such loss of scale and increase in difficult customers, according to Jemena, led to higher unit costs.</w:t>
      </w:r>
      <w:proofErr w:type="gramEnd"/>
      <w:r w:rsidRPr="00504DDD">
        <w:t xml:space="preserve">  </w:t>
      </w:r>
    </w:p>
    <w:p w:rsidR="00504DDD" w:rsidRDefault="00EB7BCF" w:rsidP="00504DDD">
      <w:r>
        <w:t>On review of Jemena's revised application, w</w:t>
      </w:r>
      <w:r w:rsidR="00504DDD">
        <w:t>e accept Jemena's volume of</w:t>
      </w:r>
      <w:r w:rsidR="00930A84">
        <w:t xml:space="preserve"> 2014 and 2015</w:t>
      </w:r>
      <w:r w:rsidR="00504DDD">
        <w:t xml:space="preserve"> </w:t>
      </w:r>
      <w:r w:rsidR="00930A84">
        <w:t>back office</w:t>
      </w:r>
      <w:r w:rsidR="00504DDD">
        <w:t xml:space="preserve"> activities was 26 782 and 1 103</w:t>
      </w:r>
      <w:r w:rsidR="00930A84">
        <w:t>, respectively</w:t>
      </w:r>
      <w:r w:rsidR="00504DDD">
        <w:t xml:space="preserve">. </w:t>
      </w:r>
      <w:r w:rsidR="009732D7">
        <w:t>Such</w:t>
      </w:r>
      <w:r w:rsidR="00504DDD">
        <w:t xml:space="preserve"> low volumes are, as Jemena has proposed,</w:t>
      </w:r>
      <w:r w:rsidR="00BD4644">
        <w:t xml:space="preserve"> </w:t>
      </w:r>
      <w:r w:rsidR="00504DDD">
        <w:t xml:space="preserve">more reflective of a post–MRO phase of a smart meter program. </w:t>
      </w:r>
      <w:r w:rsidR="009732D7">
        <w:t xml:space="preserve">We further accept Jemena's revised application to have the back office unit </w:t>
      </w:r>
      <w:r w:rsidR="00BD4644">
        <w:t>cost</w:t>
      </w:r>
      <w:r w:rsidR="009732D7">
        <w:t xml:space="preserve"> we approved in our 2016–20</w:t>
      </w:r>
      <w:r w:rsidR="00721E8A">
        <w:t>20</w:t>
      </w:r>
      <w:r w:rsidR="009732D7">
        <w:t xml:space="preserve"> Victorian determination. This unit cost is reflective of Jemena's circumstances in 2014 and 2015 when it was finalising its AMI roll–out and was experiencing depleted economies of scale.</w:t>
      </w:r>
    </w:p>
    <w:p w:rsidR="00930A84" w:rsidRPr="00504DDD" w:rsidRDefault="009732D7" w:rsidP="00504DDD">
      <w:r>
        <w:t xml:space="preserve">When we apply the proposed unit rate in Jemena's revised application to the volume of back office activities we accepted at the draft determination stage, we approve the proposed $2.4 million ($2018) in 2014 and 2015 excess expenditure. </w:t>
      </w:r>
    </w:p>
    <w:p w:rsidR="00B77F49" w:rsidRDefault="005D125A" w:rsidP="005D125A">
      <w:pPr>
        <w:pStyle w:val="HeadingBoldItalic"/>
      </w:pPr>
      <w:r>
        <w:t>Meter data</w:t>
      </w:r>
    </w:p>
    <w:p w:rsidR="005D125A" w:rsidRPr="005D125A" w:rsidRDefault="005D125A" w:rsidP="005D125A">
      <w:r>
        <w:t>We approve</w:t>
      </w:r>
      <w:r w:rsidRPr="005D125A">
        <w:t xml:space="preserve"> Jemena’s proposed $1.1 million ($2018)</w:t>
      </w:r>
      <w:r>
        <w:t xml:space="preserve"> in</w:t>
      </w:r>
      <w:r w:rsidRPr="005D125A">
        <w:t xml:space="preserve"> excess operating expenditure for meter reading.</w:t>
      </w:r>
      <w:r>
        <w:t xml:space="preserve"> </w:t>
      </w:r>
      <w:r w:rsidR="00460603">
        <w:t>By</w:t>
      </w:r>
      <w:r>
        <w:t xml:space="preserve"> contrast, our draft decision accepted $0.3 million ($2018).</w:t>
      </w:r>
    </w:p>
    <w:p w:rsidR="00460603" w:rsidRDefault="00460603" w:rsidP="00B45961">
      <w:r>
        <w:t xml:space="preserve">In </w:t>
      </w:r>
      <w:r w:rsidR="00BB302B">
        <w:t>our</w:t>
      </w:r>
      <w:r>
        <w:t xml:space="preserve"> draft decision, our assessment of Jemena's excess operating expenditure for meter reading applied benchmarking analysis performed by</w:t>
      </w:r>
      <w:r w:rsidR="00B45961">
        <w:t xml:space="preserve"> Energeia</w:t>
      </w:r>
      <w:r>
        <w:t xml:space="preserve">. This analysis observed </w:t>
      </w:r>
      <w:r w:rsidR="00B45961">
        <w:t>that Jemena's</w:t>
      </w:r>
      <w:r>
        <w:t xml:space="preserve"> meter reading</w:t>
      </w:r>
      <w:r w:rsidR="00B45961">
        <w:t xml:space="preserve"> </w:t>
      </w:r>
      <w:r>
        <w:t>operating expenditure</w:t>
      </w:r>
      <w:r w:rsidR="00B45961">
        <w:t xml:space="preserve"> was the highest of all Victorian distributors and </w:t>
      </w:r>
      <w:r w:rsidR="00BB302B">
        <w:t>substantially greater than</w:t>
      </w:r>
      <w:r w:rsidR="00B45961">
        <w:t xml:space="preserve"> United Energy's expenditure, which Energeia identified as the efficient benchmark.</w:t>
      </w:r>
    </w:p>
    <w:p w:rsidR="00B3619F" w:rsidRDefault="00B45961" w:rsidP="00B45961">
      <w:r>
        <w:t>In response, Jeme</w:t>
      </w:r>
      <w:r w:rsidR="004B347E">
        <w:t>na's revised application submitted</w:t>
      </w:r>
      <w:r w:rsidR="005D125A" w:rsidRPr="005D125A">
        <w:t xml:space="preserve"> that </w:t>
      </w:r>
      <w:r w:rsidR="00460603">
        <w:t>the</w:t>
      </w:r>
      <w:r>
        <w:t xml:space="preserve"> benchmarking approach</w:t>
      </w:r>
      <w:r w:rsidR="00460603">
        <w:t xml:space="preserve"> applied in our draft decision</w:t>
      </w:r>
      <w:r w:rsidR="00ED614F">
        <w:t xml:space="preserve"> did not adjust for Jemena being in a</w:t>
      </w:r>
      <w:r w:rsidR="00460603">
        <w:t xml:space="preserve"> more advanced stage </w:t>
      </w:r>
      <w:r w:rsidR="00ED614F">
        <w:t>in its</w:t>
      </w:r>
      <w:r w:rsidR="00460603">
        <w:t xml:space="preserve"> AMI roll–out </w:t>
      </w:r>
      <w:r w:rsidR="00ED614F">
        <w:t xml:space="preserve">compared to United Energy.  </w:t>
      </w:r>
      <w:r w:rsidR="004B347E">
        <w:t xml:space="preserve">It submitted that this was significant because, by being in the final stages of its roll–out, Jemena had entered 'largely BAU or high cost residual MRO activities, where scale efficiencies </w:t>
      </w:r>
      <w:proofErr w:type="gramStart"/>
      <w:r w:rsidR="004B347E">
        <w:t>are depleted</w:t>
      </w:r>
      <w:proofErr w:type="gramEnd"/>
      <w:r w:rsidR="004B347E">
        <w:t>'.</w:t>
      </w:r>
      <w:r w:rsidR="004B347E">
        <w:rPr>
          <w:rStyle w:val="FootnoteReference"/>
        </w:rPr>
        <w:footnoteReference w:id="96"/>
      </w:r>
      <w:r w:rsidR="004B347E">
        <w:t xml:space="preserve"> </w:t>
      </w:r>
    </w:p>
    <w:p w:rsidR="00ED614F" w:rsidRDefault="00EB7BCF" w:rsidP="00B45961">
      <w:r>
        <w:t xml:space="preserve">On review, we </w:t>
      </w:r>
      <w:r w:rsidR="00B3619F">
        <w:t xml:space="preserve">accept Jemena's revised application.  </w:t>
      </w:r>
      <w:r w:rsidR="00B3619F">
        <w:fldChar w:fldCharType="begin"/>
      </w:r>
      <w:r w:rsidR="00B3619F">
        <w:instrText xml:space="preserve"> REF _Ref467595674 \h </w:instrText>
      </w:r>
      <w:r w:rsidR="00B3619F">
        <w:fldChar w:fldCharType="separate"/>
      </w:r>
      <w:r w:rsidR="0032238B">
        <w:t xml:space="preserve">Figure </w:t>
      </w:r>
      <w:r w:rsidR="0032238B">
        <w:rPr>
          <w:noProof/>
        </w:rPr>
        <w:t>6</w:t>
      </w:r>
      <w:r w:rsidR="0032238B">
        <w:t>.</w:t>
      </w:r>
      <w:r w:rsidR="0032238B">
        <w:rPr>
          <w:noProof/>
        </w:rPr>
        <w:t>1</w:t>
      </w:r>
      <w:r w:rsidR="00B3619F">
        <w:fldChar w:fldCharType="end"/>
      </w:r>
      <w:r w:rsidR="00B3619F">
        <w:t xml:space="preserve"> compares Jemena's and United Energy's meter installation profiles. It shows that in 2014 United Energy is likely to have</w:t>
      </w:r>
      <w:r w:rsidR="00BB302B">
        <w:t xml:space="preserve"> had</w:t>
      </w:r>
      <w:r w:rsidR="00B3619F">
        <w:t xml:space="preserve"> access to </w:t>
      </w:r>
      <w:r w:rsidR="00BB302B">
        <w:t>large</w:t>
      </w:r>
      <w:r w:rsidR="00B3619F">
        <w:t xml:space="preserve"> economies of scale in terms of its meter reading costs. This is given that United Energy still had 20 percent of its AMI roll–out to complete. By comparison, </w:t>
      </w:r>
      <w:r w:rsidR="00182D5E">
        <w:t>in 2014</w:t>
      </w:r>
      <w:r w:rsidR="00B3619F">
        <w:t xml:space="preserve"> Jemena had lar</w:t>
      </w:r>
      <w:r w:rsidR="00182D5E">
        <w:t>gely completed it</w:t>
      </w:r>
      <w:r w:rsidR="00F24E2C">
        <w:t>s</w:t>
      </w:r>
      <w:r w:rsidR="00182D5E">
        <w:t xml:space="preserve"> AMI roll–out</w:t>
      </w:r>
      <w:r w:rsidR="00BB302B">
        <w:t>. This would have led to low</w:t>
      </w:r>
      <w:r w:rsidR="00BD4644">
        <w:t>er</w:t>
      </w:r>
      <w:r w:rsidR="00BB302B">
        <w:t xml:space="preserve"> economies of scale compared to United Energy and, accordingly, </w:t>
      </w:r>
      <w:r w:rsidR="00B3619F">
        <w:t>higher meter reading unit costs.</w:t>
      </w:r>
    </w:p>
    <w:p w:rsidR="00B3619F" w:rsidRDefault="00B3619F" w:rsidP="00B3619F">
      <w:pPr>
        <w:pStyle w:val="Caption"/>
      </w:pPr>
      <w:bookmarkStart w:id="68" w:name="_Ref467595674"/>
      <w:proofErr w:type="gramStart"/>
      <w:r>
        <w:t xml:space="preserve">Figure </w:t>
      </w:r>
      <w:fldSimple w:instr=" STYLEREF 1 \s ">
        <w:r w:rsidR="0032238B">
          <w:rPr>
            <w:noProof/>
          </w:rPr>
          <w:t>6</w:t>
        </w:r>
      </w:fldSimple>
      <w:r>
        <w:t>.</w:t>
      </w:r>
      <w:proofErr w:type="gramEnd"/>
      <w:r w:rsidR="005812E9">
        <w:fldChar w:fldCharType="begin"/>
      </w:r>
      <w:r w:rsidR="005812E9">
        <w:instrText xml:space="preserve"> SEQ Figure \* ARABIC \s 1 </w:instrText>
      </w:r>
      <w:r w:rsidR="005812E9">
        <w:fldChar w:fldCharType="separate"/>
      </w:r>
      <w:r w:rsidR="0032238B">
        <w:rPr>
          <w:noProof/>
        </w:rPr>
        <w:t>1</w:t>
      </w:r>
      <w:r w:rsidR="005812E9">
        <w:rPr>
          <w:noProof/>
        </w:rPr>
        <w:fldChar w:fldCharType="end"/>
      </w:r>
      <w:bookmarkEnd w:id="68"/>
      <w:r>
        <w:tab/>
        <w:t>Meter installation profile of Jemena and United Energy</w:t>
      </w:r>
    </w:p>
    <w:p w:rsidR="00ED614F" w:rsidRDefault="00B3619F" w:rsidP="00B45961">
      <w:r w:rsidRPr="00B3619F">
        <w:rPr>
          <w:noProof/>
          <w:lang w:val="en-US"/>
        </w:rPr>
        <w:drawing>
          <wp:inline distT="0" distB="0" distL="0" distR="0" wp14:anchorId="6BD95B64" wp14:editId="0C93E95E">
            <wp:extent cx="5382895" cy="331621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2895" cy="3316216"/>
                    </a:xfrm>
                    <a:prstGeom prst="rect">
                      <a:avLst/>
                    </a:prstGeom>
                    <a:noFill/>
                    <a:ln>
                      <a:noFill/>
                    </a:ln>
                  </pic:spPr>
                </pic:pic>
              </a:graphicData>
            </a:graphic>
          </wp:inline>
        </w:drawing>
      </w:r>
    </w:p>
    <w:p w:rsidR="005D125A" w:rsidRPr="005D125A" w:rsidRDefault="00182D5E" w:rsidP="00182D5E">
      <w:pPr>
        <w:pStyle w:val="AERtablesource"/>
      </w:pPr>
      <w:r>
        <w:t>Source:</w:t>
      </w:r>
      <w:r>
        <w:tab/>
        <w:t xml:space="preserve">Jemena, </w:t>
      </w:r>
      <w:r w:rsidRPr="004B347E">
        <w:rPr>
          <w:rStyle w:val="AERtextitalic"/>
        </w:rPr>
        <w:t>Submission on transition charges application draft decision</w:t>
      </w:r>
      <w:r>
        <w:t>, November 2, p. 20.</w:t>
      </w:r>
    </w:p>
    <w:p w:rsidR="00784F7B" w:rsidRPr="00784F7B" w:rsidRDefault="006C322F" w:rsidP="00784F7B">
      <w:r>
        <w:t>Based on the additional information in its revised application, we accept that Jemena had entered into a post–MRO phase of its AMI roll–out, in terms of its meter reading costs. Our final decision accepts Jemena's</w:t>
      </w:r>
      <w:r w:rsidR="00784F7B">
        <w:t xml:space="preserve"> proposed 2014</w:t>
      </w:r>
      <w:r>
        <w:t xml:space="preserve"> meter reading unit cost of $10.4</w:t>
      </w:r>
      <w:r w:rsidR="00721E8A">
        <w:t>5 ($ nominal). This</w:t>
      </w:r>
      <w:r w:rsidR="00784F7B">
        <w:t xml:space="preserve"> is less than the cost of a manual meter read which we accepted for the 2016–20</w:t>
      </w:r>
      <w:r w:rsidR="00F24E2C">
        <w:t>20</w:t>
      </w:r>
      <w:r w:rsidR="00784F7B">
        <w:t xml:space="preserve"> Victorian determination.</w:t>
      </w:r>
      <w:r w:rsidR="003867B6">
        <w:rPr>
          <w:rStyle w:val="FootnoteReference"/>
        </w:rPr>
        <w:footnoteReference w:id="97"/>
      </w:r>
      <w:r w:rsidR="00784F7B">
        <w:t xml:space="preserve"> When we apply Jemena’s proposed meter </w:t>
      </w:r>
      <w:r w:rsidR="00784F7B" w:rsidRPr="00784F7B">
        <w:t>read unit cost to its volume of m</w:t>
      </w:r>
      <w:r w:rsidR="00784F7B">
        <w:t xml:space="preserve">eter readings in 2014 and 2015, our final decision is to approve Jemena's proposed </w:t>
      </w:r>
      <w:r w:rsidR="00784F7B" w:rsidRPr="00784F7B">
        <w:t xml:space="preserve">$1.1 million ($2018) in excess </w:t>
      </w:r>
      <w:r w:rsidR="00784F7B">
        <w:t xml:space="preserve">operating </w:t>
      </w:r>
      <w:r w:rsidR="00784F7B" w:rsidRPr="00784F7B">
        <w:t>expenditure.</w:t>
      </w:r>
    </w:p>
    <w:p w:rsidR="00DF0917" w:rsidRDefault="00935A0F" w:rsidP="005C7BEC">
      <w:pPr>
        <w:pStyle w:val="Heading1"/>
      </w:pPr>
      <w:bookmarkStart w:id="69" w:name="_Toc467654527"/>
      <w:bookmarkStart w:id="70" w:name="_Ref459906096"/>
      <w:bookmarkStart w:id="71" w:name="_Ref459910694"/>
      <w:bookmarkStart w:id="72" w:name="_Ref459915200"/>
      <w:bookmarkStart w:id="73" w:name="_Ref459982053"/>
      <w:r>
        <w:t>Powercor</w:t>
      </w:r>
      <w:bookmarkEnd w:id="69"/>
    </w:p>
    <w:p w:rsidR="00F97CBA" w:rsidRDefault="00F97CBA" w:rsidP="00F97CBA">
      <w:r>
        <w:t>We accept a negative transition charge for Powercor of $</w:t>
      </w:r>
      <w:r w:rsidR="003867B6">
        <w:t>9.8</w:t>
      </w:r>
      <w:r>
        <w:t xml:space="preserve"> million ($2018).  </w:t>
      </w:r>
    </w:p>
    <w:p w:rsidR="00F97CBA" w:rsidRDefault="00F97CBA" w:rsidP="00F97CBA">
      <w:pPr>
        <w:pStyle w:val="Heading2"/>
      </w:pPr>
      <w:bookmarkStart w:id="74" w:name="_Toc467654528"/>
      <w:r>
        <w:t>Final decision</w:t>
      </w:r>
      <w:bookmarkEnd w:id="74"/>
    </w:p>
    <w:p w:rsidR="00F97CBA" w:rsidRDefault="00F97CBA" w:rsidP="00F97CBA">
      <w:r>
        <w:t>Our final decision is effectively the same as our draft determination</w:t>
      </w:r>
      <w:r w:rsidR="00EB7BCF">
        <w:t xml:space="preserve"> on Powercor's initial application</w:t>
      </w:r>
      <w:r>
        <w:t xml:space="preserve">. </w:t>
      </w:r>
      <w:r w:rsidR="00EB7BCF">
        <w:t xml:space="preserve">We note that </w:t>
      </w:r>
      <w:r>
        <w:t xml:space="preserve">Powercor </w:t>
      </w:r>
      <w:r w:rsidR="00EB7BCF">
        <w:t>did not submit</w:t>
      </w:r>
      <w:r>
        <w:t xml:space="preserve"> a revised application. </w:t>
      </w:r>
    </w:p>
    <w:p w:rsidR="00F97CBA" w:rsidRDefault="00F97CBA" w:rsidP="00F97CBA">
      <w:r>
        <w:t xml:space="preserve">The only difference from our draft determination </w:t>
      </w:r>
      <w:r w:rsidR="00840472">
        <w:t xml:space="preserve">and </w:t>
      </w:r>
      <w:r>
        <w:t xml:space="preserve">final decision </w:t>
      </w:r>
      <w:r w:rsidR="00840472">
        <w:t xml:space="preserve">is </w:t>
      </w:r>
      <w:r>
        <w:t xml:space="preserve">we have applied updated WACC and CPI values. </w:t>
      </w:r>
      <w:r w:rsidR="003867B6">
        <w:fldChar w:fldCharType="begin"/>
      </w:r>
      <w:r w:rsidR="003867B6">
        <w:instrText xml:space="preserve"> REF _Ref467597585 \h </w:instrText>
      </w:r>
      <w:r w:rsidR="003867B6">
        <w:fldChar w:fldCharType="separate"/>
      </w:r>
      <w:r w:rsidR="0032238B">
        <w:t xml:space="preserve">Table </w:t>
      </w:r>
      <w:r w:rsidR="0032238B">
        <w:rPr>
          <w:noProof/>
        </w:rPr>
        <w:t>7</w:t>
      </w:r>
      <w:r w:rsidR="0032238B">
        <w:t>.</w:t>
      </w:r>
      <w:r w:rsidR="0032238B">
        <w:rPr>
          <w:noProof/>
        </w:rPr>
        <w:t>1</w:t>
      </w:r>
      <w:r w:rsidR="003867B6">
        <w:fldChar w:fldCharType="end"/>
      </w:r>
      <w:r w:rsidR="003867B6">
        <w:t xml:space="preserve"> </w:t>
      </w:r>
      <w:r>
        <w:t>sets out our final</w:t>
      </w:r>
      <w:r w:rsidRPr="00EA403A">
        <w:t xml:space="preserve"> decision </w:t>
      </w:r>
      <w:r>
        <w:t>on CitiPower's transition charge.</w:t>
      </w:r>
      <w:r w:rsidRPr="00EA403A">
        <w:t xml:space="preserve"> </w:t>
      </w:r>
    </w:p>
    <w:p w:rsidR="00F97CBA" w:rsidRDefault="00F97CBA" w:rsidP="00F97CBA">
      <w:pPr>
        <w:pStyle w:val="Caption"/>
      </w:pPr>
      <w:bookmarkStart w:id="75" w:name="_Ref467597585"/>
      <w:proofErr w:type="gramStart"/>
      <w:r>
        <w:t xml:space="preserve">Table </w:t>
      </w:r>
      <w:fldSimple w:instr=" STYLEREF 1 \s ">
        <w:r w:rsidR="0032238B">
          <w:rPr>
            <w:noProof/>
          </w:rPr>
          <w:t>7</w:t>
        </w:r>
      </w:fldSimple>
      <w:r>
        <w:t>.</w:t>
      </w:r>
      <w:proofErr w:type="gramEnd"/>
      <w:r w:rsidR="005812E9">
        <w:fldChar w:fldCharType="begin"/>
      </w:r>
      <w:r w:rsidR="005812E9">
        <w:instrText xml:space="preserve"> SEQ Table \* ARABIC \s 1 </w:instrText>
      </w:r>
      <w:r w:rsidR="005812E9">
        <w:fldChar w:fldCharType="separate"/>
      </w:r>
      <w:r w:rsidR="0032238B">
        <w:rPr>
          <w:noProof/>
        </w:rPr>
        <w:t>1</w:t>
      </w:r>
      <w:r w:rsidR="005812E9">
        <w:rPr>
          <w:noProof/>
        </w:rPr>
        <w:fldChar w:fldCharType="end"/>
      </w:r>
      <w:bookmarkEnd w:id="75"/>
      <w:r>
        <w:tab/>
        <w:t>Final decision transition charge ($2018)</w:t>
      </w:r>
    </w:p>
    <w:tbl>
      <w:tblPr>
        <w:tblStyle w:val="AERtable-numbers"/>
        <w:tblW w:w="0" w:type="auto"/>
        <w:tblLook w:val="04A0" w:firstRow="1" w:lastRow="0" w:firstColumn="1" w:lastColumn="0" w:noHBand="0" w:noVBand="1"/>
      </w:tblPr>
      <w:tblGrid>
        <w:gridCol w:w="2173"/>
        <w:gridCol w:w="2173"/>
        <w:gridCol w:w="2173"/>
        <w:gridCol w:w="2174"/>
      </w:tblGrid>
      <w:tr w:rsidR="00F97CBA" w:rsidTr="0038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F97CBA" w:rsidRDefault="00F97CBA" w:rsidP="00F97CBA"/>
        </w:tc>
        <w:tc>
          <w:tcPr>
            <w:tcW w:w="2173" w:type="dxa"/>
          </w:tcPr>
          <w:p w:rsidR="00F97CBA" w:rsidRDefault="00F97CBA" w:rsidP="00F97CBA">
            <w:pPr>
              <w:cnfStyle w:val="100000000000" w:firstRow="1" w:lastRow="0" w:firstColumn="0" w:lastColumn="0" w:oddVBand="0" w:evenVBand="0" w:oddHBand="0" w:evenHBand="0" w:firstRowFirstColumn="0" w:firstRowLastColumn="0" w:lastRowFirstColumn="0" w:lastRowLastColumn="0"/>
            </w:pPr>
            <w:r>
              <w:t>Revenue and costs    true–up</w:t>
            </w:r>
          </w:p>
        </w:tc>
        <w:tc>
          <w:tcPr>
            <w:tcW w:w="2173" w:type="dxa"/>
          </w:tcPr>
          <w:p w:rsidR="00F97CBA" w:rsidRDefault="00F97CBA" w:rsidP="00F97CBA">
            <w:pPr>
              <w:cnfStyle w:val="100000000000" w:firstRow="1" w:lastRow="0" w:firstColumn="0" w:lastColumn="0" w:oddVBand="0" w:evenVBand="0" w:oddHBand="0" w:evenHBand="0" w:firstRowFirstColumn="0" w:firstRowLastColumn="0" w:lastRowFirstColumn="0" w:lastRowLastColumn="0"/>
            </w:pPr>
            <w:r>
              <w:t>Metering asset base true–up</w:t>
            </w:r>
          </w:p>
        </w:tc>
        <w:tc>
          <w:tcPr>
            <w:tcW w:w="2174" w:type="dxa"/>
          </w:tcPr>
          <w:p w:rsidR="00F97CBA" w:rsidRDefault="00F97CBA" w:rsidP="00F97CBA">
            <w:pPr>
              <w:cnfStyle w:val="100000000000" w:firstRow="1" w:lastRow="0" w:firstColumn="0" w:lastColumn="0" w:oddVBand="0" w:evenVBand="0" w:oddHBand="0" w:evenHBand="0" w:firstRowFirstColumn="0" w:firstRowLastColumn="0" w:lastRowFirstColumn="0" w:lastRowLastColumn="0"/>
            </w:pPr>
            <w:r>
              <w:t>Transition charge</w:t>
            </w:r>
          </w:p>
        </w:tc>
      </w:tr>
      <w:tr w:rsidR="003867B6" w:rsidTr="003867B6">
        <w:tc>
          <w:tcPr>
            <w:cnfStyle w:val="001000000000" w:firstRow="0" w:lastRow="0" w:firstColumn="1" w:lastColumn="0" w:oddVBand="0" w:evenVBand="0" w:oddHBand="0" w:evenHBand="0" w:firstRowFirstColumn="0" w:firstRowLastColumn="0" w:lastRowFirstColumn="0" w:lastRowLastColumn="0"/>
            <w:tcW w:w="2173" w:type="dxa"/>
          </w:tcPr>
          <w:p w:rsidR="003867B6" w:rsidRPr="002F0C97" w:rsidRDefault="003867B6" w:rsidP="003867B6">
            <w:r w:rsidRPr="002F0C97">
              <w:t>Initial proposal</w:t>
            </w:r>
          </w:p>
        </w:tc>
        <w:tc>
          <w:tcPr>
            <w:tcW w:w="2173" w:type="dxa"/>
          </w:tcPr>
          <w:p w:rsidR="003867B6" w:rsidRPr="003867B6" w:rsidRDefault="003867B6" w:rsidP="003867B6">
            <w:pPr>
              <w:cnfStyle w:val="000000000000" w:firstRow="0" w:lastRow="0" w:firstColumn="0" w:lastColumn="0" w:oddVBand="0" w:evenVBand="0" w:oddHBand="0" w:evenHBand="0" w:firstRowFirstColumn="0" w:firstRowLastColumn="0" w:lastRowFirstColumn="0" w:lastRowLastColumn="0"/>
            </w:pPr>
            <w:r>
              <w:t>(</w:t>
            </w:r>
            <w:r w:rsidRPr="003867B6">
              <w:t>11.8)</w:t>
            </w:r>
          </w:p>
        </w:tc>
        <w:tc>
          <w:tcPr>
            <w:tcW w:w="2173" w:type="dxa"/>
          </w:tcPr>
          <w:p w:rsidR="003867B6" w:rsidRPr="003867B6" w:rsidRDefault="003867B6" w:rsidP="003867B6">
            <w:pPr>
              <w:cnfStyle w:val="000000000000" w:firstRow="0" w:lastRow="0" w:firstColumn="0" w:lastColumn="0" w:oddVBand="0" w:evenVBand="0" w:oddHBand="0" w:evenHBand="0" w:firstRowFirstColumn="0" w:firstRowLastColumn="0" w:lastRowFirstColumn="0" w:lastRowLastColumn="0"/>
            </w:pPr>
            <w:r>
              <w:t>2.0</w:t>
            </w:r>
          </w:p>
        </w:tc>
        <w:tc>
          <w:tcPr>
            <w:tcW w:w="2174" w:type="dxa"/>
          </w:tcPr>
          <w:p w:rsidR="003867B6" w:rsidRPr="003867B6" w:rsidRDefault="003867B6" w:rsidP="003867B6">
            <w:pPr>
              <w:cnfStyle w:val="000000000000" w:firstRow="0" w:lastRow="0" w:firstColumn="0" w:lastColumn="0" w:oddVBand="0" w:evenVBand="0" w:oddHBand="0" w:evenHBand="0" w:firstRowFirstColumn="0" w:firstRowLastColumn="0" w:lastRowFirstColumn="0" w:lastRowLastColumn="0"/>
            </w:pPr>
            <w:r>
              <w:t>(</w:t>
            </w:r>
            <w:r w:rsidRPr="003867B6">
              <w:t>9.8)</w:t>
            </w:r>
          </w:p>
        </w:tc>
      </w:tr>
      <w:tr w:rsidR="003867B6" w:rsidTr="003867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3867B6" w:rsidRPr="002F0C97" w:rsidRDefault="003867B6" w:rsidP="003867B6">
            <w:r w:rsidRPr="002F0C97">
              <w:t>Draft decision</w:t>
            </w:r>
          </w:p>
        </w:tc>
        <w:tc>
          <w:tcPr>
            <w:tcW w:w="2173" w:type="dxa"/>
          </w:tcPr>
          <w:p w:rsidR="003867B6" w:rsidRPr="003867B6" w:rsidRDefault="003867B6" w:rsidP="003867B6">
            <w:pPr>
              <w:cnfStyle w:val="000000010000" w:firstRow="0" w:lastRow="0" w:firstColumn="0" w:lastColumn="0" w:oddVBand="0" w:evenVBand="0" w:oddHBand="0" w:evenHBand="1" w:firstRowFirstColumn="0" w:firstRowLastColumn="0" w:lastRowFirstColumn="0" w:lastRowLastColumn="0"/>
            </w:pPr>
            <w:r>
              <w:t>(</w:t>
            </w:r>
            <w:r w:rsidRPr="003867B6">
              <w:t>11.8)</w:t>
            </w:r>
          </w:p>
        </w:tc>
        <w:tc>
          <w:tcPr>
            <w:tcW w:w="2173" w:type="dxa"/>
          </w:tcPr>
          <w:p w:rsidR="003867B6" w:rsidRPr="003867B6" w:rsidRDefault="003867B6" w:rsidP="003867B6">
            <w:pPr>
              <w:cnfStyle w:val="000000010000" w:firstRow="0" w:lastRow="0" w:firstColumn="0" w:lastColumn="0" w:oddVBand="0" w:evenVBand="0" w:oddHBand="0" w:evenHBand="1" w:firstRowFirstColumn="0" w:firstRowLastColumn="0" w:lastRowFirstColumn="0" w:lastRowLastColumn="0"/>
            </w:pPr>
            <w:r>
              <w:t>2.0</w:t>
            </w:r>
          </w:p>
        </w:tc>
        <w:tc>
          <w:tcPr>
            <w:tcW w:w="2174" w:type="dxa"/>
          </w:tcPr>
          <w:p w:rsidR="003867B6" w:rsidRPr="003867B6" w:rsidRDefault="003867B6" w:rsidP="003867B6">
            <w:pPr>
              <w:cnfStyle w:val="000000010000" w:firstRow="0" w:lastRow="0" w:firstColumn="0" w:lastColumn="0" w:oddVBand="0" w:evenVBand="0" w:oddHBand="0" w:evenHBand="1" w:firstRowFirstColumn="0" w:firstRowLastColumn="0" w:lastRowFirstColumn="0" w:lastRowLastColumn="0"/>
            </w:pPr>
            <w:r>
              <w:t>(</w:t>
            </w:r>
            <w:r w:rsidRPr="003867B6">
              <w:t>9.8)</w:t>
            </w:r>
          </w:p>
        </w:tc>
      </w:tr>
      <w:tr w:rsidR="00F97CBA" w:rsidTr="003867B6">
        <w:tc>
          <w:tcPr>
            <w:cnfStyle w:val="001000000000" w:firstRow="0" w:lastRow="0" w:firstColumn="1" w:lastColumn="0" w:oddVBand="0" w:evenVBand="0" w:oddHBand="0" w:evenHBand="0" w:firstRowFirstColumn="0" w:firstRowLastColumn="0" w:lastRowFirstColumn="0" w:lastRowLastColumn="0"/>
            <w:tcW w:w="2173" w:type="dxa"/>
          </w:tcPr>
          <w:p w:rsidR="00F97CBA" w:rsidRPr="002F0C97" w:rsidRDefault="00F97CBA" w:rsidP="00F97CBA">
            <w:r w:rsidRPr="002F0C97">
              <w:t>Revised proposal</w:t>
            </w:r>
          </w:p>
        </w:tc>
        <w:tc>
          <w:tcPr>
            <w:tcW w:w="2173" w:type="dxa"/>
          </w:tcPr>
          <w:p w:rsidR="00F97CBA" w:rsidRDefault="00F97CBA" w:rsidP="00F97CBA">
            <w:pPr>
              <w:cnfStyle w:val="000000000000" w:firstRow="0" w:lastRow="0" w:firstColumn="0" w:lastColumn="0" w:oddVBand="0" w:evenVBand="0" w:oddHBand="0" w:evenHBand="0" w:firstRowFirstColumn="0" w:firstRowLastColumn="0" w:lastRowFirstColumn="0" w:lastRowLastColumn="0"/>
            </w:pPr>
            <w:r>
              <w:t>–</w:t>
            </w:r>
          </w:p>
        </w:tc>
        <w:tc>
          <w:tcPr>
            <w:tcW w:w="2173" w:type="dxa"/>
          </w:tcPr>
          <w:p w:rsidR="00F97CBA" w:rsidRDefault="00F97CBA" w:rsidP="00F97CBA">
            <w:pPr>
              <w:cnfStyle w:val="000000000000" w:firstRow="0" w:lastRow="0" w:firstColumn="0" w:lastColumn="0" w:oddVBand="0" w:evenVBand="0" w:oddHBand="0" w:evenHBand="0" w:firstRowFirstColumn="0" w:firstRowLastColumn="0" w:lastRowFirstColumn="0" w:lastRowLastColumn="0"/>
            </w:pPr>
            <w:r>
              <w:t>–</w:t>
            </w:r>
          </w:p>
        </w:tc>
        <w:tc>
          <w:tcPr>
            <w:tcW w:w="2174" w:type="dxa"/>
          </w:tcPr>
          <w:p w:rsidR="00F97CBA" w:rsidRDefault="00F97CBA" w:rsidP="00F97CBA">
            <w:pPr>
              <w:cnfStyle w:val="000000000000" w:firstRow="0" w:lastRow="0" w:firstColumn="0" w:lastColumn="0" w:oddVBand="0" w:evenVBand="0" w:oddHBand="0" w:evenHBand="0" w:firstRowFirstColumn="0" w:firstRowLastColumn="0" w:lastRowFirstColumn="0" w:lastRowLastColumn="0"/>
            </w:pPr>
            <w:r>
              <w:t>–</w:t>
            </w:r>
          </w:p>
        </w:tc>
      </w:tr>
      <w:tr w:rsidR="00F97CBA" w:rsidTr="003867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F97CBA" w:rsidRPr="002F0C97" w:rsidRDefault="00F97CBA" w:rsidP="00F97CBA">
            <w:r w:rsidRPr="002F0C97">
              <w:t>Final decision</w:t>
            </w:r>
          </w:p>
        </w:tc>
        <w:tc>
          <w:tcPr>
            <w:tcW w:w="2173" w:type="dxa"/>
          </w:tcPr>
          <w:p w:rsidR="00F97CBA" w:rsidRDefault="003867B6" w:rsidP="00F97CBA">
            <w:pPr>
              <w:cnfStyle w:val="000000010000" w:firstRow="0" w:lastRow="0" w:firstColumn="0" w:lastColumn="0" w:oddVBand="0" w:evenVBand="0" w:oddHBand="0" w:evenHBand="1" w:firstRowFirstColumn="0" w:firstRowLastColumn="0" w:lastRowFirstColumn="0" w:lastRowLastColumn="0"/>
            </w:pPr>
            <w:r>
              <w:t>(11.8)</w:t>
            </w:r>
          </w:p>
        </w:tc>
        <w:tc>
          <w:tcPr>
            <w:tcW w:w="2173" w:type="dxa"/>
          </w:tcPr>
          <w:p w:rsidR="00F97CBA" w:rsidRDefault="003867B6" w:rsidP="00F97CBA">
            <w:pPr>
              <w:cnfStyle w:val="000000010000" w:firstRow="0" w:lastRow="0" w:firstColumn="0" w:lastColumn="0" w:oddVBand="0" w:evenVBand="0" w:oddHBand="0" w:evenHBand="1" w:firstRowFirstColumn="0" w:firstRowLastColumn="0" w:lastRowFirstColumn="0" w:lastRowLastColumn="0"/>
            </w:pPr>
            <w:r>
              <w:t>2.0</w:t>
            </w:r>
          </w:p>
        </w:tc>
        <w:tc>
          <w:tcPr>
            <w:tcW w:w="2174" w:type="dxa"/>
          </w:tcPr>
          <w:p w:rsidR="00F97CBA" w:rsidRDefault="003867B6" w:rsidP="00F97CBA">
            <w:pPr>
              <w:cnfStyle w:val="000000010000" w:firstRow="0" w:lastRow="0" w:firstColumn="0" w:lastColumn="0" w:oddVBand="0" w:evenVBand="0" w:oddHBand="0" w:evenHBand="1" w:firstRowFirstColumn="0" w:firstRowLastColumn="0" w:lastRowFirstColumn="0" w:lastRowLastColumn="0"/>
            </w:pPr>
            <w:r>
              <w:t>(9.8)</w:t>
            </w:r>
          </w:p>
        </w:tc>
      </w:tr>
    </w:tbl>
    <w:p w:rsidR="00F97CBA" w:rsidRPr="00F97CBA" w:rsidRDefault="00F97CBA" w:rsidP="00F97CBA">
      <w:pPr>
        <w:pStyle w:val="AERtablesource"/>
      </w:pPr>
      <w:r>
        <w:t>Source:</w:t>
      </w:r>
      <w:r>
        <w:tab/>
        <w:t>AER analysis</w:t>
      </w:r>
      <w:r w:rsidRPr="00F97CBA">
        <w:t>.</w:t>
      </w:r>
    </w:p>
    <w:p w:rsidR="00F97CBA" w:rsidRDefault="00F97CBA" w:rsidP="00F97CBA">
      <w:pPr>
        <w:pStyle w:val="AERtablesource"/>
      </w:pPr>
      <w:r>
        <w:t>Note:</w:t>
      </w:r>
      <w:r>
        <w:tab/>
        <w:t>Our draft decision accepted a negative transition charge of $</w:t>
      </w:r>
      <w:r w:rsidR="003867B6">
        <w:t>9 762 781</w:t>
      </w:r>
      <w:r>
        <w:t xml:space="preserve"> ($2018). Using updated WACC and CPI values, our final decision approves a marginally less return of rev</w:t>
      </w:r>
      <w:r w:rsidR="0019569B">
        <w:t>enue to customers, totalling $9 756 256</w:t>
      </w:r>
      <w:r>
        <w:t xml:space="preserve"> ($2018).</w:t>
      </w:r>
    </w:p>
    <w:p w:rsidR="00F97CBA" w:rsidRDefault="00F97CBA" w:rsidP="00F97CBA">
      <w:r>
        <w:t>In 2014 and 2015, Powercor spent less than its allowed AMI budget. It therefore did not submit an application for the recovery of excess expenditure. Instead, as required,</w:t>
      </w:r>
      <w:r>
        <w:rPr>
          <w:rStyle w:val="FootnoteReference"/>
        </w:rPr>
        <w:footnoteReference w:id="98"/>
      </w:r>
      <w:r w:rsidR="00BD4644">
        <w:t xml:space="preserve"> Powerco</w:t>
      </w:r>
      <w:r>
        <w:t>r provided us with audit reports certifying that its actual expenditure in 2014 and 2015 was within scope and equal to the amount claimed.</w:t>
      </w:r>
      <w:r>
        <w:rPr>
          <w:rStyle w:val="FootnoteReference"/>
        </w:rPr>
        <w:footnoteReference w:id="99"/>
      </w:r>
    </w:p>
    <w:p w:rsidR="00F97CBA" w:rsidRDefault="00F97CBA" w:rsidP="00F97CBA">
      <w:r>
        <w:t>When calculating the negative transition ch</w:t>
      </w:r>
      <w:r w:rsidR="00BD4644">
        <w:t>arge of $9.8</w:t>
      </w:r>
      <w:r>
        <w:t xml:space="preserve"> million ($2018), we have factored in Powercor spending less than its AMI budget in 2014 and 2015. By doing this, customers will have the budgeted costs which Powercor did not incur returned to them via the transition charge. </w:t>
      </w:r>
    </w:p>
    <w:p w:rsidR="00DF0917" w:rsidRDefault="00A4246D" w:rsidP="005C7BEC">
      <w:pPr>
        <w:pStyle w:val="Heading1"/>
      </w:pPr>
      <w:bookmarkStart w:id="76" w:name="_Toc467654529"/>
      <w:r>
        <w:t>United Energy</w:t>
      </w:r>
      <w:bookmarkEnd w:id="76"/>
    </w:p>
    <w:bookmarkEnd w:id="70"/>
    <w:bookmarkEnd w:id="71"/>
    <w:bookmarkEnd w:id="72"/>
    <w:bookmarkEnd w:id="73"/>
    <w:p w:rsidR="0019569B" w:rsidRDefault="0019569B" w:rsidP="0019569B">
      <w:r>
        <w:t xml:space="preserve">We affirm our draft determination on United Energy's transition charge.  </w:t>
      </w:r>
    </w:p>
    <w:p w:rsidR="00A4246D" w:rsidRDefault="00A4246D" w:rsidP="00A4246D">
      <w:pPr>
        <w:pStyle w:val="Heading2"/>
      </w:pPr>
      <w:bookmarkStart w:id="77" w:name="_Toc467654530"/>
      <w:r>
        <w:t>Final decision</w:t>
      </w:r>
      <w:bookmarkEnd w:id="77"/>
    </w:p>
    <w:p w:rsidR="0019569B" w:rsidRDefault="0019569B" w:rsidP="0019569B">
      <w:r w:rsidRPr="00EA403A">
        <w:t xml:space="preserve">Our </w:t>
      </w:r>
      <w:r>
        <w:t>final</w:t>
      </w:r>
      <w:r w:rsidRPr="00EA403A">
        <w:t xml:space="preserve"> decision provides for a neg</w:t>
      </w:r>
      <w:r>
        <w:t>ative transition charge of $</w:t>
      </w:r>
      <w:r w:rsidR="00A3528C">
        <w:t>3.9</w:t>
      </w:r>
      <w:r w:rsidRPr="00EA403A">
        <w:t xml:space="preserve"> million ($2018). </w:t>
      </w:r>
    </w:p>
    <w:p w:rsidR="0019569B" w:rsidRDefault="0019569B" w:rsidP="0019569B">
      <w:r>
        <w:t xml:space="preserve">Under the Order, the calculation of United Energy's transition charge must consist of </w:t>
      </w:r>
      <w:r w:rsidR="00721E8A">
        <w:t>revenue</w:t>
      </w:r>
      <w:r>
        <w:t xml:space="preserve"> and costs true–up and a MAB adjustment (see section </w:t>
      </w:r>
      <w:r>
        <w:fldChar w:fldCharType="begin"/>
      </w:r>
      <w:r>
        <w:instrText xml:space="preserve"> REF _Ref461458739 \n \h </w:instrText>
      </w:r>
      <w:r>
        <w:fldChar w:fldCharType="separate"/>
      </w:r>
      <w:r w:rsidR="0032238B">
        <w:t>3.1</w:t>
      </w:r>
      <w:r>
        <w:fldChar w:fldCharType="end"/>
      </w:r>
      <w:r>
        <w:t>).</w:t>
      </w:r>
      <w:r>
        <w:rPr>
          <w:rStyle w:val="FootnoteReference"/>
        </w:rPr>
        <w:footnoteReference w:id="100"/>
      </w:r>
      <w:r>
        <w:t xml:space="preserve"> United Energy's initial application included the revenue and costs true–up in the calculation of its proposed transition charge but did not </w:t>
      </w:r>
      <w:r w:rsidR="00721E8A">
        <w:t xml:space="preserve">include </w:t>
      </w:r>
      <w:r>
        <w:t xml:space="preserve">the MAB adjustment. Its submission on our draft decision, however, accepted that the Order requires the MAB adjustment to </w:t>
      </w:r>
      <w:proofErr w:type="gramStart"/>
      <w:r>
        <w:t>be applied</w:t>
      </w:r>
      <w:proofErr w:type="gramEnd"/>
      <w:r>
        <w:t>.</w:t>
      </w:r>
      <w:r>
        <w:rPr>
          <w:rStyle w:val="FootnoteReference"/>
        </w:rPr>
        <w:footnoteReference w:id="101"/>
      </w:r>
    </w:p>
    <w:p w:rsidR="0019569B" w:rsidRDefault="0019569B" w:rsidP="0019569B">
      <w:r>
        <w:fldChar w:fldCharType="begin"/>
      </w:r>
      <w:r>
        <w:instrText xml:space="preserve"> REF _Ref467598536 \h </w:instrText>
      </w:r>
      <w:r>
        <w:fldChar w:fldCharType="separate"/>
      </w:r>
      <w:r w:rsidR="0032238B">
        <w:t xml:space="preserve">Table </w:t>
      </w:r>
      <w:r w:rsidR="0032238B">
        <w:rPr>
          <w:noProof/>
        </w:rPr>
        <w:t>8</w:t>
      </w:r>
      <w:r w:rsidR="0032238B">
        <w:t>.</w:t>
      </w:r>
      <w:r w:rsidR="0032238B">
        <w:rPr>
          <w:noProof/>
        </w:rPr>
        <w:t>1</w:t>
      </w:r>
      <w:r>
        <w:fldChar w:fldCharType="end"/>
      </w:r>
      <w:r>
        <w:t xml:space="preserve"> sets out the components that make up our final decision. It shows that our final decision transition charge consists of a revenue and costs true–up of </w:t>
      </w:r>
      <w:r w:rsidR="00A3528C">
        <w:t>positive</w:t>
      </w:r>
      <w:r>
        <w:t xml:space="preserve"> $</w:t>
      </w:r>
      <w:r w:rsidR="00A3528C">
        <w:t>1.0</w:t>
      </w:r>
      <w:r>
        <w:t xml:space="preserve"> million ($2018) plus a MAB adjustment of negative $</w:t>
      </w:r>
      <w:r w:rsidR="00A3528C">
        <w:t>4.9</w:t>
      </w:r>
      <w:r>
        <w:t xml:space="preserve"> million ($2018) giving a total transition charge of negative $</w:t>
      </w:r>
      <w:r w:rsidR="00A3528C">
        <w:t>3.9</w:t>
      </w:r>
      <w:r>
        <w:t xml:space="preserve"> million ($2018). In calculating the transition charge, we used updated WACC and CPI numbers which were not available when we made our draft decision.</w:t>
      </w:r>
      <w:r w:rsidR="00F24E2C">
        <w:rPr>
          <w:rStyle w:val="FootnoteReference"/>
        </w:rPr>
        <w:footnoteReference w:id="102"/>
      </w:r>
    </w:p>
    <w:p w:rsidR="00A4246D" w:rsidRDefault="00A4246D" w:rsidP="00A4246D">
      <w:pPr>
        <w:pStyle w:val="Caption"/>
      </w:pPr>
      <w:bookmarkStart w:id="78" w:name="_Ref467598536"/>
      <w:proofErr w:type="gramStart"/>
      <w:r>
        <w:t xml:space="preserve">Table </w:t>
      </w:r>
      <w:fldSimple w:instr=" STYLEREF 1 \s ">
        <w:r w:rsidR="0032238B">
          <w:rPr>
            <w:noProof/>
          </w:rPr>
          <w:t>8</w:t>
        </w:r>
      </w:fldSimple>
      <w:r w:rsidR="002F1365">
        <w:t>.</w:t>
      </w:r>
      <w:proofErr w:type="gramEnd"/>
      <w:fldSimple w:instr=" SEQ Table \* ARABIC \s 1 ">
        <w:r w:rsidR="0032238B">
          <w:rPr>
            <w:noProof/>
          </w:rPr>
          <w:t>1</w:t>
        </w:r>
      </w:fldSimple>
      <w:bookmarkEnd w:id="78"/>
      <w:r>
        <w:tab/>
        <w:t>Final decision transition charge ($2018)</w:t>
      </w:r>
    </w:p>
    <w:tbl>
      <w:tblPr>
        <w:tblStyle w:val="AERtable-numbers"/>
        <w:tblW w:w="0" w:type="auto"/>
        <w:tblLook w:val="04A0" w:firstRow="1" w:lastRow="0" w:firstColumn="1" w:lastColumn="0" w:noHBand="0" w:noVBand="1"/>
      </w:tblPr>
      <w:tblGrid>
        <w:gridCol w:w="2173"/>
        <w:gridCol w:w="2173"/>
        <w:gridCol w:w="2173"/>
        <w:gridCol w:w="2174"/>
      </w:tblGrid>
      <w:tr w:rsidR="00A4246D" w:rsidTr="00295C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A4246D" w:rsidRDefault="00A4246D" w:rsidP="00A4246D"/>
        </w:tc>
        <w:tc>
          <w:tcPr>
            <w:tcW w:w="2173" w:type="dxa"/>
          </w:tcPr>
          <w:p w:rsidR="00A4246D" w:rsidRPr="00A4246D" w:rsidRDefault="00A4246D" w:rsidP="00A4246D">
            <w:pPr>
              <w:cnfStyle w:val="100000000000" w:firstRow="1" w:lastRow="0" w:firstColumn="0" w:lastColumn="0" w:oddVBand="0" w:evenVBand="0" w:oddHBand="0" w:evenHBand="0" w:firstRowFirstColumn="0" w:firstRowLastColumn="0" w:lastRowFirstColumn="0" w:lastRowLastColumn="0"/>
            </w:pPr>
            <w:r>
              <w:t xml:space="preserve">Revenue and costs </w:t>
            </w:r>
            <w:r w:rsidRPr="00A4246D">
              <w:t xml:space="preserve">   true–up</w:t>
            </w:r>
          </w:p>
        </w:tc>
        <w:tc>
          <w:tcPr>
            <w:tcW w:w="2173" w:type="dxa"/>
          </w:tcPr>
          <w:p w:rsidR="00A4246D" w:rsidRPr="00A4246D" w:rsidRDefault="00A4246D" w:rsidP="00A4246D">
            <w:pPr>
              <w:cnfStyle w:val="100000000000" w:firstRow="1" w:lastRow="0" w:firstColumn="0" w:lastColumn="0" w:oddVBand="0" w:evenVBand="0" w:oddHBand="0" w:evenHBand="0" w:firstRowFirstColumn="0" w:firstRowLastColumn="0" w:lastRowFirstColumn="0" w:lastRowLastColumn="0"/>
            </w:pPr>
            <w:r>
              <w:t>Metering asset base true–up</w:t>
            </w:r>
          </w:p>
        </w:tc>
        <w:tc>
          <w:tcPr>
            <w:tcW w:w="2174" w:type="dxa"/>
          </w:tcPr>
          <w:p w:rsidR="00A4246D" w:rsidRPr="00A4246D" w:rsidRDefault="00A4246D" w:rsidP="00A4246D">
            <w:pPr>
              <w:cnfStyle w:val="100000000000" w:firstRow="1" w:lastRow="0" w:firstColumn="0" w:lastColumn="0" w:oddVBand="0" w:evenVBand="0" w:oddHBand="0" w:evenHBand="0" w:firstRowFirstColumn="0" w:firstRowLastColumn="0" w:lastRowFirstColumn="0" w:lastRowLastColumn="0"/>
            </w:pPr>
            <w:r>
              <w:t>Transition charge</w:t>
            </w:r>
          </w:p>
        </w:tc>
      </w:tr>
      <w:tr w:rsidR="00A4246D" w:rsidTr="00295C6F">
        <w:tc>
          <w:tcPr>
            <w:cnfStyle w:val="001000000000" w:firstRow="0" w:lastRow="0" w:firstColumn="1" w:lastColumn="0" w:oddVBand="0" w:evenVBand="0" w:oddHBand="0" w:evenHBand="0" w:firstRowFirstColumn="0" w:firstRowLastColumn="0" w:lastRowFirstColumn="0" w:lastRowLastColumn="0"/>
            <w:tcW w:w="2173" w:type="dxa"/>
          </w:tcPr>
          <w:p w:rsidR="00A4246D" w:rsidRPr="002F0C97" w:rsidRDefault="00A4246D" w:rsidP="00A4246D">
            <w:r w:rsidRPr="002F0C97">
              <w:t>Initial proposal</w:t>
            </w:r>
          </w:p>
        </w:tc>
        <w:tc>
          <w:tcPr>
            <w:tcW w:w="2173" w:type="dxa"/>
          </w:tcPr>
          <w:p w:rsidR="00A4246D" w:rsidRDefault="006D7D74" w:rsidP="00A4246D">
            <w:pPr>
              <w:cnfStyle w:val="000000000000" w:firstRow="0" w:lastRow="0" w:firstColumn="0" w:lastColumn="0" w:oddVBand="0" w:evenVBand="0" w:oddHBand="0" w:evenHBand="0" w:firstRowFirstColumn="0" w:firstRowLastColumn="0" w:lastRowFirstColumn="0" w:lastRowLastColumn="0"/>
            </w:pPr>
            <w:r>
              <w:t>1.0</w:t>
            </w:r>
          </w:p>
        </w:tc>
        <w:tc>
          <w:tcPr>
            <w:tcW w:w="2173" w:type="dxa"/>
          </w:tcPr>
          <w:p w:rsidR="00A4246D" w:rsidRDefault="006D7D74" w:rsidP="00A4246D">
            <w:pPr>
              <w:cnfStyle w:val="000000000000" w:firstRow="0" w:lastRow="0" w:firstColumn="0" w:lastColumn="0" w:oddVBand="0" w:evenVBand="0" w:oddHBand="0" w:evenHBand="0" w:firstRowFirstColumn="0" w:firstRowLastColumn="0" w:lastRowFirstColumn="0" w:lastRowLastColumn="0"/>
            </w:pPr>
            <w:r>
              <w:t>0.0</w:t>
            </w:r>
          </w:p>
        </w:tc>
        <w:tc>
          <w:tcPr>
            <w:tcW w:w="2174" w:type="dxa"/>
          </w:tcPr>
          <w:p w:rsidR="00A4246D" w:rsidRDefault="006D7D74" w:rsidP="00A4246D">
            <w:pPr>
              <w:cnfStyle w:val="000000000000" w:firstRow="0" w:lastRow="0" w:firstColumn="0" w:lastColumn="0" w:oddVBand="0" w:evenVBand="0" w:oddHBand="0" w:evenHBand="0" w:firstRowFirstColumn="0" w:firstRowLastColumn="0" w:lastRowFirstColumn="0" w:lastRowLastColumn="0"/>
            </w:pPr>
            <w:r>
              <w:t>1.0</w:t>
            </w:r>
          </w:p>
        </w:tc>
      </w:tr>
      <w:tr w:rsidR="00A4246D" w:rsidTr="00295C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A4246D" w:rsidRPr="002F0C97" w:rsidRDefault="00A4246D" w:rsidP="00A4246D">
            <w:r w:rsidRPr="002F0C97">
              <w:t>Draft decision</w:t>
            </w:r>
          </w:p>
        </w:tc>
        <w:tc>
          <w:tcPr>
            <w:tcW w:w="2173" w:type="dxa"/>
          </w:tcPr>
          <w:p w:rsidR="00A4246D" w:rsidRPr="00A4246D" w:rsidRDefault="006D7D74" w:rsidP="00A4246D">
            <w:pPr>
              <w:cnfStyle w:val="000000010000" w:firstRow="0" w:lastRow="0" w:firstColumn="0" w:lastColumn="0" w:oddVBand="0" w:evenVBand="0" w:oddHBand="0" w:evenHBand="1" w:firstRowFirstColumn="0" w:firstRowLastColumn="0" w:lastRowFirstColumn="0" w:lastRowLastColumn="0"/>
            </w:pPr>
            <w:r>
              <w:t>1.0</w:t>
            </w:r>
          </w:p>
        </w:tc>
        <w:tc>
          <w:tcPr>
            <w:tcW w:w="2173" w:type="dxa"/>
          </w:tcPr>
          <w:p w:rsidR="00A4246D" w:rsidRPr="00A4246D" w:rsidRDefault="006D7D74" w:rsidP="00A4246D">
            <w:pPr>
              <w:cnfStyle w:val="000000010000" w:firstRow="0" w:lastRow="0" w:firstColumn="0" w:lastColumn="0" w:oddVBand="0" w:evenVBand="0" w:oddHBand="0" w:evenHBand="1" w:firstRowFirstColumn="0" w:firstRowLastColumn="0" w:lastRowFirstColumn="0" w:lastRowLastColumn="0"/>
            </w:pPr>
            <w:r>
              <w:t>(4.9)</w:t>
            </w:r>
          </w:p>
        </w:tc>
        <w:tc>
          <w:tcPr>
            <w:tcW w:w="2174" w:type="dxa"/>
          </w:tcPr>
          <w:p w:rsidR="00A4246D" w:rsidRPr="00A4246D" w:rsidRDefault="006D7D74" w:rsidP="00A4246D">
            <w:pPr>
              <w:cnfStyle w:val="000000010000" w:firstRow="0" w:lastRow="0" w:firstColumn="0" w:lastColumn="0" w:oddVBand="0" w:evenVBand="0" w:oddHBand="0" w:evenHBand="1" w:firstRowFirstColumn="0" w:firstRowLastColumn="0" w:lastRowFirstColumn="0" w:lastRowLastColumn="0"/>
            </w:pPr>
            <w:r>
              <w:t>(3.9)</w:t>
            </w:r>
          </w:p>
        </w:tc>
      </w:tr>
      <w:tr w:rsidR="006D7D74" w:rsidTr="00295C6F">
        <w:tc>
          <w:tcPr>
            <w:cnfStyle w:val="001000000000" w:firstRow="0" w:lastRow="0" w:firstColumn="1" w:lastColumn="0" w:oddVBand="0" w:evenVBand="0" w:oddHBand="0" w:evenHBand="0" w:firstRowFirstColumn="0" w:firstRowLastColumn="0" w:lastRowFirstColumn="0" w:lastRowLastColumn="0"/>
            <w:tcW w:w="2173" w:type="dxa"/>
          </w:tcPr>
          <w:p w:rsidR="006D7D74" w:rsidRPr="002F0C97" w:rsidRDefault="006D7D74" w:rsidP="006D7D74">
            <w:r w:rsidRPr="002F0C97">
              <w:t>Revised proposal</w:t>
            </w:r>
          </w:p>
        </w:tc>
        <w:tc>
          <w:tcPr>
            <w:tcW w:w="2173" w:type="dxa"/>
          </w:tcPr>
          <w:p w:rsidR="006D7D74" w:rsidRPr="006D7D74" w:rsidRDefault="006D7D74" w:rsidP="006D7D74">
            <w:pPr>
              <w:cnfStyle w:val="000000000000" w:firstRow="0" w:lastRow="0" w:firstColumn="0" w:lastColumn="0" w:oddVBand="0" w:evenVBand="0" w:oddHBand="0" w:evenHBand="0" w:firstRowFirstColumn="0" w:firstRowLastColumn="0" w:lastRowFirstColumn="0" w:lastRowLastColumn="0"/>
            </w:pPr>
            <w:r>
              <w:t>1.0</w:t>
            </w:r>
          </w:p>
        </w:tc>
        <w:tc>
          <w:tcPr>
            <w:tcW w:w="2173" w:type="dxa"/>
          </w:tcPr>
          <w:p w:rsidR="006D7D74" w:rsidRPr="006D7D74" w:rsidRDefault="006D7D74" w:rsidP="006D7D74">
            <w:pPr>
              <w:cnfStyle w:val="000000000000" w:firstRow="0" w:lastRow="0" w:firstColumn="0" w:lastColumn="0" w:oddVBand="0" w:evenVBand="0" w:oddHBand="0" w:evenHBand="0" w:firstRowFirstColumn="0" w:firstRowLastColumn="0" w:lastRowFirstColumn="0" w:lastRowLastColumn="0"/>
            </w:pPr>
            <w:r>
              <w:t>(4.9)</w:t>
            </w:r>
          </w:p>
        </w:tc>
        <w:tc>
          <w:tcPr>
            <w:tcW w:w="2174" w:type="dxa"/>
          </w:tcPr>
          <w:p w:rsidR="006D7D74" w:rsidRPr="006D7D74" w:rsidRDefault="006D7D74" w:rsidP="006D7D74">
            <w:pPr>
              <w:cnfStyle w:val="000000000000" w:firstRow="0" w:lastRow="0" w:firstColumn="0" w:lastColumn="0" w:oddVBand="0" w:evenVBand="0" w:oddHBand="0" w:evenHBand="0" w:firstRowFirstColumn="0" w:firstRowLastColumn="0" w:lastRowFirstColumn="0" w:lastRowLastColumn="0"/>
            </w:pPr>
            <w:r>
              <w:t>(3.9)</w:t>
            </w:r>
          </w:p>
        </w:tc>
      </w:tr>
      <w:tr w:rsidR="006D7D74" w:rsidTr="00295C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6D7D74" w:rsidRPr="002F0C97" w:rsidRDefault="006D7D74" w:rsidP="006D7D74">
            <w:r w:rsidRPr="002F0C97">
              <w:t>Final decision</w:t>
            </w:r>
          </w:p>
        </w:tc>
        <w:tc>
          <w:tcPr>
            <w:tcW w:w="2173" w:type="dxa"/>
          </w:tcPr>
          <w:p w:rsidR="006D7D74" w:rsidRPr="006D7D74" w:rsidRDefault="006D7D74" w:rsidP="006D7D74">
            <w:pPr>
              <w:cnfStyle w:val="000000010000" w:firstRow="0" w:lastRow="0" w:firstColumn="0" w:lastColumn="0" w:oddVBand="0" w:evenVBand="0" w:oddHBand="0" w:evenHBand="1" w:firstRowFirstColumn="0" w:firstRowLastColumn="0" w:lastRowFirstColumn="0" w:lastRowLastColumn="0"/>
            </w:pPr>
            <w:r>
              <w:t>1.0</w:t>
            </w:r>
          </w:p>
        </w:tc>
        <w:tc>
          <w:tcPr>
            <w:tcW w:w="2173" w:type="dxa"/>
          </w:tcPr>
          <w:p w:rsidR="006D7D74" w:rsidRPr="006D7D74" w:rsidRDefault="006D7D74" w:rsidP="006D7D74">
            <w:pPr>
              <w:cnfStyle w:val="000000010000" w:firstRow="0" w:lastRow="0" w:firstColumn="0" w:lastColumn="0" w:oddVBand="0" w:evenVBand="0" w:oddHBand="0" w:evenHBand="1" w:firstRowFirstColumn="0" w:firstRowLastColumn="0" w:lastRowFirstColumn="0" w:lastRowLastColumn="0"/>
            </w:pPr>
            <w:r>
              <w:t>(4.9)</w:t>
            </w:r>
          </w:p>
        </w:tc>
        <w:tc>
          <w:tcPr>
            <w:tcW w:w="2174" w:type="dxa"/>
          </w:tcPr>
          <w:p w:rsidR="006D7D74" w:rsidRPr="006D7D74" w:rsidRDefault="006D7D74" w:rsidP="006D7D74">
            <w:pPr>
              <w:cnfStyle w:val="000000010000" w:firstRow="0" w:lastRow="0" w:firstColumn="0" w:lastColumn="0" w:oddVBand="0" w:evenVBand="0" w:oddHBand="0" w:evenHBand="1" w:firstRowFirstColumn="0" w:firstRowLastColumn="0" w:lastRowFirstColumn="0" w:lastRowLastColumn="0"/>
            </w:pPr>
            <w:r>
              <w:t>(3.9)</w:t>
            </w:r>
          </w:p>
        </w:tc>
      </w:tr>
    </w:tbl>
    <w:p w:rsidR="00A4246D" w:rsidRDefault="00A4246D" w:rsidP="00A4246D">
      <w:pPr>
        <w:pStyle w:val="AERtablesource"/>
      </w:pPr>
      <w:r>
        <w:t>Source:</w:t>
      </w:r>
      <w:r>
        <w:tab/>
        <w:t>AER analysis</w:t>
      </w:r>
      <w:r w:rsidRPr="00A4246D">
        <w:t>.</w:t>
      </w:r>
    </w:p>
    <w:p w:rsidR="006D7D74" w:rsidRDefault="006D7D74" w:rsidP="006D7D74">
      <w:pPr>
        <w:pStyle w:val="AERtablesource"/>
      </w:pPr>
      <w:r>
        <w:t>Note:</w:t>
      </w:r>
      <w:r>
        <w:tab/>
        <w:t>Our draft decision accepted a negative transition charge of $3 861 971 ($2018). Using updated WACC and CPI values, our final decision approves a marginally less return of revenue to customers, totalling $3 863 122 ($2018).</w:t>
      </w:r>
    </w:p>
    <w:p w:rsidR="006D7D74" w:rsidRPr="006D7D74" w:rsidRDefault="006D7D74" w:rsidP="006D7D74"/>
    <w:p w:rsidR="006711D8" w:rsidRDefault="006711D8" w:rsidP="00A4246D"/>
    <w:sectPr w:rsidR="006711D8" w:rsidSect="00AC02B7">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C4E" w:rsidRPr="00290C63" w:rsidRDefault="00DD1C4E" w:rsidP="00290C63">
      <w:r>
        <w:separator/>
      </w:r>
    </w:p>
    <w:p w:rsidR="00DD1C4E" w:rsidRDefault="00DD1C4E"/>
  </w:endnote>
  <w:endnote w:type="continuationSeparator" w:id="0">
    <w:p w:rsidR="00DD1C4E" w:rsidRPr="00290C63" w:rsidRDefault="00DD1C4E" w:rsidP="00290C63">
      <w:r>
        <w:continuationSeparator/>
      </w:r>
    </w:p>
    <w:p w:rsidR="00DD1C4E" w:rsidRDefault="00DD1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4E" w:rsidRPr="00290C63" w:rsidRDefault="00DD1C4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D1C4E" w:rsidRDefault="00DD1C4E"/>
  <w:p w:rsidR="00DD1C4E" w:rsidRDefault="00DD1C4E"/>
  <w:p w:rsidR="00DD1C4E" w:rsidRDefault="00DD1C4E"/>
  <w:p w:rsidR="00DD1C4E" w:rsidRDefault="00DD1C4E"/>
  <w:p w:rsidR="00DD1C4E" w:rsidRDefault="00DD1C4E"/>
  <w:p w:rsidR="00DD1C4E" w:rsidRDefault="00DD1C4E"/>
  <w:p w:rsidR="00DD1C4E" w:rsidRDefault="00DD1C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DD1C4E" w:rsidRDefault="00DD1C4E">
        <w:pPr>
          <w:pStyle w:val="Footer"/>
        </w:pPr>
        <w:r>
          <w:fldChar w:fldCharType="begin"/>
        </w:r>
        <w:r>
          <w:instrText xml:space="preserve"> PAGE   \* MERGEFORMAT </w:instrText>
        </w:r>
        <w:r>
          <w:fldChar w:fldCharType="separate"/>
        </w:r>
        <w:r w:rsidR="0032238B">
          <w:rPr>
            <w:noProof/>
          </w:rPr>
          <w:t>31</w:t>
        </w:r>
        <w:r>
          <w:rPr>
            <w:noProof/>
          </w:rPr>
          <w:fldChar w:fldCharType="end"/>
        </w:r>
        <w:r>
          <w:rPr>
            <w:noProof/>
          </w:rPr>
          <w:t xml:space="preserve">          </w:t>
        </w:r>
        <w:r w:rsidR="00D30D91">
          <w:t>Final</w:t>
        </w:r>
        <w:r>
          <w:rPr>
            <w:rFonts w:cs="Gautami"/>
            <w:noProof/>
            <w:sz w:val="16"/>
            <w:szCs w:val="16"/>
          </w:rPr>
          <w:t xml:space="preserve"> </w:t>
        </w:r>
        <w:r>
          <w:t>D</w:t>
        </w:r>
        <w:r w:rsidRPr="00FD5E78">
          <w:rPr>
            <w:rFonts w:cs="Gautami"/>
            <w:noProof/>
            <w:sz w:val="16"/>
            <w:szCs w:val="16"/>
          </w:rPr>
          <w:t>ecision</w:t>
        </w:r>
        <w:r>
          <w:rPr>
            <w:rFonts w:cs="Gautami"/>
            <w:noProof/>
            <w:sz w:val="16"/>
            <w:szCs w:val="16"/>
          </w:rPr>
          <w:t>:</w:t>
        </w:r>
        <w:r w:rsidRPr="00FD5E78">
          <w:rPr>
            <w:rFonts w:cs="Gautami"/>
            <w:noProof/>
            <w:sz w:val="16"/>
            <w:szCs w:val="16"/>
          </w:rPr>
          <w:t xml:space="preserve"> </w:t>
        </w:r>
        <w:r>
          <w:t>AMI Transition Charges Applications</w:t>
        </w:r>
      </w:p>
    </w:sdtContent>
  </w:sdt>
  <w:p w:rsidR="00DD1C4E" w:rsidRDefault="00DD1C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4E" w:rsidRPr="00290C63" w:rsidRDefault="00DD1C4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D1C4E" w:rsidRDefault="00DD1C4E">
    <w:pPr>
      <w:pStyle w:val="Footer"/>
    </w:pPr>
  </w:p>
  <w:p w:rsidR="00DD1C4E" w:rsidRDefault="00DD1C4E"/>
  <w:p w:rsidR="00DD1C4E" w:rsidRDefault="00DD1C4E"/>
  <w:p w:rsidR="00DD1C4E" w:rsidRDefault="00DD1C4E"/>
  <w:p w:rsidR="00DD1C4E" w:rsidRDefault="00DD1C4E"/>
  <w:p w:rsidR="00DD1C4E" w:rsidRDefault="00DD1C4E"/>
  <w:p w:rsidR="00DD1C4E" w:rsidRDefault="00DD1C4E"/>
  <w:p w:rsidR="00DD1C4E" w:rsidRDefault="00DD1C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C4E" w:rsidRPr="00290C63" w:rsidRDefault="00DD1C4E" w:rsidP="00290C63">
      <w:r>
        <w:separator/>
      </w:r>
    </w:p>
    <w:p w:rsidR="00DD1C4E" w:rsidRDefault="00DD1C4E"/>
  </w:footnote>
  <w:footnote w:type="continuationSeparator" w:id="0">
    <w:p w:rsidR="00DD1C4E" w:rsidRPr="00290C63" w:rsidRDefault="00DD1C4E" w:rsidP="00290C63">
      <w:r>
        <w:continuationSeparator/>
      </w:r>
    </w:p>
    <w:p w:rsidR="00DD1C4E" w:rsidRDefault="00DD1C4E"/>
  </w:footnote>
  <w:footnote w:id="1">
    <w:p w:rsidR="00DD1C4E" w:rsidRDefault="00DD1C4E">
      <w:pPr>
        <w:pStyle w:val="FootnoteText"/>
      </w:pPr>
      <w:r>
        <w:rPr>
          <w:rStyle w:val="FootnoteReference"/>
        </w:rPr>
        <w:footnoteRef/>
      </w:r>
      <w:r>
        <w:t xml:space="preserve"> </w:t>
      </w:r>
      <w:r>
        <w:tab/>
      </w:r>
      <w:r w:rsidRPr="00332E90">
        <w:rPr>
          <w:rStyle w:val="AERtextitalic"/>
        </w:rPr>
        <w:t>Victorian Advanced Metering Infrastructure Cost Recovery Order In Council</w:t>
      </w:r>
      <w:r>
        <w:t>.</w:t>
      </w:r>
      <w:r w:rsidRPr="006E1488">
        <w:t xml:space="preserve"> </w:t>
      </w:r>
      <w:r>
        <w:t xml:space="preserve">Since the Order </w:t>
      </w:r>
      <w:proofErr w:type="gramStart"/>
      <w:r>
        <w:t>was initially made</w:t>
      </w:r>
      <w:proofErr w:type="gramEnd"/>
      <w:r>
        <w:t>, it has been amended several times. This final decision applies the latest version of the Order made 15 June 2016.</w:t>
      </w:r>
    </w:p>
  </w:footnote>
  <w:footnote w:id="2">
    <w:p w:rsidR="00DD1C4E" w:rsidRDefault="00DD1C4E">
      <w:pPr>
        <w:pStyle w:val="FootnoteText"/>
      </w:pPr>
      <w:r>
        <w:rPr>
          <w:rStyle w:val="FootnoteReference"/>
        </w:rPr>
        <w:footnoteRef/>
      </w:r>
      <w:r>
        <w:t xml:space="preserve"> </w:t>
      </w:r>
      <w:r>
        <w:tab/>
        <w:t xml:space="preserve">AER, </w:t>
      </w:r>
      <w:r w:rsidRPr="00AC6B75">
        <w:rPr>
          <w:rStyle w:val="AERtextitalic"/>
        </w:rPr>
        <w:t>Draft AMI transition charges determination</w:t>
      </w:r>
      <w:r>
        <w:t>, 20 September 2016.</w:t>
      </w:r>
    </w:p>
  </w:footnote>
  <w:footnote w:id="3">
    <w:p w:rsidR="00DD1C4E" w:rsidRDefault="00DD1C4E" w:rsidP="00D61FA5">
      <w:pPr>
        <w:pStyle w:val="FootnoteText"/>
      </w:pPr>
      <w:r>
        <w:rPr>
          <w:rStyle w:val="FootnoteReference"/>
        </w:rPr>
        <w:footnoteRef/>
      </w:r>
      <w:r>
        <w:t xml:space="preserve"> </w:t>
      </w:r>
      <w:r>
        <w:tab/>
        <w:t xml:space="preserve">AusNet Services, </w:t>
      </w:r>
      <w:r w:rsidRPr="004B347E">
        <w:rPr>
          <w:rStyle w:val="AERtextitalic"/>
        </w:rPr>
        <w:t>Submission on transition charges application draft decision</w:t>
      </w:r>
      <w:r>
        <w:t xml:space="preserve">, 2 November 2016; Jemena, </w:t>
      </w:r>
      <w:r w:rsidRPr="004B347E">
        <w:rPr>
          <w:rStyle w:val="AERtextitalic"/>
        </w:rPr>
        <w:t>Submission on transition charges application draft decision</w:t>
      </w:r>
      <w:r>
        <w:t xml:space="preserve">, 2 November 2016; United Energy, </w:t>
      </w:r>
      <w:r w:rsidRPr="004B347E">
        <w:rPr>
          <w:rStyle w:val="AERtextitalic"/>
        </w:rPr>
        <w:t>Submission on transition charges application draft decision</w:t>
      </w:r>
      <w:r>
        <w:t>, 21 October 2016.</w:t>
      </w:r>
    </w:p>
  </w:footnote>
  <w:footnote w:id="4">
    <w:p w:rsidR="00DD1C4E" w:rsidRDefault="00DD1C4E" w:rsidP="007F24BB">
      <w:pPr>
        <w:pStyle w:val="FootnoteText"/>
      </w:pPr>
      <w:r>
        <w:rPr>
          <w:rStyle w:val="FootnoteReference"/>
        </w:rPr>
        <w:footnoteRef/>
      </w:r>
      <w:r>
        <w:t xml:space="preserve"> </w:t>
      </w:r>
      <w:r>
        <w:tab/>
      </w:r>
      <w:proofErr w:type="gramStart"/>
      <w:r w:rsidRPr="007D4722">
        <w:t xml:space="preserve">AER, </w:t>
      </w:r>
      <w:r w:rsidRPr="00332E90">
        <w:rPr>
          <w:rStyle w:val="AERtextitalic"/>
        </w:rPr>
        <w:t>2009–11 AMI budget and charges determination</w:t>
      </w:r>
      <w:r w:rsidRPr="007D4722">
        <w:t xml:space="preserve">, 30 October 2009; AER, </w:t>
      </w:r>
      <w:r w:rsidRPr="00332E90">
        <w:rPr>
          <w:rStyle w:val="AERtextitalic"/>
        </w:rPr>
        <w:t>2012–15 AMI budget and charges determination</w:t>
      </w:r>
      <w:r w:rsidRPr="007D4722">
        <w:t>, 31 October 2011.</w:t>
      </w:r>
      <w:proofErr w:type="gramEnd"/>
    </w:p>
  </w:footnote>
  <w:footnote w:id="5">
    <w:p w:rsidR="00DD1C4E" w:rsidRDefault="00DD1C4E" w:rsidP="0030583E">
      <w:pPr>
        <w:pStyle w:val="FootnoteText"/>
      </w:pPr>
      <w:r>
        <w:rPr>
          <w:rStyle w:val="FootnoteReference"/>
        </w:rPr>
        <w:footnoteRef/>
      </w:r>
      <w:r>
        <w:t xml:space="preserve"> </w:t>
      </w:r>
      <w:r>
        <w:tab/>
      </w:r>
      <w:r w:rsidRPr="000D6BDF">
        <w:rPr>
          <w:rStyle w:val="AERtextitalic"/>
        </w:rPr>
        <w:t>Victorian Advanced Metering Infrastructure Cost Recovery Order In Council</w:t>
      </w:r>
      <w:r>
        <w:t>, cl 5L.4.</w:t>
      </w:r>
    </w:p>
  </w:footnote>
  <w:footnote w:id="6">
    <w:p w:rsidR="00DD1C4E" w:rsidRDefault="00DD1C4E" w:rsidP="0030583E">
      <w:pPr>
        <w:pStyle w:val="FootnoteText"/>
      </w:pPr>
      <w:r>
        <w:rPr>
          <w:rStyle w:val="FootnoteReference"/>
        </w:rPr>
        <w:footnoteRef/>
      </w:r>
      <w:r>
        <w:t xml:space="preserve"> </w:t>
      </w:r>
      <w:r>
        <w:tab/>
      </w:r>
      <w:r w:rsidRPr="000D6BDF">
        <w:rPr>
          <w:rStyle w:val="AERtextitalic"/>
        </w:rPr>
        <w:t>Victorian Advanced Metering Infrastructure Cost Recovery Order In Council</w:t>
      </w:r>
      <w:r>
        <w:t>, cl 5L.4.</w:t>
      </w:r>
    </w:p>
  </w:footnote>
  <w:footnote w:id="7">
    <w:p w:rsidR="00DD1C4E" w:rsidRDefault="00DD1C4E" w:rsidP="008F6177">
      <w:pPr>
        <w:pStyle w:val="FootnoteText"/>
      </w:pPr>
      <w:r>
        <w:rPr>
          <w:rStyle w:val="FootnoteReference"/>
        </w:rPr>
        <w:footnoteRef/>
      </w:r>
      <w:r>
        <w:t xml:space="preserve"> </w:t>
      </w:r>
      <w:r>
        <w:tab/>
      </w:r>
      <w:proofErr w:type="gramStart"/>
      <w:r w:rsidRPr="007A20BF">
        <w:t xml:space="preserve">AER, </w:t>
      </w:r>
      <w:r w:rsidRPr="007A20BF">
        <w:rPr>
          <w:rStyle w:val="AERtextitalic"/>
        </w:rPr>
        <w:t>2012–15 AMI budget and charges determination</w:t>
      </w:r>
      <w:r w:rsidRPr="007A20BF">
        <w:t>, 31 October 2011</w:t>
      </w:r>
      <w:r>
        <w:t>.</w:t>
      </w:r>
      <w:proofErr w:type="gramEnd"/>
    </w:p>
  </w:footnote>
  <w:footnote w:id="8">
    <w:p w:rsidR="00DD1C4E" w:rsidRDefault="00DD1C4E" w:rsidP="006C1347">
      <w:pPr>
        <w:pStyle w:val="FootnoteText"/>
      </w:pPr>
      <w:r>
        <w:rPr>
          <w:rStyle w:val="FootnoteReference"/>
        </w:rPr>
        <w:footnoteRef/>
      </w:r>
      <w:r>
        <w:t xml:space="preserve"> </w:t>
      </w:r>
      <w:r>
        <w:tab/>
      </w:r>
      <w:r w:rsidRPr="00332E90">
        <w:rPr>
          <w:rStyle w:val="AERtextitalic"/>
        </w:rPr>
        <w:t>Victorian Advanced Metering Infrastructure Cost Recovery Order In Council</w:t>
      </w:r>
      <w:r w:rsidRPr="00B14B56">
        <w:t>, cl 5L.3.</w:t>
      </w:r>
    </w:p>
  </w:footnote>
  <w:footnote w:id="9">
    <w:p w:rsidR="00DD1C4E" w:rsidRPr="002E17F4" w:rsidRDefault="00DD1C4E" w:rsidP="002E17F4">
      <w:pPr>
        <w:pStyle w:val="FootnoteText"/>
      </w:pPr>
      <w:r>
        <w:rPr>
          <w:rStyle w:val="FootnoteReference"/>
        </w:rPr>
        <w:footnoteRef/>
      </w:r>
      <w:r>
        <w:t xml:space="preserve"> </w:t>
      </w:r>
      <w:r>
        <w:tab/>
        <w:t xml:space="preserve">As this decision on the AMI transition charges </w:t>
      </w:r>
      <w:proofErr w:type="gramStart"/>
      <w:r>
        <w:t>is made</w:t>
      </w:r>
      <w:proofErr w:type="gramEnd"/>
      <w:r>
        <w:t xml:space="preserve"> on</w:t>
      </w:r>
      <w:r w:rsidRPr="002E17F4">
        <w:t xml:space="preserve"> 16 December 2016</w:t>
      </w:r>
      <w:r>
        <w:t>, i</w:t>
      </w:r>
      <w:r w:rsidRPr="007F24BB">
        <w:t>n accordance with the deadlines set out in the Order</w:t>
      </w:r>
      <w:r>
        <w:t>, it is not possible for the charges to be applied in 2017 as the annual pricing approval process for each of the Victorian electricity distributors has been finalised</w:t>
      </w:r>
      <w:r w:rsidRPr="002E17F4">
        <w:t xml:space="preserve">. </w:t>
      </w:r>
      <w:r>
        <w:t xml:space="preserve">Accordingly, we have </w:t>
      </w:r>
      <w:r w:rsidRPr="002E17F4">
        <w:t>selected the following year (2018) for the transition charges to appl</w:t>
      </w:r>
      <w:r>
        <w:t>y or, for Jemena and AusNet Services, to begin to apply</w:t>
      </w:r>
      <w:r w:rsidRPr="002E17F4">
        <w:t xml:space="preserve">. </w:t>
      </w:r>
    </w:p>
    <w:p w:rsidR="00DD1C4E" w:rsidRDefault="00DD1C4E">
      <w:pPr>
        <w:pStyle w:val="FootnoteText"/>
      </w:pPr>
    </w:p>
  </w:footnote>
  <w:footnote w:id="10">
    <w:p w:rsidR="00DD1C4E" w:rsidRDefault="00DD1C4E">
      <w:pPr>
        <w:pStyle w:val="FootnoteText"/>
      </w:pPr>
      <w:r>
        <w:rPr>
          <w:rStyle w:val="FootnoteReference"/>
        </w:rPr>
        <w:footnoteRef/>
      </w:r>
      <w:r>
        <w:t xml:space="preserve"> </w:t>
      </w:r>
      <w:r>
        <w:tab/>
      </w:r>
      <w:r w:rsidRPr="000D6BDF">
        <w:rPr>
          <w:rStyle w:val="AERtextitalic"/>
        </w:rPr>
        <w:t>Victorian Advanced Metering Infrastructure Cost Recovery Order In Council</w:t>
      </w:r>
      <w:r>
        <w:t>, cl 5A.2</w:t>
      </w:r>
    </w:p>
  </w:footnote>
  <w:footnote w:id="11">
    <w:p w:rsidR="00DD1C4E" w:rsidRDefault="00DD1C4E">
      <w:pPr>
        <w:pStyle w:val="FootnoteText"/>
      </w:pPr>
      <w:r>
        <w:rPr>
          <w:rStyle w:val="FootnoteReference"/>
        </w:rPr>
        <w:footnoteRef/>
      </w:r>
      <w:r>
        <w:t xml:space="preserve"> </w:t>
      </w:r>
      <w:r>
        <w:tab/>
      </w:r>
      <w:r w:rsidRPr="000D6BDF">
        <w:rPr>
          <w:rStyle w:val="AERtextitalic"/>
        </w:rPr>
        <w:t>Victorian Advanced Metering Infrastructure Cost Recovery Order In Council</w:t>
      </w:r>
      <w:r>
        <w:t>, cl 5G.3</w:t>
      </w:r>
    </w:p>
  </w:footnote>
  <w:footnote w:id="12">
    <w:p w:rsidR="00DD1C4E" w:rsidRDefault="00DD1C4E">
      <w:pPr>
        <w:pStyle w:val="FootnoteText"/>
      </w:pPr>
      <w:r>
        <w:rPr>
          <w:rStyle w:val="FootnoteReference"/>
        </w:rPr>
        <w:footnoteRef/>
      </w:r>
      <w:r>
        <w:t xml:space="preserve"> </w:t>
      </w:r>
      <w:r>
        <w:tab/>
      </w:r>
      <w:r w:rsidRPr="000D6BDF">
        <w:rPr>
          <w:rStyle w:val="AERtextitalic"/>
        </w:rPr>
        <w:t>Victorian Advanced Metering Infrastructure Cost Recovery Order In Council</w:t>
      </w:r>
      <w:r>
        <w:t>, cl 5L.</w:t>
      </w:r>
    </w:p>
  </w:footnote>
  <w:footnote w:id="13">
    <w:p w:rsidR="00DD1C4E" w:rsidRDefault="00DD1C4E">
      <w:pPr>
        <w:pStyle w:val="FootnoteText"/>
      </w:pPr>
      <w:r>
        <w:rPr>
          <w:rStyle w:val="FootnoteReference"/>
        </w:rPr>
        <w:footnoteRef/>
      </w:r>
      <w:r>
        <w:t xml:space="preserve"> </w:t>
      </w:r>
      <w:r>
        <w:tab/>
      </w:r>
      <w:hyperlink r:id="rId1" w:history="1">
        <w:r w:rsidRPr="003C29B6">
          <w:rPr>
            <w:rStyle w:val="Hyperlink"/>
            <w:sz w:val="16"/>
          </w:rPr>
          <w:t>http://www.aer.gov.au/networks-pipelines/determinations-access-arrangements/pricing-proposals-tariffs?f[0]=type%3Aaccc_aer_ami_charges</w:t>
        </w:r>
      </w:hyperlink>
      <w:r>
        <w:t xml:space="preserve"> </w:t>
      </w:r>
    </w:p>
  </w:footnote>
  <w:footnote w:id="14">
    <w:p w:rsidR="00DD1C4E" w:rsidRDefault="00DD1C4E" w:rsidP="00211152">
      <w:pPr>
        <w:pStyle w:val="FootnoteText"/>
      </w:pPr>
      <w:r>
        <w:rPr>
          <w:rStyle w:val="FootnoteReference"/>
        </w:rPr>
        <w:footnoteRef/>
      </w:r>
      <w:r>
        <w:t xml:space="preserve"> </w:t>
      </w:r>
      <w:r>
        <w:tab/>
        <w:t xml:space="preserve">AER, </w:t>
      </w:r>
      <w:r w:rsidRPr="00E2726E">
        <w:rPr>
          <w:rStyle w:val="AERtextitalic"/>
        </w:rPr>
        <w:t>Draft AMI transition charges determination</w:t>
      </w:r>
      <w:r>
        <w:t>, 20 September 2016, pp. 9–10.</w:t>
      </w:r>
    </w:p>
  </w:footnote>
  <w:footnote w:id="15">
    <w:p w:rsidR="00DD1C4E" w:rsidRDefault="00DD1C4E" w:rsidP="00750EC0">
      <w:pPr>
        <w:pStyle w:val="FootnoteText"/>
      </w:pPr>
      <w:r>
        <w:rPr>
          <w:rStyle w:val="FootnoteReference"/>
        </w:rPr>
        <w:footnoteRef/>
      </w:r>
      <w:r>
        <w:t xml:space="preserve"> </w:t>
      </w:r>
      <w:r>
        <w:tab/>
      </w:r>
      <w:r w:rsidRPr="000D6BDF">
        <w:rPr>
          <w:rStyle w:val="AERtextitalic"/>
        </w:rPr>
        <w:t>Victorian Advanced Metering Infrastructure Cost Recovery Order In Council</w:t>
      </w:r>
      <w:r>
        <w:t>, cl 5L.3.</w:t>
      </w:r>
    </w:p>
  </w:footnote>
  <w:footnote w:id="16">
    <w:p w:rsidR="00DD1C4E" w:rsidRDefault="00DD1C4E" w:rsidP="00AE418D">
      <w:pPr>
        <w:pStyle w:val="FootnoteText"/>
      </w:pPr>
      <w:r>
        <w:rPr>
          <w:rStyle w:val="FootnoteReference"/>
        </w:rPr>
        <w:footnoteRef/>
      </w:r>
      <w:r>
        <w:t xml:space="preserve"> </w:t>
      </w:r>
      <w:r>
        <w:tab/>
      </w:r>
      <w:r w:rsidRPr="000D6BDF">
        <w:rPr>
          <w:rStyle w:val="AERtextitalic"/>
        </w:rPr>
        <w:t>Victorian Advanced Metering Infrastructure Cost Recovery Order In Council</w:t>
      </w:r>
      <w:r>
        <w:t>, cl 5L.3.</w:t>
      </w:r>
    </w:p>
  </w:footnote>
  <w:footnote w:id="17">
    <w:p w:rsidR="00DD1C4E" w:rsidRDefault="00DD1C4E" w:rsidP="00AE418D">
      <w:pPr>
        <w:pStyle w:val="FootnoteText"/>
      </w:pPr>
      <w:r>
        <w:rPr>
          <w:rStyle w:val="FootnoteReference"/>
        </w:rPr>
        <w:footnoteRef/>
      </w:r>
      <w:r>
        <w:t xml:space="preserve"> </w:t>
      </w:r>
      <w:r>
        <w:tab/>
      </w:r>
      <w:r w:rsidRPr="00D87322">
        <w:rPr>
          <w:rStyle w:val="AERtextitalic"/>
        </w:rPr>
        <w:t>Victorian Advanced Metering Infrastructure Cost Recovery Order In Council</w:t>
      </w:r>
      <w:r w:rsidRPr="00640593">
        <w:t xml:space="preserve">, cl </w:t>
      </w:r>
      <w:proofErr w:type="gramStart"/>
      <w:r w:rsidRPr="00640593">
        <w:t>5L.4(</w:t>
      </w:r>
      <w:proofErr w:type="gramEnd"/>
      <w:r w:rsidRPr="00640593">
        <w:t>b).</w:t>
      </w:r>
    </w:p>
  </w:footnote>
  <w:footnote w:id="18">
    <w:p w:rsidR="00DD1C4E" w:rsidRDefault="00DD1C4E" w:rsidP="009A436D">
      <w:pPr>
        <w:pStyle w:val="FootnoteText"/>
      </w:pPr>
      <w:r>
        <w:rPr>
          <w:rStyle w:val="FootnoteReference"/>
        </w:rPr>
        <w:footnoteRef/>
      </w:r>
      <w:r>
        <w:t xml:space="preserve"> </w:t>
      </w:r>
      <w:r>
        <w:tab/>
      </w:r>
      <w:r w:rsidRPr="000D6BDF">
        <w:rPr>
          <w:rStyle w:val="AERtextitalic"/>
        </w:rPr>
        <w:t>Victorian Advanced Metering Infrastructure Cost Recovery Order In Council</w:t>
      </w:r>
      <w:r>
        <w:t>, cl 5L.4.</w:t>
      </w:r>
    </w:p>
  </w:footnote>
  <w:footnote w:id="19">
    <w:p w:rsidR="00DD1C4E" w:rsidRDefault="00DD1C4E" w:rsidP="00AE418D">
      <w:pPr>
        <w:pStyle w:val="FootnoteText"/>
      </w:pPr>
      <w:r>
        <w:rPr>
          <w:rStyle w:val="FootnoteReference"/>
        </w:rPr>
        <w:footnoteRef/>
      </w:r>
      <w:r>
        <w:t xml:space="preserve"> </w:t>
      </w:r>
      <w:r>
        <w:tab/>
        <w:t>2015 AMI charges revision application, August 2014.</w:t>
      </w:r>
    </w:p>
  </w:footnote>
  <w:footnote w:id="20">
    <w:p w:rsidR="00DD1C4E" w:rsidRDefault="00DD1C4E" w:rsidP="00AE418D">
      <w:pPr>
        <w:pStyle w:val="FootnoteText"/>
      </w:pPr>
      <w:r>
        <w:rPr>
          <w:rStyle w:val="FootnoteReference"/>
        </w:rPr>
        <w:footnoteRef/>
      </w:r>
      <w:r>
        <w:t xml:space="preserve"> </w:t>
      </w:r>
      <w:r>
        <w:tab/>
      </w:r>
      <w:r w:rsidRPr="00D87322">
        <w:rPr>
          <w:rStyle w:val="AERtextitalic"/>
        </w:rPr>
        <w:t>Victorian Advanced Metering Infrastructure Cost Recovery Order In Council</w:t>
      </w:r>
      <w:r>
        <w:t>, cl 5L.7.</w:t>
      </w:r>
    </w:p>
  </w:footnote>
  <w:footnote w:id="21">
    <w:p w:rsidR="00DD1C4E" w:rsidRDefault="00DD1C4E">
      <w:pPr>
        <w:pStyle w:val="FootnoteText"/>
      </w:pPr>
      <w:r>
        <w:rPr>
          <w:rStyle w:val="FootnoteReference"/>
        </w:rPr>
        <w:footnoteRef/>
      </w:r>
      <w:r>
        <w:t xml:space="preserve"> </w:t>
      </w:r>
      <w:r>
        <w:tab/>
      </w:r>
      <w:proofErr w:type="gramStart"/>
      <w:r w:rsidRPr="00F651E1">
        <w:t xml:space="preserve">Department of Environment, Land, Water &amp; Planning, </w:t>
      </w:r>
      <w:r w:rsidRPr="00F651E1">
        <w:rPr>
          <w:rStyle w:val="AERtextitalic"/>
        </w:rPr>
        <w:t>Submission on Advanced metering infrastructure Transition Charges Applications 2017</w:t>
      </w:r>
      <w:r w:rsidRPr="00F651E1">
        <w:t>, 30 August 2016</w:t>
      </w:r>
      <w:r>
        <w:t>.</w:t>
      </w:r>
      <w:proofErr w:type="gramEnd"/>
    </w:p>
  </w:footnote>
  <w:footnote w:id="22">
    <w:p w:rsidR="00DD1C4E" w:rsidRDefault="00DD1C4E">
      <w:pPr>
        <w:pStyle w:val="FootnoteText"/>
      </w:pPr>
      <w:r>
        <w:rPr>
          <w:rStyle w:val="FootnoteReference"/>
        </w:rPr>
        <w:footnoteRef/>
      </w:r>
      <w:r>
        <w:t xml:space="preserve"> </w:t>
      </w:r>
      <w:r>
        <w:tab/>
      </w:r>
      <w:r w:rsidRPr="00A83852">
        <w:rPr>
          <w:rStyle w:val="AERtextitalic"/>
        </w:rPr>
        <w:t>Victorian Advanced Metering Infrastructure Cost Recovery Order In Council</w:t>
      </w:r>
      <w:r>
        <w:t>, cl 5L.4 and 5L.7 to 5L.12.</w:t>
      </w:r>
    </w:p>
  </w:footnote>
  <w:footnote w:id="23">
    <w:p w:rsidR="00DD1C4E" w:rsidRDefault="00DD1C4E" w:rsidP="00A7732C">
      <w:pPr>
        <w:pStyle w:val="FootnoteText"/>
      </w:pPr>
      <w:r>
        <w:rPr>
          <w:rStyle w:val="FootnoteReference"/>
        </w:rPr>
        <w:footnoteRef/>
      </w:r>
      <w:r>
        <w:t xml:space="preserve"> </w:t>
      </w:r>
      <w:r>
        <w:tab/>
        <w:t xml:space="preserve">AusNet Services, </w:t>
      </w:r>
      <w:r w:rsidRPr="00A7732C">
        <w:rPr>
          <w:rStyle w:val="AERtextitalic"/>
        </w:rPr>
        <w:t>AMI transition charges amended application model</w:t>
      </w:r>
      <w:r>
        <w:t>, 2 November 2016, 'AMI transitional adjustment' tab.</w:t>
      </w:r>
    </w:p>
  </w:footnote>
  <w:footnote w:id="24">
    <w:p w:rsidR="00DD1C4E" w:rsidRDefault="00DD1C4E">
      <w:pPr>
        <w:pStyle w:val="FootnoteText"/>
      </w:pPr>
      <w:r>
        <w:rPr>
          <w:rStyle w:val="FootnoteReference"/>
        </w:rPr>
        <w:footnoteRef/>
      </w:r>
      <w:r>
        <w:t xml:space="preserve"> </w:t>
      </w:r>
      <w:r>
        <w:tab/>
        <w:t>We will further update the forecast CPI and WACC values for actuals when we apply the transition charge through our 2018, 2019 and 2020 annual pricing approval processes.</w:t>
      </w:r>
    </w:p>
  </w:footnote>
  <w:footnote w:id="25">
    <w:p w:rsidR="00DD1C4E" w:rsidRDefault="00DD1C4E" w:rsidP="00607EC6">
      <w:pPr>
        <w:pStyle w:val="FootnoteText"/>
      </w:pPr>
      <w:r>
        <w:rPr>
          <w:rStyle w:val="FootnoteReference"/>
        </w:rPr>
        <w:footnoteRef/>
      </w:r>
      <w:r>
        <w:t xml:space="preserve"> </w:t>
      </w:r>
      <w:r>
        <w:tab/>
      </w:r>
      <w:r w:rsidRPr="00604765">
        <w:rPr>
          <w:rStyle w:val="AERtextitalic"/>
        </w:rPr>
        <w:t>Appeal by SPI Electricity Pty Ltd [2012] ACompT 11</w:t>
      </w:r>
      <w:r>
        <w:rPr>
          <w:rStyle w:val="AERtextitalic"/>
        </w:rPr>
        <w:t xml:space="preserve">; </w:t>
      </w:r>
      <w:r w:rsidRPr="00604765">
        <w:t xml:space="preserve">AER, </w:t>
      </w:r>
      <w:r w:rsidRPr="00604765">
        <w:rPr>
          <w:rStyle w:val="AERtextitalic"/>
        </w:rPr>
        <w:t>2012–15 AMI SPI Electricity Pty Ltd Budget and Charges Determination - amendments pursuant to the Australian Competition Tribunal's Orders</w:t>
      </w:r>
      <w:r>
        <w:t>, February 2013.</w:t>
      </w:r>
    </w:p>
  </w:footnote>
  <w:footnote w:id="26">
    <w:p w:rsidR="00DD1C4E" w:rsidRDefault="00DD1C4E" w:rsidP="00211152">
      <w:pPr>
        <w:pStyle w:val="FootnoteText"/>
      </w:pPr>
      <w:r>
        <w:rPr>
          <w:rStyle w:val="FootnoteReference"/>
        </w:rPr>
        <w:footnoteRef/>
      </w:r>
      <w:r>
        <w:t xml:space="preserve"> </w:t>
      </w:r>
      <w:r>
        <w:tab/>
        <w:t xml:space="preserve">AER, </w:t>
      </w:r>
      <w:r w:rsidRPr="00E2726E">
        <w:rPr>
          <w:rStyle w:val="AERtextitalic"/>
        </w:rPr>
        <w:t>Draft AMI transition charges determination</w:t>
      </w:r>
      <w:r>
        <w:t>, 20 September 2016, p. 27.</w:t>
      </w:r>
    </w:p>
  </w:footnote>
  <w:footnote w:id="27">
    <w:p w:rsidR="00DD1C4E" w:rsidRDefault="00DD1C4E">
      <w:pPr>
        <w:pStyle w:val="FootnoteText"/>
      </w:pPr>
      <w:r>
        <w:rPr>
          <w:rStyle w:val="FootnoteReference"/>
        </w:rPr>
        <w:footnoteRef/>
      </w:r>
      <w:r>
        <w:t xml:space="preserve"> </w:t>
      </w:r>
      <w:r>
        <w:tab/>
      </w:r>
      <w:proofErr w:type="gramStart"/>
      <w:r>
        <w:t xml:space="preserve">We–do–IT, </w:t>
      </w:r>
      <w:r w:rsidRPr="00AA1F4B">
        <w:rPr>
          <w:rStyle w:val="AERtextitalic"/>
        </w:rPr>
        <w:t>SP AusNet Powercor region terrain comparison project</w:t>
      </w:r>
      <w:r>
        <w:t>, 16 January 2013.</w:t>
      </w:r>
      <w:proofErr w:type="gramEnd"/>
    </w:p>
  </w:footnote>
  <w:footnote w:id="28">
    <w:p w:rsidR="00DD1C4E" w:rsidRDefault="00DD1C4E">
      <w:pPr>
        <w:pStyle w:val="FootnoteText"/>
      </w:pPr>
      <w:r>
        <w:rPr>
          <w:rStyle w:val="FootnoteReference"/>
        </w:rPr>
        <w:footnoteRef/>
      </w:r>
      <w:r>
        <w:t xml:space="preserve"> </w:t>
      </w:r>
      <w:r>
        <w:tab/>
      </w:r>
      <w:proofErr w:type="gramStart"/>
      <w:r>
        <w:t xml:space="preserve">We–do–IT, </w:t>
      </w:r>
      <w:r w:rsidRPr="00AA1F4B">
        <w:rPr>
          <w:rStyle w:val="AERtextitalic"/>
        </w:rPr>
        <w:t>SP AusNet Powercor region terrain comparison project</w:t>
      </w:r>
      <w:r>
        <w:t>, 16 January 2013, p. 5.</w:t>
      </w:r>
      <w:proofErr w:type="gramEnd"/>
    </w:p>
  </w:footnote>
  <w:footnote w:id="29">
    <w:p w:rsidR="00DD1C4E" w:rsidRDefault="00DD1C4E">
      <w:pPr>
        <w:pStyle w:val="FootnoteText"/>
      </w:pPr>
      <w:r>
        <w:rPr>
          <w:rStyle w:val="FootnoteReference"/>
        </w:rPr>
        <w:footnoteRef/>
      </w:r>
      <w:r>
        <w:t xml:space="preserve"> </w:t>
      </w:r>
      <w:r>
        <w:tab/>
      </w:r>
      <w:proofErr w:type="gramStart"/>
      <w:r>
        <w:t xml:space="preserve">We–do–IT, </w:t>
      </w:r>
      <w:r w:rsidRPr="00AA1F4B">
        <w:rPr>
          <w:rStyle w:val="AERtextitalic"/>
        </w:rPr>
        <w:t>SP AusNet Powercor region terrain comparison project</w:t>
      </w:r>
      <w:r>
        <w:t>, 16 January 2013, p. 8.</w:t>
      </w:r>
      <w:proofErr w:type="gramEnd"/>
    </w:p>
  </w:footnote>
  <w:footnote w:id="30">
    <w:p w:rsidR="00DD1C4E" w:rsidRDefault="00DD1C4E">
      <w:pPr>
        <w:pStyle w:val="FootnoteText"/>
      </w:pPr>
      <w:r>
        <w:rPr>
          <w:rStyle w:val="FootnoteReference"/>
        </w:rPr>
        <w:footnoteRef/>
      </w:r>
      <w:r>
        <w:t xml:space="preserve"> </w:t>
      </w:r>
      <w:r>
        <w:tab/>
        <w:t xml:space="preserve">AusNet Services, </w:t>
      </w:r>
      <w:r w:rsidRPr="00570B48">
        <w:rPr>
          <w:rStyle w:val="AERtextitalic"/>
        </w:rPr>
        <w:t>AMI Transition Charges Application</w:t>
      </w:r>
      <w:r>
        <w:t>, 31 May 2016, p. 11.</w:t>
      </w:r>
    </w:p>
  </w:footnote>
  <w:footnote w:id="31">
    <w:p w:rsidR="00DD1C4E" w:rsidRDefault="00DD1C4E">
      <w:pPr>
        <w:pStyle w:val="FootnoteText"/>
      </w:pPr>
      <w:r>
        <w:rPr>
          <w:rStyle w:val="FootnoteReference"/>
        </w:rPr>
        <w:footnoteRef/>
      </w:r>
      <w:r>
        <w:t xml:space="preserve"> </w:t>
      </w:r>
      <w:r>
        <w:tab/>
        <w:t xml:space="preserve">AER, </w:t>
      </w:r>
      <w:r w:rsidRPr="00EE28F4">
        <w:rPr>
          <w:rStyle w:val="AERtextitalic"/>
        </w:rPr>
        <w:t>Final decision: AusNet Services distribution determination</w:t>
      </w:r>
      <w:r>
        <w:rPr>
          <w:rStyle w:val="AERtextitalic"/>
        </w:rPr>
        <w:t xml:space="preserve"> </w:t>
      </w:r>
      <w:r w:rsidRPr="00EE28F4">
        <w:rPr>
          <w:rStyle w:val="AERtextitalic"/>
        </w:rPr>
        <w:t>2016–20</w:t>
      </w:r>
      <w:r>
        <w:t>, May 2016, p. 16–56.</w:t>
      </w:r>
    </w:p>
  </w:footnote>
  <w:footnote w:id="32">
    <w:p w:rsidR="00DD1C4E" w:rsidRDefault="00DD1C4E">
      <w:pPr>
        <w:pStyle w:val="FootnoteText"/>
      </w:pPr>
      <w:r>
        <w:rPr>
          <w:rStyle w:val="FootnoteReference"/>
        </w:rPr>
        <w:footnoteRef/>
      </w:r>
      <w:r>
        <w:t xml:space="preserve"> </w:t>
      </w:r>
      <w:r>
        <w:tab/>
        <w:t xml:space="preserve">AER, </w:t>
      </w:r>
      <w:r w:rsidRPr="00E2726E">
        <w:rPr>
          <w:rStyle w:val="AERtextitalic"/>
        </w:rPr>
        <w:t>Draft AMI transition charges determination</w:t>
      </w:r>
      <w:r>
        <w:t>, 20 September 2016, pp. 29–30.</w:t>
      </w:r>
    </w:p>
  </w:footnote>
  <w:footnote w:id="33">
    <w:p w:rsidR="00DD1C4E" w:rsidRDefault="00DD1C4E" w:rsidP="004F21D2">
      <w:pPr>
        <w:pStyle w:val="FootnoteText"/>
      </w:pPr>
      <w:r>
        <w:rPr>
          <w:rStyle w:val="FootnoteReference"/>
        </w:rPr>
        <w:footnoteRef/>
      </w:r>
      <w:r>
        <w:t xml:space="preserve"> </w:t>
      </w:r>
      <w:r>
        <w:tab/>
      </w:r>
      <w:r w:rsidRPr="00F651E1">
        <w:t>Victorian Advanced Metering Infrastructure Cost Recovery Order In Council, cl 5C.3.</w:t>
      </w:r>
    </w:p>
  </w:footnote>
  <w:footnote w:id="34">
    <w:p w:rsidR="00DD1C4E" w:rsidRDefault="00DD1C4E" w:rsidP="004F21D2">
      <w:pPr>
        <w:pStyle w:val="FootnoteText"/>
      </w:pPr>
      <w:r>
        <w:rPr>
          <w:rStyle w:val="FootnoteReference"/>
        </w:rPr>
        <w:footnoteRef/>
      </w:r>
      <w:r>
        <w:t xml:space="preserve"> </w:t>
      </w:r>
      <w:r>
        <w:tab/>
      </w:r>
      <w:r w:rsidRPr="00F651E1">
        <w:t xml:space="preserve">Department of Environment, Land, Water &amp; Planning, </w:t>
      </w:r>
      <w:r w:rsidRPr="00F651E1">
        <w:rPr>
          <w:rStyle w:val="AERtextitalic"/>
        </w:rPr>
        <w:t>Submission on Advanced metering infrastructure Transition Charges Applications 2017</w:t>
      </w:r>
      <w:r w:rsidRPr="00F651E1">
        <w:t>, 30 August 2016, p. 2.</w:t>
      </w:r>
    </w:p>
  </w:footnote>
  <w:footnote w:id="35">
    <w:p w:rsidR="00DD1C4E" w:rsidRDefault="00DD1C4E" w:rsidP="004F21D2">
      <w:pPr>
        <w:pStyle w:val="FootnoteText"/>
      </w:pPr>
      <w:r>
        <w:rPr>
          <w:rStyle w:val="FootnoteReference"/>
        </w:rPr>
        <w:footnoteRef/>
      </w:r>
      <w:r>
        <w:t xml:space="preserve"> </w:t>
      </w:r>
      <w:r>
        <w:tab/>
      </w:r>
      <w:r w:rsidRPr="00F651E1">
        <w:t xml:space="preserve">Department of Environment, Land, Water &amp; Planning, </w:t>
      </w:r>
      <w:r w:rsidRPr="00F651E1">
        <w:rPr>
          <w:rStyle w:val="AERtextitalic"/>
        </w:rPr>
        <w:t>Submission on Advanced metering infrastructure Transition Charges Applications 2017</w:t>
      </w:r>
      <w:r w:rsidRPr="00F651E1">
        <w:t>, 30 August 2016, p. 2.</w:t>
      </w:r>
    </w:p>
  </w:footnote>
  <w:footnote w:id="36">
    <w:p w:rsidR="00DD1C4E" w:rsidRDefault="00DD1C4E" w:rsidP="004F21D2">
      <w:pPr>
        <w:pStyle w:val="FootnoteText"/>
      </w:pPr>
      <w:r>
        <w:rPr>
          <w:rStyle w:val="FootnoteReference"/>
        </w:rPr>
        <w:footnoteRef/>
      </w:r>
      <w:r>
        <w:t xml:space="preserve"> </w:t>
      </w:r>
      <w:r>
        <w:tab/>
      </w:r>
      <w:proofErr w:type="gramStart"/>
      <w:r>
        <w:t xml:space="preserve">AusNet Services, </w:t>
      </w:r>
      <w:r w:rsidRPr="00570B48">
        <w:rPr>
          <w:rStyle w:val="AERtextitalic"/>
        </w:rPr>
        <w:t>AMI Transition Charges Application</w:t>
      </w:r>
      <w:r>
        <w:t>, 31 May 2016 p. 29</w:t>
      </w:r>
      <w:r w:rsidRPr="00F651E1">
        <w:t>.</w:t>
      </w:r>
      <w:proofErr w:type="gramEnd"/>
    </w:p>
  </w:footnote>
  <w:footnote w:id="37">
    <w:p w:rsidR="00DD1C4E" w:rsidRDefault="00DD1C4E">
      <w:pPr>
        <w:pStyle w:val="FootnoteText"/>
      </w:pPr>
      <w:r>
        <w:rPr>
          <w:rStyle w:val="FootnoteReference"/>
        </w:rPr>
        <w:footnoteRef/>
      </w:r>
      <w:r>
        <w:t xml:space="preserve"> </w:t>
      </w:r>
      <w:r>
        <w:tab/>
        <w:t xml:space="preserve">AusNet Services, </w:t>
      </w:r>
      <w:r w:rsidRPr="00570B48">
        <w:rPr>
          <w:rStyle w:val="AERtextitalic"/>
        </w:rPr>
        <w:t>AMI Transition Charges Application</w:t>
      </w:r>
      <w:r>
        <w:t>, 31 May 2016, p. 28.</w:t>
      </w:r>
    </w:p>
  </w:footnote>
  <w:footnote w:id="38">
    <w:p w:rsidR="00DD1C4E" w:rsidRDefault="00DD1C4E">
      <w:pPr>
        <w:pStyle w:val="FootnoteText"/>
      </w:pPr>
      <w:r>
        <w:rPr>
          <w:rStyle w:val="FootnoteReference"/>
        </w:rPr>
        <w:footnoteRef/>
      </w:r>
      <w:r>
        <w:t xml:space="preserve"> </w:t>
      </w:r>
      <w:r>
        <w:tab/>
        <w:t xml:space="preserve">AusNet Services, </w:t>
      </w:r>
      <w:r w:rsidRPr="00570B48">
        <w:rPr>
          <w:rStyle w:val="AERtextitalic"/>
        </w:rPr>
        <w:t>AMI Transition Charges Application</w:t>
      </w:r>
      <w:r>
        <w:t>, 31 May 2016, p. 28.</w:t>
      </w:r>
    </w:p>
  </w:footnote>
  <w:footnote w:id="39">
    <w:p w:rsidR="00DD1C4E" w:rsidRDefault="00DD1C4E">
      <w:pPr>
        <w:pStyle w:val="FootnoteText"/>
      </w:pPr>
      <w:r>
        <w:rPr>
          <w:rStyle w:val="FootnoteReference"/>
        </w:rPr>
        <w:footnoteRef/>
      </w:r>
      <w:r>
        <w:t xml:space="preserve"> </w:t>
      </w:r>
      <w:r>
        <w:tab/>
        <w:t xml:space="preserve">AusNet Services, </w:t>
      </w:r>
      <w:r w:rsidRPr="00570B48">
        <w:rPr>
          <w:rStyle w:val="AERtextitalic"/>
        </w:rPr>
        <w:t>AMI Transition Charges Application</w:t>
      </w:r>
      <w:r>
        <w:t>, 31 May 2016, p. 28.</w:t>
      </w:r>
    </w:p>
  </w:footnote>
  <w:footnote w:id="40">
    <w:p w:rsidR="00DD1C4E" w:rsidRDefault="00DD1C4E" w:rsidP="004F21D2">
      <w:pPr>
        <w:pStyle w:val="FootnoteText"/>
      </w:pPr>
      <w:r>
        <w:rPr>
          <w:rStyle w:val="FootnoteReference"/>
        </w:rPr>
        <w:footnoteRef/>
      </w:r>
      <w:r>
        <w:t xml:space="preserve"> </w:t>
      </w:r>
      <w:r>
        <w:tab/>
        <w:t xml:space="preserve">AusNet Services, </w:t>
      </w:r>
      <w:r w:rsidRPr="00570B48">
        <w:rPr>
          <w:rStyle w:val="AERtextitalic"/>
        </w:rPr>
        <w:t>AMI Transition Charges Application</w:t>
      </w:r>
      <w:r>
        <w:t>, 31 May 2016, p. 30.</w:t>
      </w:r>
    </w:p>
  </w:footnote>
  <w:footnote w:id="41">
    <w:p w:rsidR="00DD1C4E" w:rsidRDefault="00DD1C4E">
      <w:pPr>
        <w:pStyle w:val="FootnoteText"/>
      </w:pPr>
      <w:r>
        <w:rPr>
          <w:rStyle w:val="FootnoteReference"/>
        </w:rPr>
        <w:footnoteRef/>
      </w:r>
      <w:r>
        <w:t xml:space="preserve"> </w:t>
      </w:r>
      <w:r>
        <w:tab/>
        <w:t xml:space="preserve">AusNet Services, </w:t>
      </w:r>
      <w:r w:rsidRPr="00570B48">
        <w:rPr>
          <w:rStyle w:val="AERtextitalic"/>
        </w:rPr>
        <w:t>AMI Transition Charges Application</w:t>
      </w:r>
      <w:r>
        <w:t>, 31 May 2016, p. 29.</w:t>
      </w:r>
    </w:p>
  </w:footnote>
  <w:footnote w:id="42">
    <w:p w:rsidR="00DD1C4E" w:rsidRDefault="00DD1C4E" w:rsidP="002C1722">
      <w:pPr>
        <w:pStyle w:val="FootnoteText"/>
      </w:pPr>
      <w:r>
        <w:rPr>
          <w:rStyle w:val="FootnoteReference"/>
        </w:rPr>
        <w:footnoteRef/>
      </w:r>
      <w:r>
        <w:t xml:space="preserve"> </w:t>
      </w:r>
      <w:r>
        <w:tab/>
        <w:t xml:space="preserve">AusNet Services, </w:t>
      </w:r>
      <w:r w:rsidRPr="00570B48">
        <w:rPr>
          <w:rStyle w:val="AERtextitalic"/>
        </w:rPr>
        <w:t>AMI Transition Charges Application</w:t>
      </w:r>
      <w:r>
        <w:t>, 31 May 2016, p. 24.</w:t>
      </w:r>
    </w:p>
  </w:footnote>
  <w:footnote w:id="43">
    <w:p w:rsidR="00DD1C4E" w:rsidRDefault="00DD1C4E" w:rsidP="004F21D2">
      <w:pPr>
        <w:pStyle w:val="FootnoteText"/>
      </w:pPr>
      <w:r>
        <w:rPr>
          <w:rStyle w:val="FootnoteReference"/>
        </w:rPr>
        <w:footnoteRef/>
      </w:r>
      <w:r>
        <w:t xml:space="preserve"> </w:t>
      </w:r>
      <w:r>
        <w:tab/>
      </w:r>
      <w:r w:rsidRPr="00F651E1">
        <w:t>Victorian Advanced Metering Infrastructure Cost Recovery Order In Council, cl 14AAA.2 and 14AAA.3.</w:t>
      </w:r>
    </w:p>
  </w:footnote>
  <w:footnote w:id="44">
    <w:p w:rsidR="00DD1C4E" w:rsidRPr="00F651E1" w:rsidRDefault="00DD1C4E" w:rsidP="004F21D2">
      <w:pPr>
        <w:pStyle w:val="FootnoteText"/>
      </w:pPr>
      <w:r>
        <w:rPr>
          <w:rStyle w:val="FootnoteReference"/>
        </w:rPr>
        <w:footnoteRef/>
      </w:r>
      <w:r>
        <w:t xml:space="preserve"> </w:t>
      </w:r>
      <w:r>
        <w:tab/>
      </w:r>
      <w:r w:rsidRPr="00F651E1">
        <w:t xml:space="preserve">AusNet Services, </w:t>
      </w:r>
      <w:r w:rsidRPr="00F651E1">
        <w:rPr>
          <w:rStyle w:val="AERtextitalic"/>
        </w:rPr>
        <w:t>Submission on transition charges application draft decision</w:t>
      </w:r>
      <w:r w:rsidRPr="00F651E1">
        <w:t>, 2 November 2016, p. 13.</w:t>
      </w:r>
    </w:p>
  </w:footnote>
  <w:footnote w:id="45">
    <w:p w:rsidR="00DD1C4E" w:rsidRDefault="00DD1C4E" w:rsidP="008A6032">
      <w:pPr>
        <w:pStyle w:val="FootnoteText"/>
      </w:pPr>
      <w:r>
        <w:rPr>
          <w:rStyle w:val="FootnoteReference"/>
        </w:rPr>
        <w:footnoteRef/>
      </w:r>
      <w:r>
        <w:t xml:space="preserve"> </w:t>
      </w:r>
      <w:r>
        <w:tab/>
        <w:t xml:space="preserve">AusNet Services, </w:t>
      </w:r>
      <w:r w:rsidRPr="00570B48">
        <w:rPr>
          <w:rStyle w:val="AERtextitalic"/>
        </w:rPr>
        <w:t>AMI Transition Charges Application</w:t>
      </w:r>
      <w:r>
        <w:t>, 31 May 2016, p. 33.</w:t>
      </w:r>
    </w:p>
  </w:footnote>
  <w:footnote w:id="46">
    <w:p w:rsidR="00DD1C4E" w:rsidRDefault="00DD1C4E" w:rsidP="002C1722">
      <w:pPr>
        <w:pStyle w:val="FootnoteText"/>
      </w:pPr>
      <w:r>
        <w:rPr>
          <w:rStyle w:val="FootnoteReference"/>
        </w:rPr>
        <w:footnoteRef/>
      </w:r>
      <w:r>
        <w:t xml:space="preserve"> </w:t>
      </w:r>
      <w:r>
        <w:tab/>
      </w:r>
      <w:proofErr w:type="gramStart"/>
      <w:r>
        <w:t>Department of Environment, Land, Water &amp; Planning, Submission on Advanced metering infrastructure Transition Charges Applications 2017, 30 August 2016, p. 2; citing Jemena Electricity Networks (Vic) Ltd, Advanced Metering Infrastructure, Transition Application, Public, 31 May 2016, p. 6.</w:t>
      </w:r>
      <w:proofErr w:type="gramEnd"/>
    </w:p>
  </w:footnote>
  <w:footnote w:id="47">
    <w:p w:rsidR="00DD1C4E" w:rsidRDefault="00DD1C4E">
      <w:pPr>
        <w:pStyle w:val="FootnoteText"/>
      </w:pPr>
      <w:r>
        <w:rPr>
          <w:rStyle w:val="FootnoteReference"/>
        </w:rPr>
        <w:footnoteRef/>
      </w:r>
      <w:r>
        <w:t xml:space="preserve"> </w:t>
      </w:r>
      <w:r>
        <w:tab/>
      </w:r>
      <w:r w:rsidRPr="00F651E1">
        <w:t xml:space="preserve">AusNet Services, </w:t>
      </w:r>
      <w:r w:rsidRPr="00F651E1">
        <w:rPr>
          <w:rStyle w:val="AERtextitalic"/>
        </w:rPr>
        <w:t>Submission on transition charges application draft decision</w:t>
      </w:r>
      <w:r w:rsidRPr="00F651E1">
        <w:t>, 2 November 2016, p. 13.</w:t>
      </w:r>
    </w:p>
  </w:footnote>
  <w:footnote w:id="48">
    <w:p w:rsidR="00DD1C4E" w:rsidRDefault="00DD1C4E">
      <w:pPr>
        <w:pStyle w:val="FootnoteText"/>
      </w:pPr>
      <w:r>
        <w:rPr>
          <w:rStyle w:val="FootnoteReference"/>
        </w:rPr>
        <w:footnoteRef/>
      </w:r>
      <w:r>
        <w:t xml:space="preserve"> </w:t>
      </w:r>
      <w:r>
        <w:tab/>
      </w:r>
      <w:r w:rsidRPr="00F651E1">
        <w:t xml:space="preserve">AusNet Services, </w:t>
      </w:r>
      <w:r w:rsidRPr="00F651E1">
        <w:rPr>
          <w:rStyle w:val="AERtextitalic"/>
        </w:rPr>
        <w:t>Submission on transition charges application draft decision</w:t>
      </w:r>
      <w:r w:rsidRPr="00F651E1">
        <w:t>, 2 November 2016, p. 13.</w:t>
      </w:r>
    </w:p>
  </w:footnote>
  <w:footnote w:id="49">
    <w:p w:rsidR="00DD1C4E" w:rsidRDefault="00DD1C4E">
      <w:pPr>
        <w:pStyle w:val="FootnoteText"/>
      </w:pPr>
      <w:r>
        <w:rPr>
          <w:rStyle w:val="FootnoteReference"/>
        </w:rPr>
        <w:footnoteRef/>
      </w:r>
      <w:r>
        <w:t xml:space="preserve"> </w:t>
      </w:r>
      <w:r>
        <w:tab/>
        <w:t xml:space="preserve">AusNet Services, </w:t>
      </w:r>
      <w:r w:rsidRPr="00570B48">
        <w:rPr>
          <w:rStyle w:val="AERtextitalic"/>
        </w:rPr>
        <w:t>AMI Transition Charges Application</w:t>
      </w:r>
      <w:r>
        <w:t>, 31 May 2016, p. 33.</w:t>
      </w:r>
    </w:p>
  </w:footnote>
  <w:footnote w:id="50">
    <w:p w:rsidR="00DD1C4E" w:rsidRDefault="00DD1C4E" w:rsidP="004F21D2">
      <w:pPr>
        <w:pStyle w:val="FootnoteText"/>
      </w:pPr>
      <w:r>
        <w:rPr>
          <w:rStyle w:val="FootnoteReference"/>
        </w:rPr>
        <w:footnoteRef/>
      </w:r>
      <w:r>
        <w:t xml:space="preserve"> </w:t>
      </w:r>
      <w:r>
        <w:tab/>
      </w:r>
      <w:r w:rsidRPr="00F651E1">
        <w:t>Victorian Advanced Metering Infrastructure Cost Recovery Order In Council, cl 14AAA.2.</w:t>
      </w:r>
    </w:p>
  </w:footnote>
  <w:footnote w:id="51">
    <w:p w:rsidR="00DD1C4E" w:rsidRDefault="00DD1C4E" w:rsidP="004F21D2">
      <w:pPr>
        <w:pStyle w:val="FootnoteText"/>
      </w:pPr>
      <w:r>
        <w:rPr>
          <w:rStyle w:val="FootnoteReference"/>
        </w:rPr>
        <w:footnoteRef/>
      </w:r>
      <w:r>
        <w:t xml:space="preserve"> </w:t>
      </w:r>
      <w:r>
        <w:tab/>
      </w:r>
      <w:r w:rsidRPr="00F651E1">
        <w:t xml:space="preserve">AusNet Services, </w:t>
      </w:r>
      <w:r w:rsidRPr="00F651E1">
        <w:rPr>
          <w:rStyle w:val="AERtextitalic"/>
        </w:rPr>
        <w:t>Transition charges application - AER information request #1</w:t>
      </w:r>
      <w:r w:rsidRPr="00F651E1">
        <w:t>, 15 July 2016, p. 3.</w:t>
      </w:r>
    </w:p>
  </w:footnote>
  <w:footnote w:id="52">
    <w:p w:rsidR="00DD1C4E" w:rsidRDefault="00DD1C4E" w:rsidP="004F21D2">
      <w:pPr>
        <w:pStyle w:val="FootnoteText"/>
      </w:pPr>
      <w:r>
        <w:rPr>
          <w:rStyle w:val="FootnoteReference"/>
        </w:rPr>
        <w:footnoteRef/>
      </w:r>
      <w:r>
        <w:t xml:space="preserve"> </w:t>
      </w:r>
      <w:r>
        <w:tab/>
      </w:r>
      <w:r w:rsidRPr="00F651E1">
        <w:t xml:space="preserve">AusNet Services, </w:t>
      </w:r>
      <w:r w:rsidRPr="00F651E1">
        <w:rPr>
          <w:rStyle w:val="AERtextitalic"/>
        </w:rPr>
        <w:t>Transition charges application - AER information request #1</w:t>
      </w:r>
      <w:r w:rsidRPr="00F651E1">
        <w:t>, 15 July 2016, p. 3.</w:t>
      </w:r>
    </w:p>
  </w:footnote>
  <w:footnote w:id="53">
    <w:p w:rsidR="00DD1C4E" w:rsidRDefault="00DD1C4E" w:rsidP="004F21D2">
      <w:pPr>
        <w:pStyle w:val="FootnoteText"/>
      </w:pPr>
      <w:r>
        <w:rPr>
          <w:rStyle w:val="FootnoteReference"/>
        </w:rPr>
        <w:footnoteRef/>
      </w:r>
      <w:r>
        <w:t xml:space="preserve"> </w:t>
      </w:r>
      <w:r>
        <w:tab/>
      </w:r>
      <w:r w:rsidRPr="00F651E1">
        <w:t xml:space="preserve">AusNet Services, </w:t>
      </w:r>
      <w:r w:rsidRPr="00F651E1">
        <w:rPr>
          <w:rStyle w:val="AERtextitalic"/>
        </w:rPr>
        <w:t>Submission on transition charges application draft decision</w:t>
      </w:r>
      <w:r w:rsidRPr="00F651E1">
        <w:t>, 2 November 2016, p. 13.</w:t>
      </w:r>
    </w:p>
  </w:footnote>
  <w:footnote w:id="54">
    <w:p w:rsidR="00DD1C4E" w:rsidRDefault="00DD1C4E" w:rsidP="004F21D2">
      <w:pPr>
        <w:pStyle w:val="FootnoteText"/>
      </w:pPr>
      <w:r>
        <w:rPr>
          <w:rStyle w:val="FootnoteReference"/>
        </w:rPr>
        <w:footnoteRef/>
      </w:r>
      <w:r>
        <w:t xml:space="preserve"> </w:t>
      </w:r>
      <w:r>
        <w:tab/>
      </w:r>
      <w:r w:rsidRPr="00F651E1">
        <w:t xml:space="preserve">Jemena, </w:t>
      </w:r>
      <w:r w:rsidRPr="00F651E1">
        <w:rPr>
          <w:rStyle w:val="AERtextitalic"/>
        </w:rPr>
        <w:t>Submission on transition charges application draft decision</w:t>
      </w:r>
      <w:r w:rsidRPr="00F651E1">
        <w:t>, 2 November 2016, p. 21.</w:t>
      </w:r>
    </w:p>
  </w:footnote>
  <w:footnote w:id="55">
    <w:p w:rsidR="00DD1C4E" w:rsidRDefault="00DD1C4E" w:rsidP="004F21D2">
      <w:pPr>
        <w:pStyle w:val="FootnoteText"/>
      </w:pPr>
      <w:r>
        <w:rPr>
          <w:rStyle w:val="FootnoteReference"/>
        </w:rPr>
        <w:footnoteRef/>
      </w:r>
      <w:r>
        <w:t xml:space="preserve"> </w:t>
      </w:r>
      <w:r>
        <w:tab/>
      </w:r>
      <w:r w:rsidRPr="00F651E1">
        <w:t xml:space="preserve">AusNet Services, </w:t>
      </w:r>
      <w:r w:rsidRPr="00F651E1">
        <w:rPr>
          <w:rStyle w:val="AERtextitalic"/>
        </w:rPr>
        <w:t>Submission on transition charges application draft decision</w:t>
      </w:r>
      <w:r w:rsidRPr="00F651E1">
        <w:t>, 2 November 2016, p. 13.</w:t>
      </w:r>
    </w:p>
  </w:footnote>
  <w:footnote w:id="56">
    <w:p w:rsidR="00DD1C4E" w:rsidRDefault="00DD1C4E" w:rsidP="004F21D2">
      <w:pPr>
        <w:pStyle w:val="FootnoteText"/>
      </w:pPr>
      <w:r>
        <w:rPr>
          <w:rStyle w:val="FootnoteReference"/>
        </w:rPr>
        <w:footnoteRef/>
      </w:r>
      <w:r>
        <w:t xml:space="preserve"> </w:t>
      </w:r>
      <w:r>
        <w:tab/>
        <w:t>Essential Services Commission, Compliance with AMI regulatory obligations as at 31 December 2013, Victorian Electricity Distributors, Final Report, October 2014.</w:t>
      </w:r>
    </w:p>
  </w:footnote>
  <w:footnote w:id="57">
    <w:p w:rsidR="00DD1C4E" w:rsidRDefault="00DD1C4E" w:rsidP="00211152">
      <w:pPr>
        <w:pStyle w:val="FootnoteText"/>
      </w:pPr>
      <w:r>
        <w:rPr>
          <w:rStyle w:val="FootnoteReference"/>
        </w:rPr>
        <w:footnoteRef/>
      </w:r>
      <w:r>
        <w:t xml:space="preserve"> </w:t>
      </w:r>
      <w:r>
        <w:tab/>
        <w:t xml:space="preserve">AER, </w:t>
      </w:r>
      <w:r w:rsidRPr="00E2726E">
        <w:rPr>
          <w:rStyle w:val="AERtextitalic"/>
        </w:rPr>
        <w:t>Draft AMI transition charges determination</w:t>
      </w:r>
      <w:r>
        <w:t>, 20 September 2016, pp. 31–32.</w:t>
      </w:r>
    </w:p>
  </w:footnote>
  <w:footnote w:id="58">
    <w:p w:rsidR="00DD1C4E" w:rsidRDefault="00DD1C4E">
      <w:pPr>
        <w:pStyle w:val="FootnoteText"/>
      </w:pPr>
      <w:r>
        <w:rPr>
          <w:rStyle w:val="FootnoteReference"/>
        </w:rPr>
        <w:footnoteRef/>
      </w:r>
      <w:r>
        <w:t xml:space="preserve"> </w:t>
      </w:r>
      <w:r>
        <w:tab/>
      </w:r>
      <w:r w:rsidRPr="00AB69B9">
        <w:t xml:space="preserve">Energeia, </w:t>
      </w:r>
      <w:r w:rsidRPr="000B1748">
        <w:rPr>
          <w:rStyle w:val="AERtextitalic"/>
        </w:rPr>
        <w:t>Review of 2017 AMI transition applications</w:t>
      </w:r>
      <w:r>
        <w:t>, August 2016, p. 34</w:t>
      </w:r>
      <w:r w:rsidRPr="00AB69B9">
        <w:t>.</w:t>
      </w:r>
    </w:p>
  </w:footnote>
  <w:footnote w:id="59">
    <w:p w:rsidR="00DD1C4E" w:rsidRDefault="00DD1C4E">
      <w:pPr>
        <w:pStyle w:val="FootnoteText"/>
      </w:pPr>
      <w:r>
        <w:rPr>
          <w:rStyle w:val="FootnoteReference"/>
        </w:rPr>
        <w:footnoteRef/>
      </w:r>
      <w:r>
        <w:t xml:space="preserve"> </w:t>
      </w:r>
      <w:r>
        <w:tab/>
        <w:t xml:space="preserve">AER, </w:t>
      </w:r>
      <w:r w:rsidRPr="00E2726E">
        <w:rPr>
          <w:rStyle w:val="AERtextitalic"/>
        </w:rPr>
        <w:t>Draft AMI transition charges determination</w:t>
      </w:r>
      <w:r>
        <w:t>, 20 September 2016, p. 32.</w:t>
      </w:r>
    </w:p>
  </w:footnote>
  <w:footnote w:id="60">
    <w:p w:rsidR="00DD1C4E" w:rsidRDefault="00DD1C4E">
      <w:pPr>
        <w:pStyle w:val="FootnoteText"/>
      </w:pPr>
      <w:r>
        <w:rPr>
          <w:rStyle w:val="FootnoteReference"/>
        </w:rPr>
        <w:footnoteRef/>
      </w:r>
      <w:r>
        <w:t xml:space="preserve"> </w:t>
      </w:r>
      <w:r>
        <w:tab/>
        <w:t xml:space="preserve">AER, </w:t>
      </w:r>
      <w:r w:rsidRPr="00E2726E">
        <w:rPr>
          <w:rStyle w:val="AERtextitalic"/>
        </w:rPr>
        <w:t>Draft AMI transition charges determination</w:t>
      </w:r>
      <w:r>
        <w:t>, 20 September 2016, p. 32.</w:t>
      </w:r>
    </w:p>
  </w:footnote>
  <w:footnote w:id="61">
    <w:p w:rsidR="00DD1C4E" w:rsidRDefault="00DD1C4E">
      <w:pPr>
        <w:pStyle w:val="FootnoteText"/>
      </w:pPr>
      <w:r>
        <w:rPr>
          <w:rStyle w:val="FootnoteReference"/>
        </w:rPr>
        <w:footnoteRef/>
      </w:r>
      <w:r>
        <w:t xml:space="preserve"> </w:t>
      </w:r>
      <w:r>
        <w:tab/>
        <w:t xml:space="preserve">AER, </w:t>
      </w:r>
      <w:r w:rsidRPr="00E2726E">
        <w:rPr>
          <w:rStyle w:val="AERtextitalic"/>
        </w:rPr>
        <w:t>Draft AMI transition charges determination</w:t>
      </w:r>
      <w:r>
        <w:t>, 20 September 2016, p. 32.</w:t>
      </w:r>
    </w:p>
  </w:footnote>
  <w:footnote w:id="62">
    <w:p w:rsidR="00DD1C4E" w:rsidRDefault="00DD1C4E" w:rsidP="00D438DC">
      <w:pPr>
        <w:pStyle w:val="FootnoteText"/>
      </w:pPr>
      <w:r>
        <w:rPr>
          <w:rStyle w:val="FootnoteReference"/>
        </w:rPr>
        <w:footnoteRef/>
      </w:r>
      <w:r>
        <w:t xml:space="preserve"> </w:t>
      </w:r>
      <w:r>
        <w:tab/>
        <w:t xml:space="preserve">AusNet Services, </w:t>
      </w:r>
      <w:r w:rsidRPr="00070629">
        <w:rPr>
          <w:rStyle w:val="AERtextitalic"/>
        </w:rPr>
        <w:t>Submission on transition charges application draft decision</w:t>
      </w:r>
      <w:r>
        <w:t>, 2 November 2016, p. 14.</w:t>
      </w:r>
    </w:p>
  </w:footnote>
  <w:footnote w:id="63">
    <w:p w:rsidR="00DD1C4E" w:rsidRDefault="00DD1C4E">
      <w:pPr>
        <w:pStyle w:val="FootnoteText"/>
      </w:pPr>
      <w:r>
        <w:rPr>
          <w:rStyle w:val="FootnoteReference"/>
        </w:rPr>
        <w:footnoteRef/>
      </w:r>
      <w:r>
        <w:t xml:space="preserve"> </w:t>
      </w:r>
      <w:r>
        <w:tab/>
        <w:t xml:space="preserve">AusNet Services, </w:t>
      </w:r>
      <w:r w:rsidRPr="00070629">
        <w:rPr>
          <w:rStyle w:val="AERtextitalic"/>
        </w:rPr>
        <w:t>Submission on transition charges application draft decision</w:t>
      </w:r>
      <w:r>
        <w:t>, 2 November 2016, pp. 14–15.</w:t>
      </w:r>
    </w:p>
  </w:footnote>
  <w:footnote w:id="64">
    <w:p w:rsidR="00DD1C4E" w:rsidRDefault="00DD1C4E">
      <w:pPr>
        <w:pStyle w:val="FootnoteText"/>
      </w:pPr>
      <w:r>
        <w:rPr>
          <w:rStyle w:val="FootnoteReference"/>
        </w:rPr>
        <w:footnoteRef/>
      </w:r>
      <w:r>
        <w:t xml:space="preserve"> </w:t>
      </w:r>
      <w:r>
        <w:tab/>
        <w:t xml:space="preserve">AusNet Services, </w:t>
      </w:r>
      <w:r w:rsidRPr="00070629">
        <w:rPr>
          <w:rStyle w:val="AERtextitalic"/>
        </w:rPr>
        <w:t>Submission on transition charges application draft decision</w:t>
      </w:r>
      <w:r>
        <w:t>, 2 November 2016, p. 15.</w:t>
      </w:r>
    </w:p>
  </w:footnote>
  <w:footnote w:id="65">
    <w:p w:rsidR="00DD1C4E" w:rsidRDefault="00DD1C4E">
      <w:pPr>
        <w:pStyle w:val="FootnoteText"/>
      </w:pPr>
      <w:r>
        <w:rPr>
          <w:rStyle w:val="FootnoteReference"/>
        </w:rPr>
        <w:footnoteRef/>
      </w:r>
      <w:r>
        <w:t xml:space="preserve"> </w:t>
      </w:r>
      <w:r>
        <w:tab/>
      </w:r>
      <w:r w:rsidRPr="00A83852">
        <w:rPr>
          <w:rStyle w:val="AERtextitalic"/>
        </w:rPr>
        <w:t>Victorian Advanced Metering Infrastructure Cost Recovery Order In Council</w:t>
      </w:r>
      <w:r>
        <w:t>, cl 51.8A</w:t>
      </w:r>
    </w:p>
  </w:footnote>
  <w:footnote w:id="66">
    <w:p w:rsidR="00DD1C4E" w:rsidRDefault="00DD1C4E">
      <w:pPr>
        <w:pStyle w:val="FootnoteText"/>
      </w:pPr>
      <w:r>
        <w:rPr>
          <w:rStyle w:val="FootnoteReference"/>
        </w:rPr>
        <w:footnoteRef/>
      </w:r>
      <w:r>
        <w:t xml:space="preserve"> </w:t>
      </w:r>
      <w:r>
        <w:tab/>
      </w:r>
      <w:r w:rsidRPr="00A83852">
        <w:rPr>
          <w:rStyle w:val="AERtextitalic"/>
        </w:rPr>
        <w:t>Victorian Advanced Metering Infrastructure Cost Recovery Order In Council</w:t>
      </w:r>
      <w:r>
        <w:t>, cl 5I.8B(c</w:t>
      </w:r>
      <w:proofErr w:type="gramStart"/>
      <w:r>
        <w:t>)(</w:t>
      </w:r>
      <w:proofErr w:type="gramEnd"/>
      <w:r>
        <w:t>iii).</w:t>
      </w:r>
    </w:p>
  </w:footnote>
  <w:footnote w:id="67">
    <w:p w:rsidR="00DD1C4E" w:rsidRDefault="00DD1C4E">
      <w:pPr>
        <w:pStyle w:val="FootnoteText"/>
      </w:pPr>
      <w:r>
        <w:rPr>
          <w:rStyle w:val="FootnoteReference"/>
        </w:rPr>
        <w:footnoteRef/>
      </w:r>
      <w:r>
        <w:t xml:space="preserve"> </w:t>
      </w:r>
      <w:r>
        <w:tab/>
        <w:t xml:space="preserve">This accounts for the timing of the investment in IT systems in the earlier period compared to other Victorian businesses, facing similar circumstances </w:t>
      </w:r>
      <w:proofErr w:type="gramStart"/>
      <w:r>
        <w:t>who</w:t>
      </w:r>
      <w:proofErr w:type="gramEnd"/>
      <w:r>
        <w:t xml:space="preserve"> had deferred to a later period and included in their 2016–2020 distribution determination.</w:t>
      </w:r>
    </w:p>
  </w:footnote>
  <w:footnote w:id="68">
    <w:p w:rsidR="00DD1C4E" w:rsidRDefault="00DD1C4E">
      <w:pPr>
        <w:pStyle w:val="FootnoteText"/>
      </w:pPr>
      <w:r>
        <w:rPr>
          <w:rStyle w:val="FootnoteReference"/>
        </w:rPr>
        <w:footnoteRef/>
      </w:r>
      <w:r>
        <w:t xml:space="preserve"> </w:t>
      </w:r>
      <w:r>
        <w:tab/>
      </w:r>
      <w:r w:rsidRPr="00AB69B9">
        <w:t xml:space="preserve">Energeia, </w:t>
      </w:r>
      <w:r w:rsidRPr="000B1748">
        <w:rPr>
          <w:rStyle w:val="AERtextitalic"/>
        </w:rPr>
        <w:t>Review of 2017 AMI transition applications</w:t>
      </w:r>
      <w:r>
        <w:t>, August 2016, p. 34</w:t>
      </w:r>
      <w:r w:rsidRPr="00AB69B9">
        <w:t>.</w:t>
      </w:r>
    </w:p>
  </w:footnote>
  <w:footnote w:id="69">
    <w:p w:rsidR="00DD1C4E" w:rsidRDefault="00DD1C4E" w:rsidP="00F56A0C">
      <w:pPr>
        <w:pStyle w:val="FootnoteText"/>
      </w:pPr>
      <w:r>
        <w:rPr>
          <w:rStyle w:val="FootnoteReference"/>
        </w:rPr>
        <w:footnoteRef/>
      </w:r>
      <w:r>
        <w:t xml:space="preserve"> </w:t>
      </w:r>
      <w:r>
        <w:tab/>
        <w:t xml:space="preserve">AER, </w:t>
      </w:r>
      <w:r w:rsidRPr="00E2726E">
        <w:rPr>
          <w:rStyle w:val="AERtextitalic"/>
        </w:rPr>
        <w:t>Draft AMI transition charges determination</w:t>
      </w:r>
      <w:r>
        <w:t>, 20 September 2016, p. 34.</w:t>
      </w:r>
    </w:p>
  </w:footnote>
  <w:footnote w:id="70">
    <w:p w:rsidR="00DD1C4E" w:rsidRDefault="00DD1C4E" w:rsidP="00F56A0C">
      <w:pPr>
        <w:pStyle w:val="FootnoteText"/>
      </w:pPr>
      <w:r>
        <w:rPr>
          <w:rStyle w:val="FootnoteReference"/>
        </w:rPr>
        <w:footnoteRef/>
      </w:r>
      <w:r>
        <w:t xml:space="preserve"> </w:t>
      </w:r>
      <w:r>
        <w:tab/>
        <w:t xml:space="preserve">AER, </w:t>
      </w:r>
      <w:r w:rsidRPr="00E2726E">
        <w:rPr>
          <w:rStyle w:val="AERtextitalic"/>
        </w:rPr>
        <w:t>Draft AMI transition charges determination</w:t>
      </w:r>
      <w:r>
        <w:t>, 20 September 2016, p. 34.</w:t>
      </w:r>
    </w:p>
  </w:footnote>
  <w:footnote w:id="71">
    <w:p w:rsidR="00DD1C4E" w:rsidRDefault="00DD1C4E">
      <w:pPr>
        <w:pStyle w:val="FootnoteText"/>
      </w:pPr>
      <w:r>
        <w:rPr>
          <w:rStyle w:val="FootnoteReference"/>
        </w:rPr>
        <w:footnoteRef/>
      </w:r>
      <w:r>
        <w:t xml:space="preserve"> </w:t>
      </w:r>
      <w:r>
        <w:tab/>
      </w:r>
      <w:r w:rsidRPr="00AB69B9">
        <w:t xml:space="preserve">Energeia, </w:t>
      </w:r>
      <w:r w:rsidRPr="000B1748">
        <w:rPr>
          <w:rStyle w:val="AERtextitalic"/>
        </w:rPr>
        <w:t>Review of 2017 AMI transition applications</w:t>
      </w:r>
      <w:r>
        <w:t>, August 2016, p. 35</w:t>
      </w:r>
      <w:r w:rsidRPr="00AB69B9">
        <w:t>.</w:t>
      </w:r>
    </w:p>
  </w:footnote>
  <w:footnote w:id="72">
    <w:p w:rsidR="00DD1C4E" w:rsidRDefault="00DD1C4E" w:rsidP="00F56A0C">
      <w:pPr>
        <w:pStyle w:val="FootnoteText"/>
      </w:pPr>
      <w:r>
        <w:rPr>
          <w:rStyle w:val="FootnoteReference"/>
        </w:rPr>
        <w:footnoteRef/>
      </w:r>
      <w:r>
        <w:t xml:space="preserve"> </w:t>
      </w:r>
      <w:r>
        <w:tab/>
        <w:t xml:space="preserve">AER, </w:t>
      </w:r>
      <w:r w:rsidRPr="00E2726E">
        <w:rPr>
          <w:rStyle w:val="AERtextitalic"/>
        </w:rPr>
        <w:t>Draft AMI transition charges determination</w:t>
      </w:r>
      <w:r>
        <w:t>, 20 September 2016, p. 34.</w:t>
      </w:r>
    </w:p>
  </w:footnote>
  <w:footnote w:id="73">
    <w:p w:rsidR="00DD1C4E" w:rsidRDefault="00DD1C4E">
      <w:pPr>
        <w:pStyle w:val="FootnoteText"/>
      </w:pPr>
      <w:r>
        <w:rPr>
          <w:rStyle w:val="FootnoteReference"/>
        </w:rPr>
        <w:footnoteRef/>
      </w:r>
      <w:r>
        <w:t xml:space="preserve"> </w:t>
      </w:r>
      <w:r>
        <w:tab/>
      </w:r>
      <w:r w:rsidRPr="00AB69B9">
        <w:t xml:space="preserve">Energeia, </w:t>
      </w:r>
      <w:r w:rsidRPr="000B1748">
        <w:rPr>
          <w:rStyle w:val="AERtextitalic"/>
        </w:rPr>
        <w:t>Review of 2017 AMI transition applications</w:t>
      </w:r>
      <w:r>
        <w:t>, August 2016, p. 35</w:t>
      </w:r>
      <w:r w:rsidRPr="00AB69B9">
        <w:t>.</w:t>
      </w:r>
    </w:p>
  </w:footnote>
  <w:footnote w:id="74">
    <w:p w:rsidR="00DD1C4E" w:rsidRDefault="00DD1C4E">
      <w:pPr>
        <w:pStyle w:val="FootnoteText"/>
      </w:pPr>
      <w:r>
        <w:rPr>
          <w:rStyle w:val="FootnoteReference"/>
        </w:rPr>
        <w:footnoteRef/>
      </w:r>
      <w:r>
        <w:t xml:space="preserve"> </w:t>
      </w:r>
      <w:r>
        <w:tab/>
        <w:t xml:space="preserve">AusNet Services, </w:t>
      </w:r>
      <w:r w:rsidRPr="00070629">
        <w:rPr>
          <w:rStyle w:val="AERtextitalic"/>
        </w:rPr>
        <w:t>Submission on transition charges application draft decision</w:t>
      </w:r>
      <w:r>
        <w:t>, 2 November 2016, p. 20.</w:t>
      </w:r>
    </w:p>
  </w:footnote>
  <w:footnote w:id="75">
    <w:p w:rsidR="00DD1C4E" w:rsidRDefault="00DD1C4E">
      <w:pPr>
        <w:pStyle w:val="FootnoteText"/>
      </w:pPr>
      <w:r>
        <w:rPr>
          <w:rStyle w:val="FootnoteReference"/>
        </w:rPr>
        <w:footnoteRef/>
      </w:r>
      <w:r>
        <w:t xml:space="preserve"> </w:t>
      </w:r>
      <w:r>
        <w:tab/>
        <w:t xml:space="preserve">AusNet Services, </w:t>
      </w:r>
      <w:r w:rsidRPr="00070629">
        <w:rPr>
          <w:rStyle w:val="AERtextitalic"/>
        </w:rPr>
        <w:t>Submission on transition charges application draft decision</w:t>
      </w:r>
      <w:r>
        <w:t>, 2 November 2016, p. 20.</w:t>
      </w:r>
    </w:p>
  </w:footnote>
  <w:footnote w:id="76">
    <w:p w:rsidR="00DD1C4E" w:rsidRDefault="00DD1C4E">
      <w:pPr>
        <w:pStyle w:val="FootnoteText"/>
      </w:pPr>
      <w:r>
        <w:rPr>
          <w:rStyle w:val="FootnoteReference"/>
        </w:rPr>
        <w:footnoteRef/>
      </w:r>
      <w:r>
        <w:t xml:space="preserve"> </w:t>
      </w:r>
      <w:r>
        <w:tab/>
        <w:t xml:space="preserve">AER, </w:t>
      </w:r>
      <w:r w:rsidRPr="00E2726E">
        <w:rPr>
          <w:rStyle w:val="AERtextitalic"/>
        </w:rPr>
        <w:t>Draft AMI transition charges determination</w:t>
      </w:r>
      <w:r>
        <w:t>, 20 September 2016, p. 34.</w:t>
      </w:r>
    </w:p>
  </w:footnote>
  <w:footnote w:id="77">
    <w:p w:rsidR="00DD1C4E" w:rsidRDefault="00DD1C4E">
      <w:pPr>
        <w:pStyle w:val="FootnoteText"/>
      </w:pPr>
      <w:r>
        <w:rPr>
          <w:rStyle w:val="FootnoteReference"/>
        </w:rPr>
        <w:footnoteRef/>
      </w:r>
      <w:r>
        <w:t xml:space="preserve"> </w:t>
      </w:r>
      <w:r>
        <w:tab/>
      </w:r>
      <w:r w:rsidRPr="00CF6EE5">
        <w:t>We will further update the forecast CPI and WACC values for actuals when we apply the transition charge through our 2018 annual pricing approval process.</w:t>
      </w:r>
    </w:p>
  </w:footnote>
  <w:footnote w:id="78">
    <w:p w:rsidR="00DD1C4E" w:rsidRDefault="00DD1C4E" w:rsidP="00B50EF2">
      <w:pPr>
        <w:pStyle w:val="FootnoteText"/>
      </w:pPr>
      <w:r>
        <w:rPr>
          <w:rStyle w:val="FootnoteReference"/>
        </w:rPr>
        <w:footnoteRef/>
      </w:r>
      <w:r>
        <w:t xml:space="preserve"> </w:t>
      </w:r>
      <w:r>
        <w:tab/>
      </w:r>
      <w:r w:rsidRPr="00A83852">
        <w:rPr>
          <w:rStyle w:val="AERtextitalic"/>
        </w:rPr>
        <w:t>Victorian Advanced Metering Infrastructure Cost Recovery Order In Council</w:t>
      </w:r>
      <w:r>
        <w:t>, cl 5I.3.</w:t>
      </w:r>
    </w:p>
  </w:footnote>
  <w:footnote w:id="79">
    <w:p w:rsidR="00DD1C4E" w:rsidRDefault="00DD1C4E">
      <w:pPr>
        <w:pStyle w:val="FootnoteText"/>
      </w:pPr>
      <w:r>
        <w:rPr>
          <w:rStyle w:val="FootnoteReference"/>
        </w:rPr>
        <w:footnoteRef/>
      </w:r>
      <w:r>
        <w:t xml:space="preserve"> </w:t>
      </w:r>
      <w:r>
        <w:tab/>
      </w:r>
      <w:proofErr w:type="gramStart"/>
      <w:r>
        <w:t xml:space="preserve">Deloitte, </w:t>
      </w:r>
      <w:r w:rsidRPr="00B50EF2">
        <w:rPr>
          <w:rStyle w:val="AERtextitalic"/>
        </w:rPr>
        <w:t>Independent auditor's report to the directors of CitiPower Pty</w:t>
      </w:r>
      <w:r>
        <w:t xml:space="preserve">, 19 August 2015; Deloitte, </w:t>
      </w:r>
      <w:r w:rsidRPr="00B50EF2">
        <w:rPr>
          <w:rStyle w:val="AERtextitalic"/>
        </w:rPr>
        <w:t>Independent auditor's report to the directors of CitiPower Pty</w:t>
      </w:r>
      <w:r>
        <w:t>, 19 May 2016.</w:t>
      </w:r>
      <w:proofErr w:type="gramEnd"/>
    </w:p>
  </w:footnote>
  <w:footnote w:id="80">
    <w:p w:rsidR="00DD1C4E" w:rsidRDefault="00DD1C4E" w:rsidP="00645C98">
      <w:pPr>
        <w:pStyle w:val="FootnoteText"/>
      </w:pPr>
      <w:r>
        <w:rPr>
          <w:rStyle w:val="FootnoteReference"/>
        </w:rPr>
        <w:footnoteRef/>
      </w:r>
      <w:r>
        <w:t xml:space="preserve"> </w:t>
      </w:r>
      <w:r>
        <w:tab/>
      </w:r>
      <w:r w:rsidRPr="00A83852">
        <w:rPr>
          <w:rStyle w:val="AERtextitalic"/>
        </w:rPr>
        <w:t>Victorian Advanced Metering Infrastructure Cost Recovery Order In Council</w:t>
      </w:r>
      <w:r>
        <w:t>, cl 5L.4 and 5L.7 to 5L.12.</w:t>
      </w:r>
    </w:p>
  </w:footnote>
  <w:footnote w:id="81">
    <w:p w:rsidR="00DD1C4E" w:rsidRDefault="00DD1C4E" w:rsidP="00645C98">
      <w:pPr>
        <w:pStyle w:val="FootnoteText"/>
      </w:pPr>
      <w:r>
        <w:rPr>
          <w:rStyle w:val="FootnoteReference"/>
        </w:rPr>
        <w:footnoteRef/>
      </w:r>
      <w:r>
        <w:t xml:space="preserve"> </w:t>
      </w:r>
      <w:r>
        <w:tab/>
        <w:t xml:space="preserve">Jemena, </w:t>
      </w:r>
      <w:r w:rsidRPr="00FC76D5">
        <w:rPr>
          <w:rStyle w:val="AERtextitalic"/>
        </w:rPr>
        <w:t>Submission on transition charges application draft decision</w:t>
      </w:r>
      <w:r w:rsidRPr="00FC76D5">
        <w:t>, 2 November 2016,</w:t>
      </w:r>
      <w:r>
        <w:t xml:space="preserve"> p. vii.</w:t>
      </w:r>
    </w:p>
  </w:footnote>
  <w:footnote w:id="82">
    <w:p w:rsidR="00DD1C4E" w:rsidRDefault="00DD1C4E">
      <w:pPr>
        <w:pStyle w:val="FootnoteText"/>
      </w:pPr>
      <w:r>
        <w:rPr>
          <w:rStyle w:val="FootnoteReference"/>
        </w:rPr>
        <w:footnoteRef/>
      </w:r>
      <w:r>
        <w:t xml:space="preserve"> </w:t>
      </w:r>
      <w:r>
        <w:tab/>
      </w:r>
      <w:r w:rsidRPr="00CF6EE5">
        <w:t>We will further update the forecast CPI and WACC values for actuals when we apply the transition charge through our 2018</w:t>
      </w:r>
      <w:r>
        <w:t>, 2019 and 2020</w:t>
      </w:r>
      <w:r w:rsidRPr="00CF6EE5">
        <w:t xml:space="preserve"> annual pricing approval process.</w:t>
      </w:r>
    </w:p>
  </w:footnote>
  <w:footnote w:id="83">
    <w:p w:rsidR="00DD1C4E" w:rsidRDefault="00DD1C4E" w:rsidP="009E0BDB">
      <w:pPr>
        <w:pStyle w:val="FootnoteText"/>
      </w:pPr>
      <w:r>
        <w:rPr>
          <w:rStyle w:val="FootnoteReference"/>
        </w:rPr>
        <w:footnoteRef/>
      </w:r>
      <w:r>
        <w:t xml:space="preserve"> </w:t>
      </w:r>
      <w:r>
        <w:tab/>
        <w:t xml:space="preserve">Jemena, </w:t>
      </w:r>
      <w:r w:rsidRPr="000B1748">
        <w:rPr>
          <w:rStyle w:val="AERtextitalic"/>
        </w:rPr>
        <w:t>AMI Transition Charges Application</w:t>
      </w:r>
      <w:r>
        <w:t>, 31 May 2016, p. 30.</w:t>
      </w:r>
    </w:p>
  </w:footnote>
  <w:footnote w:id="84">
    <w:p w:rsidR="00DD1C4E" w:rsidRDefault="00DD1C4E" w:rsidP="009E0BDB">
      <w:pPr>
        <w:pStyle w:val="FootnoteText"/>
      </w:pPr>
      <w:r>
        <w:rPr>
          <w:rStyle w:val="FootnoteReference"/>
        </w:rPr>
        <w:footnoteRef/>
      </w:r>
      <w:r>
        <w:t xml:space="preserve"> </w:t>
      </w:r>
      <w:r>
        <w:tab/>
        <w:t xml:space="preserve">AER, </w:t>
      </w:r>
      <w:r w:rsidRPr="009E0BDB">
        <w:rPr>
          <w:rStyle w:val="AERtextitalic"/>
        </w:rPr>
        <w:t>Draft decision: AMI transition charges applications</w:t>
      </w:r>
      <w:r>
        <w:t>, September 2016, p. 26 &amp; p. 40.</w:t>
      </w:r>
    </w:p>
  </w:footnote>
  <w:footnote w:id="85">
    <w:p w:rsidR="00DD1C4E" w:rsidRDefault="00DD1C4E">
      <w:pPr>
        <w:pStyle w:val="FootnoteText"/>
      </w:pPr>
      <w:r>
        <w:rPr>
          <w:rStyle w:val="FootnoteReference"/>
        </w:rPr>
        <w:footnoteRef/>
      </w:r>
      <w:r>
        <w:t xml:space="preserve"> </w:t>
      </w:r>
      <w:r>
        <w:tab/>
      </w:r>
      <w:proofErr w:type="gramStart"/>
      <w:r>
        <w:t xml:space="preserve">Energeia, </w:t>
      </w:r>
      <w:r w:rsidRPr="003E76B4">
        <w:rPr>
          <w:rStyle w:val="AERtextitalic"/>
        </w:rPr>
        <w:t>Review of AMI transition applications</w:t>
      </w:r>
      <w:r>
        <w:t>, September 2016, p</w:t>
      </w:r>
      <w:r w:rsidR="00615541">
        <w:t>p</w:t>
      </w:r>
      <w:r>
        <w:t>. 28–29.</w:t>
      </w:r>
      <w:proofErr w:type="gramEnd"/>
    </w:p>
  </w:footnote>
  <w:footnote w:id="86">
    <w:p w:rsidR="00DD1C4E" w:rsidRDefault="00DD1C4E">
      <w:pPr>
        <w:pStyle w:val="FootnoteText"/>
      </w:pPr>
      <w:r>
        <w:rPr>
          <w:rStyle w:val="FootnoteReference"/>
        </w:rPr>
        <w:footnoteRef/>
      </w:r>
      <w:r>
        <w:t xml:space="preserve"> </w:t>
      </w:r>
      <w:r>
        <w:tab/>
        <w:t xml:space="preserve">AER, </w:t>
      </w:r>
      <w:r w:rsidRPr="009E0BDB">
        <w:rPr>
          <w:rStyle w:val="AERtextitalic"/>
        </w:rPr>
        <w:t>Draft decision: AMI transition charges applications</w:t>
      </w:r>
      <w:r>
        <w:t>, September 2016, p. 48.</w:t>
      </w:r>
    </w:p>
  </w:footnote>
  <w:footnote w:id="87">
    <w:p w:rsidR="00DD1C4E" w:rsidRPr="00AA4A42" w:rsidRDefault="00DD1C4E" w:rsidP="0030228C">
      <w:pPr>
        <w:pStyle w:val="FootnoteText"/>
      </w:pPr>
      <w:r>
        <w:rPr>
          <w:rStyle w:val="FootnoteReference"/>
        </w:rPr>
        <w:footnoteRef/>
      </w:r>
      <w:r>
        <w:t xml:space="preserve"> </w:t>
      </w:r>
      <w:r>
        <w:tab/>
        <w:t>26 782 meters / 4 515 km</w:t>
      </w:r>
      <w:r>
        <w:rPr>
          <w:vertAlign w:val="superscript"/>
        </w:rPr>
        <w:t>2</w:t>
      </w:r>
      <w:r>
        <w:t xml:space="preserve"> = 5.9 meters per km</w:t>
      </w:r>
      <w:r>
        <w:rPr>
          <w:vertAlign w:val="superscript"/>
        </w:rPr>
        <w:t>2</w:t>
      </w:r>
      <w:r>
        <w:t>.</w:t>
      </w:r>
    </w:p>
  </w:footnote>
  <w:footnote w:id="88">
    <w:p w:rsidR="00DD1C4E" w:rsidRPr="00AA4A42" w:rsidRDefault="00DD1C4E" w:rsidP="0030228C">
      <w:pPr>
        <w:pStyle w:val="FootnoteText"/>
      </w:pPr>
      <w:r>
        <w:rPr>
          <w:rStyle w:val="FootnoteReference"/>
        </w:rPr>
        <w:footnoteRef/>
      </w:r>
      <w:r>
        <w:t xml:space="preserve"> </w:t>
      </w:r>
      <w:r>
        <w:tab/>
        <w:t>117 701 meters / 7 483 km</w:t>
      </w:r>
      <w:r>
        <w:rPr>
          <w:vertAlign w:val="superscript"/>
        </w:rPr>
        <w:t xml:space="preserve">2 </w:t>
      </w:r>
      <w:r>
        <w:t>= 15.7 meters per km</w:t>
      </w:r>
      <w:r>
        <w:rPr>
          <w:vertAlign w:val="superscript"/>
        </w:rPr>
        <w:t>2</w:t>
      </w:r>
      <w:r>
        <w:t>.</w:t>
      </w:r>
    </w:p>
  </w:footnote>
  <w:footnote w:id="89">
    <w:p w:rsidR="00DD1C4E" w:rsidRDefault="00DD1C4E">
      <w:pPr>
        <w:pStyle w:val="FootnoteText"/>
      </w:pPr>
      <w:r>
        <w:rPr>
          <w:rStyle w:val="FootnoteReference"/>
        </w:rPr>
        <w:footnoteRef/>
      </w:r>
      <w:r>
        <w:t xml:space="preserve"> </w:t>
      </w:r>
      <w:r>
        <w:tab/>
        <w:t xml:space="preserve">Oakley Greenwood, </w:t>
      </w:r>
      <w:r w:rsidRPr="00CC0A50">
        <w:rPr>
          <w:rStyle w:val="AERtextitalic"/>
        </w:rPr>
        <w:t>AMI transition charges review: Prepared for Jemena Electricity Networks</w:t>
      </w:r>
      <w:r w:rsidRPr="00AB209D">
        <w:t>, 2 November 2016, p. 11.</w:t>
      </w:r>
    </w:p>
  </w:footnote>
  <w:footnote w:id="90">
    <w:p w:rsidR="00DD1C4E" w:rsidRDefault="00DD1C4E">
      <w:pPr>
        <w:pStyle w:val="FootnoteText"/>
      </w:pPr>
      <w:r>
        <w:rPr>
          <w:rStyle w:val="FootnoteReference"/>
        </w:rPr>
        <w:footnoteRef/>
      </w:r>
      <w:r>
        <w:t xml:space="preserve"> </w:t>
      </w:r>
      <w:r>
        <w:tab/>
      </w:r>
      <w:r w:rsidRPr="00572F98">
        <w:t xml:space="preserve">Oakley Greenwood, </w:t>
      </w:r>
      <w:r w:rsidRPr="00572F98">
        <w:rPr>
          <w:rStyle w:val="AERtextitalic"/>
        </w:rPr>
        <w:t>AMI transition charges review: Prepared for Jemena Electricity Networks</w:t>
      </w:r>
      <w:r w:rsidRPr="00572F98">
        <w:t>, 2 November 2016, p.</w:t>
      </w:r>
      <w:r>
        <w:t xml:space="preserve"> 2</w:t>
      </w:r>
      <w:r w:rsidRPr="00572F98">
        <w:t>.</w:t>
      </w:r>
    </w:p>
  </w:footnote>
  <w:footnote w:id="91">
    <w:p w:rsidR="00DD1C4E" w:rsidRDefault="00DD1C4E" w:rsidP="00572F98">
      <w:pPr>
        <w:pStyle w:val="FootnoteText"/>
      </w:pPr>
      <w:r>
        <w:rPr>
          <w:rStyle w:val="FootnoteReference"/>
        </w:rPr>
        <w:footnoteRef/>
      </w:r>
      <w:r>
        <w:t xml:space="preserve"> </w:t>
      </w:r>
      <w:r>
        <w:tab/>
      </w:r>
      <w:r w:rsidRPr="00572F98">
        <w:t xml:space="preserve">Jemena, </w:t>
      </w:r>
      <w:r w:rsidRPr="00572F98">
        <w:rPr>
          <w:rStyle w:val="AERtextitalic"/>
        </w:rPr>
        <w:t>Submission on transition charges application draft decision</w:t>
      </w:r>
      <w:r w:rsidRPr="00572F98">
        <w:t>, 2 November 2016,</w:t>
      </w:r>
      <w:r>
        <w:t xml:space="preserve"> p. 26</w:t>
      </w:r>
      <w:r w:rsidRPr="00572F98">
        <w:t>.</w:t>
      </w:r>
    </w:p>
  </w:footnote>
  <w:footnote w:id="92">
    <w:p w:rsidR="00DD1C4E" w:rsidRDefault="00DD1C4E" w:rsidP="00572F98">
      <w:pPr>
        <w:pStyle w:val="FootnoteText"/>
      </w:pPr>
      <w:r>
        <w:rPr>
          <w:rStyle w:val="FootnoteReference"/>
        </w:rPr>
        <w:footnoteRef/>
      </w:r>
      <w:r>
        <w:t xml:space="preserve"> </w:t>
      </w:r>
      <w:r>
        <w:tab/>
      </w:r>
      <w:r w:rsidRPr="00572F98">
        <w:t xml:space="preserve">Jemena, </w:t>
      </w:r>
      <w:r w:rsidRPr="00572F98">
        <w:rPr>
          <w:rStyle w:val="AERtextitalic"/>
        </w:rPr>
        <w:t>Submission on transition charges application draft decision</w:t>
      </w:r>
      <w:r w:rsidRPr="00572F98">
        <w:t>, 2 November 2016,</w:t>
      </w:r>
      <w:r>
        <w:t xml:space="preserve"> p. 26</w:t>
      </w:r>
      <w:r w:rsidRPr="00572F98">
        <w:t>.</w:t>
      </w:r>
    </w:p>
  </w:footnote>
  <w:footnote w:id="93">
    <w:p w:rsidR="00DD1C4E" w:rsidRDefault="00DD1C4E">
      <w:pPr>
        <w:pStyle w:val="FootnoteText"/>
      </w:pPr>
      <w:r>
        <w:rPr>
          <w:rStyle w:val="FootnoteReference"/>
        </w:rPr>
        <w:footnoteRef/>
      </w:r>
      <w:r>
        <w:t xml:space="preserve"> </w:t>
      </w:r>
      <w:r>
        <w:tab/>
        <w:t xml:space="preserve">AER, </w:t>
      </w:r>
      <w:r w:rsidRPr="009E0BDB">
        <w:rPr>
          <w:rStyle w:val="AERtextitalic"/>
        </w:rPr>
        <w:t>Draft decision: AMI transition charges applications</w:t>
      </w:r>
      <w:r>
        <w:t>, September 2016, p. 48.</w:t>
      </w:r>
    </w:p>
  </w:footnote>
  <w:footnote w:id="94">
    <w:p w:rsidR="00DD1C4E" w:rsidRDefault="00DD1C4E">
      <w:pPr>
        <w:pStyle w:val="FootnoteText"/>
      </w:pPr>
      <w:r>
        <w:rPr>
          <w:rStyle w:val="FootnoteReference"/>
        </w:rPr>
        <w:footnoteRef/>
      </w:r>
      <w:r>
        <w:t xml:space="preserve"> </w:t>
      </w:r>
      <w:r>
        <w:tab/>
      </w:r>
      <w:r w:rsidRPr="00AB69B9">
        <w:t xml:space="preserve">Energeia, </w:t>
      </w:r>
      <w:r w:rsidRPr="000B1748">
        <w:rPr>
          <w:rStyle w:val="AERtextitalic"/>
        </w:rPr>
        <w:t>Review of 2017 AMI transition applications</w:t>
      </w:r>
      <w:r>
        <w:t>, August 2016, p. 30</w:t>
      </w:r>
      <w:r w:rsidRPr="00AB69B9">
        <w:t>.</w:t>
      </w:r>
    </w:p>
  </w:footnote>
  <w:footnote w:id="95">
    <w:p w:rsidR="00DD1C4E" w:rsidRDefault="00DD1C4E" w:rsidP="00504DDD">
      <w:pPr>
        <w:pStyle w:val="FootnoteText"/>
      </w:pPr>
      <w:r>
        <w:rPr>
          <w:rStyle w:val="FootnoteReference"/>
        </w:rPr>
        <w:footnoteRef/>
      </w:r>
      <w:r>
        <w:t xml:space="preserve"> </w:t>
      </w:r>
      <w:r>
        <w:tab/>
        <w:t xml:space="preserve">Jemena, </w:t>
      </w:r>
      <w:r w:rsidRPr="004B347E">
        <w:rPr>
          <w:rStyle w:val="AERtextitalic"/>
        </w:rPr>
        <w:t>Submission on transition charges application draft decision</w:t>
      </w:r>
      <w:r>
        <w:t>, November 2, p. 27.</w:t>
      </w:r>
    </w:p>
  </w:footnote>
  <w:footnote w:id="96">
    <w:p w:rsidR="00DD1C4E" w:rsidRDefault="00DD1C4E">
      <w:pPr>
        <w:pStyle w:val="FootnoteText"/>
      </w:pPr>
      <w:r>
        <w:rPr>
          <w:rStyle w:val="FootnoteReference"/>
        </w:rPr>
        <w:footnoteRef/>
      </w:r>
      <w:r>
        <w:t xml:space="preserve"> </w:t>
      </w:r>
      <w:r>
        <w:tab/>
        <w:t xml:space="preserve">Jemena, </w:t>
      </w:r>
      <w:r w:rsidRPr="004B347E">
        <w:rPr>
          <w:rStyle w:val="AERtextitalic"/>
        </w:rPr>
        <w:t>Submission on transition charges application draft decision</w:t>
      </w:r>
      <w:r>
        <w:t>, November 2, p. 27.</w:t>
      </w:r>
    </w:p>
  </w:footnote>
  <w:footnote w:id="97">
    <w:p w:rsidR="00DD1C4E" w:rsidRDefault="00DD1C4E">
      <w:pPr>
        <w:pStyle w:val="FootnoteText"/>
      </w:pPr>
      <w:r>
        <w:rPr>
          <w:rStyle w:val="FootnoteReference"/>
        </w:rPr>
        <w:footnoteRef/>
      </w:r>
      <w:r>
        <w:t xml:space="preserve"> </w:t>
      </w:r>
      <w:r>
        <w:tab/>
        <w:t>Our final decision on Jemena's 2016–2020 Victorian determination manual meter reads approved a price cap of $31.24 ($2016).</w:t>
      </w:r>
    </w:p>
  </w:footnote>
  <w:footnote w:id="98">
    <w:p w:rsidR="00DD1C4E" w:rsidRDefault="00DD1C4E" w:rsidP="00F97CBA">
      <w:pPr>
        <w:pStyle w:val="FootnoteText"/>
      </w:pPr>
      <w:r>
        <w:rPr>
          <w:rStyle w:val="FootnoteReference"/>
        </w:rPr>
        <w:footnoteRef/>
      </w:r>
      <w:r>
        <w:t xml:space="preserve"> </w:t>
      </w:r>
      <w:r>
        <w:tab/>
      </w:r>
      <w:r w:rsidRPr="00A83852">
        <w:rPr>
          <w:rStyle w:val="AERtextitalic"/>
        </w:rPr>
        <w:t>Victorian Advanced Metering Infrastructure Cost Recovery Order In Council</w:t>
      </w:r>
      <w:r>
        <w:t>, cl 5I.3.</w:t>
      </w:r>
    </w:p>
  </w:footnote>
  <w:footnote w:id="99">
    <w:p w:rsidR="00DD1C4E" w:rsidRDefault="00DD1C4E" w:rsidP="00F97CBA">
      <w:pPr>
        <w:pStyle w:val="FootnoteText"/>
      </w:pPr>
      <w:r>
        <w:rPr>
          <w:rStyle w:val="FootnoteReference"/>
        </w:rPr>
        <w:footnoteRef/>
      </w:r>
      <w:r>
        <w:t xml:space="preserve"> </w:t>
      </w:r>
      <w:r>
        <w:tab/>
      </w:r>
      <w:proofErr w:type="gramStart"/>
      <w:r>
        <w:t xml:space="preserve">Deloitte, </w:t>
      </w:r>
      <w:r w:rsidRPr="00B50EF2">
        <w:rPr>
          <w:rStyle w:val="AERtextitalic"/>
        </w:rPr>
        <w:t>Independent auditor's report to the directors of CitiPower Pty</w:t>
      </w:r>
      <w:r>
        <w:t xml:space="preserve">, 19 August 2015; Deloitte, </w:t>
      </w:r>
      <w:r w:rsidRPr="00B50EF2">
        <w:rPr>
          <w:rStyle w:val="AERtextitalic"/>
        </w:rPr>
        <w:t>Independent auditor's report to the directors of CitiPower Pty</w:t>
      </w:r>
      <w:r>
        <w:t>, 19 May 2016.</w:t>
      </w:r>
      <w:proofErr w:type="gramEnd"/>
    </w:p>
  </w:footnote>
  <w:footnote w:id="100">
    <w:p w:rsidR="00DD1C4E" w:rsidRDefault="00DD1C4E" w:rsidP="0019569B">
      <w:pPr>
        <w:pStyle w:val="FootnoteText"/>
      </w:pPr>
      <w:r>
        <w:rPr>
          <w:rStyle w:val="FootnoteReference"/>
        </w:rPr>
        <w:footnoteRef/>
      </w:r>
      <w:r>
        <w:t xml:space="preserve"> </w:t>
      </w:r>
      <w:r>
        <w:tab/>
      </w:r>
      <w:r w:rsidRPr="00A83852">
        <w:rPr>
          <w:rStyle w:val="AERtextitalic"/>
        </w:rPr>
        <w:t>Victorian Advanced Metering Infrastructure Cost Recovery Order In Council</w:t>
      </w:r>
      <w:r>
        <w:t>, cl 5L.4 and 5L.7 to 5L.12.</w:t>
      </w:r>
    </w:p>
  </w:footnote>
  <w:footnote w:id="101">
    <w:p w:rsidR="00DD1C4E" w:rsidRDefault="00DD1C4E" w:rsidP="00F24E2C">
      <w:pPr>
        <w:pStyle w:val="FootnoteText"/>
      </w:pPr>
      <w:r>
        <w:rPr>
          <w:rStyle w:val="FootnoteReference"/>
        </w:rPr>
        <w:footnoteRef/>
      </w:r>
      <w:r>
        <w:t xml:space="preserve"> </w:t>
      </w:r>
      <w:r>
        <w:tab/>
        <w:t xml:space="preserve">United Energy, </w:t>
      </w:r>
      <w:r w:rsidRPr="004B347E">
        <w:rPr>
          <w:rStyle w:val="AERtextitalic"/>
        </w:rPr>
        <w:t>Submission on transition charges application draft decision</w:t>
      </w:r>
      <w:r>
        <w:t>, 21 October 2016, p. 1.</w:t>
      </w:r>
    </w:p>
  </w:footnote>
  <w:footnote w:id="102">
    <w:p w:rsidR="00DD1C4E" w:rsidRDefault="00DD1C4E">
      <w:pPr>
        <w:pStyle w:val="FootnoteText"/>
      </w:pPr>
      <w:r>
        <w:rPr>
          <w:rStyle w:val="FootnoteReference"/>
        </w:rPr>
        <w:footnoteRef/>
      </w:r>
      <w:r>
        <w:t xml:space="preserve"> </w:t>
      </w:r>
      <w:r>
        <w:tab/>
      </w:r>
      <w:r w:rsidRPr="00F24E2C">
        <w:t>We will further update the forecast CPI and WACC values for actuals when we apply the transition charge through our 2018 annual pricing approval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E76A4940"/>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55D8AA6A"/>
    <w:lvl w:ilvl="0" w:tplc="3A90FEB2">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1323F5A"/>
    <w:multiLevelType w:val="hybridMultilevel"/>
    <w:tmpl w:val="26061A6A"/>
    <w:lvl w:ilvl="0" w:tplc="C45C7CE8">
      <w:start w:val="1"/>
      <w:numFmt w:val="lowerRoman"/>
      <w:lvlText w:val="(%1)"/>
      <w:lvlJc w:val="left"/>
      <w:pPr>
        <w:ind w:left="780" w:hanging="360"/>
      </w:pPr>
      <w:rPr>
        <w:rFonts w:ascii="Arial" w:eastAsiaTheme="minorHAnsi" w:hAnsi="Arial" w:cstheme="minorBidi"/>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7">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92056E"/>
    <w:multiLevelType w:val="multilevel"/>
    <w:tmpl w:val="950A1C52"/>
    <w:numStyleLink w:val="AERHeadings"/>
  </w:abstractNum>
  <w:abstractNum w:abstractNumId="19">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8865DF8"/>
    <w:multiLevelType w:val="hybridMultilevel"/>
    <w:tmpl w:val="7400C28A"/>
    <w:lvl w:ilvl="0" w:tplc="E47ABAF2">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8B13F87"/>
    <w:multiLevelType w:val="hybridMultilevel"/>
    <w:tmpl w:val="C0DA26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9">
    <w:nsid w:val="3F5F4FFC"/>
    <w:multiLevelType w:val="multilevel"/>
    <w:tmpl w:val="950A1C52"/>
    <w:numStyleLink w:val="AERHeadings"/>
  </w:abstractNum>
  <w:abstractNum w:abstractNumId="30">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41A80E45"/>
    <w:multiLevelType w:val="multilevel"/>
    <w:tmpl w:val="950A1C52"/>
    <w:numStyleLink w:val="AERHeadings"/>
  </w:abstractNum>
  <w:abstractNum w:abstractNumId="3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3">
    <w:nsid w:val="487C7731"/>
    <w:multiLevelType w:val="multilevel"/>
    <w:tmpl w:val="950A1C52"/>
    <w:numStyleLink w:val="AERHeadings"/>
  </w:abstractNum>
  <w:abstractNum w:abstractNumId="3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9B57867"/>
    <w:multiLevelType w:val="hybridMultilevel"/>
    <w:tmpl w:val="9D32FF56"/>
    <w:lvl w:ilvl="0" w:tplc="46F4780C">
      <w:start w:val="1"/>
      <w:numFmt w:val="lowerLetter"/>
      <w:lvlText w:val="(%1)"/>
      <w:lvlJc w:val="left"/>
      <w:pPr>
        <w:ind w:left="-1710" w:hanging="45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360" w:hanging="180"/>
      </w:pPr>
    </w:lvl>
    <w:lvl w:ilvl="3" w:tplc="0C09000F">
      <w:start w:val="1"/>
      <w:numFmt w:val="decimal"/>
      <w:lvlText w:val="%4."/>
      <w:lvlJc w:val="left"/>
      <w:pPr>
        <w:ind w:left="360" w:hanging="360"/>
      </w:pPr>
    </w:lvl>
    <w:lvl w:ilvl="4" w:tplc="0C090019">
      <w:start w:val="1"/>
      <w:numFmt w:val="lowerLetter"/>
      <w:lvlText w:val="%5."/>
      <w:lvlJc w:val="left"/>
      <w:pPr>
        <w:ind w:left="1080" w:hanging="360"/>
      </w:pPr>
    </w:lvl>
    <w:lvl w:ilvl="5" w:tplc="0C09001B">
      <w:start w:val="1"/>
      <w:numFmt w:val="lowerRoman"/>
      <w:lvlText w:val="%6."/>
      <w:lvlJc w:val="right"/>
      <w:pPr>
        <w:ind w:left="1800" w:hanging="180"/>
      </w:pPr>
    </w:lvl>
    <w:lvl w:ilvl="6" w:tplc="0C09000F" w:tentative="1">
      <w:start w:val="1"/>
      <w:numFmt w:val="decimal"/>
      <w:lvlText w:val="%7."/>
      <w:lvlJc w:val="left"/>
      <w:pPr>
        <w:ind w:left="2520" w:hanging="360"/>
      </w:pPr>
    </w:lvl>
    <w:lvl w:ilvl="7" w:tplc="0C090019" w:tentative="1">
      <w:start w:val="1"/>
      <w:numFmt w:val="lowerLetter"/>
      <w:lvlText w:val="%8."/>
      <w:lvlJc w:val="left"/>
      <w:pPr>
        <w:ind w:left="3240" w:hanging="360"/>
      </w:pPr>
    </w:lvl>
    <w:lvl w:ilvl="8" w:tplc="0C09001B" w:tentative="1">
      <w:start w:val="1"/>
      <w:numFmt w:val="lowerRoman"/>
      <w:lvlText w:val="%9."/>
      <w:lvlJc w:val="right"/>
      <w:pPr>
        <w:ind w:left="3960" w:hanging="180"/>
      </w:pPr>
    </w:lvl>
  </w:abstractNum>
  <w:abstractNum w:abstractNumId="3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8">
    <w:nsid w:val="4F5C3668"/>
    <w:multiLevelType w:val="hybridMultilevel"/>
    <w:tmpl w:val="0AE69C4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1">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43">
    <w:nsid w:val="6DE36827"/>
    <w:multiLevelType w:val="multilevel"/>
    <w:tmpl w:val="950A1C52"/>
    <w:numStyleLink w:val="AERHeadings"/>
  </w:abstractNum>
  <w:abstractNum w:abstractNumId="4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57B30E8"/>
    <w:multiLevelType w:val="hybridMultilevel"/>
    <w:tmpl w:val="C3A412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6352856"/>
    <w:multiLevelType w:val="hybridMultilevel"/>
    <w:tmpl w:val="2B26B67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8">
    <w:nsid w:val="7AEF67FF"/>
    <w:multiLevelType w:val="multilevel"/>
    <w:tmpl w:val="AACE20AA"/>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2"/>
  </w:num>
  <w:num w:numId="13">
    <w:abstractNumId w:val="26"/>
  </w:num>
  <w:num w:numId="14">
    <w:abstractNumId w:val="11"/>
  </w:num>
  <w:num w:numId="15">
    <w:abstractNumId w:val="14"/>
  </w:num>
  <w:num w:numId="16">
    <w:abstractNumId w:val="34"/>
  </w:num>
  <w:num w:numId="17">
    <w:abstractNumId w:val="10"/>
  </w:num>
  <w:num w:numId="18">
    <w:abstractNumId w:val="20"/>
  </w:num>
  <w:num w:numId="19">
    <w:abstractNumId w:val="36"/>
  </w:num>
  <w:num w:numId="20">
    <w:abstractNumId w:val="44"/>
  </w:num>
  <w:num w:numId="21">
    <w:abstractNumId w:val="15"/>
  </w:num>
  <w:num w:numId="22">
    <w:abstractNumId w:val="40"/>
  </w:num>
  <w:num w:numId="23">
    <w:abstractNumId w:val="37"/>
  </w:num>
  <w:num w:numId="24">
    <w:abstractNumId w:val="23"/>
  </w:num>
  <w:num w:numId="25">
    <w:abstractNumId w:val="39"/>
  </w:num>
  <w:num w:numId="26">
    <w:abstractNumId w:val="41"/>
  </w:num>
  <w:num w:numId="27">
    <w:abstractNumId w:val="24"/>
  </w:num>
  <w:num w:numId="28">
    <w:abstractNumId w:val="22"/>
  </w:num>
  <w:num w:numId="29">
    <w:abstractNumId w:val="19"/>
  </w:num>
  <w:num w:numId="30">
    <w:abstractNumId w:val="45"/>
  </w:num>
  <w:num w:numId="31">
    <w:abstractNumId w:val="17"/>
  </w:num>
  <w:num w:numId="32">
    <w:abstractNumId w:val="30"/>
  </w:num>
  <w:num w:numId="33">
    <w:abstractNumId w:val="23"/>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3"/>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3"/>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43"/>
  </w:num>
  <w:num w:numId="37">
    <w:abstractNumId w:val="33"/>
  </w:num>
  <w:num w:numId="38">
    <w:abstractNumId w:val="29"/>
  </w:num>
  <w:num w:numId="39">
    <w:abstractNumId w:val="13"/>
  </w:num>
  <w:num w:numId="40">
    <w:abstractNumId w:val="41"/>
  </w:num>
  <w:num w:numId="41">
    <w:abstractNumId w:val="41"/>
  </w:num>
  <w:num w:numId="42">
    <w:abstractNumId w:val="31"/>
  </w:num>
  <w:num w:numId="43">
    <w:abstractNumId w:val="18"/>
  </w:num>
  <w:num w:numId="44">
    <w:abstractNumId w:val="32"/>
  </w:num>
  <w:num w:numId="45">
    <w:abstractNumId w:val="27"/>
  </w:num>
  <w:num w:numId="46">
    <w:abstractNumId w:val="9"/>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21"/>
  </w:num>
  <w:num w:numId="50">
    <w:abstractNumId w:val="35"/>
  </w:num>
  <w:num w:numId="51">
    <w:abstractNumId w:val="8"/>
    <w:lvlOverride w:ilvl="0">
      <w:startOverride w:val="1"/>
    </w:lvlOverride>
  </w:num>
  <w:num w:numId="52">
    <w:abstractNumId w:val="8"/>
    <w:lvlOverride w:ilvl="0">
      <w:startOverride w:val="1"/>
    </w:lvlOverride>
  </w:num>
  <w:num w:numId="53">
    <w:abstractNumId w:val="25"/>
  </w:num>
  <w:num w:numId="54">
    <w:abstractNumId w:val="28"/>
  </w:num>
  <w:num w:numId="55">
    <w:abstractNumId w:val="48"/>
  </w:num>
  <w:num w:numId="56">
    <w:abstractNumId w:val="16"/>
    <w:lvlOverride w:ilvl="0">
      <w:startOverride w:val="1"/>
    </w:lvlOverride>
    <w:lvlOverride w:ilvl="1"/>
    <w:lvlOverride w:ilvl="2"/>
    <w:lvlOverride w:ilvl="3"/>
    <w:lvlOverride w:ilvl="4"/>
    <w:lvlOverride w:ilvl="5"/>
    <w:lvlOverride w:ilvl="6"/>
    <w:lvlOverride w:ilvl="7"/>
    <w:lvlOverride w:ilvl="8"/>
  </w:num>
  <w:num w:numId="57">
    <w:abstractNumId w:val="16"/>
  </w:num>
  <w:num w:numId="58">
    <w:abstractNumId w:val="8"/>
    <w:lvlOverride w:ilvl="0">
      <w:startOverride w:val="1"/>
    </w:lvlOverride>
  </w:num>
  <w:num w:numId="59">
    <w:abstractNumId w:val="47"/>
  </w:num>
  <w:num w:numId="60">
    <w:abstractNumId w:val="8"/>
    <w:lvlOverride w:ilvl="0">
      <w:startOverride w:val="1"/>
    </w:lvlOverride>
  </w:num>
  <w:num w:numId="61">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fefT0bhmYu4NoV4CKHnnkYpBaZBNjqh0w0FdgsYntQI=" w:saltValue="QqZZ8N3JHCePn9EXF1gn9A==" w:algorithmName="SHA-256"/>
  <w:defaultTabStop w:val="340"/>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AMI transition charges applications\14. Publishing - Final decision\AER - Final decision - AMI transition charges applications - December 2016.docx"/>
  </w:docVars>
  <w:rsids>
    <w:rsidRoot w:val="00961A4A"/>
    <w:rsid w:val="00001175"/>
    <w:rsid w:val="000035FC"/>
    <w:rsid w:val="00003B14"/>
    <w:rsid w:val="00005540"/>
    <w:rsid w:val="0000676A"/>
    <w:rsid w:val="00010116"/>
    <w:rsid w:val="00011542"/>
    <w:rsid w:val="00012051"/>
    <w:rsid w:val="0001282E"/>
    <w:rsid w:val="00012DA5"/>
    <w:rsid w:val="00014EA1"/>
    <w:rsid w:val="000151D8"/>
    <w:rsid w:val="00017149"/>
    <w:rsid w:val="00020998"/>
    <w:rsid w:val="00021202"/>
    <w:rsid w:val="00021BD3"/>
    <w:rsid w:val="00021C2B"/>
    <w:rsid w:val="00021C36"/>
    <w:rsid w:val="000221E5"/>
    <w:rsid w:val="0002463B"/>
    <w:rsid w:val="0002517F"/>
    <w:rsid w:val="000254C6"/>
    <w:rsid w:val="00027189"/>
    <w:rsid w:val="00030556"/>
    <w:rsid w:val="00031771"/>
    <w:rsid w:val="00032BAE"/>
    <w:rsid w:val="00032C1D"/>
    <w:rsid w:val="000331AB"/>
    <w:rsid w:val="00033CC4"/>
    <w:rsid w:val="00034744"/>
    <w:rsid w:val="00034B59"/>
    <w:rsid w:val="000351C2"/>
    <w:rsid w:val="0003578C"/>
    <w:rsid w:val="00040612"/>
    <w:rsid w:val="00045699"/>
    <w:rsid w:val="00051190"/>
    <w:rsid w:val="00051F5A"/>
    <w:rsid w:val="000541FA"/>
    <w:rsid w:val="00055F7E"/>
    <w:rsid w:val="000560AB"/>
    <w:rsid w:val="000605E2"/>
    <w:rsid w:val="00061C08"/>
    <w:rsid w:val="00063247"/>
    <w:rsid w:val="00064319"/>
    <w:rsid w:val="00065F2F"/>
    <w:rsid w:val="00070629"/>
    <w:rsid w:val="00070F9F"/>
    <w:rsid w:val="0007137B"/>
    <w:rsid w:val="000744D6"/>
    <w:rsid w:val="00075728"/>
    <w:rsid w:val="00076FC8"/>
    <w:rsid w:val="00077389"/>
    <w:rsid w:val="00077F6D"/>
    <w:rsid w:val="00082863"/>
    <w:rsid w:val="00083184"/>
    <w:rsid w:val="000837DF"/>
    <w:rsid w:val="00083A9A"/>
    <w:rsid w:val="00085663"/>
    <w:rsid w:val="00085EBF"/>
    <w:rsid w:val="0008672B"/>
    <w:rsid w:val="00086871"/>
    <w:rsid w:val="00086B7D"/>
    <w:rsid w:val="0009105B"/>
    <w:rsid w:val="00093A60"/>
    <w:rsid w:val="00093F95"/>
    <w:rsid w:val="00094A40"/>
    <w:rsid w:val="0009572C"/>
    <w:rsid w:val="0009693E"/>
    <w:rsid w:val="000979FC"/>
    <w:rsid w:val="000A00B0"/>
    <w:rsid w:val="000A040C"/>
    <w:rsid w:val="000A0E29"/>
    <w:rsid w:val="000A2A2C"/>
    <w:rsid w:val="000A2E6F"/>
    <w:rsid w:val="000A3020"/>
    <w:rsid w:val="000A333B"/>
    <w:rsid w:val="000A4EC3"/>
    <w:rsid w:val="000A6C7B"/>
    <w:rsid w:val="000A757D"/>
    <w:rsid w:val="000B1748"/>
    <w:rsid w:val="000B1755"/>
    <w:rsid w:val="000B2430"/>
    <w:rsid w:val="000B321F"/>
    <w:rsid w:val="000B387E"/>
    <w:rsid w:val="000B3FBD"/>
    <w:rsid w:val="000B51E3"/>
    <w:rsid w:val="000B6029"/>
    <w:rsid w:val="000B7141"/>
    <w:rsid w:val="000B776C"/>
    <w:rsid w:val="000B7C21"/>
    <w:rsid w:val="000C06DC"/>
    <w:rsid w:val="000C2B40"/>
    <w:rsid w:val="000D122C"/>
    <w:rsid w:val="000D5226"/>
    <w:rsid w:val="000D7AD5"/>
    <w:rsid w:val="000E04A7"/>
    <w:rsid w:val="000E12D2"/>
    <w:rsid w:val="000E1819"/>
    <w:rsid w:val="000E4821"/>
    <w:rsid w:val="000E55FD"/>
    <w:rsid w:val="000E5E16"/>
    <w:rsid w:val="000E6C72"/>
    <w:rsid w:val="000E7D8F"/>
    <w:rsid w:val="000E7EC7"/>
    <w:rsid w:val="000F1DD2"/>
    <w:rsid w:val="000F6881"/>
    <w:rsid w:val="000F6A59"/>
    <w:rsid w:val="000F6F13"/>
    <w:rsid w:val="000F7CB9"/>
    <w:rsid w:val="00103AE2"/>
    <w:rsid w:val="00104772"/>
    <w:rsid w:val="00112031"/>
    <w:rsid w:val="00114942"/>
    <w:rsid w:val="00116666"/>
    <w:rsid w:val="00116EB2"/>
    <w:rsid w:val="001203C4"/>
    <w:rsid w:val="0012448F"/>
    <w:rsid w:val="00124609"/>
    <w:rsid w:val="00126A4C"/>
    <w:rsid w:val="00127B23"/>
    <w:rsid w:val="00131D9C"/>
    <w:rsid w:val="00132AEB"/>
    <w:rsid w:val="00134999"/>
    <w:rsid w:val="0013648F"/>
    <w:rsid w:val="001374BA"/>
    <w:rsid w:val="00137820"/>
    <w:rsid w:val="00140AD5"/>
    <w:rsid w:val="00140B4A"/>
    <w:rsid w:val="00142C18"/>
    <w:rsid w:val="00143BE2"/>
    <w:rsid w:val="001449B0"/>
    <w:rsid w:val="0014573B"/>
    <w:rsid w:val="00145C13"/>
    <w:rsid w:val="001468B9"/>
    <w:rsid w:val="001479E7"/>
    <w:rsid w:val="00154F5D"/>
    <w:rsid w:val="00155BBD"/>
    <w:rsid w:val="001573E4"/>
    <w:rsid w:val="00157A24"/>
    <w:rsid w:val="00160756"/>
    <w:rsid w:val="00162A98"/>
    <w:rsid w:val="00163DFA"/>
    <w:rsid w:val="00164B9D"/>
    <w:rsid w:val="00165C06"/>
    <w:rsid w:val="00166A0F"/>
    <w:rsid w:val="00166AB7"/>
    <w:rsid w:val="00166AC6"/>
    <w:rsid w:val="0017232E"/>
    <w:rsid w:val="001726FA"/>
    <w:rsid w:val="00173D96"/>
    <w:rsid w:val="00173F68"/>
    <w:rsid w:val="00174102"/>
    <w:rsid w:val="001754EE"/>
    <w:rsid w:val="00175A09"/>
    <w:rsid w:val="00177039"/>
    <w:rsid w:val="00177158"/>
    <w:rsid w:val="00180157"/>
    <w:rsid w:val="001806E4"/>
    <w:rsid w:val="00181C1C"/>
    <w:rsid w:val="00182D5E"/>
    <w:rsid w:val="00184A74"/>
    <w:rsid w:val="00185311"/>
    <w:rsid w:val="00185C55"/>
    <w:rsid w:val="00185CB9"/>
    <w:rsid w:val="00186391"/>
    <w:rsid w:val="00186657"/>
    <w:rsid w:val="00186F77"/>
    <w:rsid w:val="001905AA"/>
    <w:rsid w:val="00191B06"/>
    <w:rsid w:val="001921F2"/>
    <w:rsid w:val="001926A4"/>
    <w:rsid w:val="00192798"/>
    <w:rsid w:val="00192AD5"/>
    <w:rsid w:val="0019569B"/>
    <w:rsid w:val="001972B4"/>
    <w:rsid w:val="001A14DB"/>
    <w:rsid w:val="001A5D7B"/>
    <w:rsid w:val="001B0247"/>
    <w:rsid w:val="001B050F"/>
    <w:rsid w:val="001B06BF"/>
    <w:rsid w:val="001B3554"/>
    <w:rsid w:val="001B380B"/>
    <w:rsid w:val="001B45A0"/>
    <w:rsid w:val="001B4874"/>
    <w:rsid w:val="001B5ABA"/>
    <w:rsid w:val="001B64AF"/>
    <w:rsid w:val="001B713B"/>
    <w:rsid w:val="001C1887"/>
    <w:rsid w:val="001C1D9B"/>
    <w:rsid w:val="001C4E70"/>
    <w:rsid w:val="001C508F"/>
    <w:rsid w:val="001D055E"/>
    <w:rsid w:val="001D3154"/>
    <w:rsid w:val="001D42AE"/>
    <w:rsid w:val="001D6BB1"/>
    <w:rsid w:val="001E0640"/>
    <w:rsid w:val="001E1498"/>
    <w:rsid w:val="001E1EA0"/>
    <w:rsid w:val="001E54CE"/>
    <w:rsid w:val="001E6075"/>
    <w:rsid w:val="001E68E0"/>
    <w:rsid w:val="001E6C2D"/>
    <w:rsid w:val="001E6CDB"/>
    <w:rsid w:val="001E6F7B"/>
    <w:rsid w:val="001E78E2"/>
    <w:rsid w:val="001F172D"/>
    <w:rsid w:val="001F1E25"/>
    <w:rsid w:val="001F3750"/>
    <w:rsid w:val="001F492E"/>
    <w:rsid w:val="001F6DA3"/>
    <w:rsid w:val="001F7EFE"/>
    <w:rsid w:val="00200730"/>
    <w:rsid w:val="002010BC"/>
    <w:rsid w:val="002016E7"/>
    <w:rsid w:val="00202366"/>
    <w:rsid w:val="00202E03"/>
    <w:rsid w:val="0020492C"/>
    <w:rsid w:val="00205813"/>
    <w:rsid w:val="002059A7"/>
    <w:rsid w:val="00210B34"/>
    <w:rsid w:val="00211152"/>
    <w:rsid w:val="00212A75"/>
    <w:rsid w:val="002174FB"/>
    <w:rsid w:val="002200BA"/>
    <w:rsid w:val="0022175D"/>
    <w:rsid w:val="002248F7"/>
    <w:rsid w:val="00224D4F"/>
    <w:rsid w:val="00224DB9"/>
    <w:rsid w:val="00227195"/>
    <w:rsid w:val="0023085C"/>
    <w:rsid w:val="00230EBA"/>
    <w:rsid w:val="00233775"/>
    <w:rsid w:val="00233E0F"/>
    <w:rsid w:val="00235314"/>
    <w:rsid w:val="002368F5"/>
    <w:rsid w:val="002415E2"/>
    <w:rsid w:val="00242FC8"/>
    <w:rsid w:val="002447ED"/>
    <w:rsid w:val="00251745"/>
    <w:rsid w:val="00254824"/>
    <w:rsid w:val="00255078"/>
    <w:rsid w:val="00257428"/>
    <w:rsid w:val="00261251"/>
    <w:rsid w:val="0026275C"/>
    <w:rsid w:val="00263AC0"/>
    <w:rsid w:val="00264264"/>
    <w:rsid w:val="0026720F"/>
    <w:rsid w:val="0026772D"/>
    <w:rsid w:val="00270159"/>
    <w:rsid w:val="00272496"/>
    <w:rsid w:val="00273429"/>
    <w:rsid w:val="00275998"/>
    <w:rsid w:val="002776F3"/>
    <w:rsid w:val="00286874"/>
    <w:rsid w:val="0028744B"/>
    <w:rsid w:val="002876B3"/>
    <w:rsid w:val="00287B78"/>
    <w:rsid w:val="00287F1C"/>
    <w:rsid w:val="00290B47"/>
    <w:rsid w:val="00290BE2"/>
    <w:rsid w:val="00290C63"/>
    <w:rsid w:val="00291292"/>
    <w:rsid w:val="0029334A"/>
    <w:rsid w:val="00295C6F"/>
    <w:rsid w:val="00296828"/>
    <w:rsid w:val="00296B65"/>
    <w:rsid w:val="002971DE"/>
    <w:rsid w:val="00297C2E"/>
    <w:rsid w:val="002A0C23"/>
    <w:rsid w:val="002A5FC8"/>
    <w:rsid w:val="002A646E"/>
    <w:rsid w:val="002A6B21"/>
    <w:rsid w:val="002A7DEF"/>
    <w:rsid w:val="002B1A9D"/>
    <w:rsid w:val="002B1C7E"/>
    <w:rsid w:val="002B273F"/>
    <w:rsid w:val="002B36BB"/>
    <w:rsid w:val="002B5454"/>
    <w:rsid w:val="002B5632"/>
    <w:rsid w:val="002B5903"/>
    <w:rsid w:val="002B6D1B"/>
    <w:rsid w:val="002C1722"/>
    <w:rsid w:val="002C233C"/>
    <w:rsid w:val="002C30C6"/>
    <w:rsid w:val="002C52C4"/>
    <w:rsid w:val="002C6EA4"/>
    <w:rsid w:val="002C7C3C"/>
    <w:rsid w:val="002D47D1"/>
    <w:rsid w:val="002D650A"/>
    <w:rsid w:val="002D6AB9"/>
    <w:rsid w:val="002D72E8"/>
    <w:rsid w:val="002E0B69"/>
    <w:rsid w:val="002E0C56"/>
    <w:rsid w:val="002E0D7B"/>
    <w:rsid w:val="002E17F4"/>
    <w:rsid w:val="002E3149"/>
    <w:rsid w:val="002E3F93"/>
    <w:rsid w:val="002E578B"/>
    <w:rsid w:val="002E65F0"/>
    <w:rsid w:val="002E7B22"/>
    <w:rsid w:val="002F0C97"/>
    <w:rsid w:val="002F10E5"/>
    <w:rsid w:val="002F1365"/>
    <w:rsid w:val="002F21FE"/>
    <w:rsid w:val="002F2F12"/>
    <w:rsid w:val="002F5406"/>
    <w:rsid w:val="002F7986"/>
    <w:rsid w:val="0030152D"/>
    <w:rsid w:val="003018E2"/>
    <w:rsid w:val="00301B40"/>
    <w:rsid w:val="0030228C"/>
    <w:rsid w:val="003029EE"/>
    <w:rsid w:val="0030382C"/>
    <w:rsid w:val="00303C05"/>
    <w:rsid w:val="0030583E"/>
    <w:rsid w:val="00305CC8"/>
    <w:rsid w:val="00306B8E"/>
    <w:rsid w:val="00307F6D"/>
    <w:rsid w:val="0031049A"/>
    <w:rsid w:val="00311F74"/>
    <w:rsid w:val="003138E3"/>
    <w:rsid w:val="00314590"/>
    <w:rsid w:val="0031578A"/>
    <w:rsid w:val="0031660B"/>
    <w:rsid w:val="00316C23"/>
    <w:rsid w:val="003177A2"/>
    <w:rsid w:val="00317D44"/>
    <w:rsid w:val="00317E52"/>
    <w:rsid w:val="00320379"/>
    <w:rsid w:val="00321FED"/>
    <w:rsid w:val="0032238B"/>
    <w:rsid w:val="00323A7A"/>
    <w:rsid w:val="00326064"/>
    <w:rsid w:val="003261FE"/>
    <w:rsid w:val="00326F64"/>
    <w:rsid w:val="003271B5"/>
    <w:rsid w:val="003277B6"/>
    <w:rsid w:val="00327A1E"/>
    <w:rsid w:val="00327AA0"/>
    <w:rsid w:val="00327CE5"/>
    <w:rsid w:val="00331264"/>
    <w:rsid w:val="003328EC"/>
    <w:rsid w:val="00332E90"/>
    <w:rsid w:val="00334C8D"/>
    <w:rsid w:val="00335DDB"/>
    <w:rsid w:val="00335E09"/>
    <w:rsid w:val="00336568"/>
    <w:rsid w:val="0033757B"/>
    <w:rsid w:val="00342217"/>
    <w:rsid w:val="00343A18"/>
    <w:rsid w:val="0034546F"/>
    <w:rsid w:val="003457D3"/>
    <w:rsid w:val="00351450"/>
    <w:rsid w:val="003518B3"/>
    <w:rsid w:val="00354E8E"/>
    <w:rsid w:val="00355369"/>
    <w:rsid w:val="00355C44"/>
    <w:rsid w:val="0035637B"/>
    <w:rsid w:val="00357A04"/>
    <w:rsid w:val="00360538"/>
    <w:rsid w:val="00360DA4"/>
    <w:rsid w:val="00361C94"/>
    <w:rsid w:val="00362C05"/>
    <w:rsid w:val="00363F94"/>
    <w:rsid w:val="00364B6A"/>
    <w:rsid w:val="00365502"/>
    <w:rsid w:val="00367CAF"/>
    <w:rsid w:val="00376C08"/>
    <w:rsid w:val="00376ED0"/>
    <w:rsid w:val="00376F80"/>
    <w:rsid w:val="00381B9E"/>
    <w:rsid w:val="00382D66"/>
    <w:rsid w:val="00383E7E"/>
    <w:rsid w:val="003846F1"/>
    <w:rsid w:val="003867B6"/>
    <w:rsid w:val="00386C14"/>
    <w:rsid w:val="003903AD"/>
    <w:rsid w:val="003903F6"/>
    <w:rsid w:val="003915B0"/>
    <w:rsid w:val="00392A61"/>
    <w:rsid w:val="00394BC3"/>
    <w:rsid w:val="00395657"/>
    <w:rsid w:val="003A05F7"/>
    <w:rsid w:val="003A28A6"/>
    <w:rsid w:val="003A43B3"/>
    <w:rsid w:val="003A58F5"/>
    <w:rsid w:val="003A7A8B"/>
    <w:rsid w:val="003B2B38"/>
    <w:rsid w:val="003B3707"/>
    <w:rsid w:val="003B484F"/>
    <w:rsid w:val="003B5A94"/>
    <w:rsid w:val="003B7811"/>
    <w:rsid w:val="003B7A04"/>
    <w:rsid w:val="003B7FBA"/>
    <w:rsid w:val="003C1F1A"/>
    <w:rsid w:val="003C303F"/>
    <w:rsid w:val="003C3A1D"/>
    <w:rsid w:val="003C3A9C"/>
    <w:rsid w:val="003C78E7"/>
    <w:rsid w:val="003D047E"/>
    <w:rsid w:val="003D168F"/>
    <w:rsid w:val="003D1D20"/>
    <w:rsid w:val="003D3DB2"/>
    <w:rsid w:val="003D46E9"/>
    <w:rsid w:val="003D5C26"/>
    <w:rsid w:val="003E250A"/>
    <w:rsid w:val="003E33DE"/>
    <w:rsid w:val="003E5EDA"/>
    <w:rsid w:val="003E62AB"/>
    <w:rsid w:val="003E662C"/>
    <w:rsid w:val="003E76B4"/>
    <w:rsid w:val="003F035B"/>
    <w:rsid w:val="003F174D"/>
    <w:rsid w:val="003F311D"/>
    <w:rsid w:val="003F5467"/>
    <w:rsid w:val="00400514"/>
    <w:rsid w:val="00401DC3"/>
    <w:rsid w:val="00402535"/>
    <w:rsid w:val="00404FE2"/>
    <w:rsid w:val="004055A0"/>
    <w:rsid w:val="004072BE"/>
    <w:rsid w:val="00411506"/>
    <w:rsid w:val="00415F31"/>
    <w:rsid w:val="004161E9"/>
    <w:rsid w:val="004167F2"/>
    <w:rsid w:val="00416D79"/>
    <w:rsid w:val="00417757"/>
    <w:rsid w:val="00417AEF"/>
    <w:rsid w:val="0042171C"/>
    <w:rsid w:val="00422E65"/>
    <w:rsid w:val="004235A1"/>
    <w:rsid w:val="00423A77"/>
    <w:rsid w:val="00424045"/>
    <w:rsid w:val="004243FA"/>
    <w:rsid w:val="00424A8D"/>
    <w:rsid w:val="00424EAD"/>
    <w:rsid w:val="00427552"/>
    <w:rsid w:val="004279A4"/>
    <w:rsid w:val="0043014C"/>
    <w:rsid w:val="00430536"/>
    <w:rsid w:val="00430F69"/>
    <w:rsid w:val="0043269E"/>
    <w:rsid w:val="00434015"/>
    <w:rsid w:val="004357EB"/>
    <w:rsid w:val="00435914"/>
    <w:rsid w:val="004411ED"/>
    <w:rsid w:val="00444D15"/>
    <w:rsid w:val="00455BEC"/>
    <w:rsid w:val="00457020"/>
    <w:rsid w:val="0045777E"/>
    <w:rsid w:val="00457D11"/>
    <w:rsid w:val="00460603"/>
    <w:rsid w:val="004606ED"/>
    <w:rsid w:val="00464264"/>
    <w:rsid w:val="00464EE2"/>
    <w:rsid w:val="00467394"/>
    <w:rsid w:val="0047025E"/>
    <w:rsid w:val="00470413"/>
    <w:rsid w:val="00470A02"/>
    <w:rsid w:val="00470BBB"/>
    <w:rsid w:val="00477965"/>
    <w:rsid w:val="0048002B"/>
    <w:rsid w:val="004800AC"/>
    <w:rsid w:val="00480815"/>
    <w:rsid w:val="00480A96"/>
    <w:rsid w:val="00480B14"/>
    <w:rsid w:val="00480B4B"/>
    <w:rsid w:val="00484431"/>
    <w:rsid w:val="00485DC4"/>
    <w:rsid w:val="00490D95"/>
    <w:rsid w:val="00491349"/>
    <w:rsid w:val="004922F8"/>
    <w:rsid w:val="00492389"/>
    <w:rsid w:val="00494719"/>
    <w:rsid w:val="00495DED"/>
    <w:rsid w:val="00497FC0"/>
    <w:rsid w:val="004A1E67"/>
    <w:rsid w:val="004A3CA1"/>
    <w:rsid w:val="004A43D1"/>
    <w:rsid w:val="004A4BA0"/>
    <w:rsid w:val="004A65EB"/>
    <w:rsid w:val="004B001B"/>
    <w:rsid w:val="004B0C6E"/>
    <w:rsid w:val="004B150D"/>
    <w:rsid w:val="004B18FE"/>
    <w:rsid w:val="004B2781"/>
    <w:rsid w:val="004B32E0"/>
    <w:rsid w:val="004B347E"/>
    <w:rsid w:val="004B3DF9"/>
    <w:rsid w:val="004B4412"/>
    <w:rsid w:val="004B54E4"/>
    <w:rsid w:val="004B5BB5"/>
    <w:rsid w:val="004B7EA3"/>
    <w:rsid w:val="004C0A80"/>
    <w:rsid w:val="004C1478"/>
    <w:rsid w:val="004C18C6"/>
    <w:rsid w:val="004C32B3"/>
    <w:rsid w:val="004C348C"/>
    <w:rsid w:val="004C70AA"/>
    <w:rsid w:val="004C762C"/>
    <w:rsid w:val="004C7B61"/>
    <w:rsid w:val="004D03FA"/>
    <w:rsid w:val="004D141C"/>
    <w:rsid w:val="004D3325"/>
    <w:rsid w:val="004D4888"/>
    <w:rsid w:val="004D4AEB"/>
    <w:rsid w:val="004D55BA"/>
    <w:rsid w:val="004D5609"/>
    <w:rsid w:val="004D7159"/>
    <w:rsid w:val="004D7D8E"/>
    <w:rsid w:val="004E22EC"/>
    <w:rsid w:val="004E7EBB"/>
    <w:rsid w:val="004F21D2"/>
    <w:rsid w:val="004F2F1B"/>
    <w:rsid w:val="004F4462"/>
    <w:rsid w:val="004F6A0E"/>
    <w:rsid w:val="005003EE"/>
    <w:rsid w:val="005029E0"/>
    <w:rsid w:val="00504A5E"/>
    <w:rsid w:val="00504C9E"/>
    <w:rsid w:val="00504DDD"/>
    <w:rsid w:val="00505CFB"/>
    <w:rsid w:val="00510A73"/>
    <w:rsid w:val="00511D62"/>
    <w:rsid w:val="005145D9"/>
    <w:rsid w:val="00514721"/>
    <w:rsid w:val="005147CC"/>
    <w:rsid w:val="00515273"/>
    <w:rsid w:val="00517224"/>
    <w:rsid w:val="005173A4"/>
    <w:rsid w:val="00520CFC"/>
    <w:rsid w:val="0052146F"/>
    <w:rsid w:val="00521C6A"/>
    <w:rsid w:val="00524381"/>
    <w:rsid w:val="00530128"/>
    <w:rsid w:val="005302B0"/>
    <w:rsid w:val="005317EB"/>
    <w:rsid w:val="00532467"/>
    <w:rsid w:val="005328FD"/>
    <w:rsid w:val="0053300B"/>
    <w:rsid w:val="0053345C"/>
    <w:rsid w:val="00534F65"/>
    <w:rsid w:val="00540418"/>
    <w:rsid w:val="00541EE0"/>
    <w:rsid w:val="005424DD"/>
    <w:rsid w:val="00542EA2"/>
    <w:rsid w:val="0054367E"/>
    <w:rsid w:val="00544AC1"/>
    <w:rsid w:val="00544C12"/>
    <w:rsid w:val="005453FF"/>
    <w:rsid w:val="00546A52"/>
    <w:rsid w:val="00546EB3"/>
    <w:rsid w:val="005474A7"/>
    <w:rsid w:val="005504AB"/>
    <w:rsid w:val="00550952"/>
    <w:rsid w:val="00551400"/>
    <w:rsid w:val="005525D7"/>
    <w:rsid w:val="005527B3"/>
    <w:rsid w:val="00553342"/>
    <w:rsid w:val="00554FB0"/>
    <w:rsid w:val="005556D1"/>
    <w:rsid w:val="00557F6E"/>
    <w:rsid w:val="00560413"/>
    <w:rsid w:val="00564430"/>
    <w:rsid w:val="00564792"/>
    <w:rsid w:val="00564A4D"/>
    <w:rsid w:val="00564E56"/>
    <w:rsid w:val="005654C0"/>
    <w:rsid w:val="00565AA7"/>
    <w:rsid w:val="00567BA5"/>
    <w:rsid w:val="00570B48"/>
    <w:rsid w:val="00571B35"/>
    <w:rsid w:val="00571D57"/>
    <w:rsid w:val="00572F98"/>
    <w:rsid w:val="0057307E"/>
    <w:rsid w:val="005751E7"/>
    <w:rsid w:val="00576E4D"/>
    <w:rsid w:val="00577125"/>
    <w:rsid w:val="00577A09"/>
    <w:rsid w:val="00577EB7"/>
    <w:rsid w:val="005812E9"/>
    <w:rsid w:val="005829C2"/>
    <w:rsid w:val="00584D8F"/>
    <w:rsid w:val="00596D1C"/>
    <w:rsid w:val="00596D7A"/>
    <w:rsid w:val="00597CF2"/>
    <w:rsid w:val="005A119A"/>
    <w:rsid w:val="005A24AC"/>
    <w:rsid w:val="005A2EC5"/>
    <w:rsid w:val="005A3920"/>
    <w:rsid w:val="005A404D"/>
    <w:rsid w:val="005A4076"/>
    <w:rsid w:val="005A4FBA"/>
    <w:rsid w:val="005A582D"/>
    <w:rsid w:val="005A6E13"/>
    <w:rsid w:val="005A71A5"/>
    <w:rsid w:val="005B0D30"/>
    <w:rsid w:val="005B1E3C"/>
    <w:rsid w:val="005B3402"/>
    <w:rsid w:val="005B5962"/>
    <w:rsid w:val="005B704A"/>
    <w:rsid w:val="005C184B"/>
    <w:rsid w:val="005C26CC"/>
    <w:rsid w:val="005C628A"/>
    <w:rsid w:val="005C7BEC"/>
    <w:rsid w:val="005D125A"/>
    <w:rsid w:val="005D24A5"/>
    <w:rsid w:val="005D6019"/>
    <w:rsid w:val="005D7366"/>
    <w:rsid w:val="005D7A50"/>
    <w:rsid w:val="005D7BA2"/>
    <w:rsid w:val="005D7DF2"/>
    <w:rsid w:val="005E0E09"/>
    <w:rsid w:val="005E1C36"/>
    <w:rsid w:val="005E221A"/>
    <w:rsid w:val="005E23A0"/>
    <w:rsid w:val="005E36C2"/>
    <w:rsid w:val="005E4011"/>
    <w:rsid w:val="005E4E89"/>
    <w:rsid w:val="005E6767"/>
    <w:rsid w:val="005E694F"/>
    <w:rsid w:val="005F1B85"/>
    <w:rsid w:val="005F254F"/>
    <w:rsid w:val="005F343A"/>
    <w:rsid w:val="005F3CA6"/>
    <w:rsid w:val="005F7410"/>
    <w:rsid w:val="006005B2"/>
    <w:rsid w:val="00603E2D"/>
    <w:rsid w:val="00604118"/>
    <w:rsid w:val="00604765"/>
    <w:rsid w:val="00604B08"/>
    <w:rsid w:val="00606A06"/>
    <w:rsid w:val="00607D9F"/>
    <w:rsid w:val="00607EC6"/>
    <w:rsid w:val="00612F4F"/>
    <w:rsid w:val="0061390B"/>
    <w:rsid w:val="00614942"/>
    <w:rsid w:val="00615541"/>
    <w:rsid w:val="00615C6B"/>
    <w:rsid w:val="00616C7A"/>
    <w:rsid w:val="00617D3F"/>
    <w:rsid w:val="00621DCE"/>
    <w:rsid w:val="00623AB0"/>
    <w:rsid w:val="00624750"/>
    <w:rsid w:val="0062508A"/>
    <w:rsid w:val="006264EF"/>
    <w:rsid w:val="0062661B"/>
    <w:rsid w:val="006268BE"/>
    <w:rsid w:val="0062739D"/>
    <w:rsid w:val="006309C8"/>
    <w:rsid w:val="0063225E"/>
    <w:rsid w:val="00632D6D"/>
    <w:rsid w:val="00633BB6"/>
    <w:rsid w:val="00640101"/>
    <w:rsid w:val="00640593"/>
    <w:rsid w:val="00642C3E"/>
    <w:rsid w:val="00643960"/>
    <w:rsid w:val="0064490B"/>
    <w:rsid w:val="00645C98"/>
    <w:rsid w:val="0064642A"/>
    <w:rsid w:val="00646DC6"/>
    <w:rsid w:val="006537AA"/>
    <w:rsid w:val="006545D4"/>
    <w:rsid w:val="0066104A"/>
    <w:rsid w:val="00663DAD"/>
    <w:rsid w:val="00665486"/>
    <w:rsid w:val="006663C6"/>
    <w:rsid w:val="00666CE6"/>
    <w:rsid w:val="00670C2A"/>
    <w:rsid w:val="00670EC2"/>
    <w:rsid w:val="006711D8"/>
    <w:rsid w:val="006715B3"/>
    <w:rsid w:val="00672B58"/>
    <w:rsid w:val="00674AC4"/>
    <w:rsid w:val="00675285"/>
    <w:rsid w:val="00675E20"/>
    <w:rsid w:val="00676679"/>
    <w:rsid w:val="00680CE7"/>
    <w:rsid w:val="0068244A"/>
    <w:rsid w:val="0068246C"/>
    <w:rsid w:val="00683C89"/>
    <w:rsid w:val="00687028"/>
    <w:rsid w:val="006937FC"/>
    <w:rsid w:val="00693C6A"/>
    <w:rsid w:val="00693E11"/>
    <w:rsid w:val="006943A3"/>
    <w:rsid w:val="00696330"/>
    <w:rsid w:val="00696CDC"/>
    <w:rsid w:val="006A0638"/>
    <w:rsid w:val="006A08A8"/>
    <w:rsid w:val="006A1B81"/>
    <w:rsid w:val="006A3B84"/>
    <w:rsid w:val="006A45EB"/>
    <w:rsid w:val="006B1F17"/>
    <w:rsid w:val="006B2395"/>
    <w:rsid w:val="006B408E"/>
    <w:rsid w:val="006B4CF9"/>
    <w:rsid w:val="006B4D3B"/>
    <w:rsid w:val="006B6E13"/>
    <w:rsid w:val="006B7AC8"/>
    <w:rsid w:val="006C0357"/>
    <w:rsid w:val="006C1347"/>
    <w:rsid w:val="006C14CA"/>
    <w:rsid w:val="006C1736"/>
    <w:rsid w:val="006C322F"/>
    <w:rsid w:val="006C4304"/>
    <w:rsid w:val="006C4CDF"/>
    <w:rsid w:val="006C6794"/>
    <w:rsid w:val="006D1FAC"/>
    <w:rsid w:val="006D2622"/>
    <w:rsid w:val="006D290F"/>
    <w:rsid w:val="006D3CCA"/>
    <w:rsid w:val="006D47AE"/>
    <w:rsid w:val="006D4FD9"/>
    <w:rsid w:val="006D5008"/>
    <w:rsid w:val="006D550F"/>
    <w:rsid w:val="006D5520"/>
    <w:rsid w:val="006D63F1"/>
    <w:rsid w:val="006D7D74"/>
    <w:rsid w:val="006E0DEA"/>
    <w:rsid w:val="006E1488"/>
    <w:rsid w:val="006E6672"/>
    <w:rsid w:val="006E687B"/>
    <w:rsid w:val="006E7CC3"/>
    <w:rsid w:val="006F174F"/>
    <w:rsid w:val="006F52C5"/>
    <w:rsid w:val="00700299"/>
    <w:rsid w:val="00701CAB"/>
    <w:rsid w:val="007025E7"/>
    <w:rsid w:val="0070265D"/>
    <w:rsid w:val="00703550"/>
    <w:rsid w:val="00704A9F"/>
    <w:rsid w:val="007056BF"/>
    <w:rsid w:val="00706165"/>
    <w:rsid w:val="00706790"/>
    <w:rsid w:val="00706868"/>
    <w:rsid w:val="00707563"/>
    <w:rsid w:val="00710BB8"/>
    <w:rsid w:val="0071219B"/>
    <w:rsid w:val="00712539"/>
    <w:rsid w:val="00713956"/>
    <w:rsid w:val="00716403"/>
    <w:rsid w:val="007217BE"/>
    <w:rsid w:val="00721E8A"/>
    <w:rsid w:val="007221BC"/>
    <w:rsid w:val="00722669"/>
    <w:rsid w:val="0072348C"/>
    <w:rsid w:val="007238C4"/>
    <w:rsid w:val="007249C2"/>
    <w:rsid w:val="00724A37"/>
    <w:rsid w:val="007273B0"/>
    <w:rsid w:val="007303C3"/>
    <w:rsid w:val="00731756"/>
    <w:rsid w:val="0073255F"/>
    <w:rsid w:val="00732808"/>
    <w:rsid w:val="00732D7C"/>
    <w:rsid w:val="00734BDE"/>
    <w:rsid w:val="00734C47"/>
    <w:rsid w:val="007362E1"/>
    <w:rsid w:val="00741D7D"/>
    <w:rsid w:val="007429BE"/>
    <w:rsid w:val="00743223"/>
    <w:rsid w:val="00744CA7"/>
    <w:rsid w:val="00746513"/>
    <w:rsid w:val="00746E01"/>
    <w:rsid w:val="00747E18"/>
    <w:rsid w:val="00750EC0"/>
    <w:rsid w:val="00754AE3"/>
    <w:rsid w:val="00755C4C"/>
    <w:rsid w:val="007571B3"/>
    <w:rsid w:val="00757337"/>
    <w:rsid w:val="00757364"/>
    <w:rsid w:val="007578BB"/>
    <w:rsid w:val="00757BDF"/>
    <w:rsid w:val="007607CB"/>
    <w:rsid w:val="007609D0"/>
    <w:rsid w:val="00763E5D"/>
    <w:rsid w:val="007651BD"/>
    <w:rsid w:val="007660FC"/>
    <w:rsid w:val="00767740"/>
    <w:rsid w:val="00770877"/>
    <w:rsid w:val="007727DB"/>
    <w:rsid w:val="007760BB"/>
    <w:rsid w:val="0077654A"/>
    <w:rsid w:val="00777EE6"/>
    <w:rsid w:val="00781451"/>
    <w:rsid w:val="00782CA6"/>
    <w:rsid w:val="00782EEA"/>
    <w:rsid w:val="0078465B"/>
    <w:rsid w:val="00784F7B"/>
    <w:rsid w:val="007864C7"/>
    <w:rsid w:val="00787F3F"/>
    <w:rsid w:val="00790593"/>
    <w:rsid w:val="00790B96"/>
    <w:rsid w:val="00790D17"/>
    <w:rsid w:val="00790FCE"/>
    <w:rsid w:val="00796270"/>
    <w:rsid w:val="00796C05"/>
    <w:rsid w:val="00797BB8"/>
    <w:rsid w:val="007A20BF"/>
    <w:rsid w:val="007A57E0"/>
    <w:rsid w:val="007B1733"/>
    <w:rsid w:val="007B186E"/>
    <w:rsid w:val="007B2A98"/>
    <w:rsid w:val="007B2C72"/>
    <w:rsid w:val="007B522A"/>
    <w:rsid w:val="007B63E9"/>
    <w:rsid w:val="007C1C53"/>
    <w:rsid w:val="007C1D24"/>
    <w:rsid w:val="007C3744"/>
    <w:rsid w:val="007C550E"/>
    <w:rsid w:val="007C74BB"/>
    <w:rsid w:val="007C7ED9"/>
    <w:rsid w:val="007D0A72"/>
    <w:rsid w:val="007D0C90"/>
    <w:rsid w:val="007D1DA5"/>
    <w:rsid w:val="007D260B"/>
    <w:rsid w:val="007D43BE"/>
    <w:rsid w:val="007D456E"/>
    <w:rsid w:val="007D4722"/>
    <w:rsid w:val="007D576B"/>
    <w:rsid w:val="007E0434"/>
    <w:rsid w:val="007E0807"/>
    <w:rsid w:val="007E0AB9"/>
    <w:rsid w:val="007E1D64"/>
    <w:rsid w:val="007E3DAB"/>
    <w:rsid w:val="007E418B"/>
    <w:rsid w:val="007E4904"/>
    <w:rsid w:val="007E4CB5"/>
    <w:rsid w:val="007E77BF"/>
    <w:rsid w:val="007E7D8D"/>
    <w:rsid w:val="007F01B3"/>
    <w:rsid w:val="007F066B"/>
    <w:rsid w:val="007F23C8"/>
    <w:rsid w:val="007F24BB"/>
    <w:rsid w:val="007F2E65"/>
    <w:rsid w:val="007F3506"/>
    <w:rsid w:val="007F4526"/>
    <w:rsid w:val="00800A30"/>
    <w:rsid w:val="008012EE"/>
    <w:rsid w:val="00802B1A"/>
    <w:rsid w:val="008033C4"/>
    <w:rsid w:val="00803C8A"/>
    <w:rsid w:val="008040B9"/>
    <w:rsid w:val="0080534C"/>
    <w:rsid w:val="00806C88"/>
    <w:rsid w:val="0081034E"/>
    <w:rsid w:val="00811CE7"/>
    <w:rsid w:val="008126F3"/>
    <w:rsid w:val="00812E32"/>
    <w:rsid w:val="00813522"/>
    <w:rsid w:val="008140CE"/>
    <w:rsid w:val="00814C3A"/>
    <w:rsid w:val="008205E7"/>
    <w:rsid w:val="008216DC"/>
    <w:rsid w:val="00830E97"/>
    <w:rsid w:val="00833188"/>
    <w:rsid w:val="0083329D"/>
    <w:rsid w:val="00833EBC"/>
    <w:rsid w:val="008344F6"/>
    <w:rsid w:val="0083510F"/>
    <w:rsid w:val="008352D6"/>
    <w:rsid w:val="00835E19"/>
    <w:rsid w:val="00836CA6"/>
    <w:rsid w:val="00837BC2"/>
    <w:rsid w:val="00840472"/>
    <w:rsid w:val="0084259C"/>
    <w:rsid w:val="00842AFA"/>
    <w:rsid w:val="008433B5"/>
    <w:rsid w:val="00844028"/>
    <w:rsid w:val="008510D4"/>
    <w:rsid w:val="00851209"/>
    <w:rsid w:val="00851E62"/>
    <w:rsid w:val="0085241D"/>
    <w:rsid w:val="00852B11"/>
    <w:rsid w:val="008546A6"/>
    <w:rsid w:val="008550B3"/>
    <w:rsid w:val="00855B97"/>
    <w:rsid w:val="00857CD3"/>
    <w:rsid w:val="008612C7"/>
    <w:rsid w:val="008613E1"/>
    <w:rsid w:val="00861577"/>
    <w:rsid w:val="00875797"/>
    <w:rsid w:val="00875F34"/>
    <w:rsid w:val="0088115C"/>
    <w:rsid w:val="00881ACE"/>
    <w:rsid w:val="008826FA"/>
    <w:rsid w:val="008837AC"/>
    <w:rsid w:val="0089160A"/>
    <w:rsid w:val="00893DAD"/>
    <w:rsid w:val="008952FB"/>
    <w:rsid w:val="008A0F00"/>
    <w:rsid w:val="008A12D1"/>
    <w:rsid w:val="008A587D"/>
    <w:rsid w:val="008A6032"/>
    <w:rsid w:val="008B35CD"/>
    <w:rsid w:val="008B3CE5"/>
    <w:rsid w:val="008B4F94"/>
    <w:rsid w:val="008B5091"/>
    <w:rsid w:val="008B52AF"/>
    <w:rsid w:val="008B5C08"/>
    <w:rsid w:val="008B5FCC"/>
    <w:rsid w:val="008C04D0"/>
    <w:rsid w:val="008C2C47"/>
    <w:rsid w:val="008C2E42"/>
    <w:rsid w:val="008C5486"/>
    <w:rsid w:val="008C6971"/>
    <w:rsid w:val="008C6ACB"/>
    <w:rsid w:val="008C731F"/>
    <w:rsid w:val="008D0E3B"/>
    <w:rsid w:val="008D1661"/>
    <w:rsid w:val="008D551D"/>
    <w:rsid w:val="008D6883"/>
    <w:rsid w:val="008E1252"/>
    <w:rsid w:val="008E3907"/>
    <w:rsid w:val="008E3B21"/>
    <w:rsid w:val="008E6001"/>
    <w:rsid w:val="008E6215"/>
    <w:rsid w:val="008E674B"/>
    <w:rsid w:val="008E7031"/>
    <w:rsid w:val="008E77DE"/>
    <w:rsid w:val="008E7D3D"/>
    <w:rsid w:val="008F07A3"/>
    <w:rsid w:val="008F0AAC"/>
    <w:rsid w:val="008F2429"/>
    <w:rsid w:val="008F441F"/>
    <w:rsid w:val="008F46B5"/>
    <w:rsid w:val="008F4B8A"/>
    <w:rsid w:val="008F6177"/>
    <w:rsid w:val="008F660D"/>
    <w:rsid w:val="009001B6"/>
    <w:rsid w:val="00900E1B"/>
    <w:rsid w:val="009026D8"/>
    <w:rsid w:val="00902EB5"/>
    <w:rsid w:val="00904256"/>
    <w:rsid w:val="0090431C"/>
    <w:rsid w:val="00904B51"/>
    <w:rsid w:val="00907616"/>
    <w:rsid w:val="009106BD"/>
    <w:rsid w:val="0091195E"/>
    <w:rsid w:val="00913B9C"/>
    <w:rsid w:val="009159BF"/>
    <w:rsid w:val="0091650C"/>
    <w:rsid w:val="00917593"/>
    <w:rsid w:val="00921F86"/>
    <w:rsid w:val="0092309E"/>
    <w:rsid w:val="009233EE"/>
    <w:rsid w:val="0092383A"/>
    <w:rsid w:val="00923960"/>
    <w:rsid w:val="00923B39"/>
    <w:rsid w:val="00930A84"/>
    <w:rsid w:val="00931263"/>
    <w:rsid w:val="00932206"/>
    <w:rsid w:val="0093285E"/>
    <w:rsid w:val="00935A0F"/>
    <w:rsid w:val="0093628B"/>
    <w:rsid w:val="00940434"/>
    <w:rsid w:val="009420AF"/>
    <w:rsid w:val="009423BB"/>
    <w:rsid w:val="009423D8"/>
    <w:rsid w:val="009460AA"/>
    <w:rsid w:val="00951484"/>
    <w:rsid w:val="00951978"/>
    <w:rsid w:val="00953BF3"/>
    <w:rsid w:val="00960201"/>
    <w:rsid w:val="00961A4A"/>
    <w:rsid w:val="00961F1D"/>
    <w:rsid w:val="00962D26"/>
    <w:rsid w:val="009661DE"/>
    <w:rsid w:val="00966C3C"/>
    <w:rsid w:val="00972325"/>
    <w:rsid w:val="00972B83"/>
    <w:rsid w:val="009732D7"/>
    <w:rsid w:val="00974016"/>
    <w:rsid w:val="0097486E"/>
    <w:rsid w:val="00975000"/>
    <w:rsid w:val="009762F6"/>
    <w:rsid w:val="00976EDD"/>
    <w:rsid w:val="00977FE0"/>
    <w:rsid w:val="009801E5"/>
    <w:rsid w:val="00983C25"/>
    <w:rsid w:val="00984E7F"/>
    <w:rsid w:val="009855C6"/>
    <w:rsid w:val="009856B7"/>
    <w:rsid w:val="00985C86"/>
    <w:rsid w:val="00991849"/>
    <w:rsid w:val="0099359F"/>
    <w:rsid w:val="00995705"/>
    <w:rsid w:val="00996349"/>
    <w:rsid w:val="00996A8E"/>
    <w:rsid w:val="00997651"/>
    <w:rsid w:val="009A23F2"/>
    <w:rsid w:val="009A3147"/>
    <w:rsid w:val="009A436D"/>
    <w:rsid w:val="009A4F2E"/>
    <w:rsid w:val="009A5FC3"/>
    <w:rsid w:val="009A65B7"/>
    <w:rsid w:val="009A66BF"/>
    <w:rsid w:val="009A7D9D"/>
    <w:rsid w:val="009B090B"/>
    <w:rsid w:val="009B3EEB"/>
    <w:rsid w:val="009B6D5E"/>
    <w:rsid w:val="009B6E48"/>
    <w:rsid w:val="009B74B0"/>
    <w:rsid w:val="009C0D47"/>
    <w:rsid w:val="009C1048"/>
    <w:rsid w:val="009C42CD"/>
    <w:rsid w:val="009C6288"/>
    <w:rsid w:val="009C680D"/>
    <w:rsid w:val="009C6907"/>
    <w:rsid w:val="009C69D2"/>
    <w:rsid w:val="009C7F51"/>
    <w:rsid w:val="009D182F"/>
    <w:rsid w:val="009D3750"/>
    <w:rsid w:val="009D3906"/>
    <w:rsid w:val="009D4991"/>
    <w:rsid w:val="009D5E60"/>
    <w:rsid w:val="009D6B46"/>
    <w:rsid w:val="009D7954"/>
    <w:rsid w:val="009D7F04"/>
    <w:rsid w:val="009E0BDB"/>
    <w:rsid w:val="009E17F4"/>
    <w:rsid w:val="009E379E"/>
    <w:rsid w:val="009E6B96"/>
    <w:rsid w:val="009F0388"/>
    <w:rsid w:val="009F2323"/>
    <w:rsid w:val="009F4940"/>
    <w:rsid w:val="009F4965"/>
    <w:rsid w:val="009F52B1"/>
    <w:rsid w:val="009F5BA1"/>
    <w:rsid w:val="00A02A88"/>
    <w:rsid w:val="00A047D7"/>
    <w:rsid w:val="00A0562E"/>
    <w:rsid w:val="00A0726D"/>
    <w:rsid w:val="00A11C3D"/>
    <w:rsid w:val="00A149EE"/>
    <w:rsid w:val="00A1711C"/>
    <w:rsid w:val="00A204D6"/>
    <w:rsid w:val="00A23452"/>
    <w:rsid w:val="00A23AC8"/>
    <w:rsid w:val="00A2473F"/>
    <w:rsid w:val="00A24ED5"/>
    <w:rsid w:val="00A25FB4"/>
    <w:rsid w:val="00A2652A"/>
    <w:rsid w:val="00A27F5C"/>
    <w:rsid w:val="00A310E2"/>
    <w:rsid w:val="00A31883"/>
    <w:rsid w:val="00A31C54"/>
    <w:rsid w:val="00A32FBB"/>
    <w:rsid w:val="00A342F5"/>
    <w:rsid w:val="00A344D3"/>
    <w:rsid w:val="00A345B5"/>
    <w:rsid w:val="00A3528C"/>
    <w:rsid w:val="00A366AF"/>
    <w:rsid w:val="00A423DA"/>
    <w:rsid w:val="00A4246D"/>
    <w:rsid w:val="00A4278C"/>
    <w:rsid w:val="00A428EE"/>
    <w:rsid w:val="00A42941"/>
    <w:rsid w:val="00A43720"/>
    <w:rsid w:val="00A43F48"/>
    <w:rsid w:val="00A44773"/>
    <w:rsid w:val="00A4478A"/>
    <w:rsid w:val="00A44852"/>
    <w:rsid w:val="00A4640E"/>
    <w:rsid w:val="00A46612"/>
    <w:rsid w:val="00A50C0E"/>
    <w:rsid w:val="00A51DC2"/>
    <w:rsid w:val="00A546D6"/>
    <w:rsid w:val="00A55B0C"/>
    <w:rsid w:val="00A56B47"/>
    <w:rsid w:val="00A57790"/>
    <w:rsid w:val="00A57D04"/>
    <w:rsid w:val="00A607EF"/>
    <w:rsid w:val="00A60A26"/>
    <w:rsid w:val="00A61598"/>
    <w:rsid w:val="00A639F0"/>
    <w:rsid w:val="00A63EDD"/>
    <w:rsid w:val="00A64C27"/>
    <w:rsid w:val="00A663E4"/>
    <w:rsid w:val="00A704B2"/>
    <w:rsid w:val="00A71B2E"/>
    <w:rsid w:val="00A71E73"/>
    <w:rsid w:val="00A7378E"/>
    <w:rsid w:val="00A73EF9"/>
    <w:rsid w:val="00A74BF8"/>
    <w:rsid w:val="00A7732C"/>
    <w:rsid w:val="00A77BCF"/>
    <w:rsid w:val="00A801F7"/>
    <w:rsid w:val="00A8059B"/>
    <w:rsid w:val="00A80848"/>
    <w:rsid w:val="00A80D2A"/>
    <w:rsid w:val="00A816CB"/>
    <w:rsid w:val="00A81A76"/>
    <w:rsid w:val="00A8231E"/>
    <w:rsid w:val="00A83852"/>
    <w:rsid w:val="00A84A99"/>
    <w:rsid w:val="00A84F46"/>
    <w:rsid w:val="00A871F4"/>
    <w:rsid w:val="00A878D6"/>
    <w:rsid w:val="00A87952"/>
    <w:rsid w:val="00A9352E"/>
    <w:rsid w:val="00A95428"/>
    <w:rsid w:val="00A9579E"/>
    <w:rsid w:val="00A95A55"/>
    <w:rsid w:val="00A96815"/>
    <w:rsid w:val="00AA098F"/>
    <w:rsid w:val="00AA1F4B"/>
    <w:rsid w:val="00AA3090"/>
    <w:rsid w:val="00AA3B8E"/>
    <w:rsid w:val="00AA55D1"/>
    <w:rsid w:val="00AB1576"/>
    <w:rsid w:val="00AB209D"/>
    <w:rsid w:val="00AB477A"/>
    <w:rsid w:val="00AB4A81"/>
    <w:rsid w:val="00AB4D90"/>
    <w:rsid w:val="00AB69B9"/>
    <w:rsid w:val="00AB6A14"/>
    <w:rsid w:val="00AC02B7"/>
    <w:rsid w:val="00AC0C43"/>
    <w:rsid w:val="00AC0C71"/>
    <w:rsid w:val="00AC1B2C"/>
    <w:rsid w:val="00AC3264"/>
    <w:rsid w:val="00AC38ED"/>
    <w:rsid w:val="00AC39E2"/>
    <w:rsid w:val="00AC4546"/>
    <w:rsid w:val="00AC57A6"/>
    <w:rsid w:val="00AC5812"/>
    <w:rsid w:val="00AC6B75"/>
    <w:rsid w:val="00AD272E"/>
    <w:rsid w:val="00AD339F"/>
    <w:rsid w:val="00AD5D8C"/>
    <w:rsid w:val="00AD72C6"/>
    <w:rsid w:val="00AE1BF1"/>
    <w:rsid w:val="00AE20E9"/>
    <w:rsid w:val="00AE418D"/>
    <w:rsid w:val="00AF0DD2"/>
    <w:rsid w:val="00AF19A7"/>
    <w:rsid w:val="00AF3DA7"/>
    <w:rsid w:val="00AF3DDA"/>
    <w:rsid w:val="00AF54D2"/>
    <w:rsid w:val="00AF6B52"/>
    <w:rsid w:val="00AF7B94"/>
    <w:rsid w:val="00B0061D"/>
    <w:rsid w:val="00B00AF9"/>
    <w:rsid w:val="00B020FC"/>
    <w:rsid w:val="00B03E41"/>
    <w:rsid w:val="00B04D9F"/>
    <w:rsid w:val="00B059D2"/>
    <w:rsid w:val="00B06C2F"/>
    <w:rsid w:val="00B11739"/>
    <w:rsid w:val="00B13048"/>
    <w:rsid w:val="00B13436"/>
    <w:rsid w:val="00B14B56"/>
    <w:rsid w:val="00B160AE"/>
    <w:rsid w:val="00B1716D"/>
    <w:rsid w:val="00B17A1D"/>
    <w:rsid w:val="00B207A0"/>
    <w:rsid w:val="00B217BD"/>
    <w:rsid w:val="00B21D21"/>
    <w:rsid w:val="00B22906"/>
    <w:rsid w:val="00B2303F"/>
    <w:rsid w:val="00B25127"/>
    <w:rsid w:val="00B27D1F"/>
    <w:rsid w:val="00B33620"/>
    <w:rsid w:val="00B3619F"/>
    <w:rsid w:val="00B4172F"/>
    <w:rsid w:val="00B45961"/>
    <w:rsid w:val="00B45F79"/>
    <w:rsid w:val="00B50EF2"/>
    <w:rsid w:val="00B514DD"/>
    <w:rsid w:val="00B5197D"/>
    <w:rsid w:val="00B5203A"/>
    <w:rsid w:val="00B527FE"/>
    <w:rsid w:val="00B52AF0"/>
    <w:rsid w:val="00B55165"/>
    <w:rsid w:val="00B561BD"/>
    <w:rsid w:val="00B56E03"/>
    <w:rsid w:val="00B608D7"/>
    <w:rsid w:val="00B634AD"/>
    <w:rsid w:val="00B7101E"/>
    <w:rsid w:val="00B71499"/>
    <w:rsid w:val="00B72798"/>
    <w:rsid w:val="00B77F49"/>
    <w:rsid w:val="00B8080B"/>
    <w:rsid w:val="00B82223"/>
    <w:rsid w:val="00B86E93"/>
    <w:rsid w:val="00B87BA5"/>
    <w:rsid w:val="00B87C39"/>
    <w:rsid w:val="00B92CAD"/>
    <w:rsid w:val="00B92D4C"/>
    <w:rsid w:val="00B94A5B"/>
    <w:rsid w:val="00B9562D"/>
    <w:rsid w:val="00B9733D"/>
    <w:rsid w:val="00BA047C"/>
    <w:rsid w:val="00BA41FD"/>
    <w:rsid w:val="00BA4665"/>
    <w:rsid w:val="00BA6E3C"/>
    <w:rsid w:val="00BB08A0"/>
    <w:rsid w:val="00BB21B4"/>
    <w:rsid w:val="00BB2FB2"/>
    <w:rsid w:val="00BB302B"/>
    <w:rsid w:val="00BB3304"/>
    <w:rsid w:val="00BB380D"/>
    <w:rsid w:val="00BB4C65"/>
    <w:rsid w:val="00BB62F1"/>
    <w:rsid w:val="00BC060F"/>
    <w:rsid w:val="00BC11F9"/>
    <w:rsid w:val="00BC25B2"/>
    <w:rsid w:val="00BC3EEE"/>
    <w:rsid w:val="00BC63F3"/>
    <w:rsid w:val="00BC7C2B"/>
    <w:rsid w:val="00BD11EC"/>
    <w:rsid w:val="00BD1ABB"/>
    <w:rsid w:val="00BD3446"/>
    <w:rsid w:val="00BD3893"/>
    <w:rsid w:val="00BD397E"/>
    <w:rsid w:val="00BD3D49"/>
    <w:rsid w:val="00BD4644"/>
    <w:rsid w:val="00BD4FB1"/>
    <w:rsid w:val="00BD5D87"/>
    <w:rsid w:val="00BD5E21"/>
    <w:rsid w:val="00BE09D3"/>
    <w:rsid w:val="00BE1F1B"/>
    <w:rsid w:val="00BE3C76"/>
    <w:rsid w:val="00BE3FA5"/>
    <w:rsid w:val="00BE47B5"/>
    <w:rsid w:val="00BE6EB2"/>
    <w:rsid w:val="00BF1525"/>
    <w:rsid w:val="00BF318F"/>
    <w:rsid w:val="00BF3718"/>
    <w:rsid w:val="00BF64E5"/>
    <w:rsid w:val="00BF6685"/>
    <w:rsid w:val="00BF6DE5"/>
    <w:rsid w:val="00BF7E8F"/>
    <w:rsid w:val="00C00297"/>
    <w:rsid w:val="00C039F6"/>
    <w:rsid w:val="00C05EDC"/>
    <w:rsid w:val="00C06B74"/>
    <w:rsid w:val="00C06D3D"/>
    <w:rsid w:val="00C10341"/>
    <w:rsid w:val="00C11B13"/>
    <w:rsid w:val="00C13B9C"/>
    <w:rsid w:val="00C14B21"/>
    <w:rsid w:val="00C157AA"/>
    <w:rsid w:val="00C217F6"/>
    <w:rsid w:val="00C25FA6"/>
    <w:rsid w:val="00C26737"/>
    <w:rsid w:val="00C3016D"/>
    <w:rsid w:val="00C32379"/>
    <w:rsid w:val="00C419AE"/>
    <w:rsid w:val="00C41C80"/>
    <w:rsid w:val="00C420BC"/>
    <w:rsid w:val="00C42815"/>
    <w:rsid w:val="00C464A6"/>
    <w:rsid w:val="00C46637"/>
    <w:rsid w:val="00C46A68"/>
    <w:rsid w:val="00C50F3B"/>
    <w:rsid w:val="00C52B87"/>
    <w:rsid w:val="00C538A9"/>
    <w:rsid w:val="00C53B5A"/>
    <w:rsid w:val="00C5458E"/>
    <w:rsid w:val="00C546F4"/>
    <w:rsid w:val="00C54F5A"/>
    <w:rsid w:val="00C569B4"/>
    <w:rsid w:val="00C609A5"/>
    <w:rsid w:val="00C60DEA"/>
    <w:rsid w:val="00C64976"/>
    <w:rsid w:val="00C65068"/>
    <w:rsid w:val="00C66275"/>
    <w:rsid w:val="00C663A7"/>
    <w:rsid w:val="00C67A92"/>
    <w:rsid w:val="00C73C7A"/>
    <w:rsid w:val="00C73ED1"/>
    <w:rsid w:val="00C752D5"/>
    <w:rsid w:val="00C75B8C"/>
    <w:rsid w:val="00C7703E"/>
    <w:rsid w:val="00C81758"/>
    <w:rsid w:val="00C81C8A"/>
    <w:rsid w:val="00C830D8"/>
    <w:rsid w:val="00C84560"/>
    <w:rsid w:val="00C85C49"/>
    <w:rsid w:val="00C86679"/>
    <w:rsid w:val="00C8739E"/>
    <w:rsid w:val="00C87608"/>
    <w:rsid w:val="00C90A9E"/>
    <w:rsid w:val="00C91311"/>
    <w:rsid w:val="00C91575"/>
    <w:rsid w:val="00C91649"/>
    <w:rsid w:val="00C91FEB"/>
    <w:rsid w:val="00C95CD9"/>
    <w:rsid w:val="00C969A6"/>
    <w:rsid w:val="00C96B25"/>
    <w:rsid w:val="00C97DEA"/>
    <w:rsid w:val="00CA489E"/>
    <w:rsid w:val="00CA67ED"/>
    <w:rsid w:val="00CA69E8"/>
    <w:rsid w:val="00CA776C"/>
    <w:rsid w:val="00CB0279"/>
    <w:rsid w:val="00CB12C2"/>
    <w:rsid w:val="00CB2720"/>
    <w:rsid w:val="00CB2C6A"/>
    <w:rsid w:val="00CB5763"/>
    <w:rsid w:val="00CB666B"/>
    <w:rsid w:val="00CB6950"/>
    <w:rsid w:val="00CB69A4"/>
    <w:rsid w:val="00CB6D98"/>
    <w:rsid w:val="00CC0A50"/>
    <w:rsid w:val="00CC28B4"/>
    <w:rsid w:val="00CC2F81"/>
    <w:rsid w:val="00CC4137"/>
    <w:rsid w:val="00CC7303"/>
    <w:rsid w:val="00CC7F1D"/>
    <w:rsid w:val="00CD19A9"/>
    <w:rsid w:val="00CD23E8"/>
    <w:rsid w:val="00CD23FE"/>
    <w:rsid w:val="00CD6571"/>
    <w:rsid w:val="00CE00EF"/>
    <w:rsid w:val="00CE0686"/>
    <w:rsid w:val="00CE3997"/>
    <w:rsid w:val="00CE484B"/>
    <w:rsid w:val="00CE5C26"/>
    <w:rsid w:val="00CE6129"/>
    <w:rsid w:val="00CE6C3B"/>
    <w:rsid w:val="00CF00AE"/>
    <w:rsid w:val="00CF0CCD"/>
    <w:rsid w:val="00CF2AE9"/>
    <w:rsid w:val="00CF4AC1"/>
    <w:rsid w:val="00CF54E5"/>
    <w:rsid w:val="00CF6177"/>
    <w:rsid w:val="00CF6EE5"/>
    <w:rsid w:val="00D004FB"/>
    <w:rsid w:val="00D006AE"/>
    <w:rsid w:val="00D00B5A"/>
    <w:rsid w:val="00D01CF0"/>
    <w:rsid w:val="00D0274B"/>
    <w:rsid w:val="00D0442A"/>
    <w:rsid w:val="00D12001"/>
    <w:rsid w:val="00D1327D"/>
    <w:rsid w:val="00D1563D"/>
    <w:rsid w:val="00D164B1"/>
    <w:rsid w:val="00D17061"/>
    <w:rsid w:val="00D2146A"/>
    <w:rsid w:val="00D22DFC"/>
    <w:rsid w:val="00D24E4C"/>
    <w:rsid w:val="00D25591"/>
    <w:rsid w:val="00D25638"/>
    <w:rsid w:val="00D26930"/>
    <w:rsid w:val="00D27530"/>
    <w:rsid w:val="00D27704"/>
    <w:rsid w:val="00D27927"/>
    <w:rsid w:val="00D30D91"/>
    <w:rsid w:val="00D30E13"/>
    <w:rsid w:val="00D30EB3"/>
    <w:rsid w:val="00D325B8"/>
    <w:rsid w:val="00D33B63"/>
    <w:rsid w:val="00D41B2A"/>
    <w:rsid w:val="00D423A1"/>
    <w:rsid w:val="00D4283A"/>
    <w:rsid w:val="00D42D38"/>
    <w:rsid w:val="00D438DC"/>
    <w:rsid w:val="00D453B9"/>
    <w:rsid w:val="00D4777B"/>
    <w:rsid w:val="00D47EC2"/>
    <w:rsid w:val="00D50AFD"/>
    <w:rsid w:val="00D51702"/>
    <w:rsid w:val="00D54DF9"/>
    <w:rsid w:val="00D61291"/>
    <w:rsid w:val="00D612A3"/>
    <w:rsid w:val="00D61388"/>
    <w:rsid w:val="00D61A54"/>
    <w:rsid w:val="00D61FA5"/>
    <w:rsid w:val="00D620BD"/>
    <w:rsid w:val="00D64DEA"/>
    <w:rsid w:val="00D7168E"/>
    <w:rsid w:val="00D71E57"/>
    <w:rsid w:val="00D73953"/>
    <w:rsid w:val="00D739AF"/>
    <w:rsid w:val="00D760A8"/>
    <w:rsid w:val="00D804A6"/>
    <w:rsid w:val="00D80893"/>
    <w:rsid w:val="00D80AF3"/>
    <w:rsid w:val="00D836BB"/>
    <w:rsid w:val="00D836DD"/>
    <w:rsid w:val="00D84006"/>
    <w:rsid w:val="00D84854"/>
    <w:rsid w:val="00D85496"/>
    <w:rsid w:val="00D860A1"/>
    <w:rsid w:val="00D86A98"/>
    <w:rsid w:val="00D86B27"/>
    <w:rsid w:val="00D86DC5"/>
    <w:rsid w:val="00D87322"/>
    <w:rsid w:val="00D9027C"/>
    <w:rsid w:val="00D903DC"/>
    <w:rsid w:val="00D9283D"/>
    <w:rsid w:val="00D92CF1"/>
    <w:rsid w:val="00D92D38"/>
    <w:rsid w:val="00D950F5"/>
    <w:rsid w:val="00DA23A4"/>
    <w:rsid w:val="00DA4752"/>
    <w:rsid w:val="00DA479A"/>
    <w:rsid w:val="00DA5E8D"/>
    <w:rsid w:val="00DA61F3"/>
    <w:rsid w:val="00DA6A65"/>
    <w:rsid w:val="00DB0F93"/>
    <w:rsid w:val="00DB1051"/>
    <w:rsid w:val="00DB1A67"/>
    <w:rsid w:val="00DB1DDE"/>
    <w:rsid w:val="00DB2001"/>
    <w:rsid w:val="00DB48C6"/>
    <w:rsid w:val="00DB4DFD"/>
    <w:rsid w:val="00DB5074"/>
    <w:rsid w:val="00DC036D"/>
    <w:rsid w:val="00DC0527"/>
    <w:rsid w:val="00DC142D"/>
    <w:rsid w:val="00DC269A"/>
    <w:rsid w:val="00DC5D3C"/>
    <w:rsid w:val="00DC6B85"/>
    <w:rsid w:val="00DC7981"/>
    <w:rsid w:val="00DD0AE6"/>
    <w:rsid w:val="00DD1734"/>
    <w:rsid w:val="00DD1773"/>
    <w:rsid w:val="00DD1C4E"/>
    <w:rsid w:val="00DE1093"/>
    <w:rsid w:val="00DE11F1"/>
    <w:rsid w:val="00DE3695"/>
    <w:rsid w:val="00DE44E6"/>
    <w:rsid w:val="00DE4EFA"/>
    <w:rsid w:val="00DE5520"/>
    <w:rsid w:val="00DE5544"/>
    <w:rsid w:val="00DE563D"/>
    <w:rsid w:val="00DE68A9"/>
    <w:rsid w:val="00DF0917"/>
    <w:rsid w:val="00DF116C"/>
    <w:rsid w:val="00DF53BA"/>
    <w:rsid w:val="00DF70F3"/>
    <w:rsid w:val="00DF77D0"/>
    <w:rsid w:val="00DF7F9C"/>
    <w:rsid w:val="00E0035F"/>
    <w:rsid w:val="00E020AB"/>
    <w:rsid w:val="00E03478"/>
    <w:rsid w:val="00E04818"/>
    <w:rsid w:val="00E04AEC"/>
    <w:rsid w:val="00E06442"/>
    <w:rsid w:val="00E07BED"/>
    <w:rsid w:val="00E11544"/>
    <w:rsid w:val="00E11B64"/>
    <w:rsid w:val="00E128BE"/>
    <w:rsid w:val="00E13CF0"/>
    <w:rsid w:val="00E14BFD"/>
    <w:rsid w:val="00E156E7"/>
    <w:rsid w:val="00E15BFA"/>
    <w:rsid w:val="00E16A7E"/>
    <w:rsid w:val="00E204B7"/>
    <w:rsid w:val="00E21CDF"/>
    <w:rsid w:val="00E2213E"/>
    <w:rsid w:val="00E226D9"/>
    <w:rsid w:val="00E23993"/>
    <w:rsid w:val="00E244C6"/>
    <w:rsid w:val="00E2508C"/>
    <w:rsid w:val="00E259CE"/>
    <w:rsid w:val="00E25B8C"/>
    <w:rsid w:val="00E26C04"/>
    <w:rsid w:val="00E26FAC"/>
    <w:rsid w:val="00E30B8D"/>
    <w:rsid w:val="00E31642"/>
    <w:rsid w:val="00E317AC"/>
    <w:rsid w:val="00E33255"/>
    <w:rsid w:val="00E34613"/>
    <w:rsid w:val="00E35929"/>
    <w:rsid w:val="00E36534"/>
    <w:rsid w:val="00E37EFF"/>
    <w:rsid w:val="00E40CE6"/>
    <w:rsid w:val="00E42A7D"/>
    <w:rsid w:val="00E43C30"/>
    <w:rsid w:val="00E44B9F"/>
    <w:rsid w:val="00E53055"/>
    <w:rsid w:val="00E542E4"/>
    <w:rsid w:val="00E6060C"/>
    <w:rsid w:val="00E61324"/>
    <w:rsid w:val="00E62B02"/>
    <w:rsid w:val="00E64E12"/>
    <w:rsid w:val="00E65C85"/>
    <w:rsid w:val="00E66199"/>
    <w:rsid w:val="00E6619B"/>
    <w:rsid w:val="00E7048A"/>
    <w:rsid w:val="00E73088"/>
    <w:rsid w:val="00E755EC"/>
    <w:rsid w:val="00E7624D"/>
    <w:rsid w:val="00E76DC2"/>
    <w:rsid w:val="00E76E42"/>
    <w:rsid w:val="00E77AFF"/>
    <w:rsid w:val="00E81022"/>
    <w:rsid w:val="00E85005"/>
    <w:rsid w:val="00E875FB"/>
    <w:rsid w:val="00E90637"/>
    <w:rsid w:val="00E90EC7"/>
    <w:rsid w:val="00E914E8"/>
    <w:rsid w:val="00E9170C"/>
    <w:rsid w:val="00E92408"/>
    <w:rsid w:val="00E928D3"/>
    <w:rsid w:val="00E93709"/>
    <w:rsid w:val="00E93D93"/>
    <w:rsid w:val="00E9461D"/>
    <w:rsid w:val="00E95059"/>
    <w:rsid w:val="00E95A93"/>
    <w:rsid w:val="00E95C86"/>
    <w:rsid w:val="00E95FAA"/>
    <w:rsid w:val="00E96DFA"/>
    <w:rsid w:val="00E9700A"/>
    <w:rsid w:val="00E97452"/>
    <w:rsid w:val="00EA2713"/>
    <w:rsid w:val="00EA3D42"/>
    <w:rsid w:val="00EA403A"/>
    <w:rsid w:val="00EA46DC"/>
    <w:rsid w:val="00EA5426"/>
    <w:rsid w:val="00EA5626"/>
    <w:rsid w:val="00EA5D5D"/>
    <w:rsid w:val="00EA5FB4"/>
    <w:rsid w:val="00EA6B1B"/>
    <w:rsid w:val="00EB0E89"/>
    <w:rsid w:val="00EB25C0"/>
    <w:rsid w:val="00EB3036"/>
    <w:rsid w:val="00EB49AA"/>
    <w:rsid w:val="00EB6502"/>
    <w:rsid w:val="00EB7BCF"/>
    <w:rsid w:val="00EC04F1"/>
    <w:rsid w:val="00EC1076"/>
    <w:rsid w:val="00EC163D"/>
    <w:rsid w:val="00EC2F97"/>
    <w:rsid w:val="00EC3564"/>
    <w:rsid w:val="00EC3E7E"/>
    <w:rsid w:val="00ED10D1"/>
    <w:rsid w:val="00ED1772"/>
    <w:rsid w:val="00ED2A57"/>
    <w:rsid w:val="00ED2FE4"/>
    <w:rsid w:val="00ED53DA"/>
    <w:rsid w:val="00ED5982"/>
    <w:rsid w:val="00ED5F00"/>
    <w:rsid w:val="00ED614F"/>
    <w:rsid w:val="00ED6277"/>
    <w:rsid w:val="00ED7323"/>
    <w:rsid w:val="00EE149B"/>
    <w:rsid w:val="00EE1A76"/>
    <w:rsid w:val="00EE28F3"/>
    <w:rsid w:val="00EE28F4"/>
    <w:rsid w:val="00EE2D75"/>
    <w:rsid w:val="00EE3B8C"/>
    <w:rsid w:val="00EE50D1"/>
    <w:rsid w:val="00EE5948"/>
    <w:rsid w:val="00EE7FD2"/>
    <w:rsid w:val="00EF022B"/>
    <w:rsid w:val="00EF43F4"/>
    <w:rsid w:val="00EF50FE"/>
    <w:rsid w:val="00EF5110"/>
    <w:rsid w:val="00EF5877"/>
    <w:rsid w:val="00EF6D51"/>
    <w:rsid w:val="00EF7146"/>
    <w:rsid w:val="00F016D2"/>
    <w:rsid w:val="00F03818"/>
    <w:rsid w:val="00F0443F"/>
    <w:rsid w:val="00F04596"/>
    <w:rsid w:val="00F0689C"/>
    <w:rsid w:val="00F06B6E"/>
    <w:rsid w:val="00F102B6"/>
    <w:rsid w:val="00F10411"/>
    <w:rsid w:val="00F11613"/>
    <w:rsid w:val="00F11CCE"/>
    <w:rsid w:val="00F12969"/>
    <w:rsid w:val="00F142B6"/>
    <w:rsid w:val="00F15882"/>
    <w:rsid w:val="00F171E0"/>
    <w:rsid w:val="00F20BD3"/>
    <w:rsid w:val="00F20D1E"/>
    <w:rsid w:val="00F24E2C"/>
    <w:rsid w:val="00F26753"/>
    <w:rsid w:val="00F306C2"/>
    <w:rsid w:val="00F30747"/>
    <w:rsid w:val="00F30D29"/>
    <w:rsid w:val="00F33D1C"/>
    <w:rsid w:val="00F35322"/>
    <w:rsid w:val="00F373A5"/>
    <w:rsid w:val="00F402FA"/>
    <w:rsid w:val="00F40EF6"/>
    <w:rsid w:val="00F41D77"/>
    <w:rsid w:val="00F421DD"/>
    <w:rsid w:val="00F42928"/>
    <w:rsid w:val="00F45DE6"/>
    <w:rsid w:val="00F47223"/>
    <w:rsid w:val="00F47559"/>
    <w:rsid w:val="00F50626"/>
    <w:rsid w:val="00F51D66"/>
    <w:rsid w:val="00F53824"/>
    <w:rsid w:val="00F5445F"/>
    <w:rsid w:val="00F544F0"/>
    <w:rsid w:val="00F56A0C"/>
    <w:rsid w:val="00F57046"/>
    <w:rsid w:val="00F6084E"/>
    <w:rsid w:val="00F6185A"/>
    <w:rsid w:val="00F64806"/>
    <w:rsid w:val="00F64C7B"/>
    <w:rsid w:val="00F651E1"/>
    <w:rsid w:val="00F66A3D"/>
    <w:rsid w:val="00F676DD"/>
    <w:rsid w:val="00F70D8D"/>
    <w:rsid w:val="00F7268A"/>
    <w:rsid w:val="00F73143"/>
    <w:rsid w:val="00F73261"/>
    <w:rsid w:val="00F75A26"/>
    <w:rsid w:val="00F76706"/>
    <w:rsid w:val="00F8285B"/>
    <w:rsid w:val="00F83EB1"/>
    <w:rsid w:val="00F83FAD"/>
    <w:rsid w:val="00F861DF"/>
    <w:rsid w:val="00F87208"/>
    <w:rsid w:val="00F9135C"/>
    <w:rsid w:val="00F93404"/>
    <w:rsid w:val="00F952A0"/>
    <w:rsid w:val="00F95795"/>
    <w:rsid w:val="00F97143"/>
    <w:rsid w:val="00F97CBA"/>
    <w:rsid w:val="00FA14FA"/>
    <w:rsid w:val="00FA2AAF"/>
    <w:rsid w:val="00FA378F"/>
    <w:rsid w:val="00FA3C7F"/>
    <w:rsid w:val="00FA427E"/>
    <w:rsid w:val="00FA4835"/>
    <w:rsid w:val="00FA4C2F"/>
    <w:rsid w:val="00FA5F12"/>
    <w:rsid w:val="00FB18E0"/>
    <w:rsid w:val="00FB2382"/>
    <w:rsid w:val="00FB3ED2"/>
    <w:rsid w:val="00FB4397"/>
    <w:rsid w:val="00FB60FE"/>
    <w:rsid w:val="00FB73AA"/>
    <w:rsid w:val="00FB74E2"/>
    <w:rsid w:val="00FB76CD"/>
    <w:rsid w:val="00FB7EB8"/>
    <w:rsid w:val="00FC0A97"/>
    <w:rsid w:val="00FC2DD9"/>
    <w:rsid w:val="00FC3940"/>
    <w:rsid w:val="00FC4EF7"/>
    <w:rsid w:val="00FC76D5"/>
    <w:rsid w:val="00FD00F6"/>
    <w:rsid w:val="00FD054C"/>
    <w:rsid w:val="00FD0FB6"/>
    <w:rsid w:val="00FD272C"/>
    <w:rsid w:val="00FD3501"/>
    <w:rsid w:val="00FD441B"/>
    <w:rsid w:val="00FD45C7"/>
    <w:rsid w:val="00FD4F09"/>
    <w:rsid w:val="00FD5614"/>
    <w:rsid w:val="00FD5B6F"/>
    <w:rsid w:val="00FD5E78"/>
    <w:rsid w:val="00FD68E7"/>
    <w:rsid w:val="00FE0BE1"/>
    <w:rsid w:val="00FE1DE9"/>
    <w:rsid w:val="00FE36AF"/>
    <w:rsid w:val="00FE39C2"/>
    <w:rsid w:val="00FE3C32"/>
    <w:rsid w:val="00FE5473"/>
    <w:rsid w:val="00FE55BF"/>
    <w:rsid w:val="00FE64AE"/>
    <w:rsid w:val="00FE6534"/>
    <w:rsid w:val="00FF0656"/>
    <w:rsid w:val="00FF5122"/>
    <w:rsid w:val="00FF606C"/>
    <w:rsid w:val="00FF67CF"/>
    <w:rsid w:val="00FF6801"/>
    <w:rsid w:val="00FF78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6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annotation reference" w:uiPriority="0"/>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754AE3"/>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unhideWhenUsed/>
    <w:rsid w:val="00E92408"/>
    <w:pPr>
      <w:spacing w:before="0" w:after="150" w:line="240" w:lineRule="auto"/>
    </w:pPr>
    <w:rPr>
      <w:rFonts w:ascii="Times New Roman" w:eastAsia="Times New Roman" w:hAnsi="Times New Roman" w:cs="Times New Roman"/>
      <w:sz w:val="24"/>
      <w:szCs w:val="24"/>
      <w:lang w:val="en-US"/>
    </w:rPr>
  </w:style>
  <w:style w:type="paragraph" w:styleId="MessageHeader">
    <w:name w:val="Message Header"/>
    <w:basedOn w:val="Normal"/>
    <w:link w:val="MessageHeaderChar"/>
    <w:uiPriority w:val="99"/>
    <w:unhideWhenUsed/>
    <w:rsid w:val="00AE418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E418D"/>
    <w:rPr>
      <w:rFonts w:asciiTheme="majorHAnsi" w:eastAsiaTheme="majorEastAsia" w:hAnsiTheme="majorHAnsi" w:cstheme="majorBidi"/>
      <w:sz w:val="24"/>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annotation reference" w:uiPriority="0"/>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754AE3"/>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unhideWhenUsed/>
    <w:rsid w:val="00E92408"/>
    <w:pPr>
      <w:spacing w:before="0" w:after="150" w:line="240" w:lineRule="auto"/>
    </w:pPr>
    <w:rPr>
      <w:rFonts w:ascii="Times New Roman" w:eastAsia="Times New Roman" w:hAnsi="Times New Roman" w:cs="Times New Roman"/>
      <w:sz w:val="24"/>
      <w:szCs w:val="24"/>
      <w:lang w:val="en-US"/>
    </w:rPr>
  </w:style>
  <w:style w:type="paragraph" w:styleId="MessageHeader">
    <w:name w:val="Message Header"/>
    <w:basedOn w:val="Normal"/>
    <w:link w:val="MessageHeaderChar"/>
    <w:uiPriority w:val="99"/>
    <w:unhideWhenUsed/>
    <w:rsid w:val="00AE418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E418D"/>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055">
      <w:bodyDiv w:val="1"/>
      <w:marLeft w:val="0"/>
      <w:marRight w:val="0"/>
      <w:marTop w:val="0"/>
      <w:marBottom w:val="0"/>
      <w:divBdr>
        <w:top w:val="none" w:sz="0" w:space="0" w:color="auto"/>
        <w:left w:val="none" w:sz="0" w:space="0" w:color="auto"/>
        <w:bottom w:val="none" w:sz="0" w:space="0" w:color="auto"/>
        <w:right w:val="none" w:sz="0" w:space="0" w:color="auto"/>
      </w:divBdr>
    </w:div>
    <w:div w:id="107480534">
      <w:bodyDiv w:val="1"/>
      <w:marLeft w:val="0"/>
      <w:marRight w:val="0"/>
      <w:marTop w:val="0"/>
      <w:marBottom w:val="0"/>
      <w:divBdr>
        <w:top w:val="none" w:sz="0" w:space="0" w:color="auto"/>
        <w:left w:val="none" w:sz="0" w:space="0" w:color="auto"/>
        <w:bottom w:val="none" w:sz="0" w:space="0" w:color="auto"/>
        <w:right w:val="none" w:sz="0" w:space="0" w:color="auto"/>
      </w:divBdr>
    </w:div>
    <w:div w:id="185683200">
      <w:bodyDiv w:val="1"/>
      <w:marLeft w:val="0"/>
      <w:marRight w:val="0"/>
      <w:marTop w:val="0"/>
      <w:marBottom w:val="0"/>
      <w:divBdr>
        <w:top w:val="none" w:sz="0" w:space="0" w:color="auto"/>
        <w:left w:val="none" w:sz="0" w:space="0" w:color="auto"/>
        <w:bottom w:val="none" w:sz="0" w:space="0" w:color="auto"/>
        <w:right w:val="none" w:sz="0" w:space="0" w:color="auto"/>
      </w:divBdr>
    </w:div>
    <w:div w:id="309941688">
      <w:bodyDiv w:val="1"/>
      <w:marLeft w:val="0"/>
      <w:marRight w:val="0"/>
      <w:marTop w:val="0"/>
      <w:marBottom w:val="0"/>
      <w:divBdr>
        <w:top w:val="none" w:sz="0" w:space="0" w:color="auto"/>
        <w:left w:val="none" w:sz="0" w:space="0" w:color="auto"/>
        <w:bottom w:val="none" w:sz="0" w:space="0" w:color="auto"/>
        <w:right w:val="none" w:sz="0" w:space="0" w:color="auto"/>
      </w:divBdr>
    </w:div>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95409573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18051480">
      <w:bodyDiv w:val="1"/>
      <w:marLeft w:val="0"/>
      <w:marRight w:val="0"/>
      <w:marTop w:val="0"/>
      <w:marBottom w:val="0"/>
      <w:divBdr>
        <w:top w:val="none" w:sz="0" w:space="0" w:color="auto"/>
        <w:left w:val="none" w:sz="0" w:space="0" w:color="auto"/>
        <w:bottom w:val="none" w:sz="0" w:space="0" w:color="auto"/>
        <w:right w:val="none" w:sz="0" w:space="0" w:color="auto"/>
      </w:divBdr>
    </w:div>
    <w:div w:id="211570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chart" Target="charts/chart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etworks-pipelines/determinations-access-arrangements/pricing-proposals-tariffs?f%5b0%5d=type%3Aaccc_aer_ami_charg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chnas-evs01\BusData\AER\AMI%20transition%20charges%20applications\9.%20Board%20paper%20on%20final\Benchmarking\Board%20paper%20-%20Benchmarking%20of%20Vic%20IT%20meter%20cost%20-%20November%202016.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196850393700793E-2"/>
          <c:y val="5.6030183727034118E-2"/>
          <c:w val="0.8911032370953631"/>
          <c:h val="0.73648403324584422"/>
        </c:manualLayout>
      </c:layout>
      <c:lineChart>
        <c:grouping val="standard"/>
        <c:varyColors val="0"/>
        <c:ser>
          <c:idx val="0"/>
          <c:order val="0"/>
          <c:tx>
            <c:strRef>
              <c:f>Sheet1!$B$20</c:f>
              <c:strCache>
                <c:ptCount val="1"/>
                <c:pt idx="0">
                  <c:v>AusNet Services</c:v>
                </c:pt>
              </c:strCache>
            </c:strRef>
          </c:tx>
          <c:marker>
            <c:symbol val="none"/>
          </c:marker>
          <c:cat>
            <c:numRef>
              <c:f>Sheet1!$C$18:$N$18</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Sheet1!$C$20:$N$20</c:f>
              <c:numCache>
                <c:formatCode>0.0</c:formatCode>
                <c:ptCount val="12"/>
                <c:pt idx="0">
                  <c:v>31.88829773398226</c:v>
                </c:pt>
                <c:pt idx="1">
                  <c:v>46.215895774845457</c:v>
                </c:pt>
                <c:pt idx="2">
                  <c:v>26.902955835678412</c:v>
                </c:pt>
                <c:pt idx="3">
                  <c:v>27.566000802853125</c:v>
                </c:pt>
                <c:pt idx="4">
                  <c:v>9.9099000829307737</c:v>
                </c:pt>
                <c:pt idx="5">
                  <c:v>9.6184540598075312</c:v>
                </c:pt>
                <c:pt idx="6">
                  <c:v>23.645509443787958</c:v>
                </c:pt>
                <c:pt idx="7">
                  <c:v>0</c:v>
                </c:pt>
                <c:pt idx="8">
                  <c:v>0</c:v>
                </c:pt>
                <c:pt idx="9">
                  <c:v>0.31477363313633616</c:v>
                </c:pt>
                <c:pt idx="10">
                  <c:v>0.31477363313633616</c:v>
                </c:pt>
                <c:pt idx="11">
                  <c:v>0.31477363313633616</c:v>
                </c:pt>
              </c:numCache>
            </c:numRef>
          </c:val>
          <c:smooth val="0"/>
        </c:ser>
        <c:ser>
          <c:idx val="1"/>
          <c:order val="1"/>
          <c:tx>
            <c:strRef>
              <c:f>Sheet1!$B$21</c:f>
              <c:strCache>
                <c:ptCount val="1"/>
                <c:pt idx="0">
                  <c:v>CitiPower</c:v>
                </c:pt>
              </c:strCache>
            </c:strRef>
          </c:tx>
          <c:marker>
            <c:symbol val="none"/>
          </c:marker>
          <c:cat>
            <c:numRef>
              <c:f>Sheet1!$C$18:$N$18</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Sheet1!$C$21:$N$21</c:f>
              <c:numCache>
                <c:formatCode>0.0</c:formatCode>
                <c:ptCount val="12"/>
                <c:pt idx="0">
                  <c:v>15.681342333241236</c:v>
                </c:pt>
                <c:pt idx="1">
                  <c:v>14.150956296677188</c:v>
                </c:pt>
                <c:pt idx="2">
                  <c:v>7.1737682520039066</c:v>
                </c:pt>
                <c:pt idx="3">
                  <c:v>7.0384718054024074</c:v>
                </c:pt>
                <c:pt idx="4">
                  <c:v>5.3578707215011168</c:v>
                </c:pt>
                <c:pt idx="5">
                  <c:v>3.0834788008982743</c:v>
                </c:pt>
                <c:pt idx="6">
                  <c:v>2.5484004193443033</c:v>
                </c:pt>
                <c:pt idx="7">
                  <c:v>0.40942200875704038</c:v>
                </c:pt>
                <c:pt idx="8">
                  <c:v>0.57994983043512771</c:v>
                </c:pt>
                <c:pt idx="9">
                  <c:v>0.24770008462393156</c:v>
                </c:pt>
                <c:pt idx="10">
                  <c:v>0.15029101334751901</c:v>
                </c:pt>
                <c:pt idx="11">
                  <c:v>0.9686285247542058</c:v>
                </c:pt>
              </c:numCache>
            </c:numRef>
          </c:val>
          <c:smooth val="0"/>
        </c:ser>
        <c:ser>
          <c:idx val="2"/>
          <c:order val="2"/>
          <c:tx>
            <c:strRef>
              <c:f>Sheet1!$B$22</c:f>
              <c:strCache>
                <c:ptCount val="1"/>
                <c:pt idx="0">
                  <c:v>Jemena</c:v>
                </c:pt>
              </c:strCache>
            </c:strRef>
          </c:tx>
          <c:marker>
            <c:symbol val="none"/>
          </c:marker>
          <c:cat>
            <c:numRef>
              <c:f>Sheet1!$C$18:$N$18</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Sheet1!$C$22:$N$22</c:f>
              <c:numCache>
                <c:formatCode>0.0</c:formatCode>
                <c:ptCount val="12"/>
                <c:pt idx="0">
                  <c:v>32.497990484277786</c:v>
                </c:pt>
                <c:pt idx="1">
                  <c:v>6.4325068558785503</c:v>
                </c:pt>
                <c:pt idx="2">
                  <c:v>0.3617819533857311</c:v>
                </c:pt>
                <c:pt idx="3">
                  <c:v>0.63149630406694479</c:v>
                </c:pt>
                <c:pt idx="4">
                  <c:v>1.048048800321995</c:v>
                </c:pt>
                <c:pt idx="5">
                  <c:v>5.2067264996616913</c:v>
                </c:pt>
                <c:pt idx="6">
                  <c:v>4.7352464702859427</c:v>
                </c:pt>
                <c:pt idx="7">
                  <c:v>0</c:v>
                </c:pt>
                <c:pt idx="8">
                  <c:v>0</c:v>
                </c:pt>
                <c:pt idx="9">
                  <c:v>0</c:v>
                </c:pt>
                <c:pt idx="10">
                  <c:v>0</c:v>
                </c:pt>
                <c:pt idx="11">
                  <c:v>3.3122181827463861</c:v>
                </c:pt>
              </c:numCache>
            </c:numRef>
          </c:val>
          <c:smooth val="0"/>
        </c:ser>
        <c:ser>
          <c:idx val="3"/>
          <c:order val="3"/>
          <c:tx>
            <c:strRef>
              <c:f>Sheet1!$B$23</c:f>
              <c:strCache>
                <c:ptCount val="1"/>
                <c:pt idx="0">
                  <c:v>Powercor</c:v>
                </c:pt>
              </c:strCache>
            </c:strRef>
          </c:tx>
          <c:marker>
            <c:symbol val="none"/>
          </c:marker>
          <c:cat>
            <c:numRef>
              <c:f>Sheet1!$C$18:$N$18</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Sheet1!$C$23:$N$23</c:f>
              <c:numCache>
                <c:formatCode>0.0</c:formatCode>
                <c:ptCount val="12"/>
                <c:pt idx="0">
                  <c:v>28.98459081662384</c:v>
                </c:pt>
                <c:pt idx="1">
                  <c:v>25.13661735970064</c:v>
                </c:pt>
                <c:pt idx="2">
                  <c:v>13.124199327429041</c:v>
                </c:pt>
                <c:pt idx="3">
                  <c:v>10.355864143317634</c:v>
                </c:pt>
                <c:pt idx="4">
                  <c:v>7.0048510502382166</c:v>
                </c:pt>
                <c:pt idx="5">
                  <c:v>5.347787375962227</c:v>
                </c:pt>
                <c:pt idx="6">
                  <c:v>4.7995627724938448</c:v>
                </c:pt>
                <c:pt idx="7">
                  <c:v>0.70070386720369304</c:v>
                </c:pt>
                <c:pt idx="8">
                  <c:v>0.736213698155744</c:v>
                </c:pt>
                <c:pt idx="9">
                  <c:v>0.59837504852459167</c:v>
                </c:pt>
                <c:pt idx="10">
                  <c:v>0.35052671657940826</c:v>
                </c:pt>
                <c:pt idx="11">
                  <c:v>1.8957967874191741</c:v>
                </c:pt>
              </c:numCache>
            </c:numRef>
          </c:val>
          <c:smooth val="0"/>
        </c:ser>
        <c:ser>
          <c:idx val="4"/>
          <c:order val="4"/>
          <c:tx>
            <c:strRef>
              <c:f>Sheet1!$B$24</c:f>
              <c:strCache>
                <c:ptCount val="1"/>
                <c:pt idx="0">
                  <c:v>United Energy</c:v>
                </c:pt>
              </c:strCache>
            </c:strRef>
          </c:tx>
          <c:marker>
            <c:symbol val="none"/>
          </c:marker>
          <c:cat>
            <c:numRef>
              <c:f>Sheet1!$C$18:$N$18</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Sheet1!$C$24:$N$24</c:f>
              <c:numCache>
                <c:formatCode>0.0</c:formatCode>
                <c:ptCount val="12"/>
                <c:pt idx="0">
                  <c:v>76.220836323228156</c:v>
                </c:pt>
                <c:pt idx="1">
                  <c:v>40.973670213235451</c:v>
                </c:pt>
                <c:pt idx="2">
                  <c:v>9.7064754832296174</c:v>
                </c:pt>
                <c:pt idx="3">
                  <c:v>8.9200747149611779</c:v>
                </c:pt>
                <c:pt idx="4">
                  <c:v>1.9175834835261405</c:v>
                </c:pt>
                <c:pt idx="5">
                  <c:v>4.3388302998000263</c:v>
                </c:pt>
                <c:pt idx="6">
                  <c:v>6.383627033237806</c:v>
                </c:pt>
                <c:pt idx="7">
                  <c:v>1.5668731960564288</c:v>
                </c:pt>
                <c:pt idx="8">
                  <c:v>1.5668731960564288</c:v>
                </c:pt>
                <c:pt idx="9">
                  <c:v>1.5668731960564288</c:v>
                </c:pt>
                <c:pt idx="10">
                  <c:v>1.5668731960564288</c:v>
                </c:pt>
                <c:pt idx="11">
                  <c:v>1.5668731960564288</c:v>
                </c:pt>
              </c:numCache>
            </c:numRef>
          </c:val>
          <c:smooth val="0"/>
        </c:ser>
        <c:dLbls>
          <c:showLegendKey val="0"/>
          <c:showVal val="0"/>
          <c:showCatName val="0"/>
          <c:showSerName val="0"/>
          <c:showPercent val="0"/>
          <c:showBubbleSize val="0"/>
        </c:dLbls>
        <c:marker val="1"/>
        <c:smooth val="0"/>
        <c:axId val="203103232"/>
        <c:axId val="210641664"/>
      </c:lineChart>
      <c:catAx>
        <c:axId val="203103232"/>
        <c:scaling>
          <c:orientation val="minMax"/>
        </c:scaling>
        <c:delete val="0"/>
        <c:axPos val="b"/>
        <c:numFmt formatCode="General" sourceLinked="1"/>
        <c:majorTickMark val="out"/>
        <c:minorTickMark val="none"/>
        <c:tickLblPos val="nextTo"/>
        <c:crossAx val="210641664"/>
        <c:crosses val="autoZero"/>
        <c:auto val="1"/>
        <c:lblAlgn val="ctr"/>
        <c:lblOffset val="100"/>
        <c:noMultiLvlLbl val="0"/>
      </c:catAx>
      <c:valAx>
        <c:axId val="210641664"/>
        <c:scaling>
          <c:orientation val="minMax"/>
        </c:scaling>
        <c:delete val="0"/>
        <c:axPos val="l"/>
        <c:majorGridlines/>
        <c:numFmt formatCode="0.0" sourceLinked="1"/>
        <c:majorTickMark val="out"/>
        <c:minorTickMark val="none"/>
        <c:tickLblPos val="nextTo"/>
        <c:crossAx val="203103232"/>
        <c:crosses val="autoZero"/>
        <c:crossBetween val="between"/>
      </c:valAx>
    </c:plotArea>
    <c:legend>
      <c:legendPos val="r"/>
      <c:layout>
        <c:manualLayout>
          <c:xMode val="edge"/>
          <c:yMode val="edge"/>
          <c:x val="0"/>
          <c:y val="0.90181794983960339"/>
          <c:w val="1"/>
          <c:h val="9.4511883931175253E-2"/>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7169072615923"/>
          <c:y val="5.1400554097404502E-2"/>
          <c:w val="0.86592825896762904"/>
          <c:h val="0.70761956838728501"/>
        </c:manualLayout>
      </c:layout>
      <c:barChart>
        <c:barDir val="col"/>
        <c:grouping val="clustered"/>
        <c:varyColors val="0"/>
        <c:ser>
          <c:idx val="0"/>
          <c:order val="0"/>
          <c:tx>
            <c:strRef>
              <c:f>Sheet1!$B$33</c:f>
              <c:strCache>
                <c:ptCount val="1"/>
                <c:pt idx="0">
                  <c:v>AusNet Services (proposed)</c:v>
                </c:pt>
              </c:strCache>
            </c:strRef>
          </c:tx>
          <c:invertIfNegative val="0"/>
          <c:dLbls>
            <c:dLbl>
              <c:idx val="0"/>
              <c:layout>
                <c:manualLayout>
                  <c:x val="0"/>
                  <c:y val="2.319099678303023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8152799495982868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922978190433623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Sheet1!$C$31:$F$31</c:f>
              <c:strCache>
                <c:ptCount val="4"/>
                <c:pt idx="0">
                  <c:v>2009-13</c:v>
                </c:pt>
                <c:pt idx="1">
                  <c:v>2014-15</c:v>
                </c:pt>
                <c:pt idx="2">
                  <c:v>2016-20</c:v>
                </c:pt>
                <c:pt idx="3">
                  <c:v>Total</c:v>
                </c:pt>
              </c:strCache>
            </c:strRef>
          </c:cat>
          <c:val>
            <c:numRef>
              <c:f>Sheet1!$C$33:$F$33</c:f>
              <c:numCache>
                <c:formatCode>0.0</c:formatCode>
                <c:ptCount val="4"/>
                <c:pt idx="0">
                  <c:v>142.48305023029002</c:v>
                </c:pt>
                <c:pt idx="1">
                  <c:v>33.263963503595491</c:v>
                </c:pt>
                <c:pt idx="2">
                  <c:v>0.94432089940900843</c:v>
                </c:pt>
                <c:pt idx="3">
                  <c:v>176.69133463329453</c:v>
                </c:pt>
              </c:numCache>
            </c:numRef>
          </c:val>
        </c:ser>
        <c:ser>
          <c:idx val="1"/>
          <c:order val="1"/>
          <c:tx>
            <c:strRef>
              <c:f>Sheet1!$B$34</c:f>
              <c:strCache>
                <c:ptCount val="1"/>
                <c:pt idx="0">
                  <c:v>CitiPower &amp; Powercor</c:v>
                </c:pt>
              </c:strCache>
            </c:strRef>
          </c:tx>
          <c:invertIfNegative val="0"/>
          <c:dLbls>
            <c:dLbl>
              <c:idx val="0"/>
              <c:layout>
                <c:manualLayout>
                  <c:x val="0"/>
                  <c:y val="0.11375050594739421"/>
                </c:manualLayout>
              </c:layout>
              <c:dLblPos val="outEnd"/>
              <c:showLegendKey val="0"/>
              <c:showVal val="1"/>
              <c:showCatName val="0"/>
              <c:showSerName val="0"/>
              <c:showPercent val="0"/>
              <c:showBubbleSize val="0"/>
            </c:dLbl>
            <c:dLbl>
              <c:idx val="1"/>
              <c:layout>
                <c:manualLayout>
                  <c:x val="0"/>
                  <c:y val="8.6155329133455888E-2"/>
                </c:manualLayout>
              </c:layout>
              <c:dLblPos val="outEnd"/>
              <c:showLegendKey val="0"/>
              <c:showVal val="1"/>
              <c:showCatName val="0"/>
              <c:showSerName val="0"/>
              <c:showPercent val="0"/>
              <c:showBubbleSize val="0"/>
            </c:dLbl>
            <c:dLbl>
              <c:idx val="3"/>
              <c:layout>
                <c:manualLayout>
                  <c:x val="0"/>
                  <c:y val="0.12813433664475984"/>
                </c:manualLayout>
              </c:layout>
              <c:dLblPos val="outEnd"/>
              <c:showLegendKey val="0"/>
              <c:showVal val="1"/>
              <c:showCatName val="0"/>
              <c:showSerName val="0"/>
              <c:showPercent val="0"/>
              <c:showBubbleSize val="0"/>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Sheet1!$C$31:$F$31</c:f>
              <c:strCache>
                <c:ptCount val="4"/>
                <c:pt idx="0">
                  <c:v>2009-13</c:v>
                </c:pt>
                <c:pt idx="1">
                  <c:v>2014-15</c:v>
                </c:pt>
                <c:pt idx="2">
                  <c:v>2016-20</c:v>
                </c:pt>
                <c:pt idx="3">
                  <c:v>Total</c:v>
                </c:pt>
              </c:strCache>
            </c:strRef>
          </c:cat>
          <c:val>
            <c:numRef>
              <c:f>Sheet1!$C$34:$F$34</c:f>
              <c:numCache>
                <c:formatCode>0.0</c:formatCode>
                <c:ptCount val="4"/>
                <c:pt idx="0" formatCode="#,##0.0">
                  <c:v>134.00853210613522</c:v>
                </c:pt>
                <c:pt idx="1">
                  <c:v>15.779229368698649</c:v>
                </c:pt>
                <c:pt idx="2">
                  <c:v>6.6376075798004361</c:v>
                </c:pt>
                <c:pt idx="3" formatCode="#,##0.0">
                  <c:v>156.4253690546343</c:v>
                </c:pt>
              </c:numCache>
            </c:numRef>
          </c:val>
        </c:ser>
        <c:ser>
          <c:idx val="2"/>
          <c:order val="2"/>
          <c:tx>
            <c:strRef>
              <c:f>Sheet1!$B$35</c:f>
              <c:strCache>
                <c:ptCount val="1"/>
                <c:pt idx="0">
                  <c:v>AusNet Services (final decision)</c:v>
                </c:pt>
              </c:strCache>
            </c:strRef>
          </c:tx>
          <c:invertIfNegative val="0"/>
          <c:dLbls>
            <c:dLbl>
              <c:idx val="0"/>
              <c:layout>
                <c:manualLayout>
                  <c:x val="2.7777777777777779E-3"/>
                  <c:y val="2.782123629862617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9E-3"/>
                  <c:y val="-1.1577588749242323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7779E-3"/>
                  <c:y val="1.162494980325263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Sheet1!$C$31:$F$31</c:f>
              <c:strCache>
                <c:ptCount val="4"/>
                <c:pt idx="0">
                  <c:v>2009-13</c:v>
                </c:pt>
                <c:pt idx="1">
                  <c:v>2014-15</c:v>
                </c:pt>
                <c:pt idx="2">
                  <c:v>2016-20</c:v>
                </c:pt>
                <c:pt idx="3">
                  <c:v>Total</c:v>
                </c:pt>
              </c:strCache>
            </c:strRef>
          </c:cat>
          <c:val>
            <c:numRef>
              <c:f>Sheet1!$C$35:$F$35</c:f>
              <c:numCache>
                <c:formatCode>0.0</c:formatCode>
                <c:ptCount val="4"/>
                <c:pt idx="0">
                  <c:v>142.48305023029002</c:v>
                </c:pt>
                <c:pt idx="1">
                  <c:v>12.997997924935262</c:v>
                </c:pt>
                <c:pt idx="2">
                  <c:v>0.94432089940900843</c:v>
                </c:pt>
                <c:pt idx="3">
                  <c:v>156.42536905463427</c:v>
                </c:pt>
              </c:numCache>
            </c:numRef>
          </c:val>
        </c:ser>
        <c:dLbls>
          <c:dLblPos val="ctr"/>
          <c:showLegendKey val="0"/>
          <c:showVal val="1"/>
          <c:showCatName val="0"/>
          <c:showSerName val="0"/>
          <c:showPercent val="0"/>
          <c:showBubbleSize val="0"/>
        </c:dLbls>
        <c:gapWidth val="150"/>
        <c:axId val="202841088"/>
        <c:axId val="202851072"/>
      </c:barChart>
      <c:catAx>
        <c:axId val="202841088"/>
        <c:scaling>
          <c:orientation val="minMax"/>
        </c:scaling>
        <c:delete val="0"/>
        <c:axPos val="b"/>
        <c:numFmt formatCode="General" sourceLinked="0"/>
        <c:majorTickMark val="out"/>
        <c:minorTickMark val="none"/>
        <c:tickLblPos val="nextTo"/>
        <c:crossAx val="202851072"/>
        <c:crosses val="autoZero"/>
        <c:auto val="1"/>
        <c:lblAlgn val="ctr"/>
        <c:lblOffset val="100"/>
        <c:noMultiLvlLbl val="0"/>
      </c:catAx>
      <c:valAx>
        <c:axId val="202851072"/>
        <c:scaling>
          <c:orientation val="minMax"/>
        </c:scaling>
        <c:delete val="0"/>
        <c:axPos val="l"/>
        <c:majorGridlines/>
        <c:numFmt formatCode="0.0" sourceLinked="1"/>
        <c:majorTickMark val="out"/>
        <c:minorTickMark val="none"/>
        <c:tickLblPos val="nextTo"/>
        <c:crossAx val="202841088"/>
        <c:crosses val="autoZero"/>
        <c:crossBetween val="between"/>
      </c:valAx>
    </c:plotArea>
    <c:legend>
      <c:legendPos val="r"/>
      <c:layout>
        <c:manualLayout>
          <c:xMode val="edge"/>
          <c:yMode val="edge"/>
          <c:x val="3.65288713910764E-3"/>
          <c:y val="0.87847805482648"/>
          <c:w val="0.98801377952755898"/>
          <c:h val="0.11804389034704001"/>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3F15E4-7A95-4694-8762-61B62429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4B54056</Template>
  <TotalTime>5</TotalTime>
  <Pages>39</Pages>
  <Words>11124</Words>
  <Characters>63412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74388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Deanne</dc:creator>
  <cp:lastModifiedBy>Moffitt, Shannon</cp:lastModifiedBy>
  <cp:revision>7</cp:revision>
  <cp:lastPrinted>2016-12-15T07:01:00Z</cp:lastPrinted>
  <dcterms:created xsi:type="dcterms:W3CDTF">2016-12-14T23:25:00Z</dcterms:created>
  <dcterms:modified xsi:type="dcterms:W3CDTF">2016-12-15T07:01:00Z</dcterms:modified>
</cp:coreProperties>
</file>