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36B72E3" wp14:editId="7C23617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727C65" w:rsidP="00327A1E">
          <w:pPr>
            <w:pStyle w:val="ReportSubtitle"/>
          </w:pPr>
          <w:r>
            <w:t>TransGrid</w:t>
          </w:r>
          <w:r w:rsidR="00AB2662">
            <w:t xml:space="preserve"> transmission determination</w:t>
          </w:r>
        </w:p>
        <w:p w:rsidR="00AB2662" w:rsidRPr="000A6C7B" w:rsidRDefault="00AB2662" w:rsidP="00327A1E">
          <w:pPr>
            <w:pStyle w:val="ReportSubtitle"/>
          </w:pPr>
          <w:r>
            <w:t>2015-201</w:t>
          </w:r>
          <w:r w:rsidR="00727C65">
            <w:t>8</w:t>
          </w:r>
        </w:p>
        <w:p w:rsidR="000A6C7B" w:rsidRPr="00327A1E" w:rsidRDefault="00727C65" w:rsidP="00327A1E">
          <w:pPr>
            <w:pStyle w:val="ReportDate"/>
          </w:pPr>
          <w:r>
            <w:t>April</w:t>
          </w:r>
          <w:r w:rsidR="000A6C7B" w:rsidRPr="000A6C7B">
            <w:t xml:space="preserve"> 201</w:t>
          </w:r>
          <w:r w:rsidR="00AB2662">
            <w:t>5</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AB2662">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0A6C7B" w:rsidRPr="00290C63" w:rsidRDefault="000A6C7B" w:rsidP="00C66625">
      <w:pPr>
        <w:pStyle w:val="Copyright"/>
      </w:pPr>
      <w:r>
        <w:t xml:space="preserve">Email: </w:t>
      </w:r>
      <w:hyperlink r:id="rId10" w:history="1">
        <w:r w:rsidR="00C66625" w:rsidRPr="00C66625">
          <w:rPr>
            <w:rStyle w:val="Hyperlink"/>
            <w:sz w:val="20"/>
          </w:rPr>
          <w:t>AERInquiry@aer.gov.au</w:t>
        </w:r>
      </w:hyperlink>
      <w:r w:rsidR="00951978">
        <w:rPr>
          <w:rStyle w:val="Hyperlink"/>
        </w:rPr>
        <w:br/>
      </w:r>
      <w:r>
        <w:t xml:space="preserve">AER Reference: </w:t>
      </w:r>
      <w:r w:rsidR="00AB2662">
        <w:t>5344</w:t>
      </w:r>
      <w:r w:rsidR="00727C65">
        <w:t>4</w:t>
      </w:r>
    </w:p>
    <w:p w:rsidR="000A6C7B" w:rsidRDefault="000A6C7B" w:rsidP="000A6C7B"/>
    <w:p w:rsidR="005D7BA2" w:rsidRDefault="005D7BA2">
      <w:pPr>
        <w:spacing w:line="240" w:lineRule="auto"/>
        <w:sectPr w:rsidR="005D7BA2" w:rsidSect="005E36C2">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fmt="lowerRoman" w:start="3"/>
          <w:cols w:space="720"/>
          <w:docGrid w:linePitch="326"/>
        </w:sectPr>
      </w:pPr>
    </w:p>
    <w:p w:rsidR="00AB2662" w:rsidRDefault="00AB2662" w:rsidP="005A35E4">
      <w:pPr>
        <w:pStyle w:val="UnnumberedHeading"/>
      </w:pPr>
      <w:bookmarkStart w:id="1" w:name="_Toc417923802"/>
      <w:r>
        <w:lastRenderedPageBreak/>
        <w:t>Table of contents</w:t>
      </w:r>
      <w:bookmarkEnd w:id="1"/>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p w:rsidR="001729A6" w:rsidRDefault="001729A6">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17923802" w:history="1">
            <w:r w:rsidRPr="003B5572">
              <w:rPr>
                <w:rStyle w:val="Hyperlink"/>
              </w:rPr>
              <w:t>Table of contents</w:t>
            </w:r>
            <w:r>
              <w:rPr>
                <w:webHidden/>
              </w:rPr>
              <w:tab/>
            </w:r>
            <w:r>
              <w:rPr>
                <w:webHidden/>
              </w:rPr>
              <w:fldChar w:fldCharType="begin"/>
            </w:r>
            <w:r>
              <w:rPr>
                <w:webHidden/>
              </w:rPr>
              <w:instrText xml:space="preserve"> PAGEREF _Toc417923802 \h </w:instrText>
            </w:r>
            <w:r>
              <w:rPr>
                <w:webHidden/>
              </w:rPr>
            </w:r>
            <w:r>
              <w:rPr>
                <w:webHidden/>
              </w:rPr>
              <w:fldChar w:fldCharType="separate"/>
            </w:r>
            <w:r w:rsidR="00963826">
              <w:rPr>
                <w:webHidden/>
              </w:rPr>
              <w:t>1</w:t>
            </w:r>
            <w:r>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03" w:history="1">
            <w:r w:rsidR="001729A6" w:rsidRPr="003B5572">
              <w:rPr>
                <w:rStyle w:val="Hyperlink"/>
              </w:rPr>
              <w:t>Shortened forms</w:t>
            </w:r>
            <w:r w:rsidR="001729A6">
              <w:rPr>
                <w:webHidden/>
              </w:rPr>
              <w:tab/>
            </w:r>
            <w:r w:rsidR="001729A6">
              <w:rPr>
                <w:webHidden/>
              </w:rPr>
              <w:fldChar w:fldCharType="begin"/>
            </w:r>
            <w:r w:rsidR="001729A6">
              <w:rPr>
                <w:webHidden/>
              </w:rPr>
              <w:instrText xml:space="preserve"> PAGEREF _Toc417923803 \h </w:instrText>
            </w:r>
            <w:r w:rsidR="001729A6">
              <w:rPr>
                <w:webHidden/>
              </w:rPr>
            </w:r>
            <w:r w:rsidR="001729A6">
              <w:rPr>
                <w:webHidden/>
              </w:rPr>
              <w:fldChar w:fldCharType="separate"/>
            </w:r>
            <w:r>
              <w:rPr>
                <w:webHidden/>
              </w:rPr>
              <w:t>2</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04" w:history="1">
            <w:r w:rsidR="001729A6" w:rsidRPr="003B5572">
              <w:rPr>
                <w:rStyle w:val="Hyperlink"/>
              </w:rPr>
              <w:t>Summary</w:t>
            </w:r>
            <w:r w:rsidR="001729A6">
              <w:rPr>
                <w:webHidden/>
              </w:rPr>
              <w:tab/>
            </w:r>
            <w:r w:rsidR="001729A6">
              <w:rPr>
                <w:webHidden/>
              </w:rPr>
              <w:fldChar w:fldCharType="begin"/>
            </w:r>
            <w:r w:rsidR="001729A6">
              <w:rPr>
                <w:webHidden/>
              </w:rPr>
              <w:instrText xml:space="preserve"> PAGEREF _Toc417923804 \h </w:instrText>
            </w:r>
            <w:r w:rsidR="001729A6">
              <w:rPr>
                <w:webHidden/>
              </w:rPr>
            </w:r>
            <w:r w:rsidR="001729A6">
              <w:rPr>
                <w:webHidden/>
              </w:rPr>
              <w:fldChar w:fldCharType="separate"/>
            </w:r>
            <w:r>
              <w:rPr>
                <w:webHidden/>
              </w:rPr>
              <w:t>3</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05" w:history="1">
            <w:r w:rsidR="001729A6" w:rsidRPr="003B5572">
              <w:rPr>
                <w:rStyle w:val="Hyperlink"/>
              </w:rPr>
              <w:t>1</w:t>
            </w:r>
            <w:r w:rsidR="001729A6">
              <w:rPr>
                <w:rFonts w:asciiTheme="minorHAnsi" w:eastAsiaTheme="minorEastAsia" w:hAnsiTheme="minorHAnsi"/>
                <w:b w:val="0"/>
                <w:color w:val="auto"/>
                <w:sz w:val="22"/>
                <w:lang w:val="en-AU" w:eastAsia="en-AU"/>
              </w:rPr>
              <w:tab/>
            </w:r>
            <w:r w:rsidR="001729A6" w:rsidRPr="003B5572">
              <w:rPr>
                <w:rStyle w:val="Hyperlink"/>
              </w:rPr>
              <w:t>Revenue</w:t>
            </w:r>
            <w:r w:rsidR="001729A6">
              <w:rPr>
                <w:webHidden/>
              </w:rPr>
              <w:tab/>
            </w:r>
            <w:r w:rsidR="001729A6">
              <w:rPr>
                <w:webHidden/>
              </w:rPr>
              <w:fldChar w:fldCharType="begin"/>
            </w:r>
            <w:r w:rsidR="001729A6">
              <w:rPr>
                <w:webHidden/>
              </w:rPr>
              <w:instrText xml:space="preserve"> PAGEREF _Toc417923805 \h </w:instrText>
            </w:r>
            <w:r w:rsidR="001729A6">
              <w:rPr>
                <w:webHidden/>
              </w:rPr>
            </w:r>
            <w:r w:rsidR="001729A6">
              <w:rPr>
                <w:webHidden/>
              </w:rPr>
              <w:fldChar w:fldCharType="separate"/>
            </w:r>
            <w:r>
              <w:rPr>
                <w:webHidden/>
              </w:rPr>
              <w:t>4</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06" w:history="1">
            <w:r w:rsidR="001729A6" w:rsidRPr="003B5572">
              <w:rPr>
                <w:rStyle w:val="Hyperlink"/>
              </w:rPr>
              <w:t>1.1</w:t>
            </w:r>
            <w:r w:rsidR="001729A6">
              <w:rPr>
                <w:rFonts w:asciiTheme="minorHAnsi" w:eastAsiaTheme="minorEastAsia" w:hAnsiTheme="minorHAnsi"/>
                <w:b w:val="0"/>
                <w:color w:val="auto"/>
                <w:sz w:val="22"/>
                <w:lang w:eastAsia="en-AU"/>
              </w:rPr>
              <w:tab/>
            </w:r>
            <w:r w:rsidR="001729A6" w:rsidRPr="003B5572">
              <w:rPr>
                <w:rStyle w:val="Hyperlink"/>
              </w:rPr>
              <w:t>Method for calculating estimated total revenue cap</w:t>
            </w:r>
            <w:r w:rsidR="001729A6">
              <w:rPr>
                <w:webHidden/>
              </w:rPr>
              <w:tab/>
            </w:r>
            <w:r w:rsidR="001729A6">
              <w:rPr>
                <w:webHidden/>
              </w:rPr>
              <w:fldChar w:fldCharType="begin"/>
            </w:r>
            <w:r w:rsidR="001729A6">
              <w:rPr>
                <w:webHidden/>
              </w:rPr>
              <w:instrText xml:space="preserve"> PAGEREF _Toc417923806 \h </w:instrText>
            </w:r>
            <w:r w:rsidR="001729A6">
              <w:rPr>
                <w:webHidden/>
              </w:rPr>
            </w:r>
            <w:r w:rsidR="001729A6">
              <w:rPr>
                <w:webHidden/>
              </w:rPr>
              <w:fldChar w:fldCharType="separate"/>
            </w:r>
            <w:r>
              <w:rPr>
                <w:webHidden/>
              </w:rPr>
              <w:t>5</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07" w:history="1">
            <w:r w:rsidR="001729A6" w:rsidRPr="003B5572">
              <w:rPr>
                <w:rStyle w:val="Hyperlink"/>
              </w:rPr>
              <w:t>1.2</w:t>
            </w:r>
            <w:r w:rsidR="001729A6">
              <w:rPr>
                <w:rFonts w:asciiTheme="minorHAnsi" w:eastAsiaTheme="minorEastAsia" w:hAnsiTheme="minorHAnsi"/>
                <w:b w:val="0"/>
                <w:color w:val="auto"/>
                <w:sz w:val="22"/>
                <w:lang w:eastAsia="en-AU"/>
              </w:rPr>
              <w:tab/>
            </w:r>
            <w:r w:rsidR="001729A6" w:rsidRPr="003B5572">
              <w:rPr>
                <w:rStyle w:val="Hyperlink"/>
              </w:rPr>
              <w:t>Annual building block revenue requirement</w:t>
            </w:r>
            <w:r w:rsidR="001729A6">
              <w:rPr>
                <w:webHidden/>
              </w:rPr>
              <w:tab/>
            </w:r>
            <w:r w:rsidR="001729A6">
              <w:rPr>
                <w:webHidden/>
              </w:rPr>
              <w:fldChar w:fldCharType="begin"/>
            </w:r>
            <w:r w:rsidR="001729A6">
              <w:rPr>
                <w:webHidden/>
              </w:rPr>
              <w:instrText xml:space="preserve"> PAGEREF _Toc417923807 \h </w:instrText>
            </w:r>
            <w:r w:rsidR="001729A6">
              <w:rPr>
                <w:webHidden/>
              </w:rPr>
            </w:r>
            <w:r w:rsidR="001729A6">
              <w:rPr>
                <w:webHidden/>
              </w:rPr>
              <w:fldChar w:fldCharType="separate"/>
            </w:r>
            <w:r>
              <w:rPr>
                <w:webHidden/>
              </w:rPr>
              <w:t>5</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08" w:history="1">
            <w:r w:rsidR="001729A6" w:rsidRPr="003B5572">
              <w:rPr>
                <w:rStyle w:val="Hyperlink"/>
              </w:rPr>
              <w:t>1.3</w:t>
            </w:r>
            <w:r w:rsidR="001729A6">
              <w:rPr>
                <w:rFonts w:asciiTheme="minorHAnsi" w:eastAsiaTheme="minorEastAsia" w:hAnsiTheme="minorHAnsi"/>
                <w:b w:val="0"/>
                <w:color w:val="auto"/>
                <w:sz w:val="22"/>
                <w:lang w:eastAsia="en-AU"/>
              </w:rPr>
              <w:tab/>
            </w:r>
            <w:r w:rsidR="001729A6" w:rsidRPr="003B5572">
              <w:rPr>
                <w:rStyle w:val="Hyperlink"/>
              </w:rPr>
              <w:t>Method for calculating maximum allowed revenue</w:t>
            </w:r>
            <w:r w:rsidR="001729A6">
              <w:rPr>
                <w:webHidden/>
              </w:rPr>
              <w:tab/>
            </w:r>
            <w:r w:rsidR="001729A6">
              <w:rPr>
                <w:webHidden/>
              </w:rPr>
              <w:fldChar w:fldCharType="begin"/>
            </w:r>
            <w:r w:rsidR="001729A6">
              <w:rPr>
                <w:webHidden/>
              </w:rPr>
              <w:instrText xml:space="preserve"> PAGEREF _Toc417923808 \h </w:instrText>
            </w:r>
            <w:r w:rsidR="001729A6">
              <w:rPr>
                <w:webHidden/>
              </w:rPr>
            </w:r>
            <w:r w:rsidR="001729A6">
              <w:rPr>
                <w:webHidden/>
              </w:rPr>
              <w:fldChar w:fldCharType="separate"/>
            </w:r>
            <w:r>
              <w:rPr>
                <w:webHidden/>
              </w:rPr>
              <w:t>6</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09" w:history="1">
            <w:r w:rsidR="001729A6" w:rsidRPr="003B5572">
              <w:rPr>
                <w:rStyle w:val="Hyperlink"/>
              </w:rPr>
              <w:t>1.4</w:t>
            </w:r>
            <w:r w:rsidR="001729A6">
              <w:rPr>
                <w:rFonts w:asciiTheme="minorHAnsi" w:eastAsiaTheme="minorEastAsia" w:hAnsiTheme="minorHAnsi"/>
                <w:b w:val="0"/>
                <w:color w:val="auto"/>
                <w:sz w:val="22"/>
                <w:lang w:eastAsia="en-AU"/>
              </w:rPr>
              <w:tab/>
            </w:r>
            <w:r w:rsidR="001729A6" w:rsidRPr="003B5572">
              <w:rPr>
                <w:rStyle w:val="Hyperlink"/>
              </w:rPr>
              <w:t>Regulatory asset base</w:t>
            </w:r>
            <w:r w:rsidR="001729A6">
              <w:rPr>
                <w:webHidden/>
              </w:rPr>
              <w:tab/>
            </w:r>
            <w:r w:rsidR="001729A6">
              <w:rPr>
                <w:webHidden/>
              </w:rPr>
              <w:fldChar w:fldCharType="begin"/>
            </w:r>
            <w:r w:rsidR="001729A6">
              <w:rPr>
                <w:webHidden/>
              </w:rPr>
              <w:instrText xml:space="preserve"> PAGEREF _Toc417923809 \h </w:instrText>
            </w:r>
            <w:r w:rsidR="001729A6">
              <w:rPr>
                <w:webHidden/>
              </w:rPr>
            </w:r>
            <w:r w:rsidR="001729A6">
              <w:rPr>
                <w:webHidden/>
              </w:rPr>
              <w:fldChar w:fldCharType="separate"/>
            </w:r>
            <w:r>
              <w:rPr>
                <w:webHidden/>
              </w:rPr>
              <w:t>8</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10" w:history="1">
            <w:r w:rsidR="001729A6" w:rsidRPr="003B5572">
              <w:rPr>
                <w:rStyle w:val="Hyperlink"/>
              </w:rPr>
              <w:t>1.5</w:t>
            </w:r>
            <w:r w:rsidR="001729A6">
              <w:rPr>
                <w:rFonts w:asciiTheme="minorHAnsi" w:eastAsiaTheme="minorEastAsia" w:hAnsiTheme="minorHAnsi"/>
                <w:b w:val="0"/>
                <w:color w:val="auto"/>
                <w:sz w:val="22"/>
                <w:lang w:eastAsia="en-AU"/>
              </w:rPr>
              <w:tab/>
            </w:r>
            <w:r w:rsidR="001729A6" w:rsidRPr="003B5572">
              <w:rPr>
                <w:rStyle w:val="Hyperlink"/>
              </w:rPr>
              <w:t>Method for indexation of the regulatory asset base</w:t>
            </w:r>
            <w:r w:rsidR="001729A6">
              <w:rPr>
                <w:webHidden/>
              </w:rPr>
              <w:tab/>
            </w:r>
            <w:r w:rsidR="001729A6">
              <w:rPr>
                <w:webHidden/>
              </w:rPr>
              <w:fldChar w:fldCharType="begin"/>
            </w:r>
            <w:r w:rsidR="001729A6">
              <w:rPr>
                <w:webHidden/>
              </w:rPr>
              <w:instrText xml:space="preserve"> PAGEREF _Toc417923810 \h </w:instrText>
            </w:r>
            <w:r w:rsidR="001729A6">
              <w:rPr>
                <w:webHidden/>
              </w:rPr>
            </w:r>
            <w:r w:rsidR="001729A6">
              <w:rPr>
                <w:webHidden/>
              </w:rPr>
              <w:fldChar w:fldCharType="separate"/>
            </w:r>
            <w:r>
              <w:rPr>
                <w:webHidden/>
              </w:rPr>
              <w:t>8</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11" w:history="1">
            <w:r w:rsidR="001729A6" w:rsidRPr="003B5572">
              <w:rPr>
                <w:rStyle w:val="Hyperlink"/>
              </w:rPr>
              <w:t>1.6</w:t>
            </w:r>
            <w:r w:rsidR="001729A6">
              <w:rPr>
                <w:rFonts w:asciiTheme="minorHAnsi" w:eastAsiaTheme="minorEastAsia" w:hAnsiTheme="minorHAnsi"/>
                <w:b w:val="0"/>
                <w:color w:val="auto"/>
                <w:sz w:val="22"/>
                <w:lang w:eastAsia="en-AU"/>
              </w:rPr>
              <w:tab/>
            </w:r>
            <w:r w:rsidR="001729A6" w:rsidRPr="003B5572">
              <w:rPr>
                <w:rStyle w:val="Hyperlink"/>
              </w:rPr>
              <w:t>Performance incentive scheme parameters</w:t>
            </w:r>
            <w:r w:rsidR="001729A6">
              <w:rPr>
                <w:webHidden/>
              </w:rPr>
              <w:tab/>
            </w:r>
            <w:r w:rsidR="001729A6">
              <w:rPr>
                <w:webHidden/>
              </w:rPr>
              <w:fldChar w:fldCharType="begin"/>
            </w:r>
            <w:r w:rsidR="001729A6">
              <w:rPr>
                <w:webHidden/>
              </w:rPr>
              <w:instrText xml:space="preserve"> PAGEREF _Toc417923811 \h </w:instrText>
            </w:r>
            <w:r w:rsidR="001729A6">
              <w:rPr>
                <w:webHidden/>
              </w:rPr>
            </w:r>
            <w:r w:rsidR="001729A6">
              <w:rPr>
                <w:webHidden/>
              </w:rPr>
              <w:fldChar w:fldCharType="separate"/>
            </w:r>
            <w:r>
              <w:rPr>
                <w:webHidden/>
              </w:rPr>
              <w:t>8</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12" w:history="1">
            <w:r w:rsidR="001729A6" w:rsidRPr="003B5572">
              <w:rPr>
                <w:rStyle w:val="Hyperlink"/>
              </w:rPr>
              <w:t>1.7</w:t>
            </w:r>
            <w:r w:rsidR="001729A6">
              <w:rPr>
                <w:rFonts w:asciiTheme="minorHAnsi" w:eastAsiaTheme="minorEastAsia" w:hAnsiTheme="minorHAnsi"/>
                <w:b w:val="0"/>
                <w:color w:val="auto"/>
                <w:sz w:val="22"/>
                <w:lang w:eastAsia="en-AU"/>
              </w:rPr>
              <w:tab/>
            </w:r>
            <w:r w:rsidR="001729A6" w:rsidRPr="003B5572">
              <w:rPr>
                <w:rStyle w:val="Hyperlink"/>
              </w:rPr>
              <w:t>Efficiency benefit sharing scheme parameters</w:t>
            </w:r>
            <w:r w:rsidR="001729A6">
              <w:rPr>
                <w:webHidden/>
              </w:rPr>
              <w:tab/>
            </w:r>
            <w:r w:rsidR="001729A6">
              <w:rPr>
                <w:webHidden/>
              </w:rPr>
              <w:fldChar w:fldCharType="begin"/>
            </w:r>
            <w:r w:rsidR="001729A6">
              <w:rPr>
                <w:webHidden/>
              </w:rPr>
              <w:instrText xml:space="preserve"> PAGEREF _Toc417923812 \h </w:instrText>
            </w:r>
            <w:r w:rsidR="001729A6">
              <w:rPr>
                <w:webHidden/>
              </w:rPr>
            </w:r>
            <w:r w:rsidR="001729A6">
              <w:rPr>
                <w:webHidden/>
              </w:rPr>
              <w:fldChar w:fldCharType="separate"/>
            </w:r>
            <w:r>
              <w:rPr>
                <w:webHidden/>
              </w:rPr>
              <w:t>16</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13" w:history="1">
            <w:r w:rsidR="001729A6" w:rsidRPr="003B5572">
              <w:rPr>
                <w:rStyle w:val="Hyperlink"/>
              </w:rPr>
              <w:t>1.8</w:t>
            </w:r>
            <w:r w:rsidR="001729A6">
              <w:rPr>
                <w:rFonts w:asciiTheme="minorHAnsi" w:eastAsiaTheme="minorEastAsia" w:hAnsiTheme="minorHAnsi"/>
                <w:b w:val="0"/>
                <w:color w:val="auto"/>
                <w:sz w:val="22"/>
                <w:lang w:eastAsia="en-AU"/>
              </w:rPr>
              <w:tab/>
            </w:r>
            <w:r w:rsidR="001729A6" w:rsidRPr="003B5572">
              <w:rPr>
                <w:rStyle w:val="Hyperlink"/>
              </w:rPr>
              <w:t>Application of the capital expenditure sharing scheme</w:t>
            </w:r>
            <w:r w:rsidR="001729A6">
              <w:rPr>
                <w:webHidden/>
              </w:rPr>
              <w:tab/>
            </w:r>
            <w:r w:rsidR="001729A6">
              <w:rPr>
                <w:webHidden/>
              </w:rPr>
              <w:fldChar w:fldCharType="begin"/>
            </w:r>
            <w:r w:rsidR="001729A6">
              <w:rPr>
                <w:webHidden/>
              </w:rPr>
              <w:instrText xml:space="preserve"> PAGEREF _Toc417923813 \h </w:instrText>
            </w:r>
            <w:r w:rsidR="001729A6">
              <w:rPr>
                <w:webHidden/>
              </w:rPr>
            </w:r>
            <w:r w:rsidR="001729A6">
              <w:rPr>
                <w:webHidden/>
              </w:rPr>
              <w:fldChar w:fldCharType="separate"/>
            </w:r>
            <w:r>
              <w:rPr>
                <w:webHidden/>
              </w:rPr>
              <w:t>17</w:t>
            </w:r>
            <w:r w:rsidR="001729A6">
              <w:rPr>
                <w:webHidden/>
              </w:rPr>
              <w:fldChar w:fldCharType="end"/>
            </w:r>
          </w:hyperlink>
        </w:p>
        <w:p w:rsidR="001729A6" w:rsidRDefault="00963826">
          <w:pPr>
            <w:pStyle w:val="TOC2"/>
            <w:rPr>
              <w:rFonts w:asciiTheme="minorHAnsi" w:eastAsiaTheme="minorEastAsia" w:hAnsiTheme="minorHAnsi"/>
              <w:b w:val="0"/>
              <w:color w:val="auto"/>
              <w:sz w:val="22"/>
              <w:lang w:eastAsia="en-AU"/>
            </w:rPr>
          </w:pPr>
          <w:hyperlink w:anchor="_Toc417923814" w:history="1">
            <w:r w:rsidR="001729A6" w:rsidRPr="003B5572">
              <w:rPr>
                <w:rStyle w:val="Hyperlink"/>
              </w:rPr>
              <w:t>1.9</w:t>
            </w:r>
            <w:r w:rsidR="001729A6">
              <w:rPr>
                <w:rFonts w:asciiTheme="minorHAnsi" w:eastAsiaTheme="minorEastAsia" w:hAnsiTheme="minorHAnsi"/>
                <w:b w:val="0"/>
                <w:color w:val="auto"/>
                <w:sz w:val="22"/>
                <w:lang w:eastAsia="en-AU"/>
              </w:rPr>
              <w:tab/>
            </w:r>
            <w:r w:rsidR="001729A6" w:rsidRPr="003B5572">
              <w:rPr>
                <w:rStyle w:val="Hyperlink"/>
              </w:rPr>
              <w:t>Commencement and length of the regulatory control period</w:t>
            </w:r>
            <w:r w:rsidR="001729A6">
              <w:rPr>
                <w:webHidden/>
              </w:rPr>
              <w:tab/>
            </w:r>
            <w:r w:rsidR="001729A6">
              <w:rPr>
                <w:webHidden/>
              </w:rPr>
              <w:fldChar w:fldCharType="begin"/>
            </w:r>
            <w:r w:rsidR="001729A6">
              <w:rPr>
                <w:webHidden/>
              </w:rPr>
              <w:instrText xml:space="preserve"> PAGEREF _Toc417923814 \h </w:instrText>
            </w:r>
            <w:r w:rsidR="001729A6">
              <w:rPr>
                <w:webHidden/>
              </w:rPr>
            </w:r>
            <w:r w:rsidR="001729A6">
              <w:rPr>
                <w:webHidden/>
              </w:rPr>
              <w:fldChar w:fldCharType="separate"/>
            </w:r>
            <w:r>
              <w:rPr>
                <w:webHidden/>
              </w:rPr>
              <w:t>18</w:t>
            </w:r>
            <w:r w:rsidR="001729A6">
              <w:rPr>
                <w:webHidden/>
              </w:rPr>
              <w:fldChar w:fldCharType="end"/>
            </w:r>
          </w:hyperlink>
        </w:p>
        <w:p w:rsidR="001729A6" w:rsidRDefault="00963826">
          <w:pPr>
            <w:pStyle w:val="TOC2"/>
            <w:tabs>
              <w:tab w:val="left" w:pos="1276"/>
            </w:tabs>
            <w:rPr>
              <w:rFonts w:asciiTheme="minorHAnsi" w:eastAsiaTheme="minorEastAsia" w:hAnsiTheme="minorHAnsi"/>
              <w:b w:val="0"/>
              <w:color w:val="auto"/>
              <w:sz w:val="22"/>
              <w:lang w:eastAsia="en-AU"/>
            </w:rPr>
          </w:pPr>
          <w:hyperlink w:anchor="_Toc417923815" w:history="1">
            <w:r w:rsidR="001729A6" w:rsidRPr="003B5572">
              <w:rPr>
                <w:rStyle w:val="Hyperlink"/>
              </w:rPr>
              <w:t>1.10</w:t>
            </w:r>
            <w:r w:rsidR="001729A6">
              <w:rPr>
                <w:rFonts w:asciiTheme="minorHAnsi" w:eastAsiaTheme="minorEastAsia" w:hAnsiTheme="minorHAnsi"/>
                <w:b w:val="0"/>
                <w:color w:val="auto"/>
                <w:sz w:val="22"/>
                <w:lang w:eastAsia="en-AU"/>
              </w:rPr>
              <w:tab/>
            </w:r>
            <w:r w:rsidR="001729A6" w:rsidRPr="003B5572">
              <w:rPr>
                <w:rStyle w:val="Hyperlink"/>
              </w:rPr>
              <w:t>Depreciation for establishing the regulatory asset base as at the commencement of the next regulatory control period</w:t>
            </w:r>
            <w:r w:rsidR="001729A6">
              <w:rPr>
                <w:webHidden/>
              </w:rPr>
              <w:tab/>
            </w:r>
            <w:r w:rsidR="001729A6">
              <w:rPr>
                <w:webHidden/>
              </w:rPr>
              <w:fldChar w:fldCharType="begin"/>
            </w:r>
            <w:r w:rsidR="001729A6">
              <w:rPr>
                <w:webHidden/>
              </w:rPr>
              <w:instrText xml:space="preserve"> PAGEREF _Toc417923815 \h </w:instrText>
            </w:r>
            <w:r w:rsidR="001729A6">
              <w:rPr>
                <w:webHidden/>
              </w:rPr>
            </w:r>
            <w:r w:rsidR="001729A6">
              <w:rPr>
                <w:webHidden/>
              </w:rPr>
              <w:fldChar w:fldCharType="separate"/>
            </w:r>
            <w:r>
              <w:rPr>
                <w:webHidden/>
              </w:rPr>
              <w:t>18</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16" w:history="1">
            <w:r w:rsidR="001729A6" w:rsidRPr="003B5572">
              <w:rPr>
                <w:rStyle w:val="Hyperlink"/>
              </w:rPr>
              <w:t>2</w:t>
            </w:r>
            <w:r w:rsidR="001729A6">
              <w:rPr>
                <w:rFonts w:asciiTheme="minorHAnsi" w:eastAsiaTheme="minorEastAsia" w:hAnsiTheme="minorHAnsi"/>
                <w:b w:val="0"/>
                <w:color w:val="auto"/>
                <w:sz w:val="22"/>
                <w:lang w:val="en-AU" w:eastAsia="en-AU"/>
              </w:rPr>
              <w:tab/>
            </w:r>
            <w:r w:rsidR="001729A6" w:rsidRPr="003B5572">
              <w:rPr>
                <w:rStyle w:val="Hyperlink"/>
              </w:rPr>
              <w:t>Negotiating framework</w:t>
            </w:r>
            <w:r w:rsidR="001729A6">
              <w:rPr>
                <w:webHidden/>
              </w:rPr>
              <w:tab/>
            </w:r>
            <w:r w:rsidR="001729A6">
              <w:rPr>
                <w:webHidden/>
              </w:rPr>
              <w:fldChar w:fldCharType="begin"/>
            </w:r>
            <w:r w:rsidR="001729A6">
              <w:rPr>
                <w:webHidden/>
              </w:rPr>
              <w:instrText xml:space="preserve"> PAGEREF _Toc417923816 \h </w:instrText>
            </w:r>
            <w:r w:rsidR="001729A6">
              <w:rPr>
                <w:webHidden/>
              </w:rPr>
            </w:r>
            <w:r w:rsidR="001729A6">
              <w:rPr>
                <w:webHidden/>
              </w:rPr>
              <w:fldChar w:fldCharType="separate"/>
            </w:r>
            <w:r>
              <w:rPr>
                <w:webHidden/>
              </w:rPr>
              <w:t>19</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17" w:history="1">
            <w:r w:rsidR="001729A6" w:rsidRPr="003B5572">
              <w:rPr>
                <w:rStyle w:val="Hyperlink"/>
              </w:rPr>
              <w:t>3</w:t>
            </w:r>
            <w:r w:rsidR="001729A6">
              <w:rPr>
                <w:rFonts w:asciiTheme="minorHAnsi" w:eastAsiaTheme="minorEastAsia" w:hAnsiTheme="minorHAnsi"/>
                <w:b w:val="0"/>
                <w:color w:val="auto"/>
                <w:sz w:val="22"/>
                <w:lang w:val="en-AU" w:eastAsia="en-AU"/>
              </w:rPr>
              <w:tab/>
            </w:r>
            <w:r w:rsidR="001729A6" w:rsidRPr="003B5572">
              <w:rPr>
                <w:rStyle w:val="Hyperlink"/>
              </w:rPr>
              <w:t>Negotiated transmission service criteria (NTSC)</w:t>
            </w:r>
            <w:r w:rsidR="001729A6">
              <w:rPr>
                <w:webHidden/>
              </w:rPr>
              <w:tab/>
            </w:r>
            <w:r w:rsidR="001729A6">
              <w:rPr>
                <w:webHidden/>
              </w:rPr>
              <w:fldChar w:fldCharType="begin"/>
            </w:r>
            <w:r w:rsidR="001729A6">
              <w:rPr>
                <w:webHidden/>
              </w:rPr>
              <w:instrText xml:space="preserve"> PAGEREF _Toc417923817 \h </w:instrText>
            </w:r>
            <w:r w:rsidR="001729A6">
              <w:rPr>
                <w:webHidden/>
              </w:rPr>
            </w:r>
            <w:r w:rsidR="001729A6">
              <w:rPr>
                <w:webHidden/>
              </w:rPr>
              <w:fldChar w:fldCharType="separate"/>
            </w:r>
            <w:r>
              <w:rPr>
                <w:webHidden/>
              </w:rPr>
              <w:t>20</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18" w:history="1">
            <w:r w:rsidR="001729A6" w:rsidRPr="003B5572">
              <w:rPr>
                <w:rStyle w:val="Hyperlink"/>
              </w:rPr>
              <w:t>4</w:t>
            </w:r>
            <w:r w:rsidR="001729A6">
              <w:rPr>
                <w:rFonts w:asciiTheme="minorHAnsi" w:eastAsiaTheme="minorEastAsia" w:hAnsiTheme="minorHAnsi"/>
                <w:b w:val="0"/>
                <w:color w:val="auto"/>
                <w:sz w:val="22"/>
                <w:lang w:val="en-AU" w:eastAsia="en-AU"/>
              </w:rPr>
              <w:tab/>
            </w:r>
            <w:r w:rsidR="001729A6" w:rsidRPr="003B5572">
              <w:rPr>
                <w:rStyle w:val="Hyperlink"/>
              </w:rPr>
              <w:t>Pricing methodology</w:t>
            </w:r>
            <w:r w:rsidR="001729A6">
              <w:rPr>
                <w:webHidden/>
              </w:rPr>
              <w:tab/>
            </w:r>
            <w:r w:rsidR="001729A6">
              <w:rPr>
                <w:webHidden/>
              </w:rPr>
              <w:fldChar w:fldCharType="begin"/>
            </w:r>
            <w:r w:rsidR="001729A6">
              <w:rPr>
                <w:webHidden/>
              </w:rPr>
              <w:instrText xml:space="preserve"> PAGEREF _Toc417923818 \h </w:instrText>
            </w:r>
            <w:r w:rsidR="001729A6">
              <w:rPr>
                <w:webHidden/>
              </w:rPr>
            </w:r>
            <w:r w:rsidR="001729A6">
              <w:rPr>
                <w:webHidden/>
              </w:rPr>
              <w:fldChar w:fldCharType="separate"/>
            </w:r>
            <w:r>
              <w:rPr>
                <w:webHidden/>
              </w:rPr>
              <w:t>23</w:t>
            </w:r>
            <w:r w:rsidR="001729A6">
              <w:rPr>
                <w:webHidden/>
              </w:rPr>
              <w:fldChar w:fldCharType="end"/>
            </w:r>
          </w:hyperlink>
        </w:p>
        <w:p w:rsidR="001729A6" w:rsidRDefault="00963826">
          <w:pPr>
            <w:pStyle w:val="TOC1"/>
            <w:rPr>
              <w:rFonts w:asciiTheme="minorHAnsi" w:eastAsiaTheme="minorEastAsia" w:hAnsiTheme="minorHAnsi"/>
              <w:b w:val="0"/>
              <w:color w:val="auto"/>
              <w:sz w:val="22"/>
              <w:lang w:val="en-AU" w:eastAsia="en-AU"/>
            </w:rPr>
          </w:pPr>
          <w:hyperlink w:anchor="_Toc417923819" w:history="1">
            <w:r w:rsidR="001729A6" w:rsidRPr="003B5572">
              <w:rPr>
                <w:rStyle w:val="Hyperlink"/>
              </w:rPr>
              <w:t>5</w:t>
            </w:r>
            <w:r w:rsidR="001729A6">
              <w:rPr>
                <w:rFonts w:asciiTheme="minorHAnsi" w:eastAsiaTheme="minorEastAsia" w:hAnsiTheme="minorHAnsi"/>
                <w:b w:val="0"/>
                <w:color w:val="auto"/>
                <w:sz w:val="22"/>
                <w:lang w:val="en-AU" w:eastAsia="en-AU"/>
              </w:rPr>
              <w:tab/>
            </w:r>
            <w:r w:rsidR="001729A6" w:rsidRPr="003B5572">
              <w:rPr>
                <w:rStyle w:val="Hyperlink"/>
              </w:rPr>
              <w:t>Pass through events</w:t>
            </w:r>
            <w:r w:rsidR="001729A6">
              <w:rPr>
                <w:webHidden/>
              </w:rPr>
              <w:tab/>
            </w:r>
            <w:r w:rsidR="001729A6">
              <w:rPr>
                <w:webHidden/>
              </w:rPr>
              <w:fldChar w:fldCharType="begin"/>
            </w:r>
            <w:r w:rsidR="001729A6">
              <w:rPr>
                <w:webHidden/>
              </w:rPr>
              <w:instrText xml:space="preserve"> PAGEREF _Toc417923819 \h </w:instrText>
            </w:r>
            <w:r w:rsidR="001729A6">
              <w:rPr>
                <w:webHidden/>
              </w:rPr>
            </w:r>
            <w:r w:rsidR="001729A6">
              <w:rPr>
                <w:webHidden/>
              </w:rPr>
              <w:fldChar w:fldCharType="separate"/>
            </w:r>
            <w:r>
              <w:rPr>
                <w:webHidden/>
              </w:rPr>
              <w:t>24</w:t>
            </w:r>
            <w:r w:rsidR="001729A6">
              <w:rPr>
                <w:webHidden/>
              </w:rPr>
              <w:fldChar w:fldCharType="end"/>
            </w:r>
          </w:hyperlink>
        </w:p>
        <w:p w:rsidR="00AB2662" w:rsidRDefault="001729A6" w:rsidP="001729A6">
          <w:pPr>
            <w:pStyle w:val="TOC1"/>
          </w:pPr>
          <w:r>
            <w:fldChar w:fldCharType="end"/>
          </w:r>
        </w:p>
      </w:sdtContent>
    </w:sdt>
    <w:p w:rsidR="00AB2662" w:rsidRDefault="00AB2662" w:rsidP="005A35E4">
      <w:pPr>
        <w:pStyle w:val="UnnumberedHeading"/>
      </w:pPr>
      <w:bookmarkStart w:id="2" w:name="_Toc417923803"/>
      <w:r>
        <w:lastRenderedPageBreak/>
        <w:t>Shortened forms</w:t>
      </w:r>
      <w:bookmarkEnd w:id="2"/>
    </w:p>
    <w:tbl>
      <w:tblPr>
        <w:tblStyle w:val="AERtable-numbers"/>
        <w:tblW w:w="0" w:type="auto"/>
        <w:tblLook w:val="04A0" w:firstRow="1" w:lastRow="0" w:firstColumn="1" w:lastColumn="0" w:noHBand="0" w:noVBand="1"/>
      </w:tblPr>
      <w:tblGrid>
        <w:gridCol w:w="4349"/>
        <w:gridCol w:w="4344"/>
      </w:tblGrid>
      <w:tr w:rsidR="00AB2662" w:rsidTr="00876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9" w:type="dxa"/>
          </w:tcPr>
          <w:p w:rsidR="00AB2662" w:rsidRDefault="00AB2662" w:rsidP="00AB2662">
            <w:pPr>
              <w:numPr>
                <w:ilvl w:val="0"/>
                <w:numId w:val="25"/>
              </w:numPr>
            </w:pPr>
            <w:r>
              <w:t>Shortened form</w:t>
            </w:r>
          </w:p>
        </w:tc>
        <w:tc>
          <w:tcPr>
            <w:tcW w:w="4344" w:type="dxa"/>
          </w:tcPr>
          <w:p w:rsidR="00AB2662" w:rsidRDefault="00AB2662" w:rsidP="00AB2662">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AER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Annual revenue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CESS</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EBSS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MAR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 xml:space="preserve">Maximum allowed revenue </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NER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National Electricity Rules</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Network service provider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NTSC</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opex</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operating expenditure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PTRM</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Post tax revenue model</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RAB</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STPIS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17923804"/>
      <w:r>
        <w:lastRenderedPageBreak/>
        <w:t>Summary</w:t>
      </w:r>
      <w:bookmarkEnd w:id="3"/>
    </w:p>
    <w:p w:rsidR="00882A61" w:rsidRDefault="002B7AEC" w:rsidP="00882A61">
      <w:r>
        <w:t xml:space="preserve">The Australian Energy Regulator (AER) must make </w:t>
      </w:r>
      <w:r w:rsidR="005B253C">
        <w:t xml:space="preserve">a </w:t>
      </w:r>
      <w:r>
        <w:t xml:space="preserve">transmission determination for </w:t>
      </w:r>
      <w:r w:rsidR="005B253C">
        <w:t xml:space="preserve">each </w:t>
      </w:r>
      <w:r>
        <w:t>transmission network service provider (TNSP) in accordance with chapter 6A of the National Electricity Rules (NER).</w:t>
      </w:r>
      <w:r>
        <w:rPr>
          <w:rStyle w:val="FootnoteReference"/>
        </w:rPr>
        <w:footnoteReference w:id="1"/>
      </w:r>
    </w:p>
    <w:p w:rsidR="00593134" w:rsidRDefault="00593134" w:rsidP="00876A5B">
      <w:r>
        <w:t xml:space="preserve">This document is our transmission determination for </w:t>
      </w:r>
      <w:r w:rsidR="00727C65">
        <w:t>TransGrid</w:t>
      </w:r>
      <w:r>
        <w:t xml:space="preserve"> for the regulatory control period 1 July 2015 to 30 June 201</w:t>
      </w:r>
      <w:r w:rsidR="00727C65">
        <w:t>8</w:t>
      </w:r>
      <w:r>
        <w:t>.</w:t>
      </w:r>
      <w:r w:rsidRPr="00593134">
        <w:t xml:space="preserve"> </w:t>
      </w:r>
      <w:r>
        <w:t>Our rea</w:t>
      </w:r>
      <w:r w:rsidR="00B43E67">
        <w:t>sons are included in the AER's f</w:t>
      </w:r>
      <w:r>
        <w:t xml:space="preserve">inal </w:t>
      </w:r>
      <w:r w:rsidR="00B43E67">
        <w:t>d</w:t>
      </w:r>
      <w:r>
        <w:t xml:space="preserve">ecision on </w:t>
      </w:r>
      <w:r w:rsidR="00727C65">
        <w:t>TransGrid's</w:t>
      </w:r>
      <w:r>
        <w:t xml:space="preserve"> transmission determination (</w:t>
      </w:r>
      <w:r w:rsidR="003A1281">
        <w:rPr>
          <w:rStyle w:val="AERbody"/>
        </w:rPr>
        <w:t xml:space="preserve">April </w:t>
      </w:r>
      <w:r>
        <w:t xml:space="preserve">2015) which </w:t>
      </w:r>
      <w:r w:rsidR="00191EFF">
        <w:t>is to</w:t>
      </w:r>
      <w:r>
        <w:t xml:space="preserve"> be read in conjunction with this document.</w:t>
      </w:r>
    </w:p>
    <w:p w:rsidR="00882A61" w:rsidRDefault="00593134" w:rsidP="00882A61">
      <w:r>
        <w:t>Our</w:t>
      </w:r>
      <w:r w:rsidR="00B952C9">
        <w:t xml:space="preserve"> transmission determination </w:t>
      </w:r>
      <w:r w:rsidR="00191EFF">
        <w:t xml:space="preserve">for </w:t>
      </w:r>
      <w:r w:rsidR="00727C65">
        <w:t>TransGrid</w:t>
      </w:r>
      <w:r w:rsidR="00191EFF">
        <w:t xml:space="preserve"> </w:t>
      </w:r>
      <w:r w:rsidR="005B253C">
        <w:t>consists of</w:t>
      </w:r>
      <w:r w:rsidR="00B952C9">
        <w:t>:</w:t>
      </w:r>
      <w:r w:rsidR="00B952C9">
        <w:rPr>
          <w:rStyle w:val="FootnoteReference"/>
        </w:rPr>
        <w:footnoteReference w:id="2"/>
      </w:r>
    </w:p>
    <w:p w:rsidR="00B952C9" w:rsidRDefault="00B952C9" w:rsidP="00B952C9">
      <w:pPr>
        <w:pStyle w:val="AERbulletlistfirststyle"/>
      </w:pPr>
      <w:r>
        <w:t>A revenue determination in resp</w:t>
      </w:r>
      <w:r w:rsidR="005C0A61">
        <w:t>ect</w:t>
      </w:r>
      <w:r>
        <w:t xml:space="preserve"> of the provision by </w:t>
      </w:r>
      <w:r w:rsidR="00727C65">
        <w:t>TransGrid</w:t>
      </w:r>
      <w:r>
        <w:t xml:space="preserve"> of prescribed transmission services</w:t>
      </w:r>
      <w:r w:rsidR="00593134">
        <w:t xml:space="preserve"> (</w:t>
      </w:r>
      <w:r w:rsidR="00B43E67">
        <w:t>s</w:t>
      </w:r>
      <w:r w:rsidR="00593134">
        <w:t>ection 1)</w:t>
      </w:r>
    </w:p>
    <w:p w:rsidR="00B952C9" w:rsidRDefault="00B952C9" w:rsidP="00B952C9">
      <w:pPr>
        <w:pStyle w:val="AERbulletlistfirststyle"/>
      </w:pPr>
      <w:r>
        <w:t xml:space="preserve">A determination relating to </w:t>
      </w:r>
      <w:r w:rsidR="00727C65">
        <w:t>TransGrid's</w:t>
      </w:r>
      <w:r>
        <w:t xml:space="preserve"> negotiating framework</w:t>
      </w:r>
      <w:r w:rsidR="00593134">
        <w:t xml:space="preserve"> (</w:t>
      </w:r>
      <w:r w:rsidR="00B43E67">
        <w:t>s</w:t>
      </w:r>
      <w:r w:rsidR="00593134">
        <w:t>ection 2)</w:t>
      </w:r>
    </w:p>
    <w:p w:rsidR="00B952C9" w:rsidRDefault="00B952C9" w:rsidP="00B952C9">
      <w:pPr>
        <w:pStyle w:val="AERbulletlistfirststyle"/>
      </w:pPr>
      <w:r>
        <w:t xml:space="preserve">A determination that specifies the negotiated transmission service criteria (NTSC) that apply to </w:t>
      </w:r>
      <w:r w:rsidR="00727C65">
        <w:t>TransGrid</w:t>
      </w:r>
      <w:r w:rsidR="00593134">
        <w:t xml:space="preserve"> (</w:t>
      </w:r>
      <w:r w:rsidR="00B43E67">
        <w:t>s</w:t>
      </w:r>
      <w:r w:rsidR="00593134">
        <w:t>ection 3)</w:t>
      </w:r>
    </w:p>
    <w:p w:rsidR="00DA7F02" w:rsidRDefault="00B952C9" w:rsidP="00B952C9">
      <w:pPr>
        <w:pStyle w:val="AERbulletlistfirststyle"/>
      </w:pPr>
      <w:r>
        <w:t xml:space="preserve">A determination that specifies the pricing methodology that applies to </w:t>
      </w:r>
      <w:r w:rsidR="00727C65">
        <w:t>TransGrid</w:t>
      </w:r>
      <w:r w:rsidR="00593134">
        <w:t xml:space="preserve"> (</w:t>
      </w:r>
      <w:r w:rsidR="00B43E67">
        <w:t>s</w:t>
      </w:r>
      <w:r w:rsidR="00593134">
        <w:t>ection 4)</w:t>
      </w:r>
    </w:p>
    <w:p w:rsidR="00B952C9" w:rsidRDefault="00DA7F02" w:rsidP="00B952C9">
      <w:pPr>
        <w:pStyle w:val="AERbulletlistfirststyle"/>
      </w:pPr>
      <w:r>
        <w:t xml:space="preserve">A determination that specifies pass through events that will apply to this determination in addition </w:t>
      </w:r>
      <w:r w:rsidR="00B43E67">
        <w:t>to those specified in the NER (s</w:t>
      </w:r>
      <w:r>
        <w:t>ection 5)</w:t>
      </w:r>
      <w:r w:rsidR="00B952C9">
        <w:t>.</w:t>
      </w:r>
    </w:p>
    <w:p w:rsidR="00882A61" w:rsidRDefault="00882A61" w:rsidP="00882A61">
      <w:pPr>
        <w:pStyle w:val="Heading1"/>
      </w:pPr>
      <w:bookmarkStart w:id="4" w:name="_Toc417923805"/>
      <w:r>
        <w:lastRenderedPageBreak/>
        <w:t>Revenue</w:t>
      </w:r>
      <w:bookmarkEnd w:id="4"/>
    </w:p>
    <w:p w:rsidR="00860EC3" w:rsidRDefault="00860EC3" w:rsidP="00593134">
      <w:r>
        <w:t>We are</w:t>
      </w:r>
      <w:r w:rsidRPr="00860EC3">
        <w:t xml:space="preserve"> required to calculate the amount of revenue that </w:t>
      </w:r>
      <w:r w:rsidR="00727C65">
        <w:t>TransGrid</w:t>
      </w:r>
      <w:r w:rsidRPr="00860EC3">
        <w:t xml:space="preserve"> requires each year of the regulatory control period in accordance with a building block approach.</w:t>
      </w:r>
      <w:r>
        <w:rPr>
          <w:rStyle w:val="FootnoteReference"/>
        </w:rPr>
        <w:footnoteReference w:id="3"/>
      </w:r>
      <w:r>
        <w:t xml:space="preserve"> </w:t>
      </w:r>
      <w:r w:rsidRPr="00860EC3">
        <w:t xml:space="preserve">This is referred to as the </w:t>
      </w:r>
      <w:r w:rsidRPr="00C0196C">
        <w:rPr>
          <w:rStyle w:val="AERtextitalic"/>
        </w:rPr>
        <w:t>annual building block revenue requirement</w:t>
      </w:r>
      <w:r w:rsidRPr="00860EC3">
        <w:t xml:space="preserve">. The annual building block revenue is then used to calculate the expected </w:t>
      </w:r>
      <w:r w:rsidRPr="00C0196C">
        <w:rPr>
          <w:rStyle w:val="AERtextitalic"/>
        </w:rPr>
        <w:t>maximum allowed revenue</w:t>
      </w:r>
      <w:r w:rsidRPr="00860EC3">
        <w:t xml:space="preserve"> (MAR) for each year of the 201</w:t>
      </w:r>
      <w:r>
        <w:t>5</w:t>
      </w:r>
      <w:r w:rsidRPr="00860EC3">
        <w:t>–1</w:t>
      </w:r>
      <w:r w:rsidR="00727C65">
        <w:t>8</w:t>
      </w:r>
      <w:r w:rsidRPr="00860EC3">
        <w:t xml:space="preserve"> regulatory control period. The annual MAR that </w:t>
      </w:r>
      <w:r w:rsidR="00727C65">
        <w:t>TransGrid</w:t>
      </w:r>
      <w:r w:rsidRPr="00860EC3">
        <w:t xml:space="preserve"> may earn from providing prescribed transmission services is subject to adjustments to account for factors such as inflation, approved pass through costs and annual performance rewards or penalties.</w:t>
      </w:r>
    </w:p>
    <w:p w:rsidR="00593134" w:rsidRDefault="00593134" w:rsidP="00593134">
      <w:r>
        <w:t>Our revenue determination specifies the following matters:</w:t>
      </w:r>
      <w:r>
        <w:rPr>
          <w:rStyle w:val="FootnoteReference"/>
        </w:rPr>
        <w:footnoteReference w:id="4"/>
      </w:r>
    </w:p>
    <w:p w:rsidR="00593134" w:rsidRDefault="00593134" w:rsidP="00593134">
      <w:pPr>
        <w:pStyle w:val="AERbulletlistfirststyle"/>
      </w:pPr>
      <w:r>
        <w:t>The amount of the estimated total revenue cap for the regulatory control period or the method of calculating that amount</w:t>
      </w:r>
      <w:r w:rsidR="00BC45E0">
        <w:t>.</w:t>
      </w:r>
    </w:p>
    <w:p w:rsidR="00593134" w:rsidRDefault="00593134" w:rsidP="00593134">
      <w:pPr>
        <w:pStyle w:val="AERbulletlistfirststyle"/>
      </w:pPr>
      <w:r>
        <w:t>The annual building block revenue requirement for each regulatory year of the regulatory control period</w:t>
      </w:r>
      <w:r w:rsidR="00BC45E0">
        <w:t>.</w:t>
      </w:r>
    </w:p>
    <w:p w:rsidR="00593134" w:rsidRDefault="00593134" w:rsidP="00593134">
      <w:pPr>
        <w:pStyle w:val="AERbulletlistfirststyle"/>
      </w:pPr>
      <w:r>
        <w:t xml:space="preserve">The amount of the </w:t>
      </w:r>
      <w:r w:rsidR="00B43E67">
        <w:t>MAR</w:t>
      </w:r>
      <w:r w:rsidR="00A53993">
        <w:t xml:space="preserve"> </w:t>
      </w:r>
      <w:r>
        <w:t>for each regulatory year of the regulatory control period or the method of calculating that amount</w:t>
      </w:r>
      <w:r w:rsidR="00BC45E0">
        <w:t>.</w:t>
      </w:r>
    </w:p>
    <w:p w:rsidR="00593134" w:rsidRDefault="00593134" w:rsidP="00593134">
      <w:pPr>
        <w:pStyle w:val="AERbulletlistfirststyle"/>
      </w:pPr>
      <w:r>
        <w:t xml:space="preserve">The regulatory asset base </w:t>
      </w:r>
      <w:r w:rsidR="00A53993">
        <w:t xml:space="preserve">(RAB) </w:t>
      </w:r>
      <w:r>
        <w:t>as at the commencement of the regulatory control period</w:t>
      </w:r>
      <w:r w:rsidR="00BC45E0">
        <w:t>.</w:t>
      </w:r>
    </w:p>
    <w:p w:rsidR="00593134" w:rsidRDefault="00593134" w:rsidP="00593134">
      <w:pPr>
        <w:pStyle w:val="AERbulletlistfirststyle"/>
      </w:pPr>
      <w:r>
        <w:t>Appropriate methodolog</w:t>
      </w:r>
      <w:r w:rsidR="00A734F6">
        <w:t>y</w:t>
      </w:r>
      <w:r>
        <w:t xml:space="preserve"> for the indexation of the </w:t>
      </w:r>
      <w:r w:rsidR="00A53993">
        <w:t>RAB</w:t>
      </w:r>
      <w:r w:rsidR="00BC45E0">
        <w:t>.</w:t>
      </w:r>
    </w:p>
    <w:p w:rsidR="00593134" w:rsidRDefault="00593134" w:rsidP="00593134">
      <w:pPr>
        <w:pStyle w:val="AERbulletlistfirststyle"/>
      </w:pPr>
      <w:r>
        <w:t xml:space="preserve">The values that are to be attributed to the performance incentive scheme parameters for the purposes of the application to </w:t>
      </w:r>
      <w:r w:rsidR="00727C65">
        <w:t>TransGrid</w:t>
      </w:r>
      <w:r>
        <w:t xml:space="preserve"> of the service target performance incentive scheme (STPIS) that applies in respect of the regulatory control period.</w:t>
      </w:r>
    </w:p>
    <w:p w:rsidR="00593134" w:rsidRDefault="00593134" w:rsidP="00593134">
      <w:pPr>
        <w:pStyle w:val="AERbulletlistfirststyle"/>
      </w:pPr>
      <w:r>
        <w:t xml:space="preserve">The values that are to be attributed to the efficiency benefit sharing scheme parameters for the purposes of the application to </w:t>
      </w:r>
      <w:r w:rsidR="00727C65">
        <w:t>TransGrid</w:t>
      </w:r>
      <w:r>
        <w:t xml:space="preserve"> of the efficiency benefit sharing scheme (EBSS) that applies in respect of the regulatory control period</w:t>
      </w:r>
      <w:r w:rsidR="00BC45E0">
        <w:t>.</w:t>
      </w:r>
    </w:p>
    <w:p w:rsidR="00FC0A64" w:rsidRDefault="00FC0A64" w:rsidP="00FC0A64">
      <w:pPr>
        <w:pStyle w:val="AERbulletlistfirststyle"/>
      </w:pPr>
      <w:r>
        <w:t xml:space="preserve">How any capital expenditure sharing scheme or small-scale incentive scheme is to apply to </w:t>
      </w:r>
      <w:r w:rsidR="00727C65">
        <w:t>TransGrid</w:t>
      </w:r>
      <w:r w:rsidR="00BC45E0">
        <w:t>.</w:t>
      </w:r>
    </w:p>
    <w:p w:rsidR="00593134" w:rsidRDefault="00593134" w:rsidP="00593134">
      <w:pPr>
        <w:pStyle w:val="AERbulletlistfirststyle"/>
      </w:pPr>
      <w:r>
        <w:t>The commencement and length of the regulatory control period</w:t>
      </w:r>
      <w:r w:rsidR="00BC45E0">
        <w:t>.</w:t>
      </w:r>
    </w:p>
    <w:p w:rsidR="00593134" w:rsidRDefault="00593134" w:rsidP="00593134">
      <w:pPr>
        <w:pStyle w:val="AERbulletlistfirststyle"/>
      </w:pPr>
      <w:r>
        <w:t xml:space="preserve">Whether depreciation for establishing the regulatory asset base as at the commencement of the following regulatory control period is to be based on actual or forecast </w:t>
      </w:r>
      <w:r w:rsidR="00BC45E0">
        <w:t xml:space="preserve">capital </w:t>
      </w:r>
      <w:r>
        <w:t>expenditure.</w:t>
      </w:r>
    </w:p>
    <w:p w:rsidR="00593134" w:rsidRPr="00593134" w:rsidRDefault="00593134" w:rsidP="00994B4D"/>
    <w:p w:rsidR="00715910" w:rsidRPr="00B45D78" w:rsidRDefault="00715910" w:rsidP="00B45D78">
      <w:pPr>
        <w:pStyle w:val="Heading2"/>
      </w:pPr>
      <w:bookmarkStart w:id="5" w:name="_Toc417923806"/>
      <w:r w:rsidRPr="00B45D78">
        <w:lastRenderedPageBreak/>
        <w:t>Method for calculating</w:t>
      </w:r>
      <w:r w:rsidR="00A73B67" w:rsidRPr="00B45D78">
        <w:t xml:space="preserve"> estimated</w:t>
      </w:r>
      <w:r w:rsidRPr="00B45D78">
        <w:t xml:space="preserve"> total revenue cap</w:t>
      </w:r>
      <w:bookmarkEnd w:id="5"/>
      <w:r w:rsidRPr="00B45D78">
        <w:t xml:space="preserve"> </w:t>
      </w:r>
    </w:p>
    <w:p w:rsidR="00715910" w:rsidRPr="00B45D78" w:rsidRDefault="00A53993" w:rsidP="00B45D78">
      <w:r w:rsidRPr="00B45D78">
        <w:t>We determine</w:t>
      </w:r>
      <w:r w:rsidR="00A73B67" w:rsidRPr="00B45D78">
        <w:t xml:space="preserve"> an estimated total </w:t>
      </w:r>
      <w:r w:rsidR="00860EC3" w:rsidRPr="00B45D78">
        <w:t>MAR</w:t>
      </w:r>
      <w:r w:rsidR="00A73B67" w:rsidRPr="00B45D78">
        <w:t xml:space="preserve"> of $</w:t>
      </w:r>
      <w:r w:rsidR="00574A1C">
        <w:t>218</w:t>
      </w:r>
      <w:r w:rsidR="007332B8">
        <w:t>8.9</w:t>
      </w:r>
      <w:r w:rsidR="00A73B67" w:rsidRPr="00B45D78">
        <w:t xml:space="preserve"> million ($ nominal) for T</w:t>
      </w:r>
      <w:r w:rsidR="00BC45E0" w:rsidRPr="00B45D78">
        <w:t>ransGrid</w:t>
      </w:r>
      <w:r w:rsidR="00A73B67" w:rsidRPr="00B45D78">
        <w:t xml:space="preserve"> for the 2015–1</w:t>
      </w:r>
      <w:r w:rsidR="00BC45E0" w:rsidRPr="00B45D78">
        <w:t>8</w:t>
      </w:r>
      <w:r w:rsidR="00A73B67" w:rsidRPr="00B45D78">
        <w:t xml:space="preserve"> regulatory control period </w:t>
      </w:r>
      <w:r w:rsidR="00756A28">
        <w:t>(</w:t>
      </w:r>
      <w:r w:rsidR="00A73B67" w:rsidRPr="00B45D78">
        <w:t>or $</w:t>
      </w:r>
      <w:r w:rsidR="00574A1C">
        <w:t>303</w:t>
      </w:r>
      <w:r w:rsidR="007332B8">
        <w:t>4</w:t>
      </w:r>
      <w:r w:rsidR="00574A1C">
        <w:t>.</w:t>
      </w:r>
      <w:r w:rsidR="007332B8">
        <w:t>3</w:t>
      </w:r>
      <w:r w:rsidR="00A73B67" w:rsidRPr="00B45D78">
        <w:t xml:space="preserve"> million for the 2014–1</w:t>
      </w:r>
      <w:r w:rsidR="00BC45E0" w:rsidRPr="00B45D78">
        <w:t>8</w:t>
      </w:r>
      <w:r w:rsidR="00A73B67" w:rsidRPr="00B45D78">
        <w:t xml:space="preserve"> period</w:t>
      </w:r>
      <w:r w:rsidR="00756A28">
        <w:t>, including the 2014–15 transitional year)</w:t>
      </w:r>
      <w:r w:rsidR="00860EC3" w:rsidRPr="00B45D78">
        <w:t xml:space="preserve"> as shown in</w:t>
      </w:r>
      <w:r w:rsidR="003A1281">
        <w:t xml:space="preserve"> </w:t>
      </w:r>
      <w:r w:rsidR="003A1281">
        <w:fldChar w:fldCharType="begin"/>
      </w:r>
      <w:r w:rsidR="003A1281">
        <w:instrText xml:space="preserve"> REF _Ref416860598 \h </w:instrText>
      </w:r>
      <w:r w:rsidR="003A1281">
        <w:fldChar w:fldCharType="separate"/>
      </w:r>
      <w:r w:rsidR="00963826">
        <w:t xml:space="preserve">Table </w:t>
      </w:r>
      <w:r w:rsidR="00963826">
        <w:rPr>
          <w:noProof/>
        </w:rPr>
        <w:t>1</w:t>
      </w:r>
      <w:r w:rsidR="003A1281">
        <w:fldChar w:fldCharType="end"/>
      </w:r>
      <w:r w:rsidR="00A73B67" w:rsidRPr="00B45D78">
        <w:t>.</w:t>
      </w:r>
      <w:r w:rsidR="00860EC3" w:rsidRPr="00B45D78">
        <w:t xml:space="preserve"> The estimated total MAR is also known as the total revenue cap. It is the sum of the expected MAR for each regulatory year.</w:t>
      </w:r>
      <w:r w:rsidR="00B45D78">
        <w:rPr>
          <w:rStyle w:val="FootnoteReference"/>
        </w:rPr>
        <w:footnoteReference w:id="5"/>
      </w:r>
    </w:p>
    <w:p w:rsidR="00860EC3" w:rsidRPr="00B45D78" w:rsidRDefault="003A1281" w:rsidP="003A1281">
      <w:pPr>
        <w:pStyle w:val="Caption"/>
      </w:pPr>
      <w:bookmarkStart w:id="6" w:name="_Ref416860598"/>
      <w:r>
        <w:t xml:space="preserve">Table </w:t>
      </w:r>
      <w:r w:rsidR="00963826">
        <w:fldChar w:fldCharType="begin"/>
      </w:r>
      <w:r w:rsidR="00963826">
        <w:instrText xml:space="preserve"> SEQ Table \* ARABIC </w:instrText>
      </w:r>
      <w:r w:rsidR="00963826">
        <w:fldChar w:fldCharType="separate"/>
      </w:r>
      <w:r w:rsidR="00963826">
        <w:rPr>
          <w:noProof/>
        </w:rPr>
        <w:t>1</w:t>
      </w:r>
      <w:r w:rsidR="00963826">
        <w:rPr>
          <w:noProof/>
        </w:rPr>
        <w:fldChar w:fldCharType="end"/>
      </w:r>
      <w:bookmarkEnd w:id="6"/>
      <w:r w:rsidR="00860EC3" w:rsidRPr="00B45D78">
        <w:tab/>
        <w:t>AER's final determination on T</w:t>
      </w:r>
      <w:r w:rsidR="00BC45E0" w:rsidRPr="00B45D78">
        <w:t>ransGrid</w:t>
      </w:r>
      <w:r w:rsidR="00860EC3" w:rsidRPr="00B45D78">
        <w:t>'</w:t>
      </w:r>
      <w:r w:rsidR="00BC45E0" w:rsidRPr="00B45D78">
        <w:t>s</w:t>
      </w:r>
      <w:r w:rsidR="00860EC3" w:rsidRPr="00B45D78">
        <w:t xml:space="preserve"> annual </w:t>
      </w:r>
      <w:r w:rsidR="00001987" w:rsidRPr="00B45D78">
        <w:t>expected maximum allowed revenue</w:t>
      </w:r>
      <w:r w:rsidR="00860EC3" w:rsidRPr="00B45D78">
        <w:t xml:space="preserve"> ($ million, nominal)</w:t>
      </w:r>
    </w:p>
    <w:tbl>
      <w:tblPr>
        <w:tblStyle w:val="AERtable-numbers"/>
        <w:tblW w:w="5000" w:type="pct"/>
        <w:tblLook w:val="04A0" w:firstRow="1" w:lastRow="0" w:firstColumn="1" w:lastColumn="0" w:noHBand="0" w:noVBand="1"/>
      </w:tblPr>
      <w:tblGrid>
        <w:gridCol w:w="2783"/>
        <w:gridCol w:w="984"/>
        <w:gridCol w:w="986"/>
        <w:gridCol w:w="986"/>
        <w:gridCol w:w="986"/>
        <w:gridCol w:w="986"/>
        <w:gridCol w:w="982"/>
      </w:tblGrid>
      <w:tr w:rsidR="00BC45E0" w:rsidRPr="00B45D78" w:rsidTr="00BC45E0">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01" w:type="pct"/>
          </w:tcPr>
          <w:p w:rsidR="00BC45E0" w:rsidRPr="00B45D78" w:rsidRDefault="00BC45E0" w:rsidP="00B45D78"/>
        </w:tc>
        <w:tc>
          <w:tcPr>
            <w:tcW w:w="566"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2014–15</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2015–16</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2016–17</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2017–18</w:t>
            </w:r>
          </w:p>
        </w:tc>
        <w:tc>
          <w:tcPr>
            <w:tcW w:w="567" w:type="pct"/>
          </w:tcPr>
          <w:p w:rsidR="00BC45E0" w:rsidRPr="00B45D78" w:rsidRDefault="00BC45E0" w:rsidP="00C32DC9">
            <w:pPr>
              <w:cnfStyle w:val="100000000000" w:firstRow="1" w:lastRow="0" w:firstColumn="0" w:lastColumn="0" w:oddVBand="0" w:evenVBand="0" w:oddHBand="0" w:evenHBand="0" w:firstRowFirstColumn="0" w:firstRowLastColumn="0" w:lastRowFirstColumn="0" w:lastRowLastColumn="0"/>
            </w:pPr>
            <w:r w:rsidRPr="00B45D78">
              <w:t>Total 2014–1</w:t>
            </w:r>
            <w:r w:rsidR="00C32DC9">
              <w:t>8</w:t>
            </w:r>
          </w:p>
        </w:tc>
        <w:tc>
          <w:tcPr>
            <w:tcW w:w="567" w:type="pct"/>
          </w:tcPr>
          <w:p w:rsidR="00BC45E0" w:rsidRPr="00B45D78" w:rsidRDefault="00BC45E0" w:rsidP="00C32DC9">
            <w:pPr>
              <w:cnfStyle w:val="100000000000" w:firstRow="1" w:lastRow="0" w:firstColumn="0" w:lastColumn="0" w:oddVBand="0" w:evenVBand="0" w:oddHBand="0" w:evenHBand="0" w:firstRowFirstColumn="0" w:firstRowLastColumn="0" w:lastRowFirstColumn="0" w:lastRowLastColumn="0"/>
            </w:pPr>
            <w:r w:rsidRPr="00B45D78">
              <w:t>Total 2015–1</w:t>
            </w:r>
            <w:r w:rsidR="00C32DC9">
              <w:t>8</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601" w:type="pct"/>
          </w:tcPr>
          <w:p w:rsidR="00BC45E0" w:rsidRPr="00B45D78" w:rsidRDefault="00BC45E0" w:rsidP="00B45D78">
            <w:r w:rsidRPr="00B45D78">
              <w:t>Annual expected MAR (smoothed)</w:t>
            </w:r>
          </w:p>
        </w:tc>
        <w:tc>
          <w:tcPr>
            <w:tcW w:w="566" w:type="pct"/>
          </w:tcPr>
          <w:p w:rsidR="00BC45E0" w:rsidRPr="00B45D78" w:rsidRDefault="00574A1C" w:rsidP="00B45D78">
            <w:pPr>
              <w:cnfStyle w:val="000000000000" w:firstRow="0" w:lastRow="0" w:firstColumn="0" w:lastColumn="0" w:oddVBand="0" w:evenVBand="0" w:oddHBand="0" w:evenHBand="0" w:firstRowFirstColumn="0" w:firstRowLastColumn="0" w:lastRowFirstColumn="0" w:lastRowLastColumn="0"/>
            </w:pPr>
            <w:r>
              <w:t>845.4</w:t>
            </w:r>
          </w:p>
        </w:tc>
        <w:tc>
          <w:tcPr>
            <w:tcW w:w="567" w:type="pct"/>
          </w:tcPr>
          <w:p w:rsidR="00BC45E0" w:rsidRPr="00B45D78" w:rsidRDefault="00574A1C" w:rsidP="007332B8">
            <w:pPr>
              <w:cnfStyle w:val="000000000000" w:firstRow="0" w:lastRow="0" w:firstColumn="0" w:lastColumn="0" w:oddVBand="0" w:evenVBand="0" w:oddHBand="0" w:evenHBand="0" w:firstRowFirstColumn="0" w:firstRowLastColumn="0" w:lastRowFirstColumn="0" w:lastRowLastColumn="0"/>
            </w:pPr>
            <w:r>
              <w:t>734.</w:t>
            </w:r>
            <w:r w:rsidR="007332B8">
              <w:t>7</w:t>
            </w:r>
          </w:p>
        </w:tc>
        <w:tc>
          <w:tcPr>
            <w:tcW w:w="567" w:type="pct"/>
          </w:tcPr>
          <w:p w:rsidR="00BC45E0" w:rsidRPr="00B45D78" w:rsidRDefault="00574A1C" w:rsidP="00B45D78">
            <w:pPr>
              <w:cnfStyle w:val="000000000000" w:firstRow="0" w:lastRow="0" w:firstColumn="0" w:lastColumn="0" w:oddVBand="0" w:evenVBand="0" w:oddHBand="0" w:evenHBand="0" w:firstRowFirstColumn="0" w:firstRowLastColumn="0" w:lastRowFirstColumn="0" w:lastRowLastColumn="0"/>
            </w:pPr>
            <w:r>
              <w:t>729.</w:t>
            </w:r>
            <w:r w:rsidR="007332B8">
              <w:t>6</w:t>
            </w:r>
          </w:p>
        </w:tc>
        <w:tc>
          <w:tcPr>
            <w:tcW w:w="567" w:type="pct"/>
          </w:tcPr>
          <w:p w:rsidR="00BC45E0" w:rsidRPr="00B45D78" w:rsidRDefault="00574A1C" w:rsidP="00B45D78">
            <w:pPr>
              <w:cnfStyle w:val="000000000000" w:firstRow="0" w:lastRow="0" w:firstColumn="0" w:lastColumn="0" w:oddVBand="0" w:evenVBand="0" w:oddHBand="0" w:evenHBand="0" w:firstRowFirstColumn="0" w:firstRowLastColumn="0" w:lastRowFirstColumn="0" w:lastRowLastColumn="0"/>
            </w:pPr>
            <w:r>
              <w:t>724.</w:t>
            </w:r>
            <w:r w:rsidR="007332B8">
              <w:t>6</w:t>
            </w:r>
          </w:p>
        </w:tc>
        <w:tc>
          <w:tcPr>
            <w:tcW w:w="567" w:type="pct"/>
          </w:tcPr>
          <w:p w:rsidR="00BC45E0" w:rsidRPr="00B45D78" w:rsidRDefault="00574A1C" w:rsidP="007332B8">
            <w:pPr>
              <w:cnfStyle w:val="000000000000" w:firstRow="0" w:lastRow="0" w:firstColumn="0" w:lastColumn="0" w:oddVBand="0" w:evenVBand="0" w:oddHBand="0" w:evenHBand="0" w:firstRowFirstColumn="0" w:firstRowLastColumn="0" w:lastRowFirstColumn="0" w:lastRowLastColumn="0"/>
            </w:pPr>
            <w:r>
              <w:t>303</w:t>
            </w:r>
            <w:r w:rsidR="007332B8">
              <w:t>4</w:t>
            </w:r>
            <w:r>
              <w:t>.</w:t>
            </w:r>
            <w:r w:rsidR="007332B8">
              <w:t>3</w:t>
            </w:r>
          </w:p>
        </w:tc>
        <w:tc>
          <w:tcPr>
            <w:tcW w:w="567" w:type="pct"/>
          </w:tcPr>
          <w:p w:rsidR="00BC45E0" w:rsidRPr="00B45D78" w:rsidRDefault="00574A1C" w:rsidP="007332B8">
            <w:pPr>
              <w:cnfStyle w:val="000000000000" w:firstRow="0" w:lastRow="0" w:firstColumn="0" w:lastColumn="0" w:oddVBand="0" w:evenVBand="0" w:oddHBand="0" w:evenHBand="0" w:firstRowFirstColumn="0" w:firstRowLastColumn="0" w:lastRowFirstColumn="0" w:lastRowLastColumn="0"/>
            </w:pPr>
            <w:r>
              <w:t>2188</w:t>
            </w:r>
            <w:r w:rsidR="007332B8">
              <w:t>.9</w:t>
            </w:r>
          </w:p>
        </w:tc>
      </w:tr>
      <w:tr w:rsidR="00756A28" w:rsidRPr="00B45D78" w:rsidTr="00BC45E0">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01" w:type="pct"/>
          </w:tcPr>
          <w:p w:rsidR="00756A28" w:rsidRPr="00B45D78" w:rsidRDefault="00756A28" w:rsidP="00B45D78">
            <w:r>
              <w:t>X factor (%)</w:t>
            </w:r>
          </w:p>
        </w:tc>
        <w:tc>
          <w:tcPr>
            <w:tcW w:w="566"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c>
          <w:tcPr>
            <w:tcW w:w="567" w:type="pct"/>
          </w:tcPr>
          <w:p w:rsidR="00756A28" w:rsidRPr="00B45D78" w:rsidRDefault="007332B8" w:rsidP="00B45D78">
            <w:pPr>
              <w:cnfStyle w:val="000000010000" w:firstRow="0" w:lastRow="0" w:firstColumn="0" w:lastColumn="0" w:oddVBand="0" w:evenVBand="0" w:oddHBand="0" w:evenHBand="1" w:firstRowFirstColumn="0" w:firstRowLastColumn="0" w:lastRowFirstColumn="0" w:lastRowLastColumn="0"/>
            </w:pPr>
            <w:r>
              <w:t>15.11</w:t>
            </w:r>
            <w:r w:rsidR="00756A28">
              <w:t>%</w:t>
            </w:r>
            <w:r w:rsidR="00756A28" w:rsidRPr="00756A28">
              <w:rPr>
                <w:rStyle w:val="AERsuperscript"/>
              </w:rPr>
              <w:t>a</w:t>
            </w:r>
          </w:p>
        </w:tc>
        <w:tc>
          <w:tcPr>
            <w:tcW w:w="567" w:type="pct"/>
          </w:tcPr>
          <w:p w:rsidR="00756A28" w:rsidRPr="00B45D78" w:rsidRDefault="00574A1C" w:rsidP="00B45D78">
            <w:pPr>
              <w:cnfStyle w:val="000000010000" w:firstRow="0" w:lastRow="0" w:firstColumn="0" w:lastColumn="0" w:oddVBand="0" w:evenVBand="0" w:oddHBand="0" w:evenHBand="1" w:firstRowFirstColumn="0" w:firstRowLastColumn="0" w:lastRowFirstColumn="0" w:lastRowLastColumn="0"/>
            </w:pPr>
            <w:r>
              <w:t>3.00</w:t>
            </w:r>
            <w:r w:rsidR="00756A28">
              <w:t>%</w:t>
            </w:r>
            <w:r w:rsidR="00756A28" w:rsidRPr="00756A28">
              <w:rPr>
                <w:rStyle w:val="AERsuperscript"/>
              </w:rPr>
              <w:t>b</w:t>
            </w:r>
          </w:p>
        </w:tc>
        <w:tc>
          <w:tcPr>
            <w:tcW w:w="567" w:type="pct"/>
          </w:tcPr>
          <w:p w:rsidR="00756A28" w:rsidRPr="00B45D78" w:rsidRDefault="00574A1C" w:rsidP="00B45D78">
            <w:pPr>
              <w:cnfStyle w:val="000000010000" w:firstRow="0" w:lastRow="0" w:firstColumn="0" w:lastColumn="0" w:oddVBand="0" w:evenVBand="0" w:oddHBand="0" w:evenHBand="1" w:firstRowFirstColumn="0" w:firstRowLastColumn="0" w:lastRowFirstColumn="0" w:lastRowLastColumn="0"/>
            </w:pPr>
            <w:r>
              <w:t>3.00</w:t>
            </w:r>
            <w:r w:rsidR="00756A28">
              <w:t>%</w:t>
            </w:r>
            <w:r w:rsidR="00756A28" w:rsidRPr="00756A28">
              <w:rPr>
                <w:rStyle w:val="AERsuperscript"/>
              </w:rPr>
              <w:t>b</w:t>
            </w:r>
          </w:p>
        </w:tc>
        <w:tc>
          <w:tcPr>
            <w:tcW w:w="567"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c>
          <w:tcPr>
            <w:tcW w:w="567"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r>
    </w:tbl>
    <w:p w:rsidR="00756A28" w:rsidRDefault="00860EC3" w:rsidP="00756A28">
      <w:pPr>
        <w:pStyle w:val="AERtablesource"/>
      </w:pPr>
      <w:r w:rsidRPr="00B45D78">
        <w:t>Source:</w:t>
      </w:r>
      <w:r w:rsidRPr="00B45D78">
        <w:tab/>
        <w:t>AER analysis.</w:t>
      </w:r>
      <w:r w:rsidR="00756A28">
        <w:t xml:space="preserve"> </w:t>
      </w:r>
    </w:p>
    <w:p w:rsidR="00756A28" w:rsidRPr="001C2DB8" w:rsidRDefault="00756A28" w:rsidP="00756A28">
      <w:pPr>
        <w:pStyle w:val="AERtablesource"/>
      </w:pPr>
      <w:r>
        <w:t>(a)</w:t>
      </w:r>
      <w:r>
        <w:tab/>
        <w:t>Applying the</w:t>
      </w:r>
      <w:r w:rsidRPr="00C10597">
        <w:t xml:space="preserve"> X factor for 201</w:t>
      </w:r>
      <w:r>
        <w:t>5</w:t>
      </w:r>
      <w:r w:rsidRPr="00C10597">
        <w:t>–1</w:t>
      </w:r>
      <w:r>
        <w:t>6</w:t>
      </w:r>
      <w:r w:rsidRPr="00C10597">
        <w:t xml:space="preserve"> </w:t>
      </w:r>
      <w:r>
        <w:t>and the actual CPI of 1.72 per cent in accordance with the annual revenue adjustment formula set out in section 1.3 of this transmission determination, the MAR for 2015–16 is $</w:t>
      </w:r>
      <w:r w:rsidR="0059566C">
        <w:t>729.</w:t>
      </w:r>
      <w:r w:rsidR="00513DE2">
        <w:t>9</w:t>
      </w:r>
      <w:r w:rsidR="0059566C">
        <w:t> </w:t>
      </w:r>
      <w:r>
        <w:t>million</w:t>
      </w:r>
      <w:r w:rsidRPr="001C2DB8">
        <w:t>.</w:t>
      </w:r>
    </w:p>
    <w:p w:rsidR="00860EC3" w:rsidRPr="00B45D78" w:rsidRDefault="00756A28" w:rsidP="00B45D78">
      <w:pPr>
        <w:pStyle w:val="AERtablesource"/>
      </w:pPr>
      <w:r>
        <w:t>(b</w:t>
      </w:r>
      <w:r w:rsidRPr="001C2DB8">
        <w:t>)</w:t>
      </w:r>
      <w:r w:rsidRPr="001C2DB8">
        <w:tab/>
        <w:t xml:space="preserve">The X factor will be revised to reflect the annual return on debt update. </w:t>
      </w:r>
    </w:p>
    <w:p w:rsidR="00860EC3" w:rsidRPr="00B45D78" w:rsidRDefault="00001987" w:rsidP="00B45D78">
      <w:r w:rsidRPr="00B45D78">
        <w:t xml:space="preserve">We determine the annual expected MAR by </w:t>
      </w:r>
      <w:r w:rsidR="00756A28">
        <w:t xml:space="preserve">using the X factors to </w:t>
      </w:r>
      <w:r w:rsidRPr="00B45D78">
        <w:t>smooth the annual building block revenue requirement as set out below.</w:t>
      </w:r>
    </w:p>
    <w:p w:rsidR="00715910" w:rsidRPr="00B45D78" w:rsidRDefault="00715910" w:rsidP="00B45D78">
      <w:pPr>
        <w:pStyle w:val="Heading2"/>
      </w:pPr>
      <w:bookmarkStart w:id="7" w:name="_Toc417923807"/>
      <w:r w:rsidRPr="00B45D78">
        <w:t>Annual building block revenue requirement</w:t>
      </w:r>
      <w:bookmarkEnd w:id="7"/>
      <w:r w:rsidRPr="00B45D78">
        <w:t xml:space="preserve"> </w:t>
      </w:r>
    </w:p>
    <w:p w:rsidR="00715910" w:rsidRDefault="00A53993" w:rsidP="00B45D78">
      <w:r w:rsidRPr="00B45D78">
        <w:t>We</w:t>
      </w:r>
      <w:r w:rsidR="00A73B67" w:rsidRPr="00B45D78">
        <w:t xml:space="preserve"> determine the annual building block revenue requirement for </w:t>
      </w:r>
      <w:r w:rsidR="004512C8" w:rsidRPr="00B45D78">
        <w:t>T</w:t>
      </w:r>
      <w:r w:rsidR="00BC45E0" w:rsidRPr="00B45D78">
        <w:t>ransGrid</w:t>
      </w:r>
      <w:r w:rsidR="00A73B67" w:rsidRPr="00B45D78">
        <w:t xml:space="preserve"> as shown in</w:t>
      </w:r>
      <w:r w:rsidR="003A1281">
        <w:t xml:space="preserve"> </w:t>
      </w:r>
      <w:r w:rsidR="003A1281">
        <w:fldChar w:fldCharType="begin"/>
      </w:r>
      <w:r w:rsidR="003A1281">
        <w:instrText xml:space="preserve"> REF _Ref416860621 \h </w:instrText>
      </w:r>
      <w:r w:rsidR="003A1281">
        <w:fldChar w:fldCharType="separate"/>
      </w:r>
      <w:r w:rsidR="00963826">
        <w:t xml:space="preserve">Table </w:t>
      </w:r>
      <w:r w:rsidR="00963826">
        <w:rPr>
          <w:noProof/>
        </w:rPr>
        <w:t>2</w:t>
      </w:r>
      <w:r w:rsidR="003A1281">
        <w:fldChar w:fldCharType="end"/>
      </w:r>
      <w:r w:rsidR="00A73B67" w:rsidRPr="00B45D78">
        <w:t>.</w:t>
      </w:r>
    </w:p>
    <w:p w:rsidR="00756A28" w:rsidRDefault="00756A28" w:rsidP="00B45D78"/>
    <w:p w:rsidR="00756A28" w:rsidRDefault="00756A28" w:rsidP="00B45D78"/>
    <w:p w:rsidR="00756A28" w:rsidRDefault="00756A28" w:rsidP="00B45D78"/>
    <w:p w:rsidR="00756A28" w:rsidRDefault="00756A28" w:rsidP="00B45D78"/>
    <w:p w:rsidR="00756A28" w:rsidRDefault="00756A28" w:rsidP="00B45D78"/>
    <w:p w:rsidR="00756A28" w:rsidRPr="00B45D78" w:rsidRDefault="00756A28" w:rsidP="00B45D78"/>
    <w:p w:rsidR="00A73B67" w:rsidRPr="00B45D78" w:rsidRDefault="003A1281" w:rsidP="003A1281">
      <w:pPr>
        <w:pStyle w:val="Caption"/>
      </w:pPr>
      <w:bookmarkStart w:id="8" w:name="_Ref416860621"/>
      <w:r>
        <w:lastRenderedPageBreak/>
        <w:t xml:space="preserve">Table </w:t>
      </w:r>
      <w:r w:rsidR="00963826">
        <w:fldChar w:fldCharType="begin"/>
      </w:r>
      <w:r w:rsidR="00963826">
        <w:instrText xml:space="preserve"> SEQ Table \* ARABIC </w:instrText>
      </w:r>
      <w:r w:rsidR="00963826">
        <w:fldChar w:fldCharType="separate"/>
      </w:r>
      <w:r w:rsidR="00963826">
        <w:rPr>
          <w:noProof/>
        </w:rPr>
        <w:t>2</w:t>
      </w:r>
      <w:r w:rsidR="00963826">
        <w:rPr>
          <w:noProof/>
        </w:rPr>
        <w:fldChar w:fldCharType="end"/>
      </w:r>
      <w:bookmarkEnd w:id="8"/>
      <w:r w:rsidR="00001987" w:rsidRPr="00B45D78">
        <w:tab/>
      </w:r>
      <w:r w:rsidR="00A73B67" w:rsidRPr="00B45D78">
        <w:t xml:space="preserve">AER's </w:t>
      </w:r>
      <w:r w:rsidR="004512C8" w:rsidRPr="00B45D78">
        <w:t>final determination</w:t>
      </w:r>
      <w:r w:rsidR="00A73B67" w:rsidRPr="00B45D78">
        <w:t xml:space="preserve"> on T</w:t>
      </w:r>
      <w:r w:rsidR="00BC45E0" w:rsidRPr="00B45D78">
        <w:t>ransGrid</w:t>
      </w:r>
      <w:r w:rsidR="00A73B67" w:rsidRPr="00B45D78">
        <w:t>'</w:t>
      </w:r>
      <w:r w:rsidR="00BC45E0" w:rsidRPr="00B45D78">
        <w:t>s</w:t>
      </w:r>
      <w:r w:rsidR="00A73B67" w:rsidRPr="00B45D78">
        <w:t xml:space="preserve"> annual buil</w:t>
      </w:r>
      <w:r w:rsidR="004512C8" w:rsidRPr="00B45D78">
        <w:t xml:space="preserve">ding block revenue requirement </w:t>
      </w:r>
      <w:r w:rsidR="00A73B67" w:rsidRPr="00B45D78">
        <w:t>($ million, nominal)</w:t>
      </w:r>
    </w:p>
    <w:tbl>
      <w:tblPr>
        <w:tblStyle w:val="AERtable-numbers"/>
        <w:tblW w:w="5000" w:type="pct"/>
        <w:tblLook w:val="04A0" w:firstRow="1" w:lastRow="0" w:firstColumn="1" w:lastColumn="0" w:noHBand="0" w:noVBand="1"/>
      </w:tblPr>
      <w:tblGrid>
        <w:gridCol w:w="3101"/>
        <w:gridCol w:w="409"/>
        <w:gridCol w:w="709"/>
        <w:gridCol w:w="195"/>
        <w:gridCol w:w="923"/>
        <w:gridCol w:w="146"/>
        <w:gridCol w:w="972"/>
        <w:gridCol w:w="97"/>
        <w:gridCol w:w="1021"/>
        <w:gridCol w:w="49"/>
        <w:gridCol w:w="1071"/>
      </w:tblGrid>
      <w:tr w:rsidR="00BC45E0" w:rsidRPr="00B45D78" w:rsidTr="00BC45E0">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2019" w:type="pct"/>
            <w:gridSpan w:val="2"/>
          </w:tcPr>
          <w:p w:rsidR="00BC45E0" w:rsidRPr="00B45D78" w:rsidRDefault="00BC45E0" w:rsidP="00B45D78"/>
        </w:tc>
        <w:tc>
          <w:tcPr>
            <w:tcW w:w="520"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2014–15</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2015–16</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2016–17</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2017–18</w:t>
            </w:r>
          </w:p>
        </w:tc>
        <w:tc>
          <w:tcPr>
            <w:tcW w:w="616"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Total</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Return on capital</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415.7</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421.2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435.</w:t>
            </w:r>
            <w:r w:rsidR="007332B8">
              <w:t>4</w:t>
            </w:r>
          </w:p>
        </w:tc>
        <w:tc>
          <w:tcPr>
            <w:tcW w:w="643" w:type="pct"/>
            <w:gridSpan w:val="2"/>
          </w:tcPr>
          <w:p w:rsidR="00BC45E0" w:rsidRPr="00B45D78" w:rsidRDefault="007332B8" w:rsidP="00574A1C">
            <w:pPr>
              <w:cnfStyle w:val="000000000000" w:firstRow="0" w:lastRow="0" w:firstColumn="0" w:lastColumn="0" w:oddVBand="0" w:evenVBand="0" w:oddHBand="0" w:evenHBand="0" w:firstRowFirstColumn="0" w:firstRowLastColumn="0" w:lastRowFirstColumn="0" w:lastRowLastColumn="0"/>
            </w:pPr>
            <w:r>
              <w:t>444.0</w:t>
            </w:r>
          </w:p>
        </w:tc>
        <w:tc>
          <w:tcPr>
            <w:tcW w:w="644"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1716.</w:t>
            </w:r>
            <w:r w:rsidR="00B37118">
              <w:t>3</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Regulatory depreciation</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98.3</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113.</w:t>
            </w:r>
            <w:r w:rsidR="007332B8">
              <w:t>3</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127.</w:t>
            </w:r>
            <w:r w:rsidR="007332B8">
              <w:t>7</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111.</w:t>
            </w:r>
            <w:r w:rsidR="007332B8">
              <w:t>8</w:t>
            </w:r>
          </w:p>
        </w:tc>
        <w:tc>
          <w:tcPr>
            <w:tcW w:w="644"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45</w:t>
            </w:r>
            <w:r w:rsidR="007332B8">
              <w:t>1.0</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Operating expenditure</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174.2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177.1</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186.2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183.5</w:t>
            </w:r>
          </w:p>
        </w:tc>
        <w:tc>
          <w:tcPr>
            <w:tcW w:w="644"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720.9</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Efficiency benefit sharing scheme (carryover amounts)</w:t>
            </w:r>
          </w:p>
        </w:tc>
        <w:tc>
          <w:tcPr>
            <w:tcW w:w="643" w:type="pct"/>
            <w:gridSpan w:val="2"/>
          </w:tcPr>
          <w:p w:rsidR="00BC45E0" w:rsidRPr="00B45D78" w:rsidRDefault="00BC45E0" w:rsidP="00574A1C">
            <w:pPr>
              <w:cnfStyle w:val="000000010000" w:firstRow="0" w:lastRow="0" w:firstColumn="0" w:lastColumn="0" w:oddVBand="0" w:evenVBand="0" w:oddHBand="0" w:evenHBand="1" w:firstRowFirstColumn="0" w:firstRowLastColumn="0" w:lastRowFirstColumn="0" w:lastRowLastColumn="0"/>
            </w:pPr>
            <w:r w:rsidRPr="00B45D78">
              <w:t>2</w:t>
            </w:r>
            <w:r w:rsidR="00574A1C">
              <w:t>1</w:t>
            </w:r>
            <w:r w:rsidRPr="00B45D78">
              <w:t>.</w:t>
            </w:r>
            <w:r w:rsidR="00574A1C">
              <w:t>6</w:t>
            </w:r>
          </w:p>
        </w:tc>
        <w:tc>
          <w:tcPr>
            <w:tcW w:w="643"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13.9</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16.1</w:t>
            </w:r>
          </w:p>
        </w:tc>
        <w:tc>
          <w:tcPr>
            <w:tcW w:w="643"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12.7</w:t>
            </w:r>
          </w:p>
        </w:tc>
        <w:tc>
          <w:tcPr>
            <w:tcW w:w="644"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64.2</w:t>
            </w:r>
          </w:p>
        </w:tc>
      </w:tr>
      <w:tr w:rsidR="00BC45E0" w:rsidRPr="00B45D78" w:rsidTr="00BC45E0">
        <w:trPr>
          <w:trHeight w:val="448"/>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Net tax allowance</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17.1</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18.8</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32.6</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33.0</w:t>
            </w:r>
          </w:p>
        </w:tc>
        <w:tc>
          <w:tcPr>
            <w:tcW w:w="644"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101.5</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Annual building block revenue requirement (unsmoothed)</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726.9</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744.</w:t>
            </w:r>
            <w:r w:rsidR="007332B8">
              <w:t>2</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797.</w:t>
            </w:r>
            <w:r w:rsidR="007332B8">
              <w:t>9</w:t>
            </w:r>
          </w:p>
        </w:tc>
        <w:tc>
          <w:tcPr>
            <w:tcW w:w="643"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784.</w:t>
            </w:r>
            <w:r w:rsidR="007332B8">
              <w:t>9</w:t>
            </w:r>
          </w:p>
        </w:tc>
        <w:tc>
          <w:tcPr>
            <w:tcW w:w="644" w:type="pct"/>
            <w:gridSpan w:val="2"/>
          </w:tcPr>
          <w:p w:rsidR="00BC45E0" w:rsidRPr="00B45D78" w:rsidRDefault="00574A1C" w:rsidP="007332B8">
            <w:pPr>
              <w:cnfStyle w:val="000000010000" w:firstRow="0" w:lastRow="0" w:firstColumn="0" w:lastColumn="0" w:oddVBand="0" w:evenVBand="0" w:oddHBand="0" w:evenHBand="1" w:firstRowFirstColumn="0" w:firstRowLastColumn="0" w:lastRowFirstColumn="0" w:lastRowLastColumn="0"/>
            </w:pPr>
            <w:r>
              <w:t>305</w:t>
            </w:r>
            <w:r w:rsidR="007332B8">
              <w:t>4</w:t>
            </w:r>
            <w:r>
              <w:t>.</w:t>
            </w:r>
            <w:r w:rsidR="007332B8">
              <w:t>0</w:t>
            </w:r>
          </w:p>
        </w:tc>
      </w:tr>
    </w:tbl>
    <w:p w:rsidR="00A73B67" w:rsidRPr="00B45D78" w:rsidRDefault="004512C8" w:rsidP="00B45D78">
      <w:pPr>
        <w:pStyle w:val="AERtablesource"/>
      </w:pPr>
      <w:r w:rsidRPr="00B45D78">
        <w:t>Source:</w:t>
      </w:r>
      <w:r w:rsidRPr="00B45D78">
        <w:tab/>
        <w:t>AER analysis.</w:t>
      </w:r>
    </w:p>
    <w:p w:rsidR="00715910" w:rsidRPr="00B45D78" w:rsidRDefault="00715910" w:rsidP="00B45D78">
      <w:pPr>
        <w:pStyle w:val="Heading2"/>
      </w:pPr>
      <w:bookmarkStart w:id="9" w:name="_Toc417923808"/>
      <w:r w:rsidRPr="00B45D78">
        <w:t>Method for calculating maximum allowed revenue</w:t>
      </w:r>
      <w:bookmarkEnd w:id="9"/>
      <w:r w:rsidRPr="00B45D78">
        <w:t xml:space="preserve"> </w:t>
      </w:r>
    </w:p>
    <w:p w:rsidR="008E3FC5" w:rsidRPr="00B45D78" w:rsidRDefault="008E3FC5" w:rsidP="00B45D78">
      <w:r w:rsidRPr="00B45D78">
        <w:t>We use a forecast inflation rate in our post-tax revenue model (PTRM) to calculate the expected MAR (as shown in</w:t>
      </w:r>
      <w:r w:rsidR="003A1281">
        <w:t xml:space="preserve"> </w:t>
      </w:r>
      <w:r w:rsidR="003A1281">
        <w:fldChar w:fldCharType="begin"/>
      </w:r>
      <w:r w:rsidR="003A1281">
        <w:instrText xml:space="preserve"> REF _Ref416860696 \h </w:instrText>
      </w:r>
      <w:r w:rsidR="003A1281">
        <w:fldChar w:fldCharType="separate"/>
      </w:r>
      <w:r w:rsidR="00963826">
        <w:t xml:space="preserve">Table </w:t>
      </w:r>
      <w:r w:rsidR="00963826">
        <w:rPr>
          <w:noProof/>
        </w:rPr>
        <w:t>3</w:t>
      </w:r>
      <w:r w:rsidR="003A1281">
        <w:fldChar w:fldCharType="end"/>
      </w:r>
      <w:r w:rsidRPr="00B45D78">
        <w:t xml:space="preserve">) in nominal dollar terms. Therefore, the calculation of the actual annual MAR will require an adjustment for actual inflation. The MAR is also subject to adjustments for </w:t>
      </w:r>
      <w:r w:rsidR="00001987" w:rsidRPr="00B45D78">
        <w:t xml:space="preserve">updating the return on debt annually, </w:t>
      </w:r>
      <w:r w:rsidRPr="00B45D78">
        <w:t>revenue increment or decrement determined in accordance with the STPIS</w:t>
      </w:r>
      <w:r w:rsidR="00693D32" w:rsidRPr="00B45D78">
        <w:t>,</w:t>
      </w:r>
      <w:r w:rsidRPr="00B45D78">
        <w:t xml:space="preserve"> and any approved pass through amounts. This section sets out the method of this annual adjustment process.</w:t>
      </w:r>
    </w:p>
    <w:p w:rsidR="004512C8" w:rsidRPr="00B45D78" w:rsidRDefault="00A53993" w:rsidP="00B45D78">
      <w:r w:rsidRPr="00B45D78">
        <w:t>We</w:t>
      </w:r>
      <w:r w:rsidR="004512C8" w:rsidRPr="00B45D78">
        <w:t xml:space="preserve"> determine</w:t>
      </w:r>
      <w:r w:rsidRPr="00B45D78">
        <w:t xml:space="preserve"> that the method for</w:t>
      </w:r>
      <w:r w:rsidR="004512C8" w:rsidRPr="00B45D78">
        <w:t xml:space="preserve"> calculating </w:t>
      </w:r>
      <w:r w:rsidRPr="00B45D78">
        <w:t>T</w:t>
      </w:r>
      <w:r w:rsidR="00BC45E0" w:rsidRPr="00B45D78">
        <w:t>ransGrid</w:t>
      </w:r>
      <w:r w:rsidRPr="00B45D78">
        <w:t>'</w:t>
      </w:r>
      <w:r w:rsidR="00BC45E0" w:rsidRPr="00B45D78">
        <w:t>s</w:t>
      </w:r>
      <w:r w:rsidR="004512C8" w:rsidRPr="00B45D78">
        <w:t xml:space="preserve"> MAR for each year of the 201</w:t>
      </w:r>
      <w:r w:rsidR="00BC45E0" w:rsidRPr="00B45D78">
        <w:t>4</w:t>
      </w:r>
      <w:r w:rsidR="004512C8" w:rsidRPr="00B45D78">
        <w:t>–1</w:t>
      </w:r>
      <w:r w:rsidR="00BC45E0" w:rsidRPr="00B45D78">
        <w:t>8</w:t>
      </w:r>
      <w:r w:rsidR="004512C8" w:rsidRPr="00B45D78">
        <w:t xml:space="preserve"> period will be the sum of its allowed revenue (AR) for that year and adjustments arising from </w:t>
      </w:r>
      <w:r w:rsidRPr="00B45D78">
        <w:t>the STPIS</w:t>
      </w:r>
      <w:r w:rsidR="004512C8" w:rsidRPr="00B45D78">
        <w:t xml:space="preserve"> and any approved pass through amounts.</w:t>
      </w:r>
    </w:p>
    <w:p w:rsidR="00715910" w:rsidRPr="00B45D78" w:rsidRDefault="00A53993" w:rsidP="00B45D78">
      <w:r w:rsidRPr="00B45D78">
        <w:t>We</w:t>
      </w:r>
      <w:r w:rsidR="004512C8" w:rsidRPr="00B45D78">
        <w:t xml:space="preserve"> determine AR </w:t>
      </w:r>
      <w:r w:rsidR="00953741">
        <w:t>of</w:t>
      </w:r>
      <w:r w:rsidR="004512C8" w:rsidRPr="00B45D78">
        <w:t xml:space="preserve"> $</w:t>
      </w:r>
      <w:r w:rsidR="008E3FC5" w:rsidRPr="00B45D78">
        <w:t>8</w:t>
      </w:r>
      <w:r w:rsidR="00BC45E0" w:rsidRPr="00B45D78">
        <w:t>45.4</w:t>
      </w:r>
      <w:r w:rsidR="00FA63CF" w:rsidRPr="00B45D78">
        <w:t xml:space="preserve"> million</w:t>
      </w:r>
      <w:r w:rsidR="00953741">
        <w:t xml:space="preserve"> for TransGrid for 2014–15</w:t>
      </w:r>
      <w:r w:rsidR="00FA63CF" w:rsidRPr="00B45D78">
        <w:t xml:space="preserve">. </w:t>
      </w:r>
      <w:r w:rsidR="008E3FC5" w:rsidRPr="00B45D78">
        <w:t>T</w:t>
      </w:r>
      <w:r w:rsidR="00BC45E0" w:rsidRPr="00B45D78">
        <w:t>ransGrid</w:t>
      </w:r>
      <w:r w:rsidR="004512C8" w:rsidRPr="00B45D78">
        <w:t xml:space="preserve"> </w:t>
      </w:r>
      <w:r w:rsidR="00953741">
        <w:t xml:space="preserve">then applies an annual adjustment to determine its </w:t>
      </w:r>
      <w:r w:rsidR="004512C8" w:rsidRPr="00B45D78">
        <w:t xml:space="preserve">AR for </w:t>
      </w:r>
      <w:r w:rsidR="00953741">
        <w:t xml:space="preserve">each </w:t>
      </w:r>
      <w:r w:rsidR="004512C8" w:rsidRPr="00B45D78">
        <w:t>subsequent year of the 201</w:t>
      </w:r>
      <w:r w:rsidR="00BC45E0" w:rsidRPr="00B45D78">
        <w:t>4</w:t>
      </w:r>
      <w:r w:rsidR="004512C8" w:rsidRPr="00B45D78">
        <w:t>–1</w:t>
      </w:r>
      <w:r w:rsidR="00BC45E0" w:rsidRPr="00B45D78">
        <w:t>8</w:t>
      </w:r>
      <w:r w:rsidR="004512C8" w:rsidRPr="00B45D78">
        <w:t xml:space="preserve"> period</w:t>
      </w:r>
      <w:r w:rsidR="00953741">
        <w:t>, ba</w:t>
      </w:r>
      <w:r w:rsidR="004512C8" w:rsidRPr="00B45D78">
        <w:t>sed on the previous year’s AR and using the CPI–X methodology</w:t>
      </w:r>
      <w:r w:rsidR="00FA63CF" w:rsidRPr="00B45D78">
        <w:t>. That is, the subsequent year’s AR is determined by adjusting the previous year’s AR for actual inflation and the X factor determined after the annual return on debt update</w:t>
      </w:r>
      <w:r w:rsidR="004512C8" w:rsidRPr="00B45D78">
        <w:t>:</w:t>
      </w:r>
    </w:p>
    <w:p w:rsidR="00FA63CF" w:rsidRPr="00B45D78" w:rsidRDefault="00FA63CF" w:rsidP="00B45D78">
      <w:r w:rsidRPr="00B45D78">
        <w:tab/>
        <w:t>AR</w:t>
      </w:r>
      <w:r w:rsidRPr="00D43378">
        <w:rPr>
          <w:i/>
          <w:vertAlign w:val="subscript"/>
        </w:rPr>
        <w:t>t</w:t>
      </w:r>
      <w:r w:rsidRPr="00B45D78">
        <w:t xml:space="preserve"> </w:t>
      </w:r>
      <w:r w:rsidRPr="00B45D78">
        <w:tab/>
        <w:t>=</w:t>
      </w:r>
      <w:r w:rsidRPr="00B45D78">
        <w:tab/>
        <w:t>AR</w:t>
      </w:r>
      <w:r w:rsidRPr="00D43378">
        <w:rPr>
          <w:i/>
          <w:vertAlign w:val="subscript"/>
        </w:rPr>
        <w:t>t</w:t>
      </w:r>
      <w:r w:rsidRPr="00B45D78">
        <w:t>-1 × (1 + ∆CPI) × (1 – X</w:t>
      </w:r>
      <w:r w:rsidRPr="00D43378">
        <w:rPr>
          <w:i/>
          <w:vertAlign w:val="subscript"/>
        </w:rPr>
        <w:t>t</w:t>
      </w:r>
      <w:r w:rsidRPr="00B45D78">
        <w:t>)</w:t>
      </w:r>
    </w:p>
    <w:p w:rsidR="00FA63CF" w:rsidRPr="00B45D78" w:rsidRDefault="00FA63CF" w:rsidP="00B45D78">
      <w:r w:rsidRPr="00B45D78">
        <w:t>where:</w:t>
      </w:r>
    </w:p>
    <w:p w:rsidR="00FA63CF" w:rsidRPr="00B45D78" w:rsidRDefault="00FA63CF" w:rsidP="00B45D78">
      <w:r w:rsidRPr="00B45D78">
        <w:t xml:space="preserve"> </w:t>
      </w:r>
      <w:r w:rsidRPr="00B45D78">
        <w:tab/>
        <w:t>AR</w:t>
      </w:r>
      <w:r w:rsidRPr="00B45D78">
        <w:tab/>
      </w:r>
      <w:r w:rsidRPr="00B45D78">
        <w:tab/>
        <w:t>=</w:t>
      </w:r>
      <w:r w:rsidRPr="00B45D78">
        <w:tab/>
        <w:t>the allowed revenue</w:t>
      </w:r>
    </w:p>
    <w:p w:rsidR="00FA63CF" w:rsidRPr="00B45D78" w:rsidRDefault="00B45D78" w:rsidP="00B45D78">
      <w:r>
        <w:tab/>
      </w:r>
      <w:r w:rsidR="00FA63CF" w:rsidRPr="00B45D78">
        <w:rPr>
          <w:rStyle w:val="AERtextitalic"/>
        </w:rPr>
        <w:t>t</w:t>
      </w:r>
      <w:r w:rsidR="00FA63CF" w:rsidRPr="00B45D78">
        <w:tab/>
      </w:r>
      <w:r w:rsidR="00FA63CF" w:rsidRPr="00B45D78">
        <w:tab/>
        <w:t>=</w:t>
      </w:r>
      <w:r w:rsidR="00FA63CF" w:rsidRPr="00B45D78">
        <w:tab/>
        <w:t xml:space="preserve">time period/financial year (for </w:t>
      </w:r>
      <w:r w:rsidR="00FA63CF" w:rsidRPr="00795829">
        <w:rPr>
          <w:rStyle w:val="AERtextitalic"/>
        </w:rPr>
        <w:t xml:space="preserve">t </w:t>
      </w:r>
      <w:r w:rsidR="00FA63CF" w:rsidRPr="00B45D78">
        <w:t xml:space="preserve">= </w:t>
      </w:r>
      <w:r w:rsidR="006A745C" w:rsidRPr="00B45D78">
        <w:t xml:space="preserve">2, (2015–16), </w:t>
      </w:r>
      <w:r>
        <w:t xml:space="preserve">3 (2016–17), </w:t>
      </w:r>
      <w:r w:rsidR="00795829">
        <w:br/>
      </w:r>
      <w:r w:rsidR="00795829">
        <w:tab/>
      </w:r>
      <w:r w:rsidR="00795829">
        <w:tab/>
      </w:r>
      <w:r w:rsidR="00795829">
        <w:tab/>
      </w:r>
      <w:r w:rsidR="00795829">
        <w:tab/>
      </w:r>
      <w:r w:rsidR="00FA63CF" w:rsidRPr="00B45D78">
        <w:t xml:space="preserve">4 (2017–18)) </w:t>
      </w:r>
    </w:p>
    <w:p w:rsidR="00FA63CF" w:rsidRPr="00B45D78" w:rsidRDefault="00FA63CF" w:rsidP="00B45D78">
      <w:r w:rsidRPr="00B45D78">
        <w:lastRenderedPageBreak/>
        <w:t xml:space="preserve"> </w:t>
      </w:r>
      <w:r w:rsidRPr="00B45D78">
        <w:tab/>
        <w:t>∆CPI</w:t>
      </w:r>
      <w:r w:rsidRPr="00B45D78">
        <w:tab/>
        <w:t>=</w:t>
      </w:r>
      <w:r w:rsidRPr="00B45D78">
        <w:tab/>
        <w:t xml:space="preserve">the annual percentage change in the </w:t>
      </w:r>
      <w:r w:rsidR="008C416C" w:rsidRPr="00B45D78">
        <w:t xml:space="preserve">Australian Bureau of Statistics’ </w:t>
      </w:r>
      <w:r w:rsidR="008C416C" w:rsidRPr="00B45D78">
        <w:tab/>
      </w:r>
      <w:r w:rsidR="008C416C" w:rsidRPr="00B45D78">
        <w:tab/>
      </w:r>
      <w:r w:rsidR="008C416C" w:rsidRPr="00B45D78">
        <w:tab/>
      </w:r>
      <w:r w:rsidR="008C416C" w:rsidRPr="00B45D78">
        <w:tab/>
      </w:r>
      <w:r w:rsidR="008C416C" w:rsidRPr="00B45D78">
        <w:tab/>
        <w:t>(ABS) consumer price index (CPI) all</w:t>
      </w:r>
      <w:r w:rsidR="008C416C" w:rsidRPr="00B45D78">
        <w:tab/>
      </w:r>
      <w:r w:rsidRPr="00B45D78">
        <w:t xml:space="preserve">groups, weighted average of eight </w:t>
      </w:r>
      <w:r w:rsidR="008C416C" w:rsidRPr="00B45D78">
        <w:tab/>
      </w:r>
      <w:r w:rsidR="008C416C" w:rsidRPr="00B45D78">
        <w:tab/>
      </w:r>
      <w:r w:rsidR="008C416C" w:rsidRPr="00B45D78">
        <w:tab/>
      </w:r>
      <w:r w:rsidR="008C416C" w:rsidRPr="00B45D78">
        <w:tab/>
      </w:r>
      <w:r w:rsidRPr="00B45D78">
        <w:t xml:space="preserve">capital cities from December in year </w:t>
      </w:r>
      <w:r w:rsidRPr="00795829">
        <w:rPr>
          <w:rStyle w:val="AERtextitalic"/>
        </w:rPr>
        <w:t>t</w:t>
      </w:r>
      <w:r w:rsidRPr="00B45D78">
        <w:t xml:space="preserve"> – 2 to December in year </w:t>
      </w:r>
      <w:r w:rsidRPr="00795829">
        <w:rPr>
          <w:rStyle w:val="AERtextitalic"/>
        </w:rPr>
        <w:t>t</w:t>
      </w:r>
      <w:r w:rsidRPr="00B45D78">
        <w:t xml:space="preserve"> – 1</w:t>
      </w:r>
      <w:r w:rsidR="00795829">
        <w:rPr>
          <w:rStyle w:val="FootnoteReference"/>
        </w:rPr>
        <w:footnoteReference w:id="6"/>
      </w:r>
    </w:p>
    <w:p w:rsidR="00FA63CF" w:rsidRPr="00795829" w:rsidRDefault="00FA63CF" w:rsidP="00795829">
      <w:r w:rsidRPr="00B45D78">
        <w:t xml:space="preserve"> </w:t>
      </w:r>
      <w:r w:rsidRPr="00B45D78">
        <w:tab/>
        <w:t>X</w:t>
      </w:r>
      <w:r w:rsidRPr="00B45D78">
        <w:tab/>
      </w:r>
      <w:r w:rsidRPr="00B45D78">
        <w:tab/>
        <w:t>=</w:t>
      </w:r>
      <w:r w:rsidRPr="00B45D78">
        <w:tab/>
        <w:t xml:space="preserve">the smoothing factor determined in accordance with the PTRM as </w:t>
      </w:r>
      <w:r w:rsidR="007C785C" w:rsidRPr="00B45D78">
        <w:tab/>
      </w:r>
      <w:r w:rsidR="007C785C" w:rsidRPr="00B45D78">
        <w:tab/>
      </w:r>
      <w:r w:rsidR="007C785C" w:rsidRPr="00B45D78">
        <w:tab/>
      </w:r>
      <w:r w:rsidR="007C785C" w:rsidRPr="00B45D78">
        <w:tab/>
      </w:r>
      <w:r w:rsidR="007C785C" w:rsidRPr="00B45D78">
        <w:tab/>
      </w:r>
      <w:r w:rsidR="007C785C" w:rsidRPr="00B45D78">
        <w:tab/>
      </w:r>
      <w:r w:rsidRPr="00B45D78">
        <w:t xml:space="preserve">approved </w:t>
      </w:r>
      <w:r w:rsidRPr="00B45D78">
        <w:tab/>
        <w:t>in the AER's final decision, and annually revised for the return</w:t>
      </w:r>
      <w:r w:rsidRPr="00727C65">
        <w:rPr>
          <w:rStyle w:val="AERtexthighlight"/>
        </w:rPr>
        <w:t xml:space="preserve"> </w:t>
      </w:r>
      <w:r w:rsidR="007C785C" w:rsidRPr="00795829">
        <w:tab/>
      </w:r>
      <w:r w:rsidR="007C785C" w:rsidRPr="00795829">
        <w:tab/>
      </w:r>
      <w:r w:rsidR="007C785C" w:rsidRPr="00795829">
        <w:tab/>
      </w:r>
      <w:r w:rsidR="007C785C" w:rsidRPr="00795829">
        <w:tab/>
      </w:r>
      <w:r w:rsidRPr="00795829">
        <w:t xml:space="preserve">on debt update in accordance with the formula specified in the return on </w:t>
      </w:r>
      <w:r w:rsidR="007C785C" w:rsidRPr="00795829">
        <w:tab/>
      </w:r>
      <w:r w:rsidR="007C785C" w:rsidRPr="00795829">
        <w:tab/>
      </w:r>
      <w:r w:rsidR="007C785C" w:rsidRPr="00795829">
        <w:tab/>
      </w:r>
      <w:r w:rsidR="007C785C" w:rsidRPr="00795829">
        <w:tab/>
      </w:r>
      <w:r w:rsidRPr="00795829">
        <w:t xml:space="preserve">debt appendix </w:t>
      </w:r>
      <w:r w:rsidR="00C66625">
        <w:t xml:space="preserve">I of attachment 3 </w:t>
      </w:r>
      <w:r w:rsidRPr="00795829">
        <w:t>calculated for the relevant year.</w:t>
      </w:r>
    </w:p>
    <w:p w:rsidR="00FA63CF" w:rsidRPr="00795829" w:rsidRDefault="00FA63CF" w:rsidP="00795829">
      <w:r w:rsidRPr="00795829">
        <w:t>The MAR is determined annually in accordance with the NER by adding to (or deducting from) the AR:</w:t>
      </w:r>
    </w:p>
    <w:p w:rsidR="00FA63CF" w:rsidRPr="00795829" w:rsidRDefault="00FA63CF" w:rsidP="00795829">
      <w:pPr>
        <w:pStyle w:val="AERbulletlistfirststyle"/>
      </w:pPr>
      <w:r w:rsidRPr="00795829">
        <w:t>the service target performance incentive scheme revenue increment (or revenue decrement)</w:t>
      </w:r>
      <w:r w:rsidR="00795829">
        <w:rPr>
          <w:rStyle w:val="FootnoteReference"/>
        </w:rPr>
        <w:footnoteReference w:id="7"/>
      </w:r>
    </w:p>
    <w:p w:rsidR="00FA63CF" w:rsidRPr="00795829" w:rsidRDefault="00FA63CF" w:rsidP="00795829">
      <w:pPr>
        <w:pStyle w:val="AERbulletlistfirststyle"/>
      </w:pPr>
      <w:r w:rsidRPr="00795829">
        <w:t>any approved pass through amounts.</w:t>
      </w:r>
      <w:r w:rsidR="00795829">
        <w:rPr>
          <w:rStyle w:val="FootnoteReference"/>
        </w:rPr>
        <w:footnoteReference w:id="8"/>
      </w:r>
    </w:p>
    <w:p w:rsidR="00FA63CF" w:rsidRPr="00795829" w:rsidRDefault="007C785C" w:rsidP="00795829">
      <w:r w:rsidRPr="00795829">
        <w:fldChar w:fldCharType="begin"/>
      </w:r>
      <w:r w:rsidRPr="00795829">
        <w:instrText xml:space="preserve"> REF _Ref409788843 \h </w:instrText>
      </w:r>
      <w:r w:rsidR="00727C65" w:rsidRPr="00795829">
        <w:instrText xml:space="preserve"> \* MERGEFORMAT </w:instrText>
      </w:r>
      <w:r w:rsidRPr="00795829">
        <w:fldChar w:fldCharType="end"/>
      </w:r>
      <w:r w:rsidRPr="00795829">
        <w:t xml:space="preserve"> </w:t>
      </w:r>
      <w:r w:rsidR="00FA63CF" w:rsidRPr="00795829">
        <w:t>sets out the timing of the annual calculation of the AR and performance incentive:</w:t>
      </w:r>
    </w:p>
    <w:p w:rsidR="00FA63CF" w:rsidRPr="00795829" w:rsidRDefault="00795829" w:rsidP="00795829">
      <w:r>
        <w:tab/>
      </w:r>
      <w:r w:rsidR="00FA63CF" w:rsidRPr="00795829">
        <w:t>MAR</w:t>
      </w:r>
      <w:r w:rsidR="00FA63CF" w:rsidRPr="00D43378">
        <w:rPr>
          <w:rStyle w:val="AERtextitalic"/>
          <w:vertAlign w:val="subscript"/>
        </w:rPr>
        <w:t>t</w:t>
      </w:r>
      <w:r w:rsidR="00FA63CF" w:rsidRPr="00795829">
        <w:tab/>
        <w:t>=</w:t>
      </w:r>
      <w:r w:rsidR="00FA63CF" w:rsidRPr="00795829">
        <w:tab/>
        <w:t>(allowed revenue) + (performance incentive) + (pass through)</w:t>
      </w:r>
    </w:p>
    <w:p w:rsidR="00FA63CF" w:rsidRPr="00795829" w:rsidRDefault="00FA63CF" w:rsidP="00795829">
      <w:r w:rsidRPr="00795829">
        <w:tab/>
      </w:r>
      <w:r w:rsidRPr="00795829">
        <w:tab/>
      </w:r>
      <w:r w:rsidR="00795829">
        <w:tab/>
      </w:r>
      <w:r w:rsidRPr="00795829">
        <w:t>=</w:t>
      </w:r>
      <w:r w:rsidRPr="00795829">
        <w:tab/>
        <w:t>AR</w:t>
      </w:r>
      <w:r w:rsidRPr="00D43378">
        <w:rPr>
          <w:rStyle w:val="AERtextitalic"/>
          <w:vertAlign w:val="subscript"/>
        </w:rPr>
        <w:t>t</w:t>
      </w:r>
      <w:r w:rsidRPr="00795829">
        <w:t xml:space="preserve"> + </w:t>
      </w:r>
      <w:r w:rsidRPr="00795829">
        <w:rPr>
          <w:noProof/>
          <w:lang w:eastAsia="en-AU"/>
        </w:rPr>
        <w:drawing>
          <wp:inline distT="0" distB="0" distL="0" distR="0" wp14:anchorId="3136E820" wp14:editId="2273DC3C">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795829">
        <w:t>+ P</w:t>
      </w:r>
      <w:r w:rsidRPr="00D43378">
        <w:rPr>
          <w:rStyle w:val="AERtextitalic"/>
          <w:vertAlign w:val="subscript"/>
        </w:rPr>
        <w:t>t</w:t>
      </w:r>
    </w:p>
    <w:p w:rsidR="00FA63CF" w:rsidRPr="00795829" w:rsidRDefault="00FA63CF" w:rsidP="00795829">
      <w:r w:rsidRPr="00795829">
        <w:t>where:</w:t>
      </w:r>
    </w:p>
    <w:p w:rsidR="00FA63CF" w:rsidRPr="00795829" w:rsidRDefault="00FA63CF" w:rsidP="00795829">
      <w:r w:rsidRPr="00795829">
        <w:t xml:space="preserve"> </w:t>
      </w:r>
      <w:r w:rsidRPr="00795829">
        <w:tab/>
        <w:t>MAR</w:t>
      </w:r>
      <w:r w:rsidRPr="00795829">
        <w:tab/>
        <w:t>=</w:t>
      </w:r>
      <w:r w:rsidRPr="00795829">
        <w:tab/>
        <w:t>the maximum allowed revenue</w:t>
      </w:r>
    </w:p>
    <w:p w:rsidR="00FA63CF" w:rsidRPr="00795829" w:rsidRDefault="00FA63CF" w:rsidP="00795829">
      <w:r w:rsidRPr="00795829">
        <w:t xml:space="preserve"> </w:t>
      </w:r>
      <w:r w:rsidRPr="00795829">
        <w:tab/>
        <w:t>AR</w:t>
      </w:r>
      <w:r w:rsidRPr="00795829">
        <w:tab/>
      </w:r>
      <w:r w:rsidR="007C785C" w:rsidRPr="00795829">
        <w:tab/>
      </w:r>
      <w:r w:rsidRPr="00795829">
        <w:t>=</w:t>
      </w:r>
      <w:r w:rsidRPr="00795829">
        <w:tab/>
        <w:t>the allowed revenue</w:t>
      </w:r>
    </w:p>
    <w:p w:rsidR="00FA63CF" w:rsidRPr="00795829" w:rsidRDefault="00FA63CF" w:rsidP="00795829">
      <w:r w:rsidRPr="00795829">
        <w:t xml:space="preserve"> </w:t>
      </w:r>
      <w:r w:rsidRPr="00795829">
        <w:tab/>
        <w:t>S</w:t>
      </w:r>
      <w:r w:rsidRPr="00795829">
        <w:tab/>
      </w:r>
      <w:r w:rsidR="007C785C" w:rsidRPr="00795829">
        <w:tab/>
        <w:t>=</w:t>
      </w:r>
      <w:r w:rsidR="007C785C" w:rsidRPr="00795829">
        <w:tab/>
      </w:r>
      <w:r w:rsidRPr="00795829">
        <w:t xml:space="preserve">the revenue increment or decrement determined in accordance with </w:t>
      </w:r>
      <w:r w:rsidRPr="00795829">
        <w:tab/>
      </w:r>
      <w:r w:rsidRPr="00795829">
        <w:tab/>
      </w:r>
      <w:r w:rsidRPr="00795829">
        <w:tab/>
        <w:t xml:space="preserve">           the </w:t>
      </w:r>
      <w:r w:rsidR="007C785C" w:rsidRPr="00795829">
        <w:t>STPIS</w:t>
      </w:r>
      <w:r w:rsidRPr="00795829">
        <w:t xml:space="preserve"> </w:t>
      </w:r>
    </w:p>
    <w:p w:rsidR="00FA63CF" w:rsidRPr="00795829" w:rsidRDefault="00FA63CF" w:rsidP="00795829">
      <w:r w:rsidRPr="00795829">
        <w:t xml:space="preserve"> </w:t>
      </w:r>
      <w:r w:rsidRPr="00795829">
        <w:tab/>
        <w:t>P</w:t>
      </w:r>
      <w:r w:rsidRPr="00795829">
        <w:tab/>
      </w:r>
      <w:r w:rsidR="00B45D78" w:rsidRPr="00795829">
        <w:tab/>
      </w:r>
      <w:r w:rsidRPr="00795829">
        <w:t>=</w:t>
      </w:r>
      <w:r w:rsidRPr="00795829">
        <w:tab/>
        <w:t xml:space="preserve">the pass through amount (positive or negative) that the AER has </w:t>
      </w:r>
      <w:r w:rsidR="00B45D78" w:rsidRPr="00795829">
        <w:tab/>
      </w:r>
      <w:r w:rsidR="00B45D78" w:rsidRPr="00795829">
        <w:tab/>
      </w:r>
      <w:r w:rsidR="00B45D78" w:rsidRPr="00795829">
        <w:tab/>
      </w:r>
      <w:r w:rsidR="00B45D78" w:rsidRPr="00795829">
        <w:tab/>
      </w:r>
      <w:r w:rsidR="00B45D78" w:rsidRPr="00795829">
        <w:tab/>
      </w:r>
      <w:r w:rsidR="00B45D78" w:rsidRPr="00795829">
        <w:tab/>
      </w:r>
      <w:r w:rsidRPr="00795829">
        <w:t xml:space="preserve">determined </w:t>
      </w:r>
      <w:r w:rsidR="00B45D78" w:rsidRPr="00795829">
        <w:t>i</w:t>
      </w:r>
      <w:r w:rsidRPr="00795829">
        <w:t>n accordance with clauses 6A.7.2 and 6A.7.3 of the NER</w:t>
      </w:r>
    </w:p>
    <w:p w:rsidR="00FA63CF" w:rsidRPr="00795829" w:rsidRDefault="00FA63CF" w:rsidP="00795829">
      <w:r w:rsidRPr="00795829">
        <w:tab/>
      </w:r>
      <w:r w:rsidRPr="00795829">
        <w:rPr>
          <w:rStyle w:val="AERtextitalic"/>
        </w:rPr>
        <w:t>t</w:t>
      </w:r>
      <w:r w:rsidRPr="00795829">
        <w:tab/>
      </w:r>
      <w:r w:rsidR="00B45D78" w:rsidRPr="00795829">
        <w:tab/>
      </w:r>
      <w:r w:rsidRPr="00795829">
        <w:t>=</w:t>
      </w:r>
      <w:r w:rsidRPr="00795829">
        <w:tab/>
        <w:t xml:space="preserve">time period/financial year (for </w:t>
      </w:r>
      <w:r w:rsidRPr="00795829">
        <w:rPr>
          <w:rStyle w:val="AERtextitalic"/>
        </w:rPr>
        <w:t>t</w:t>
      </w:r>
      <w:r w:rsidRPr="00795829">
        <w:t xml:space="preserve"> = 2 (2015–16), 3 (2016–17), 4 (2017</w:t>
      </w:r>
      <w:r w:rsidR="00B45D78" w:rsidRPr="00795829">
        <w:t>–</w:t>
      </w:r>
      <w:r w:rsidRPr="00795829">
        <w:t>18))</w:t>
      </w:r>
    </w:p>
    <w:p w:rsidR="00FA63CF" w:rsidRPr="00795829" w:rsidRDefault="00FA63CF" w:rsidP="00795829">
      <w:r w:rsidRPr="00795829">
        <w:lastRenderedPageBreak/>
        <w:t xml:space="preserve"> </w:t>
      </w:r>
      <w:r w:rsidRPr="00795829">
        <w:tab/>
      </w:r>
      <w:r w:rsidRPr="00795829">
        <w:rPr>
          <w:rStyle w:val="AERtextitalic"/>
        </w:rPr>
        <w:t>ct</w:t>
      </w:r>
      <w:r w:rsidRPr="00795829">
        <w:tab/>
      </w:r>
      <w:r w:rsidR="00B45D78" w:rsidRPr="00795829">
        <w:tab/>
      </w:r>
      <w:r w:rsidRPr="00795829">
        <w:t>=</w:t>
      </w:r>
      <w:r w:rsidRPr="00795829">
        <w:tab/>
        <w:t xml:space="preserve">time period/calendar year (for </w:t>
      </w:r>
      <w:r w:rsidRPr="00795829">
        <w:rPr>
          <w:rStyle w:val="AERtextitalic"/>
        </w:rPr>
        <w:t>t</w:t>
      </w:r>
      <w:r w:rsidRPr="00795829">
        <w:t xml:space="preserve"> = 2 (2014), 3 (2015), 4 (2016)).</w:t>
      </w:r>
    </w:p>
    <w:p w:rsidR="00FA63CF" w:rsidRPr="00795829" w:rsidRDefault="00FA63CF" w:rsidP="00795829">
      <w:r w:rsidRPr="00795829">
        <w:t>Under the NER, a TNSP may also adjust the MAR for under or over recovery amounts.</w:t>
      </w:r>
      <w:r w:rsidR="00795829">
        <w:rPr>
          <w:rStyle w:val="FootnoteReference"/>
        </w:rPr>
        <w:footnoteReference w:id="9"/>
      </w:r>
      <w:r w:rsidRPr="00795829">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FA63CF" w:rsidRPr="00B45D78" w:rsidRDefault="003A1281" w:rsidP="003A1281">
      <w:pPr>
        <w:pStyle w:val="Caption"/>
      </w:pPr>
      <w:bookmarkStart w:id="10" w:name="_Ref416860696"/>
      <w:r>
        <w:t xml:space="preserve">Table </w:t>
      </w:r>
      <w:r w:rsidR="00963826">
        <w:fldChar w:fldCharType="begin"/>
      </w:r>
      <w:r w:rsidR="00963826">
        <w:instrText xml:space="preserve"> SEQ Table \* ARABIC </w:instrText>
      </w:r>
      <w:r w:rsidR="00963826">
        <w:fldChar w:fldCharType="separate"/>
      </w:r>
      <w:r w:rsidR="00963826">
        <w:rPr>
          <w:noProof/>
        </w:rPr>
        <w:t>3</w:t>
      </w:r>
      <w:r w:rsidR="00963826">
        <w:rPr>
          <w:noProof/>
        </w:rPr>
        <w:fldChar w:fldCharType="end"/>
      </w:r>
      <w:bookmarkEnd w:id="10"/>
      <w:r w:rsidR="007C785C" w:rsidRPr="00B45D78">
        <w:tab/>
      </w:r>
      <w:r w:rsidR="00FA63CF" w:rsidRPr="00B45D78">
        <w:t>Timing of the calculation of allowed revenues and the performance incentive for T</w:t>
      </w:r>
      <w:r w:rsidR="00B45D78" w:rsidRPr="00B45D78">
        <w:t>ransGrid</w:t>
      </w:r>
    </w:p>
    <w:tbl>
      <w:tblPr>
        <w:tblStyle w:val="AERtable-text0"/>
        <w:tblW w:w="5006" w:type="pct"/>
        <w:tblLook w:val="04A0" w:firstRow="1" w:lastRow="0" w:firstColumn="1" w:lastColumn="0" w:noHBand="0" w:noVBand="1"/>
      </w:tblPr>
      <w:tblGrid>
        <w:gridCol w:w="661"/>
        <w:gridCol w:w="3368"/>
        <w:gridCol w:w="747"/>
        <w:gridCol w:w="3927"/>
      </w:tblGrid>
      <w:tr w:rsidR="00FA63CF" w:rsidRPr="00B45D78" w:rsidTr="002B52C7">
        <w:trPr>
          <w:cnfStyle w:val="100000000000" w:firstRow="1" w:lastRow="0" w:firstColumn="0" w:lastColumn="0" w:oddVBand="0" w:evenVBand="0" w:oddHBand="0" w:evenHBand="0" w:firstRowFirstColumn="0" w:firstRowLastColumn="0" w:lastRowFirstColumn="0" w:lastRowLastColumn="0"/>
          <w:trHeight w:val="507"/>
          <w:tblHeader/>
        </w:trPr>
        <w:tc>
          <w:tcPr>
            <w:tcW w:w="380" w:type="pct"/>
          </w:tcPr>
          <w:p w:rsidR="00FA63CF" w:rsidRPr="00B45D78" w:rsidRDefault="00FA63CF" w:rsidP="00B45D78">
            <w:pPr>
              <w:rPr>
                <w:rStyle w:val="AERtextitalic"/>
              </w:rPr>
            </w:pPr>
            <w:r w:rsidRPr="00B45D78">
              <w:rPr>
                <w:rStyle w:val="AERtextitalic"/>
              </w:rPr>
              <w:t>t</w:t>
            </w:r>
          </w:p>
        </w:tc>
        <w:tc>
          <w:tcPr>
            <w:tcW w:w="1935" w:type="pct"/>
          </w:tcPr>
          <w:p w:rsidR="00FA63CF" w:rsidRPr="00B45D78" w:rsidRDefault="00FA63CF" w:rsidP="00B45D78">
            <w:r w:rsidRPr="00B45D78">
              <w:t>Allowed revenue (financial year)</w:t>
            </w:r>
          </w:p>
        </w:tc>
        <w:tc>
          <w:tcPr>
            <w:tcW w:w="429" w:type="pct"/>
          </w:tcPr>
          <w:p w:rsidR="00FA63CF" w:rsidRPr="00B45D78" w:rsidRDefault="00FA63CF" w:rsidP="00B45D78">
            <w:pPr>
              <w:rPr>
                <w:rStyle w:val="AERtextitalic"/>
              </w:rPr>
            </w:pPr>
            <w:r w:rsidRPr="00B45D78">
              <w:rPr>
                <w:rStyle w:val="AERtextitalic"/>
              </w:rPr>
              <w:t>ct</w:t>
            </w:r>
          </w:p>
        </w:tc>
        <w:tc>
          <w:tcPr>
            <w:tcW w:w="2256" w:type="pct"/>
          </w:tcPr>
          <w:p w:rsidR="00FA63CF" w:rsidRPr="00B45D78" w:rsidRDefault="00FA63CF" w:rsidP="00B45D78">
            <w:r w:rsidRPr="00B45D78">
              <w:t>Performance incentive (calendar year)</w:t>
            </w:r>
          </w:p>
        </w:tc>
      </w:tr>
      <w:tr w:rsidR="00FA63CF" w:rsidRPr="00B45D78" w:rsidTr="00AD188D">
        <w:trPr>
          <w:trHeight w:val="507"/>
        </w:trPr>
        <w:tc>
          <w:tcPr>
            <w:tcW w:w="380" w:type="pct"/>
          </w:tcPr>
          <w:p w:rsidR="00FA63CF" w:rsidRPr="00B45D78" w:rsidRDefault="00FA63CF" w:rsidP="00B45D78">
            <w:r w:rsidRPr="00B45D78">
              <w:t>2</w:t>
            </w:r>
          </w:p>
        </w:tc>
        <w:tc>
          <w:tcPr>
            <w:tcW w:w="1935" w:type="pct"/>
          </w:tcPr>
          <w:p w:rsidR="00FA63CF" w:rsidRPr="00B45D78" w:rsidRDefault="00FA63CF" w:rsidP="00B45D78">
            <w:r w:rsidRPr="00B45D78">
              <w:t>1 July 2015–30 June 2016</w:t>
            </w:r>
          </w:p>
        </w:tc>
        <w:tc>
          <w:tcPr>
            <w:tcW w:w="429" w:type="pct"/>
          </w:tcPr>
          <w:p w:rsidR="00FA63CF" w:rsidRPr="00B45D78" w:rsidRDefault="00FA63CF" w:rsidP="00B45D78">
            <w:r w:rsidRPr="00B45D78">
              <w:t>2</w:t>
            </w:r>
          </w:p>
        </w:tc>
        <w:tc>
          <w:tcPr>
            <w:tcW w:w="2256" w:type="pct"/>
          </w:tcPr>
          <w:p w:rsidR="00FA63CF" w:rsidRPr="00B45D78" w:rsidRDefault="00FA63CF" w:rsidP="00B45D78">
            <w:r w:rsidRPr="00B45D78">
              <w:t>1 January 2014–31 December 2014</w:t>
            </w:r>
          </w:p>
        </w:tc>
      </w:tr>
      <w:tr w:rsidR="00FA63CF" w:rsidRPr="00B45D78"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B45D78" w:rsidRDefault="00FA63CF" w:rsidP="00B45D78">
            <w:r w:rsidRPr="00B45D78">
              <w:t>3</w:t>
            </w:r>
          </w:p>
        </w:tc>
        <w:tc>
          <w:tcPr>
            <w:tcW w:w="1935" w:type="pct"/>
          </w:tcPr>
          <w:p w:rsidR="00FA63CF" w:rsidRPr="00B45D78" w:rsidRDefault="00FA63CF" w:rsidP="00B45D78">
            <w:r w:rsidRPr="00B45D78">
              <w:t>1 July 2016–30 June 2017</w:t>
            </w:r>
          </w:p>
        </w:tc>
        <w:tc>
          <w:tcPr>
            <w:tcW w:w="429" w:type="pct"/>
          </w:tcPr>
          <w:p w:rsidR="00FA63CF" w:rsidRPr="00B45D78" w:rsidRDefault="00FA63CF" w:rsidP="00B45D78">
            <w:r w:rsidRPr="00B45D78">
              <w:t>3</w:t>
            </w:r>
          </w:p>
        </w:tc>
        <w:tc>
          <w:tcPr>
            <w:tcW w:w="2256" w:type="pct"/>
          </w:tcPr>
          <w:p w:rsidR="00FA63CF" w:rsidRPr="00B45D78" w:rsidRDefault="00FA63CF" w:rsidP="00B45D78">
            <w:r w:rsidRPr="00B45D78">
              <w:t>1 January 2015–31 December 2015</w:t>
            </w:r>
          </w:p>
        </w:tc>
      </w:tr>
      <w:tr w:rsidR="00FA63CF" w:rsidRPr="00B45D78" w:rsidTr="00AD188D">
        <w:trPr>
          <w:trHeight w:val="507"/>
        </w:trPr>
        <w:tc>
          <w:tcPr>
            <w:tcW w:w="380" w:type="pct"/>
          </w:tcPr>
          <w:p w:rsidR="00FA63CF" w:rsidRPr="00B45D78" w:rsidRDefault="00FA63CF" w:rsidP="00B45D78">
            <w:r w:rsidRPr="00B45D78">
              <w:t>4</w:t>
            </w:r>
          </w:p>
        </w:tc>
        <w:tc>
          <w:tcPr>
            <w:tcW w:w="1935" w:type="pct"/>
          </w:tcPr>
          <w:p w:rsidR="00FA63CF" w:rsidRPr="00B45D78" w:rsidRDefault="00FA63CF" w:rsidP="00B45D78">
            <w:r w:rsidRPr="00B45D78">
              <w:t>1 July 2017–30 June 2018</w:t>
            </w:r>
          </w:p>
        </w:tc>
        <w:tc>
          <w:tcPr>
            <w:tcW w:w="429" w:type="pct"/>
          </w:tcPr>
          <w:p w:rsidR="00FA63CF" w:rsidRPr="00B45D78" w:rsidRDefault="00FA63CF" w:rsidP="00B45D78">
            <w:r w:rsidRPr="00B45D78">
              <w:t>4</w:t>
            </w:r>
          </w:p>
        </w:tc>
        <w:tc>
          <w:tcPr>
            <w:tcW w:w="2256" w:type="pct"/>
          </w:tcPr>
          <w:p w:rsidR="00FA63CF" w:rsidRPr="00B45D78" w:rsidRDefault="00FA63CF" w:rsidP="00B45D78">
            <w:r w:rsidRPr="00B45D78">
              <w:t>1 January 2016–31 December 2016</w:t>
            </w:r>
          </w:p>
        </w:tc>
      </w:tr>
    </w:tbl>
    <w:p w:rsidR="00FA63CF" w:rsidRPr="00B45D78" w:rsidRDefault="00FA63CF" w:rsidP="00B45D78">
      <w:pPr>
        <w:pStyle w:val="AERtablesource"/>
      </w:pPr>
      <w:r w:rsidRPr="00B45D78">
        <w:t>Note:</w:t>
      </w:r>
      <w:r w:rsidRPr="00B45D78">
        <w:tab/>
        <w:t xml:space="preserve">The performance incentive for 1 January 2013–31 December 2013 is to be applied to the AR determined for </w:t>
      </w:r>
      <w:r w:rsidRPr="00B45D78">
        <w:br/>
        <w:t>2014–15</w:t>
      </w:r>
      <w:r w:rsidR="00A22616" w:rsidRPr="00B45D78">
        <w:t xml:space="preserve"> (the placeholder determination).</w:t>
      </w:r>
    </w:p>
    <w:p w:rsidR="00715910" w:rsidRPr="00B45D78" w:rsidRDefault="00715910" w:rsidP="00B45D78">
      <w:pPr>
        <w:pStyle w:val="Heading2"/>
      </w:pPr>
      <w:bookmarkStart w:id="11" w:name="_Toc417923809"/>
      <w:r w:rsidRPr="00B45D78">
        <w:t>Regulatory asset base</w:t>
      </w:r>
      <w:bookmarkEnd w:id="11"/>
      <w:r w:rsidRPr="00B45D78">
        <w:t xml:space="preserve"> </w:t>
      </w:r>
    </w:p>
    <w:p w:rsidR="00715910" w:rsidRPr="00B45D78" w:rsidRDefault="00040072" w:rsidP="00B45D78">
      <w:r w:rsidRPr="00B45D78">
        <w:t>We determine an opening RAB value of $</w:t>
      </w:r>
      <w:r w:rsidR="00B45D78" w:rsidRPr="00B45D78">
        <w:t>624</w:t>
      </w:r>
      <w:r w:rsidR="00513DE2">
        <w:t>1</w:t>
      </w:r>
      <w:r w:rsidR="00E47E17">
        <w:t>.</w:t>
      </w:r>
      <w:r w:rsidR="00513DE2">
        <w:t>5</w:t>
      </w:r>
      <w:r w:rsidRPr="00B45D78">
        <w:t xml:space="preserve"> million as at the commencement of the 2015–1</w:t>
      </w:r>
      <w:r w:rsidR="00B45D78" w:rsidRPr="00B45D78">
        <w:t>8</w:t>
      </w:r>
      <w:r w:rsidRPr="00B45D78">
        <w:t xml:space="preserve"> regulatory control period for T</w:t>
      </w:r>
      <w:r w:rsidR="00B45D78" w:rsidRPr="00B45D78">
        <w:t>ransGrid.</w:t>
      </w:r>
      <w:r w:rsidRPr="00B45D78">
        <w:t xml:space="preserve"> This is based on an opening RAB value of $</w:t>
      </w:r>
      <w:r w:rsidR="00B45D78" w:rsidRPr="00B45D78">
        <w:t>6075.8</w:t>
      </w:r>
      <w:r w:rsidRPr="00B45D78">
        <w:t xml:space="preserve"> million as at 1 July 2014.</w:t>
      </w:r>
    </w:p>
    <w:p w:rsidR="00715910" w:rsidRPr="00B45D78" w:rsidRDefault="00715910" w:rsidP="00B45D78">
      <w:pPr>
        <w:pStyle w:val="Heading2"/>
      </w:pPr>
      <w:bookmarkStart w:id="12" w:name="_Toc417923810"/>
      <w:r w:rsidRPr="00B45D78">
        <w:t>Method for indexation of the regulatory asset base</w:t>
      </w:r>
      <w:bookmarkEnd w:id="12"/>
    </w:p>
    <w:p w:rsidR="00715910" w:rsidRPr="00B45D78" w:rsidRDefault="00A22616" w:rsidP="00B45D78">
      <w:r w:rsidRPr="00B45D78">
        <w:t xml:space="preserve">We determine that the method for indexing </w:t>
      </w:r>
      <w:r w:rsidR="00B45D78" w:rsidRPr="00B45D78">
        <w:t>TransGrid's</w:t>
      </w:r>
      <w:r w:rsidRPr="00B45D78">
        <w:t xml:space="preserve"> RAB for each year of the 2014–1</w:t>
      </w:r>
      <w:r w:rsidR="00B57BBD">
        <w:t>8</w:t>
      </w:r>
      <w:r w:rsidRPr="00B45D78">
        <w:t xml:space="preserve"> period will be the same as that used to escalate its AR for that relevant year—that is, to apply the annual percentage change in the published ABS CPI all groups, weighted average of eight capital cities.</w:t>
      </w:r>
      <w:r w:rsidR="00953741">
        <w:rPr>
          <w:rStyle w:val="FootnoteReference"/>
        </w:rPr>
        <w:footnoteReference w:id="10"/>
      </w:r>
      <w:r w:rsidRPr="00B45D78">
        <w:t xml:space="preserve"> For </w:t>
      </w:r>
      <w:r w:rsidR="00B45D78" w:rsidRPr="00B45D78">
        <w:t>TransGrid</w:t>
      </w:r>
      <w:r w:rsidRPr="00B45D78">
        <w:t xml:space="preserve">, this will be the </w:t>
      </w:r>
      <w:r w:rsidR="008C416C" w:rsidRPr="00B45D78">
        <w:t>December</w:t>
      </w:r>
      <w:r w:rsidRPr="00B45D78">
        <w:t xml:space="preserve"> quarter CPI. This method will be used </w:t>
      </w:r>
      <w:r w:rsidR="008C416C" w:rsidRPr="00B45D78">
        <w:t>as part of the</w:t>
      </w:r>
      <w:r w:rsidRPr="00B45D78">
        <w:t xml:space="preserve"> roll forward </w:t>
      </w:r>
      <w:r w:rsidR="008C416C" w:rsidRPr="00B45D78">
        <w:t xml:space="preserve">of </w:t>
      </w:r>
      <w:r w:rsidR="00B45D78" w:rsidRPr="00B45D78">
        <w:t>TransGrid</w:t>
      </w:r>
      <w:r w:rsidRPr="00B45D78">
        <w:t>’</w:t>
      </w:r>
      <w:r w:rsidR="00B45D78" w:rsidRPr="00B45D78">
        <w:t>s</w:t>
      </w:r>
      <w:r w:rsidRPr="00B45D78">
        <w:t xml:space="preserve"> </w:t>
      </w:r>
      <w:r w:rsidR="008C416C" w:rsidRPr="00B45D78">
        <w:t xml:space="preserve">opening </w:t>
      </w:r>
      <w:r w:rsidRPr="00B45D78">
        <w:t xml:space="preserve">RAB for the purposes of the AER’s transmission revenue determination for the regulatory control period commencing on 1 </w:t>
      </w:r>
      <w:r w:rsidR="008C416C" w:rsidRPr="00B45D78">
        <w:t>July</w:t>
      </w:r>
      <w:r w:rsidRPr="00B45D78">
        <w:t xml:space="preserve"> 201</w:t>
      </w:r>
      <w:r w:rsidR="00B45D78" w:rsidRPr="00B45D78">
        <w:t>8</w:t>
      </w:r>
      <w:r w:rsidRPr="00B45D78">
        <w:t>.</w:t>
      </w:r>
    </w:p>
    <w:p w:rsidR="00EA7409" w:rsidRPr="00EA7409" w:rsidRDefault="00EA7409" w:rsidP="00EA7409">
      <w:pPr>
        <w:pStyle w:val="Heading2"/>
      </w:pPr>
      <w:bookmarkStart w:id="13" w:name="_Toc417923811"/>
      <w:r>
        <w:t>Performance incentive scheme parameters</w:t>
      </w:r>
      <w:bookmarkEnd w:id="13"/>
    </w:p>
    <w:p w:rsidR="00FF6734" w:rsidRPr="00727C65" w:rsidRDefault="00A12E7B" w:rsidP="00FF6734">
      <w:pPr>
        <w:numPr>
          <w:ilvl w:val="0"/>
          <w:numId w:val="25"/>
        </w:numPr>
        <w:rPr>
          <w:rStyle w:val="AERtexthighlight"/>
        </w:rPr>
      </w:pPr>
      <w:r w:rsidRPr="008D265C">
        <w:t xml:space="preserve">The AER has determined the values for the performance targets, caps, collars and weightings for each of the parameters for the service component of the </w:t>
      </w:r>
      <w:r>
        <w:t xml:space="preserve">service target </w:t>
      </w:r>
      <w:r>
        <w:lastRenderedPageBreak/>
        <w:t>performance incentive scheme (</w:t>
      </w:r>
      <w:r w:rsidRPr="008D265C">
        <w:t>STPIS</w:t>
      </w:r>
      <w:r>
        <w:t>)</w:t>
      </w:r>
      <w:r w:rsidRPr="008D265C">
        <w:t xml:space="preserve"> applicable to </w:t>
      </w:r>
      <w:r>
        <w:t>TransGrid</w:t>
      </w:r>
      <w:r w:rsidRPr="008D265C">
        <w:t xml:space="preserve"> for the </w:t>
      </w:r>
      <w:r>
        <w:t>2015–18</w:t>
      </w:r>
      <w:r w:rsidRPr="008D265C">
        <w:t xml:space="preserve"> regulatory control period.</w:t>
      </w:r>
      <w:r>
        <w:rPr>
          <w:rStyle w:val="FootnoteReference"/>
        </w:rPr>
        <w:footnoteReference w:id="11"/>
      </w:r>
      <w:r w:rsidRPr="008D265C">
        <w:t xml:space="preserve"> These are shown in</w:t>
      </w:r>
      <w:r w:rsidR="003A1281">
        <w:t xml:space="preserve"> </w:t>
      </w:r>
      <w:r w:rsidR="003A1281">
        <w:fldChar w:fldCharType="begin"/>
      </w:r>
      <w:r w:rsidR="003A1281">
        <w:instrText xml:space="preserve"> REF _Ref416860753 \h </w:instrText>
      </w:r>
      <w:r w:rsidR="003A1281">
        <w:fldChar w:fldCharType="separate"/>
      </w:r>
      <w:r w:rsidR="00963826">
        <w:t xml:space="preserve">Table </w:t>
      </w:r>
      <w:r w:rsidR="00963826">
        <w:rPr>
          <w:noProof/>
        </w:rPr>
        <w:t>4</w:t>
      </w:r>
      <w:r w:rsidR="003A1281">
        <w:fldChar w:fldCharType="end"/>
      </w:r>
      <w:r>
        <w:t>.</w:t>
      </w:r>
    </w:p>
    <w:p w:rsidR="00473870" w:rsidRPr="007432E6" w:rsidRDefault="003A1281" w:rsidP="003A1281">
      <w:pPr>
        <w:pStyle w:val="Caption"/>
      </w:pPr>
      <w:bookmarkStart w:id="14" w:name="_Ref416860753"/>
      <w:r>
        <w:t xml:space="preserve">Table </w:t>
      </w:r>
      <w:r w:rsidR="00963826">
        <w:fldChar w:fldCharType="begin"/>
      </w:r>
      <w:r w:rsidR="00963826">
        <w:instrText xml:space="preserve"> SEQ Table \* ARABIC </w:instrText>
      </w:r>
      <w:r w:rsidR="00963826">
        <w:fldChar w:fldCharType="separate"/>
      </w:r>
      <w:r w:rsidR="00963826">
        <w:rPr>
          <w:noProof/>
        </w:rPr>
        <w:t>4</w:t>
      </w:r>
      <w:r w:rsidR="00963826">
        <w:rPr>
          <w:noProof/>
        </w:rPr>
        <w:fldChar w:fldCharType="end"/>
      </w:r>
      <w:bookmarkEnd w:id="14"/>
      <w:r w:rsidR="00473870" w:rsidRPr="007432E6">
        <w:tab/>
        <w:t xml:space="preserve">AER's </w:t>
      </w:r>
      <w:r w:rsidR="00473870">
        <w:t>final</w:t>
      </w:r>
      <w:r w:rsidR="00473870" w:rsidRPr="007432E6">
        <w:t xml:space="preserve"> decision on TransGrid's parameter values and weightings for the service component of the STPIS</w:t>
      </w:r>
    </w:p>
    <w:tbl>
      <w:tblPr>
        <w:tblStyle w:val="AERtable-numbers"/>
        <w:tblW w:w="0" w:type="auto"/>
        <w:tblLook w:val="04A0" w:firstRow="1" w:lastRow="0" w:firstColumn="1" w:lastColumn="0" w:noHBand="0" w:noVBand="1"/>
      </w:tblPr>
      <w:tblGrid>
        <w:gridCol w:w="3227"/>
        <w:gridCol w:w="1070"/>
        <w:gridCol w:w="1452"/>
        <w:gridCol w:w="1452"/>
        <w:gridCol w:w="1492"/>
      </w:tblGrid>
      <w:tr w:rsidR="00473870" w:rsidRPr="00682A64" w:rsidTr="00BC4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numPr>
                <w:ilvl w:val="0"/>
                <w:numId w:val="25"/>
              </w:numPr>
            </w:pPr>
          </w:p>
        </w:tc>
        <w:tc>
          <w:tcPr>
            <w:tcW w:w="1070"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Collar</w:t>
            </w:r>
          </w:p>
        </w:tc>
        <w:tc>
          <w:tcPr>
            <w:tcW w:w="145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Target</w:t>
            </w:r>
          </w:p>
        </w:tc>
        <w:tc>
          <w:tcPr>
            <w:tcW w:w="145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Cap</w:t>
            </w:r>
          </w:p>
        </w:tc>
        <w:tc>
          <w:tcPr>
            <w:tcW w:w="149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Weighting </w:t>
            </w:r>
            <w:r w:rsidRPr="007432E6">
              <w:br/>
              <w:t>(% of MAR)</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Average circuit outage rate</w:t>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Line outage – fault</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22.26%</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17.86%</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12.38%</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Transformer outage – fault</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19.01%</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14.92%</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10.26%</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0.2</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 xml:space="preserve">Reactive plant – fault </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22.73%</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15.54%</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9.54%</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0.1</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Line outage – forced outage</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t>25.49</w:t>
            </w:r>
            <w:r w:rsidRPr="00473870">
              <w:t>%</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14.98%</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t>1.34</w:t>
            </w:r>
            <w:r w:rsidRPr="00473870">
              <w:t>%</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Transformer outage – forced outage</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24.15%</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20.25%</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15.56%</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Reactive plant – forced outage</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28.55%</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20.39%</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6.55%</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Loss of supply event frequency</w:t>
            </w:r>
          </w:p>
        </w:tc>
        <w:tc>
          <w:tcPr>
            <w:tcW w:w="1070"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9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473870" w:rsidRDefault="00473870" w:rsidP="00473870">
            <w:pPr>
              <w:pStyle w:val="AERtabletextleft"/>
            </w:pPr>
            <w:r w:rsidRPr="007432E6">
              <w:t>&gt;0.05 system minutes</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4</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3</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0.15</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&gt;0.25 system minutes</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0.15</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Average outage duration</w:t>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Average outage duration</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266.53</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144.49</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67.97</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473870" w:rsidRDefault="00473870" w:rsidP="00473870">
            <w:pPr>
              <w:pStyle w:val="AERtabletextleft"/>
              <w:rPr>
                <w:rStyle w:val="Strong"/>
              </w:rPr>
            </w:pPr>
            <w:r w:rsidRPr="007432E6">
              <w:rPr>
                <w:rStyle w:val="Strong"/>
              </w:rPr>
              <w:t>Proper operation of equipment</w:t>
            </w:r>
            <w:r w:rsidRPr="00473870">
              <w:rPr>
                <w:rStyle w:val="FootnoteReference"/>
              </w:rPr>
              <w:footnoteReference w:id="12"/>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Failure of protection system</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Material failure of SCADA</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Incorrect operational isolation of primary or secondary equipment</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bl>
    <w:p w:rsidR="00473870" w:rsidRPr="00473870" w:rsidRDefault="00473870" w:rsidP="00473870">
      <w:pPr>
        <w:pStyle w:val="Source"/>
        <w:rPr>
          <w:shd w:val="clear" w:color="auto" w:fill="FFFF00"/>
        </w:rPr>
      </w:pPr>
      <w:r w:rsidRPr="007432E6">
        <w:t xml:space="preserve">Sources: TransGrid, </w:t>
      </w:r>
      <w:r w:rsidRPr="007432E6">
        <w:rPr>
          <w:rStyle w:val="AERtextitalic"/>
        </w:rPr>
        <w:t>Revenue proposal 2014/15–2018/19</w:t>
      </w:r>
      <w:r w:rsidRPr="007432E6">
        <w:t xml:space="preserve">, p. 226; AER analysis. </w:t>
      </w:r>
    </w:p>
    <w:p w:rsidR="00C47D60" w:rsidRDefault="00C47D60" w:rsidP="003B3F4F">
      <w:pPr>
        <w:pStyle w:val="ListParagraph"/>
        <w:numPr>
          <w:ilvl w:val="0"/>
          <w:numId w:val="25"/>
        </w:numPr>
        <w:rPr>
          <w:rStyle w:val="AERbody"/>
        </w:rPr>
      </w:pPr>
    </w:p>
    <w:p w:rsidR="003B3F4F" w:rsidRPr="00C47D60" w:rsidRDefault="003B3F4F" w:rsidP="003B3F4F">
      <w:pPr>
        <w:pStyle w:val="ListParagraph"/>
        <w:numPr>
          <w:ilvl w:val="0"/>
          <w:numId w:val="25"/>
        </w:numPr>
        <w:rPr>
          <w:rStyle w:val="AERbody"/>
        </w:rPr>
      </w:pPr>
      <w:r w:rsidRPr="00C47D60">
        <w:rPr>
          <w:rStyle w:val="AERbody"/>
        </w:rPr>
        <w:lastRenderedPageBreak/>
        <w:t>T</w:t>
      </w:r>
      <w:r w:rsidR="00C47D60" w:rsidRPr="00C47D60">
        <w:rPr>
          <w:rStyle w:val="AERbody"/>
        </w:rPr>
        <w:t>ransGrid's</w:t>
      </w:r>
      <w:r w:rsidRPr="00C47D60">
        <w:rPr>
          <w:rStyle w:val="AERbody"/>
        </w:rPr>
        <w:t xml:space="preserve"> market impact parameter performance targets th</w:t>
      </w:r>
      <w:r w:rsidR="00C47D60" w:rsidRPr="00C47D60">
        <w:rPr>
          <w:rStyle w:val="AERbody"/>
        </w:rPr>
        <w:t>at will apply within the 2015–18</w:t>
      </w:r>
      <w:r w:rsidRPr="00C47D60">
        <w:rPr>
          <w:rStyle w:val="AERbody"/>
        </w:rPr>
        <w:t xml:space="preserve"> regulatory control period will be published annually as part of our service standards compliance reporting process. </w:t>
      </w:r>
    </w:p>
    <w:p w:rsidR="003B3F4F" w:rsidRPr="00C47D60" w:rsidRDefault="00FF6734" w:rsidP="00FF6734">
      <w:pPr>
        <w:rPr>
          <w:rStyle w:val="AERbody"/>
        </w:rPr>
      </w:pPr>
      <w:r w:rsidRPr="00C47D60">
        <w:rPr>
          <w:rStyle w:val="AERbody"/>
        </w:rPr>
        <w:t xml:space="preserve">The AER has determined that the priority projects and improvement targets shown in </w:t>
      </w:r>
      <w:r w:rsidR="003A1281">
        <w:rPr>
          <w:rStyle w:val="AERbody"/>
        </w:rPr>
        <w:fldChar w:fldCharType="begin"/>
      </w:r>
      <w:r w:rsidR="003A1281">
        <w:rPr>
          <w:rStyle w:val="AERbody"/>
        </w:rPr>
        <w:instrText xml:space="preserve"> REF _Ref416860781 \h </w:instrText>
      </w:r>
      <w:r w:rsidR="003A1281">
        <w:rPr>
          <w:rStyle w:val="AERbody"/>
        </w:rPr>
      </w:r>
      <w:r w:rsidR="003A1281">
        <w:rPr>
          <w:rStyle w:val="AERbody"/>
        </w:rPr>
        <w:fldChar w:fldCharType="separate"/>
      </w:r>
      <w:r w:rsidR="00963826">
        <w:t xml:space="preserve">Table </w:t>
      </w:r>
      <w:r w:rsidR="00963826">
        <w:rPr>
          <w:noProof/>
        </w:rPr>
        <w:t>5</w:t>
      </w:r>
      <w:r w:rsidR="003A1281">
        <w:rPr>
          <w:rStyle w:val="AERbody"/>
        </w:rPr>
        <w:fldChar w:fldCharType="end"/>
      </w:r>
      <w:r w:rsidR="003A1281">
        <w:rPr>
          <w:rStyle w:val="AERbody"/>
        </w:rPr>
        <w:t xml:space="preserve"> </w:t>
      </w:r>
      <w:r w:rsidRPr="00C47D60">
        <w:rPr>
          <w:rStyle w:val="AERbody"/>
        </w:rPr>
        <w:t>will apply t</w:t>
      </w:r>
      <w:r w:rsidR="00C47D60" w:rsidRPr="00C47D60">
        <w:rPr>
          <w:rStyle w:val="AERbody"/>
        </w:rPr>
        <w:t xml:space="preserve">o </w:t>
      </w:r>
      <w:r w:rsidR="00B57BBD">
        <w:rPr>
          <w:rStyle w:val="AERbody"/>
        </w:rPr>
        <w:t>TransGrid</w:t>
      </w:r>
      <w:r w:rsidR="00C47D60" w:rsidRPr="00C47D60">
        <w:rPr>
          <w:rStyle w:val="AERbody"/>
        </w:rPr>
        <w:t xml:space="preserve"> during the 2015–18</w:t>
      </w:r>
      <w:r w:rsidRPr="00C47D60">
        <w:rPr>
          <w:rStyle w:val="AERbody"/>
        </w:rPr>
        <w:t xml:space="preserve"> regulatory control period. </w:t>
      </w:r>
    </w:p>
    <w:p w:rsidR="00C47D60" w:rsidRDefault="003A1281" w:rsidP="003A1281">
      <w:pPr>
        <w:pStyle w:val="Caption"/>
      </w:pPr>
      <w:bookmarkStart w:id="15" w:name="_Ref416860781"/>
      <w:r>
        <w:t xml:space="preserve">Table </w:t>
      </w:r>
      <w:r w:rsidR="00963826">
        <w:fldChar w:fldCharType="begin"/>
      </w:r>
      <w:r w:rsidR="00963826">
        <w:instrText xml:space="preserve"> SEQ Table \* ARABIC </w:instrText>
      </w:r>
      <w:r w:rsidR="00963826">
        <w:fldChar w:fldCharType="separate"/>
      </w:r>
      <w:r w:rsidR="00963826">
        <w:rPr>
          <w:noProof/>
        </w:rPr>
        <w:t>5</w:t>
      </w:r>
      <w:r w:rsidR="00963826">
        <w:rPr>
          <w:noProof/>
        </w:rPr>
        <w:fldChar w:fldCharType="end"/>
      </w:r>
      <w:bookmarkEnd w:id="15"/>
      <w:r w:rsidR="00C47D60">
        <w:tab/>
        <w:t>AER’s final decision on TransGrid's network capability priority projects ($ 000s, 2013–14)</w:t>
      </w:r>
    </w:p>
    <w:tbl>
      <w:tblPr>
        <w:tblStyle w:val="AERtable-text0"/>
        <w:tblW w:w="0" w:type="auto"/>
        <w:tblLook w:val="04A0" w:firstRow="1" w:lastRow="0" w:firstColumn="1" w:lastColumn="0" w:noHBand="0" w:noVBand="1"/>
      </w:tblPr>
      <w:tblGrid>
        <w:gridCol w:w="951"/>
        <w:gridCol w:w="1756"/>
        <w:gridCol w:w="1825"/>
        <w:gridCol w:w="1774"/>
        <w:gridCol w:w="830"/>
        <w:gridCol w:w="717"/>
        <w:gridCol w:w="840"/>
      </w:tblGrid>
      <w:tr w:rsidR="00C47D60" w:rsidTr="006F41CD">
        <w:trPr>
          <w:cnfStyle w:val="100000000000" w:firstRow="1" w:lastRow="0" w:firstColumn="0" w:lastColumn="0" w:oddVBand="0" w:evenVBand="0" w:oddHBand="0" w:evenHBand="0" w:firstRowFirstColumn="0" w:firstRowLastColumn="0" w:lastRowFirstColumn="0" w:lastRowLastColumn="0"/>
          <w:tblHeader/>
        </w:trPr>
        <w:tc>
          <w:tcPr>
            <w:tcW w:w="951" w:type="dxa"/>
          </w:tcPr>
          <w:p w:rsidR="00C47D60" w:rsidRPr="00C47D60" w:rsidRDefault="00C47D60" w:rsidP="00C47D60">
            <w:pPr>
              <w:pStyle w:val="AERtabletextleft"/>
              <w:rPr>
                <w:rStyle w:val="Strong"/>
              </w:rPr>
            </w:pPr>
            <w:r w:rsidRPr="00C47D60">
              <w:rPr>
                <w:rStyle w:val="Strong"/>
              </w:rPr>
              <w:t>Ranking</w:t>
            </w:r>
          </w:p>
        </w:tc>
        <w:tc>
          <w:tcPr>
            <w:tcW w:w="1756" w:type="dxa"/>
          </w:tcPr>
          <w:p w:rsidR="00C47D60" w:rsidRPr="00C47D60" w:rsidRDefault="00C47D60" w:rsidP="00C47D60">
            <w:pPr>
              <w:pStyle w:val="AERtabletextleft"/>
              <w:rPr>
                <w:rStyle w:val="Strong"/>
              </w:rPr>
            </w:pPr>
            <w:r w:rsidRPr="00C47D60">
              <w:rPr>
                <w:rStyle w:val="Strong"/>
              </w:rPr>
              <w:t>Project</w:t>
            </w:r>
          </w:p>
        </w:tc>
        <w:tc>
          <w:tcPr>
            <w:tcW w:w="1825" w:type="dxa"/>
          </w:tcPr>
          <w:p w:rsidR="00C47D60" w:rsidRPr="00C47D60" w:rsidRDefault="00C47D60" w:rsidP="00C47D60">
            <w:pPr>
              <w:pStyle w:val="AERtabletextleft"/>
              <w:rPr>
                <w:rStyle w:val="Strong"/>
              </w:rPr>
            </w:pPr>
            <w:r w:rsidRPr="00C47D60">
              <w:rPr>
                <w:rStyle w:val="Strong"/>
              </w:rPr>
              <w:t>Description</w:t>
            </w:r>
          </w:p>
        </w:tc>
        <w:tc>
          <w:tcPr>
            <w:tcW w:w="1774" w:type="dxa"/>
          </w:tcPr>
          <w:p w:rsidR="00C47D60" w:rsidRPr="00C47D60" w:rsidRDefault="00C47D60" w:rsidP="00C47D60">
            <w:pPr>
              <w:pStyle w:val="AERtabletextleft"/>
              <w:rPr>
                <w:rStyle w:val="Strong"/>
              </w:rPr>
            </w:pPr>
            <w:r w:rsidRPr="00C47D60">
              <w:rPr>
                <w:rStyle w:val="Strong"/>
              </w:rPr>
              <w:t>Improvement target</w:t>
            </w:r>
          </w:p>
        </w:tc>
        <w:tc>
          <w:tcPr>
            <w:tcW w:w="830" w:type="dxa"/>
          </w:tcPr>
          <w:p w:rsidR="00C47D60" w:rsidRPr="00C47D60" w:rsidRDefault="00C47D60" w:rsidP="00C47D60">
            <w:pPr>
              <w:pStyle w:val="AERtabletextleft"/>
              <w:rPr>
                <w:rStyle w:val="Strong"/>
              </w:rPr>
            </w:pPr>
            <w:r w:rsidRPr="00C47D60">
              <w:rPr>
                <w:rStyle w:val="Strong"/>
              </w:rPr>
              <w:t>Capex</w:t>
            </w:r>
          </w:p>
        </w:tc>
        <w:tc>
          <w:tcPr>
            <w:tcW w:w="717" w:type="dxa"/>
          </w:tcPr>
          <w:p w:rsidR="00C47D60" w:rsidRPr="00C47D60" w:rsidRDefault="00C47D60" w:rsidP="00C47D60">
            <w:pPr>
              <w:pStyle w:val="AERtabletextleft"/>
              <w:rPr>
                <w:rStyle w:val="Strong"/>
              </w:rPr>
            </w:pPr>
            <w:r w:rsidRPr="00C47D60">
              <w:rPr>
                <w:rStyle w:val="Strong"/>
              </w:rPr>
              <w:t>Opex</w:t>
            </w:r>
          </w:p>
        </w:tc>
        <w:tc>
          <w:tcPr>
            <w:tcW w:w="840" w:type="dxa"/>
          </w:tcPr>
          <w:p w:rsidR="00C47D60" w:rsidRPr="00C47D60" w:rsidRDefault="00C47D60" w:rsidP="00C47D60">
            <w:pPr>
              <w:pStyle w:val="AERtabletextleft"/>
              <w:rPr>
                <w:rStyle w:val="Strong"/>
              </w:rPr>
            </w:pPr>
            <w:r w:rsidRPr="00C47D60">
              <w:rPr>
                <w:rStyle w:val="Strong"/>
              </w:rPr>
              <w:t>Total</w:t>
            </w:r>
          </w:p>
        </w:tc>
      </w:tr>
      <w:tr w:rsidR="00C47D60" w:rsidTr="006F41CD">
        <w:tc>
          <w:tcPr>
            <w:tcW w:w="951" w:type="dxa"/>
          </w:tcPr>
          <w:p w:rsidR="00C47D60" w:rsidRPr="00C47D60" w:rsidRDefault="00C47D60" w:rsidP="00C47D60">
            <w:pPr>
              <w:pStyle w:val="AERtabletextleft"/>
            </w:pPr>
            <w:r>
              <w:t>1</w:t>
            </w:r>
          </w:p>
        </w:tc>
        <w:tc>
          <w:tcPr>
            <w:tcW w:w="1756" w:type="dxa"/>
          </w:tcPr>
          <w:p w:rsidR="00C47D60" w:rsidRPr="00C47D60" w:rsidRDefault="00C47D60" w:rsidP="00C47D60">
            <w:pPr>
              <w:pStyle w:val="AERtabletextleft"/>
            </w:pPr>
            <w:r w:rsidRPr="00FB5FC7">
              <w:t>Current Transformer Secondary Ratios</w:t>
            </w:r>
            <w:r w:rsidRPr="00C47D60">
              <w:t xml:space="preserve"> - Queensland – New South Wales Interconnector</w:t>
            </w:r>
          </w:p>
        </w:tc>
        <w:tc>
          <w:tcPr>
            <w:tcW w:w="1825" w:type="dxa"/>
          </w:tcPr>
          <w:p w:rsidR="00C47D60" w:rsidRPr="00C47D60" w:rsidRDefault="00C47D60" w:rsidP="00C47D60">
            <w:pPr>
              <w:pStyle w:val="AERtabletextleft"/>
            </w:pPr>
            <w:r>
              <w:t>Changes to current transformer secondary ratios on 8C, 8E, 8L and 8M lines.</w:t>
            </w:r>
          </w:p>
        </w:tc>
        <w:tc>
          <w:tcPr>
            <w:tcW w:w="1774" w:type="dxa"/>
          </w:tcPr>
          <w:p w:rsidR="00C47D60" w:rsidRPr="00C47D60" w:rsidRDefault="00C47D60" w:rsidP="00C47D60">
            <w:pPr>
              <w:pStyle w:val="AERtabletextleft"/>
            </w:pPr>
            <w:r>
              <w:t>Full use of line thermal capacity of 1200MVA for 8C and 8E 330kV Armidale - Dumaresq circuits and 8L and 8M Dumaresq - Bulli Creek circuits during system normal conditions.</w:t>
            </w:r>
          </w:p>
        </w:tc>
        <w:tc>
          <w:tcPr>
            <w:tcW w:w="830" w:type="dxa"/>
          </w:tcPr>
          <w:p w:rsidR="00C47D60" w:rsidRPr="00C47D60" w:rsidRDefault="00C47D60" w:rsidP="00C47D60">
            <w:pPr>
              <w:pStyle w:val="AERtabletextleft"/>
            </w:pPr>
            <w:r>
              <w:t>0</w:t>
            </w:r>
          </w:p>
        </w:tc>
        <w:tc>
          <w:tcPr>
            <w:tcW w:w="717" w:type="dxa"/>
          </w:tcPr>
          <w:p w:rsidR="00C47D60" w:rsidRPr="00C47D60" w:rsidRDefault="00C47D60" w:rsidP="00C47D60">
            <w:pPr>
              <w:pStyle w:val="AERtabletextleft"/>
            </w:pPr>
            <w:r>
              <w:t>55</w:t>
            </w:r>
          </w:p>
        </w:tc>
        <w:tc>
          <w:tcPr>
            <w:tcW w:w="840" w:type="dxa"/>
          </w:tcPr>
          <w:p w:rsidR="00C47D60" w:rsidRPr="00C47D60" w:rsidRDefault="00C47D60" w:rsidP="00C47D60">
            <w:pPr>
              <w:pStyle w:val="AERtabletextleft"/>
            </w:pPr>
            <w:r>
              <w:t>55</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w:t>
            </w:r>
          </w:p>
        </w:tc>
        <w:tc>
          <w:tcPr>
            <w:tcW w:w="1756" w:type="dxa"/>
          </w:tcPr>
          <w:p w:rsidR="00C47D60" w:rsidRPr="00C47D60" w:rsidRDefault="00C47D60" w:rsidP="00C47D60">
            <w:pPr>
              <w:pStyle w:val="AERtabletextleft"/>
            </w:pPr>
            <w:r w:rsidRPr="00FB5FC7">
              <w:t>Terminal Equipment Upgrades</w:t>
            </w:r>
            <w:r w:rsidRPr="00C47D60">
              <w:t xml:space="preserve"> - 67 &amp; 68 Murray – Dederang Switchbays</w:t>
            </w:r>
          </w:p>
        </w:tc>
        <w:tc>
          <w:tcPr>
            <w:tcW w:w="1825" w:type="dxa"/>
          </w:tcPr>
          <w:p w:rsidR="00C47D60" w:rsidRPr="00C47D60" w:rsidRDefault="00C47D60" w:rsidP="00C47D60">
            <w:pPr>
              <w:pStyle w:val="AERtabletextleft"/>
            </w:pPr>
            <w:r>
              <w:t>Replace wave traps, disconnectors and change CT ratios and protection settings on 67 &amp; 68 line switchbays at Murray.</w:t>
            </w:r>
          </w:p>
        </w:tc>
        <w:tc>
          <w:tcPr>
            <w:tcW w:w="1774" w:type="dxa"/>
          </w:tcPr>
          <w:p w:rsidR="00C47D60" w:rsidRPr="00C47D60" w:rsidRDefault="00C47D60" w:rsidP="00C47D60">
            <w:pPr>
              <w:pStyle w:val="AERtabletextleft"/>
            </w:pPr>
            <w:r>
              <w:t xml:space="preserve">Terminal equipment </w:t>
            </w:r>
            <w:r w:rsidRPr="00C47D60">
              <w:t>ratings that allow the use of dynamic rating capacity of 1486MVA for 67 &amp; 68 Lines.</w:t>
            </w:r>
          </w:p>
        </w:tc>
        <w:tc>
          <w:tcPr>
            <w:tcW w:w="830" w:type="dxa"/>
          </w:tcPr>
          <w:p w:rsidR="00C47D60" w:rsidRPr="00C47D60" w:rsidRDefault="00C47D60" w:rsidP="00C47D60">
            <w:pPr>
              <w:pStyle w:val="AERtabletextleft"/>
            </w:pPr>
            <w:r>
              <w:t>360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360</w:t>
            </w:r>
          </w:p>
        </w:tc>
      </w:tr>
      <w:tr w:rsidR="00C47D60" w:rsidTr="006F41CD">
        <w:tc>
          <w:tcPr>
            <w:tcW w:w="951" w:type="dxa"/>
          </w:tcPr>
          <w:p w:rsidR="00C47D60" w:rsidRPr="00C47D60" w:rsidRDefault="00C47D60" w:rsidP="00C47D60">
            <w:pPr>
              <w:pStyle w:val="AERtabletextleft"/>
            </w:pPr>
            <w:r>
              <w:t>3</w:t>
            </w:r>
          </w:p>
        </w:tc>
        <w:tc>
          <w:tcPr>
            <w:tcW w:w="1756" w:type="dxa"/>
          </w:tcPr>
          <w:p w:rsidR="00C47D60" w:rsidRPr="00C47D60" w:rsidRDefault="00C47D60" w:rsidP="00C47D60">
            <w:pPr>
              <w:pStyle w:val="AERtabletextleft"/>
            </w:pPr>
            <w:r w:rsidRPr="00FB5FC7">
              <w:t>Protection &amp; Metering Upgrades</w:t>
            </w:r>
            <w:r w:rsidRPr="00C47D60">
              <w:t xml:space="preserve"> - 993 Line Protection &amp; Metering Upgrade</w:t>
            </w:r>
          </w:p>
        </w:tc>
        <w:tc>
          <w:tcPr>
            <w:tcW w:w="1825" w:type="dxa"/>
          </w:tcPr>
          <w:p w:rsidR="00C47D60" w:rsidRPr="00C47D60" w:rsidRDefault="00C47D60" w:rsidP="00C47D60">
            <w:pPr>
              <w:pStyle w:val="AERtabletextleft"/>
            </w:pPr>
            <w:r>
              <w:t>Replace the secondary systems panel for 993 Line at Wagga 330 substation.</w:t>
            </w:r>
          </w:p>
        </w:tc>
        <w:tc>
          <w:tcPr>
            <w:tcW w:w="1774" w:type="dxa"/>
          </w:tcPr>
          <w:p w:rsidR="00C47D60" w:rsidRPr="00C47D60" w:rsidRDefault="00C47D60" w:rsidP="00C47D60">
            <w:pPr>
              <w:pStyle w:val="AERtabletextleft"/>
            </w:pPr>
            <w:r>
              <w:t xml:space="preserve">Full use of </w:t>
            </w:r>
            <w:r w:rsidRPr="00C47D60">
              <w:t>contingent capacity of 122 MVA for 993 Line.</w:t>
            </w:r>
          </w:p>
        </w:tc>
        <w:tc>
          <w:tcPr>
            <w:tcW w:w="830" w:type="dxa"/>
          </w:tcPr>
          <w:p w:rsidR="00C47D60" w:rsidRPr="00C47D60" w:rsidRDefault="00C47D60" w:rsidP="00C47D60">
            <w:pPr>
              <w:pStyle w:val="AERtabletextleft"/>
            </w:pPr>
            <w:r>
              <w:t>90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90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4</w:t>
            </w:r>
          </w:p>
        </w:tc>
        <w:tc>
          <w:tcPr>
            <w:tcW w:w="1756" w:type="dxa"/>
          </w:tcPr>
          <w:p w:rsidR="00C47D60" w:rsidRPr="00C47D60" w:rsidRDefault="00C47D60" w:rsidP="00C47D60">
            <w:pPr>
              <w:pStyle w:val="AERtabletextleft"/>
            </w:pPr>
            <w:r w:rsidRPr="00FB5FC7">
              <w:t>Dynamic Line Ratings &amp; Transmission</w:t>
            </w:r>
            <w:r w:rsidRPr="00C47D60">
              <w:t xml:space="preserve"> Line Uprating - 83 Liddell – Muswellbrook, </w:t>
            </w:r>
            <w:r w:rsidRPr="00C47D60">
              <w:lastRenderedPageBreak/>
              <w:t>84 Liddell – Tamworth 330, 85 &amp; 86 Tamworth 330 – Armidale &amp; 88 Muswellbrook – Tamworth 330 330kV Lines</w:t>
            </w:r>
          </w:p>
        </w:tc>
        <w:tc>
          <w:tcPr>
            <w:tcW w:w="1825" w:type="dxa"/>
          </w:tcPr>
          <w:p w:rsidR="00C47D60" w:rsidRPr="00C47D60" w:rsidRDefault="00C47D60" w:rsidP="00C47D60">
            <w:pPr>
              <w:pStyle w:val="AERtabletextleft"/>
            </w:pPr>
            <w:r>
              <w:lastRenderedPageBreak/>
              <w:t xml:space="preserve">Install dynamic </w:t>
            </w:r>
            <w:r w:rsidRPr="00C47D60">
              <w:t xml:space="preserve">line ratings based on real time ambient temperatures and wind speeds on </w:t>
            </w:r>
            <w:r w:rsidRPr="00C47D60">
              <w:lastRenderedPageBreak/>
              <w:t>83, 84, 85, 86 and 88 Lines.</w:t>
            </w:r>
          </w:p>
        </w:tc>
        <w:tc>
          <w:tcPr>
            <w:tcW w:w="1774" w:type="dxa"/>
          </w:tcPr>
          <w:p w:rsidR="00C47D60" w:rsidRPr="00C47D60" w:rsidRDefault="00C47D60" w:rsidP="00C47D60">
            <w:pPr>
              <w:pStyle w:val="AERtabletextleft"/>
            </w:pPr>
            <w:r>
              <w:lastRenderedPageBreak/>
              <w:t xml:space="preserve">Improved rating information based on real time ambient temperature and wind speed for </w:t>
            </w:r>
            <w:r>
              <w:lastRenderedPageBreak/>
              <w:t>these lines, which will allow increased line ratings of approximately 20% at times of favourable conditions.</w:t>
            </w:r>
          </w:p>
        </w:tc>
        <w:tc>
          <w:tcPr>
            <w:tcW w:w="830" w:type="dxa"/>
          </w:tcPr>
          <w:p w:rsidR="00C47D60" w:rsidRPr="00C47D60" w:rsidRDefault="00C47D60" w:rsidP="00C47D60">
            <w:pPr>
              <w:pStyle w:val="AERtabletextleft"/>
            </w:pPr>
            <w:r>
              <w:lastRenderedPageBreak/>
              <w:t>1,100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1,100</w:t>
            </w:r>
          </w:p>
        </w:tc>
      </w:tr>
      <w:tr w:rsidR="00C47D60" w:rsidTr="006F41CD">
        <w:tc>
          <w:tcPr>
            <w:tcW w:w="951" w:type="dxa"/>
          </w:tcPr>
          <w:p w:rsidR="00C47D60" w:rsidRPr="00C47D60" w:rsidRDefault="00C47D60" w:rsidP="00C47D60">
            <w:pPr>
              <w:pStyle w:val="AERtabletextleft"/>
            </w:pPr>
            <w:r>
              <w:lastRenderedPageBreak/>
              <w:t>5</w:t>
            </w:r>
          </w:p>
        </w:tc>
        <w:tc>
          <w:tcPr>
            <w:tcW w:w="1756" w:type="dxa"/>
          </w:tcPr>
          <w:p w:rsidR="00C47D60" w:rsidRPr="00C47D60" w:rsidRDefault="00C47D60" w:rsidP="00C47D60">
            <w:pPr>
              <w:pStyle w:val="AERtabletextleft"/>
            </w:pPr>
            <w:r w:rsidRPr="00FB5FC7">
              <w:t>Protection &amp; Metering Upgrades</w:t>
            </w:r>
            <w:r w:rsidRPr="00C47D60">
              <w:t xml:space="preserve"> - 99P Line Protection &amp; Metering Upgrade</w:t>
            </w:r>
          </w:p>
        </w:tc>
        <w:tc>
          <w:tcPr>
            <w:tcW w:w="1825" w:type="dxa"/>
          </w:tcPr>
          <w:p w:rsidR="00C47D60" w:rsidRPr="00C47D60" w:rsidRDefault="00C47D60" w:rsidP="00C47D60">
            <w:pPr>
              <w:pStyle w:val="AERtabletextleft"/>
            </w:pPr>
            <w:r>
              <w:t>Change to CT ratios at Gadara. (The change to CT ratios at Tumut will be undertaken as part of the secondary systems replacement project at Tumut.)</w:t>
            </w:r>
          </w:p>
        </w:tc>
        <w:tc>
          <w:tcPr>
            <w:tcW w:w="1774" w:type="dxa"/>
          </w:tcPr>
          <w:p w:rsidR="00C47D60" w:rsidRPr="00C47D60" w:rsidRDefault="00C47D60" w:rsidP="00C47D60">
            <w:pPr>
              <w:pStyle w:val="AERtabletextleft"/>
            </w:pPr>
            <w:r>
              <w:t>Full use of contingent capacity of 128 MVA for 99P Line.</w:t>
            </w:r>
          </w:p>
        </w:tc>
        <w:tc>
          <w:tcPr>
            <w:tcW w:w="830" w:type="dxa"/>
          </w:tcPr>
          <w:p w:rsidR="00C47D60" w:rsidRPr="00C47D60" w:rsidRDefault="00C47D60" w:rsidP="00C47D60">
            <w:pPr>
              <w:pStyle w:val="AERtabletextleft"/>
            </w:pPr>
            <w:r>
              <w:t>0</w:t>
            </w:r>
          </w:p>
        </w:tc>
        <w:tc>
          <w:tcPr>
            <w:tcW w:w="717" w:type="dxa"/>
          </w:tcPr>
          <w:p w:rsidR="00C47D60" w:rsidRPr="00C47D60" w:rsidRDefault="00C47D60" w:rsidP="00C47D60">
            <w:pPr>
              <w:pStyle w:val="AERtabletextleft"/>
            </w:pPr>
            <w:r>
              <w:t>50</w:t>
            </w:r>
          </w:p>
        </w:tc>
        <w:tc>
          <w:tcPr>
            <w:tcW w:w="840" w:type="dxa"/>
          </w:tcPr>
          <w:p w:rsidR="00C47D60" w:rsidRPr="00C47D60" w:rsidRDefault="00C47D60" w:rsidP="00C47D60">
            <w:pPr>
              <w:pStyle w:val="AERtabletextleft"/>
            </w:pPr>
            <w:r>
              <w:t>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6</w:t>
            </w:r>
          </w:p>
        </w:tc>
        <w:tc>
          <w:tcPr>
            <w:tcW w:w="1756" w:type="dxa"/>
          </w:tcPr>
          <w:p w:rsidR="00C47D60" w:rsidRPr="00C47D60" w:rsidRDefault="00C47D60" w:rsidP="00C47D60">
            <w:pPr>
              <w:pStyle w:val="AERtabletextleft"/>
            </w:pPr>
            <w:r w:rsidRPr="00FB5FC7">
              <w:t xml:space="preserve">Dynamic </w:t>
            </w:r>
            <w:r w:rsidRPr="00C47D60">
              <w:t>Line Ratings &amp; Transmission Line Uprating - 65 Murray – Upper Tumut &amp; 66 Murray – Lower Tumut 330kV Lines</w:t>
            </w:r>
          </w:p>
        </w:tc>
        <w:tc>
          <w:tcPr>
            <w:tcW w:w="1825" w:type="dxa"/>
          </w:tcPr>
          <w:p w:rsidR="00C47D60" w:rsidRPr="00C47D60" w:rsidRDefault="00C47D60" w:rsidP="00C47D60">
            <w:pPr>
              <w:pStyle w:val="AERtabletextleft"/>
            </w:pPr>
            <w:r>
              <w:t xml:space="preserve">Install dynamic line ratings based on real time </w:t>
            </w:r>
            <w:r w:rsidRPr="00C47D60">
              <w:t>ambient temperatures and wind speeds on 65 and 66 Lines.</w:t>
            </w:r>
          </w:p>
        </w:tc>
        <w:tc>
          <w:tcPr>
            <w:tcW w:w="1774" w:type="dxa"/>
          </w:tcPr>
          <w:p w:rsidR="00C47D60" w:rsidRPr="00C47D60" w:rsidRDefault="00C47D60" w:rsidP="00C47D60">
            <w:pPr>
              <w:pStyle w:val="AERtabletextleft"/>
            </w:pPr>
            <w:r>
              <w:t>Improved rating information based on real time ambient temperature and wind speed for these lines, which will allow increased line ratings of approximately 20% at times of favourable conditions.</w:t>
            </w:r>
          </w:p>
        </w:tc>
        <w:tc>
          <w:tcPr>
            <w:tcW w:w="830" w:type="dxa"/>
          </w:tcPr>
          <w:p w:rsidR="00C47D60" w:rsidRPr="00C47D60" w:rsidRDefault="00C47D60" w:rsidP="00C47D60">
            <w:pPr>
              <w:pStyle w:val="AERtabletextleft"/>
            </w:pPr>
            <w:r>
              <w:t>400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400</w:t>
            </w:r>
          </w:p>
        </w:tc>
      </w:tr>
      <w:tr w:rsidR="00C47D60" w:rsidTr="006F41CD">
        <w:tc>
          <w:tcPr>
            <w:tcW w:w="951" w:type="dxa"/>
          </w:tcPr>
          <w:p w:rsidR="00C47D60" w:rsidRPr="00C47D60" w:rsidRDefault="00C47D60" w:rsidP="00C47D60">
            <w:pPr>
              <w:pStyle w:val="AERtabletextleft"/>
            </w:pPr>
            <w:r>
              <w:t>7</w:t>
            </w:r>
          </w:p>
        </w:tc>
        <w:tc>
          <w:tcPr>
            <w:tcW w:w="1756" w:type="dxa"/>
          </w:tcPr>
          <w:p w:rsidR="00C47D60" w:rsidRPr="00C47D60" w:rsidRDefault="00C47D60" w:rsidP="00C47D60">
            <w:pPr>
              <w:pStyle w:val="AERtabletextleft"/>
            </w:pPr>
            <w:r w:rsidRPr="00FB5FC7">
              <w:t>Control Schemes</w:t>
            </w:r>
            <w:r w:rsidRPr="00C47D60">
              <w:t xml:space="preserve"> - Extension of Directlink Tripping Scheme</w:t>
            </w:r>
          </w:p>
        </w:tc>
        <w:tc>
          <w:tcPr>
            <w:tcW w:w="1825" w:type="dxa"/>
          </w:tcPr>
          <w:p w:rsidR="00C47D60" w:rsidRPr="00C47D60" w:rsidRDefault="00C47D60" w:rsidP="00C47D60">
            <w:pPr>
              <w:pStyle w:val="AERtabletextleft"/>
            </w:pPr>
            <w:r>
              <w:t xml:space="preserve">Extend the Directlink emergency tripping scheme to include the transformers at Lismore 330kV substation, 872B bay at Armidale and 872A, 872B and 892A bays at </w:t>
            </w:r>
            <w:r>
              <w:lastRenderedPageBreak/>
              <w:t>Coffs Harbour.</w:t>
            </w:r>
          </w:p>
        </w:tc>
        <w:tc>
          <w:tcPr>
            <w:tcW w:w="1774" w:type="dxa"/>
          </w:tcPr>
          <w:p w:rsidR="00C47D60" w:rsidRPr="00C47D60" w:rsidRDefault="00C47D60" w:rsidP="00C47D60">
            <w:pPr>
              <w:pStyle w:val="AERtabletextleft"/>
            </w:pPr>
            <w:r>
              <w:lastRenderedPageBreak/>
              <w:t>Full use of line</w:t>
            </w:r>
            <w:r w:rsidRPr="00C47D60">
              <w:t xml:space="preserve"> capacity of the Directlink Interconnector during outages of the Lismore transformers, 872B bay at Armidale or 872A, 872B and 892A bays at </w:t>
            </w:r>
            <w:r w:rsidRPr="00C47D60">
              <w:lastRenderedPageBreak/>
              <w:t>Coffs Harbour</w:t>
            </w:r>
          </w:p>
        </w:tc>
        <w:tc>
          <w:tcPr>
            <w:tcW w:w="830" w:type="dxa"/>
          </w:tcPr>
          <w:p w:rsidR="00C47D60" w:rsidRPr="00C47D60" w:rsidRDefault="00C47D60" w:rsidP="00C47D60">
            <w:pPr>
              <w:pStyle w:val="AERtabletextleft"/>
            </w:pPr>
            <w:r>
              <w:lastRenderedPageBreak/>
              <w:t>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8</w:t>
            </w:r>
          </w:p>
        </w:tc>
        <w:tc>
          <w:tcPr>
            <w:tcW w:w="1756" w:type="dxa"/>
          </w:tcPr>
          <w:p w:rsidR="00C47D60" w:rsidRPr="00C47D60" w:rsidRDefault="00C47D60" w:rsidP="00C47D60">
            <w:pPr>
              <w:pStyle w:val="AERtabletextleft"/>
            </w:pPr>
            <w:r w:rsidRPr="00FB5FC7">
              <w:t>Protection Changes</w:t>
            </w:r>
            <w:r w:rsidRPr="00C47D60">
              <w:t xml:space="preserve"> - 976 Line Configuration &amp; Protection Changes</w:t>
            </w:r>
          </w:p>
        </w:tc>
        <w:tc>
          <w:tcPr>
            <w:tcW w:w="1825" w:type="dxa"/>
          </w:tcPr>
          <w:p w:rsidR="00C47D60" w:rsidRPr="00C47D60" w:rsidRDefault="00C47D60" w:rsidP="00C47D60">
            <w:pPr>
              <w:pStyle w:val="AERtabletextleft"/>
            </w:pPr>
            <w:r>
              <w:t>Install disconnector at Yass substation and change protection settings at Canberra, Yass and Queanbeyan.</w:t>
            </w:r>
          </w:p>
        </w:tc>
        <w:tc>
          <w:tcPr>
            <w:tcW w:w="1774" w:type="dxa"/>
          </w:tcPr>
          <w:p w:rsidR="00C47D60" w:rsidRPr="00C47D60" w:rsidRDefault="00C47D60" w:rsidP="00C47D60">
            <w:pPr>
              <w:pStyle w:val="AERtabletextleft"/>
            </w:pPr>
            <w:r>
              <w:t>Reduced likelihood of loss of supply to Queanbeyan for a second contingency. This includes a reduction in recall times for 976/1 and 976/2 Lines.</w:t>
            </w:r>
          </w:p>
        </w:tc>
        <w:tc>
          <w:tcPr>
            <w:tcW w:w="830" w:type="dxa"/>
          </w:tcPr>
          <w:p w:rsidR="00C47D60" w:rsidRPr="00C47D60" w:rsidRDefault="00C47D60" w:rsidP="00C47D60">
            <w:pPr>
              <w:pStyle w:val="AERtabletextleft"/>
            </w:pPr>
            <w:r>
              <w:t>110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110</w:t>
            </w:r>
          </w:p>
        </w:tc>
      </w:tr>
      <w:tr w:rsidR="00C47D60" w:rsidTr="006F41CD">
        <w:tc>
          <w:tcPr>
            <w:tcW w:w="951" w:type="dxa"/>
          </w:tcPr>
          <w:p w:rsidR="00C47D60" w:rsidRPr="00C47D60" w:rsidRDefault="00C47D60" w:rsidP="00C47D60">
            <w:pPr>
              <w:pStyle w:val="AERtabletextleft"/>
            </w:pPr>
            <w:r>
              <w:t>9</w:t>
            </w:r>
          </w:p>
        </w:tc>
        <w:tc>
          <w:tcPr>
            <w:tcW w:w="1756" w:type="dxa"/>
          </w:tcPr>
          <w:p w:rsidR="00C47D60" w:rsidRPr="00C47D60" w:rsidRDefault="00C47D60" w:rsidP="00C47D60">
            <w:pPr>
              <w:pStyle w:val="AERtabletextleft"/>
            </w:pPr>
            <w:r w:rsidRPr="005E75BA">
              <w:t xml:space="preserve">Terminal </w:t>
            </w:r>
            <w:r w:rsidRPr="00C47D60">
              <w:t>Equipment Upgrades - 94E Mt Piper 132 – Wallerawang 132 Switchbays</w:t>
            </w:r>
          </w:p>
        </w:tc>
        <w:tc>
          <w:tcPr>
            <w:tcW w:w="1825" w:type="dxa"/>
          </w:tcPr>
          <w:p w:rsidR="00C47D60" w:rsidRPr="00C47D60" w:rsidRDefault="00C47D60" w:rsidP="00C47D60">
            <w:pPr>
              <w:pStyle w:val="AERtabletextleft"/>
            </w:pPr>
            <w:r>
              <w:t>Replace interplant connections and change current transformer secondary ratios on the 94E Line switchbay at Wallerawang 132.</w:t>
            </w:r>
          </w:p>
        </w:tc>
        <w:tc>
          <w:tcPr>
            <w:tcW w:w="1774" w:type="dxa"/>
          </w:tcPr>
          <w:p w:rsidR="00C47D60" w:rsidRPr="00C47D60" w:rsidRDefault="00C47D60" w:rsidP="00C47D60">
            <w:pPr>
              <w:pStyle w:val="AERtabletextleft"/>
            </w:pPr>
            <w:r>
              <w:t>Full use of contingent capacity of 373 MVA for 94E Line.</w:t>
            </w:r>
          </w:p>
        </w:tc>
        <w:tc>
          <w:tcPr>
            <w:tcW w:w="830" w:type="dxa"/>
          </w:tcPr>
          <w:p w:rsidR="00C47D60" w:rsidRPr="00C47D60" w:rsidRDefault="00C47D60" w:rsidP="00C47D60">
            <w:pPr>
              <w:pStyle w:val="AERtabletextleft"/>
            </w:pPr>
            <w:r>
              <w:t>50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10</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Northern 132kV System</w:t>
            </w:r>
          </w:p>
        </w:tc>
        <w:tc>
          <w:tcPr>
            <w:tcW w:w="1825" w:type="dxa"/>
          </w:tcPr>
          <w:p w:rsidR="00C47D60" w:rsidRPr="00C47D60" w:rsidRDefault="00C47D60" w:rsidP="00C47D60">
            <w:pPr>
              <w:pStyle w:val="AERtabletextleft"/>
            </w:pPr>
            <w:r>
              <w:t>Install dynamic line ratings based on real time ambient temperatures and wind speeds on 967, 96R, 96T and 966 Lines.</w:t>
            </w:r>
          </w:p>
        </w:tc>
        <w:tc>
          <w:tcPr>
            <w:tcW w:w="1774" w:type="dxa"/>
          </w:tcPr>
          <w:p w:rsidR="00C47D60" w:rsidRPr="00C47D60" w:rsidRDefault="00C47D60" w:rsidP="00C47D60">
            <w:pPr>
              <w:pStyle w:val="AERtabletextleft"/>
            </w:pPr>
            <w:r>
              <w:t xml:space="preserve">Improved rating information based on real time </w:t>
            </w:r>
            <w:r w:rsidRPr="00C47D60">
              <w:t>ambient temperature and wind speed for these lines, which will allow increased line ratings of approximately 20% at times of favourable conditions.</w:t>
            </w:r>
          </w:p>
        </w:tc>
        <w:tc>
          <w:tcPr>
            <w:tcW w:w="830" w:type="dxa"/>
          </w:tcPr>
          <w:p w:rsidR="00C47D60" w:rsidRPr="00C47D60" w:rsidRDefault="00C47D60" w:rsidP="00C47D60">
            <w:pPr>
              <w:pStyle w:val="AERtabletextleft"/>
            </w:pPr>
            <w:r>
              <w:t>1,000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1,000</w:t>
            </w:r>
          </w:p>
        </w:tc>
      </w:tr>
      <w:tr w:rsidR="00C47D60" w:rsidTr="006F41CD">
        <w:tc>
          <w:tcPr>
            <w:tcW w:w="951" w:type="dxa"/>
          </w:tcPr>
          <w:p w:rsidR="00C47D60" w:rsidRPr="00C47D60" w:rsidRDefault="00C47D60" w:rsidP="00C47D60">
            <w:pPr>
              <w:pStyle w:val="AERtabletextleft"/>
            </w:pPr>
            <w:r>
              <w:t>11</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Snowy – Yass &amp; Canberra 330kV Lines</w:t>
            </w:r>
          </w:p>
        </w:tc>
        <w:tc>
          <w:tcPr>
            <w:tcW w:w="1825" w:type="dxa"/>
          </w:tcPr>
          <w:p w:rsidR="00C47D60" w:rsidRPr="00C47D60" w:rsidRDefault="00C47D60" w:rsidP="00C47D60">
            <w:pPr>
              <w:pStyle w:val="AERtabletextleft"/>
            </w:pPr>
            <w:r>
              <w:t>Install dynamic</w:t>
            </w:r>
            <w:r w:rsidRPr="00C47D60">
              <w:t xml:space="preserve"> line ratings based on real time ambient temperatures and wind speeds on 01,2,3 and 07 Lines.</w:t>
            </w:r>
          </w:p>
        </w:tc>
        <w:tc>
          <w:tcPr>
            <w:tcW w:w="1774" w:type="dxa"/>
          </w:tcPr>
          <w:p w:rsidR="00C47D60" w:rsidRPr="00C47D60" w:rsidRDefault="00C47D60" w:rsidP="00C47D60">
            <w:pPr>
              <w:pStyle w:val="AERtabletextleft"/>
            </w:pPr>
            <w:r>
              <w:t xml:space="preserve">Improved rating information based on real time ambient temperature and wind speed for these lines, which will allow increased line </w:t>
            </w:r>
            <w:r>
              <w:lastRenderedPageBreak/>
              <w:t>ratings of approximately 20% at times of favourable conditions.</w:t>
            </w:r>
          </w:p>
        </w:tc>
        <w:tc>
          <w:tcPr>
            <w:tcW w:w="830" w:type="dxa"/>
          </w:tcPr>
          <w:p w:rsidR="00C47D60" w:rsidRPr="00C47D60" w:rsidRDefault="00C47D60" w:rsidP="00C47D60">
            <w:pPr>
              <w:pStyle w:val="AERtabletextleft"/>
            </w:pPr>
            <w:r>
              <w:lastRenderedPageBreak/>
              <w:t>1,400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1,400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12</w:t>
            </w:r>
          </w:p>
        </w:tc>
        <w:tc>
          <w:tcPr>
            <w:tcW w:w="1756" w:type="dxa"/>
          </w:tcPr>
          <w:p w:rsidR="00C47D60" w:rsidRPr="00C47D60" w:rsidRDefault="00C47D60" w:rsidP="00C47D60">
            <w:pPr>
              <w:pStyle w:val="AERtabletextleft"/>
            </w:pPr>
            <w:r w:rsidRPr="005E75BA">
              <w:t>Control Schemes</w:t>
            </w:r>
            <w:r w:rsidRPr="00C47D60">
              <w:t xml:space="preserve"> - Northern Reactive Plant Control Scheme</w:t>
            </w:r>
          </w:p>
        </w:tc>
        <w:tc>
          <w:tcPr>
            <w:tcW w:w="1825" w:type="dxa"/>
          </w:tcPr>
          <w:p w:rsidR="00C47D60" w:rsidRPr="00C47D60" w:rsidRDefault="00C47D60" w:rsidP="00C47D60">
            <w:pPr>
              <w:pStyle w:val="AERtabletextleft"/>
            </w:pPr>
            <w:r>
              <w:t>The installation of a reactive equipment controller with the capability to control reactive equipment at Armidale 330kV Substation. The installation of emergency overvoltage and under voltage controls on reactive equipment at Armidale 330kV Substation and Dumaresq 330kV Switching Station.</w:t>
            </w:r>
          </w:p>
        </w:tc>
        <w:tc>
          <w:tcPr>
            <w:tcW w:w="1774" w:type="dxa"/>
          </w:tcPr>
          <w:p w:rsidR="00C47D60" w:rsidRPr="00C47D60" w:rsidRDefault="00C47D60" w:rsidP="00C47D60">
            <w:pPr>
              <w:pStyle w:val="AERtabletextleft"/>
            </w:pPr>
            <w:r>
              <w:t>Operating of automatic reactive equipment control at Armidale Substation. Operation of emergency voltage control of QNI reactive equipment at Armidale and Dumaresq Substations.</w:t>
            </w:r>
          </w:p>
        </w:tc>
        <w:tc>
          <w:tcPr>
            <w:tcW w:w="830" w:type="dxa"/>
          </w:tcPr>
          <w:p w:rsidR="00C47D60" w:rsidRPr="00C47D60" w:rsidRDefault="00C47D60" w:rsidP="00C47D60">
            <w:pPr>
              <w:pStyle w:val="AERtabletextleft"/>
            </w:pPr>
            <w:r>
              <w:t>524</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524</w:t>
            </w:r>
          </w:p>
        </w:tc>
      </w:tr>
      <w:tr w:rsidR="00C47D60" w:rsidTr="006F41CD">
        <w:tc>
          <w:tcPr>
            <w:tcW w:w="951" w:type="dxa"/>
          </w:tcPr>
          <w:p w:rsidR="00C47D60" w:rsidRPr="00C47D60" w:rsidRDefault="00C47D60" w:rsidP="00C47D60">
            <w:pPr>
              <w:pStyle w:val="AERtabletextleft"/>
            </w:pPr>
            <w:r>
              <w:t>13</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- 4 &amp; 5 Yass – Marulan, 9 Yass – Canberra, 61 Yass – Bannaby &amp; 39 Bannaby – Sydney West 330kV Lines</w:t>
            </w:r>
          </w:p>
        </w:tc>
        <w:tc>
          <w:tcPr>
            <w:tcW w:w="1825" w:type="dxa"/>
          </w:tcPr>
          <w:p w:rsidR="00C47D60" w:rsidRPr="00C47D60" w:rsidRDefault="00C47D60" w:rsidP="00C47D60">
            <w:pPr>
              <w:pStyle w:val="AERtabletextleft"/>
            </w:pPr>
            <w:r>
              <w:t xml:space="preserve">Install </w:t>
            </w:r>
            <w:r w:rsidRPr="00C47D60">
              <w:t>dynamic line ratings based on real time ambient temperatures and wind speeds on 4,5,9,61 and 39 Lines. Increase the height of transmission line conductor on 61 Line to achieve a maximum operating temperature of 100 degrees Celsius.</w:t>
            </w:r>
          </w:p>
        </w:tc>
        <w:tc>
          <w:tcPr>
            <w:tcW w:w="1774" w:type="dxa"/>
          </w:tcPr>
          <w:p w:rsidR="00C47D60" w:rsidRPr="00C47D60" w:rsidRDefault="00C47D60" w:rsidP="00C47D60">
            <w:pPr>
              <w:pStyle w:val="AERtabletextleft"/>
            </w:pPr>
            <w:r>
              <w:t xml:space="preserve">Improved rating information based on real time ambient temperature and wind speed for these lines, which will allow increased line ratings of approximately 20% at times of favourable conditions. The increase in maximum operating temperature of 61 Line is expected to </w:t>
            </w:r>
            <w:r>
              <w:lastRenderedPageBreak/>
              <w:t>achieve an increase in contingency rating of this line of 137 MVA.</w:t>
            </w:r>
          </w:p>
        </w:tc>
        <w:tc>
          <w:tcPr>
            <w:tcW w:w="830" w:type="dxa"/>
          </w:tcPr>
          <w:p w:rsidR="00C47D60" w:rsidRPr="00C47D60" w:rsidRDefault="00C47D60" w:rsidP="00C47D60">
            <w:pPr>
              <w:pStyle w:val="AERtabletextleft"/>
            </w:pPr>
            <w:r>
              <w:lastRenderedPageBreak/>
              <w:t>2,600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2,600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14</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- 969 Tamworth 330 – Gunnedah 132kV Line</w:t>
            </w:r>
          </w:p>
        </w:tc>
        <w:tc>
          <w:tcPr>
            <w:tcW w:w="1825" w:type="dxa"/>
          </w:tcPr>
          <w:p w:rsidR="00C47D60" w:rsidRPr="00C47D60" w:rsidRDefault="00C47D60" w:rsidP="00C47D60">
            <w:pPr>
              <w:pStyle w:val="AERtabletextleft"/>
            </w:pPr>
            <w:r>
              <w:t xml:space="preserve">Install dynamic line ratings based on real time ambient temperatures and wind speeds on 969 </w:t>
            </w:r>
            <w:r w:rsidRPr="00C47D60">
              <w:t>Line.</w:t>
            </w:r>
          </w:p>
        </w:tc>
        <w:tc>
          <w:tcPr>
            <w:tcW w:w="1774" w:type="dxa"/>
          </w:tcPr>
          <w:p w:rsidR="00C47D60" w:rsidRPr="00C47D60" w:rsidRDefault="00C47D60" w:rsidP="00C47D60">
            <w:pPr>
              <w:pStyle w:val="AERtabletextleft"/>
            </w:pPr>
            <w:r>
              <w:t xml:space="preserve">Improved rating </w:t>
            </w:r>
            <w:r w:rsidRPr="00C47D60">
              <w:t>information based on real time ambient temperature and wind speed for this line, which will allow increased line ratings of approximately 20% at times of favourable conditions.</w:t>
            </w:r>
          </w:p>
        </w:tc>
        <w:tc>
          <w:tcPr>
            <w:tcW w:w="830" w:type="dxa"/>
          </w:tcPr>
          <w:p w:rsidR="00C47D60" w:rsidRPr="00C47D60" w:rsidRDefault="00C47D60" w:rsidP="00C47D60">
            <w:pPr>
              <w:pStyle w:val="AERtabletextleft"/>
            </w:pPr>
            <w:r>
              <w:t>300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300</w:t>
            </w:r>
          </w:p>
        </w:tc>
      </w:tr>
      <w:tr w:rsidR="00C47D60" w:rsidTr="006F41CD">
        <w:tc>
          <w:tcPr>
            <w:tcW w:w="951" w:type="dxa"/>
          </w:tcPr>
          <w:p w:rsidR="00C47D60" w:rsidRPr="00C47D60" w:rsidRDefault="00C47D60" w:rsidP="00C47D60">
            <w:pPr>
              <w:pStyle w:val="AERtabletextleft"/>
            </w:pPr>
            <w:r>
              <w:t>15</w:t>
            </w:r>
          </w:p>
        </w:tc>
        <w:tc>
          <w:tcPr>
            <w:tcW w:w="1756" w:type="dxa"/>
          </w:tcPr>
          <w:p w:rsidR="00C47D60" w:rsidRPr="00C47D60" w:rsidRDefault="00C47D60" w:rsidP="00C47D60">
            <w:pPr>
              <w:pStyle w:val="AERtabletextleft"/>
            </w:pPr>
            <w:r w:rsidRPr="005E75BA">
              <w:t>Terminal Equipment Upgrades</w:t>
            </w:r>
            <w:r w:rsidRPr="00C47D60">
              <w:t xml:space="preserve"> - 81 &amp; 82 Liddell – Newcastle &amp; Tomago Lines</w:t>
            </w:r>
          </w:p>
        </w:tc>
        <w:tc>
          <w:tcPr>
            <w:tcW w:w="1825" w:type="dxa"/>
          </w:tcPr>
          <w:p w:rsidR="00C47D60" w:rsidRPr="00C47D60" w:rsidRDefault="00C47D60" w:rsidP="00C47D60">
            <w:pPr>
              <w:pStyle w:val="AERtabletextleft"/>
            </w:pPr>
            <w:r>
              <w:t>Replace interplant connections on 81 &amp; 82 Line switchbays at Liddell and Newcastle, and replace wave traps and change current transformer secondary ratios at Liddell.</w:t>
            </w:r>
          </w:p>
        </w:tc>
        <w:tc>
          <w:tcPr>
            <w:tcW w:w="1774" w:type="dxa"/>
          </w:tcPr>
          <w:p w:rsidR="00C47D60" w:rsidRPr="00C47D60" w:rsidRDefault="00C47D60" w:rsidP="00C47D60">
            <w:pPr>
              <w:pStyle w:val="AERtabletextleft"/>
            </w:pPr>
            <w:r>
              <w:t>Full use of contingent capacity of 1646 MVA for 81 &amp; 82 Lines.</w:t>
            </w:r>
          </w:p>
        </w:tc>
        <w:tc>
          <w:tcPr>
            <w:tcW w:w="830" w:type="dxa"/>
          </w:tcPr>
          <w:p w:rsidR="00C47D60" w:rsidRPr="00C47D60" w:rsidRDefault="00C47D60" w:rsidP="00C47D60">
            <w:pPr>
              <w:pStyle w:val="AERtabletextleft"/>
            </w:pPr>
            <w:r>
              <w:t>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16</w:t>
            </w:r>
          </w:p>
        </w:tc>
        <w:tc>
          <w:tcPr>
            <w:tcW w:w="1756" w:type="dxa"/>
          </w:tcPr>
          <w:p w:rsidR="00C47D60" w:rsidRPr="00C47D60" w:rsidRDefault="00C47D60" w:rsidP="00C47D60">
            <w:pPr>
              <w:pStyle w:val="AERtabletextleft"/>
            </w:pPr>
            <w:r w:rsidRPr="005E75BA">
              <w:t>Capacitor Banks</w:t>
            </w:r>
            <w:r w:rsidRPr="00C47D60">
              <w:t xml:space="preserve"> - Beryl Capacitor Bank</w:t>
            </w:r>
          </w:p>
        </w:tc>
        <w:tc>
          <w:tcPr>
            <w:tcW w:w="1825" w:type="dxa"/>
          </w:tcPr>
          <w:p w:rsidR="00C47D60" w:rsidRPr="00C47D60" w:rsidRDefault="00C47D60" w:rsidP="00C47D60">
            <w:pPr>
              <w:pStyle w:val="AERtabletextleft"/>
            </w:pPr>
            <w:r>
              <w:t>Install a new capacitor bank at Beryl 132kV Substation.</w:t>
            </w:r>
          </w:p>
        </w:tc>
        <w:tc>
          <w:tcPr>
            <w:tcW w:w="1774" w:type="dxa"/>
          </w:tcPr>
          <w:p w:rsidR="00C47D60" w:rsidRPr="00C47D60" w:rsidRDefault="00C47D60" w:rsidP="00C47D60">
            <w:pPr>
              <w:pStyle w:val="AERtabletextleft"/>
            </w:pPr>
            <w:r>
              <w:t xml:space="preserve">The installation of a capacitor bank at Beryl substation would increase the total capacity available to the area by 6 MW in 2016. This </w:t>
            </w:r>
            <w:r w:rsidRPr="00C47D60">
              <w:t xml:space="preserve">additional capacity will reduce with load growth over time </w:t>
            </w:r>
            <w:r w:rsidRPr="00C47D60">
              <w:lastRenderedPageBreak/>
              <w:t>due to voltage constraints.</w:t>
            </w:r>
          </w:p>
        </w:tc>
        <w:tc>
          <w:tcPr>
            <w:tcW w:w="830" w:type="dxa"/>
          </w:tcPr>
          <w:p w:rsidR="00C47D60" w:rsidRPr="00C47D60" w:rsidRDefault="00C47D60" w:rsidP="00C47D60">
            <w:pPr>
              <w:pStyle w:val="AERtabletextleft"/>
            </w:pPr>
            <w:r>
              <w:lastRenderedPageBreak/>
              <w:t>1,900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1,900</w:t>
            </w:r>
          </w:p>
        </w:tc>
      </w:tr>
      <w:tr w:rsidR="00C47D60" w:rsidTr="006F41CD">
        <w:tc>
          <w:tcPr>
            <w:tcW w:w="951" w:type="dxa"/>
          </w:tcPr>
          <w:p w:rsidR="00C47D60" w:rsidRPr="00C47D60" w:rsidRDefault="00C47D60" w:rsidP="00C47D60">
            <w:pPr>
              <w:pStyle w:val="AERtabletextleft"/>
            </w:pPr>
            <w:r>
              <w:lastRenderedPageBreak/>
              <w:t>17</w:t>
            </w:r>
          </w:p>
        </w:tc>
        <w:tc>
          <w:tcPr>
            <w:tcW w:w="1756" w:type="dxa"/>
          </w:tcPr>
          <w:p w:rsidR="00C47D60" w:rsidRPr="00C47D60" w:rsidRDefault="00C47D60" w:rsidP="00C47D60">
            <w:pPr>
              <w:pStyle w:val="AERtabletextleft"/>
            </w:pPr>
            <w:r w:rsidRPr="005E75BA">
              <w:t>Travelling Wave Fault Location</w:t>
            </w:r>
            <w:r w:rsidRPr="00C47D60">
              <w:t xml:space="preserve"> - Snowy Lines</w:t>
            </w:r>
          </w:p>
        </w:tc>
        <w:tc>
          <w:tcPr>
            <w:tcW w:w="1825" w:type="dxa"/>
          </w:tcPr>
          <w:p w:rsidR="00C47D60" w:rsidRPr="00C47D60" w:rsidRDefault="00C47D60" w:rsidP="00C47D60">
            <w:pPr>
              <w:pStyle w:val="AERtabletextleft"/>
            </w:pPr>
            <w:r>
              <w:t>Install travelling wave fault locators on Snowy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2,211</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2,211</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18</w:t>
            </w:r>
          </w:p>
        </w:tc>
        <w:tc>
          <w:tcPr>
            <w:tcW w:w="1756" w:type="dxa"/>
          </w:tcPr>
          <w:p w:rsidR="00C47D60" w:rsidRPr="00C47D60" w:rsidRDefault="00C47D60" w:rsidP="00C47D60">
            <w:pPr>
              <w:pStyle w:val="AERtabletextleft"/>
            </w:pPr>
            <w:r w:rsidRPr="005E75BA">
              <w:t>Travelling Wave Fault Location</w:t>
            </w:r>
            <w:r w:rsidRPr="00C47D60">
              <w:t xml:space="preserve"> - North Western 132kV System</w:t>
            </w:r>
          </w:p>
        </w:tc>
        <w:tc>
          <w:tcPr>
            <w:tcW w:w="1825" w:type="dxa"/>
          </w:tcPr>
          <w:p w:rsidR="00C47D60" w:rsidRPr="00C47D60" w:rsidRDefault="00C47D60" w:rsidP="00C47D60">
            <w:pPr>
              <w:pStyle w:val="AERtabletextleft"/>
            </w:pPr>
            <w:r>
              <w:t>Install travelling wave fault locators</w:t>
            </w:r>
            <w:r w:rsidRPr="00C47D60">
              <w:t xml:space="preserve">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877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877</w:t>
            </w:r>
          </w:p>
        </w:tc>
      </w:tr>
      <w:tr w:rsidR="00C47D60" w:rsidTr="006F41CD">
        <w:tc>
          <w:tcPr>
            <w:tcW w:w="951" w:type="dxa"/>
          </w:tcPr>
          <w:p w:rsidR="00C47D60" w:rsidRPr="00C47D60" w:rsidRDefault="00C47D60" w:rsidP="00C47D60">
            <w:pPr>
              <w:pStyle w:val="AERtabletextleft"/>
            </w:pPr>
            <w:r>
              <w:t>19</w:t>
            </w:r>
          </w:p>
        </w:tc>
        <w:tc>
          <w:tcPr>
            <w:tcW w:w="1756" w:type="dxa"/>
          </w:tcPr>
          <w:p w:rsidR="00C47D60" w:rsidRPr="00C47D60" w:rsidRDefault="00C47D60" w:rsidP="00C47D60">
            <w:pPr>
              <w:pStyle w:val="AERtabletextleft"/>
            </w:pPr>
            <w:r w:rsidRPr="00675320">
              <w:t xml:space="preserve">Travelling </w:t>
            </w:r>
            <w:r w:rsidRPr="00C47D60">
              <w:t>Wave Fault Location - Northern 330kV Lines</w:t>
            </w:r>
          </w:p>
        </w:tc>
        <w:tc>
          <w:tcPr>
            <w:tcW w:w="1825" w:type="dxa"/>
          </w:tcPr>
          <w:p w:rsidR="00C47D60" w:rsidRPr="00C47D60" w:rsidRDefault="00C47D60" w:rsidP="00C47D60">
            <w:pPr>
              <w:pStyle w:val="AERtabletextleft"/>
            </w:pPr>
            <w:r>
              <w:t>Install travelling wave fault locators</w:t>
            </w:r>
            <w:r w:rsidRPr="00C47D60">
              <w:t xml:space="preserve">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1,895</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1,895</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20</w:t>
            </w:r>
          </w:p>
        </w:tc>
        <w:tc>
          <w:tcPr>
            <w:tcW w:w="1756" w:type="dxa"/>
          </w:tcPr>
          <w:p w:rsidR="00C47D60" w:rsidRPr="00C47D60" w:rsidRDefault="00C47D60" w:rsidP="00C47D60">
            <w:pPr>
              <w:pStyle w:val="AERtabletextleft"/>
            </w:pPr>
            <w:r w:rsidRPr="00675320">
              <w:t>Travelling Wave Fault Location</w:t>
            </w:r>
            <w:r w:rsidRPr="00C47D60">
              <w:t xml:space="preserve"> - Far North Coast 330kV and 132kV System</w:t>
            </w:r>
          </w:p>
        </w:tc>
        <w:tc>
          <w:tcPr>
            <w:tcW w:w="1825" w:type="dxa"/>
          </w:tcPr>
          <w:p w:rsidR="00C47D60" w:rsidRPr="00C47D60" w:rsidRDefault="00C47D60" w:rsidP="00C47D60">
            <w:pPr>
              <w:pStyle w:val="AERtabletextleft"/>
            </w:pPr>
            <w:r>
              <w:t xml:space="preserve">Install </w:t>
            </w:r>
            <w:r w:rsidRPr="00C47D60">
              <w:t>travelling wave fault locators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890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890</w:t>
            </w:r>
          </w:p>
        </w:tc>
      </w:tr>
      <w:tr w:rsidR="00C47D60" w:rsidTr="006F41CD">
        <w:tc>
          <w:tcPr>
            <w:tcW w:w="951" w:type="dxa"/>
          </w:tcPr>
          <w:p w:rsidR="00C47D60" w:rsidRPr="00C47D60" w:rsidRDefault="00C47D60" w:rsidP="00C47D60">
            <w:pPr>
              <w:pStyle w:val="AERtabletextleft"/>
            </w:pPr>
            <w:r>
              <w:t>21</w:t>
            </w:r>
          </w:p>
        </w:tc>
        <w:tc>
          <w:tcPr>
            <w:tcW w:w="1756" w:type="dxa"/>
          </w:tcPr>
          <w:p w:rsidR="00C47D60" w:rsidRPr="00C47D60" w:rsidRDefault="00C47D60" w:rsidP="00C47D60">
            <w:pPr>
              <w:pStyle w:val="AERtabletextleft"/>
            </w:pPr>
            <w:r w:rsidRPr="00675320">
              <w:t>Quality of Supply</w:t>
            </w:r>
            <w:r w:rsidRPr="00C47D60">
              <w:t xml:space="preserve"> - Point-on-Wave Switching for 132kV Capacitor Banks</w:t>
            </w:r>
          </w:p>
        </w:tc>
        <w:tc>
          <w:tcPr>
            <w:tcW w:w="1825" w:type="dxa"/>
          </w:tcPr>
          <w:p w:rsidR="00C47D60" w:rsidRPr="00C47D60" w:rsidRDefault="00C47D60" w:rsidP="00C47D60">
            <w:pPr>
              <w:pStyle w:val="AERtabletextleft"/>
            </w:pPr>
            <w:r>
              <w:t xml:space="preserve">Replace standard circuit breakers with </w:t>
            </w:r>
            <w:r w:rsidRPr="00C47D60">
              <w:t>point-on-wave circuit breakers.</w:t>
            </w:r>
          </w:p>
        </w:tc>
        <w:tc>
          <w:tcPr>
            <w:tcW w:w="1774" w:type="dxa"/>
          </w:tcPr>
          <w:p w:rsidR="00C47D60" w:rsidRPr="00C47D60" w:rsidRDefault="00C47D60" w:rsidP="00C47D60">
            <w:pPr>
              <w:pStyle w:val="AERtabletextleft"/>
            </w:pPr>
            <w:r>
              <w:t>Installation of point-on-wave switching on 3 capacitor banks.</w:t>
            </w:r>
          </w:p>
        </w:tc>
        <w:tc>
          <w:tcPr>
            <w:tcW w:w="830" w:type="dxa"/>
          </w:tcPr>
          <w:p w:rsidR="00C47D60" w:rsidRPr="00C47D60" w:rsidRDefault="00C47D60" w:rsidP="00C47D60">
            <w:pPr>
              <w:pStyle w:val="AERtabletextleft"/>
            </w:pPr>
            <w:r>
              <w:t>631</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631</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22</w:t>
            </w:r>
          </w:p>
        </w:tc>
        <w:tc>
          <w:tcPr>
            <w:tcW w:w="1756" w:type="dxa"/>
          </w:tcPr>
          <w:p w:rsidR="00C47D60" w:rsidRPr="00C47D60" w:rsidRDefault="00C47D60" w:rsidP="00C47D60">
            <w:pPr>
              <w:pStyle w:val="AERtabletextleft"/>
            </w:pPr>
            <w:r w:rsidRPr="00675320">
              <w:t>Quality of Supply</w:t>
            </w:r>
            <w:r w:rsidRPr="00C47D60">
              <w:t xml:space="preserve"> - Point-on-Wave Switching for 66kV &amp; Below Capacitor Banks</w:t>
            </w:r>
          </w:p>
        </w:tc>
        <w:tc>
          <w:tcPr>
            <w:tcW w:w="1825" w:type="dxa"/>
          </w:tcPr>
          <w:p w:rsidR="00C47D60" w:rsidRPr="00C47D60" w:rsidRDefault="00C47D60" w:rsidP="00C47D60">
            <w:pPr>
              <w:pStyle w:val="AERtabletextleft"/>
            </w:pPr>
            <w:r>
              <w:t xml:space="preserve">Replace standard circuit </w:t>
            </w:r>
            <w:r w:rsidRPr="00C47D60">
              <w:t>breakers with point-on-wave circuit breakers.</w:t>
            </w:r>
          </w:p>
        </w:tc>
        <w:tc>
          <w:tcPr>
            <w:tcW w:w="1774" w:type="dxa"/>
          </w:tcPr>
          <w:p w:rsidR="00C47D60" w:rsidRPr="00C47D60" w:rsidRDefault="00C47D60" w:rsidP="00C47D60">
            <w:pPr>
              <w:pStyle w:val="AERtabletextleft"/>
            </w:pPr>
            <w:r>
              <w:t>Installation of point-on-wave switching on 24 capacitor banks.</w:t>
            </w:r>
          </w:p>
        </w:tc>
        <w:tc>
          <w:tcPr>
            <w:tcW w:w="830" w:type="dxa"/>
          </w:tcPr>
          <w:p w:rsidR="00C47D60" w:rsidRPr="00C47D60" w:rsidRDefault="00C47D60" w:rsidP="00C47D60">
            <w:pPr>
              <w:pStyle w:val="AERtabletextleft"/>
            </w:pPr>
            <w:r>
              <w:t>4,500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4,500</w:t>
            </w:r>
          </w:p>
        </w:tc>
      </w:tr>
      <w:tr w:rsidR="00C47D60" w:rsidTr="006F41CD">
        <w:tc>
          <w:tcPr>
            <w:tcW w:w="951" w:type="dxa"/>
          </w:tcPr>
          <w:p w:rsidR="00C47D60" w:rsidRPr="00C47D60" w:rsidRDefault="00C47D60" w:rsidP="00C47D60">
            <w:pPr>
              <w:pStyle w:val="AERtabletextleft"/>
            </w:pPr>
            <w:r>
              <w:t>23</w:t>
            </w:r>
          </w:p>
        </w:tc>
        <w:tc>
          <w:tcPr>
            <w:tcW w:w="1756" w:type="dxa"/>
          </w:tcPr>
          <w:p w:rsidR="00C47D60" w:rsidRPr="00C47D60" w:rsidRDefault="00C47D60" w:rsidP="00C47D60">
            <w:pPr>
              <w:pStyle w:val="AERtabletextleft"/>
            </w:pPr>
            <w:r w:rsidRPr="00675320">
              <w:t>Research Projects</w:t>
            </w:r>
            <w:r w:rsidRPr="00C47D60">
              <w:t xml:space="preserve"> - Behaviour of Residential Solar During System Events</w:t>
            </w:r>
          </w:p>
        </w:tc>
        <w:tc>
          <w:tcPr>
            <w:tcW w:w="1825" w:type="dxa"/>
          </w:tcPr>
          <w:p w:rsidR="00C47D60" w:rsidRPr="00C47D60" w:rsidRDefault="00C47D60" w:rsidP="00C47D60">
            <w:pPr>
              <w:pStyle w:val="AERtabletextleft"/>
            </w:pPr>
            <w:r>
              <w:t xml:space="preserve">Install high speed monitors on connection points with significant penetration of residential solar </w:t>
            </w:r>
            <w:r w:rsidRPr="00C47D60">
              <w:t xml:space="preserve">installations, and fault recorders at locations representative of </w:t>
            </w:r>
            <w:r w:rsidRPr="00C47D60">
              <w:lastRenderedPageBreak/>
              <w:t>various load types.</w:t>
            </w:r>
          </w:p>
        </w:tc>
        <w:tc>
          <w:tcPr>
            <w:tcW w:w="1774" w:type="dxa"/>
          </w:tcPr>
          <w:p w:rsidR="00C47D60" w:rsidRPr="00E02761" w:rsidRDefault="00C47D60" w:rsidP="00C47D60">
            <w:pPr>
              <w:numPr>
                <w:ilvl w:val="0"/>
                <w:numId w:val="25"/>
              </w:numPr>
            </w:pPr>
            <w:r>
              <w:lastRenderedPageBreak/>
              <w:t>Installation and commissioning of high speed monitors and fault recorders at various representative connection points.</w:t>
            </w:r>
          </w:p>
        </w:tc>
        <w:tc>
          <w:tcPr>
            <w:tcW w:w="830" w:type="dxa"/>
          </w:tcPr>
          <w:p w:rsidR="00C47D60" w:rsidRPr="00C47D60" w:rsidRDefault="00C47D60" w:rsidP="00C47D60">
            <w:pPr>
              <w:pStyle w:val="AERtabletextleft"/>
            </w:pPr>
            <w:r>
              <w:t>1,850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1,850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24</w:t>
            </w:r>
          </w:p>
        </w:tc>
        <w:tc>
          <w:tcPr>
            <w:tcW w:w="1756" w:type="dxa"/>
          </w:tcPr>
          <w:p w:rsidR="00C47D60" w:rsidRPr="00C47D60" w:rsidRDefault="00C47D60" w:rsidP="00C47D60">
            <w:pPr>
              <w:pStyle w:val="AERtabletextleft"/>
            </w:pPr>
            <w:r w:rsidRPr="00675320">
              <w:t>Travelling Wave Fault Location</w:t>
            </w:r>
            <w:r w:rsidRPr="00C47D60">
              <w:t xml:space="preserve"> - Southern 330kV Network</w:t>
            </w:r>
          </w:p>
        </w:tc>
        <w:tc>
          <w:tcPr>
            <w:tcW w:w="1825" w:type="dxa"/>
          </w:tcPr>
          <w:p w:rsidR="00C47D60" w:rsidRPr="00C47D60" w:rsidRDefault="00C47D60" w:rsidP="00C47D60">
            <w:pPr>
              <w:pStyle w:val="AERtabletextleft"/>
            </w:pPr>
            <w:r>
              <w:t>Install travelling wave fault locators on 63 and 51 Lines</w:t>
            </w:r>
            <w:r w:rsidRPr="00C47D60">
              <w:t>.</w:t>
            </w:r>
          </w:p>
        </w:tc>
        <w:tc>
          <w:tcPr>
            <w:tcW w:w="1774" w:type="dxa"/>
          </w:tcPr>
          <w:p w:rsidR="00C47D60" w:rsidRPr="00E02761" w:rsidRDefault="00C47D60" w:rsidP="00C47D60">
            <w:pPr>
              <w:numPr>
                <w:ilvl w:val="0"/>
                <w:numId w:val="25"/>
              </w:numPr>
            </w:pPr>
            <w:r>
              <w:t>Commissioning of the travelling wave fault locators on the above lines.</w:t>
            </w:r>
          </w:p>
        </w:tc>
        <w:tc>
          <w:tcPr>
            <w:tcW w:w="830" w:type="dxa"/>
          </w:tcPr>
          <w:p w:rsidR="00C47D60" w:rsidRPr="00C47D60" w:rsidRDefault="00C47D60" w:rsidP="00C47D60">
            <w:pPr>
              <w:pStyle w:val="AERtabletextleft"/>
            </w:pPr>
            <w:r>
              <w:t>1,347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1,347</w:t>
            </w:r>
          </w:p>
        </w:tc>
      </w:tr>
      <w:tr w:rsidR="00C47D60" w:rsidTr="006F41CD">
        <w:tc>
          <w:tcPr>
            <w:tcW w:w="951" w:type="dxa"/>
          </w:tcPr>
          <w:p w:rsidR="00C47D60" w:rsidRPr="00C47D60" w:rsidRDefault="00C47D60" w:rsidP="00C47D60">
            <w:pPr>
              <w:pStyle w:val="AERtabletextleft"/>
            </w:pPr>
            <w:r>
              <w:t>25</w:t>
            </w:r>
          </w:p>
        </w:tc>
        <w:tc>
          <w:tcPr>
            <w:tcW w:w="1756" w:type="dxa"/>
          </w:tcPr>
          <w:p w:rsidR="00C47D60" w:rsidRPr="00C47D60" w:rsidRDefault="00C47D60" w:rsidP="00C47D60">
            <w:pPr>
              <w:pStyle w:val="AERtabletextleft"/>
            </w:pPr>
            <w:r w:rsidRPr="00675320">
              <w:t>Travelling Wave Fault Location</w:t>
            </w:r>
            <w:r w:rsidRPr="00C47D60">
              <w:t xml:space="preserve"> - Western 220kV Network</w:t>
            </w:r>
          </w:p>
        </w:tc>
        <w:tc>
          <w:tcPr>
            <w:tcW w:w="1825" w:type="dxa"/>
          </w:tcPr>
          <w:p w:rsidR="00C47D60" w:rsidRPr="00C47D60" w:rsidRDefault="00C47D60" w:rsidP="00C47D60">
            <w:pPr>
              <w:pStyle w:val="AERtabletextleft"/>
            </w:pPr>
            <w:r>
              <w:t>Install travelling wave fault</w:t>
            </w:r>
            <w:r w:rsidRPr="00C47D60">
              <w:t xml:space="preserve"> locators on the western 220kV network.</w:t>
            </w:r>
          </w:p>
        </w:tc>
        <w:tc>
          <w:tcPr>
            <w:tcW w:w="1774" w:type="dxa"/>
          </w:tcPr>
          <w:p w:rsidR="00C47D60" w:rsidRPr="00E02761" w:rsidRDefault="00C47D60" w:rsidP="00C47D60">
            <w:pPr>
              <w:numPr>
                <w:ilvl w:val="0"/>
                <w:numId w:val="25"/>
              </w:numPr>
            </w:pPr>
            <w:r>
              <w:t>Commissioning of the travelling wave fault locators on the above lines.</w:t>
            </w:r>
          </w:p>
        </w:tc>
        <w:tc>
          <w:tcPr>
            <w:tcW w:w="830" w:type="dxa"/>
          </w:tcPr>
          <w:p w:rsidR="00C47D60" w:rsidRPr="00C47D60" w:rsidRDefault="00C47D60" w:rsidP="00C47D60">
            <w:pPr>
              <w:pStyle w:val="AERtabletextleft"/>
            </w:pPr>
            <w:r>
              <w:t>877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877</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26</w:t>
            </w:r>
          </w:p>
        </w:tc>
        <w:tc>
          <w:tcPr>
            <w:tcW w:w="1756" w:type="dxa"/>
          </w:tcPr>
          <w:p w:rsidR="00C47D60" w:rsidRPr="00C47D60" w:rsidRDefault="00C47D60" w:rsidP="00C47D60">
            <w:pPr>
              <w:pStyle w:val="AERtabletextleft"/>
            </w:pPr>
            <w:r w:rsidRPr="00675320">
              <w:t>Remote Information</w:t>
            </w:r>
            <w:r w:rsidRPr="00C47D60">
              <w:t xml:space="preserve"> - Remote Interrogation of Protection Relays</w:t>
            </w:r>
          </w:p>
        </w:tc>
        <w:tc>
          <w:tcPr>
            <w:tcW w:w="1825" w:type="dxa"/>
          </w:tcPr>
          <w:p w:rsidR="00C47D60" w:rsidRPr="00C47D60" w:rsidRDefault="00C47D60" w:rsidP="00C47D60">
            <w:pPr>
              <w:pStyle w:val="AERtabletextleft"/>
            </w:pPr>
            <w:r>
              <w:t>Install remote interrogation of protection relays at 13 substations and commission production servers.</w:t>
            </w:r>
          </w:p>
        </w:tc>
        <w:tc>
          <w:tcPr>
            <w:tcW w:w="1774" w:type="dxa"/>
          </w:tcPr>
          <w:p w:rsidR="00C47D60" w:rsidRPr="00E02761" w:rsidRDefault="00C47D60" w:rsidP="00C47D60">
            <w:pPr>
              <w:numPr>
                <w:ilvl w:val="0"/>
                <w:numId w:val="25"/>
              </w:numPr>
            </w:pPr>
            <w:r>
              <w:t>Remote interrogation of protection relay information from 13 substations operational.</w:t>
            </w:r>
          </w:p>
        </w:tc>
        <w:tc>
          <w:tcPr>
            <w:tcW w:w="830" w:type="dxa"/>
          </w:tcPr>
          <w:p w:rsidR="00C47D60" w:rsidRPr="00C47D60" w:rsidRDefault="00C47D60" w:rsidP="00C47D60">
            <w:pPr>
              <w:pStyle w:val="AERtabletextleft"/>
            </w:pPr>
            <w:r>
              <w:t>1,000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1,000</w:t>
            </w:r>
          </w:p>
        </w:tc>
      </w:tr>
      <w:tr w:rsidR="00C47D60" w:rsidTr="006F41CD">
        <w:tc>
          <w:tcPr>
            <w:tcW w:w="951" w:type="dxa"/>
          </w:tcPr>
          <w:p w:rsidR="00C47D60" w:rsidRPr="00C47D60" w:rsidRDefault="00C47D60" w:rsidP="00C47D60">
            <w:pPr>
              <w:pStyle w:val="AERtabletextleft"/>
            </w:pPr>
            <w:r>
              <w:t>27</w:t>
            </w:r>
          </w:p>
        </w:tc>
        <w:tc>
          <w:tcPr>
            <w:tcW w:w="1756" w:type="dxa"/>
          </w:tcPr>
          <w:p w:rsidR="00C47D60" w:rsidRPr="00C47D60" w:rsidRDefault="00C47D60" w:rsidP="00C47D60">
            <w:pPr>
              <w:pStyle w:val="AERtabletextleft"/>
            </w:pPr>
            <w:r w:rsidRPr="00675320">
              <w:t>Communications</w:t>
            </w:r>
            <w:r w:rsidRPr="00C47D60">
              <w:t xml:space="preserve"> - Communications to Albury, ANM &amp; Hume Substations</w:t>
            </w:r>
          </w:p>
        </w:tc>
        <w:tc>
          <w:tcPr>
            <w:tcW w:w="1825" w:type="dxa"/>
          </w:tcPr>
          <w:p w:rsidR="00C47D60" w:rsidRPr="00C47D60" w:rsidRDefault="00C47D60" w:rsidP="00C47D60">
            <w:pPr>
              <w:pStyle w:val="AERtabletextleft"/>
            </w:pPr>
            <w:r>
              <w:t xml:space="preserve">Installation of suitable bandwidth communications </w:t>
            </w:r>
            <w:r w:rsidRPr="00C47D60">
              <w:t>for SCADA to Albury, ANM and Hume substations.</w:t>
            </w:r>
          </w:p>
        </w:tc>
        <w:tc>
          <w:tcPr>
            <w:tcW w:w="1774" w:type="dxa"/>
          </w:tcPr>
          <w:p w:rsidR="00C47D60" w:rsidRPr="00E02761" w:rsidRDefault="00C47D60" w:rsidP="00C47D60">
            <w:pPr>
              <w:numPr>
                <w:ilvl w:val="0"/>
                <w:numId w:val="25"/>
              </w:numPr>
            </w:pPr>
            <w:r>
              <w:t>Commissioning of the communication link to Albury, ANM and Hume substations.</w:t>
            </w:r>
          </w:p>
        </w:tc>
        <w:tc>
          <w:tcPr>
            <w:tcW w:w="830" w:type="dxa"/>
          </w:tcPr>
          <w:p w:rsidR="00C47D60" w:rsidRPr="00C47D60" w:rsidRDefault="00C47D60" w:rsidP="00C47D60">
            <w:pPr>
              <w:pStyle w:val="AERtabletextleft"/>
            </w:pPr>
            <w:r>
              <w:t>4,200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4,200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28</w:t>
            </w:r>
          </w:p>
        </w:tc>
        <w:tc>
          <w:tcPr>
            <w:tcW w:w="1756" w:type="dxa"/>
          </w:tcPr>
          <w:p w:rsidR="00C47D60" w:rsidRPr="00C47D60" w:rsidRDefault="00C47D60" w:rsidP="00C47D60">
            <w:pPr>
              <w:pStyle w:val="AERtabletextleft"/>
            </w:pPr>
            <w:r w:rsidRPr="00675320">
              <w:t>Research Projects</w:t>
            </w:r>
            <w:r w:rsidRPr="00C47D60">
              <w:t xml:space="preserve"> - Energy Storage</w:t>
            </w:r>
          </w:p>
        </w:tc>
        <w:tc>
          <w:tcPr>
            <w:tcW w:w="1825" w:type="dxa"/>
          </w:tcPr>
          <w:p w:rsidR="00C47D60" w:rsidRPr="00C47D60" w:rsidRDefault="00C47D60" w:rsidP="00C47D60">
            <w:pPr>
              <w:pStyle w:val="AERtabletextleft"/>
            </w:pPr>
            <w:r>
              <w:t>Install a pilot energy storage device in the Sydney area.</w:t>
            </w:r>
          </w:p>
        </w:tc>
        <w:tc>
          <w:tcPr>
            <w:tcW w:w="1774" w:type="dxa"/>
          </w:tcPr>
          <w:p w:rsidR="00C47D60" w:rsidRPr="00E02761" w:rsidRDefault="00C47D60" w:rsidP="00C47D60">
            <w:pPr>
              <w:numPr>
                <w:ilvl w:val="0"/>
                <w:numId w:val="25"/>
              </w:numPr>
            </w:pPr>
            <w:r>
              <w:t>Installation and commissioning of an energy storage device to trial the concept.</w:t>
            </w:r>
          </w:p>
        </w:tc>
        <w:tc>
          <w:tcPr>
            <w:tcW w:w="830" w:type="dxa"/>
          </w:tcPr>
          <w:p w:rsidR="00C47D60" w:rsidRPr="00C47D60" w:rsidRDefault="00C47D60" w:rsidP="00C47D60">
            <w:pPr>
              <w:pStyle w:val="AERtabletextleft"/>
            </w:pPr>
            <w:r>
              <w:t>4,900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4,900</w:t>
            </w:r>
          </w:p>
        </w:tc>
      </w:tr>
      <w:tr w:rsidR="00C47D60" w:rsidTr="006F41CD">
        <w:tc>
          <w:tcPr>
            <w:tcW w:w="951" w:type="dxa"/>
          </w:tcPr>
          <w:p w:rsidR="00C47D60" w:rsidRPr="00226ACF" w:rsidRDefault="00C47D60" w:rsidP="00C47D60">
            <w:pPr>
              <w:pStyle w:val="AERtabletextleft"/>
              <w:rPr>
                <w:rStyle w:val="Strong"/>
              </w:rPr>
            </w:pPr>
            <w:r w:rsidRPr="00226ACF">
              <w:rPr>
                <w:rStyle w:val="Strong"/>
              </w:rPr>
              <w:t>Total</w:t>
            </w:r>
          </w:p>
        </w:tc>
        <w:tc>
          <w:tcPr>
            <w:tcW w:w="1756" w:type="dxa"/>
          </w:tcPr>
          <w:p w:rsidR="00C47D60" w:rsidRPr="00226ACF" w:rsidRDefault="00C47D60" w:rsidP="00C47D60">
            <w:pPr>
              <w:pStyle w:val="AERtabletextleft"/>
              <w:rPr>
                <w:rStyle w:val="Strong"/>
              </w:rPr>
            </w:pPr>
          </w:p>
        </w:tc>
        <w:tc>
          <w:tcPr>
            <w:tcW w:w="1825" w:type="dxa"/>
          </w:tcPr>
          <w:p w:rsidR="00C47D60" w:rsidRPr="00226ACF" w:rsidRDefault="00C47D60" w:rsidP="00C47D60">
            <w:pPr>
              <w:pStyle w:val="AERtabletextleft"/>
              <w:rPr>
                <w:rStyle w:val="Strong"/>
              </w:rPr>
            </w:pPr>
          </w:p>
        </w:tc>
        <w:tc>
          <w:tcPr>
            <w:tcW w:w="1774" w:type="dxa"/>
          </w:tcPr>
          <w:p w:rsidR="00C47D60" w:rsidRPr="00226ACF" w:rsidRDefault="00C47D60" w:rsidP="00C47D60">
            <w:pPr>
              <w:pStyle w:val="AERtabletextleft"/>
              <w:rPr>
                <w:rStyle w:val="Strong"/>
              </w:rPr>
            </w:pPr>
          </w:p>
        </w:tc>
        <w:tc>
          <w:tcPr>
            <w:tcW w:w="830" w:type="dxa"/>
          </w:tcPr>
          <w:p w:rsidR="00C47D60" w:rsidRPr="00226ACF" w:rsidRDefault="00C47D60" w:rsidP="00C47D60">
            <w:pPr>
              <w:pStyle w:val="AERtabletextleft"/>
              <w:rPr>
                <w:rStyle w:val="Strong"/>
              </w:rPr>
            </w:pPr>
            <w:r w:rsidRPr="00226ACF">
              <w:rPr>
                <w:rStyle w:val="Strong"/>
              </w:rPr>
              <w:t>36,215</w:t>
            </w:r>
          </w:p>
        </w:tc>
        <w:tc>
          <w:tcPr>
            <w:tcW w:w="717" w:type="dxa"/>
          </w:tcPr>
          <w:p w:rsidR="00C47D60" w:rsidRPr="00226ACF" w:rsidRDefault="00C47D60" w:rsidP="00C47D60">
            <w:pPr>
              <w:pStyle w:val="AERtabletextleft"/>
              <w:rPr>
                <w:rStyle w:val="Strong"/>
              </w:rPr>
            </w:pPr>
            <w:r w:rsidRPr="00226ACF">
              <w:rPr>
                <w:rStyle w:val="Strong"/>
              </w:rPr>
              <w:t>105</w:t>
            </w:r>
          </w:p>
        </w:tc>
        <w:tc>
          <w:tcPr>
            <w:tcW w:w="840" w:type="dxa"/>
          </w:tcPr>
          <w:p w:rsidR="00C47D60" w:rsidRPr="00226ACF" w:rsidRDefault="00C47D60" w:rsidP="00C47D60">
            <w:pPr>
              <w:pStyle w:val="AERtabletextleft"/>
              <w:rPr>
                <w:rStyle w:val="Strong"/>
              </w:rPr>
            </w:pPr>
            <w:r w:rsidRPr="00226ACF">
              <w:rPr>
                <w:rStyle w:val="Strong"/>
              </w:rPr>
              <w:t>36,317</w:t>
            </w:r>
          </w:p>
        </w:tc>
      </w:tr>
    </w:tbl>
    <w:p w:rsidR="006F41CD" w:rsidRPr="005C017F" w:rsidRDefault="006F41CD" w:rsidP="006F41CD">
      <w:pPr>
        <w:pStyle w:val="AERtablesource"/>
      </w:pPr>
      <w:r>
        <w:t xml:space="preserve">Source: TransGrid, </w:t>
      </w:r>
      <w:r>
        <w:rPr>
          <w:rStyle w:val="AERtextitalic"/>
        </w:rPr>
        <w:t>Network Capability Incentive Parameter Action Plan 2014/15 – 2017/18</w:t>
      </w:r>
      <w:r>
        <w:t>, pp. 9-10.</w:t>
      </w:r>
    </w:p>
    <w:p w:rsidR="00715910" w:rsidRPr="00405D8E" w:rsidRDefault="00715910" w:rsidP="00405D8E">
      <w:pPr>
        <w:pStyle w:val="Heading2"/>
        <w:rPr>
          <w:rStyle w:val="AERtexthighlight"/>
          <w:shd w:val="clear" w:color="auto" w:fill="auto"/>
        </w:rPr>
      </w:pPr>
      <w:bookmarkStart w:id="16" w:name="_Toc417923812"/>
      <w:r w:rsidRPr="00405D8E">
        <w:rPr>
          <w:rStyle w:val="AERtexthighlight"/>
          <w:shd w:val="clear" w:color="auto" w:fill="auto"/>
        </w:rPr>
        <w:t>Efficiency benefit sharing scheme parameters</w:t>
      </w:r>
      <w:bookmarkEnd w:id="16"/>
      <w:r w:rsidRPr="00405D8E">
        <w:rPr>
          <w:rStyle w:val="AERtexthighlight"/>
          <w:shd w:val="clear" w:color="auto" w:fill="auto"/>
        </w:rPr>
        <w:t xml:space="preserve"> </w:t>
      </w:r>
    </w:p>
    <w:p w:rsidR="00715910" w:rsidRPr="00405D8E" w:rsidRDefault="00AD188D" w:rsidP="00715910">
      <w:pPr>
        <w:rPr>
          <w:rStyle w:val="AERbody"/>
        </w:rPr>
      </w:pPr>
      <w:r w:rsidRPr="00405D8E">
        <w:rPr>
          <w:rStyle w:val="AERbody"/>
        </w:rPr>
        <w:t xml:space="preserve">The AER has determined the values for the efficiency benefit sharing scheme (EBSS) parameters that are to apply to </w:t>
      </w:r>
      <w:r w:rsidR="00B57BBD">
        <w:rPr>
          <w:rStyle w:val="AERbody"/>
        </w:rPr>
        <w:t>TransGrid</w:t>
      </w:r>
      <w:r w:rsidRPr="00405D8E">
        <w:rPr>
          <w:rStyle w:val="AERbody"/>
        </w:rPr>
        <w:t xml:space="preserve"> in the 2014–1</w:t>
      </w:r>
      <w:r w:rsidR="00B57BBD">
        <w:rPr>
          <w:rStyle w:val="AERbody"/>
        </w:rPr>
        <w:t>8</w:t>
      </w:r>
      <w:r w:rsidRPr="00405D8E">
        <w:rPr>
          <w:rStyle w:val="AERbody"/>
        </w:rPr>
        <w:t xml:space="preserve"> period, subject to adjustments required by the EBSS. These values are set out in</w:t>
      </w:r>
      <w:r w:rsidR="003A1281">
        <w:rPr>
          <w:rStyle w:val="AERbody"/>
        </w:rPr>
        <w:t xml:space="preserve"> </w:t>
      </w:r>
      <w:r w:rsidR="003A1281">
        <w:rPr>
          <w:rStyle w:val="AERbody"/>
        </w:rPr>
        <w:fldChar w:fldCharType="begin"/>
      </w:r>
      <w:r w:rsidR="003A1281">
        <w:rPr>
          <w:rStyle w:val="AERbody"/>
        </w:rPr>
        <w:instrText xml:space="preserve"> REF _Ref416860860 \h </w:instrText>
      </w:r>
      <w:r w:rsidR="003A1281">
        <w:rPr>
          <w:rStyle w:val="AERbody"/>
        </w:rPr>
      </w:r>
      <w:r w:rsidR="003A1281">
        <w:rPr>
          <w:rStyle w:val="AERbody"/>
        </w:rPr>
        <w:fldChar w:fldCharType="separate"/>
      </w:r>
      <w:r w:rsidR="00963826">
        <w:t xml:space="preserve">Table </w:t>
      </w:r>
      <w:r w:rsidR="00963826">
        <w:rPr>
          <w:noProof/>
        </w:rPr>
        <w:t>6</w:t>
      </w:r>
      <w:r w:rsidR="003A1281">
        <w:rPr>
          <w:rStyle w:val="AERbody"/>
        </w:rPr>
        <w:fldChar w:fldCharType="end"/>
      </w:r>
      <w:r w:rsidRPr="00405D8E">
        <w:rPr>
          <w:rStyle w:val="AERbody"/>
        </w:rPr>
        <w:t>.</w:t>
      </w:r>
    </w:p>
    <w:p w:rsidR="00AD188D" w:rsidRPr="003A1281" w:rsidRDefault="003A1281" w:rsidP="001729A6">
      <w:pPr>
        <w:pStyle w:val="Caption"/>
        <w:rPr>
          <w:rStyle w:val="AERtexthighlight"/>
          <w:shd w:val="clear" w:color="auto" w:fill="auto"/>
        </w:rPr>
      </w:pPr>
      <w:bookmarkStart w:id="17" w:name="_Ref416860860"/>
      <w:r>
        <w:lastRenderedPageBreak/>
        <w:t xml:space="preserve">Table </w:t>
      </w:r>
      <w:r w:rsidR="00963826">
        <w:fldChar w:fldCharType="begin"/>
      </w:r>
      <w:r w:rsidR="00963826">
        <w:instrText xml:space="preserve"> SEQ Table \* ARABIC </w:instrText>
      </w:r>
      <w:r w:rsidR="00963826">
        <w:fldChar w:fldCharType="separate"/>
      </w:r>
      <w:r w:rsidR="00963826">
        <w:rPr>
          <w:noProof/>
        </w:rPr>
        <w:t>6</w:t>
      </w:r>
      <w:r w:rsidR="00963826">
        <w:rPr>
          <w:noProof/>
        </w:rPr>
        <w:fldChar w:fldCharType="end"/>
      </w:r>
      <w:bookmarkEnd w:id="17"/>
      <w:r w:rsidR="00AD188D" w:rsidRPr="003A1281">
        <w:rPr>
          <w:rStyle w:val="AERtexthighlight"/>
          <w:shd w:val="clear" w:color="auto" w:fill="auto"/>
        </w:rPr>
        <w:tab/>
        <w:t xml:space="preserve">AER's decision </w:t>
      </w:r>
      <w:r w:rsidR="0054765F" w:rsidRPr="003A1281">
        <w:rPr>
          <w:rStyle w:val="AERtexthighlight"/>
          <w:shd w:val="clear" w:color="auto" w:fill="auto"/>
        </w:rPr>
        <w:t xml:space="preserve">on </w:t>
      </w:r>
      <w:r w:rsidR="0054765F" w:rsidRPr="001729A6">
        <w:rPr>
          <w:rStyle w:val="AERtexthighlight"/>
          <w:shd w:val="clear" w:color="auto" w:fill="auto"/>
        </w:rPr>
        <w:t>T</w:t>
      </w:r>
      <w:r w:rsidR="007245C6" w:rsidRPr="001729A6">
        <w:rPr>
          <w:rStyle w:val="AERtexthighlight"/>
          <w:shd w:val="clear" w:color="auto" w:fill="auto"/>
        </w:rPr>
        <w:t>ran</w:t>
      </w:r>
      <w:r w:rsidR="001729A6" w:rsidRPr="001729A6">
        <w:rPr>
          <w:rStyle w:val="AERtexthighlight"/>
          <w:shd w:val="clear" w:color="auto" w:fill="auto"/>
        </w:rPr>
        <w:t>s</w:t>
      </w:r>
      <w:r w:rsidR="007245C6" w:rsidRPr="001729A6">
        <w:rPr>
          <w:rStyle w:val="AERtexthighlight"/>
          <w:shd w:val="clear" w:color="auto" w:fill="auto"/>
        </w:rPr>
        <w:t>Grid</w:t>
      </w:r>
      <w:r w:rsidRPr="001729A6">
        <w:rPr>
          <w:rStyle w:val="AERtexthighlight"/>
          <w:shd w:val="clear" w:color="auto" w:fill="auto"/>
        </w:rPr>
        <w:t>'</w:t>
      </w:r>
      <w:r w:rsidR="0054765F" w:rsidRPr="003A1281">
        <w:rPr>
          <w:rStyle w:val="AERtexthighlight"/>
          <w:shd w:val="clear" w:color="auto" w:fill="auto"/>
        </w:rPr>
        <w:t xml:space="preserve">s </w:t>
      </w:r>
      <w:r w:rsidR="00AD188D" w:rsidRPr="003A1281">
        <w:rPr>
          <w:rStyle w:val="AERtexthighlight"/>
          <w:shd w:val="clear" w:color="auto" w:fill="auto"/>
        </w:rPr>
        <w:t>forecast opex for the EBSS ($ million, 2013–14)</w:t>
      </w:r>
    </w:p>
    <w:tbl>
      <w:tblPr>
        <w:tblStyle w:val="AERtable-numbers"/>
        <w:tblW w:w="0" w:type="auto"/>
        <w:tblLook w:val="04A0" w:firstRow="1" w:lastRow="0" w:firstColumn="1" w:lastColumn="0" w:noHBand="0" w:noVBand="1"/>
      </w:tblPr>
      <w:tblGrid>
        <w:gridCol w:w="2943"/>
        <w:gridCol w:w="1346"/>
        <w:gridCol w:w="1347"/>
        <w:gridCol w:w="1347"/>
        <w:gridCol w:w="1347"/>
      </w:tblGrid>
      <w:tr w:rsidR="007245C6" w:rsidRPr="00727C65" w:rsidTr="00724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245C6" w:rsidRPr="007245C6" w:rsidRDefault="007245C6" w:rsidP="007245C6"/>
        </w:tc>
        <w:tc>
          <w:tcPr>
            <w:tcW w:w="1346"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2014-15</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2015-16</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2016-17</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2017-18</w:t>
            </w:r>
          </w:p>
        </w:tc>
      </w:tr>
      <w:tr w:rsidR="0064137E" w:rsidRPr="00727C65" w:rsidTr="0064137E">
        <w:tc>
          <w:tcPr>
            <w:cnfStyle w:val="001000000000" w:firstRow="0" w:lastRow="0" w:firstColumn="1" w:lastColumn="0" w:oddVBand="0" w:evenVBand="0" w:oddHBand="0" w:evenHBand="0" w:firstRowFirstColumn="0" w:firstRowLastColumn="0" w:lastRowFirstColumn="0" w:lastRowLastColumn="0"/>
            <w:tcW w:w="2943" w:type="dxa"/>
          </w:tcPr>
          <w:p w:rsidR="0064137E" w:rsidRPr="0064137E" w:rsidRDefault="0064137E" w:rsidP="0064137E">
            <w:r w:rsidRPr="0064137E">
              <w:t xml:space="preserve">Forecast opex for EBSS purposes </w:t>
            </w:r>
          </w:p>
        </w:tc>
        <w:tc>
          <w:tcPr>
            <w:tcW w:w="1346"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153.5</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152.8</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157.6</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151.4</w:t>
            </w:r>
          </w:p>
        </w:tc>
      </w:tr>
    </w:tbl>
    <w:p w:rsidR="00DE6891" w:rsidRPr="00627249" w:rsidRDefault="00DE6891" w:rsidP="00E47E17">
      <w:pPr>
        <w:pStyle w:val="AERtablesource"/>
        <w:rPr>
          <w:rStyle w:val="AERtexthighlight"/>
          <w:shd w:val="clear" w:color="auto" w:fill="auto"/>
        </w:rPr>
      </w:pPr>
      <w:r w:rsidRPr="00627249">
        <w:rPr>
          <w:rStyle w:val="AERtexthighlight"/>
          <w:shd w:val="clear" w:color="auto" w:fill="auto"/>
        </w:rPr>
        <w:t xml:space="preserve">Note: </w:t>
      </w:r>
      <w:r w:rsidR="00E47E17" w:rsidRPr="00E47E17">
        <w:tab/>
      </w:r>
      <w:r w:rsidR="00406EDA" w:rsidRPr="00627249">
        <w:rPr>
          <w:rStyle w:val="AERtexthighlight"/>
          <w:shd w:val="clear" w:color="auto" w:fill="auto"/>
        </w:rPr>
        <w:t xml:space="preserve">Excludes </w:t>
      </w:r>
      <w:r w:rsidR="00627249" w:rsidRPr="00627249">
        <w:rPr>
          <w:rStyle w:val="AERtexthighlight"/>
          <w:shd w:val="clear" w:color="auto" w:fill="auto"/>
        </w:rPr>
        <w:t xml:space="preserve">forecast </w:t>
      </w:r>
      <w:r w:rsidR="00406EDA" w:rsidRPr="00627249">
        <w:rPr>
          <w:rStyle w:val="AERtexthighlight"/>
          <w:shd w:val="clear" w:color="auto" w:fill="auto"/>
        </w:rPr>
        <w:t xml:space="preserve">debt raising costs, and </w:t>
      </w:r>
      <w:r w:rsidR="00627249" w:rsidRPr="00627249">
        <w:rPr>
          <w:rStyle w:val="AERtexthighlight"/>
          <w:shd w:val="clear" w:color="auto" w:fill="auto"/>
        </w:rPr>
        <w:t xml:space="preserve">defined benefits </w:t>
      </w:r>
      <w:r w:rsidR="00406EDA" w:rsidRPr="00627249">
        <w:rPr>
          <w:rStyle w:val="AERtexthighlight"/>
          <w:shd w:val="clear" w:color="auto" w:fill="auto"/>
        </w:rPr>
        <w:t>super</w:t>
      </w:r>
      <w:r w:rsidR="00627249" w:rsidRPr="00627249">
        <w:rPr>
          <w:rStyle w:val="AERtexthighlight"/>
          <w:shd w:val="clear" w:color="auto" w:fill="auto"/>
        </w:rPr>
        <w:t>annuation</w:t>
      </w:r>
      <w:r w:rsidR="00406EDA" w:rsidRPr="00627249">
        <w:rPr>
          <w:rStyle w:val="AERtexthighlight"/>
          <w:shd w:val="clear" w:color="auto" w:fill="auto"/>
        </w:rPr>
        <w:t xml:space="preserve"> contributions.</w:t>
      </w:r>
    </w:p>
    <w:p w:rsidR="00AD188D" w:rsidRDefault="00AD188D" w:rsidP="00E47E17">
      <w:pPr>
        <w:pStyle w:val="AERtablesource"/>
        <w:rPr>
          <w:rStyle w:val="AERtexthighlight"/>
        </w:rPr>
      </w:pPr>
      <w:r w:rsidRPr="00405D8E">
        <w:rPr>
          <w:rStyle w:val="AERtexthighlight"/>
          <w:shd w:val="clear" w:color="auto" w:fill="auto"/>
        </w:rPr>
        <w:t xml:space="preserve">Source: </w:t>
      </w:r>
      <w:r w:rsidR="00E47E17" w:rsidRPr="00E47E17">
        <w:tab/>
      </w:r>
      <w:r w:rsidRPr="00405D8E">
        <w:rPr>
          <w:rStyle w:val="AERtexthighlight"/>
          <w:shd w:val="clear" w:color="auto" w:fill="auto"/>
        </w:rPr>
        <w:t>AER analysis.</w:t>
      </w:r>
    </w:p>
    <w:p w:rsidR="0054765F" w:rsidRPr="00405D8E" w:rsidRDefault="00627249" w:rsidP="0054765F">
      <w:pPr>
        <w:rPr>
          <w:rStyle w:val="AERbody"/>
        </w:rPr>
      </w:pPr>
      <w:r>
        <w:rPr>
          <w:rStyle w:val="AERbody"/>
        </w:rPr>
        <w:t>In calculating EBSS carryover amounts, t</w:t>
      </w:r>
      <w:r w:rsidR="0054765F" w:rsidRPr="00405D8E">
        <w:rPr>
          <w:rStyle w:val="AERbody"/>
        </w:rPr>
        <w:t>he AER will exclude the following costs from the EBSS:</w:t>
      </w:r>
    </w:p>
    <w:p w:rsidR="0054765F" w:rsidRPr="00405D8E" w:rsidRDefault="0054765F" w:rsidP="0054765F">
      <w:pPr>
        <w:pStyle w:val="AERbulletlistfirststyle"/>
        <w:rPr>
          <w:rStyle w:val="AERbody"/>
        </w:rPr>
      </w:pPr>
      <w:r w:rsidRPr="00405D8E">
        <w:rPr>
          <w:rStyle w:val="AERbody"/>
        </w:rPr>
        <w:t>debt raising costs</w:t>
      </w:r>
    </w:p>
    <w:p w:rsidR="0054765F" w:rsidRPr="00405D8E" w:rsidRDefault="0054765F" w:rsidP="0054765F">
      <w:pPr>
        <w:pStyle w:val="AERbulletlistfirststyle"/>
        <w:rPr>
          <w:rStyle w:val="AERbody"/>
        </w:rPr>
      </w:pPr>
      <w:r w:rsidRPr="00405D8E">
        <w:rPr>
          <w:rStyle w:val="AERbody"/>
        </w:rPr>
        <w:t>network support costs</w:t>
      </w:r>
    </w:p>
    <w:p w:rsidR="007245C6" w:rsidRPr="007245C6" w:rsidRDefault="007245C6" w:rsidP="0054765F">
      <w:pPr>
        <w:pStyle w:val="AERbulletlistfirststyle"/>
        <w:rPr>
          <w:rStyle w:val="AERbody"/>
          <w:shd w:val="clear" w:color="auto" w:fill="FFFF00"/>
        </w:rPr>
      </w:pPr>
      <w:r w:rsidRPr="00405D8E">
        <w:rPr>
          <w:rStyle w:val="AERbody"/>
        </w:rPr>
        <w:t>opex on network capability incentive projects</w:t>
      </w:r>
    </w:p>
    <w:p w:rsidR="0054765F" w:rsidRPr="00727C65" w:rsidRDefault="007245C6" w:rsidP="0054765F">
      <w:pPr>
        <w:pStyle w:val="AERbulletlistfirststyle"/>
        <w:rPr>
          <w:rStyle w:val="AERtexthighlight"/>
        </w:rPr>
      </w:pPr>
      <w:r>
        <w:t>employer contributions for defined benefits superannuation</w:t>
      </w:r>
      <w:r w:rsidR="0054765F" w:rsidRPr="00405D8E">
        <w:rPr>
          <w:rStyle w:val="AERbody"/>
        </w:rPr>
        <w:t>.</w:t>
      </w:r>
    </w:p>
    <w:p w:rsidR="0054765F" w:rsidRPr="00405D8E" w:rsidRDefault="0054765F" w:rsidP="0054765F">
      <w:pPr>
        <w:rPr>
          <w:rStyle w:val="AERbody"/>
        </w:rPr>
      </w:pPr>
      <w:r w:rsidRPr="00405D8E">
        <w:rPr>
          <w:rStyle w:val="AERbody"/>
        </w:rPr>
        <w:t xml:space="preserve">In addition to these excluded cost categories we will also: </w:t>
      </w:r>
    </w:p>
    <w:p w:rsidR="0054765F" w:rsidRPr="00405D8E" w:rsidRDefault="0054765F" w:rsidP="0054765F">
      <w:pPr>
        <w:pStyle w:val="AERbulletlistfirststyle"/>
        <w:rPr>
          <w:rStyle w:val="AERbody"/>
        </w:rPr>
      </w:pPr>
      <w:r w:rsidRPr="00405D8E">
        <w:rPr>
          <w:rStyle w:val="AERbody"/>
        </w:rPr>
        <w:t xml:space="preserve">adjust forecast opex to add (subtract) any approved revenue increments (decrements) made after the initial regulatory determination. This may include approved pass through amounts. </w:t>
      </w:r>
    </w:p>
    <w:p w:rsidR="0054765F" w:rsidRPr="00405D8E" w:rsidRDefault="0054765F" w:rsidP="0054765F">
      <w:pPr>
        <w:pStyle w:val="AERbulletlistfirststyle"/>
        <w:rPr>
          <w:rStyle w:val="AERbody"/>
        </w:rPr>
      </w:pPr>
      <w:r w:rsidRPr="00405D8E">
        <w:rPr>
          <w:rStyle w:val="AERbody"/>
        </w:rPr>
        <w:t xml:space="preserve">adjust actual opex to add capitalised opex that has been excluded from the RAB </w:t>
      </w:r>
    </w:p>
    <w:p w:rsidR="0054765F" w:rsidRPr="00405D8E" w:rsidRDefault="0054765F" w:rsidP="0054765F">
      <w:pPr>
        <w:pStyle w:val="AERbulletlistfirststyle"/>
        <w:rPr>
          <w:rStyle w:val="AERbody"/>
        </w:rPr>
      </w:pPr>
      <w:r w:rsidRPr="00405D8E">
        <w:rPr>
          <w:rStyle w:val="AERbody"/>
        </w:rPr>
        <w:t>exclude categories of opex not forecast using a single year revealed cost approach for the regulatory control period beginning in 20</w:t>
      </w:r>
      <w:r w:rsidR="00B57BBD">
        <w:rPr>
          <w:rStyle w:val="AERbody"/>
        </w:rPr>
        <w:t>18</w:t>
      </w:r>
      <w:r w:rsidRPr="00405D8E">
        <w:rPr>
          <w:rStyle w:val="AERbody"/>
        </w:rPr>
        <w:t xml:space="preserve"> where doing so better achieves the requirements of clause 6A.6.5 of the NER.</w:t>
      </w:r>
    </w:p>
    <w:p w:rsidR="0054765F" w:rsidRPr="00405D8E" w:rsidRDefault="0054765F" w:rsidP="0054765F">
      <w:pPr>
        <w:rPr>
          <w:rStyle w:val="AERbody"/>
        </w:rPr>
      </w:pPr>
      <w:r w:rsidRPr="00405D8E">
        <w:rPr>
          <w:rStyle w:val="AERbody"/>
        </w:rPr>
        <w:t>When calculating actual opex under the EBSS we will adjust reported actual opex for the 2014–</w:t>
      </w:r>
      <w:r w:rsidR="00B57BBD">
        <w:rPr>
          <w:rStyle w:val="AERbody"/>
        </w:rPr>
        <w:t>18</w:t>
      </w:r>
      <w:r w:rsidRPr="00405D8E">
        <w:rPr>
          <w:rStyle w:val="AERbody"/>
        </w:rPr>
        <w:t xml:space="preserve"> period to reverse any movements in provisions.</w:t>
      </w:r>
    </w:p>
    <w:p w:rsidR="00715910" w:rsidRPr="003A1281" w:rsidRDefault="00715910" w:rsidP="003A1281">
      <w:pPr>
        <w:pStyle w:val="Heading2"/>
        <w:rPr>
          <w:rStyle w:val="AERtexthighlight"/>
          <w:shd w:val="clear" w:color="auto" w:fill="auto"/>
        </w:rPr>
      </w:pPr>
      <w:bookmarkStart w:id="18" w:name="_Toc417923813"/>
      <w:r w:rsidRPr="003A1281">
        <w:rPr>
          <w:rStyle w:val="AERtexthighlight"/>
          <w:shd w:val="clear" w:color="auto" w:fill="auto"/>
        </w:rPr>
        <w:t>Application of the capital expenditure sharing scheme</w:t>
      </w:r>
      <w:bookmarkEnd w:id="18"/>
      <w:r w:rsidRPr="003A1281">
        <w:rPr>
          <w:rStyle w:val="AERtexthighlight"/>
          <w:shd w:val="clear" w:color="auto" w:fill="auto"/>
        </w:rPr>
        <w:t xml:space="preserve"> </w:t>
      </w:r>
    </w:p>
    <w:p w:rsidR="00715910" w:rsidRDefault="00CC1073" w:rsidP="00CC1073">
      <w:pPr>
        <w:rPr>
          <w:rStyle w:val="AERbody"/>
        </w:rPr>
      </w:pPr>
      <w:r w:rsidRPr="003A1281">
        <w:rPr>
          <w:rStyle w:val="AERbody"/>
        </w:rPr>
        <w:t xml:space="preserve">We will apply version 1 of the CESS as set out in the capital expenditure incentives guideline to </w:t>
      </w:r>
      <w:r w:rsidR="00B57BBD">
        <w:rPr>
          <w:rStyle w:val="AERbody"/>
        </w:rPr>
        <w:t>TransGrid</w:t>
      </w:r>
      <w:r w:rsidRPr="003A1281">
        <w:rPr>
          <w:rStyle w:val="AERbody"/>
        </w:rPr>
        <w:t xml:space="preserve"> in the 2015–1</w:t>
      </w:r>
      <w:r w:rsidR="00B57BBD">
        <w:rPr>
          <w:rStyle w:val="AERbody"/>
        </w:rPr>
        <w:t>8</w:t>
      </w:r>
      <w:r w:rsidRPr="003A1281">
        <w:rPr>
          <w:rStyle w:val="AERbody"/>
        </w:rPr>
        <w:t xml:space="preserve"> regulatory control period.</w:t>
      </w:r>
      <w:r w:rsidRPr="003A1281">
        <w:rPr>
          <w:rStyle w:val="AERsuperscript"/>
        </w:rPr>
        <w:footnoteReference w:id="13"/>
      </w:r>
      <w:r w:rsidRPr="003A1281">
        <w:rPr>
          <w:rStyle w:val="AERbody"/>
        </w:rPr>
        <w:t xml:space="preserve"> The guideline provides for the exclusion from the CESS of capex the service provider incurs in delivering a priority project approved under the network capability component of the STPIS.</w:t>
      </w:r>
      <w:r w:rsidRPr="003A1281">
        <w:rPr>
          <w:rStyle w:val="AERsuperscript"/>
        </w:rPr>
        <w:footnoteReference w:id="14"/>
      </w:r>
    </w:p>
    <w:p w:rsidR="00784F24" w:rsidRPr="003A1281" w:rsidRDefault="00784F24" w:rsidP="00CC1073">
      <w:pPr>
        <w:rPr>
          <w:rStyle w:val="AERbody"/>
        </w:rPr>
      </w:pPr>
    </w:p>
    <w:p w:rsidR="00715910" w:rsidRPr="00795829" w:rsidRDefault="00715910" w:rsidP="00795829">
      <w:pPr>
        <w:pStyle w:val="Heading2"/>
      </w:pPr>
      <w:bookmarkStart w:id="19" w:name="_Toc417923814"/>
      <w:r w:rsidRPr="00795829">
        <w:lastRenderedPageBreak/>
        <w:t>Commencement and length of the regulatory control period</w:t>
      </w:r>
      <w:bookmarkEnd w:id="19"/>
    </w:p>
    <w:p w:rsidR="00715910" w:rsidRPr="00795829" w:rsidRDefault="00715910" w:rsidP="00795829">
      <w:r w:rsidRPr="00795829">
        <w:t xml:space="preserve">The regulatory control period will be </w:t>
      </w:r>
      <w:r w:rsidR="00795829" w:rsidRPr="00795829">
        <w:t>three</w:t>
      </w:r>
      <w:r w:rsidRPr="00795829">
        <w:t xml:space="preserve"> years, commencing on 1 July 2015 and ending on 30 June 201</w:t>
      </w:r>
      <w:r w:rsidR="00795829" w:rsidRPr="00795829">
        <w:t>8</w:t>
      </w:r>
      <w:r w:rsidRPr="00795829">
        <w:t>.</w:t>
      </w:r>
    </w:p>
    <w:p w:rsidR="00882A61" w:rsidRPr="00795829" w:rsidRDefault="00715910" w:rsidP="00795829">
      <w:pPr>
        <w:pStyle w:val="Heading2"/>
      </w:pPr>
      <w:bookmarkStart w:id="20" w:name="_Toc417923815"/>
      <w:r w:rsidRPr="00795829">
        <w:t>Depreciation for establishing the regulatory asset base as at the commencement of the next regulatory control period</w:t>
      </w:r>
      <w:bookmarkEnd w:id="20"/>
      <w:r w:rsidRPr="00795829">
        <w:t xml:space="preserve"> </w:t>
      </w:r>
    </w:p>
    <w:p w:rsidR="008C416C" w:rsidRPr="00795829" w:rsidRDefault="008C416C" w:rsidP="00795829">
      <w:r w:rsidRPr="00795829">
        <w:t xml:space="preserve">We determine that the forecast depreciation approach </w:t>
      </w:r>
      <w:r w:rsidR="00C0196C" w:rsidRPr="00795829">
        <w:t>(that is, based on forecast capex) will apply to the 2014–</w:t>
      </w:r>
      <w:r w:rsidR="00B57BBD">
        <w:t>18</w:t>
      </w:r>
      <w:r w:rsidR="00C0196C" w:rsidRPr="00795829">
        <w:t xml:space="preserve"> period and </w:t>
      </w:r>
      <w:r w:rsidRPr="00795829">
        <w:t>is to be used to establish the RAB at the commencement of the regulatory control period from 1 July 201</w:t>
      </w:r>
      <w:r w:rsidR="00795829">
        <w:t>8</w:t>
      </w:r>
      <w:r w:rsidRPr="00795829">
        <w:t xml:space="preserve"> for T</w:t>
      </w:r>
      <w:r w:rsidR="00795829">
        <w:t>ransGrid</w:t>
      </w:r>
      <w:r w:rsidRPr="00795829">
        <w:t>.</w:t>
      </w:r>
    </w:p>
    <w:p w:rsidR="00882A61" w:rsidRPr="003A1281" w:rsidRDefault="00882A61" w:rsidP="003A1281">
      <w:pPr>
        <w:pStyle w:val="Heading1"/>
        <w:rPr>
          <w:rStyle w:val="AERtexthighlight"/>
          <w:shd w:val="clear" w:color="auto" w:fill="auto"/>
        </w:rPr>
      </w:pPr>
      <w:bookmarkStart w:id="21" w:name="_Toc417923816"/>
      <w:r w:rsidRPr="003A1281">
        <w:rPr>
          <w:rStyle w:val="AERtexthighlight"/>
          <w:shd w:val="clear" w:color="auto" w:fill="auto"/>
        </w:rPr>
        <w:lastRenderedPageBreak/>
        <w:t>Negotiating framework</w:t>
      </w:r>
      <w:bookmarkEnd w:id="21"/>
    </w:p>
    <w:p w:rsidR="00C90219" w:rsidRPr="003A1281" w:rsidRDefault="00C90219" w:rsidP="003A1281">
      <w:pPr>
        <w:rPr>
          <w:rStyle w:val="AERbody"/>
        </w:rPr>
      </w:pPr>
      <w:r w:rsidRPr="003A1281">
        <w:rPr>
          <w:rStyle w:val="AERbody"/>
        </w:rPr>
        <w:t xml:space="preserve">Our determination on </w:t>
      </w:r>
      <w:r w:rsidR="003A1281">
        <w:rPr>
          <w:rStyle w:val="AERbody"/>
        </w:rPr>
        <w:t>TransGrid's</w:t>
      </w:r>
      <w:r w:rsidRPr="003A1281">
        <w:rPr>
          <w:rStyle w:val="AERbody"/>
        </w:rPr>
        <w:t xml:space="preserve"> negotiating framework accepts in full the framework prepared by </w:t>
      </w:r>
      <w:r w:rsidR="000D4D3C">
        <w:rPr>
          <w:rStyle w:val="AERbody"/>
        </w:rPr>
        <w:t>TransGrid</w:t>
      </w:r>
      <w:r w:rsidRPr="003A1281">
        <w:rPr>
          <w:rStyle w:val="AERbody"/>
        </w:rPr>
        <w:t xml:space="preserve">. </w:t>
      </w:r>
    </w:p>
    <w:p w:rsidR="00C90219" w:rsidRPr="003A1281" w:rsidRDefault="000D4D3C" w:rsidP="003A1281">
      <w:pPr>
        <w:rPr>
          <w:rStyle w:val="AERbody"/>
        </w:rPr>
      </w:pPr>
      <w:r>
        <w:rPr>
          <w:rStyle w:val="AERbody"/>
        </w:rPr>
        <w:t>TransGrid</w:t>
      </w:r>
      <w:r w:rsidR="00C90219" w:rsidRPr="003A1281">
        <w:rPr>
          <w:rStyle w:val="AERbody"/>
        </w:rPr>
        <w:t xml:space="preserve"> must comply with its negotiating framework and its NTSC (see section 3 of this determination) when it is negotiating the terms and conditions of access for negotiated transmission services to be provided to a person.</w:t>
      </w:r>
      <w:r w:rsidR="00C90219" w:rsidRPr="000D4D3C">
        <w:rPr>
          <w:rStyle w:val="AERsuperscript"/>
        </w:rPr>
        <w:footnoteReference w:id="15"/>
      </w:r>
    </w:p>
    <w:p w:rsidR="00C90219" w:rsidRPr="003A1281" w:rsidRDefault="000D4D3C" w:rsidP="003A1281">
      <w:pPr>
        <w:rPr>
          <w:rStyle w:val="AERbody"/>
        </w:rPr>
      </w:pPr>
      <w:r>
        <w:rPr>
          <w:rStyle w:val="AERbody"/>
        </w:rPr>
        <w:t>TransGrid</w:t>
      </w:r>
      <w:r w:rsidR="00C90219" w:rsidRPr="003A1281">
        <w:rPr>
          <w:rStyle w:val="AERbody"/>
        </w:rPr>
        <w:t>'</w:t>
      </w:r>
      <w:r>
        <w:rPr>
          <w:rStyle w:val="AERbody"/>
        </w:rPr>
        <w:t>s</w:t>
      </w:r>
      <w:r w:rsidR="00C90219" w:rsidRPr="003A1281">
        <w:rPr>
          <w:rStyle w:val="AERbody"/>
        </w:rPr>
        <w:t xml:space="preserve"> negotiating framework sets out the procedure to be followed during negotiations between </w:t>
      </w:r>
      <w:r>
        <w:rPr>
          <w:rStyle w:val="AERbody"/>
        </w:rPr>
        <w:t>TransGrid</w:t>
      </w:r>
      <w:r w:rsidR="00C90219" w:rsidRPr="003A1281">
        <w:rPr>
          <w:rStyle w:val="AERbody"/>
        </w:rPr>
        <w:t xml:space="preserve"> and any person who wishes to receive a negotiated transmission service from </w:t>
      </w:r>
      <w:r>
        <w:rPr>
          <w:rStyle w:val="AERbody"/>
        </w:rPr>
        <w:t>TransGrid</w:t>
      </w:r>
      <w:r w:rsidR="00C90219" w:rsidRPr="003A1281">
        <w:rPr>
          <w:rStyle w:val="AERbody"/>
        </w:rPr>
        <w:t>, as to the terms and conditions of access for provision of the service.</w:t>
      </w:r>
      <w:r w:rsidR="003F2C13" w:rsidRPr="000D4D3C">
        <w:rPr>
          <w:rStyle w:val="AERsuperscript"/>
        </w:rPr>
        <w:footnoteReference w:id="16"/>
      </w:r>
    </w:p>
    <w:p w:rsidR="00715910" w:rsidRPr="003A1281" w:rsidRDefault="00715910" w:rsidP="003A1281">
      <w:pPr>
        <w:rPr>
          <w:rStyle w:val="AERbody"/>
        </w:rPr>
      </w:pPr>
      <w:r w:rsidRPr="003A1281">
        <w:rPr>
          <w:rStyle w:val="AERbody"/>
        </w:rPr>
        <w:t>The negotiating framework</w:t>
      </w:r>
      <w:r w:rsidR="000D4D3C">
        <w:rPr>
          <w:rStyle w:val="AERbody"/>
        </w:rPr>
        <w:t xml:space="preserve"> in Attachment A to this determination</w:t>
      </w:r>
      <w:r w:rsidRPr="003A1281">
        <w:rPr>
          <w:rStyle w:val="AERbody"/>
        </w:rPr>
        <w:t xml:space="preserve"> must be adopted by </w:t>
      </w:r>
      <w:r w:rsidR="000D4D3C">
        <w:rPr>
          <w:rStyle w:val="AERbody"/>
        </w:rPr>
        <w:t>TransGrid</w:t>
      </w:r>
      <w:r w:rsidRPr="003A1281">
        <w:rPr>
          <w:rStyle w:val="AERbody"/>
        </w:rPr>
        <w:t xml:space="preserve"> for the regulatory control period covered by this determination.</w:t>
      </w:r>
    </w:p>
    <w:p w:rsidR="00882A61" w:rsidRPr="001729A6" w:rsidRDefault="00882A61" w:rsidP="001729A6">
      <w:pPr>
        <w:pStyle w:val="Heading1"/>
      </w:pPr>
      <w:bookmarkStart w:id="22" w:name="_Toc417923817"/>
      <w:r w:rsidRPr="001729A6">
        <w:lastRenderedPageBreak/>
        <w:t>Negotiated transmission service criteria</w:t>
      </w:r>
      <w:r w:rsidR="000D4D3C" w:rsidRPr="001729A6">
        <w:t xml:space="preserve"> (NTSC)</w:t>
      </w:r>
      <w:bookmarkEnd w:id="22"/>
    </w:p>
    <w:p w:rsidR="00C90219" w:rsidRPr="000D4D3C" w:rsidRDefault="00C90219" w:rsidP="00C90219">
      <w:pPr>
        <w:rPr>
          <w:rStyle w:val="AERbody"/>
        </w:rPr>
      </w:pPr>
      <w:r w:rsidRPr="000D4D3C">
        <w:rPr>
          <w:rStyle w:val="AERbody"/>
        </w:rPr>
        <w:t xml:space="preserve">Our determination on </w:t>
      </w:r>
      <w:r w:rsidR="000D4D3C" w:rsidRPr="000D4D3C">
        <w:rPr>
          <w:rStyle w:val="AERbody"/>
        </w:rPr>
        <w:t xml:space="preserve">TransGrid's </w:t>
      </w:r>
      <w:r w:rsidRPr="000D4D3C">
        <w:rPr>
          <w:rStyle w:val="AERbody"/>
        </w:rPr>
        <w:t xml:space="preserve">NTSC accepts in full the NTSC proposed by </w:t>
      </w:r>
      <w:r w:rsidR="000D4D3C" w:rsidRPr="000D4D3C">
        <w:rPr>
          <w:rStyle w:val="AERbody"/>
        </w:rPr>
        <w:t>TransGrid</w:t>
      </w:r>
      <w:r w:rsidRPr="000D4D3C">
        <w:rPr>
          <w:rStyle w:val="AERbody"/>
        </w:rPr>
        <w:t xml:space="preserve">.  </w:t>
      </w:r>
    </w:p>
    <w:p w:rsidR="00C90219" w:rsidRPr="000D4D3C" w:rsidRDefault="000D4D3C" w:rsidP="00C90219">
      <w:pPr>
        <w:rPr>
          <w:rStyle w:val="AERbody"/>
        </w:rPr>
      </w:pPr>
      <w:r w:rsidRPr="000D4D3C">
        <w:rPr>
          <w:rStyle w:val="AERbody"/>
        </w:rPr>
        <w:t xml:space="preserve">TransGrid </w:t>
      </w:r>
      <w:r w:rsidR="00C90219" w:rsidRPr="000D4D3C">
        <w:rPr>
          <w:rStyle w:val="AERbody"/>
        </w:rPr>
        <w:t>must comply with its negotiating framework (see section 2 of this determination) and its NTSC when it is negotiating the terms and conditions of access for negotiated transmission services to be provided to a person.</w:t>
      </w:r>
      <w:r w:rsidR="00C90219" w:rsidRPr="000D4D3C">
        <w:rPr>
          <w:rStyle w:val="AERsuperscript"/>
        </w:rPr>
        <w:footnoteReference w:id="17"/>
      </w:r>
    </w:p>
    <w:p w:rsidR="00C90219" w:rsidRPr="000D4D3C" w:rsidRDefault="000D4D3C" w:rsidP="000D4D3C">
      <w:pPr>
        <w:pStyle w:val="AERtablesource"/>
        <w:rPr>
          <w:rStyle w:val="AERbody"/>
        </w:rPr>
      </w:pPr>
      <w:r w:rsidRPr="000D4D3C">
        <w:rPr>
          <w:rStyle w:val="AERbody"/>
        </w:rPr>
        <w:t>TransGrid's</w:t>
      </w:r>
      <w:r w:rsidR="00C90219" w:rsidRPr="000D4D3C">
        <w:rPr>
          <w:rStyle w:val="AERbody"/>
        </w:rPr>
        <w:t xml:space="preserve"> NTSC sets out the criteria that are to be applied:</w:t>
      </w:r>
      <w:r w:rsidR="00C90219" w:rsidRPr="000D4D3C">
        <w:rPr>
          <w:rStyle w:val="AERsuperscript"/>
        </w:rPr>
        <w:footnoteReference w:id="18"/>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w:t>
      </w:r>
      <w:r w:rsidR="000D4D3C" w:rsidRPr="000D4D3C">
        <w:rPr>
          <w:rStyle w:val="AERtexthighlight"/>
          <w:shd w:val="clear" w:color="auto" w:fill="auto"/>
        </w:rPr>
        <w:t>TransGrid</w:t>
      </w:r>
      <w:r w:rsidRPr="000D4D3C">
        <w:rPr>
          <w:rStyle w:val="AERtexthighlight"/>
          <w:shd w:val="clear" w:color="auto" w:fill="auto"/>
        </w:rPr>
        <w:t xml:space="preserve"> in negotiating:</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negotiated transmission services, including the prices that are to be charged for the provision of those services by </w:t>
      </w:r>
      <w:r w:rsidR="000D4D3C" w:rsidRPr="000D4D3C">
        <w:rPr>
          <w:rStyle w:val="AERtexthighlight"/>
          <w:shd w:val="clear" w:color="auto" w:fill="auto"/>
        </w:rPr>
        <w:t>TransGrid</w:t>
      </w:r>
      <w:r w:rsidRPr="000D4D3C">
        <w:rPr>
          <w:rStyle w:val="AERtexthighlight"/>
          <w:shd w:val="clear" w:color="auto" w:fill="auto"/>
        </w:rPr>
        <w:t xml:space="preserve"> for the regulatory control period</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any access charges which are negotiated by </w:t>
      </w:r>
      <w:r w:rsidR="000D4D3C" w:rsidRPr="000D4D3C">
        <w:rPr>
          <w:rStyle w:val="AERtexthighlight"/>
          <w:shd w:val="clear" w:color="auto" w:fill="auto"/>
        </w:rPr>
        <w:t>TransGrid</w:t>
      </w:r>
      <w:r w:rsidRPr="000D4D3C">
        <w:rPr>
          <w:rStyle w:val="AERtexthighlight"/>
          <w:shd w:val="clear" w:color="auto" w:fill="auto"/>
        </w:rPr>
        <w:t xml:space="preserve"> during the regulatory control period</w:t>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a commercial arbitrator in resolving any dispute, between </w:t>
      </w:r>
      <w:r w:rsidR="000D4D3C" w:rsidRPr="000D4D3C">
        <w:rPr>
          <w:rStyle w:val="AERtexthighlight"/>
          <w:shd w:val="clear" w:color="auto" w:fill="auto"/>
        </w:rPr>
        <w:t>TransGrid</w:t>
      </w:r>
      <w:r w:rsidRPr="000D4D3C">
        <w:rPr>
          <w:rStyle w:val="AERtexthighlight"/>
          <w:shd w:val="clear" w:color="auto" w:fill="auto"/>
        </w:rPr>
        <w:t xml:space="preserve"> and a person who wishes to receive a negotiated transmission service, in relation to:</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the negotiated transmission service, including the price that is to be charged for the provision of that service by </w:t>
      </w:r>
      <w:r w:rsidR="000D4D3C" w:rsidRPr="000D4D3C">
        <w:rPr>
          <w:rStyle w:val="AERtexthighlight"/>
          <w:shd w:val="clear" w:color="auto" w:fill="auto"/>
        </w:rPr>
        <w:t>TransGrid</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any access charges that are to be paid to or by </w:t>
      </w:r>
      <w:r w:rsidR="000D4D3C" w:rsidRPr="000D4D3C">
        <w:rPr>
          <w:rStyle w:val="AERtexthighlight"/>
          <w:shd w:val="clear" w:color="auto" w:fill="auto"/>
        </w:rPr>
        <w:t>TransGrid</w:t>
      </w:r>
      <w:r w:rsidRPr="000D4D3C">
        <w:rPr>
          <w:rStyle w:val="AERtexthighlight"/>
          <w:shd w:val="clear" w:color="auto" w:fill="auto"/>
        </w:rPr>
        <w:t>.</w:t>
      </w:r>
    </w:p>
    <w:p w:rsidR="00715910" w:rsidRPr="000D4D3C" w:rsidRDefault="00715910" w:rsidP="00715910">
      <w:pPr>
        <w:rPr>
          <w:rStyle w:val="AERbody"/>
        </w:rPr>
      </w:pPr>
      <w:r w:rsidRPr="000D4D3C">
        <w:rPr>
          <w:rStyle w:val="AERbody"/>
        </w:rPr>
        <w:t xml:space="preserve">The following </w:t>
      </w:r>
      <w:r w:rsidR="00994B4D" w:rsidRPr="000D4D3C">
        <w:rPr>
          <w:rStyle w:val="AERbody"/>
        </w:rPr>
        <w:t>NTSC</w:t>
      </w:r>
      <w:r w:rsidRPr="000D4D3C">
        <w:rPr>
          <w:rStyle w:val="AERbody"/>
        </w:rPr>
        <w:t xml:space="preserve"> will apply to </w:t>
      </w:r>
      <w:r w:rsidR="000D4D3C" w:rsidRPr="000D4D3C">
        <w:rPr>
          <w:rStyle w:val="AERbody"/>
        </w:rPr>
        <w:t>TransGrid</w:t>
      </w:r>
      <w:r w:rsidRPr="000D4D3C">
        <w:rPr>
          <w:rStyle w:val="AERbody"/>
        </w:rPr>
        <w:t xml:space="preserve"> for the regulatory control period covered by this determination.</w:t>
      </w:r>
    </w:p>
    <w:p w:rsidR="00882A61" w:rsidRPr="000D4D3C" w:rsidRDefault="00882A61" w:rsidP="000D4D3C">
      <w:pPr>
        <w:pStyle w:val="HeadingBoldBlue"/>
        <w:rPr>
          <w:rStyle w:val="AERtexthighlight"/>
          <w:shd w:val="clear" w:color="auto" w:fill="auto"/>
        </w:rPr>
      </w:pPr>
      <w:r w:rsidRPr="000D4D3C">
        <w:rPr>
          <w:rStyle w:val="AERtexthighlight"/>
          <w:shd w:val="clear" w:color="auto" w:fill="auto"/>
        </w:rPr>
        <w:t>National Electricity Objective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a negotiated transmission service, including the price that is to be charged for the provision of that service and any access charges, should promote the achievement of the National Electricity Objective.</w:t>
      </w:r>
    </w:p>
    <w:p w:rsidR="00882A61" w:rsidRPr="000D4D3C" w:rsidRDefault="00882A61" w:rsidP="001729A6">
      <w:pPr>
        <w:pStyle w:val="HeadingBoldBlue"/>
        <w:keepNext/>
        <w:rPr>
          <w:rStyle w:val="AERtexthighlight"/>
          <w:shd w:val="clear" w:color="auto" w:fill="auto"/>
        </w:rPr>
      </w:pPr>
      <w:r w:rsidRPr="000D4D3C">
        <w:rPr>
          <w:rStyle w:val="AERtexthighlight"/>
          <w:shd w:val="clear" w:color="auto" w:fill="auto"/>
        </w:rPr>
        <w:lastRenderedPageBreak/>
        <w:t>Criteria for terms and conditions of access</w:t>
      </w:r>
    </w:p>
    <w:p w:rsidR="00882A61" w:rsidRPr="000D4D3C" w:rsidRDefault="00882A61" w:rsidP="001729A6">
      <w:pPr>
        <w:pStyle w:val="HeadingBoldItalic"/>
        <w:keepNext/>
        <w:rPr>
          <w:rStyle w:val="AERtexthighlight"/>
          <w:shd w:val="clear" w:color="auto" w:fill="auto"/>
        </w:rPr>
      </w:pPr>
      <w:r w:rsidRPr="000D4D3C">
        <w:rPr>
          <w:rStyle w:val="AERtexthighlight"/>
          <w:shd w:val="clear" w:color="auto" w:fill="auto"/>
        </w:rPr>
        <w:t>Terms and conditions of access</w:t>
      </w:r>
    </w:p>
    <w:p w:rsidR="00882A61" w:rsidRPr="000D4D3C" w:rsidRDefault="00882A61" w:rsidP="001729A6">
      <w:pPr>
        <w:pStyle w:val="ListNumber"/>
        <w:keepNext/>
        <w:rPr>
          <w:rStyle w:val="AERtexthighlight"/>
          <w:shd w:val="clear" w:color="auto" w:fill="auto"/>
        </w:rPr>
      </w:pPr>
      <w:r w:rsidRPr="000D4D3C">
        <w:rPr>
          <w:rStyle w:val="AERtexthighlight"/>
          <w:shd w:val="clear" w:color="auto" w:fill="auto"/>
        </w:rPr>
        <w:t>The terms and conditions of access for a negotiated transmission service must be fair, reasonable and consistent with the safe and reliable operation of the power system in accordance with the NER.</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82A61" w:rsidRPr="000D4D3C" w:rsidRDefault="00882A61" w:rsidP="000D4D3C">
      <w:pPr>
        <w:pStyle w:val="HeadingBoldItalic"/>
        <w:rPr>
          <w:rStyle w:val="AERtexthighlight"/>
          <w:shd w:val="clear" w:color="auto" w:fill="auto"/>
        </w:rPr>
      </w:pPr>
      <w:r w:rsidRPr="000D4D3C">
        <w:rPr>
          <w:rStyle w:val="AERtexthighlight"/>
          <w:shd w:val="clear" w:color="auto" w:fill="auto"/>
        </w:rPr>
        <w:t>Price of services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of a negotiated transmission service must reflect the cost that the TNSP has incurred or incurs in providing that service, and must be determined in accordance with the principles and policies set out in the Cost Allocation Methodology.</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 xml:space="preserve">Subject to criteria 7 and 8, the price for a negotiated transmission service must be at least equal to the avoided cost of providing that service but no more than the cost of providing it on a </w:t>
      </w:r>
      <w:r w:rsidR="0089315E" w:rsidRPr="000D4D3C">
        <w:rPr>
          <w:rStyle w:val="AERtexthighlight"/>
          <w:shd w:val="clear" w:color="auto" w:fill="auto"/>
        </w:rPr>
        <w:t>stand-alone</w:t>
      </w:r>
      <w:r w:rsidRPr="000D4D3C">
        <w:rPr>
          <w:rStyle w:val="AERtexthighlight"/>
          <w:shd w:val="clear" w:color="auto" w:fill="auto"/>
        </w:rPr>
        <w:t xml:space="preserve"> basis.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If the negotiated transmission service is a shared transmission service that:</w:t>
      </w:r>
    </w:p>
    <w:p w:rsidR="00882A61" w:rsidRPr="000D4D3C" w:rsidRDefault="00882A61" w:rsidP="000D4D3C">
      <w:pPr>
        <w:pStyle w:val="AERnumberedlistsecondstyle"/>
        <w:rPr>
          <w:rStyle w:val="AERtexthighlight"/>
          <w:shd w:val="clear" w:color="auto" w:fill="auto"/>
        </w:rPr>
      </w:pPr>
      <w:r w:rsidRPr="000D4D3C">
        <w:rPr>
          <w:rStyle w:val="AERtexthighlight"/>
          <w:shd w:val="clear" w:color="auto" w:fill="auto"/>
        </w:rPr>
        <w:t>exceeds any network performance requirements which it is required to meet under any relevant electricity legislation; or</w:t>
      </w:r>
    </w:p>
    <w:p w:rsidR="00882A61" w:rsidRPr="000D4D3C" w:rsidRDefault="00882A61" w:rsidP="000D4D3C">
      <w:pPr>
        <w:pStyle w:val="AERnumberedlistsecondstyle"/>
        <w:rPr>
          <w:rStyle w:val="AERtexthighlight"/>
          <w:shd w:val="clear" w:color="auto" w:fill="auto"/>
        </w:rPr>
      </w:pPr>
      <w:r w:rsidRPr="000D4D3C">
        <w:rPr>
          <w:rStyle w:val="AERtexthighlight"/>
          <w:shd w:val="clear" w:color="auto" w:fill="auto"/>
        </w:rPr>
        <w:t>exceeds the network performance requirements set out in schedule 5.1a and 5.1 of the NER</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then the difference between the price for that service and the price for the shared transmission service which meets network performance requirements must reflect the TNSP's incremental cost of providing that service (as appropriate).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lastRenderedPageBreak/>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for a negotiated transmission service must be such as to enable the TNSP to recover the efficient costs of complying with all regulatory obligations associated with the provision of the negotiated transmission service.</w:t>
      </w:r>
    </w:p>
    <w:p w:rsidR="00882A61" w:rsidRPr="000D4D3C" w:rsidRDefault="00882A61" w:rsidP="000D4D3C">
      <w:pPr>
        <w:pStyle w:val="HeadingBoldBlue"/>
        <w:rPr>
          <w:rStyle w:val="AERtexthighlight"/>
          <w:shd w:val="clear" w:color="auto" w:fill="auto"/>
        </w:rPr>
      </w:pPr>
      <w:r w:rsidRPr="000D4D3C">
        <w:rPr>
          <w:rStyle w:val="AERtexthighlight"/>
          <w:shd w:val="clear" w:color="auto" w:fill="auto"/>
        </w:rPr>
        <w:t>Criteria for access charges</w:t>
      </w:r>
    </w:p>
    <w:p w:rsidR="00882A61" w:rsidRPr="000D4D3C" w:rsidRDefault="00882A61" w:rsidP="000D4D3C">
      <w:pPr>
        <w:pStyle w:val="HeadingBoldItalic"/>
        <w:rPr>
          <w:rStyle w:val="AERtexthighlight"/>
          <w:shd w:val="clear" w:color="auto" w:fill="auto"/>
        </w:rPr>
      </w:pPr>
      <w:r w:rsidRPr="000D4D3C">
        <w:rPr>
          <w:rStyle w:val="AERtexthighlight"/>
          <w:shd w:val="clear" w:color="auto" w:fill="auto"/>
        </w:rPr>
        <w:t>Access charges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882A61" w:rsidRPr="000D4D3C" w:rsidRDefault="00882A61" w:rsidP="000D4D3C">
      <w:pPr>
        <w:pStyle w:val="Heading1"/>
        <w:rPr>
          <w:rStyle w:val="AERtexthighlight"/>
          <w:shd w:val="clear" w:color="auto" w:fill="auto"/>
        </w:rPr>
      </w:pPr>
      <w:bookmarkStart w:id="23" w:name="_Toc417923818"/>
      <w:r w:rsidRPr="000D4D3C">
        <w:rPr>
          <w:rStyle w:val="AERtexthighlight"/>
          <w:shd w:val="clear" w:color="auto" w:fill="auto"/>
        </w:rPr>
        <w:lastRenderedPageBreak/>
        <w:t>Pricing methodology</w:t>
      </w:r>
      <w:bookmarkEnd w:id="23"/>
    </w:p>
    <w:p w:rsidR="00994B4D" w:rsidRPr="000D4D3C" w:rsidRDefault="00994B4D" w:rsidP="00994B4D">
      <w:pPr>
        <w:rPr>
          <w:rStyle w:val="AERbody"/>
        </w:rPr>
      </w:pPr>
      <w:r w:rsidRPr="000D4D3C">
        <w:rPr>
          <w:rStyle w:val="AERbody"/>
        </w:rPr>
        <w:t xml:space="preserve">Our determination on </w:t>
      </w:r>
      <w:r w:rsidR="000D4D3C" w:rsidRPr="000D4D3C">
        <w:rPr>
          <w:rStyle w:val="AERbody"/>
        </w:rPr>
        <w:t>TransGrid's</w:t>
      </w:r>
      <w:r w:rsidRPr="000D4D3C">
        <w:rPr>
          <w:rStyle w:val="AERbody"/>
        </w:rPr>
        <w:t xml:space="preserve"> pricing methodology accepts in full </w:t>
      </w:r>
      <w:r w:rsidR="000D4D3C" w:rsidRPr="000D4D3C">
        <w:rPr>
          <w:rStyle w:val="AERbody"/>
        </w:rPr>
        <w:t>the</w:t>
      </w:r>
      <w:r w:rsidRPr="000D4D3C">
        <w:rPr>
          <w:rStyle w:val="AERbody"/>
        </w:rPr>
        <w:t xml:space="preserve"> pricing methodology</w:t>
      </w:r>
      <w:r w:rsidR="000D4D3C" w:rsidRPr="000D4D3C">
        <w:rPr>
          <w:rStyle w:val="AERbody"/>
        </w:rPr>
        <w:t xml:space="preserve"> in TransGrid's revised proposal (Attachment B to this determination)</w:t>
      </w:r>
      <w:r w:rsidRPr="000D4D3C">
        <w:rPr>
          <w:rStyle w:val="AERbody"/>
        </w:rPr>
        <w:t>.</w:t>
      </w:r>
    </w:p>
    <w:p w:rsidR="00994B4D" w:rsidRPr="000D4D3C" w:rsidRDefault="00994B4D" w:rsidP="00994B4D">
      <w:pPr>
        <w:numPr>
          <w:ilvl w:val="0"/>
          <w:numId w:val="25"/>
        </w:numPr>
        <w:rPr>
          <w:rStyle w:val="AERbody"/>
        </w:rPr>
      </w:pPr>
      <w:r w:rsidRPr="000D4D3C">
        <w:rPr>
          <w:rStyle w:val="AERbody"/>
        </w:rPr>
        <w:t xml:space="preserve">The role of </w:t>
      </w:r>
      <w:r w:rsidR="000D4D3C" w:rsidRPr="000D4D3C">
        <w:rPr>
          <w:rStyle w:val="AERbody"/>
        </w:rPr>
        <w:t xml:space="preserve">TransGrid's </w:t>
      </w:r>
      <w:r w:rsidRPr="000D4D3C">
        <w:rPr>
          <w:rStyle w:val="AERbody"/>
        </w:rPr>
        <w:t>pricing methodology is to answer the question ‘who should pay how much'</w:t>
      </w:r>
      <w:r w:rsidRPr="000D4D3C">
        <w:rPr>
          <w:rStyle w:val="AERsuperscript"/>
        </w:rPr>
        <w:footnoteReference w:id="19"/>
      </w:r>
      <w:r w:rsidRPr="000D4D3C">
        <w:rPr>
          <w:rStyle w:val="AERbody"/>
        </w:rPr>
        <w:t xml:space="preserve"> in order for </w:t>
      </w:r>
      <w:r w:rsidR="000D4D3C">
        <w:rPr>
          <w:rStyle w:val="AERbody"/>
        </w:rPr>
        <w:t>TransGrid</w:t>
      </w:r>
      <w:r w:rsidRPr="000D4D3C">
        <w:rPr>
          <w:rStyle w:val="AERbody"/>
        </w:rPr>
        <w:t xml:space="preserve"> to recover its costs. </w:t>
      </w:r>
      <w:r w:rsidR="000D4D3C">
        <w:rPr>
          <w:rStyle w:val="AERbody"/>
        </w:rPr>
        <w:t>TransGrid's</w:t>
      </w:r>
      <w:r w:rsidRPr="000D4D3C">
        <w:rPr>
          <w:rStyle w:val="AERbody"/>
        </w:rPr>
        <w:t xml:space="preserve"> pricing methodology provides a 'formula, process or approach'</w:t>
      </w:r>
      <w:r w:rsidRPr="000D4D3C">
        <w:rPr>
          <w:rStyle w:val="AERsuperscript"/>
        </w:rPr>
        <w:footnoteReference w:id="20"/>
      </w:r>
      <w:r w:rsidRPr="000D4D3C">
        <w:rPr>
          <w:rStyle w:val="AERbody"/>
        </w:rPr>
        <w:t xml:space="preserve"> that when applied:</w:t>
      </w:r>
    </w:p>
    <w:p w:rsidR="00994B4D" w:rsidRPr="000D4D3C" w:rsidRDefault="00994B4D" w:rsidP="000D4D3C">
      <w:pPr>
        <w:pStyle w:val="AERbulletlistfirststyle"/>
        <w:rPr>
          <w:rStyle w:val="AERtexthighlight"/>
          <w:shd w:val="clear" w:color="auto" w:fill="auto"/>
        </w:rPr>
      </w:pPr>
      <w:r w:rsidRPr="000D4D3C">
        <w:rPr>
          <w:rStyle w:val="AERtexthighlight"/>
          <w:shd w:val="clear" w:color="auto" w:fill="auto"/>
        </w:rPr>
        <w:t>allocates the aggregate annual revenue requirement to the categories of prescribed transmission services that a transmission business provides and to the connection points of network users</w:t>
      </w:r>
      <w:r w:rsidRPr="000D4D3C">
        <w:rPr>
          <w:rStyle w:val="AERsuperscript"/>
        </w:rPr>
        <w:footnoteReference w:id="21"/>
      </w:r>
    </w:p>
    <w:p w:rsidR="00994B4D" w:rsidRPr="000D4D3C" w:rsidRDefault="00994B4D" w:rsidP="000D4D3C">
      <w:pPr>
        <w:pStyle w:val="AERbulletlistfirststyle"/>
        <w:rPr>
          <w:rStyle w:val="AERtexthighlight"/>
          <w:shd w:val="clear" w:color="auto" w:fill="auto"/>
        </w:rPr>
      </w:pPr>
      <w:r w:rsidRPr="000D4D3C">
        <w:rPr>
          <w:rStyle w:val="AERtexthighlight"/>
          <w:shd w:val="clear" w:color="auto" w:fill="auto"/>
        </w:rPr>
        <w:t>determines the structure of prices that a transmission business may charge for each category of prescribed transmission services.</w:t>
      </w:r>
      <w:r w:rsidRPr="000D4D3C">
        <w:rPr>
          <w:rStyle w:val="AERsuperscript"/>
        </w:rPr>
        <w:footnoteReference w:id="22"/>
      </w:r>
      <w:r w:rsidRPr="000D4D3C">
        <w:rPr>
          <w:rStyle w:val="AERsuperscript"/>
        </w:rPr>
        <w:t xml:space="preserve"> </w:t>
      </w:r>
    </w:p>
    <w:p w:rsidR="00994B4D" w:rsidRPr="000D4D3C" w:rsidRDefault="000D4D3C" w:rsidP="00994B4D">
      <w:pPr>
        <w:rPr>
          <w:rStyle w:val="AERbody"/>
        </w:rPr>
      </w:pPr>
      <w:r>
        <w:rPr>
          <w:rStyle w:val="AERbody"/>
        </w:rPr>
        <w:t>TransGrid's</w:t>
      </w:r>
      <w:r w:rsidR="00994B4D" w:rsidRPr="000D4D3C">
        <w:rPr>
          <w:rStyle w:val="AERbody"/>
        </w:rPr>
        <w:t xml:space="preserve"> pricing methodology relates to prescribed transmission services only.</w:t>
      </w:r>
    </w:p>
    <w:p w:rsidR="00994B4D" w:rsidRPr="00727C65" w:rsidRDefault="00994B4D" w:rsidP="003F2C13">
      <w:pPr>
        <w:rPr>
          <w:rStyle w:val="AERtexthighlight"/>
        </w:rPr>
      </w:pPr>
    </w:p>
    <w:p w:rsidR="00DA7F02" w:rsidRPr="00516BC3" w:rsidRDefault="00DA7F02" w:rsidP="00516BC3">
      <w:pPr>
        <w:pStyle w:val="Heading1"/>
        <w:rPr>
          <w:rStyle w:val="AERbody"/>
          <w:color w:val="70635A"/>
          <w:sz w:val="36"/>
        </w:rPr>
      </w:pPr>
      <w:bookmarkStart w:id="24" w:name="_Toc417923819"/>
      <w:r w:rsidRPr="00516BC3">
        <w:rPr>
          <w:rStyle w:val="AERbody"/>
          <w:color w:val="70635A"/>
          <w:sz w:val="36"/>
        </w:rPr>
        <w:lastRenderedPageBreak/>
        <w:t>Pass through events</w:t>
      </w:r>
      <w:bookmarkEnd w:id="24"/>
    </w:p>
    <w:p w:rsidR="00D84D0F" w:rsidRPr="00516BC3" w:rsidRDefault="00D84D0F" w:rsidP="00D84D0F">
      <w:pPr>
        <w:rPr>
          <w:rStyle w:val="AERbody"/>
        </w:rPr>
      </w:pPr>
      <w:r w:rsidRPr="00516BC3">
        <w:rPr>
          <w:rStyle w:val="AERbody"/>
        </w:rPr>
        <w:t>A pass through event is one which entails T</w:t>
      </w:r>
      <w:r w:rsidR="00516BC3" w:rsidRPr="00516BC3">
        <w:rPr>
          <w:rStyle w:val="AERbody"/>
        </w:rPr>
        <w:t>ransGrid</w:t>
      </w:r>
      <w:r w:rsidRPr="00516BC3">
        <w:rPr>
          <w:rStyle w:val="AERbody"/>
        </w:rPr>
        <w:t xml:space="preserve"> incurring materially lower or higher costs in providing prescribed transmission services than it would have incurred but for that event (a negative or positive change event, respectively).</w:t>
      </w:r>
      <w:r w:rsidR="00DB7688">
        <w:rPr>
          <w:rStyle w:val="FootnoteReference"/>
        </w:rPr>
        <w:footnoteReference w:id="23"/>
      </w:r>
      <w:r w:rsidRPr="00516BC3">
        <w:rPr>
          <w:rStyle w:val="AERbody"/>
        </w:rPr>
        <w:t xml:space="preserve"> Where a pass through event occurs </w:t>
      </w:r>
      <w:r w:rsidR="00516BC3" w:rsidRPr="00516BC3">
        <w:rPr>
          <w:rStyle w:val="AERbody"/>
        </w:rPr>
        <w:t>TransGrid</w:t>
      </w:r>
      <w:r w:rsidRPr="00516BC3">
        <w:rPr>
          <w:rStyle w:val="AERbody"/>
        </w:rPr>
        <w:t xml:space="preserve"> may seek our approval to, or we may require </w:t>
      </w:r>
      <w:r w:rsidR="00516BC3" w:rsidRPr="00516BC3">
        <w:rPr>
          <w:rStyle w:val="AERbody"/>
        </w:rPr>
        <w:t>TransGrid</w:t>
      </w:r>
      <w:r w:rsidRPr="00516BC3">
        <w:rPr>
          <w:rStyle w:val="AERbody"/>
        </w:rPr>
        <w:t xml:space="preserve"> to, pass those costs through to its users.</w:t>
      </w:r>
      <w:r w:rsidR="00DB7688">
        <w:rPr>
          <w:rStyle w:val="FootnoteReference"/>
        </w:rPr>
        <w:footnoteReference w:id="24"/>
      </w:r>
    </w:p>
    <w:p w:rsidR="00DA7F02" w:rsidRPr="00516BC3" w:rsidRDefault="00DA7F02" w:rsidP="00D84D0F">
      <w:pPr>
        <w:rPr>
          <w:rStyle w:val="AERbody"/>
        </w:rPr>
      </w:pPr>
      <w:r w:rsidRPr="00516BC3">
        <w:rPr>
          <w:rStyle w:val="AERbody"/>
        </w:rPr>
        <w:t>Under the NER any of the following is a pass through event for this transmission determination:</w:t>
      </w:r>
      <w:r w:rsidR="00DB7688">
        <w:rPr>
          <w:rStyle w:val="FootnoteReference"/>
        </w:rPr>
        <w:footnoteReference w:id="25"/>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regulatory change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service standard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tax change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n insurance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ny other event specified in this transmission determination as a pass through event for this determination.</w:t>
      </w:r>
    </w:p>
    <w:p w:rsidR="00D84D0F" w:rsidRPr="00516BC3" w:rsidRDefault="00D84D0F" w:rsidP="00C27DE3">
      <w:pPr>
        <w:rPr>
          <w:rStyle w:val="AERbody"/>
        </w:rPr>
      </w:pPr>
      <w:r w:rsidRPr="00516BC3">
        <w:rPr>
          <w:rStyle w:val="AERbody"/>
        </w:rPr>
        <w:t xml:space="preserve">The first four of these </w:t>
      </w:r>
      <w:r w:rsidR="00611AB3" w:rsidRPr="00516BC3">
        <w:rPr>
          <w:rStyle w:val="AERbody"/>
        </w:rPr>
        <w:t xml:space="preserve">pass through events </w:t>
      </w:r>
      <w:r w:rsidRPr="00516BC3">
        <w:rPr>
          <w:rStyle w:val="AERbody"/>
        </w:rPr>
        <w:t xml:space="preserve">are </w:t>
      </w:r>
      <w:r w:rsidR="00FC2136" w:rsidRPr="00516BC3">
        <w:rPr>
          <w:rStyle w:val="AERbody"/>
        </w:rPr>
        <w:t xml:space="preserve">prescribed by, and </w:t>
      </w:r>
      <w:r w:rsidRPr="00516BC3">
        <w:rPr>
          <w:rStyle w:val="AERbody"/>
        </w:rPr>
        <w:t>defined in</w:t>
      </w:r>
      <w:r w:rsidR="00FC2136" w:rsidRPr="00516BC3">
        <w:rPr>
          <w:rStyle w:val="AERbody"/>
        </w:rPr>
        <w:t>,</w:t>
      </w:r>
      <w:r w:rsidRPr="00516BC3">
        <w:rPr>
          <w:rStyle w:val="AERbody"/>
        </w:rPr>
        <w:t xml:space="preserve"> the NER.</w:t>
      </w:r>
      <w:r w:rsidR="00DB7688">
        <w:rPr>
          <w:rStyle w:val="FootnoteReference"/>
        </w:rPr>
        <w:footnoteReference w:id="26"/>
      </w:r>
    </w:p>
    <w:p w:rsidR="00012414" w:rsidRPr="00516BC3" w:rsidRDefault="00C27DE3" w:rsidP="00C27DE3">
      <w:pPr>
        <w:rPr>
          <w:rStyle w:val="AERbody"/>
        </w:rPr>
      </w:pPr>
      <w:r w:rsidRPr="00516BC3">
        <w:rPr>
          <w:rStyle w:val="AERbody"/>
        </w:rPr>
        <w:t xml:space="preserve">In addition, we have accepted </w:t>
      </w:r>
      <w:r w:rsidR="00871C80" w:rsidRPr="00516BC3">
        <w:rPr>
          <w:rStyle w:val="AERbody"/>
        </w:rPr>
        <w:t>the following pass through events</w:t>
      </w:r>
      <w:r w:rsidR="00D84D0F" w:rsidRPr="00516BC3">
        <w:rPr>
          <w:rStyle w:val="AERbody"/>
        </w:rPr>
        <w:t xml:space="preserve"> nominated by T</w:t>
      </w:r>
      <w:r w:rsidR="00516BC3" w:rsidRPr="00516BC3">
        <w:rPr>
          <w:rStyle w:val="AERbody"/>
        </w:rPr>
        <w:t>ransGrid.</w:t>
      </w:r>
    </w:p>
    <w:tbl>
      <w:tblPr>
        <w:tblStyle w:val="AERtable-text0"/>
        <w:tblW w:w="0" w:type="auto"/>
        <w:tblLook w:val="04A0" w:firstRow="1" w:lastRow="0" w:firstColumn="1" w:lastColumn="0" w:noHBand="0" w:noVBand="1"/>
      </w:tblPr>
      <w:tblGrid>
        <w:gridCol w:w="4346"/>
        <w:gridCol w:w="4347"/>
      </w:tblGrid>
      <w:tr w:rsidR="00B57BBD" w:rsidTr="00EF77A7">
        <w:trPr>
          <w:cnfStyle w:val="100000000000" w:firstRow="1" w:lastRow="0" w:firstColumn="0" w:lastColumn="0" w:oddVBand="0" w:evenVBand="0" w:oddHBand="0" w:evenHBand="0" w:firstRowFirstColumn="0" w:firstRowLastColumn="0" w:lastRowFirstColumn="0" w:lastRowLastColumn="0"/>
          <w:tblHeader/>
        </w:trPr>
        <w:tc>
          <w:tcPr>
            <w:tcW w:w="4346" w:type="dxa"/>
          </w:tcPr>
          <w:p w:rsidR="00B57BBD" w:rsidRPr="00B57BBD" w:rsidRDefault="00B57BBD" w:rsidP="00B57BBD">
            <w:r>
              <w:t>Pass through event</w:t>
            </w:r>
          </w:p>
        </w:tc>
        <w:tc>
          <w:tcPr>
            <w:tcW w:w="4347" w:type="dxa"/>
          </w:tcPr>
          <w:p w:rsidR="00B57BBD" w:rsidRPr="00B57BBD" w:rsidRDefault="00B57BBD" w:rsidP="00B57BBD">
            <w:r>
              <w:t>Definition</w:t>
            </w:r>
          </w:p>
        </w:tc>
      </w:tr>
      <w:tr w:rsidR="00B57BBD" w:rsidTr="001729A6">
        <w:tc>
          <w:tcPr>
            <w:tcW w:w="4346" w:type="dxa"/>
          </w:tcPr>
          <w:p w:rsidR="00B57BBD" w:rsidRPr="00B57BBD" w:rsidRDefault="00B57BBD" w:rsidP="00B57BBD">
            <w:r>
              <w:t>Terrorism event</w:t>
            </w:r>
          </w:p>
        </w:tc>
        <w:tc>
          <w:tcPr>
            <w:tcW w:w="4347" w:type="dxa"/>
          </w:tcPr>
          <w:p w:rsidR="00B57BBD" w:rsidRPr="00B57BBD" w:rsidRDefault="00B57BBD" w:rsidP="00B57BBD">
            <w:r>
              <w:t xml:space="preserve">A terrorism event occurs </w:t>
            </w:r>
            <w:r w:rsidRPr="00B57BBD">
              <w:t>if:</w:t>
            </w:r>
          </w:p>
          <w:p w:rsidR="00B57BBD" w:rsidRPr="00B57BBD" w:rsidRDefault="00B57BBD" w:rsidP="00B57BBD">
            <w: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TransGrid in providing prescribed transmission services. </w:t>
            </w:r>
          </w:p>
          <w:p w:rsidR="00B57BBD" w:rsidRPr="00B57BBD" w:rsidRDefault="00B57BBD" w:rsidP="00B57BBD">
            <w:r>
              <w:t>Note: In assessing a terrorism event pass through application, the AER will have regard to, amongst other things:</w:t>
            </w:r>
          </w:p>
          <w:p w:rsidR="00B57BBD" w:rsidRPr="00B57BBD" w:rsidRDefault="00B57BBD" w:rsidP="00B57BBD">
            <w:r>
              <w:t xml:space="preserve">i. </w:t>
            </w:r>
            <w:r w:rsidRPr="00B57BBD">
              <w:t>whether TransGrid has insurance against the event, including coverage from the Australian Reinsurance Pool,</w:t>
            </w:r>
          </w:p>
          <w:p w:rsidR="00B57BBD" w:rsidRPr="00B57BBD" w:rsidRDefault="00B57BBD" w:rsidP="00B57BBD">
            <w:r>
              <w:lastRenderedPageBreak/>
              <w:t xml:space="preserve">ii. </w:t>
            </w:r>
            <w:r w:rsidRPr="00B57BBD">
              <w:t>the level of insurance that an efficient and prudent NSP would obtain in respect of the event, and</w:t>
            </w:r>
          </w:p>
          <w:p w:rsidR="00B57BBD" w:rsidRPr="00B57BBD" w:rsidRDefault="00B57BBD" w:rsidP="00B57BBD">
            <w:r>
              <w:t xml:space="preserve">iii. </w:t>
            </w:r>
            <w:r w:rsidRPr="00B57BBD">
              <w:t xml:space="preserve">whether a declaration has been made by a relevant government authority that a terrorism event has occurred. </w:t>
            </w:r>
          </w:p>
        </w:tc>
      </w:tr>
      <w:tr w:rsidR="00B57BBD" w:rsidTr="001729A6">
        <w:trPr>
          <w:cnfStyle w:val="000000010000" w:firstRow="0" w:lastRow="0" w:firstColumn="0" w:lastColumn="0" w:oddVBand="0" w:evenVBand="0" w:oddHBand="0" w:evenHBand="1" w:firstRowFirstColumn="0" w:firstRowLastColumn="0" w:lastRowFirstColumn="0" w:lastRowLastColumn="0"/>
        </w:trPr>
        <w:tc>
          <w:tcPr>
            <w:tcW w:w="4346" w:type="dxa"/>
          </w:tcPr>
          <w:p w:rsidR="00B57BBD" w:rsidRDefault="00B57BBD" w:rsidP="00B57BBD"/>
        </w:tc>
        <w:tc>
          <w:tcPr>
            <w:tcW w:w="4347" w:type="dxa"/>
          </w:tcPr>
          <w:p w:rsidR="00B57BBD" w:rsidRDefault="00B57BBD" w:rsidP="00B57BBD"/>
        </w:tc>
      </w:tr>
      <w:tr w:rsidR="00B57BBD" w:rsidTr="001729A6">
        <w:tc>
          <w:tcPr>
            <w:tcW w:w="4346" w:type="dxa"/>
          </w:tcPr>
          <w:p w:rsidR="00B57BBD" w:rsidRPr="00B57BBD" w:rsidRDefault="00B57BBD" w:rsidP="00B57BBD">
            <w:r>
              <w:t>Insurance cap event</w:t>
            </w:r>
          </w:p>
        </w:tc>
        <w:tc>
          <w:tcPr>
            <w:tcW w:w="4347" w:type="dxa"/>
          </w:tcPr>
          <w:p w:rsidR="00B57BBD" w:rsidRPr="00B57BBD" w:rsidRDefault="00B57BBD" w:rsidP="00B57BBD">
            <w:r>
              <w:t>An insurance cap event occurs if:</w:t>
            </w:r>
          </w:p>
          <w:p w:rsidR="00B57BBD" w:rsidRPr="00B57BBD" w:rsidRDefault="00B57BBD" w:rsidP="00B57BBD">
            <w:r>
              <w:t>1. TransGrid makes a claim or claims and receives the benefit of a payment or payments under a relevant insurance policy;</w:t>
            </w:r>
          </w:p>
          <w:p w:rsidR="00B57BBD" w:rsidRPr="00B57BBD" w:rsidRDefault="00B57BBD" w:rsidP="00B57BBD">
            <w:r>
              <w:t>2. TransGrid incurs costs beyond the relevant policy limit: and</w:t>
            </w:r>
          </w:p>
          <w:p w:rsidR="00B57BBD" w:rsidRPr="00B57BBD" w:rsidRDefault="00B57BBD" w:rsidP="00B57BBD">
            <w:r>
              <w:t>3. the costs beyond the relevant policy limit materially increase the costs to TransGrid in providing prescribed transmission services.</w:t>
            </w:r>
          </w:p>
          <w:p w:rsidR="00B57BBD" w:rsidRPr="00B57BBD" w:rsidRDefault="00B57BBD" w:rsidP="00B57BBD">
            <w:r>
              <w:t>For this insurance cap event:</w:t>
            </w:r>
          </w:p>
          <w:p w:rsidR="00B57BBD" w:rsidRPr="00B57BBD" w:rsidRDefault="00B57BBD" w:rsidP="00B57BBD">
            <w:r>
              <w:t>4. the relevant policy limit is the greater of:</w:t>
            </w:r>
          </w:p>
          <w:p w:rsidR="00B57BBD" w:rsidRPr="00B57BBD" w:rsidRDefault="00B57BBD" w:rsidP="00B57BBD">
            <w:r>
              <w:t>a. TransGrid's actual policy</w:t>
            </w:r>
            <w:r w:rsidRPr="00B57BBD">
              <w:t xml:space="preserve"> limit at the time of the event that gives, or would have given rise to a claim; and</w:t>
            </w:r>
          </w:p>
          <w:p w:rsidR="00B57BBD" w:rsidRPr="00B57BBD" w:rsidRDefault="00B57BBD" w:rsidP="00B57BBD">
            <w:r>
              <w:t>b. subject to paragraph c, the policy limit that is explicitly or implicitly commensurate with the allowance for insurance premiums that is included in the forecast operating expenditure allowance approved in the AER's final decision for the regulatory control period</w:t>
            </w:r>
          </w:p>
          <w:p w:rsidR="00B57BBD" w:rsidRPr="00B57BBD" w:rsidRDefault="00B57BBD" w:rsidP="00B57BBD">
            <w:r>
              <w:t xml:space="preserve">c. </w:t>
            </w:r>
            <w:r w:rsidRPr="00B57BBD">
              <w:t xml:space="preserve">the policy limit in paragraph b will not be taken as the greater policy limit if that policy limit at the time of the event that gives rise to a claim, was not available to TransGrid for reasons beyond its control. </w:t>
            </w:r>
          </w:p>
          <w:p w:rsidR="00B57BBD" w:rsidRPr="00B57BBD" w:rsidRDefault="00B57BBD" w:rsidP="00B57BBD">
            <w:r>
              <w:t xml:space="preserve">5. a relevant insurance policy is an </w:t>
            </w:r>
            <w:r w:rsidRPr="00B57BBD">
              <w:t xml:space="preserve">insurance policy held during the 2015–18 regulatory control period or a previous regulatory control period in which TransGrid was regulated. </w:t>
            </w:r>
          </w:p>
          <w:p w:rsidR="00B57BBD" w:rsidRPr="00B57BBD" w:rsidRDefault="00B57BBD" w:rsidP="00B57BBD">
            <w:r>
              <w:t>Note for avoidance of doubt, in assessing an insurance cap event cost pass through application under Rule 6A7.3, the AER will have regard to</w:t>
            </w:r>
            <w:r w:rsidRPr="00B57BBD">
              <w:t>, amongst other things:</w:t>
            </w:r>
          </w:p>
          <w:p w:rsidR="00B57BBD" w:rsidRPr="00B57BBD" w:rsidRDefault="00B57BBD" w:rsidP="00B57BBD">
            <w:r>
              <w:t>i. the insurance policy for the event;</w:t>
            </w:r>
            <w:r w:rsidRPr="00B57BBD">
              <w:t xml:space="preserve"> and</w:t>
            </w:r>
          </w:p>
          <w:p w:rsidR="00B57BBD" w:rsidRPr="00B57BBD" w:rsidRDefault="00B57BBD" w:rsidP="00B57BBD">
            <w:r>
              <w:t>ii. the level of insurance that an efficient</w:t>
            </w:r>
            <w:r w:rsidRPr="00B57BBD">
              <w:t xml:space="preserve"> and prudent TNSP would obtain in respect of the event.</w:t>
            </w:r>
          </w:p>
          <w:p w:rsidR="00B57BBD" w:rsidRDefault="00B57BBD" w:rsidP="00B57BBD"/>
        </w:tc>
      </w:tr>
      <w:tr w:rsidR="00B57BBD" w:rsidTr="001729A6">
        <w:trPr>
          <w:cnfStyle w:val="000000010000" w:firstRow="0" w:lastRow="0" w:firstColumn="0" w:lastColumn="0" w:oddVBand="0" w:evenVBand="0" w:oddHBand="0" w:evenHBand="1" w:firstRowFirstColumn="0" w:firstRowLastColumn="0" w:lastRowFirstColumn="0" w:lastRowLastColumn="0"/>
        </w:trPr>
        <w:tc>
          <w:tcPr>
            <w:tcW w:w="4346" w:type="dxa"/>
          </w:tcPr>
          <w:p w:rsidR="00B57BBD" w:rsidRPr="00B57BBD" w:rsidRDefault="00B57BBD" w:rsidP="00B57BBD">
            <w:r>
              <w:t>Insurer</w:t>
            </w:r>
            <w:r w:rsidRPr="00B57BBD">
              <w:t>'s credit risk event</w:t>
            </w:r>
          </w:p>
        </w:tc>
        <w:tc>
          <w:tcPr>
            <w:tcW w:w="4347" w:type="dxa"/>
          </w:tcPr>
          <w:p w:rsidR="00B57BBD" w:rsidRPr="00B57BBD" w:rsidRDefault="00B57BBD" w:rsidP="00B57BBD">
            <w:r w:rsidRPr="003703F7">
              <w:t>An insurer’s credit risk event occurs if:</w:t>
            </w:r>
          </w:p>
          <w:p w:rsidR="00B57BBD" w:rsidRPr="00B57BBD" w:rsidRDefault="00B57BBD" w:rsidP="00B57BBD">
            <w:r w:rsidRPr="003703F7">
              <w:t xml:space="preserve">A nominated insurer of </w:t>
            </w:r>
            <w:r w:rsidRPr="00B57BBD">
              <w:t>TransGrid becomes insolvent, and as a result, in respect of an existing, or potential, claim for a risk that was insured by the insolvent insurer, TransGrid:</w:t>
            </w:r>
          </w:p>
          <w:p w:rsidR="00B57BBD" w:rsidRPr="00B57BBD" w:rsidRDefault="00B57BBD" w:rsidP="00B57BBD">
            <w:r>
              <w:t xml:space="preserve">1. </w:t>
            </w:r>
            <w:r w:rsidRPr="00B57BBD">
              <w:t>is subject to a materially higher or lower claim limit or a materially higher or lower deductible than would have otherwise applied under the insolvent insurer’s policy; or</w:t>
            </w:r>
          </w:p>
          <w:p w:rsidR="00B57BBD" w:rsidRPr="00B57BBD" w:rsidRDefault="00B57BBD" w:rsidP="00B57BBD">
            <w:r>
              <w:t xml:space="preserve">2. </w:t>
            </w:r>
            <w:r w:rsidRPr="00B57BBD">
              <w:t>incurs additional costs associated with self-funding an insurance claim, which would otherwise have been covered by the insolvent insurer.</w:t>
            </w:r>
          </w:p>
          <w:p w:rsidR="00B57BBD" w:rsidRPr="00B57BBD" w:rsidRDefault="00B57BBD" w:rsidP="00B57BBD">
            <w:r w:rsidRPr="003703F7">
              <w:t xml:space="preserve">Note: In assessing an insurer's credit risk event pass through application, the AER will have regard to, amongst </w:t>
            </w:r>
            <w:r w:rsidRPr="003703F7">
              <w:lastRenderedPageBreak/>
              <w:t>other things:</w:t>
            </w:r>
          </w:p>
          <w:p w:rsidR="00B57BBD" w:rsidRPr="00B57BBD" w:rsidRDefault="00B57BBD" w:rsidP="00B57BBD">
            <w:r w:rsidRPr="00211476">
              <w:t xml:space="preserve">i. </w:t>
            </w:r>
            <w:r w:rsidRPr="00B57BBD">
              <w:t>TransGrid’s attempts to mitigate and prevent the event from occurring by reviewing and considering the insurer’s track record, size, credit rating and reputation, and</w:t>
            </w:r>
          </w:p>
          <w:p w:rsidR="00B57BBD" w:rsidRPr="00B57BBD" w:rsidRDefault="00B57BBD" w:rsidP="00B57BBD">
            <w:r w:rsidRPr="00211476">
              <w:t xml:space="preserve">ii. </w:t>
            </w:r>
            <w:r w:rsidRPr="00B57BBD">
              <w:t>in the event that a claim would have been made after the insurance provider became insolvent, whether TransGrid had reasonable opportunity to insure the risk with a different provider.</w:t>
            </w:r>
          </w:p>
          <w:p w:rsidR="00B57BBD" w:rsidRDefault="00B57BBD" w:rsidP="00B57BBD"/>
        </w:tc>
      </w:tr>
    </w:tbl>
    <w:p w:rsidR="00C27DE3" w:rsidRPr="00B57BBD" w:rsidRDefault="00C27DE3" w:rsidP="00B57BBD"/>
    <w:p w:rsidR="00C27DE3" w:rsidRPr="00727C65" w:rsidRDefault="00C27DE3" w:rsidP="00FF07FB">
      <w:pPr>
        <w:pStyle w:val="AERnumberedlistthirdstyle"/>
        <w:numPr>
          <w:ilvl w:val="0"/>
          <w:numId w:val="0"/>
        </w:numPr>
        <w:ind w:left="720"/>
        <w:rPr>
          <w:rStyle w:val="AERtexthighlight"/>
        </w:rPr>
      </w:pPr>
    </w:p>
    <w:sectPr w:rsidR="00C27DE3" w:rsidRPr="00727C65" w:rsidSect="005D7BA2">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81" w:rsidRPr="00290C63" w:rsidRDefault="003A1281" w:rsidP="00290C63">
      <w:r>
        <w:separator/>
      </w:r>
    </w:p>
    <w:p w:rsidR="003A1281" w:rsidRDefault="003A1281"/>
  </w:endnote>
  <w:endnote w:type="continuationSeparator" w:id="0">
    <w:p w:rsidR="003A1281" w:rsidRPr="00290C63" w:rsidRDefault="003A1281" w:rsidP="00290C63">
      <w:r>
        <w:continuationSeparator/>
      </w:r>
    </w:p>
    <w:p w:rsidR="003A1281" w:rsidRDefault="003A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81" w:rsidRPr="006B522E" w:rsidRDefault="003A1281" w:rsidP="006B5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81" w:rsidRPr="006B522E" w:rsidRDefault="003A1281" w:rsidP="006B5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81" w:rsidRPr="006B522E" w:rsidRDefault="003A1281" w:rsidP="006B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81" w:rsidRPr="00290C63" w:rsidRDefault="003A1281" w:rsidP="00290C63">
      <w:r>
        <w:separator/>
      </w:r>
    </w:p>
    <w:p w:rsidR="003A1281" w:rsidRDefault="003A1281"/>
  </w:footnote>
  <w:footnote w:type="continuationSeparator" w:id="0">
    <w:p w:rsidR="003A1281" w:rsidRPr="00290C63" w:rsidRDefault="003A1281" w:rsidP="00290C63">
      <w:r>
        <w:continuationSeparator/>
      </w:r>
    </w:p>
    <w:p w:rsidR="003A1281" w:rsidRDefault="003A1281"/>
  </w:footnote>
  <w:footnote w:id="1">
    <w:p w:rsidR="003A1281" w:rsidRDefault="003A1281">
      <w:pPr>
        <w:pStyle w:val="FootnoteText"/>
      </w:pPr>
      <w:r>
        <w:rPr>
          <w:rStyle w:val="FootnoteReference"/>
        </w:rPr>
        <w:footnoteRef/>
      </w:r>
      <w:r>
        <w:t xml:space="preserve"> </w:t>
      </w:r>
      <w:r>
        <w:tab/>
        <w:t>NER, clause 6A.2.1.</w:t>
      </w:r>
    </w:p>
  </w:footnote>
  <w:footnote w:id="2">
    <w:p w:rsidR="003A1281" w:rsidRDefault="003A1281">
      <w:pPr>
        <w:pStyle w:val="FootnoteText"/>
      </w:pPr>
      <w:r>
        <w:rPr>
          <w:rStyle w:val="FootnoteReference"/>
        </w:rPr>
        <w:footnoteRef/>
      </w:r>
      <w:r>
        <w:t xml:space="preserve"> </w:t>
      </w:r>
      <w:r>
        <w:tab/>
        <w:t>NER, clause 6A.2.2; 6A.7.3(a1).</w:t>
      </w:r>
    </w:p>
  </w:footnote>
  <w:footnote w:id="3">
    <w:p w:rsidR="003A1281" w:rsidRDefault="003A1281">
      <w:pPr>
        <w:pStyle w:val="FootnoteText"/>
      </w:pPr>
      <w:r>
        <w:rPr>
          <w:rStyle w:val="FootnoteReference"/>
        </w:rPr>
        <w:footnoteRef/>
      </w:r>
      <w:r>
        <w:t xml:space="preserve"> </w:t>
      </w:r>
      <w:r>
        <w:tab/>
        <w:t>NER, clause 6A.5.4.</w:t>
      </w:r>
    </w:p>
  </w:footnote>
  <w:footnote w:id="4">
    <w:p w:rsidR="003A1281" w:rsidRDefault="003A1281" w:rsidP="00593134">
      <w:pPr>
        <w:pStyle w:val="FootnoteText"/>
      </w:pPr>
      <w:r>
        <w:rPr>
          <w:rStyle w:val="FootnoteReference"/>
        </w:rPr>
        <w:footnoteRef/>
      </w:r>
      <w:r>
        <w:t xml:space="preserve"> </w:t>
      </w:r>
      <w:r>
        <w:tab/>
        <w:t>NER, clause 6A.4.2</w:t>
      </w:r>
    </w:p>
  </w:footnote>
  <w:footnote w:id="5">
    <w:p w:rsidR="003A1281" w:rsidRDefault="003A1281">
      <w:pPr>
        <w:pStyle w:val="FootnoteText"/>
      </w:pPr>
      <w:r>
        <w:rPr>
          <w:rStyle w:val="FootnoteReference"/>
        </w:rPr>
        <w:footnoteRef/>
      </w:r>
      <w:r>
        <w:t xml:space="preserve"> </w:t>
      </w:r>
      <w:r>
        <w:tab/>
        <w:t>NER, clause 6A.5.3.</w:t>
      </w:r>
    </w:p>
  </w:footnote>
  <w:footnote w:id="6">
    <w:p w:rsidR="003A1281" w:rsidRDefault="003A1281">
      <w:pPr>
        <w:pStyle w:val="FootnoteText"/>
      </w:pPr>
      <w:r>
        <w:rPr>
          <w:rStyle w:val="FootnoteReference"/>
        </w:rPr>
        <w:footnoteRef/>
      </w:r>
      <w:r>
        <w:t xml:space="preserve"> </w:t>
      </w:r>
      <w:r>
        <w:tab/>
        <w:t>In the transmission determination for TransGrid's 2009–14 regulatory control period, the CPI required for the annual MAR adjustment process reflects the March quarter CPI, which is typically published by the ABS in late April each year. For this transmission determination we require TransGrid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TransGrid in 2018,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2014–15 for the TNSP). This is because the CPI for March quarter 2014 will be reflected in both 2013–14 and 2014–15. However, we consider this is only a transitional issue and does not have a material impact on the revenue to be recovered by the TNSP</w:t>
      </w:r>
      <w:r>
        <w:t>.</w:t>
      </w:r>
    </w:p>
  </w:footnote>
  <w:footnote w:id="7">
    <w:p w:rsidR="003A1281" w:rsidRDefault="003A1281">
      <w:pPr>
        <w:pStyle w:val="FootnoteText"/>
      </w:pPr>
      <w:r>
        <w:rPr>
          <w:rStyle w:val="FootnoteReference"/>
        </w:rPr>
        <w:footnoteRef/>
      </w:r>
      <w:r>
        <w:t xml:space="preserve"> </w:t>
      </w:r>
      <w:r>
        <w:tab/>
        <w:t>NER, clauses 6A.7.4.</w:t>
      </w:r>
    </w:p>
  </w:footnote>
  <w:footnote w:id="8">
    <w:p w:rsidR="003A1281" w:rsidRDefault="003A1281">
      <w:pPr>
        <w:pStyle w:val="FootnoteText"/>
      </w:pPr>
      <w:r>
        <w:rPr>
          <w:rStyle w:val="FootnoteReference"/>
        </w:rPr>
        <w:footnoteRef/>
      </w:r>
      <w:r>
        <w:t xml:space="preserve"> </w:t>
      </w:r>
      <w:r>
        <w:tab/>
        <w:t>NER, clauses 6A.7.2 and 6A.7.3.</w:t>
      </w:r>
    </w:p>
  </w:footnote>
  <w:footnote w:id="9">
    <w:p w:rsidR="003A1281" w:rsidRDefault="003A1281">
      <w:pPr>
        <w:pStyle w:val="FootnoteText"/>
      </w:pPr>
      <w:r>
        <w:rPr>
          <w:rStyle w:val="FootnoteReference"/>
        </w:rPr>
        <w:footnoteRef/>
      </w:r>
      <w:r>
        <w:t xml:space="preserve"> </w:t>
      </w:r>
      <w:r>
        <w:tab/>
        <w:t>NER, clauses 6A.23.3(c)(2)(iii) and 6A.24.4(c).</w:t>
      </w:r>
    </w:p>
  </w:footnote>
  <w:footnote w:id="10">
    <w:p w:rsidR="003A1281" w:rsidRDefault="003A1281">
      <w:pPr>
        <w:pStyle w:val="FootnoteText"/>
      </w:pPr>
      <w:r>
        <w:rPr>
          <w:rStyle w:val="FootnoteReference"/>
        </w:rPr>
        <w:footnoteRef/>
      </w:r>
      <w:r>
        <w:t xml:space="preserve"> </w:t>
      </w:r>
      <w:r>
        <w:tab/>
        <w:t xml:space="preserve">ABS, </w:t>
      </w:r>
      <w:r w:rsidRPr="00462B12">
        <w:rPr>
          <w:rStyle w:val="AERtextitalic"/>
        </w:rPr>
        <w:t>Catalogue number 6401.0, Consumer price index</w:t>
      </w:r>
      <w:r>
        <w:t>, Australia.</w:t>
      </w:r>
    </w:p>
  </w:footnote>
  <w:footnote w:id="11">
    <w:p w:rsidR="003A1281" w:rsidRDefault="003A1281" w:rsidP="00A12E7B">
      <w:pPr>
        <w:pStyle w:val="FootnoteText"/>
      </w:pPr>
      <w:r>
        <w:rPr>
          <w:rStyle w:val="FootnoteReference"/>
        </w:rPr>
        <w:footnoteRef/>
      </w:r>
      <w:r>
        <w:t xml:space="preserve"> </w:t>
      </w:r>
      <w:r>
        <w:tab/>
        <w:t xml:space="preserve">AER, </w:t>
      </w:r>
      <w:r w:rsidRPr="00C96306">
        <w:rPr>
          <w:i/>
        </w:rPr>
        <w:t>Final – Service target performance incentive scheme</w:t>
      </w:r>
      <w:r>
        <w:t xml:space="preserve">, September 2014. </w:t>
      </w:r>
    </w:p>
  </w:footnote>
  <w:footnote w:id="12">
    <w:p w:rsidR="003A1281" w:rsidRDefault="003A1281" w:rsidP="00473870">
      <w:pPr>
        <w:pStyle w:val="FootnoteText"/>
      </w:pPr>
      <w:r>
        <w:rPr>
          <w:rStyle w:val="FootnoteReference"/>
        </w:rPr>
        <w:footnoteRef/>
      </w:r>
      <w:r>
        <w:t xml:space="preserve"> </w:t>
      </w:r>
      <w:r>
        <w:tab/>
        <w:t>TransGrid noted t</w:t>
      </w:r>
      <w:r w:rsidRPr="0011166F">
        <w:t>he proper operation of equipment parameter was introduced as a</w:t>
      </w:r>
      <w:r>
        <w:t xml:space="preserve"> </w:t>
      </w:r>
      <w:r w:rsidRPr="0011166F">
        <w:t>reporting-only parameter.</w:t>
      </w:r>
      <w:r>
        <w:t xml:space="preserve"> As a result, it did not propose values for these sub-parameters, but it will </w:t>
      </w:r>
      <w:r w:rsidRPr="0011166F">
        <w:t>commence reporting against</w:t>
      </w:r>
      <w:r>
        <w:t xml:space="preserve"> these sub-</w:t>
      </w:r>
      <w:r w:rsidRPr="0011166F">
        <w:t>parameter from July 2015.</w:t>
      </w:r>
      <w:r>
        <w:t xml:space="preserve"> As we are not applying any weighting on these sub-parameters, we accept the approach proposed by TransGrid. </w:t>
      </w:r>
    </w:p>
  </w:footnote>
  <w:footnote w:id="13">
    <w:p w:rsidR="003A1281" w:rsidRDefault="003A1281" w:rsidP="00CC1073">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14">
    <w:p w:rsidR="003A1281" w:rsidRDefault="003A1281" w:rsidP="00CC1073">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15">
    <w:p w:rsidR="003A1281" w:rsidRDefault="003A1281" w:rsidP="00C90219">
      <w:pPr>
        <w:pStyle w:val="FootnoteText"/>
      </w:pPr>
      <w:r>
        <w:rPr>
          <w:rStyle w:val="FootnoteReference"/>
        </w:rPr>
        <w:footnoteRef/>
      </w:r>
      <w:r>
        <w:t xml:space="preserve"> </w:t>
      </w:r>
      <w:r>
        <w:tab/>
        <w:t xml:space="preserve">NER, clause 6A.9.2(a); 6A.9.3. </w:t>
      </w:r>
      <w:r w:rsidR="00B57BBD">
        <w:t>TransGrid</w:t>
      </w:r>
      <w:r>
        <w:t xml:space="preserve"> must also comply with chapters 4, 5 and 6A of the NER.</w:t>
      </w:r>
    </w:p>
  </w:footnote>
  <w:footnote w:id="16">
    <w:p w:rsidR="003A1281" w:rsidRDefault="003A1281">
      <w:pPr>
        <w:pStyle w:val="FootnoteText"/>
      </w:pPr>
      <w:r>
        <w:rPr>
          <w:rStyle w:val="FootnoteReference"/>
        </w:rPr>
        <w:footnoteRef/>
      </w:r>
      <w:r>
        <w:t xml:space="preserve"> </w:t>
      </w:r>
      <w:r>
        <w:tab/>
        <w:t>NER, clause 6A.9.5(a).</w:t>
      </w:r>
    </w:p>
  </w:footnote>
  <w:footnote w:id="17">
    <w:p w:rsidR="003A1281" w:rsidRDefault="003A1281" w:rsidP="00C90219">
      <w:pPr>
        <w:pStyle w:val="FootnoteText"/>
      </w:pPr>
      <w:r>
        <w:rPr>
          <w:rStyle w:val="FootnoteReference"/>
        </w:rPr>
        <w:footnoteRef/>
      </w:r>
      <w:r>
        <w:t xml:space="preserve"> </w:t>
      </w:r>
      <w:r>
        <w:tab/>
        <w:t xml:space="preserve">NER, clause 6A.9.2(a); 6A.9.3. </w:t>
      </w:r>
      <w:r w:rsidR="00B57BBD">
        <w:t>TransGrid</w:t>
      </w:r>
      <w:r>
        <w:t xml:space="preserve"> must also comply with chapters 4, 5 and 6A of the NER.</w:t>
      </w:r>
    </w:p>
  </w:footnote>
  <w:footnote w:id="18">
    <w:p w:rsidR="003A1281" w:rsidRDefault="003A1281" w:rsidP="00C90219">
      <w:pPr>
        <w:pStyle w:val="FootnoteText"/>
      </w:pPr>
      <w:r>
        <w:rPr>
          <w:rStyle w:val="FootnoteReference"/>
        </w:rPr>
        <w:footnoteRef/>
      </w:r>
      <w:r>
        <w:t xml:space="preserve"> </w:t>
      </w:r>
      <w:r>
        <w:tab/>
        <w:t>NER, clause 6A.9.4</w:t>
      </w:r>
    </w:p>
  </w:footnote>
  <w:footnote w:id="19">
    <w:p w:rsidR="003A1281" w:rsidRDefault="003A1281" w:rsidP="00994B4D">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20">
    <w:p w:rsidR="003A1281" w:rsidRDefault="003A1281" w:rsidP="00994B4D">
      <w:pPr>
        <w:pStyle w:val="FootnoteText"/>
      </w:pPr>
      <w:r>
        <w:rPr>
          <w:rStyle w:val="FootnoteReference"/>
        </w:rPr>
        <w:footnoteRef/>
      </w:r>
      <w:r>
        <w:t xml:space="preserve"> </w:t>
      </w:r>
      <w:r>
        <w:tab/>
        <w:t>NER, 6A.24.1(b).</w:t>
      </w:r>
    </w:p>
  </w:footnote>
  <w:footnote w:id="21">
    <w:p w:rsidR="003A1281" w:rsidRDefault="003A1281" w:rsidP="00994B4D">
      <w:pPr>
        <w:pStyle w:val="FootnoteText"/>
      </w:pPr>
      <w:r>
        <w:rPr>
          <w:rStyle w:val="FootnoteReference"/>
        </w:rPr>
        <w:footnoteRef/>
      </w:r>
      <w:r>
        <w:t xml:space="preserve"> </w:t>
      </w:r>
      <w:r>
        <w:tab/>
        <w:t>NER, clause 6A.24.1(b)(1).</w:t>
      </w:r>
    </w:p>
  </w:footnote>
  <w:footnote w:id="22">
    <w:p w:rsidR="003A1281" w:rsidRDefault="003A1281" w:rsidP="00994B4D">
      <w:pPr>
        <w:pStyle w:val="FootnoteText"/>
      </w:pPr>
      <w:r>
        <w:rPr>
          <w:rStyle w:val="FootnoteReference"/>
        </w:rPr>
        <w:footnoteRef/>
      </w:r>
      <w:r>
        <w:t xml:space="preserve"> </w:t>
      </w:r>
      <w:r>
        <w:tab/>
        <w:t>NER, clause 6A.24.1(b)(2).</w:t>
      </w:r>
    </w:p>
  </w:footnote>
  <w:footnote w:id="23">
    <w:p w:rsidR="003A1281" w:rsidRDefault="003A1281">
      <w:pPr>
        <w:pStyle w:val="FootnoteText"/>
      </w:pPr>
      <w:r>
        <w:rPr>
          <w:rStyle w:val="FootnoteReference"/>
        </w:rPr>
        <w:footnoteRef/>
      </w:r>
      <w:r>
        <w:t xml:space="preserve"> </w:t>
      </w:r>
      <w:r>
        <w:tab/>
        <w:t>NER, Chapter 10 Glossary</w:t>
      </w:r>
    </w:p>
  </w:footnote>
  <w:footnote w:id="24">
    <w:p w:rsidR="003A1281" w:rsidRDefault="003A1281" w:rsidP="00DB7688">
      <w:pPr>
        <w:pStyle w:val="FootnoteText"/>
      </w:pPr>
      <w:r>
        <w:rPr>
          <w:rStyle w:val="FootnoteReference"/>
        </w:rPr>
        <w:footnoteRef/>
      </w:r>
      <w:r>
        <w:t xml:space="preserve"> </w:t>
      </w:r>
      <w:r>
        <w:tab/>
        <w:t>NER, clause 6A.7.3(a), (b);</w:t>
      </w:r>
    </w:p>
  </w:footnote>
  <w:footnote w:id="25">
    <w:p w:rsidR="003A1281" w:rsidRDefault="003A1281">
      <w:pPr>
        <w:pStyle w:val="FootnoteText"/>
      </w:pPr>
      <w:r>
        <w:rPr>
          <w:rStyle w:val="FootnoteReference"/>
        </w:rPr>
        <w:footnoteRef/>
      </w:r>
      <w:r>
        <w:t xml:space="preserve"> </w:t>
      </w:r>
      <w:r>
        <w:tab/>
        <w:t>NER, clause 6A.7.3(1a).</w:t>
      </w:r>
    </w:p>
  </w:footnote>
  <w:footnote w:id="26">
    <w:p w:rsidR="003A1281" w:rsidRDefault="003A1281">
      <w:pPr>
        <w:pStyle w:val="FootnoteText"/>
      </w:pPr>
      <w:r>
        <w:rPr>
          <w:rStyle w:val="FootnoteReference"/>
        </w:rPr>
        <w:footnoteRef/>
      </w:r>
      <w:r>
        <w:t xml:space="preserve"> </w:t>
      </w:r>
      <w:r>
        <w:tab/>
        <w:t>NER, Chapter 10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2E" w:rsidRDefault="006B5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2E" w:rsidRDefault="006B5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2E" w:rsidRDefault="006B5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0E8A39DA"/>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EE1064D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1"/>
  </w:num>
  <w:num w:numId="15">
    <w:abstractNumId w:val="14"/>
  </w:num>
  <w:num w:numId="16">
    <w:abstractNumId w:val="26"/>
  </w:num>
  <w:num w:numId="17">
    <w:abstractNumId w:val="10"/>
  </w:num>
  <w:num w:numId="18">
    <w:abstractNumId w:val="18"/>
  </w:num>
  <w:num w:numId="19">
    <w:abstractNumId w:val="27"/>
  </w:num>
  <w:num w:numId="20">
    <w:abstractNumId w:val="33"/>
  </w:num>
  <w:num w:numId="21">
    <w:abstractNumId w:val="15"/>
  </w:num>
  <w:num w:numId="22">
    <w:abstractNumId w:val="30"/>
  </w:num>
  <w:num w:numId="23">
    <w:abstractNumId w:val="28"/>
  </w:num>
  <w:num w:numId="24">
    <w:abstractNumId w:val="20"/>
  </w:num>
  <w:num w:numId="25">
    <w:abstractNumId w:val="29"/>
  </w:num>
  <w:num w:numId="26">
    <w:abstractNumId w:val="31"/>
  </w:num>
  <w:num w:numId="27">
    <w:abstractNumId w:val="21"/>
  </w:num>
  <w:num w:numId="28">
    <w:abstractNumId w:val="19"/>
  </w:num>
  <w:num w:numId="29">
    <w:abstractNumId w:val="17"/>
  </w:num>
  <w:num w:numId="30">
    <w:abstractNumId w:val="34"/>
  </w:num>
  <w:num w:numId="31">
    <w:abstractNumId w:val="16"/>
  </w:num>
  <w:num w:numId="32">
    <w:abstractNumId w:val="24"/>
  </w:num>
  <w:num w:numId="33">
    <w:abstractNumId w:val="9"/>
  </w:num>
  <w:num w:numId="34">
    <w:abstractNumId w:val="23"/>
  </w:num>
  <w:num w:numId="35">
    <w:abstractNumId w:val="35"/>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25"/>
  </w:num>
  <w:num w:numId="41">
    <w:abstractNumId w:val="8"/>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num>
  <w:num w:numId="45">
    <w:abstractNumId w:val="33"/>
    <w:lvlOverride w:ilvl="0">
      <w:startOverride w:val="1"/>
    </w:lvlOverride>
  </w:num>
  <w:num w:numId="46">
    <w:abstractNumId w:val="8"/>
    <w:lvlOverride w:ilvl="0">
      <w:startOverride w:val="1"/>
    </w:lvlOverride>
  </w:num>
  <w:num w:numId="47">
    <w:abstractNumId w:val="18"/>
  </w:num>
  <w:num w:numId="48">
    <w:abstractNumId w:val="18"/>
    <w:lvlOverride w:ilvl="0">
      <w:startOverride w:val="1"/>
    </w:lvlOverride>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Transmission determination - Public\AER - Final Decision TransGrid transmission determination 2015-18 - April 2015.docx"/>
  </w:docVars>
  <w:rsids>
    <w:rsidRoot w:val="00961A4A"/>
    <w:rsid w:val="00001987"/>
    <w:rsid w:val="00012414"/>
    <w:rsid w:val="00021202"/>
    <w:rsid w:val="0002517F"/>
    <w:rsid w:val="000264A9"/>
    <w:rsid w:val="0003578C"/>
    <w:rsid w:val="00040072"/>
    <w:rsid w:val="000629DF"/>
    <w:rsid w:val="00063247"/>
    <w:rsid w:val="00070F9F"/>
    <w:rsid w:val="0007137B"/>
    <w:rsid w:val="00085663"/>
    <w:rsid w:val="00085EBF"/>
    <w:rsid w:val="000A3020"/>
    <w:rsid w:val="000A6C7B"/>
    <w:rsid w:val="000D07F6"/>
    <w:rsid w:val="000D122C"/>
    <w:rsid w:val="000D4D3C"/>
    <w:rsid w:val="000E1819"/>
    <w:rsid w:val="000E4821"/>
    <w:rsid w:val="000E6C72"/>
    <w:rsid w:val="000F1441"/>
    <w:rsid w:val="000F5311"/>
    <w:rsid w:val="00116EB2"/>
    <w:rsid w:val="00124609"/>
    <w:rsid w:val="00126A4C"/>
    <w:rsid w:val="0014573B"/>
    <w:rsid w:val="001573E4"/>
    <w:rsid w:val="00160756"/>
    <w:rsid w:val="0017232E"/>
    <w:rsid w:val="001729A6"/>
    <w:rsid w:val="00174102"/>
    <w:rsid w:val="00180157"/>
    <w:rsid w:val="00185CB9"/>
    <w:rsid w:val="00186F77"/>
    <w:rsid w:val="00191EFF"/>
    <w:rsid w:val="001926A4"/>
    <w:rsid w:val="00192AD5"/>
    <w:rsid w:val="001952EA"/>
    <w:rsid w:val="001B45A0"/>
    <w:rsid w:val="001B6238"/>
    <w:rsid w:val="001D055E"/>
    <w:rsid w:val="001F492E"/>
    <w:rsid w:val="001F65E6"/>
    <w:rsid w:val="001F6DA3"/>
    <w:rsid w:val="002010BC"/>
    <w:rsid w:val="00202E03"/>
    <w:rsid w:val="00204838"/>
    <w:rsid w:val="0020492C"/>
    <w:rsid w:val="00224DB9"/>
    <w:rsid w:val="00233775"/>
    <w:rsid w:val="00251745"/>
    <w:rsid w:val="00263AC0"/>
    <w:rsid w:val="00264264"/>
    <w:rsid w:val="0026772D"/>
    <w:rsid w:val="00286874"/>
    <w:rsid w:val="00290C63"/>
    <w:rsid w:val="00296B65"/>
    <w:rsid w:val="002A7DEF"/>
    <w:rsid w:val="002B52C7"/>
    <w:rsid w:val="002B7AEC"/>
    <w:rsid w:val="002F7986"/>
    <w:rsid w:val="00301B40"/>
    <w:rsid w:val="003029EE"/>
    <w:rsid w:val="00305CC8"/>
    <w:rsid w:val="00307F6D"/>
    <w:rsid w:val="003177A2"/>
    <w:rsid w:val="003271B5"/>
    <w:rsid w:val="00327A1E"/>
    <w:rsid w:val="00331264"/>
    <w:rsid w:val="00334C8D"/>
    <w:rsid w:val="00343A18"/>
    <w:rsid w:val="003518B3"/>
    <w:rsid w:val="003846F1"/>
    <w:rsid w:val="003A1281"/>
    <w:rsid w:val="003B3F4F"/>
    <w:rsid w:val="003B484F"/>
    <w:rsid w:val="003C49DB"/>
    <w:rsid w:val="003F174D"/>
    <w:rsid w:val="003F2C13"/>
    <w:rsid w:val="00405D8E"/>
    <w:rsid w:val="00406EDA"/>
    <w:rsid w:val="004512C8"/>
    <w:rsid w:val="0045777E"/>
    <w:rsid w:val="00473870"/>
    <w:rsid w:val="00480B4B"/>
    <w:rsid w:val="00485DC4"/>
    <w:rsid w:val="004A43D1"/>
    <w:rsid w:val="004B4412"/>
    <w:rsid w:val="004C0BF5"/>
    <w:rsid w:val="004C348C"/>
    <w:rsid w:val="004D55BA"/>
    <w:rsid w:val="004E22EC"/>
    <w:rsid w:val="00513DE2"/>
    <w:rsid w:val="00516BC3"/>
    <w:rsid w:val="00530128"/>
    <w:rsid w:val="00532467"/>
    <w:rsid w:val="0054765F"/>
    <w:rsid w:val="00564A4D"/>
    <w:rsid w:val="00567BA5"/>
    <w:rsid w:val="00571B35"/>
    <w:rsid w:val="00571D57"/>
    <w:rsid w:val="00574A1C"/>
    <w:rsid w:val="00577A09"/>
    <w:rsid w:val="005829C2"/>
    <w:rsid w:val="00584D8F"/>
    <w:rsid w:val="00593134"/>
    <w:rsid w:val="0059566C"/>
    <w:rsid w:val="005A35E4"/>
    <w:rsid w:val="005A404D"/>
    <w:rsid w:val="005B1E3C"/>
    <w:rsid w:val="005B253C"/>
    <w:rsid w:val="005C0A61"/>
    <w:rsid w:val="005C26CC"/>
    <w:rsid w:val="005D7BA2"/>
    <w:rsid w:val="005E36C2"/>
    <w:rsid w:val="00611AB3"/>
    <w:rsid w:val="00615C6B"/>
    <w:rsid w:val="00621DCE"/>
    <w:rsid w:val="00627249"/>
    <w:rsid w:val="00632D6D"/>
    <w:rsid w:val="0064137E"/>
    <w:rsid w:val="00642C3E"/>
    <w:rsid w:val="0066104A"/>
    <w:rsid w:val="00663DAD"/>
    <w:rsid w:val="00666D1D"/>
    <w:rsid w:val="00670500"/>
    <w:rsid w:val="00676679"/>
    <w:rsid w:val="00683C89"/>
    <w:rsid w:val="00693D32"/>
    <w:rsid w:val="006A745C"/>
    <w:rsid w:val="006B2395"/>
    <w:rsid w:val="006B4CF9"/>
    <w:rsid w:val="006B522E"/>
    <w:rsid w:val="006B7AC8"/>
    <w:rsid w:val="006D550F"/>
    <w:rsid w:val="006F41CD"/>
    <w:rsid w:val="00701CAB"/>
    <w:rsid w:val="00704B0D"/>
    <w:rsid w:val="00707563"/>
    <w:rsid w:val="00715910"/>
    <w:rsid w:val="0072348C"/>
    <w:rsid w:val="007245C6"/>
    <w:rsid w:val="00724A37"/>
    <w:rsid w:val="00727C65"/>
    <w:rsid w:val="007303C3"/>
    <w:rsid w:val="007332B8"/>
    <w:rsid w:val="00740D85"/>
    <w:rsid w:val="00743223"/>
    <w:rsid w:val="00746E01"/>
    <w:rsid w:val="00756A28"/>
    <w:rsid w:val="00757BDF"/>
    <w:rsid w:val="00763E5D"/>
    <w:rsid w:val="00767740"/>
    <w:rsid w:val="00777EE6"/>
    <w:rsid w:val="00782EEA"/>
    <w:rsid w:val="00784F24"/>
    <w:rsid w:val="00795829"/>
    <w:rsid w:val="00796453"/>
    <w:rsid w:val="007B2C72"/>
    <w:rsid w:val="007C1C53"/>
    <w:rsid w:val="007C74BB"/>
    <w:rsid w:val="007C785C"/>
    <w:rsid w:val="007E4904"/>
    <w:rsid w:val="007E4CB5"/>
    <w:rsid w:val="007F066B"/>
    <w:rsid w:val="008033C4"/>
    <w:rsid w:val="00806C88"/>
    <w:rsid w:val="0081034E"/>
    <w:rsid w:val="008344F6"/>
    <w:rsid w:val="0083510F"/>
    <w:rsid w:val="00851209"/>
    <w:rsid w:val="00860EC3"/>
    <w:rsid w:val="00871C80"/>
    <w:rsid w:val="00876A5B"/>
    <w:rsid w:val="00882A61"/>
    <w:rsid w:val="008837AC"/>
    <w:rsid w:val="0089315E"/>
    <w:rsid w:val="008A587D"/>
    <w:rsid w:val="008B35CD"/>
    <w:rsid w:val="008B57C6"/>
    <w:rsid w:val="008B5FCC"/>
    <w:rsid w:val="008C416C"/>
    <w:rsid w:val="008C5486"/>
    <w:rsid w:val="008D0F3C"/>
    <w:rsid w:val="008D1661"/>
    <w:rsid w:val="008E3FC5"/>
    <w:rsid w:val="008E7031"/>
    <w:rsid w:val="008E77DE"/>
    <w:rsid w:val="00900E1B"/>
    <w:rsid w:val="009057AE"/>
    <w:rsid w:val="009233EE"/>
    <w:rsid w:val="009460AA"/>
    <w:rsid w:val="00951978"/>
    <w:rsid w:val="00953741"/>
    <w:rsid w:val="00961A4A"/>
    <w:rsid w:val="00963826"/>
    <w:rsid w:val="009661DE"/>
    <w:rsid w:val="00983C25"/>
    <w:rsid w:val="009856B7"/>
    <w:rsid w:val="00985C86"/>
    <w:rsid w:val="00994B4D"/>
    <w:rsid w:val="009A5FC3"/>
    <w:rsid w:val="009B74B0"/>
    <w:rsid w:val="009D6B46"/>
    <w:rsid w:val="009F4940"/>
    <w:rsid w:val="009F5BA1"/>
    <w:rsid w:val="00A02A88"/>
    <w:rsid w:val="00A0562E"/>
    <w:rsid w:val="00A0726D"/>
    <w:rsid w:val="00A12E7B"/>
    <w:rsid w:val="00A22616"/>
    <w:rsid w:val="00A32FBB"/>
    <w:rsid w:val="00A428EE"/>
    <w:rsid w:val="00A4478A"/>
    <w:rsid w:val="00A44852"/>
    <w:rsid w:val="00A53993"/>
    <w:rsid w:val="00A57D04"/>
    <w:rsid w:val="00A60A26"/>
    <w:rsid w:val="00A61598"/>
    <w:rsid w:val="00A734F6"/>
    <w:rsid w:val="00A73B67"/>
    <w:rsid w:val="00A84A99"/>
    <w:rsid w:val="00A84F46"/>
    <w:rsid w:val="00A871F4"/>
    <w:rsid w:val="00AB2662"/>
    <w:rsid w:val="00AC1B2C"/>
    <w:rsid w:val="00AC3264"/>
    <w:rsid w:val="00AD188D"/>
    <w:rsid w:val="00AE1BF1"/>
    <w:rsid w:val="00AF0DD2"/>
    <w:rsid w:val="00B13048"/>
    <w:rsid w:val="00B1716D"/>
    <w:rsid w:val="00B17A1D"/>
    <w:rsid w:val="00B207A0"/>
    <w:rsid w:val="00B37118"/>
    <w:rsid w:val="00B43E67"/>
    <w:rsid w:val="00B45D78"/>
    <w:rsid w:val="00B514DD"/>
    <w:rsid w:val="00B52AF0"/>
    <w:rsid w:val="00B561BD"/>
    <w:rsid w:val="00B56E03"/>
    <w:rsid w:val="00B57BBD"/>
    <w:rsid w:val="00B618F1"/>
    <w:rsid w:val="00B8080B"/>
    <w:rsid w:val="00B87BA5"/>
    <w:rsid w:val="00B87C39"/>
    <w:rsid w:val="00B952C9"/>
    <w:rsid w:val="00BA4665"/>
    <w:rsid w:val="00BB2FB2"/>
    <w:rsid w:val="00BB3304"/>
    <w:rsid w:val="00BC45E0"/>
    <w:rsid w:val="00BD0A68"/>
    <w:rsid w:val="00BD3446"/>
    <w:rsid w:val="00BE1F1B"/>
    <w:rsid w:val="00BE47B5"/>
    <w:rsid w:val="00C0196C"/>
    <w:rsid w:val="00C17A8D"/>
    <w:rsid w:val="00C25FA6"/>
    <w:rsid w:val="00C27DE3"/>
    <w:rsid w:val="00C32DC9"/>
    <w:rsid w:val="00C47D60"/>
    <w:rsid w:val="00C538A9"/>
    <w:rsid w:val="00C53B5A"/>
    <w:rsid w:val="00C54F5A"/>
    <w:rsid w:val="00C569B4"/>
    <w:rsid w:val="00C66625"/>
    <w:rsid w:val="00C67A92"/>
    <w:rsid w:val="00C86679"/>
    <w:rsid w:val="00C90219"/>
    <w:rsid w:val="00CA0D35"/>
    <w:rsid w:val="00CA489E"/>
    <w:rsid w:val="00CB0279"/>
    <w:rsid w:val="00CB4EB0"/>
    <w:rsid w:val="00CB666B"/>
    <w:rsid w:val="00CC1073"/>
    <w:rsid w:val="00CC7F1D"/>
    <w:rsid w:val="00D01CF0"/>
    <w:rsid w:val="00D0442A"/>
    <w:rsid w:val="00D24BED"/>
    <w:rsid w:val="00D43378"/>
    <w:rsid w:val="00D61388"/>
    <w:rsid w:val="00D61A54"/>
    <w:rsid w:val="00D64DEA"/>
    <w:rsid w:val="00D7168E"/>
    <w:rsid w:val="00D71E57"/>
    <w:rsid w:val="00D80893"/>
    <w:rsid w:val="00D84854"/>
    <w:rsid w:val="00D84AB3"/>
    <w:rsid w:val="00D84D0F"/>
    <w:rsid w:val="00D92CF1"/>
    <w:rsid w:val="00D92D38"/>
    <w:rsid w:val="00D950F5"/>
    <w:rsid w:val="00DA7F02"/>
    <w:rsid w:val="00DB0F93"/>
    <w:rsid w:val="00DB1A67"/>
    <w:rsid w:val="00DB5074"/>
    <w:rsid w:val="00DB7688"/>
    <w:rsid w:val="00DC7981"/>
    <w:rsid w:val="00DE1093"/>
    <w:rsid w:val="00DE4EFA"/>
    <w:rsid w:val="00DE5520"/>
    <w:rsid w:val="00DE6891"/>
    <w:rsid w:val="00DF07D1"/>
    <w:rsid w:val="00E04818"/>
    <w:rsid w:val="00E06442"/>
    <w:rsid w:val="00E23993"/>
    <w:rsid w:val="00E25B8C"/>
    <w:rsid w:val="00E47E17"/>
    <w:rsid w:val="00E63F65"/>
    <w:rsid w:val="00E65C85"/>
    <w:rsid w:val="00E66199"/>
    <w:rsid w:val="00E755EC"/>
    <w:rsid w:val="00E7624D"/>
    <w:rsid w:val="00EA3D42"/>
    <w:rsid w:val="00EA4863"/>
    <w:rsid w:val="00EA6B1B"/>
    <w:rsid w:val="00EA7409"/>
    <w:rsid w:val="00ED7323"/>
    <w:rsid w:val="00EE28F3"/>
    <w:rsid w:val="00EF5110"/>
    <w:rsid w:val="00EF77A7"/>
    <w:rsid w:val="00F07DF4"/>
    <w:rsid w:val="00F10411"/>
    <w:rsid w:val="00F15882"/>
    <w:rsid w:val="00F171E0"/>
    <w:rsid w:val="00F20BD3"/>
    <w:rsid w:val="00F373A5"/>
    <w:rsid w:val="00F47559"/>
    <w:rsid w:val="00F57F8D"/>
    <w:rsid w:val="00F64C7B"/>
    <w:rsid w:val="00F676DD"/>
    <w:rsid w:val="00F75A26"/>
    <w:rsid w:val="00F76706"/>
    <w:rsid w:val="00F83FAD"/>
    <w:rsid w:val="00F85644"/>
    <w:rsid w:val="00F952A0"/>
    <w:rsid w:val="00FA3C7F"/>
    <w:rsid w:val="00FA63CF"/>
    <w:rsid w:val="00FB74E2"/>
    <w:rsid w:val="00FC0A64"/>
    <w:rsid w:val="00FC2136"/>
    <w:rsid w:val="00FD5614"/>
    <w:rsid w:val="00FE0BE1"/>
    <w:rsid w:val="00FE1DE9"/>
    <w:rsid w:val="00FE36AF"/>
    <w:rsid w:val="00FE39C2"/>
    <w:rsid w:val="00FE3C32"/>
    <w:rsid w:val="00FE64AE"/>
    <w:rsid w:val="00FF07FB"/>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C44EE4D1</Template>
  <TotalTime>0</TotalTime>
  <Pages>28</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2015-04-28T01:28:00Z</dcterms:created>
  <dcterms:modified xsi:type="dcterms:W3CDTF">2015-04-28T01:28:00Z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