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D4" w:rsidRDefault="00A178D4" w:rsidP="00290C63">
      <w:r w:rsidRPr="00290C63">
        <w:rPr>
          <w:noProof/>
          <w:lang w:eastAsia="en-AU"/>
        </w:rPr>
        <w:drawing>
          <wp:anchor distT="0" distB="0" distL="114300" distR="114300" simplePos="0" relativeHeight="251659264" behindDoc="1" locked="0" layoutInCell="1" allowOverlap="1" wp14:anchorId="5BA57477" wp14:editId="7571EB7E">
            <wp:simplePos x="0" y="0"/>
            <wp:positionH relativeFrom="column">
              <wp:posOffset>-1104900</wp:posOffset>
            </wp:positionH>
            <wp:positionV relativeFrom="paragraph">
              <wp:posOffset>-930275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w:t>
          </w:r>
          <w:bookmarkStart w:id="0" w:name="_GoBack"/>
          <w:bookmarkEnd w:id="0"/>
          <w:r w:rsidR="005C21A4">
            <w:t>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7C1243">
            <w:t>2</w:t>
          </w:r>
          <w:r w:rsidR="00DA4752">
            <w:t xml:space="preserve"> </w:t>
          </w:r>
          <w:r w:rsidR="00415F31">
            <w:rPr>
              <w:rFonts w:cs="Arial"/>
            </w:rPr>
            <w:t>–</w:t>
          </w:r>
          <w:r w:rsidR="00DA4752">
            <w:t xml:space="preserve"> </w:t>
          </w:r>
          <w:r w:rsidR="007C1243">
            <w:t>Regulatory asset base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3851788"/>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 xml:space="preserve">s </w:t>
      </w:r>
      <w:r w:rsidR="00A84F77">
        <w:t>regulatory</w:t>
      </w:r>
      <w:r w:rsidR="00415F31">
        <w:t xml:space="preserv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E021C0" w:rsidRPr="00E021C0" w:rsidRDefault="00F9019D" w:rsidP="00E021C0">
      <w:r>
        <w:t>Attachment 19</w:t>
      </w:r>
      <w:r w:rsidR="00E021C0" w:rsidRPr="00E021C0">
        <w:t xml:space="preserve"> - Analysis of financial viability</w:t>
      </w:r>
    </w:p>
    <w:p w:rsidR="00E021C0" w:rsidRPr="008F07A3" w:rsidRDefault="00E021C0" w:rsidP="00613756">
      <w:pPr>
        <w:sectPr w:rsidR="00E021C0"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3851789"/>
      <w:r>
        <w:lastRenderedPageBreak/>
        <w:t>Contents</w:t>
      </w:r>
      <w:bookmarkEnd w:id="6"/>
      <w:bookmarkEnd w:id="7"/>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07E5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3851788" w:history="1">
            <w:r w:rsidR="00D07E5A" w:rsidRPr="006E537C">
              <w:rPr>
                <w:rStyle w:val="Hyperlink"/>
              </w:rPr>
              <w:t>Note</w:t>
            </w:r>
            <w:r w:rsidR="00D07E5A">
              <w:rPr>
                <w:webHidden/>
              </w:rPr>
              <w:tab/>
            </w:r>
            <w:r w:rsidR="00D07E5A">
              <w:rPr>
                <w:webHidden/>
              </w:rPr>
              <w:fldChar w:fldCharType="begin"/>
            </w:r>
            <w:r w:rsidR="00D07E5A">
              <w:rPr>
                <w:webHidden/>
              </w:rPr>
              <w:instrText xml:space="preserve"> PAGEREF _Toc413851788 \h </w:instrText>
            </w:r>
            <w:r w:rsidR="00D07E5A">
              <w:rPr>
                <w:webHidden/>
              </w:rPr>
            </w:r>
            <w:r w:rsidR="00D07E5A">
              <w:rPr>
                <w:webHidden/>
              </w:rPr>
              <w:fldChar w:fldCharType="separate"/>
            </w:r>
            <w:r w:rsidR="004B2F5F">
              <w:rPr>
                <w:webHidden/>
              </w:rPr>
              <w:t>2-2</w:t>
            </w:r>
            <w:r w:rsidR="00D07E5A">
              <w:rPr>
                <w:webHidden/>
              </w:rPr>
              <w:fldChar w:fldCharType="end"/>
            </w:r>
          </w:hyperlink>
        </w:p>
        <w:p w:rsidR="00D07E5A" w:rsidRDefault="007D1D89">
          <w:pPr>
            <w:pStyle w:val="TOC1"/>
            <w:rPr>
              <w:rFonts w:asciiTheme="minorHAnsi" w:eastAsiaTheme="minorEastAsia" w:hAnsiTheme="minorHAnsi"/>
              <w:b w:val="0"/>
              <w:color w:val="auto"/>
              <w:sz w:val="22"/>
              <w:lang w:val="en-AU" w:eastAsia="en-AU"/>
            </w:rPr>
          </w:pPr>
          <w:hyperlink w:anchor="_Toc413851789" w:history="1">
            <w:r w:rsidR="00D07E5A" w:rsidRPr="006E537C">
              <w:rPr>
                <w:rStyle w:val="Hyperlink"/>
              </w:rPr>
              <w:t>Contents</w:t>
            </w:r>
            <w:r w:rsidR="00D07E5A">
              <w:rPr>
                <w:webHidden/>
              </w:rPr>
              <w:tab/>
            </w:r>
            <w:r w:rsidR="00D07E5A">
              <w:rPr>
                <w:webHidden/>
              </w:rPr>
              <w:fldChar w:fldCharType="begin"/>
            </w:r>
            <w:r w:rsidR="00D07E5A">
              <w:rPr>
                <w:webHidden/>
              </w:rPr>
              <w:instrText xml:space="preserve"> PAGEREF _Toc413851789 \h </w:instrText>
            </w:r>
            <w:r w:rsidR="00D07E5A">
              <w:rPr>
                <w:webHidden/>
              </w:rPr>
            </w:r>
            <w:r w:rsidR="00D07E5A">
              <w:rPr>
                <w:webHidden/>
              </w:rPr>
              <w:fldChar w:fldCharType="separate"/>
            </w:r>
            <w:r w:rsidR="004B2F5F">
              <w:rPr>
                <w:webHidden/>
              </w:rPr>
              <w:t>2-3</w:t>
            </w:r>
            <w:r w:rsidR="00D07E5A">
              <w:rPr>
                <w:webHidden/>
              </w:rPr>
              <w:fldChar w:fldCharType="end"/>
            </w:r>
          </w:hyperlink>
        </w:p>
        <w:p w:rsidR="00D07E5A" w:rsidRDefault="007D1D89">
          <w:pPr>
            <w:pStyle w:val="TOC1"/>
            <w:rPr>
              <w:rFonts w:asciiTheme="minorHAnsi" w:eastAsiaTheme="minorEastAsia" w:hAnsiTheme="minorHAnsi"/>
              <w:b w:val="0"/>
              <w:color w:val="auto"/>
              <w:sz w:val="22"/>
              <w:lang w:val="en-AU" w:eastAsia="en-AU"/>
            </w:rPr>
          </w:pPr>
          <w:hyperlink w:anchor="_Toc413851790" w:history="1">
            <w:r w:rsidR="00D07E5A" w:rsidRPr="006E537C">
              <w:rPr>
                <w:rStyle w:val="Hyperlink"/>
              </w:rPr>
              <w:t>Shortened forms</w:t>
            </w:r>
            <w:r w:rsidR="00D07E5A">
              <w:rPr>
                <w:webHidden/>
              </w:rPr>
              <w:tab/>
            </w:r>
            <w:r w:rsidR="00D07E5A">
              <w:rPr>
                <w:webHidden/>
              </w:rPr>
              <w:fldChar w:fldCharType="begin"/>
            </w:r>
            <w:r w:rsidR="00D07E5A">
              <w:rPr>
                <w:webHidden/>
              </w:rPr>
              <w:instrText xml:space="preserve"> PAGEREF _Toc413851790 \h </w:instrText>
            </w:r>
            <w:r w:rsidR="00D07E5A">
              <w:rPr>
                <w:webHidden/>
              </w:rPr>
            </w:r>
            <w:r w:rsidR="00D07E5A">
              <w:rPr>
                <w:webHidden/>
              </w:rPr>
              <w:fldChar w:fldCharType="separate"/>
            </w:r>
            <w:r w:rsidR="004B2F5F">
              <w:rPr>
                <w:webHidden/>
              </w:rPr>
              <w:t>2-4</w:t>
            </w:r>
            <w:r w:rsidR="00D07E5A">
              <w:rPr>
                <w:webHidden/>
              </w:rPr>
              <w:fldChar w:fldCharType="end"/>
            </w:r>
          </w:hyperlink>
        </w:p>
        <w:p w:rsidR="00D07E5A" w:rsidRDefault="007D1D89">
          <w:pPr>
            <w:pStyle w:val="TOC1"/>
            <w:rPr>
              <w:rFonts w:asciiTheme="minorHAnsi" w:eastAsiaTheme="minorEastAsia" w:hAnsiTheme="minorHAnsi"/>
              <w:b w:val="0"/>
              <w:color w:val="auto"/>
              <w:sz w:val="22"/>
              <w:lang w:val="en-AU" w:eastAsia="en-AU"/>
            </w:rPr>
          </w:pPr>
          <w:hyperlink w:anchor="_Toc413851791" w:history="1">
            <w:r w:rsidR="00D07E5A" w:rsidRPr="006E537C">
              <w:rPr>
                <w:rStyle w:val="Hyperlink"/>
              </w:rPr>
              <w:t>2</w:t>
            </w:r>
            <w:r w:rsidR="00D07E5A">
              <w:rPr>
                <w:rFonts w:asciiTheme="minorHAnsi" w:eastAsiaTheme="minorEastAsia" w:hAnsiTheme="minorHAnsi"/>
                <w:b w:val="0"/>
                <w:color w:val="auto"/>
                <w:sz w:val="22"/>
                <w:lang w:val="en-AU" w:eastAsia="en-AU"/>
              </w:rPr>
              <w:tab/>
            </w:r>
            <w:r w:rsidR="00D07E5A" w:rsidRPr="006E537C">
              <w:rPr>
                <w:rStyle w:val="Hyperlink"/>
              </w:rPr>
              <w:t>Regulatory asset base</w:t>
            </w:r>
            <w:r w:rsidR="00D07E5A">
              <w:rPr>
                <w:webHidden/>
              </w:rPr>
              <w:tab/>
            </w:r>
            <w:r w:rsidR="00D07E5A">
              <w:rPr>
                <w:webHidden/>
              </w:rPr>
              <w:fldChar w:fldCharType="begin"/>
            </w:r>
            <w:r w:rsidR="00D07E5A">
              <w:rPr>
                <w:webHidden/>
              </w:rPr>
              <w:instrText xml:space="preserve"> PAGEREF _Toc413851791 \h </w:instrText>
            </w:r>
            <w:r w:rsidR="00D07E5A">
              <w:rPr>
                <w:webHidden/>
              </w:rPr>
            </w:r>
            <w:r w:rsidR="00D07E5A">
              <w:rPr>
                <w:webHidden/>
              </w:rPr>
              <w:fldChar w:fldCharType="separate"/>
            </w:r>
            <w:r w:rsidR="004B2F5F">
              <w:rPr>
                <w:webHidden/>
              </w:rPr>
              <w:t>2-6</w:t>
            </w:r>
            <w:r w:rsidR="00D07E5A">
              <w:rPr>
                <w:webHidden/>
              </w:rPr>
              <w:fldChar w:fldCharType="end"/>
            </w:r>
          </w:hyperlink>
        </w:p>
        <w:p w:rsidR="00D07E5A" w:rsidRDefault="007D1D89">
          <w:pPr>
            <w:pStyle w:val="TOC2"/>
            <w:rPr>
              <w:rFonts w:asciiTheme="minorHAnsi" w:eastAsiaTheme="minorEastAsia" w:hAnsiTheme="minorHAnsi"/>
              <w:b w:val="0"/>
              <w:color w:val="auto"/>
              <w:sz w:val="22"/>
              <w:lang w:eastAsia="en-AU"/>
            </w:rPr>
          </w:pPr>
          <w:hyperlink w:anchor="_Toc413851792" w:history="1">
            <w:r w:rsidR="00D07E5A" w:rsidRPr="006E537C">
              <w:rPr>
                <w:rStyle w:val="Hyperlink"/>
              </w:rPr>
              <w:t>2.1</w:t>
            </w:r>
            <w:r w:rsidR="00D07E5A">
              <w:rPr>
                <w:rFonts w:asciiTheme="minorHAnsi" w:eastAsiaTheme="minorEastAsia" w:hAnsiTheme="minorHAnsi"/>
                <w:b w:val="0"/>
                <w:color w:val="auto"/>
                <w:sz w:val="22"/>
                <w:lang w:eastAsia="en-AU"/>
              </w:rPr>
              <w:tab/>
            </w:r>
            <w:r w:rsidR="00D07E5A" w:rsidRPr="006E537C">
              <w:rPr>
                <w:rStyle w:val="Hyperlink"/>
              </w:rPr>
              <w:t>Final decision</w:t>
            </w:r>
            <w:r w:rsidR="00D07E5A">
              <w:rPr>
                <w:webHidden/>
              </w:rPr>
              <w:tab/>
            </w:r>
            <w:r w:rsidR="00D07E5A">
              <w:rPr>
                <w:webHidden/>
              </w:rPr>
              <w:fldChar w:fldCharType="begin"/>
            </w:r>
            <w:r w:rsidR="00D07E5A">
              <w:rPr>
                <w:webHidden/>
              </w:rPr>
              <w:instrText xml:space="preserve"> PAGEREF _Toc413851792 \h </w:instrText>
            </w:r>
            <w:r w:rsidR="00D07E5A">
              <w:rPr>
                <w:webHidden/>
              </w:rPr>
            </w:r>
            <w:r w:rsidR="00D07E5A">
              <w:rPr>
                <w:webHidden/>
              </w:rPr>
              <w:fldChar w:fldCharType="separate"/>
            </w:r>
            <w:r w:rsidR="004B2F5F">
              <w:rPr>
                <w:webHidden/>
              </w:rPr>
              <w:t>2-6</w:t>
            </w:r>
            <w:r w:rsidR="00D07E5A">
              <w:rPr>
                <w:webHidden/>
              </w:rPr>
              <w:fldChar w:fldCharType="end"/>
            </w:r>
          </w:hyperlink>
        </w:p>
        <w:p w:rsidR="00D07E5A" w:rsidRDefault="007D1D89">
          <w:pPr>
            <w:pStyle w:val="TOC2"/>
            <w:rPr>
              <w:rFonts w:asciiTheme="minorHAnsi" w:eastAsiaTheme="minorEastAsia" w:hAnsiTheme="minorHAnsi"/>
              <w:b w:val="0"/>
              <w:color w:val="auto"/>
              <w:sz w:val="22"/>
              <w:lang w:eastAsia="en-AU"/>
            </w:rPr>
          </w:pPr>
          <w:hyperlink w:anchor="_Toc413851793" w:history="1">
            <w:r w:rsidR="00D07E5A" w:rsidRPr="006E537C">
              <w:rPr>
                <w:rStyle w:val="Hyperlink"/>
              </w:rPr>
              <w:t>2.2</w:t>
            </w:r>
            <w:r w:rsidR="00D07E5A">
              <w:rPr>
                <w:rFonts w:asciiTheme="minorHAnsi" w:eastAsiaTheme="minorEastAsia" w:hAnsiTheme="minorHAnsi"/>
                <w:b w:val="0"/>
                <w:color w:val="auto"/>
                <w:sz w:val="22"/>
                <w:lang w:eastAsia="en-AU"/>
              </w:rPr>
              <w:tab/>
            </w:r>
            <w:r w:rsidR="00D07E5A" w:rsidRPr="006E537C">
              <w:rPr>
                <w:rStyle w:val="Hyperlink"/>
              </w:rPr>
              <w:t>Endeavour Energy’s revised proposal</w:t>
            </w:r>
            <w:r w:rsidR="00D07E5A">
              <w:rPr>
                <w:webHidden/>
              </w:rPr>
              <w:tab/>
            </w:r>
            <w:r w:rsidR="00D07E5A">
              <w:rPr>
                <w:webHidden/>
              </w:rPr>
              <w:fldChar w:fldCharType="begin"/>
            </w:r>
            <w:r w:rsidR="00D07E5A">
              <w:rPr>
                <w:webHidden/>
              </w:rPr>
              <w:instrText xml:space="preserve"> PAGEREF _Toc413851793 \h </w:instrText>
            </w:r>
            <w:r w:rsidR="00D07E5A">
              <w:rPr>
                <w:webHidden/>
              </w:rPr>
            </w:r>
            <w:r w:rsidR="00D07E5A">
              <w:rPr>
                <w:webHidden/>
              </w:rPr>
              <w:fldChar w:fldCharType="separate"/>
            </w:r>
            <w:r w:rsidR="004B2F5F">
              <w:rPr>
                <w:webHidden/>
              </w:rPr>
              <w:t>2-7</w:t>
            </w:r>
            <w:r w:rsidR="00D07E5A">
              <w:rPr>
                <w:webHidden/>
              </w:rPr>
              <w:fldChar w:fldCharType="end"/>
            </w:r>
          </w:hyperlink>
        </w:p>
        <w:p w:rsidR="00D07E5A" w:rsidRDefault="007D1D89">
          <w:pPr>
            <w:pStyle w:val="TOC2"/>
            <w:rPr>
              <w:rFonts w:asciiTheme="minorHAnsi" w:eastAsiaTheme="minorEastAsia" w:hAnsiTheme="minorHAnsi"/>
              <w:b w:val="0"/>
              <w:color w:val="auto"/>
              <w:sz w:val="22"/>
              <w:lang w:eastAsia="en-AU"/>
            </w:rPr>
          </w:pPr>
          <w:hyperlink w:anchor="_Toc413851794" w:history="1">
            <w:r w:rsidR="00D07E5A" w:rsidRPr="006E537C">
              <w:rPr>
                <w:rStyle w:val="Hyperlink"/>
              </w:rPr>
              <w:t>2.3</w:t>
            </w:r>
            <w:r w:rsidR="00D07E5A">
              <w:rPr>
                <w:rFonts w:asciiTheme="minorHAnsi" w:eastAsiaTheme="minorEastAsia" w:hAnsiTheme="minorHAnsi"/>
                <w:b w:val="0"/>
                <w:color w:val="auto"/>
                <w:sz w:val="22"/>
                <w:lang w:eastAsia="en-AU"/>
              </w:rPr>
              <w:tab/>
            </w:r>
            <w:r w:rsidR="00D07E5A" w:rsidRPr="006E537C">
              <w:rPr>
                <w:rStyle w:val="Hyperlink"/>
              </w:rPr>
              <w:t>AER’s assessment approach</w:t>
            </w:r>
            <w:r w:rsidR="00D07E5A">
              <w:rPr>
                <w:webHidden/>
              </w:rPr>
              <w:tab/>
            </w:r>
            <w:r w:rsidR="00D07E5A">
              <w:rPr>
                <w:webHidden/>
              </w:rPr>
              <w:fldChar w:fldCharType="begin"/>
            </w:r>
            <w:r w:rsidR="00D07E5A">
              <w:rPr>
                <w:webHidden/>
              </w:rPr>
              <w:instrText xml:space="preserve"> PAGEREF _Toc413851794 \h </w:instrText>
            </w:r>
            <w:r w:rsidR="00D07E5A">
              <w:rPr>
                <w:webHidden/>
              </w:rPr>
            </w:r>
            <w:r w:rsidR="00D07E5A">
              <w:rPr>
                <w:webHidden/>
              </w:rPr>
              <w:fldChar w:fldCharType="separate"/>
            </w:r>
            <w:r w:rsidR="004B2F5F">
              <w:rPr>
                <w:webHidden/>
              </w:rPr>
              <w:t>2-8</w:t>
            </w:r>
            <w:r w:rsidR="00D07E5A">
              <w:rPr>
                <w:webHidden/>
              </w:rPr>
              <w:fldChar w:fldCharType="end"/>
            </w:r>
          </w:hyperlink>
        </w:p>
        <w:p w:rsidR="00D07E5A" w:rsidRDefault="007D1D89">
          <w:pPr>
            <w:pStyle w:val="TOC2"/>
            <w:rPr>
              <w:rFonts w:asciiTheme="minorHAnsi" w:eastAsiaTheme="minorEastAsia" w:hAnsiTheme="minorHAnsi"/>
              <w:b w:val="0"/>
              <w:color w:val="auto"/>
              <w:sz w:val="22"/>
              <w:lang w:eastAsia="en-AU"/>
            </w:rPr>
          </w:pPr>
          <w:hyperlink w:anchor="_Toc413851795" w:history="1">
            <w:r w:rsidR="00D07E5A" w:rsidRPr="006E537C">
              <w:rPr>
                <w:rStyle w:val="Hyperlink"/>
              </w:rPr>
              <w:t>2.4</w:t>
            </w:r>
            <w:r w:rsidR="00D07E5A">
              <w:rPr>
                <w:rFonts w:asciiTheme="minorHAnsi" w:eastAsiaTheme="minorEastAsia" w:hAnsiTheme="minorHAnsi"/>
                <w:b w:val="0"/>
                <w:color w:val="auto"/>
                <w:sz w:val="22"/>
                <w:lang w:eastAsia="en-AU"/>
              </w:rPr>
              <w:tab/>
            </w:r>
            <w:r w:rsidR="00D07E5A" w:rsidRPr="006E537C">
              <w:rPr>
                <w:rStyle w:val="Hyperlink"/>
              </w:rPr>
              <w:t>Reasons for final decision</w:t>
            </w:r>
            <w:r w:rsidR="00D07E5A">
              <w:rPr>
                <w:webHidden/>
              </w:rPr>
              <w:tab/>
            </w:r>
            <w:r w:rsidR="00D07E5A">
              <w:rPr>
                <w:webHidden/>
              </w:rPr>
              <w:fldChar w:fldCharType="begin"/>
            </w:r>
            <w:r w:rsidR="00D07E5A">
              <w:rPr>
                <w:webHidden/>
              </w:rPr>
              <w:instrText xml:space="preserve"> PAGEREF _Toc413851795 \h </w:instrText>
            </w:r>
            <w:r w:rsidR="00D07E5A">
              <w:rPr>
                <w:webHidden/>
              </w:rPr>
            </w:r>
            <w:r w:rsidR="00D07E5A">
              <w:rPr>
                <w:webHidden/>
              </w:rPr>
              <w:fldChar w:fldCharType="separate"/>
            </w:r>
            <w:r w:rsidR="004B2F5F">
              <w:rPr>
                <w:webHidden/>
              </w:rPr>
              <w:t>2-8</w:t>
            </w:r>
            <w:r w:rsidR="00D07E5A">
              <w:rPr>
                <w:webHidden/>
              </w:rPr>
              <w:fldChar w:fldCharType="end"/>
            </w:r>
          </w:hyperlink>
        </w:p>
        <w:p w:rsidR="00D07E5A" w:rsidRDefault="007D1D89">
          <w:pPr>
            <w:pStyle w:val="TOC3"/>
            <w:rPr>
              <w:rFonts w:asciiTheme="minorHAnsi" w:eastAsiaTheme="minorEastAsia" w:hAnsiTheme="minorHAnsi"/>
              <w:lang w:eastAsia="en-AU"/>
            </w:rPr>
          </w:pPr>
          <w:hyperlink w:anchor="_Toc413851796" w:history="1">
            <w:r w:rsidR="00D07E5A" w:rsidRPr="006E537C">
              <w:rPr>
                <w:rStyle w:val="Hyperlink"/>
              </w:rPr>
              <w:t>2.4.1</w:t>
            </w:r>
            <w:r w:rsidR="00D07E5A">
              <w:rPr>
                <w:rFonts w:asciiTheme="minorHAnsi" w:eastAsiaTheme="minorEastAsia" w:hAnsiTheme="minorHAnsi"/>
                <w:lang w:eastAsia="en-AU"/>
              </w:rPr>
              <w:tab/>
            </w:r>
            <w:r w:rsidR="00D07E5A" w:rsidRPr="006E537C">
              <w:rPr>
                <w:rStyle w:val="Hyperlink"/>
              </w:rPr>
              <w:t>Opening RAB as at 1 July 2014</w:t>
            </w:r>
            <w:r w:rsidR="00D07E5A">
              <w:rPr>
                <w:webHidden/>
              </w:rPr>
              <w:tab/>
            </w:r>
            <w:r w:rsidR="00D07E5A">
              <w:rPr>
                <w:webHidden/>
              </w:rPr>
              <w:fldChar w:fldCharType="begin"/>
            </w:r>
            <w:r w:rsidR="00D07E5A">
              <w:rPr>
                <w:webHidden/>
              </w:rPr>
              <w:instrText xml:space="preserve"> PAGEREF _Toc413851796 \h </w:instrText>
            </w:r>
            <w:r w:rsidR="00D07E5A">
              <w:rPr>
                <w:webHidden/>
              </w:rPr>
            </w:r>
            <w:r w:rsidR="00D07E5A">
              <w:rPr>
                <w:webHidden/>
              </w:rPr>
              <w:fldChar w:fldCharType="separate"/>
            </w:r>
            <w:r w:rsidR="004B2F5F">
              <w:rPr>
                <w:webHidden/>
              </w:rPr>
              <w:t>2-8</w:t>
            </w:r>
            <w:r w:rsidR="00D07E5A">
              <w:rPr>
                <w:webHidden/>
              </w:rPr>
              <w:fldChar w:fldCharType="end"/>
            </w:r>
          </w:hyperlink>
        </w:p>
        <w:p w:rsidR="00D07E5A" w:rsidRDefault="007D1D89">
          <w:pPr>
            <w:pStyle w:val="TOC3"/>
          </w:pPr>
          <w:hyperlink w:anchor="_Toc413851797" w:history="1">
            <w:r w:rsidR="00D07E5A" w:rsidRPr="006E537C">
              <w:rPr>
                <w:rStyle w:val="Hyperlink"/>
              </w:rPr>
              <w:t>2.4.2</w:t>
            </w:r>
            <w:r w:rsidR="00D07E5A">
              <w:rPr>
                <w:rFonts w:asciiTheme="minorHAnsi" w:eastAsiaTheme="minorEastAsia" w:hAnsiTheme="minorHAnsi"/>
                <w:lang w:eastAsia="en-AU"/>
              </w:rPr>
              <w:tab/>
            </w:r>
            <w:r w:rsidR="00D07E5A" w:rsidRPr="006E537C">
              <w:rPr>
                <w:rStyle w:val="Hyperlink"/>
              </w:rPr>
              <w:t>Forecast closing RAB as at 30 June 2019</w:t>
            </w:r>
            <w:r w:rsidR="00D07E5A">
              <w:rPr>
                <w:webHidden/>
              </w:rPr>
              <w:tab/>
            </w:r>
            <w:r w:rsidR="00D07E5A">
              <w:rPr>
                <w:webHidden/>
              </w:rPr>
              <w:fldChar w:fldCharType="begin"/>
            </w:r>
            <w:r w:rsidR="00D07E5A">
              <w:rPr>
                <w:webHidden/>
              </w:rPr>
              <w:instrText xml:space="preserve"> PAGEREF _Toc413851797 \h </w:instrText>
            </w:r>
            <w:r w:rsidR="00D07E5A">
              <w:rPr>
                <w:webHidden/>
              </w:rPr>
            </w:r>
            <w:r w:rsidR="00D07E5A">
              <w:rPr>
                <w:webHidden/>
              </w:rPr>
              <w:fldChar w:fldCharType="separate"/>
            </w:r>
            <w:r w:rsidR="004B2F5F">
              <w:rPr>
                <w:webHidden/>
              </w:rPr>
              <w:t>2-9</w:t>
            </w:r>
            <w:r w:rsidR="00D07E5A">
              <w:rPr>
                <w:webHidden/>
              </w:rPr>
              <w:fldChar w:fldCharType="end"/>
            </w:r>
          </w:hyperlink>
        </w:p>
        <w:p w:rsidR="00F62B6D" w:rsidRPr="00F62B6D" w:rsidRDefault="00F62B6D" w:rsidP="00F62B6D">
          <w:pPr>
            <w:rPr>
              <w:noProof/>
            </w:rPr>
          </w:pPr>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3851790"/>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7204CD">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9864FF" w:rsidTr="007204CD">
        <w:tc>
          <w:tcPr>
            <w:tcW w:w="4342" w:type="dxa"/>
          </w:tcPr>
          <w:p w:rsidR="009864FF" w:rsidRPr="009864FF" w:rsidRDefault="009864FF" w:rsidP="009864FF">
            <w:pPr>
              <w:numPr>
                <w:ilvl w:val="0"/>
                <w:numId w:val="25"/>
              </w:numPr>
            </w:pPr>
            <w:r w:rsidRPr="009864FF">
              <w:t>AEMC</w:t>
            </w:r>
          </w:p>
        </w:tc>
        <w:tc>
          <w:tcPr>
            <w:tcW w:w="4351" w:type="dxa"/>
          </w:tcPr>
          <w:p w:rsidR="009864FF" w:rsidRPr="009864FF" w:rsidRDefault="009864FF" w:rsidP="009864FF">
            <w:pPr>
              <w:numPr>
                <w:ilvl w:val="0"/>
                <w:numId w:val="25"/>
              </w:numPr>
            </w:pPr>
            <w:r w:rsidRPr="009864FF">
              <w:t>Australian Energy Market Commission</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AEMO</w:t>
            </w:r>
          </w:p>
        </w:tc>
        <w:tc>
          <w:tcPr>
            <w:tcW w:w="4351" w:type="dxa"/>
          </w:tcPr>
          <w:p w:rsidR="009864FF" w:rsidRPr="009864FF" w:rsidRDefault="009864FF" w:rsidP="009864FF">
            <w:pPr>
              <w:numPr>
                <w:ilvl w:val="0"/>
                <w:numId w:val="25"/>
              </w:numPr>
            </w:pPr>
            <w:r w:rsidRPr="009864FF">
              <w:t>Australian Energy Market Operator</w:t>
            </w:r>
          </w:p>
        </w:tc>
      </w:tr>
      <w:tr w:rsidR="009864FF" w:rsidTr="007204CD">
        <w:tc>
          <w:tcPr>
            <w:tcW w:w="4342" w:type="dxa"/>
          </w:tcPr>
          <w:p w:rsidR="009864FF" w:rsidRPr="009864FF" w:rsidRDefault="009864FF" w:rsidP="009864FF">
            <w:pPr>
              <w:numPr>
                <w:ilvl w:val="0"/>
                <w:numId w:val="25"/>
              </w:numPr>
            </w:pPr>
            <w:r w:rsidRPr="009864FF">
              <w:t>AER</w:t>
            </w:r>
          </w:p>
        </w:tc>
        <w:tc>
          <w:tcPr>
            <w:tcW w:w="4351" w:type="dxa"/>
          </w:tcPr>
          <w:p w:rsidR="009864FF" w:rsidRPr="009864FF" w:rsidRDefault="009864FF" w:rsidP="009864FF">
            <w:pPr>
              <w:numPr>
                <w:ilvl w:val="0"/>
                <w:numId w:val="25"/>
              </w:numPr>
            </w:pPr>
            <w:r w:rsidRPr="009864FF">
              <w:t>Australian Energy Regulator</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augex</w:t>
            </w:r>
          </w:p>
        </w:tc>
        <w:tc>
          <w:tcPr>
            <w:tcW w:w="4351" w:type="dxa"/>
          </w:tcPr>
          <w:p w:rsidR="009864FF" w:rsidRPr="009864FF" w:rsidRDefault="009864FF" w:rsidP="009864FF">
            <w:pPr>
              <w:numPr>
                <w:ilvl w:val="0"/>
                <w:numId w:val="25"/>
              </w:numPr>
            </w:pPr>
            <w:r w:rsidRPr="009864FF">
              <w:t>augmentation expenditure</w:t>
            </w:r>
          </w:p>
        </w:tc>
      </w:tr>
      <w:tr w:rsidR="009864FF" w:rsidTr="007204CD">
        <w:tc>
          <w:tcPr>
            <w:tcW w:w="4342" w:type="dxa"/>
          </w:tcPr>
          <w:p w:rsidR="009864FF" w:rsidRPr="009864FF" w:rsidRDefault="009864FF" w:rsidP="009864FF">
            <w:pPr>
              <w:numPr>
                <w:ilvl w:val="0"/>
                <w:numId w:val="25"/>
              </w:numPr>
            </w:pPr>
            <w:r w:rsidRPr="009864FF">
              <w:t>capex</w:t>
            </w:r>
          </w:p>
        </w:tc>
        <w:tc>
          <w:tcPr>
            <w:tcW w:w="4351" w:type="dxa"/>
          </w:tcPr>
          <w:p w:rsidR="009864FF" w:rsidRPr="009864FF" w:rsidRDefault="009864FF" w:rsidP="009864FF">
            <w:pPr>
              <w:numPr>
                <w:ilvl w:val="0"/>
                <w:numId w:val="25"/>
              </w:numPr>
            </w:pPr>
            <w:r w:rsidRPr="009864FF">
              <w:t>capital expenditure</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CCP</w:t>
            </w:r>
          </w:p>
        </w:tc>
        <w:tc>
          <w:tcPr>
            <w:tcW w:w="4351" w:type="dxa"/>
          </w:tcPr>
          <w:p w:rsidR="009864FF" w:rsidRPr="009864FF" w:rsidRDefault="009864FF" w:rsidP="009864FF">
            <w:pPr>
              <w:numPr>
                <w:ilvl w:val="0"/>
                <w:numId w:val="25"/>
              </w:numPr>
            </w:pPr>
            <w:r w:rsidRPr="009864FF">
              <w:t>Consumer Challenge Panel</w:t>
            </w:r>
          </w:p>
        </w:tc>
      </w:tr>
      <w:tr w:rsidR="009864FF" w:rsidTr="007204CD">
        <w:tc>
          <w:tcPr>
            <w:tcW w:w="4342" w:type="dxa"/>
          </w:tcPr>
          <w:p w:rsidR="009864FF" w:rsidRPr="009864FF" w:rsidRDefault="009864FF" w:rsidP="009864FF">
            <w:pPr>
              <w:numPr>
                <w:ilvl w:val="0"/>
                <w:numId w:val="25"/>
              </w:numPr>
            </w:pPr>
            <w:r w:rsidRPr="009864FF">
              <w:t>CESS</w:t>
            </w:r>
          </w:p>
        </w:tc>
        <w:tc>
          <w:tcPr>
            <w:tcW w:w="4351" w:type="dxa"/>
          </w:tcPr>
          <w:p w:rsidR="009864FF" w:rsidRPr="009864FF" w:rsidRDefault="009864FF" w:rsidP="009864FF">
            <w:pPr>
              <w:numPr>
                <w:ilvl w:val="0"/>
                <w:numId w:val="25"/>
              </w:numPr>
            </w:pPr>
            <w:r w:rsidRPr="009864FF">
              <w:t>capital expenditure sharing scheme</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CPI</w:t>
            </w:r>
          </w:p>
        </w:tc>
        <w:tc>
          <w:tcPr>
            <w:tcW w:w="4351" w:type="dxa"/>
          </w:tcPr>
          <w:p w:rsidR="009864FF" w:rsidRPr="009864FF" w:rsidRDefault="009864FF" w:rsidP="009864FF">
            <w:pPr>
              <w:numPr>
                <w:ilvl w:val="0"/>
                <w:numId w:val="25"/>
              </w:numPr>
            </w:pPr>
            <w:r w:rsidRPr="009864FF">
              <w:t>consumer price index</w:t>
            </w:r>
          </w:p>
        </w:tc>
      </w:tr>
      <w:tr w:rsidR="009864FF" w:rsidTr="007204CD">
        <w:tc>
          <w:tcPr>
            <w:tcW w:w="4342" w:type="dxa"/>
          </w:tcPr>
          <w:p w:rsidR="009864FF" w:rsidRPr="009864FF" w:rsidRDefault="009864FF" w:rsidP="009864FF">
            <w:pPr>
              <w:numPr>
                <w:ilvl w:val="0"/>
                <w:numId w:val="25"/>
              </w:numPr>
            </w:pPr>
            <w:r w:rsidRPr="009864FF">
              <w:t>DRP</w:t>
            </w:r>
          </w:p>
        </w:tc>
        <w:tc>
          <w:tcPr>
            <w:tcW w:w="4351" w:type="dxa"/>
          </w:tcPr>
          <w:p w:rsidR="009864FF" w:rsidRPr="009864FF" w:rsidRDefault="009864FF" w:rsidP="009864FF">
            <w:pPr>
              <w:numPr>
                <w:ilvl w:val="0"/>
                <w:numId w:val="25"/>
              </w:numPr>
            </w:pPr>
            <w:r w:rsidRPr="009864FF">
              <w:t>debt risk premium</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DMIA</w:t>
            </w:r>
          </w:p>
        </w:tc>
        <w:tc>
          <w:tcPr>
            <w:tcW w:w="4351" w:type="dxa"/>
          </w:tcPr>
          <w:p w:rsidR="009864FF" w:rsidRPr="009864FF" w:rsidRDefault="009864FF" w:rsidP="009864FF">
            <w:pPr>
              <w:numPr>
                <w:ilvl w:val="0"/>
                <w:numId w:val="25"/>
              </w:numPr>
            </w:pPr>
            <w:r w:rsidRPr="009864FF">
              <w:t>demand management innovation allowance</w:t>
            </w:r>
          </w:p>
        </w:tc>
      </w:tr>
      <w:tr w:rsidR="009864FF" w:rsidTr="007204CD">
        <w:tc>
          <w:tcPr>
            <w:tcW w:w="4342" w:type="dxa"/>
          </w:tcPr>
          <w:p w:rsidR="009864FF" w:rsidRPr="009864FF" w:rsidRDefault="009864FF" w:rsidP="009864FF">
            <w:pPr>
              <w:numPr>
                <w:ilvl w:val="0"/>
                <w:numId w:val="25"/>
              </w:numPr>
            </w:pPr>
            <w:r w:rsidRPr="009864FF">
              <w:t>DMIS</w:t>
            </w:r>
          </w:p>
        </w:tc>
        <w:tc>
          <w:tcPr>
            <w:tcW w:w="4351" w:type="dxa"/>
          </w:tcPr>
          <w:p w:rsidR="009864FF" w:rsidRPr="009864FF" w:rsidRDefault="009864FF" w:rsidP="009864FF">
            <w:pPr>
              <w:numPr>
                <w:ilvl w:val="0"/>
                <w:numId w:val="25"/>
              </w:numPr>
            </w:pPr>
            <w:r w:rsidRPr="009864FF">
              <w:t>demand management incentive scheme</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distributor</w:t>
            </w:r>
          </w:p>
        </w:tc>
        <w:tc>
          <w:tcPr>
            <w:tcW w:w="4351" w:type="dxa"/>
          </w:tcPr>
          <w:p w:rsidR="009864FF" w:rsidRPr="009864FF" w:rsidRDefault="009864FF" w:rsidP="009864FF">
            <w:pPr>
              <w:numPr>
                <w:ilvl w:val="0"/>
                <w:numId w:val="25"/>
              </w:numPr>
            </w:pPr>
            <w:r w:rsidRPr="009864FF">
              <w:t>distribution network service provider</w:t>
            </w:r>
          </w:p>
        </w:tc>
      </w:tr>
      <w:tr w:rsidR="009864FF" w:rsidTr="007204CD">
        <w:tc>
          <w:tcPr>
            <w:tcW w:w="4342" w:type="dxa"/>
          </w:tcPr>
          <w:p w:rsidR="009864FF" w:rsidRPr="009864FF" w:rsidRDefault="009864FF" w:rsidP="009864FF">
            <w:pPr>
              <w:numPr>
                <w:ilvl w:val="0"/>
                <w:numId w:val="25"/>
              </w:numPr>
            </w:pPr>
            <w:r w:rsidRPr="009864FF">
              <w:t>DUoS</w:t>
            </w:r>
          </w:p>
        </w:tc>
        <w:tc>
          <w:tcPr>
            <w:tcW w:w="4351" w:type="dxa"/>
          </w:tcPr>
          <w:p w:rsidR="009864FF" w:rsidRPr="009864FF" w:rsidRDefault="009864FF" w:rsidP="009864FF">
            <w:pPr>
              <w:numPr>
                <w:ilvl w:val="0"/>
                <w:numId w:val="25"/>
              </w:numPr>
            </w:pPr>
            <w:r w:rsidRPr="009864FF">
              <w:t>distribution use of system</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EBSS</w:t>
            </w:r>
          </w:p>
        </w:tc>
        <w:tc>
          <w:tcPr>
            <w:tcW w:w="4351" w:type="dxa"/>
          </w:tcPr>
          <w:p w:rsidR="009864FF" w:rsidRPr="009864FF" w:rsidRDefault="009864FF" w:rsidP="009864FF">
            <w:pPr>
              <w:numPr>
                <w:ilvl w:val="0"/>
                <w:numId w:val="25"/>
              </w:numPr>
            </w:pPr>
            <w:r w:rsidRPr="009864FF">
              <w:t>efficiency benefit sharing scheme</w:t>
            </w:r>
          </w:p>
        </w:tc>
      </w:tr>
      <w:tr w:rsidR="009864FF" w:rsidTr="007204CD">
        <w:tc>
          <w:tcPr>
            <w:tcW w:w="4342" w:type="dxa"/>
          </w:tcPr>
          <w:p w:rsidR="009864FF" w:rsidRPr="009864FF" w:rsidRDefault="009864FF" w:rsidP="009864FF">
            <w:pPr>
              <w:numPr>
                <w:ilvl w:val="0"/>
                <w:numId w:val="25"/>
              </w:numPr>
            </w:pPr>
            <w:r w:rsidRPr="009864FF">
              <w:t>ERP</w:t>
            </w:r>
          </w:p>
        </w:tc>
        <w:tc>
          <w:tcPr>
            <w:tcW w:w="4351" w:type="dxa"/>
          </w:tcPr>
          <w:p w:rsidR="009864FF" w:rsidRPr="009864FF" w:rsidRDefault="009864FF" w:rsidP="009864FF">
            <w:pPr>
              <w:numPr>
                <w:ilvl w:val="0"/>
                <w:numId w:val="25"/>
              </w:numPr>
            </w:pPr>
            <w:r w:rsidRPr="009864FF">
              <w:t>equity risk premium</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Expenditure Assessment Guideline</w:t>
            </w:r>
          </w:p>
        </w:tc>
        <w:tc>
          <w:tcPr>
            <w:tcW w:w="4351" w:type="dxa"/>
          </w:tcPr>
          <w:p w:rsidR="009864FF" w:rsidRPr="009864FF" w:rsidRDefault="009864FF" w:rsidP="009864FF">
            <w:pPr>
              <w:numPr>
                <w:ilvl w:val="0"/>
                <w:numId w:val="25"/>
              </w:numPr>
            </w:pPr>
            <w:r w:rsidRPr="009864FF">
              <w:t>expenditure forecast assessment Guideline for electricity distribution</w:t>
            </w:r>
          </w:p>
        </w:tc>
      </w:tr>
      <w:tr w:rsidR="009864FF" w:rsidTr="007204CD">
        <w:tc>
          <w:tcPr>
            <w:tcW w:w="4342" w:type="dxa"/>
          </w:tcPr>
          <w:p w:rsidR="009864FF" w:rsidRPr="009864FF" w:rsidRDefault="009864FF" w:rsidP="009864FF">
            <w:pPr>
              <w:numPr>
                <w:ilvl w:val="0"/>
                <w:numId w:val="25"/>
              </w:numPr>
            </w:pPr>
            <w:r w:rsidRPr="009864FF">
              <w:t>F&amp;A</w:t>
            </w:r>
          </w:p>
        </w:tc>
        <w:tc>
          <w:tcPr>
            <w:tcW w:w="4351" w:type="dxa"/>
          </w:tcPr>
          <w:p w:rsidR="009864FF" w:rsidRPr="009864FF" w:rsidRDefault="009864FF" w:rsidP="009864FF">
            <w:pPr>
              <w:numPr>
                <w:ilvl w:val="0"/>
                <w:numId w:val="25"/>
              </w:numPr>
            </w:pPr>
            <w:r w:rsidRPr="009864FF">
              <w:t>framework and approach</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MRP</w:t>
            </w:r>
          </w:p>
        </w:tc>
        <w:tc>
          <w:tcPr>
            <w:tcW w:w="4351" w:type="dxa"/>
          </w:tcPr>
          <w:p w:rsidR="009864FF" w:rsidRPr="009864FF" w:rsidRDefault="009864FF" w:rsidP="009864FF">
            <w:pPr>
              <w:numPr>
                <w:ilvl w:val="0"/>
                <w:numId w:val="25"/>
              </w:numPr>
            </w:pPr>
            <w:r w:rsidRPr="009864FF">
              <w:t>market risk premium</w:t>
            </w:r>
          </w:p>
        </w:tc>
      </w:tr>
      <w:tr w:rsidR="009864FF" w:rsidTr="007204CD">
        <w:tc>
          <w:tcPr>
            <w:tcW w:w="4342" w:type="dxa"/>
          </w:tcPr>
          <w:p w:rsidR="009864FF" w:rsidRPr="009864FF" w:rsidRDefault="009864FF" w:rsidP="009864FF">
            <w:pPr>
              <w:numPr>
                <w:ilvl w:val="0"/>
                <w:numId w:val="25"/>
              </w:numPr>
            </w:pPr>
            <w:r w:rsidRPr="009864FF">
              <w:t>NEL</w:t>
            </w:r>
          </w:p>
        </w:tc>
        <w:tc>
          <w:tcPr>
            <w:tcW w:w="4351" w:type="dxa"/>
          </w:tcPr>
          <w:p w:rsidR="009864FF" w:rsidRPr="009864FF" w:rsidRDefault="009864FF" w:rsidP="009864FF">
            <w:pPr>
              <w:numPr>
                <w:ilvl w:val="0"/>
                <w:numId w:val="25"/>
              </w:numPr>
            </w:pPr>
            <w:r w:rsidRPr="009864FF">
              <w:t>national electricity law</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NEM</w:t>
            </w:r>
          </w:p>
        </w:tc>
        <w:tc>
          <w:tcPr>
            <w:tcW w:w="4351" w:type="dxa"/>
          </w:tcPr>
          <w:p w:rsidR="009864FF" w:rsidRPr="009864FF" w:rsidRDefault="009864FF" w:rsidP="009864FF">
            <w:pPr>
              <w:numPr>
                <w:ilvl w:val="0"/>
                <w:numId w:val="25"/>
              </w:numPr>
            </w:pPr>
            <w:r w:rsidRPr="009864FF">
              <w:t>national electricity market</w:t>
            </w:r>
          </w:p>
        </w:tc>
      </w:tr>
      <w:tr w:rsidR="009864FF" w:rsidTr="007204CD">
        <w:tc>
          <w:tcPr>
            <w:tcW w:w="4342" w:type="dxa"/>
          </w:tcPr>
          <w:p w:rsidR="009864FF" w:rsidRPr="009864FF" w:rsidRDefault="009864FF" w:rsidP="009864FF">
            <w:pPr>
              <w:numPr>
                <w:ilvl w:val="0"/>
                <w:numId w:val="25"/>
              </w:numPr>
            </w:pPr>
            <w:r w:rsidRPr="009864FF">
              <w:t>NEO</w:t>
            </w:r>
          </w:p>
        </w:tc>
        <w:tc>
          <w:tcPr>
            <w:tcW w:w="4351" w:type="dxa"/>
          </w:tcPr>
          <w:p w:rsidR="009864FF" w:rsidRPr="009864FF" w:rsidRDefault="009864FF" w:rsidP="009864FF">
            <w:pPr>
              <w:numPr>
                <w:ilvl w:val="0"/>
                <w:numId w:val="25"/>
              </w:numPr>
            </w:pPr>
            <w:r w:rsidRPr="009864FF">
              <w:t>national electricity objective</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NER</w:t>
            </w:r>
          </w:p>
        </w:tc>
        <w:tc>
          <w:tcPr>
            <w:tcW w:w="4351" w:type="dxa"/>
          </w:tcPr>
          <w:p w:rsidR="009864FF" w:rsidRPr="009864FF" w:rsidRDefault="009864FF" w:rsidP="009864FF">
            <w:pPr>
              <w:numPr>
                <w:ilvl w:val="0"/>
                <w:numId w:val="25"/>
              </w:numPr>
            </w:pPr>
            <w:r w:rsidRPr="009864FF">
              <w:t>national electricity rules</w:t>
            </w:r>
          </w:p>
        </w:tc>
      </w:tr>
      <w:tr w:rsidR="009864FF" w:rsidTr="007204CD">
        <w:tc>
          <w:tcPr>
            <w:tcW w:w="4342" w:type="dxa"/>
          </w:tcPr>
          <w:p w:rsidR="009864FF" w:rsidRPr="009864FF" w:rsidRDefault="009864FF" w:rsidP="009864FF">
            <w:pPr>
              <w:numPr>
                <w:ilvl w:val="0"/>
                <w:numId w:val="25"/>
              </w:numPr>
            </w:pPr>
            <w:r w:rsidRPr="009864FF">
              <w:t>NSP</w:t>
            </w:r>
          </w:p>
        </w:tc>
        <w:tc>
          <w:tcPr>
            <w:tcW w:w="4351" w:type="dxa"/>
          </w:tcPr>
          <w:p w:rsidR="009864FF" w:rsidRPr="009864FF" w:rsidRDefault="009864FF" w:rsidP="009864FF">
            <w:pPr>
              <w:numPr>
                <w:ilvl w:val="0"/>
                <w:numId w:val="25"/>
              </w:numPr>
            </w:pPr>
            <w:r w:rsidRPr="009864FF">
              <w:t>network service provider</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proofErr w:type="spellStart"/>
            <w:r w:rsidRPr="009864FF">
              <w:t>opex</w:t>
            </w:r>
            <w:proofErr w:type="spellEnd"/>
          </w:p>
        </w:tc>
        <w:tc>
          <w:tcPr>
            <w:tcW w:w="4351" w:type="dxa"/>
          </w:tcPr>
          <w:p w:rsidR="009864FF" w:rsidRPr="009864FF" w:rsidRDefault="009864FF" w:rsidP="009864FF">
            <w:pPr>
              <w:numPr>
                <w:ilvl w:val="0"/>
                <w:numId w:val="25"/>
              </w:numPr>
            </w:pPr>
            <w:r w:rsidRPr="009864FF">
              <w:t>operating expenditure</w:t>
            </w:r>
          </w:p>
        </w:tc>
      </w:tr>
      <w:tr w:rsidR="009864FF" w:rsidTr="007204CD">
        <w:tc>
          <w:tcPr>
            <w:tcW w:w="4342" w:type="dxa"/>
          </w:tcPr>
          <w:p w:rsidR="009864FF" w:rsidRPr="009864FF" w:rsidRDefault="009864FF" w:rsidP="009864FF">
            <w:pPr>
              <w:numPr>
                <w:ilvl w:val="0"/>
                <w:numId w:val="25"/>
              </w:numPr>
            </w:pPr>
            <w:r w:rsidRPr="009864FF">
              <w:t>PPI</w:t>
            </w:r>
          </w:p>
        </w:tc>
        <w:tc>
          <w:tcPr>
            <w:tcW w:w="4351" w:type="dxa"/>
          </w:tcPr>
          <w:p w:rsidR="009864FF" w:rsidRPr="009864FF" w:rsidRDefault="009864FF" w:rsidP="009864FF">
            <w:pPr>
              <w:numPr>
                <w:ilvl w:val="0"/>
                <w:numId w:val="25"/>
              </w:numPr>
            </w:pPr>
            <w:r w:rsidRPr="009864FF">
              <w:t>partial performance indicators</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PTRM</w:t>
            </w:r>
          </w:p>
        </w:tc>
        <w:tc>
          <w:tcPr>
            <w:tcW w:w="4351" w:type="dxa"/>
          </w:tcPr>
          <w:p w:rsidR="009864FF" w:rsidRPr="009864FF" w:rsidRDefault="009864FF" w:rsidP="009864FF">
            <w:pPr>
              <w:numPr>
                <w:ilvl w:val="0"/>
                <w:numId w:val="25"/>
              </w:numPr>
            </w:pPr>
            <w:r w:rsidRPr="009864FF">
              <w:t>post-tax revenue model</w:t>
            </w:r>
          </w:p>
        </w:tc>
      </w:tr>
      <w:tr w:rsidR="009864FF" w:rsidTr="007204CD">
        <w:tc>
          <w:tcPr>
            <w:tcW w:w="4342" w:type="dxa"/>
          </w:tcPr>
          <w:p w:rsidR="009864FF" w:rsidRPr="009864FF" w:rsidRDefault="009864FF" w:rsidP="009864FF">
            <w:pPr>
              <w:numPr>
                <w:ilvl w:val="0"/>
                <w:numId w:val="25"/>
              </w:numPr>
            </w:pPr>
            <w:r w:rsidRPr="009864FF">
              <w:t>RAB</w:t>
            </w:r>
          </w:p>
        </w:tc>
        <w:tc>
          <w:tcPr>
            <w:tcW w:w="4351" w:type="dxa"/>
          </w:tcPr>
          <w:p w:rsidR="009864FF" w:rsidRPr="009864FF" w:rsidRDefault="009864FF" w:rsidP="009864FF">
            <w:pPr>
              <w:numPr>
                <w:ilvl w:val="0"/>
                <w:numId w:val="25"/>
              </w:numPr>
            </w:pPr>
            <w:r w:rsidRPr="009864FF">
              <w:t>regulatory asset base</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RBA</w:t>
            </w:r>
          </w:p>
        </w:tc>
        <w:tc>
          <w:tcPr>
            <w:tcW w:w="4351" w:type="dxa"/>
          </w:tcPr>
          <w:p w:rsidR="009864FF" w:rsidRPr="009864FF" w:rsidRDefault="009864FF" w:rsidP="009864FF">
            <w:pPr>
              <w:numPr>
                <w:ilvl w:val="0"/>
                <w:numId w:val="25"/>
              </w:numPr>
            </w:pPr>
            <w:r w:rsidRPr="009864FF">
              <w:t>Reserve Bank of Australia</w:t>
            </w:r>
          </w:p>
        </w:tc>
      </w:tr>
      <w:tr w:rsidR="009864FF" w:rsidTr="007204CD">
        <w:tc>
          <w:tcPr>
            <w:tcW w:w="4342" w:type="dxa"/>
          </w:tcPr>
          <w:p w:rsidR="009864FF" w:rsidRPr="009864FF" w:rsidRDefault="009864FF" w:rsidP="009864FF">
            <w:pPr>
              <w:numPr>
                <w:ilvl w:val="0"/>
                <w:numId w:val="25"/>
              </w:numPr>
            </w:pPr>
            <w:proofErr w:type="spellStart"/>
            <w:r w:rsidRPr="009864FF">
              <w:t>repex</w:t>
            </w:r>
            <w:proofErr w:type="spellEnd"/>
          </w:p>
        </w:tc>
        <w:tc>
          <w:tcPr>
            <w:tcW w:w="4351" w:type="dxa"/>
          </w:tcPr>
          <w:p w:rsidR="009864FF" w:rsidRPr="009864FF" w:rsidRDefault="009864FF" w:rsidP="009864FF">
            <w:pPr>
              <w:numPr>
                <w:ilvl w:val="0"/>
                <w:numId w:val="25"/>
              </w:numPr>
            </w:pPr>
            <w:r w:rsidRPr="009864FF">
              <w:t>replacement expenditure</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RFM</w:t>
            </w:r>
          </w:p>
        </w:tc>
        <w:tc>
          <w:tcPr>
            <w:tcW w:w="4351" w:type="dxa"/>
          </w:tcPr>
          <w:p w:rsidR="009864FF" w:rsidRPr="009864FF" w:rsidRDefault="009864FF" w:rsidP="009864FF">
            <w:pPr>
              <w:numPr>
                <w:ilvl w:val="0"/>
                <w:numId w:val="25"/>
              </w:numPr>
            </w:pPr>
            <w:r w:rsidRPr="009864FF">
              <w:t>roll forward model</w:t>
            </w:r>
          </w:p>
        </w:tc>
      </w:tr>
      <w:tr w:rsidR="009864FF" w:rsidTr="007204CD">
        <w:tc>
          <w:tcPr>
            <w:tcW w:w="4342" w:type="dxa"/>
          </w:tcPr>
          <w:p w:rsidR="009864FF" w:rsidRPr="009864FF" w:rsidRDefault="009864FF" w:rsidP="009864FF">
            <w:pPr>
              <w:numPr>
                <w:ilvl w:val="0"/>
                <w:numId w:val="25"/>
              </w:numPr>
            </w:pPr>
            <w:r w:rsidRPr="009864FF">
              <w:lastRenderedPageBreak/>
              <w:t>RIN</w:t>
            </w:r>
          </w:p>
        </w:tc>
        <w:tc>
          <w:tcPr>
            <w:tcW w:w="4351" w:type="dxa"/>
          </w:tcPr>
          <w:p w:rsidR="009864FF" w:rsidRPr="009864FF" w:rsidRDefault="009864FF" w:rsidP="009864FF">
            <w:pPr>
              <w:numPr>
                <w:ilvl w:val="0"/>
                <w:numId w:val="25"/>
              </w:numPr>
            </w:pPr>
            <w:r w:rsidRPr="009864FF">
              <w:t>regulatory information notice</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RPP</w:t>
            </w:r>
          </w:p>
        </w:tc>
        <w:tc>
          <w:tcPr>
            <w:tcW w:w="4351" w:type="dxa"/>
          </w:tcPr>
          <w:p w:rsidR="009864FF" w:rsidRPr="009864FF" w:rsidRDefault="009864FF" w:rsidP="009864FF">
            <w:pPr>
              <w:numPr>
                <w:ilvl w:val="0"/>
                <w:numId w:val="25"/>
              </w:numPr>
            </w:pPr>
            <w:r w:rsidRPr="009864FF">
              <w:t>revenue and pricing principles</w:t>
            </w:r>
          </w:p>
        </w:tc>
      </w:tr>
      <w:tr w:rsidR="009864FF" w:rsidTr="007204CD">
        <w:tc>
          <w:tcPr>
            <w:tcW w:w="4342" w:type="dxa"/>
          </w:tcPr>
          <w:p w:rsidR="009864FF" w:rsidRPr="009864FF" w:rsidRDefault="009864FF" w:rsidP="009864FF">
            <w:pPr>
              <w:numPr>
                <w:ilvl w:val="0"/>
                <w:numId w:val="25"/>
              </w:numPr>
            </w:pPr>
            <w:r w:rsidRPr="009864FF">
              <w:t>SAIDI</w:t>
            </w:r>
          </w:p>
        </w:tc>
        <w:tc>
          <w:tcPr>
            <w:tcW w:w="4351" w:type="dxa"/>
          </w:tcPr>
          <w:p w:rsidR="009864FF" w:rsidRPr="009864FF" w:rsidRDefault="009864FF" w:rsidP="009864FF">
            <w:pPr>
              <w:numPr>
                <w:ilvl w:val="0"/>
                <w:numId w:val="25"/>
              </w:numPr>
            </w:pPr>
            <w:r w:rsidRPr="009864FF">
              <w:t>system average interruption duration index</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SAIFI</w:t>
            </w:r>
          </w:p>
        </w:tc>
        <w:tc>
          <w:tcPr>
            <w:tcW w:w="4351" w:type="dxa"/>
          </w:tcPr>
          <w:p w:rsidR="009864FF" w:rsidRPr="009864FF" w:rsidRDefault="009864FF" w:rsidP="009864FF">
            <w:pPr>
              <w:numPr>
                <w:ilvl w:val="0"/>
                <w:numId w:val="25"/>
              </w:numPr>
            </w:pPr>
            <w:r w:rsidRPr="009864FF">
              <w:t>system average interruption frequency index</w:t>
            </w:r>
          </w:p>
        </w:tc>
      </w:tr>
      <w:tr w:rsidR="009864FF" w:rsidTr="007204CD">
        <w:tc>
          <w:tcPr>
            <w:tcW w:w="4342" w:type="dxa"/>
          </w:tcPr>
          <w:p w:rsidR="009864FF" w:rsidRPr="009864FF" w:rsidRDefault="009864FF" w:rsidP="009864FF">
            <w:pPr>
              <w:numPr>
                <w:ilvl w:val="0"/>
                <w:numId w:val="25"/>
              </w:numPr>
            </w:pPr>
            <w:r w:rsidRPr="009864FF">
              <w:t>SLCAPM</w:t>
            </w:r>
          </w:p>
        </w:tc>
        <w:tc>
          <w:tcPr>
            <w:tcW w:w="4351" w:type="dxa"/>
          </w:tcPr>
          <w:p w:rsidR="009864FF" w:rsidRPr="009864FF" w:rsidRDefault="009864FF" w:rsidP="009864FF">
            <w:pPr>
              <w:numPr>
                <w:ilvl w:val="0"/>
                <w:numId w:val="25"/>
              </w:numPr>
            </w:pPr>
            <w:r w:rsidRPr="009864FF">
              <w:t>Sharpe-</w:t>
            </w:r>
            <w:proofErr w:type="spellStart"/>
            <w:r w:rsidRPr="009864FF">
              <w:t>Lintner</w:t>
            </w:r>
            <w:proofErr w:type="spellEnd"/>
            <w:r w:rsidRPr="009864FF">
              <w:t xml:space="preserve"> capital asset pricing model</w:t>
            </w:r>
          </w:p>
        </w:tc>
      </w:tr>
      <w:tr w:rsidR="009864FF" w:rsidTr="007204CD">
        <w:trPr>
          <w:cnfStyle w:val="000000010000" w:firstRow="0" w:lastRow="0" w:firstColumn="0" w:lastColumn="0" w:oddVBand="0" w:evenVBand="0" w:oddHBand="0" w:evenHBand="1" w:firstRowFirstColumn="0" w:firstRowLastColumn="0" w:lastRowFirstColumn="0" w:lastRowLastColumn="0"/>
        </w:trPr>
        <w:tc>
          <w:tcPr>
            <w:tcW w:w="4342" w:type="dxa"/>
          </w:tcPr>
          <w:p w:rsidR="009864FF" w:rsidRPr="009864FF" w:rsidRDefault="009864FF" w:rsidP="009864FF">
            <w:pPr>
              <w:numPr>
                <w:ilvl w:val="0"/>
                <w:numId w:val="25"/>
              </w:numPr>
            </w:pPr>
            <w:r w:rsidRPr="009864FF">
              <w:t>STPIS</w:t>
            </w:r>
          </w:p>
        </w:tc>
        <w:tc>
          <w:tcPr>
            <w:tcW w:w="4351" w:type="dxa"/>
          </w:tcPr>
          <w:p w:rsidR="009864FF" w:rsidRPr="009864FF" w:rsidRDefault="009864FF" w:rsidP="009864FF">
            <w:pPr>
              <w:numPr>
                <w:ilvl w:val="0"/>
                <w:numId w:val="25"/>
              </w:numPr>
            </w:pPr>
            <w:r w:rsidRPr="009864FF">
              <w:t>service target performance incentive scheme</w:t>
            </w:r>
          </w:p>
        </w:tc>
      </w:tr>
      <w:tr w:rsidR="009864FF" w:rsidTr="007204CD">
        <w:tc>
          <w:tcPr>
            <w:tcW w:w="4342" w:type="dxa"/>
          </w:tcPr>
          <w:p w:rsidR="009864FF" w:rsidRPr="009864FF" w:rsidRDefault="009864FF" w:rsidP="009864FF">
            <w:pPr>
              <w:numPr>
                <w:ilvl w:val="0"/>
                <w:numId w:val="25"/>
              </w:numPr>
            </w:pPr>
            <w:r w:rsidRPr="009864FF">
              <w:t>WACC</w:t>
            </w:r>
          </w:p>
        </w:tc>
        <w:tc>
          <w:tcPr>
            <w:tcW w:w="4351" w:type="dxa"/>
          </w:tcPr>
          <w:p w:rsidR="009864FF" w:rsidRPr="009864FF" w:rsidRDefault="009864FF" w:rsidP="009864FF">
            <w:pPr>
              <w:numPr>
                <w:ilvl w:val="0"/>
                <w:numId w:val="25"/>
              </w:numPr>
            </w:pPr>
            <w:r w:rsidRPr="009864FF">
              <w:t>weighted average cost of capital</w:t>
            </w:r>
          </w:p>
        </w:tc>
      </w:tr>
    </w:tbl>
    <w:p w:rsidR="00DE563D" w:rsidRPr="00436A39" w:rsidRDefault="00DE563D" w:rsidP="00DE563D">
      <w:pPr>
        <w:numPr>
          <w:ilvl w:val="0"/>
          <w:numId w:val="25"/>
        </w:numPr>
      </w:pPr>
    </w:p>
    <w:p w:rsidR="00DE563D" w:rsidRDefault="00DE563D" w:rsidP="00DE563D"/>
    <w:p w:rsidR="00DE563D" w:rsidRDefault="007C1243" w:rsidP="007C1243">
      <w:pPr>
        <w:pStyle w:val="Heading1"/>
      </w:pPr>
      <w:bookmarkStart w:id="10" w:name="_Toc413851791"/>
      <w:r>
        <w:lastRenderedPageBreak/>
        <w:t>Regulatory asset base</w:t>
      </w:r>
      <w:bookmarkEnd w:id="10"/>
    </w:p>
    <w:p w:rsidR="00DE563D" w:rsidRDefault="004E658F" w:rsidP="00DE563D">
      <w:r w:rsidRPr="004E658F">
        <w:t xml:space="preserve">We are required to make a decision on </w:t>
      </w:r>
      <w:r>
        <w:t>Endeavour Energy</w:t>
      </w:r>
      <w:r w:rsidRPr="004E658F">
        <w:t>'s opening regulatory asset base (RAB) as at 1 July 201</w:t>
      </w:r>
      <w:r>
        <w:t>4</w:t>
      </w:r>
      <w:r w:rsidRPr="004E658F">
        <w:t>.</w:t>
      </w:r>
      <w:r w:rsidR="008B0934">
        <w:rPr>
          <w:rStyle w:val="FootnoteReference"/>
        </w:rPr>
        <w:footnoteReference w:id="1"/>
      </w:r>
      <w:r w:rsidRPr="004E658F">
        <w:t xml:space="preserve"> We use the RAB at the start of each regulatory year to determine the return of capital (regulatory depreciation) and return on capital building block allowances. This attachment presents our </w:t>
      </w:r>
      <w:r w:rsidR="008B0934">
        <w:t>final</w:t>
      </w:r>
      <w:r w:rsidRPr="004E658F">
        <w:t xml:space="preserve"> decision on the opening RAB value as at 1 July 201</w:t>
      </w:r>
      <w:r>
        <w:t>4</w:t>
      </w:r>
      <w:r w:rsidRPr="004E658F">
        <w:t xml:space="preserve"> for </w:t>
      </w:r>
      <w:r>
        <w:t>Endeavour Energy</w:t>
      </w:r>
      <w:r w:rsidRPr="004E658F">
        <w:t xml:space="preserve"> and roll forward of the forecast RAB </w:t>
      </w:r>
      <w:r w:rsidR="008B0934">
        <w:t xml:space="preserve">values </w:t>
      </w:r>
      <w:r w:rsidRPr="004E658F">
        <w:t>over the 201</w:t>
      </w:r>
      <w:r>
        <w:t>4</w:t>
      </w:r>
      <w:r w:rsidRPr="004E658F">
        <w:t>–</w:t>
      </w:r>
      <w:r>
        <w:t>19</w:t>
      </w:r>
      <w:r w:rsidRPr="004E658F">
        <w:t xml:space="preserve"> period.</w:t>
      </w:r>
    </w:p>
    <w:p w:rsidR="00DE563D" w:rsidRPr="001754EE" w:rsidRDefault="00415F31" w:rsidP="001754EE">
      <w:pPr>
        <w:pStyle w:val="Heading2"/>
      </w:pPr>
      <w:bookmarkStart w:id="11" w:name="_Toc403144136"/>
      <w:bookmarkStart w:id="12" w:name="_Toc413851792"/>
      <w:r w:rsidRPr="001754EE">
        <w:t>Final</w:t>
      </w:r>
      <w:r w:rsidR="00DE563D" w:rsidRPr="001754EE">
        <w:t xml:space="preserve"> decision</w:t>
      </w:r>
      <w:bookmarkEnd w:id="11"/>
      <w:bookmarkEnd w:id="12"/>
    </w:p>
    <w:p w:rsidR="002C233C" w:rsidRDefault="00E81E3A" w:rsidP="002C233C">
      <w:bookmarkStart w:id="13" w:name="_Toc403144137"/>
      <w:r>
        <w:t>We accept End</w:t>
      </w:r>
      <w:r w:rsidR="00FD28E1">
        <w:t>eavour Energy's revised proposed</w:t>
      </w:r>
      <w:r>
        <w:t xml:space="preserve"> </w:t>
      </w:r>
      <w:r w:rsidR="008B0934">
        <w:t xml:space="preserve">opening </w:t>
      </w:r>
      <w:r>
        <w:t>RAB of $</w:t>
      </w:r>
      <w:r w:rsidR="009F3EFD">
        <w:t>5581</w:t>
      </w:r>
      <w:r w:rsidR="008B0934">
        <w:t>.3</w:t>
      </w:r>
      <w:r>
        <w:t> million ($ nominal) as at 1 July 201</w:t>
      </w:r>
      <w:r w:rsidR="003805CA">
        <w:t>4</w:t>
      </w:r>
      <w:r>
        <w:t xml:space="preserve">. Endeavour Energy </w:t>
      </w:r>
      <w:r w:rsidR="003805CA">
        <w:t>adopted</w:t>
      </w:r>
      <w:r>
        <w:t xml:space="preserve"> </w:t>
      </w:r>
      <w:r w:rsidR="003805CA">
        <w:t>our</w:t>
      </w:r>
      <w:r>
        <w:t xml:space="preserve"> draft decision amendments </w:t>
      </w:r>
      <w:r w:rsidR="003805CA">
        <w:t>in its revised proposal.</w:t>
      </w:r>
      <w:r w:rsidR="008B0934">
        <w:rPr>
          <w:rStyle w:val="FootnoteReference"/>
        </w:rPr>
        <w:footnoteReference w:id="2"/>
      </w:r>
      <w:r w:rsidR="003805CA">
        <w:t xml:space="preserve"> The only change to the draft decision was updating 2013–14 estimated capex with actuals consistent with the annual reporting RIN</w:t>
      </w:r>
      <w:r w:rsidR="008B0934">
        <w:t xml:space="preserve"> for that year</w:t>
      </w:r>
      <w:r w:rsidR="003805CA">
        <w:t>.</w:t>
      </w:r>
    </w:p>
    <w:p w:rsidR="008B0934" w:rsidRDefault="008B0934" w:rsidP="002C233C">
      <w:r>
        <w:t>We note Endeavour Energy's revised proposal adopted our draft decision on the use of forecast depreciation for establishing the RAB at the commencement of the regulatory control period from 1 July 2019.</w:t>
      </w:r>
      <w:r>
        <w:rPr>
          <w:rStyle w:val="FootnoteReference"/>
        </w:rPr>
        <w:footnoteReference w:id="3"/>
      </w:r>
      <w:r>
        <w:t xml:space="preserve"> We therefore </w:t>
      </w:r>
      <w:r w:rsidR="00FE17DE">
        <w:t xml:space="preserve">maintain </w:t>
      </w:r>
      <w:r>
        <w:t xml:space="preserve">our </w:t>
      </w:r>
      <w:r w:rsidR="00FE17DE">
        <w:t xml:space="preserve">draft decision position </w:t>
      </w:r>
      <w:r>
        <w:t xml:space="preserve">on this </w:t>
      </w:r>
      <w:r w:rsidR="00FE17DE">
        <w:t>issue</w:t>
      </w:r>
      <w:r>
        <w:t xml:space="preserve"> for this final decision. </w:t>
      </w:r>
    </w:p>
    <w:p w:rsidR="004B2F5F" w:rsidRDefault="001B7707" w:rsidP="004B2F5F">
      <w:r>
        <w:fldChar w:fldCharType="begin"/>
      </w:r>
      <w:r>
        <w:instrText xml:space="preserve"> REF _Ref413075270 \h </w:instrText>
      </w:r>
      <w:r>
        <w:fldChar w:fldCharType="separate"/>
      </w:r>
      <w:r>
        <w:t xml:space="preserve">Table </w:t>
      </w:r>
      <w:r>
        <w:rPr>
          <w:noProof/>
        </w:rPr>
        <w:t>2</w:t>
      </w:r>
      <w:r>
        <w:t>.</w:t>
      </w:r>
      <w:r>
        <w:rPr>
          <w:noProof/>
        </w:rPr>
        <w:t>1</w:t>
      </w:r>
      <w:r>
        <w:fldChar w:fldCharType="end"/>
      </w:r>
      <w:r>
        <w:t xml:space="preserve"> </w:t>
      </w:r>
      <w:r w:rsidR="003805CA" w:rsidRPr="003805CA">
        <w:t xml:space="preserve">sets out our </w:t>
      </w:r>
      <w:r>
        <w:t>final</w:t>
      </w:r>
      <w:r w:rsidR="003805CA" w:rsidRPr="003805CA">
        <w:t xml:space="preserve"> decision on the roll forward of the RAB values for the </w:t>
      </w:r>
      <w:r w:rsidR="008B0934">
        <w:br/>
      </w:r>
      <w:r w:rsidR="003805CA" w:rsidRPr="003805CA">
        <w:t>20</w:t>
      </w:r>
      <w:r w:rsidR="003805CA">
        <w:t>09</w:t>
      </w:r>
      <w:r w:rsidR="003805CA" w:rsidRPr="003805CA">
        <w:t>–1</w:t>
      </w:r>
      <w:r w:rsidR="003805CA">
        <w:t>4</w:t>
      </w:r>
      <w:r w:rsidR="003805CA" w:rsidRPr="003805CA">
        <w:t xml:space="preserve"> regulatory control period.</w:t>
      </w:r>
      <w:r w:rsidR="004B2F5F" w:rsidRPr="004B2F5F">
        <w:t xml:space="preserve"> </w:t>
      </w:r>
    </w:p>
    <w:p w:rsidR="004B2F5F" w:rsidRDefault="004B2F5F" w:rsidP="004B2F5F">
      <w:r w:rsidRPr="003805CA">
        <w:t>We determine a forecast closing RAB value at 30 June 2019 of $</w:t>
      </w:r>
      <w:r>
        <w:t>6859.9 </w:t>
      </w:r>
      <w:r w:rsidRPr="003805CA">
        <w:t>million ($</w:t>
      </w:r>
      <w:r>
        <w:t> </w:t>
      </w:r>
      <w:r w:rsidRPr="003805CA">
        <w:t>nominal). This is</w:t>
      </w:r>
      <w:r>
        <w:t xml:space="preserve"> </w:t>
      </w:r>
      <w:r w:rsidRPr="003805CA">
        <w:t>$</w:t>
      </w:r>
      <w:r>
        <w:t>53.7 </w:t>
      </w:r>
      <w:r w:rsidRPr="003805CA">
        <w:t xml:space="preserve">million (or </w:t>
      </w:r>
      <w:r>
        <w:t>0.8 </w:t>
      </w:r>
      <w:r w:rsidRPr="003805CA">
        <w:t>per cent) lower than the amount of $</w:t>
      </w:r>
      <w:r>
        <w:t>6913.6</w:t>
      </w:r>
      <w:r w:rsidRPr="003805CA">
        <w:t xml:space="preserve"> million ($</w:t>
      </w:r>
      <w:r>
        <w:t> </w:t>
      </w:r>
      <w:r w:rsidRPr="003805CA">
        <w:t xml:space="preserve">nominal) </w:t>
      </w:r>
      <w:r>
        <w:t xml:space="preserve">in </w:t>
      </w:r>
      <w:r w:rsidRPr="003805CA">
        <w:t>Endeavour Energy</w:t>
      </w:r>
      <w:r>
        <w:t>'s revised proposal</w:t>
      </w:r>
      <w:r w:rsidRPr="003805CA">
        <w:t xml:space="preserve">. Our </w:t>
      </w:r>
      <w:r>
        <w:t xml:space="preserve">final </w:t>
      </w:r>
      <w:r w:rsidRPr="003805CA">
        <w:t xml:space="preserve">decision on the forecast closing RAB reflects our </w:t>
      </w:r>
      <w:r>
        <w:t>adjustments to</w:t>
      </w:r>
      <w:r w:rsidRPr="003805CA">
        <w:t xml:space="preserve"> </w:t>
      </w:r>
      <w:r>
        <w:t xml:space="preserve">Endeavour Energy's </w:t>
      </w:r>
      <w:r w:rsidRPr="003805CA">
        <w:t>forecast</w:t>
      </w:r>
      <w:r>
        <w:t xml:space="preserve"> regulatory </w:t>
      </w:r>
      <w:r w:rsidRPr="003805CA">
        <w:t>depreciation (attachment 5)</w:t>
      </w:r>
      <w:r>
        <w:t xml:space="preserve"> and the forecast inflation rate</w:t>
      </w:r>
      <w:r w:rsidRPr="003805CA">
        <w:t xml:space="preserve"> </w:t>
      </w:r>
      <w:r>
        <w:t>(attachment 3).</w:t>
      </w:r>
    </w:p>
    <w:p w:rsidR="004B2F5F" w:rsidRDefault="004B2F5F" w:rsidP="004B2F5F">
      <w:r>
        <w:fldChar w:fldCharType="begin"/>
      </w:r>
      <w:r>
        <w:instrText xml:space="preserve"> REF _Ref413075542 \h </w:instrText>
      </w:r>
      <w:r>
        <w:fldChar w:fldCharType="separate"/>
      </w:r>
      <w:r>
        <w:t xml:space="preserve">Table </w:t>
      </w:r>
      <w:r w:rsidRPr="004B2F5F">
        <w:t>2</w:t>
      </w:r>
      <w:r>
        <w:t>.</w:t>
      </w:r>
      <w:r w:rsidRPr="004B2F5F">
        <w:t>2</w:t>
      </w:r>
      <w:r>
        <w:fldChar w:fldCharType="end"/>
      </w:r>
      <w:r>
        <w:t xml:space="preserve"> </w:t>
      </w:r>
      <w:r w:rsidRPr="001B7707">
        <w:t xml:space="preserve">sets out our </w:t>
      </w:r>
      <w:r>
        <w:t xml:space="preserve">final </w:t>
      </w:r>
      <w:r w:rsidRPr="001B7707">
        <w:t xml:space="preserve">decision on the forecast RAB values for </w:t>
      </w:r>
      <w:r>
        <w:t>Endeavour Energy over the 2014</w:t>
      </w:r>
      <w:r w:rsidRPr="001B7707">
        <w:t>–</w:t>
      </w:r>
      <w:r>
        <w:t>19</w:t>
      </w:r>
      <w:r w:rsidRPr="001B7707">
        <w:t xml:space="preserve"> </w:t>
      </w:r>
      <w:proofErr w:type="gramStart"/>
      <w:r w:rsidRPr="001B7707">
        <w:t>period</w:t>
      </w:r>
      <w:proofErr w:type="gramEnd"/>
      <w:r w:rsidRPr="001B7707">
        <w:t>.</w:t>
      </w:r>
    </w:p>
    <w:p w:rsidR="003805CA" w:rsidRDefault="003805CA" w:rsidP="002C233C"/>
    <w:p w:rsidR="004B2F5F" w:rsidRDefault="004B2F5F" w:rsidP="002C233C"/>
    <w:p w:rsidR="004B2F5F" w:rsidRDefault="004B2F5F" w:rsidP="002C233C"/>
    <w:p w:rsidR="009F3EFD" w:rsidRDefault="001B7707" w:rsidP="001B7707">
      <w:pPr>
        <w:pStyle w:val="Caption"/>
      </w:pPr>
      <w:bookmarkStart w:id="14" w:name="_Ref413075270"/>
      <w:proofErr w:type="gramStart"/>
      <w:r>
        <w:lastRenderedPageBreak/>
        <w:t xml:space="preserve">Table </w:t>
      </w:r>
      <w:proofErr w:type="gramEnd"/>
      <w:r w:rsidR="000E5E2E">
        <w:fldChar w:fldCharType="begin"/>
      </w:r>
      <w:r w:rsidR="000E5E2E">
        <w:instrText xml:space="preserve"> STYLEREF 1 \s </w:instrText>
      </w:r>
      <w:r w:rsidR="000E5E2E">
        <w:fldChar w:fldCharType="separate"/>
      </w:r>
      <w:r w:rsidR="001F7F38">
        <w:rPr>
          <w:noProof/>
        </w:rPr>
        <w:t>2</w:t>
      </w:r>
      <w:r w:rsidR="000E5E2E">
        <w:rPr>
          <w:noProof/>
        </w:rPr>
        <w:fldChar w:fldCharType="end"/>
      </w:r>
      <w:proofErr w:type="gramStart"/>
      <w:r w:rsidR="001F7F38">
        <w:t>.</w:t>
      </w:r>
      <w:proofErr w:type="gramEnd"/>
      <w:r w:rsidR="006A1A89">
        <w:fldChar w:fldCharType="begin"/>
      </w:r>
      <w:r w:rsidR="006A1A89">
        <w:instrText xml:space="preserve"> SEQ Table \* ARABIC \s 1 </w:instrText>
      </w:r>
      <w:r w:rsidR="006A1A89">
        <w:fldChar w:fldCharType="separate"/>
      </w:r>
      <w:r w:rsidR="001F7F38">
        <w:rPr>
          <w:noProof/>
        </w:rPr>
        <w:t>1</w:t>
      </w:r>
      <w:r w:rsidR="006A1A89">
        <w:rPr>
          <w:noProof/>
        </w:rPr>
        <w:fldChar w:fldCharType="end"/>
      </w:r>
      <w:bookmarkEnd w:id="14"/>
      <w:r>
        <w:tab/>
      </w:r>
      <w:r w:rsidRPr="001B7707">
        <w:t xml:space="preserve">AER's </w:t>
      </w:r>
      <w:r>
        <w:t>final</w:t>
      </w:r>
      <w:r w:rsidRPr="001B7707">
        <w:t xml:space="preserve"> decision on </w:t>
      </w:r>
      <w:r>
        <w:t>Endeavour Energy</w:t>
      </w:r>
      <w:r w:rsidRPr="001B7707">
        <w:t>'s RAB for the 20</w:t>
      </w:r>
      <w:r>
        <w:t>09</w:t>
      </w:r>
      <w:r w:rsidRPr="001B7707">
        <w:t>–1</w:t>
      </w:r>
      <w:r>
        <w:t>4</w:t>
      </w:r>
      <w:r w:rsidRPr="001B7707">
        <w:t xml:space="preserve"> </w:t>
      </w:r>
      <w:r>
        <w:t xml:space="preserve">regulatory control </w:t>
      </w:r>
      <w:r w:rsidRPr="001B7707">
        <w:t>period ($ million, nominal)</w:t>
      </w:r>
    </w:p>
    <w:tbl>
      <w:tblPr>
        <w:tblStyle w:val="AERtable-numbers"/>
        <w:tblW w:w="8755" w:type="dxa"/>
        <w:tblLayout w:type="fixed"/>
        <w:tblLook w:val="04A0" w:firstRow="1" w:lastRow="0" w:firstColumn="1" w:lastColumn="0" w:noHBand="0" w:noVBand="1"/>
      </w:tblPr>
      <w:tblGrid>
        <w:gridCol w:w="3221"/>
        <w:gridCol w:w="976"/>
        <w:gridCol w:w="130"/>
        <w:gridCol w:w="846"/>
        <w:gridCol w:w="261"/>
        <w:gridCol w:w="715"/>
        <w:gridCol w:w="392"/>
        <w:gridCol w:w="584"/>
        <w:gridCol w:w="523"/>
        <w:gridCol w:w="1107"/>
      </w:tblGrid>
      <w:tr w:rsidR="009F3EFD" w:rsidRPr="009F3EFD" w:rsidTr="008B09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9F3EFD" w:rsidRPr="009F3EFD" w:rsidRDefault="009F3EFD" w:rsidP="009F3EFD">
            <w:r w:rsidRPr="009F3EFD">
              <w:t> </w:t>
            </w:r>
          </w:p>
        </w:tc>
        <w:tc>
          <w:tcPr>
            <w:tcW w:w="1106" w:type="dxa"/>
            <w:gridSpan w:val="2"/>
            <w:noWrap/>
            <w:hideMark/>
          </w:tcPr>
          <w:p w:rsidR="009F3EFD" w:rsidRPr="009F3EFD" w:rsidRDefault="009F3EFD" w:rsidP="009F3EFD">
            <w:pPr>
              <w:cnfStyle w:val="100000000000" w:firstRow="1" w:lastRow="0" w:firstColumn="0" w:lastColumn="0" w:oddVBand="0" w:evenVBand="0" w:oddHBand="0" w:evenHBand="0" w:firstRowFirstColumn="0" w:firstRowLastColumn="0" w:lastRowFirstColumn="0" w:lastRowLastColumn="0"/>
            </w:pPr>
            <w:r w:rsidRPr="009F3EFD">
              <w:t>2009–10</w:t>
            </w:r>
          </w:p>
        </w:tc>
        <w:tc>
          <w:tcPr>
            <w:tcW w:w="1107" w:type="dxa"/>
            <w:gridSpan w:val="2"/>
            <w:noWrap/>
            <w:hideMark/>
          </w:tcPr>
          <w:p w:rsidR="009F3EFD" w:rsidRPr="009F3EFD" w:rsidRDefault="009F3EFD" w:rsidP="009F3EFD">
            <w:pPr>
              <w:cnfStyle w:val="100000000000" w:firstRow="1" w:lastRow="0" w:firstColumn="0" w:lastColumn="0" w:oddVBand="0" w:evenVBand="0" w:oddHBand="0" w:evenHBand="0" w:firstRowFirstColumn="0" w:firstRowLastColumn="0" w:lastRowFirstColumn="0" w:lastRowLastColumn="0"/>
            </w:pPr>
            <w:r w:rsidRPr="009F3EFD">
              <w:t>2010–11</w:t>
            </w:r>
          </w:p>
        </w:tc>
        <w:tc>
          <w:tcPr>
            <w:tcW w:w="1107" w:type="dxa"/>
            <w:gridSpan w:val="2"/>
            <w:noWrap/>
            <w:hideMark/>
          </w:tcPr>
          <w:p w:rsidR="009F3EFD" w:rsidRPr="009F3EFD" w:rsidRDefault="009F3EFD" w:rsidP="009F3EFD">
            <w:pPr>
              <w:cnfStyle w:val="100000000000" w:firstRow="1" w:lastRow="0" w:firstColumn="0" w:lastColumn="0" w:oddVBand="0" w:evenVBand="0" w:oddHBand="0" w:evenHBand="0" w:firstRowFirstColumn="0" w:firstRowLastColumn="0" w:lastRowFirstColumn="0" w:lastRowLastColumn="0"/>
            </w:pPr>
            <w:r w:rsidRPr="009F3EFD">
              <w:t>2011–12</w:t>
            </w:r>
          </w:p>
        </w:tc>
        <w:tc>
          <w:tcPr>
            <w:tcW w:w="1107" w:type="dxa"/>
            <w:gridSpan w:val="2"/>
            <w:noWrap/>
            <w:hideMark/>
          </w:tcPr>
          <w:p w:rsidR="009F3EFD" w:rsidRPr="009F3EFD" w:rsidRDefault="009F3EFD" w:rsidP="009F3EFD">
            <w:pPr>
              <w:cnfStyle w:val="100000000000" w:firstRow="1" w:lastRow="0" w:firstColumn="0" w:lastColumn="0" w:oddVBand="0" w:evenVBand="0" w:oddHBand="0" w:evenHBand="0" w:firstRowFirstColumn="0" w:firstRowLastColumn="0" w:lastRowFirstColumn="0" w:lastRowLastColumn="0"/>
            </w:pPr>
            <w:r w:rsidRPr="009F3EFD">
              <w:t>2012–13</w:t>
            </w:r>
          </w:p>
        </w:tc>
        <w:tc>
          <w:tcPr>
            <w:tcW w:w="1107" w:type="dxa"/>
            <w:noWrap/>
            <w:hideMark/>
          </w:tcPr>
          <w:p w:rsidR="009F3EFD" w:rsidRPr="009F3EFD" w:rsidRDefault="009F3EFD" w:rsidP="009F3EFD">
            <w:pPr>
              <w:cnfStyle w:val="100000000000" w:firstRow="1" w:lastRow="0" w:firstColumn="0" w:lastColumn="0" w:oddVBand="0" w:evenVBand="0" w:oddHBand="0" w:evenHBand="0" w:firstRowFirstColumn="0" w:firstRowLastColumn="0" w:lastRowFirstColumn="0" w:lastRowLastColumn="0"/>
            </w:pPr>
            <w:r w:rsidRPr="009F3EFD">
              <w:t>2013–14</w:t>
            </w:r>
          </w:p>
        </w:tc>
      </w:tr>
      <w:tr w:rsidR="009F3EFD" w:rsidRPr="00A178D4" w:rsidTr="008B0934">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9F3EFD" w:rsidRPr="00A178D4" w:rsidRDefault="009F3EFD" w:rsidP="00A178D4">
            <w:r w:rsidRPr="00A178D4">
              <w:t>Opening RAB</w:t>
            </w:r>
          </w:p>
        </w:tc>
        <w:tc>
          <w:tcPr>
            <w:tcW w:w="1106" w:type="dxa"/>
            <w:gridSpan w:val="2"/>
            <w:noWrap/>
            <w:hideMark/>
          </w:tcPr>
          <w:p w:rsidR="009F3EFD" w:rsidRPr="00A178D4" w:rsidRDefault="009F3EFD" w:rsidP="00A178D4">
            <w:pPr>
              <w:cnfStyle w:val="000000000000" w:firstRow="0" w:lastRow="0" w:firstColumn="0" w:lastColumn="0" w:oddVBand="0" w:evenVBand="0" w:oddHBand="0" w:evenHBand="0" w:firstRowFirstColumn="0" w:firstRowLastColumn="0" w:lastRowFirstColumn="0" w:lastRowLastColumn="0"/>
            </w:pPr>
            <w:r w:rsidRPr="00A178D4">
              <w:t>3690.0</w:t>
            </w:r>
          </w:p>
        </w:tc>
        <w:tc>
          <w:tcPr>
            <w:tcW w:w="1107" w:type="dxa"/>
            <w:gridSpan w:val="2"/>
            <w:noWrap/>
            <w:hideMark/>
          </w:tcPr>
          <w:p w:rsidR="009F3EFD" w:rsidRPr="00A178D4" w:rsidRDefault="009F3EFD" w:rsidP="00A178D4">
            <w:pPr>
              <w:cnfStyle w:val="000000000000" w:firstRow="0" w:lastRow="0" w:firstColumn="0" w:lastColumn="0" w:oddVBand="0" w:evenVBand="0" w:oddHBand="0" w:evenHBand="0" w:firstRowFirstColumn="0" w:firstRowLastColumn="0" w:lastRowFirstColumn="0" w:lastRowLastColumn="0"/>
            </w:pPr>
            <w:r w:rsidRPr="00A178D4">
              <w:t>3940.3</w:t>
            </w:r>
          </w:p>
        </w:tc>
        <w:tc>
          <w:tcPr>
            <w:tcW w:w="1107" w:type="dxa"/>
            <w:gridSpan w:val="2"/>
            <w:noWrap/>
            <w:hideMark/>
          </w:tcPr>
          <w:p w:rsidR="009F3EFD" w:rsidRPr="00A178D4" w:rsidRDefault="009F3EFD" w:rsidP="00A178D4">
            <w:pPr>
              <w:cnfStyle w:val="000000000000" w:firstRow="0" w:lastRow="0" w:firstColumn="0" w:lastColumn="0" w:oddVBand="0" w:evenVBand="0" w:oddHBand="0" w:evenHBand="0" w:firstRowFirstColumn="0" w:firstRowLastColumn="0" w:lastRowFirstColumn="0" w:lastRowLastColumn="0"/>
            </w:pPr>
            <w:r w:rsidRPr="00A178D4">
              <w:t>4342.1</w:t>
            </w:r>
          </w:p>
        </w:tc>
        <w:tc>
          <w:tcPr>
            <w:tcW w:w="1107" w:type="dxa"/>
            <w:gridSpan w:val="2"/>
            <w:noWrap/>
            <w:hideMark/>
          </w:tcPr>
          <w:p w:rsidR="009F3EFD" w:rsidRPr="00A178D4" w:rsidRDefault="009F3EFD" w:rsidP="00A178D4">
            <w:pPr>
              <w:cnfStyle w:val="000000000000" w:firstRow="0" w:lastRow="0" w:firstColumn="0" w:lastColumn="0" w:oddVBand="0" w:evenVBand="0" w:oddHBand="0" w:evenHBand="0" w:firstRowFirstColumn="0" w:firstRowLastColumn="0" w:lastRowFirstColumn="0" w:lastRowLastColumn="0"/>
            </w:pPr>
            <w:r w:rsidRPr="00A178D4">
              <w:t>4910.3</w:t>
            </w:r>
          </w:p>
        </w:tc>
        <w:tc>
          <w:tcPr>
            <w:tcW w:w="1107" w:type="dxa"/>
            <w:noWrap/>
            <w:hideMark/>
          </w:tcPr>
          <w:p w:rsidR="009F3EFD" w:rsidRPr="00A178D4" w:rsidRDefault="009F3EFD" w:rsidP="00A178D4">
            <w:pPr>
              <w:cnfStyle w:val="000000000000" w:firstRow="0" w:lastRow="0" w:firstColumn="0" w:lastColumn="0" w:oddVBand="0" w:evenVBand="0" w:oddHBand="0" w:evenHBand="0" w:firstRowFirstColumn="0" w:firstRowLastColumn="0" w:lastRowFirstColumn="0" w:lastRowLastColumn="0"/>
            </w:pPr>
            <w:r w:rsidRPr="00A178D4">
              <w:t>5346.0</w:t>
            </w:r>
          </w:p>
        </w:tc>
      </w:tr>
      <w:tr w:rsidR="009F3EFD" w:rsidRPr="009F3EFD" w:rsidTr="008B09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9F3EFD" w:rsidRPr="009F3EFD" w:rsidRDefault="009F3EFD" w:rsidP="009F3EFD">
            <w:r w:rsidRPr="009F3EFD">
              <w:t xml:space="preserve">Capital </w:t>
            </w:r>
            <w:proofErr w:type="spellStart"/>
            <w:r w:rsidRPr="009F3EFD">
              <w:t>expenditure</w:t>
            </w:r>
            <w:r w:rsidR="008B0934">
              <w:rPr>
                <w:rStyle w:val="AERsuperscript"/>
              </w:rPr>
              <w:t>a</w:t>
            </w:r>
            <w:proofErr w:type="spellEnd"/>
            <w:r w:rsidRPr="009F3EFD">
              <w:t xml:space="preserve"> </w:t>
            </w:r>
          </w:p>
        </w:tc>
        <w:tc>
          <w:tcPr>
            <w:tcW w:w="1106"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423.1</w:t>
            </w:r>
          </w:p>
        </w:tc>
        <w:tc>
          <w:tcPr>
            <w:tcW w:w="1107"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509.4</w:t>
            </w:r>
          </w:p>
        </w:tc>
        <w:tc>
          <w:tcPr>
            <w:tcW w:w="1107"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647.9</w:t>
            </w:r>
          </w:p>
        </w:tc>
        <w:tc>
          <w:tcPr>
            <w:tcW w:w="1107"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581.7</w:t>
            </w:r>
          </w:p>
        </w:tc>
        <w:tc>
          <w:tcPr>
            <w:tcW w:w="1107" w:type="dxa"/>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542.4</w:t>
            </w:r>
          </w:p>
        </w:tc>
      </w:tr>
      <w:tr w:rsidR="009F3EFD" w:rsidRPr="009F3EFD" w:rsidTr="008B0934">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9F3EFD" w:rsidRPr="009F3EFD" w:rsidRDefault="009F3EFD" w:rsidP="009F3EFD">
            <w:r w:rsidRPr="009F3EFD">
              <w:t>Inflation indexation on opening RAB</w:t>
            </w:r>
          </w:p>
        </w:tc>
        <w:tc>
          <w:tcPr>
            <w:tcW w:w="1106"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67.2</w:t>
            </w:r>
          </w:p>
        </w:tc>
        <w:tc>
          <w:tcPr>
            <w:tcW w:w="1107"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112.1</w:t>
            </w:r>
          </w:p>
        </w:tc>
        <w:tc>
          <w:tcPr>
            <w:tcW w:w="1107"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147.2</w:t>
            </w:r>
          </w:p>
        </w:tc>
        <w:tc>
          <w:tcPr>
            <w:tcW w:w="1107"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86.6</w:t>
            </w:r>
          </w:p>
        </w:tc>
        <w:tc>
          <w:tcPr>
            <w:tcW w:w="1107" w:type="dxa"/>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131.0</w:t>
            </w:r>
          </w:p>
        </w:tc>
      </w:tr>
      <w:tr w:rsidR="009F3EFD" w:rsidRPr="009F3EFD" w:rsidTr="008B09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9F3EFD" w:rsidRPr="009F3EFD" w:rsidRDefault="009F3EFD" w:rsidP="009F3EFD">
            <w:r w:rsidRPr="001B7707">
              <w:rPr>
                <w:rStyle w:val="AERtextitalic"/>
              </w:rPr>
              <w:t>Less:</w:t>
            </w:r>
            <w:r w:rsidRPr="009F3EFD">
              <w:t xml:space="preserve"> straight-line depreciation</w:t>
            </w:r>
          </w:p>
        </w:tc>
        <w:tc>
          <w:tcPr>
            <w:tcW w:w="1106"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239.9</w:t>
            </w:r>
          </w:p>
        </w:tc>
        <w:tc>
          <w:tcPr>
            <w:tcW w:w="1107"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219.7</w:t>
            </w:r>
          </w:p>
        </w:tc>
        <w:tc>
          <w:tcPr>
            <w:tcW w:w="1107"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226.8</w:t>
            </w:r>
          </w:p>
        </w:tc>
        <w:tc>
          <w:tcPr>
            <w:tcW w:w="1107"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232.6</w:t>
            </w:r>
          </w:p>
        </w:tc>
        <w:tc>
          <w:tcPr>
            <w:tcW w:w="1107" w:type="dxa"/>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231.5</w:t>
            </w:r>
          </w:p>
        </w:tc>
      </w:tr>
      <w:tr w:rsidR="009F3EFD" w:rsidRPr="00A178D4" w:rsidTr="008B0934">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9F3EFD" w:rsidRPr="00A178D4" w:rsidRDefault="009F3EFD" w:rsidP="00A178D4">
            <w:r w:rsidRPr="00A178D4">
              <w:t>Closing RAB</w:t>
            </w:r>
          </w:p>
        </w:tc>
        <w:tc>
          <w:tcPr>
            <w:tcW w:w="1106" w:type="dxa"/>
            <w:gridSpan w:val="2"/>
            <w:noWrap/>
            <w:hideMark/>
          </w:tcPr>
          <w:p w:rsidR="009F3EFD" w:rsidRPr="00A178D4" w:rsidRDefault="009F3EFD" w:rsidP="00A178D4">
            <w:pPr>
              <w:cnfStyle w:val="000000000000" w:firstRow="0" w:lastRow="0" w:firstColumn="0" w:lastColumn="0" w:oddVBand="0" w:evenVBand="0" w:oddHBand="0" w:evenHBand="0" w:firstRowFirstColumn="0" w:firstRowLastColumn="0" w:lastRowFirstColumn="0" w:lastRowLastColumn="0"/>
            </w:pPr>
            <w:r w:rsidRPr="00A178D4">
              <w:t>3940.3</w:t>
            </w:r>
          </w:p>
        </w:tc>
        <w:tc>
          <w:tcPr>
            <w:tcW w:w="1107" w:type="dxa"/>
            <w:gridSpan w:val="2"/>
            <w:noWrap/>
            <w:hideMark/>
          </w:tcPr>
          <w:p w:rsidR="009F3EFD" w:rsidRPr="00A178D4" w:rsidRDefault="009F3EFD" w:rsidP="00A178D4">
            <w:pPr>
              <w:cnfStyle w:val="000000000000" w:firstRow="0" w:lastRow="0" w:firstColumn="0" w:lastColumn="0" w:oddVBand="0" w:evenVBand="0" w:oddHBand="0" w:evenHBand="0" w:firstRowFirstColumn="0" w:firstRowLastColumn="0" w:lastRowFirstColumn="0" w:lastRowLastColumn="0"/>
            </w:pPr>
            <w:r w:rsidRPr="00A178D4">
              <w:t>4342.1</w:t>
            </w:r>
          </w:p>
        </w:tc>
        <w:tc>
          <w:tcPr>
            <w:tcW w:w="1107" w:type="dxa"/>
            <w:gridSpan w:val="2"/>
            <w:noWrap/>
            <w:hideMark/>
          </w:tcPr>
          <w:p w:rsidR="009F3EFD" w:rsidRPr="00A178D4" w:rsidRDefault="009F3EFD" w:rsidP="00A178D4">
            <w:pPr>
              <w:cnfStyle w:val="000000000000" w:firstRow="0" w:lastRow="0" w:firstColumn="0" w:lastColumn="0" w:oddVBand="0" w:evenVBand="0" w:oddHBand="0" w:evenHBand="0" w:firstRowFirstColumn="0" w:firstRowLastColumn="0" w:lastRowFirstColumn="0" w:lastRowLastColumn="0"/>
            </w:pPr>
            <w:r w:rsidRPr="00A178D4">
              <w:t>4910.3</w:t>
            </w:r>
          </w:p>
        </w:tc>
        <w:tc>
          <w:tcPr>
            <w:tcW w:w="1107" w:type="dxa"/>
            <w:gridSpan w:val="2"/>
            <w:noWrap/>
            <w:hideMark/>
          </w:tcPr>
          <w:p w:rsidR="009F3EFD" w:rsidRPr="00A178D4" w:rsidRDefault="009F3EFD" w:rsidP="00A178D4">
            <w:pPr>
              <w:cnfStyle w:val="000000000000" w:firstRow="0" w:lastRow="0" w:firstColumn="0" w:lastColumn="0" w:oddVBand="0" w:evenVBand="0" w:oddHBand="0" w:evenHBand="0" w:firstRowFirstColumn="0" w:firstRowLastColumn="0" w:lastRowFirstColumn="0" w:lastRowLastColumn="0"/>
            </w:pPr>
            <w:r w:rsidRPr="00A178D4">
              <w:t>5346.0</w:t>
            </w:r>
          </w:p>
        </w:tc>
        <w:tc>
          <w:tcPr>
            <w:tcW w:w="1107" w:type="dxa"/>
            <w:noWrap/>
            <w:hideMark/>
          </w:tcPr>
          <w:p w:rsidR="009F3EFD" w:rsidRPr="00A178D4" w:rsidRDefault="009F3EFD" w:rsidP="00A178D4">
            <w:pPr>
              <w:cnfStyle w:val="000000000000" w:firstRow="0" w:lastRow="0" w:firstColumn="0" w:lastColumn="0" w:oddVBand="0" w:evenVBand="0" w:oddHBand="0" w:evenHBand="0" w:firstRowFirstColumn="0" w:firstRowLastColumn="0" w:lastRowFirstColumn="0" w:lastRowLastColumn="0"/>
            </w:pPr>
            <w:r w:rsidRPr="00A178D4">
              <w:t>5787.8</w:t>
            </w:r>
          </w:p>
        </w:tc>
      </w:tr>
      <w:tr w:rsidR="009F3EFD" w:rsidRPr="009F3EFD" w:rsidTr="008B09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hideMark/>
          </w:tcPr>
          <w:p w:rsidR="009F3EFD" w:rsidRPr="009F3EFD" w:rsidRDefault="009F3EFD" w:rsidP="009F3EFD">
            <w:r w:rsidRPr="009F3EFD">
              <w:t>Difference between estimated and actual capex (1 July  2008 to 30 June 2009)</w:t>
            </w:r>
          </w:p>
        </w:tc>
        <w:tc>
          <w:tcPr>
            <w:tcW w:w="1106"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 </w:t>
            </w:r>
          </w:p>
        </w:tc>
        <w:tc>
          <w:tcPr>
            <w:tcW w:w="1107"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 </w:t>
            </w:r>
          </w:p>
        </w:tc>
        <w:tc>
          <w:tcPr>
            <w:tcW w:w="1107"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 </w:t>
            </w:r>
          </w:p>
        </w:tc>
        <w:tc>
          <w:tcPr>
            <w:tcW w:w="1107" w:type="dxa"/>
            <w:gridSpan w:val="2"/>
            <w:noWrap/>
            <w:hideMark/>
          </w:tcPr>
          <w:p w:rsidR="009F3EFD" w:rsidRPr="009F3EFD" w:rsidRDefault="009F3EFD" w:rsidP="009F3EFD">
            <w:pPr>
              <w:cnfStyle w:val="000000010000" w:firstRow="0" w:lastRow="0" w:firstColumn="0" w:lastColumn="0" w:oddVBand="0" w:evenVBand="0" w:oddHBand="0" w:evenHBand="1" w:firstRowFirstColumn="0" w:firstRowLastColumn="0" w:lastRowFirstColumn="0" w:lastRowLastColumn="0"/>
            </w:pPr>
            <w:r w:rsidRPr="009F3EFD">
              <w:t> </w:t>
            </w:r>
          </w:p>
        </w:tc>
        <w:tc>
          <w:tcPr>
            <w:tcW w:w="1107" w:type="dxa"/>
            <w:noWrap/>
            <w:hideMark/>
          </w:tcPr>
          <w:p w:rsidR="009F3EFD" w:rsidRPr="009F3EFD" w:rsidRDefault="001B7707" w:rsidP="009F3EFD">
            <w:pPr>
              <w:cnfStyle w:val="000000010000" w:firstRow="0" w:lastRow="0" w:firstColumn="0" w:lastColumn="0" w:oddVBand="0" w:evenVBand="0" w:oddHBand="0" w:evenHBand="1" w:firstRowFirstColumn="0" w:firstRowLastColumn="0" w:lastRowFirstColumn="0" w:lastRowLastColumn="0"/>
            </w:pPr>
            <w:r>
              <w:t>–</w:t>
            </w:r>
            <w:r w:rsidR="009F3EFD" w:rsidRPr="009F3EFD">
              <w:t>116.6</w:t>
            </w:r>
          </w:p>
        </w:tc>
      </w:tr>
      <w:tr w:rsidR="009F3EFD" w:rsidRPr="009F3EFD" w:rsidTr="008B0934">
        <w:trPr>
          <w:trHeight w:val="300"/>
        </w:trPr>
        <w:tc>
          <w:tcPr>
            <w:cnfStyle w:val="001000000000" w:firstRow="0" w:lastRow="0" w:firstColumn="1" w:lastColumn="0" w:oddVBand="0" w:evenVBand="0" w:oddHBand="0" w:evenHBand="0" w:firstRowFirstColumn="0" w:firstRowLastColumn="0" w:lastRowFirstColumn="0" w:lastRowLastColumn="0"/>
            <w:tcW w:w="3221" w:type="dxa"/>
            <w:hideMark/>
          </w:tcPr>
          <w:p w:rsidR="009F3EFD" w:rsidRPr="009F3EFD" w:rsidRDefault="009F3EFD" w:rsidP="009F3EFD">
            <w:r w:rsidRPr="009F3EFD">
              <w:t>Return on difference for 2008–09 capex</w:t>
            </w:r>
          </w:p>
        </w:tc>
        <w:tc>
          <w:tcPr>
            <w:tcW w:w="1106"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 </w:t>
            </w:r>
          </w:p>
        </w:tc>
        <w:tc>
          <w:tcPr>
            <w:tcW w:w="1107"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 </w:t>
            </w:r>
          </w:p>
        </w:tc>
        <w:tc>
          <w:tcPr>
            <w:tcW w:w="1107"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 </w:t>
            </w:r>
          </w:p>
        </w:tc>
        <w:tc>
          <w:tcPr>
            <w:tcW w:w="1107"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 </w:t>
            </w:r>
          </w:p>
        </w:tc>
        <w:tc>
          <w:tcPr>
            <w:tcW w:w="1107" w:type="dxa"/>
            <w:noWrap/>
            <w:hideMark/>
          </w:tcPr>
          <w:p w:rsidR="009F3EFD" w:rsidRPr="009F3EFD" w:rsidRDefault="001B7707" w:rsidP="009F3EFD">
            <w:pPr>
              <w:cnfStyle w:val="000000000000" w:firstRow="0" w:lastRow="0" w:firstColumn="0" w:lastColumn="0" w:oddVBand="0" w:evenVBand="0" w:oddHBand="0" w:evenHBand="0" w:firstRowFirstColumn="0" w:firstRowLastColumn="0" w:lastRowFirstColumn="0" w:lastRowLastColumn="0"/>
            </w:pPr>
            <w:r>
              <w:t>–</w:t>
            </w:r>
            <w:r w:rsidR="009F3EFD" w:rsidRPr="009F3EFD">
              <w:t>71.2</w:t>
            </w:r>
          </w:p>
        </w:tc>
      </w:tr>
      <w:tr w:rsidR="009F3EFD" w:rsidRPr="00A178D4" w:rsidTr="008B09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7" w:type="dxa"/>
            <w:gridSpan w:val="2"/>
            <w:noWrap/>
            <w:hideMark/>
          </w:tcPr>
          <w:p w:rsidR="009F3EFD" w:rsidRPr="00A178D4" w:rsidRDefault="009F3EFD" w:rsidP="00A178D4">
            <w:r w:rsidRPr="00A178D4">
              <w:t>Closing RAB as at 30 June 2014</w:t>
            </w:r>
          </w:p>
        </w:tc>
        <w:tc>
          <w:tcPr>
            <w:tcW w:w="976" w:type="dxa"/>
            <w:gridSpan w:val="2"/>
            <w:noWrap/>
            <w:hideMark/>
          </w:tcPr>
          <w:p w:rsidR="009F3EFD" w:rsidRPr="00A178D4" w:rsidRDefault="009F3EFD" w:rsidP="00A178D4">
            <w:pPr>
              <w:cnfStyle w:val="000000010000" w:firstRow="0" w:lastRow="0" w:firstColumn="0" w:lastColumn="0" w:oddVBand="0" w:evenVBand="0" w:oddHBand="0" w:evenHBand="1" w:firstRowFirstColumn="0" w:firstRowLastColumn="0" w:lastRowFirstColumn="0" w:lastRowLastColumn="0"/>
            </w:pPr>
            <w:r w:rsidRPr="00A178D4">
              <w:t> </w:t>
            </w:r>
          </w:p>
        </w:tc>
        <w:tc>
          <w:tcPr>
            <w:tcW w:w="976" w:type="dxa"/>
            <w:gridSpan w:val="2"/>
            <w:noWrap/>
            <w:hideMark/>
          </w:tcPr>
          <w:p w:rsidR="009F3EFD" w:rsidRPr="00A178D4" w:rsidRDefault="009F3EFD" w:rsidP="00A178D4">
            <w:pPr>
              <w:cnfStyle w:val="000000010000" w:firstRow="0" w:lastRow="0" w:firstColumn="0" w:lastColumn="0" w:oddVBand="0" w:evenVBand="0" w:oddHBand="0" w:evenHBand="1" w:firstRowFirstColumn="0" w:firstRowLastColumn="0" w:lastRowFirstColumn="0" w:lastRowLastColumn="0"/>
            </w:pPr>
            <w:r w:rsidRPr="00A178D4">
              <w:t> </w:t>
            </w:r>
          </w:p>
        </w:tc>
        <w:tc>
          <w:tcPr>
            <w:tcW w:w="976" w:type="dxa"/>
            <w:gridSpan w:val="2"/>
            <w:noWrap/>
            <w:hideMark/>
          </w:tcPr>
          <w:p w:rsidR="009F3EFD" w:rsidRPr="00A178D4" w:rsidRDefault="009F3EFD" w:rsidP="00A178D4">
            <w:pPr>
              <w:cnfStyle w:val="000000010000" w:firstRow="0" w:lastRow="0" w:firstColumn="0" w:lastColumn="0" w:oddVBand="0" w:evenVBand="0" w:oddHBand="0" w:evenHBand="1" w:firstRowFirstColumn="0" w:firstRowLastColumn="0" w:lastRowFirstColumn="0" w:lastRowLastColumn="0"/>
            </w:pPr>
            <w:r w:rsidRPr="00A178D4">
              <w:t> </w:t>
            </w:r>
          </w:p>
        </w:tc>
        <w:tc>
          <w:tcPr>
            <w:tcW w:w="1630" w:type="dxa"/>
            <w:gridSpan w:val="2"/>
            <w:noWrap/>
            <w:hideMark/>
          </w:tcPr>
          <w:p w:rsidR="009F3EFD" w:rsidRPr="00A178D4" w:rsidRDefault="009F3EFD" w:rsidP="00A178D4">
            <w:pPr>
              <w:cnfStyle w:val="000000010000" w:firstRow="0" w:lastRow="0" w:firstColumn="0" w:lastColumn="0" w:oddVBand="0" w:evenVBand="0" w:oddHBand="0" w:evenHBand="1" w:firstRowFirstColumn="0" w:firstRowLastColumn="0" w:lastRowFirstColumn="0" w:lastRowLastColumn="0"/>
            </w:pPr>
            <w:r w:rsidRPr="00A178D4">
              <w:t>5600.1</w:t>
            </w:r>
          </w:p>
        </w:tc>
      </w:tr>
      <w:tr w:rsidR="009F3EFD" w:rsidRPr="009F3EFD" w:rsidTr="008B0934">
        <w:trPr>
          <w:trHeight w:val="300"/>
        </w:trPr>
        <w:tc>
          <w:tcPr>
            <w:cnfStyle w:val="001000000000" w:firstRow="0" w:lastRow="0" w:firstColumn="1" w:lastColumn="0" w:oddVBand="0" w:evenVBand="0" w:oddHBand="0" w:evenHBand="0" w:firstRowFirstColumn="0" w:firstRowLastColumn="0" w:lastRowFirstColumn="0" w:lastRowLastColumn="0"/>
            <w:tcW w:w="3221" w:type="dxa"/>
            <w:hideMark/>
          </w:tcPr>
          <w:p w:rsidR="009F3EFD" w:rsidRPr="009F3EFD" w:rsidRDefault="009F3EFD" w:rsidP="008B0934">
            <w:r w:rsidRPr="009F3EFD">
              <w:t xml:space="preserve">Meters moved to </w:t>
            </w:r>
            <w:r w:rsidR="008B0934">
              <w:t>alternative control services</w:t>
            </w:r>
          </w:p>
        </w:tc>
        <w:tc>
          <w:tcPr>
            <w:tcW w:w="976" w:type="dxa"/>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 </w:t>
            </w:r>
          </w:p>
        </w:tc>
        <w:tc>
          <w:tcPr>
            <w:tcW w:w="976"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 </w:t>
            </w:r>
          </w:p>
        </w:tc>
        <w:tc>
          <w:tcPr>
            <w:tcW w:w="976"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 </w:t>
            </w:r>
          </w:p>
        </w:tc>
        <w:tc>
          <w:tcPr>
            <w:tcW w:w="976" w:type="dxa"/>
            <w:gridSpan w:val="2"/>
            <w:noWrap/>
            <w:hideMark/>
          </w:tcPr>
          <w:p w:rsidR="009F3EFD" w:rsidRPr="009F3EFD" w:rsidRDefault="009F3EFD" w:rsidP="009F3EFD">
            <w:pPr>
              <w:cnfStyle w:val="000000000000" w:firstRow="0" w:lastRow="0" w:firstColumn="0" w:lastColumn="0" w:oddVBand="0" w:evenVBand="0" w:oddHBand="0" w:evenHBand="0" w:firstRowFirstColumn="0" w:firstRowLastColumn="0" w:lastRowFirstColumn="0" w:lastRowLastColumn="0"/>
            </w:pPr>
            <w:r w:rsidRPr="009F3EFD">
              <w:t> </w:t>
            </w:r>
          </w:p>
        </w:tc>
        <w:tc>
          <w:tcPr>
            <w:tcW w:w="1630" w:type="dxa"/>
            <w:gridSpan w:val="2"/>
            <w:noWrap/>
            <w:hideMark/>
          </w:tcPr>
          <w:p w:rsidR="009F3EFD" w:rsidRPr="009F3EFD" w:rsidRDefault="001B7707" w:rsidP="009F3EFD">
            <w:pPr>
              <w:cnfStyle w:val="000000000000" w:firstRow="0" w:lastRow="0" w:firstColumn="0" w:lastColumn="0" w:oddVBand="0" w:evenVBand="0" w:oddHBand="0" w:evenHBand="0" w:firstRowFirstColumn="0" w:firstRowLastColumn="0" w:lastRowFirstColumn="0" w:lastRowLastColumn="0"/>
            </w:pPr>
            <w:r>
              <w:t>–</w:t>
            </w:r>
            <w:r w:rsidR="009F3EFD" w:rsidRPr="009F3EFD">
              <w:t>18.8</w:t>
            </w:r>
          </w:p>
        </w:tc>
      </w:tr>
      <w:tr w:rsidR="009F3EFD" w:rsidRPr="001B7707" w:rsidTr="008B09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7" w:type="dxa"/>
            <w:gridSpan w:val="2"/>
            <w:noWrap/>
            <w:hideMark/>
          </w:tcPr>
          <w:p w:rsidR="009F3EFD" w:rsidRPr="001B7707" w:rsidRDefault="009F3EFD" w:rsidP="009F3EFD">
            <w:pPr>
              <w:rPr>
                <w:rStyle w:val="Strong"/>
              </w:rPr>
            </w:pPr>
            <w:r w:rsidRPr="001B7707">
              <w:rPr>
                <w:rStyle w:val="Strong"/>
              </w:rPr>
              <w:t>Opening RAB as at 1 July 2014</w:t>
            </w:r>
          </w:p>
        </w:tc>
        <w:tc>
          <w:tcPr>
            <w:tcW w:w="976" w:type="dxa"/>
            <w:gridSpan w:val="2"/>
            <w:noWrap/>
            <w:hideMark/>
          </w:tcPr>
          <w:p w:rsidR="009F3EFD" w:rsidRPr="001B7707" w:rsidRDefault="009F3EFD" w:rsidP="009F3EFD">
            <w:pPr>
              <w:cnfStyle w:val="000000010000" w:firstRow="0" w:lastRow="0" w:firstColumn="0" w:lastColumn="0" w:oddVBand="0" w:evenVBand="0" w:oddHBand="0" w:evenHBand="1" w:firstRowFirstColumn="0" w:firstRowLastColumn="0" w:lastRowFirstColumn="0" w:lastRowLastColumn="0"/>
              <w:rPr>
                <w:rStyle w:val="Strong"/>
              </w:rPr>
            </w:pPr>
            <w:r w:rsidRPr="001B7707">
              <w:rPr>
                <w:rStyle w:val="Strong"/>
              </w:rPr>
              <w:t> </w:t>
            </w:r>
          </w:p>
        </w:tc>
        <w:tc>
          <w:tcPr>
            <w:tcW w:w="976" w:type="dxa"/>
            <w:gridSpan w:val="2"/>
            <w:noWrap/>
            <w:hideMark/>
          </w:tcPr>
          <w:p w:rsidR="009F3EFD" w:rsidRPr="001B7707" w:rsidRDefault="009F3EFD" w:rsidP="009F3EFD">
            <w:pPr>
              <w:cnfStyle w:val="000000010000" w:firstRow="0" w:lastRow="0" w:firstColumn="0" w:lastColumn="0" w:oddVBand="0" w:evenVBand="0" w:oddHBand="0" w:evenHBand="1" w:firstRowFirstColumn="0" w:firstRowLastColumn="0" w:lastRowFirstColumn="0" w:lastRowLastColumn="0"/>
              <w:rPr>
                <w:rStyle w:val="Strong"/>
              </w:rPr>
            </w:pPr>
            <w:r w:rsidRPr="001B7707">
              <w:rPr>
                <w:rStyle w:val="Strong"/>
              </w:rPr>
              <w:t> </w:t>
            </w:r>
          </w:p>
        </w:tc>
        <w:tc>
          <w:tcPr>
            <w:tcW w:w="976" w:type="dxa"/>
            <w:gridSpan w:val="2"/>
            <w:noWrap/>
            <w:hideMark/>
          </w:tcPr>
          <w:p w:rsidR="009F3EFD" w:rsidRPr="001B7707" w:rsidRDefault="009F3EFD" w:rsidP="009F3EFD">
            <w:pPr>
              <w:cnfStyle w:val="000000010000" w:firstRow="0" w:lastRow="0" w:firstColumn="0" w:lastColumn="0" w:oddVBand="0" w:evenVBand="0" w:oddHBand="0" w:evenHBand="1" w:firstRowFirstColumn="0" w:firstRowLastColumn="0" w:lastRowFirstColumn="0" w:lastRowLastColumn="0"/>
              <w:rPr>
                <w:rStyle w:val="Strong"/>
              </w:rPr>
            </w:pPr>
            <w:r w:rsidRPr="001B7707">
              <w:rPr>
                <w:rStyle w:val="Strong"/>
              </w:rPr>
              <w:t> </w:t>
            </w:r>
          </w:p>
        </w:tc>
        <w:tc>
          <w:tcPr>
            <w:tcW w:w="1630" w:type="dxa"/>
            <w:gridSpan w:val="2"/>
            <w:noWrap/>
            <w:hideMark/>
          </w:tcPr>
          <w:p w:rsidR="009F3EFD" w:rsidRPr="001B7707" w:rsidRDefault="009F3EFD" w:rsidP="009F3EFD">
            <w:pPr>
              <w:cnfStyle w:val="000000010000" w:firstRow="0" w:lastRow="0" w:firstColumn="0" w:lastColumn="0" w:oddVBand="0" w:evenVBand="0" w:oddHBand="0" w:evenHBand="1" w:firstRowFirstColumn="0" w:firstRowLastColumn="0" w:lastRowFirstColumn="0" w:lastRowLastColumn="0"/>
              <w:rPr>
                <w:rStyle w:val="Strong"/>
              </w:rPr>
            </w:pPr>
            <w:r w:rsidRPr="001B7707">
              <w:rPr>
                <w:rStyle w:val="Strong"/>
              </w:rPr>
              <w:t>5581.3</w:t>
            </w:r>
          </w:p>
        </w:tc>
      </w:tr>
    </w:tbl>
    <w:p w:rsidR="008B0934" w:rsidRDefault="001B7707" w:rsidP="008B0934">
      <w:pPr>
        <w:pStyle w:val="AERtablesource"/>
      </w:pPr>
      <w:r>
        <w:t>Source:</w:t>
      </w:r>
      <w:r>
        <w:tab/>
      </w:r>
      <w:r w:rsidR="00AD471E">
        <w:t>AER analysis.</w:t>
      </w:r>
      <w:r w:rsidR="008B0934" w:rsidRPr="008B0934">
        <w:t xml:space="preserve"> </w:t>
      </w:r>
    </w:p>
    <w:p w:rsidR="003805CA" w:rsidRDefault="008B0934" w:rsidP="001B7707">
      <w:pPr>
        <w:pStyle w:val="AERtablesource"/>
      </w:pPr>
      <w:r>
        <w:t>(a)</w:t>
      </w:r>
      <w:r>
        <w:tab/>
        <w:t>Net of disposals and capital contributions, and adjusted for CPI.</w:t>
      </w:r>
    </w:p>
    <w:p w:rsidR="001B7707" w:rsidRDefault="001B7707" w:rsidP="001B7707">
      <w:pPr>
        <w:pStyle w:val="Caption"/>
      </w:pPr>
      <w:bookmarkStart w:id="15" w:name="_Ref413075542"/>
      <w:proofErr w:type="gramStart"/>
      <w:r>
        <w:t xml:space="preserve">Table </w:t>
      </w:r>
      <w:proofErr w:type="gramEnd"/>
      <w:r w:rsidR="000E5E2E">
        <w:fldChar w:fldCharType="begin"/>
      </w:r>
      <w:r w:rsidR="000E5E2E">
        <w:instrText xml:space="preserve"> STYLEREF 1 \s </w:instrText>
      </w:r>
      <w:r w:rsidR="000E5E2E">
        <w:fldChar w:fldCharType="separate"/>
      </w:r>
      <w:r w:rsidR="001F7F38">
        <w:rPr>
          <w:noProof/>
        </w:rPr>
        <w:t>2</w:t>
      </w:r>
      <w:r w:rsidR="000E5E2E">
        <w:rPr>
          <w:noProof/>
        </w:rPr>
        <w:fldChar w:fldCharType="end"/>
      </w:r>
      <w:proofErr w:type="gramStart"/>
      <w:r w:rsidR="001F7F38">
        <w:t>.</w:t>
      </w:r>
      <w:proofErr w:type="gramEnd"/>
      <w:r w:rsidR="006A1A89">
        <w:fldChar w:fldCharType="begin"/>
      </w:r>
      <w:r w:rsidR="006A1A89">
        <w:instrText xml:space="preserve"> SEQ Table \* ARABIC \s 1 </w:instrText>
      </w:r>
      <w:r w:rsidR="006A1A89">
        <w:fldChar w:fldCharType="separate"/>
      </w:r>
      <w:r w:rsidR="001F7F38">
        <w:rPr>
          <w:noProof/>
        </w:rPr>
        <w:t>2</w:t>
      </w:r>
      <w:r w:rsidR="006A1A89">
        <w:rPr>
          <w:noProof/>
        </w:rPr>
        <w:fldChar w:fldCharType="end"/>
      </w:r>
      <w:bookmarkEnd w:id="15"/>
      <w:r>
        <w:tab/>
      </w:r>
      <w:r w:rsidRPr="001B7707">
        <w:t xml:space="preserve">AER's </w:t>
      </w:r>
      <w:r>
        <w:t>final</w:t>
      </w:r>
      <w:r w:rsidRPr="001B7707">
        <w:t xml:space="preserve"> decision on Endeavour Energy's RAB for the 2014–19 period</w:t>
      </w:r>
      <w:r>
        <w:t xml:space="preserve"> </w:t>
      </w:r>
      <w:r w:rsidRPr="001B7707">
        <w:t>($</w:t>
      </w:r>
      <w:r>
        <w:t> </w:t>
      </w:r>
      <w:r w:rsidRPr="001B7707">
        <w:t>million, nominal)</w:t>
      </w:r>
    </w:p>
    <w:tbl>
      <w:tblPr>
        <w:tblStyle w:val="AERtable-numbers"/>
        <w:tblW w:w="8755" w:type="dxa"/>
        <w:tblLayout w:type="fixed"/>
        <w:tblLook w:val="04A0" w:firstRow="1" w:lastRow="0" w:firstColumn="1" w:lastColumn="0" w:noHBand="0" w:noVBand="1"/>
      </w:tblPr>
      <w:tblGrid>
        <w:gridCol w:w="3221"/>
        <w:gridCol w:w="1106"/>
        <w:gridCol w:w="1107"/>
        <w:gridCol w:w="1107"/>
        <w:gridCol w:w="1107"/>
        <w:gridCol w:w="1107"/>
      </w:tblGrid>
      <w:tr w:rsidR="001B7707" w:rsidRPr="001B7707" w:rsidTr="0030538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B7707" w:rsidRPr="001B7707" w:rsidRDefault="001B7707" w:rsidP="001B7707">
            <w:r w:rsidRPr="001B7707">
              <w:t> </w:t>
            </w:r>
          </w:p>
        </w:tc>
        <w:tc>
          <w:tcPr>
            <w:tcW w:w="1106" w:type="dxa"/>
            <w:noWrap/>
            <w:hideMark/>
          </w:tcPr>
          <w:p w:rsidR="001B7707" w:rsidRPr="001B7707" w:rsidRDefault="001B7707" w:rsidP="001B7707">
            <w:pPr>
              <w:cnfStyle w:val="100000000000" w:firstRow="1" w:lastRow="0" w:firstColumn="0" w:lastColumn="0" w:oddVBand="0" w:evenVBand="0" w:oddHBand="0" w:evenHBand="0" w:firstRowFirstColumn="0" w:firstRowLastColumn="0" w:lastRowFirstColumn="0" w:lastRowLastColumn="0"/>
            </w:pPr>
            <w:r w:rsidRPr="001B7707">
              <w:t>2014–15</w:t>
            </w:r>
          </w:p>
        </w:tc>
        <w:tc>
          <w:tcPr>
            <w:tcW w:w="1107" w:type="dxa"/>
            <w:noWrap/>
            <w:hideMark/>
          </w:tcPr>
          <w:p w:rsidR="001B7707" w:rsidRPr="001B7707" w:rsidRDefault="001B7707" w:rsidP="001B7707">
            <w:pPr>
              <w:cnfStyle w:val="100000000000" w:firstRow="1" w:lastRow="0" w:firstColumn="0" w:lastColumn="0" w:oddVBand="0" w:evenVBand="0" w:oddHBand="0" w:evenHBand="0" w:firstRowFirstColumn="0" w:firstRowLastColumn="0" w:lastRowFirstColumn="0" w:lastRowLastColumn="0"/>
            </w:pPr>
            <w:r w:rsidRPr="001B7707">
              <w:t>2015–16</w:t>
            </w:r>
          </w:p>
        </w:tc>
        <w:tc>
          <w:tcPr>
            <w:tcW w:w="1107" w:type="dxa"/>
            <w:noWrap/>
            <w:hideMark/>
          </w:tcPr>
          <w:p w:rsidR="001B7707" w:rsidRPr="001B7707" w:rsidRDefault="001B7707" w:rsidP="001B7707">
            <w:pPr>
              <w:cnfStyle w:val="100000000000" w:firstRow="1" w:lastRow="0" w:firstColumn="0" w:lastColumn="0" w:oddVBand="0" w:evenVBand="0" w:oddHBand="0" w:evenHBand="0" w:firstRowFirstColumn="0" w:firstRowLastColumn="0" w:lastRowFirstColumn="0" w:lastRowLastColumn="0"/>
            </w:pPr>
            <w:r w:rsidRPr="001B7707">
              <w:t>2016–17</w:t>
            </w:r>
          </w:p>
        </w:tc>
        <w:tc>
          <w:tcPr>
            <w:tcW w:w="1107" w:type="dxa"/>
            <w:noWrap/>
            <w:hideMark/>
          </w:tcPr>
          <w:p w:rsidR="001B7707" w:rsidRPr="001B7707" w:rsidRDefault="001B7707" w:rsidP="001B7707">
            <w:pPr>
              <w:cnfStyle w:val="100000000000" w:firstRow="1" w:lastRow="0" w:firstColumn="0" w:lastColumn="0" w:oddVBand="0" w:evenVBand="0" w:oddHBand="0" w:evenHBand="0" w:firstRowFirstColumn="0" w:firstRowLastColumn="0" w:lastRowFirstColumn="0" w:lastRowLastColumn="0"/>
            </w:pPr>
            <w:r w:rsidRPr="001B7707">
              <w:t>2017–18</w:t>
            </w:r>
          </w:p>
        </w:tc>
        <w:tc>
          <w:tcPr>
            <w:tcW w:w="1107" w:type="dxa"/>
            <w:noWrap/>
            <w:hideMark/>
          </w:tcPr>
          <w:p w:rsidR="001B7707" w:rsidRPr="001B7707" w:rsidRDefault="001B7707" w:rsidP="001B7707">
            <w:pPr>
              <w:cnfStyle w:val="100000000000" w:firstRow="1" w:lastRow="0" w:firstColumn="0" w:lastColumn="0" w:oddVBand="0" w:evenVBand="0" w:oddHBand="0" w:evenHBand="0" w:firstRowFirstColumn="0" w:firstRowLastColumn="0" w:lastRowFirstColumn="0" w:lastRowLastColumn="0"/>
            </w:pPr>
            <w:r w:rsidRPr="001B7707">
              <w:t>2018–19</w:t>
            </w:r>
          </w:p>
        </w:tc>
      </w:tr>
      <w:tr w:rsidR="00DD0E3E" w:rsidRPr="00A178D4" w:rsidTr="00771737">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DD0E3E" w:rsidRPr="00DD0E3E" w:rsidRDefault="00DD0E3E" w:rsidP="00DD0E3E">
            <w:r w:rsidRPr="00DD0E3E">
              <w:t>Opening RAB</w:t>
            </w:r>
          </w:p>
        </w:tc>
        <w:tc>
          <w:tcPr>
            <w:tcW w:w="1106" w:type="dxa"/>
            <w:noWrap/>
            <w:vAlign w:val="bottom"/>
          </w:tcPr>
          <w:p w:rsidR="00DD0E3E" w:rsidRPr="00DD0E3E" w:rsidRDefault="00DD0E3E" w:rsidP="00DD0E3E">
            <w:pPr>
              <w:cnfStyle w:val="000000000000" w:firstRow="0" w:lastRow="0" w:firstColumn="0" w:lastColumn="0" w:oddVBand="0" w:evenVBand="0" w:oddHBand="0" w:evenHBand="0" w:firstRowFirstColumn="0" w:firstRowLastColumn="0" w:lastRowFirstColumn="0" w:lastRowLastColumn="0"/>
            </w:pPr>
            <w:r w:rsidRPr="00DD0E3E">
              <w:t>5581.3</w:t>
            </w:r>
          </w:p>
        </w:tc>
        <w:tc>
          <w:tcPr>
            <w:tcW w:w="1107" w:type="dxa"/>
            <w:noWrap/>
            <w:vAlign w:val="bottom"/>
          </w:tcPr>
          <w:p w:rsidR="00DD0E3E" w:rsidRPr="00DD0E3E" w:rsidRDefault="00DD0E3E" w:rsidP="00DD0E3E">
            <w:pPr>
              <w:cnfStyle w:val="000000000000" w:firstRow="0" w:lastRow="0" w:firstColumn="0" w:lastColumn="0" w:oddVBand="0" w:evenVBand="0" w:oddHBand="0" w:evenHBand="0" w:firstRowFirstColumn="0" w:firstRowLastColumn="0" w:lastRowFirstColumn="0" w:lastRowLastColumn="0"/>
            </w:pPr>
            <w:r w:rsidRPr="00DD0E3E">
              <w:t>5944.3</w:t>
            </w:r>
          </w:p>
        </w:tc>
        <w:tc>
          <w:tcPr>
            <w:tcW w:w="1107" w:type="dxa"/>
            <w:noWrap/>
            <w:vAlign w:val="bottom"/>
          </w:tcPr>
          <w:p w:rsidR="00DD0E3E" w:rsidRPr="00DD0E3E" w:rsidRDefault="00DD0E3E" w:rsidP="00DD0E3E">
            <w:pPr>
              <w:cnfStyle w:val="000000000000" w:firstRow="0" w:lastRow="0" w:firstColumn="0" w:lastColumn="0" w:oddVBand="0" w:evenVBand="0" w:oddHBand="0" w:evenHBand="0" w:firstRowFirstColumn="0" w:firstRowLastColumn="0" w:lastRowFirstColumn="0" w:lastRowLastColumn="0"/>
            </w:pPr>
            <w:r w:rsidRPr="00DD0E3E">
              <w:t>6223.7</w:t>
            </w:r>
          </w:p>
        </w:tc>
        <w:tc>
          <w:tcPr>
            <w:tcW w:w="1107" w:type="dxa"/>
            <w:noWrap/>
            <w:vAlign w:val="bottom"/>
          </w:tcPr>
          <w:p w:rsidR="00DD0E3E" w:rsidRPr="00DD0E3E" w:rsidRDefault="00DD0E3E" w:rsidP="00DD0E3E">
            <w:pPr>
              <w:cnfStyle w:val="000000000000" w:firstRow="0" w:lastRow="0" w:firstColumn="0" w:lastColumn="0" w:oddVBand="0" w:evenVBand="0" w:oddHBand="0" w:evenHBand="0" w:firstRowFirstColumn="0" w:firstRowLastColumn="0" w:lastRowFirstColumn="0" w:lastRowLastColumn="0"/>
            </w:pPr>
            <w:r w:rsidRPr="00DD0E3E">
              <w:t>6444.0</w:t>
            </w:r>
          </w:p>
        </w:tc>
        <w:tc>
          <w:tcPr>
            <w:tcW w:w="1107" w:type="dxa"/>
            <w:noWrap/>
            <w:vAlign w:val="bottom"/>
          </w:tcPr>
          <w:p w:rsidR="00DD0E3E" w:rsidRPr="00DD0E3E" w:rsidRDefault="00DD0E3E" w:rsidP="00DD0E3E">
            <w:pPr>
              <w:cnfStyle w:val="000000000000" w:firstRow="0" w:lastRow="0" w:firstColumn="0" w:lastColumn="0" w:oddVBand="0" w:evenVBand="0" w:oddHBand="0" w:evenHBand="0" w:firstRowFirstColumn="0" w:firstRowLastColumn="0" w:lastRowFirstColumn="0" w:lastRowLastColumn="0"/>
            </w:pPr>
            <w:r w:rsidRPr="00DD0E3E">
              <w:t>6658.5</w:t>
            </w:r>
          </w:p>
        </w:tc>
      </w:tr>
      <w:tr w:rsidR="00DD0E3E" w:rsidRPr="001B7707" w:rsidTr="007717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DD0E3E" w:rsidRPr="00DD0E3E" w:rsidRDefault="00DD0E3E" w:rsidP="00DD0E3E">
            <w:r w:rsidRPr="00DD0E3E">
              <w:t xml:space="preserve">Capital </w:t>
            </w:r>
            <w:proofErr w:type="spellStart"/>
            <w:r w:rsidRPr="00DD0E3E">
              <w:t>expenditure</w:t>
            </w:r>
            <w:r w:rsidRPr="00DD0E3E">
              <w:rPr>
                <w:rStyle w:val="AERsuperscript"/>
              </w:rPr>
              <w:t>a</w:t>
            </w:r>
            <w:proofErr w:type="spellEnd"/>
            <w:r w:rsidRPr="00DD0E3E">
              <w:t xml:space="preserve"> </w:t>
            </w:r>
          </w:p>
        </w:tc>
        <w:tc>
          <w:tcPr>
            <w:tcW w:w="1106" w:type="dxa"/>
            <w:noWrap/>
            <w:vAlign w:val="bottom"/>
          </w:tcPr>
          <w:p w:rsidR="00DD0E3E" w:rsidRPr="00DD0E3E" w:rsidRDefault="00DD0E3E" w:rsidP="00DD0E3E">
            <w:pPr>
              <w:cnfStyle w:val="000000010000" w:firstRow="0" w:lastRow="0" w:firstColumn="0" w:lastColumn="0" w:oddVBand="0" w:evenVBand="0" w:oddHBand="0" w:evenHBand="1" w:firstRowFirstColumn="0" w:firstRowLastColumn="0" w:lastRowFirstColumn="0" w:lastRowLastColumn="0"/>
            </w:pPr>
            <w:r w:rsidRPr="00DD0E3E">
              <w:t>432.3</w:t>
            </w:r>
          </w:p>
        </w:tc>
        <w:tc>
          <w:tcPr>
            <w:tcW w:w="1107" w:type="dxa"/>
            <w:noWrap/>
            <w:vAlign w:val="bottom"/>
          </w:tcPr>
          <w:p w:rsidR="00DD0E3E" w:rsidRPr="00DD0E3E" w:rsidRDefault="00DD0E3E" w:rsidP="00DD0E3E">
            <w:pPr>
              <w:cnfStyle w:val="000000010000" w:firstRow="0" w:lastRow="0" w:firstColumn="0" w:lastColumn="0" w:oddVBand="0" w:evenVBand="0" w:oddHBand="0" w:evenHBand="1" w:firstRowFirstColumn="0" w:firstRowLastColumn="0" w:lastRowFirstColumn="0" w:lastRowLastColumn="0"/>
            </w:pPr>
            <w:r w:rsidRPr="00DD0E3E">
              <w:t>358.3</w:t>
            </w:r>
          </w:p>
        </w:tc>
        <w:tc>
          <w:tcPr>
            <w:tcW w:w="1107" w:type="dxa"/>
            <w:noWrap/>
            <w:vAlign w:val="bottom"/>
          </w:tcPr>
          <w:p w:rsidR="00DD0E3E" w:rsidRPr="00DD0E3E" w:rsidRDefault="00DD0E3E" w:rsidP="00DD0E3E">
            <w:pPr>
              <w:cnfStyle w:val="000000010000" w:firstRow="0" w:lastRow="0" w:firstColumn="0" w:lastColumn="0" w:oddVBand="0" w:evenVBand="0" w:oddHBand="0" w:evenHBand="1" w:firstRowFirstColumn="0" w:firstRowLastColumn="0" w:lastRowFirstColumn="0" w:lastRowLastColumn="0"/>
            </w:pPr>
            <w:r w:rsidRPr="00DD0E3E">
              <w:t>310.0</w:t>
            </w:r>
          </w:p>
        </w:tc>
        <w:tc>
          <w:tcPr>
            <w:tcW w:w="1107" w:type="dxa"/>
            <w:noWrap/>
            <w:vAlign w:val="bottom"/>
          </w:tcPr>
          <w:p w:rsidR="00DD0E3E" w:rsidRPr="00DD0E3E" w:rsidRDefault="00DD0E3E" w:rsidP="00DD0E3E">
            <w:pPr>
              <w:cnfStyle w:val="000000010000" w:firstRow="0" w:lastRow="0" w:firstColumn="0" w:lastColumn="0" w:oddVBand="0" w:evenVBand="0" w:oddHBand="0" w:evenHBand="1" w:firstRowFirstColumn="0" w:firstRowLastColumn="0" w:lastRowFirstColumn="0" w:lastRowLastColumn="0"/>
            </w:pPr>
            <w:r w:rsidRPr="00DD0E3E">
              <w:t>308.2</w:t>
            </w:r>
          </w:p>
        </w:tc>
        <w:tc>
          <w:tcPr>
            <w:tcW w:w="1107" w:type="dxa"/>
            <w:noWrap/>
            <w:vAlign w:val="bottom"/>
          </w:tcPr>
          <w:p w:rsidR="00DD0E3E" w:rsidRPr="00DD0E3E" w:rsidRDefault="00DD0E3E" w:rsidP="00DD0E3E">
            <w:pPr>
              <w:cnfStyle w:val="000000010000" w:firstRow="0" w:lastRow="0" w:firstColumn="0" w:lastColumn="0" w:oddVBand="0" w:evenVBand="0" w:oddHBand="0" w:evenHBand="1" w:firstRowFirstColumn="0" w:firstRowLastColumn="0" w:lastRowFirstColumn="0" w:lastRowLastColumn="0"/>
            </w:pPr>
            <w:r w:rsidRPr="00DD0E3E">
              <w:t>301.5</w:t>
            </w:r>
          </w:p>
        </w:tc>
      </w:tr>
      <w:tr w:rsidR="00DD0E3E" w:rsidRPr="001B7707" w:rsidTr="00771737">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DD0E3E" w:rsidRPr="00DD0E3E" w:rsidRDefault="00DD0E3E" w:rsidP="00DD0E3E">
            <w:r w:rsidRPr="00DD0E3E">
              <w:t>Inflation indexation on opening RAB</w:t>
            </w:r>
          </w:p>
        </w:tc>
        <w:tc>
          <w:tcPr>
            <w:tcW w:w="1106" w:type="dxa"/>
            <w:noWrap/>
            <w:vAlign w:val="bottom"/>
          </w:tcPr>
          <w:p w:rsidR="00DD0E3E" w:rsidRPr="00DD0E3E" w:rsidRDefault="00DD0E3E" w:rsidP="00DD0E3E">
            <w:pPr>
              <w:cnfStyle w:val="000000000000" w:firstRow="0" w:lastRow="0" w:firstColumn="0" w:lastColumn="0" w:oddVBand="0" w:evenVBand="0" w:oddHBand="0" w:evenHBand="0" w:firstRowFirstColumn="0" w:firstRowLastColumn="0" w:lastRowFirstColumn="0" w:lastRowLastColumn="0"/>
            </w:pPr>
            <w:r w:rsidRPr="00DD0E3E">
              <w:t>132.8</w:t>
            </w:r>
          </w:p>
        </w:tc>
        <w:tc>
          <w:tcPr>
            <w:tcW w:w="1107" w:type="dxa"/>
            <w:noWrap/>
            <w:vAlign w:val="bottom"/>
          </w:tcPr>
          <w:p w:rsidR="00DD0E3E" w:rsidRPr="00DD0E3E" w:rsidRDefault="00DD0E3E" w:rsidP="00DD0E3E">
            <w:pPr>
              <w:cnfStyle w:val="000000000000" w:firstRow="0" w:lastRow="0" w:firstColumn="0" w:lastColumn="0" w:oddVBand="0" w:evenVBand="0" w:oddHBand="0" w:evenHBand="0" w:firstRowFirstColumn="0" w:firstRowLastColumn="0" w:lastRowFirstColumn="0" w:lastRowLastColumn="0"/>
            </w:pPr>
            <w:r w:rsidRPr="00DD0E3E">
              <w:t>141.5</w:t>
            </w:r>
          </w:p>
        </w:tc>
        <w:tc>
          <w:tcPr>
            <w:tcW w:w="1107" w:type="dxa"/>
            <w:noWrap/>
            <w:vAlign w:val="bottom"/>
          </w:tcPr>
          <w:p w:rsidR="00DD0E3E" w:rsidRPr="00DD0E3E" w:rsidRDefault="00DD0E3E" w:rsidP="00DD0E3E">
            <w:pPr>
              <w:cnfStyle w:val="000000000000" w:firstRow="0" w:lastRow="0" w:firstColumn="0" w:lastColumn="0" w:oddVBand="0" w:evenVBand="0" w:oddHBand="0" w:evenHBand="0" w:firstRowFirstColumn="0" w:firstRowLastColumn="0" w:lastRowFirstColumn="0" w:lastRowLastColumn="0"/>
            </w:pPr>
            <w:r w:rsidRPr="00DD0E3E">
              <w:t>148.1</w:t>
            </w:r>
          </w:p>
        </w:tc>
        <w:tc>
          <w:tcPr>
            <w:tcW w:w="1107" w:type="dxa"/>
            <w:noWrap/>
            <w:vAlign w:val="bottom"/>
          </w:tcPr>
          <w:p w:rsidR="00DD0E3E" w:rsidRPr="00DD0E3E" w:rsidRDefault="00DD0E3E" w:rsidP="00DD0E3E">
            <w:pPr>
              <w:cnfStyle w:val="000000000000" w:firstRow="0" w:lastRow="0" w:firstColumn="0" w:lastColumn="0" w:oddVBand="0" w:evenVBand="0" w:oddHBand="0" w:evenHBand="0" w:firstRowFirstColumn="0" w:firstRowLastColumn="0" w:lastRowFirstColumn="0" w:lastRowLastColumn="0"/>
            </w:pPr>
            <w:r w:rsidRPr="00DD0E3E">
              <w:t>153.4</w:t>
            </w:r>
          </w:p>
        </w:tc>
        <w:tc>
          <w:tcPr>
            <w:tcW w:w="1107" w:type="dxa"/>
            <w:noWrap/>
            <w:vAlign w:val="bottom"/>
          </w:tcPr>
          <w:p w:rsidR="00DD0E3E" w:rsidRPr="00DD0E3E" w:rsidRDefault="00DD0E3E" w:rsidP="00DD0E3E">
            <w:pPr>
              <w:cnfStyle w:val="000000000000" w:firstRow="0" w:lastRow="0" w:firstColumn="0" w:lastColumn="0" w:oddVBand="0" w:evenVBand="0" w:oddHBand="0" w:evenHBand="0" w:firstRowFirstColumn="0" w:firstRowLastColumn="0" w:lastRowFirstColumn="0" w:lastRowLastColumn="0"/>
            </w:pPr>
            <w:r w:rsidRPr="00DD0E3E">
              <w:t>158.5</w:t>
            </w:r>
          </w:p>
        </w:tc>
      </w:tr>
      <w:tr w:rsidR="00DD0E3E" w:rsidRPr="001B7707" w:rsidTr="007717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DD0E3E" w:rsidRPr="00DD0E3E" w:rsidRDefault="00DD0E3E" w:rsidP="00DD0E3E">
            <w:r w:rsidRPr="00DD0E3E">
              <w:rPr>
                <w:rStyle w:val="AERtextitalic"/>
              </w:rPr>
              <w:t>Less:</w:t>
            </w:r>
            <w:r w:rsidRPr="00DD0E3E">
              <w:t xml:space="preserve"> straight-line depreciation</w:t>
            </w:r>
          </w:p>
        </w:tc>
        <w:tc>
          <w:tcPr>
            <w:tcW w:w="1106" w:type="dxa"/>
            <w:noWrap/>
            <w:vAlign w:val="bottom"/>
          </w:tcPr>
          <w:p w:rsidR="00DD0E3E" w:rsidRPr="00DD0E3E" w:rsidRDefault="00DD0E3E" w:rsidP="00DD0E3E">
            <w:pPr>
              <w:cnfStyle w:val="000000010000" w:firstRow="0" w:lastRow="0" w:firstColumn="0" w:lastColumn="0" w:oddVBand="0" w:evenVBand="0" w:oddHBand="0" w:evenHBand="1" w:firstRowFirstColumn="0" w:firstRowLastColumn="0" w:lastRowFirstColumn="0" w:lastRowLastColumn="0"/>
            </w:pPr>
            <w:r w:rsidRPr="00DD0E3E">
              <w:t>202.1</w:t>
            </w:r>
          </w:p>
        </w:tc>
        <w:tc>
          <w:tcPr>
            <w:tcW w:w="1107" w:type="dxa"/>
            <w:noWrap/>
            <w:vAlign w:val="bottom"/>
          </w:tcPr>
          <w:p w:rsidR="00DD0E3E" w:rsidRPr="00DD0E3E" w:rsidRDefault="00DD0E3E" w:rsidP="00DD0E3E">
            <w:pPr>
              <w:cnfStyle w:val="000000010000" w:firstRow="0" w:lastRow="0" w:firstColumn="0" w:lastColumn="0" w:oddVBand="0" w:evenVBand="0" w:oddHBand="0" w:evenHBand="1" w:firstRowFirstColumn="0" w:firstRowLastColumn="0" w:lastRowFirstColumn="0" w:lastRowLastColumn="0"/>
            </w:pPr>
            <w:r w:rsidRPr="00DD0E3E">
              <w:t>220.4</w:t>
            </w:r>
          </w:p>
        </w:tc>
        <w:tc>
          <w:tcPr>
            <w:tcW w:w="1107" w:type="dxa"/>
            <w:noWrap/>
            <w:vAlign w:val="bottom"/>
          </w:tcPr>
          <w:p w:rsidR="00DD0E3E" w:rsidRPr="00DD0E3E" w:rsidRDefault="00DD0E3E" w:rsidP="00DD0E3E">
            <w:pPr>
              <w:cnfStyle w:val="000000010000" w:firstRow="0" w:lastRow="0" w:firstColumn="0" w:lastColumn="0" w:oddVBand="0" w:evenVBand="0" w:oddHBand="0" w:evenHBand="1" w:firstRowFirstColumn="0" w:firstRowLastColumn="0" w:lastRowFirstColumn="0" w:lastRowLastColumn="0"/>
            </w:pPr>
            <w:r w:rsidRPr="00DD0E3E">
              <w:t>237.8</w:t>
            </w:r>
          </w:p>
        </w:tc>
        <w:tc>
          <w:tcPr>
            <w:tcW w:w="1107" w:type="dxa"/>
            <w:noWrap/>
            <w:vAlign w:val="bottom"/>
          </w:tcPr>
          <w:p w:rsidR="00DD0E3E" w:rsidRPr="00DD0E3E" w:rsidRDefault="00DD0E3E" w:rsidP="00DD0E3E">
            <w:pPr>
              <w:cnfStyle w:val="000000010000" w:firstRow="0" w:lastRow="0" w:firstColumn="0" w:lastColumn="0" w:oddVBand="0" w:evenVBand="0" w:oddHBand="0" w:evenHBand="1" w:firstRowFirstColumn="0" w:firstRowLastColumn="0" w:lastRowFirstColumn="0" w:lastRowLastColumn="0"/>
            </w:pPr>
            <w:r w:rsidRPr="00DD0E3E">
              <w:t>247.2</w:t>
            </w:r>
          </w:p>
        </w:tc>
        <w:tc>
          <w:tcPr>
            <w:tcW w:w="1107" w:type="dxa"/>
            <w:noWrap/>
            <w:vAlign w:val="bottom"/>
          </w:tcPr>
          <w:p w:rsidR="00DD0E3E" w:rsidRPr="00DD0E3E" w:rsidRDefault="00DD0E3E" w:rsidP="00DD0E3E">
            <w:pPr>
              <w:cnfStyle w:val="000000010000" w:firstRow="0" w:lastRow="0" w:firstColumn="0" w:lastColumn="0" w:oddVBand="0" w:evenVBand="0" w:oddHBand="0" w:evenHBand="1" w:firstRowFirstColumn="0" w:firstRowLastColumn="0" w:lastRowFirstColumn="0" w:lastRowLastColumn="0"/>
            </w:pPr>
            <w:r w:rsidRPr="00DD0E3E">
              <w:t>258.5</w:t>
            </w:r>
          </w:p>
        </w:tc>
      </w:tr>
      <w:tr w:rsidR="00DD0E3E" w:rsidRPr="00B00AF7" w:rsidTr="00771737">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DD0E3E" w:rsidRPr="00B00AF7" w:rsidRDefault="00DD0E3E" w:rsidP="00DD0E3E">
            <w:pPr>
              <w:rPr>
                <w:rStyle w:val="Strong"/>
              </w:rPr>
            </w:pPr>
            <w:r w:rsidRPr="00B00AF7">
              <w:rPr>
                <w:rStyle w:val="Strong"/>
              </w:rPr>
              <w:t>Closing RAB</w:t>
            </w:r>
          </w:p>
        </w:tc>
        <w:tc>
          <w:tcPr>
            <w:tcW w:w="1106" w:type="dxa"/>
            <w:noWrap/>
            <w:vAlign w:val="bottom"/>
          </w:tcPr>
          <w:p w:rsidR="00DD0E3E" w:rsidRPr="00B00AF7" w:rsidRDefault="00DD0E3E" w:rsidP="00DD0E3E">
            <w:pPr>
              <w:cnfStyle w:val="000000000000" w:firstRow="0" w:lastRow="0" w:firstColumn="0" w:lastColumn="0" w:oddVBand="0" w:evenVBand="0" w:oddHBand="0" w:evenHBand="0" w:firstRowFirstColumn="0" w:firstRowLastColumn="0" w:lastRowFirstColumn="0" w:lastRowLastColumn="0"/>
              <w:rPr>
                <w:rStyle w:val="Strong"/>
              </w:rPr>
            </w:pPr>
            <w:r w:rsidRPr="00B00AF7">
              <w:rPr>
                <w:rStyle w:val="Strong"/>
              </w:rPr>
              <w:t>5944.3</w:t>
            </w:r>
          </w:p>
        </w:tc>
        <w:tc>
          <w:tcPr>
            <w:tcW w:w="1107" w:type="dxa"/>
            <w:noWrap/>
            <w:vAlign w:val="bottom"/>
          </w:tcPr>
          <w:p w:rsidR="00DD0E3E" w:rsidRPr="00B00AF7" w:rsidRDefault="00DD0E3E" w:rsidP="00DD0E3E">
            <w:pPr>
              <w:cnfStyle w:val="000000000000" w:firstRow="0" w:lastRow="0" w:firstColumn="0" w:lastColumn="0" w:oddVBand="0" w:evenVBand="0" w:oddHBand="0" w:evenHBand="0" w:firstRowFirstColumn="0" w:firstRowLastColumn="0" w:lastRowFirstColumn="0" w:lastRowLastColumn="0"/>
              <w:rPr>
                <w:rStyle w:val="Strong"/>
              </w:rPr>
            </w:pPr>
            <w:r w:rsidRPr="00B00AF7">
              <w:rPr>
                <w:rStyle w:val="Strong"/>
              </w:rPr>
              <w:t>6223.7</w:t>
            </w:r>
          </w:p>
        </w:tc>
        <w:tc>
          <w:tcPr>
            <w:tcW w:w="1107" w:type="dxa"/>
            <w:noWrap/>
            <w:vAlign w:val="bottom"/>
          </w:tcPr>
          <w:p w:rsidR="00DD0E3E" w:rsidRPr="00B00AF7" w:rsidRDefault="00DD0E3E" w:rsidP="00F87520">
            <w:pPr>
              <w:cnfStyle w:val="000000000000" w:firstRow="0" w:lastRow="0" w:firstColumn="0" w:lastColumn="0" w:oddVBand="0" w:evenVBand="0" w:oddHBand="0" w:evenHBand="0" w:firstRowFirstColumn="0" w:firstRowLastColumn="0" w:lastRowFirstColumn="0" w:lastRowLastColumn="0"/>
              <w:rPr>
                <w:rStyle w:val="Strong"/>
              </w:rPr>
            </w:pPr>
            <w:r w:rsidRPr="00B00AF7">
              <w:rPr>
                <w:rStyle w:val="Strong"/>
              </w:rPr>
              <w:t>6444.</w:t>
            </w:r>
            <w:r w:rsidR="00F87520" w:rsidRPr="00B00AF7">
              <w:rPr>
                <w:rStyle w:val="Strong"/>
              </w:rPr>
              <w:t>0</w:t>
            </w:r>
          </w:p>
        </w:tc>
        <w:tc>
          <w:tcPr>
            <w:tcW w:w="1107" w:type="dxa"/>
            <w:noWrap/>
            <w:vAlign w:val="bottom"/>
          </w:tcPr>
          <w:p w:rsidR="00DD0E3E" w:rsidRPr="00B00AF7" w:rsidRDefault="00DD0E3E" w:rsidP="00DD0E3E">
            <w:pPr>
              <w:cnfStyle w:val="000000000000" w:firstRow="0" w:lastRow="0" w:firstColumn="0" w:lastColumn="0" w:oddVBand="0" w:evenVBand="0" w:oddHBand="0" w:evenHBand="0" w:firstRowFirstColumn="0" w:firstRowLastColumn="0" w:lastRowFirstColumn="0" w:lastRowLastColumn="0"/>
              <w:rPr>
                <w:rStyle w:val="Strong"/>
              </w:rPr>
            </w:pPr>
            <w:r w:rsidRPr="00B00AF7">
              <w:rPr>
                <w:rStyle w:val="Strong"/>
              </w:rPr>
              <w:t>6658.5</w:t>
            </w:r>
          </w:p>
        </w:tc>
        <w:tc>
          <w:tcPr>
            <w:tcW w:w="1107" w:type="dxa"/>
            <w:noWrap/>
            <w:vAlign w:val="bottom"/>
          </w:tcPr>
          <w:p w:rsidR="00DD0E3E" w:rsidRPr="00B00AF7" w:rsidRDefault="00DD0E3E" w:rsidP="00DD0E3E">
            <w:pPr>
              <w:cnfStyle w:val="000000000000" w:firstRow="0" w:lastRow="0" w:firstColumn="0" w:lastColumn="0" w:oddVBand="0" w:evenVBand="0" w:oddHBand="0" w:evenHBand="0" w:firstRowFirstColumn="0" w:firstRowLastColumn="0" w:lastRowFirstColumn="0" w:lastRowLastColumn="0"/>
              <w:rPr>
                <w:rStyle w:val="Strong"/>
              </w:rPr>
            </w:pPr>
            <w:r w:rsidRPr="00B00AF7">
              <w:rPr>
                <w:rStyle w:val="Strong"/>
              </w:rPr>
              <w:t>6859.9</w:t>
            </w:r>
          </w:p>
        </w:tc>
      </w:tr>
    </w:tbl>
    <w:p w:rsidR="00E9607F" w:rsidRDefault="001B7707" w:rsidP="00E9607F">
      <w:pPr>
        <w:pStyle w:val="AERtablesource"/>
      </w:pPr>
      <w:r>
        <w:t>Source:</w:t>
      </w:r>
      <w:r>
        <w:tab/>
      </w:r>
      <w:r w:rsidR="00E9607F">
        <w:t xml:space="preserve">AER analysis. </w:t>
      </w:r>
    </w:p>
    <w:p w:rsidR="001B7707" w:rsidRDefault="00E9607F" w:rsidP="001B7707">
      <w:pPr>
        <w:pStyle w:val="AERtablesource"/>
      </w:pPr>
      <w:r>
        <w:t>(a)</w:t>
      </w:r>
      <w:r>
        <w:tab/>
        <w:t>Net of forecast disposals and capital contributions.</w:t>
      </w:r>
    </w:p>
    <w:p w:rsidR="00DE563D" w:rsidRPr="001754EE" w:rsidRDefault="00613756" w:rsidP="001754EE">
      <w:pPr>
        <w:pStyle w:val="Heading2"/>
      </w:pPr>
      <w:bookmarkStart w:id="16" w:name="_Toc413851793"/>
      <w:r>
        <w:t>Endeavour</w:t>
      </w:r>
      <w:r w:rsidR="005C21A4">
        <w:t xml:space="preserve"> Energy</w:t>
      </w:r>
      <w:r w:rsidR="00415F31" w:rsidRPr="001754EE">
        <w:t>’s revised</w:t>
      </w:r>
      <w:r w:rsidR="00DE563D" w:rsidRPr="001754EE">
        <w:t xml:space="preserve"> proposal</w:t>
      </w:r>
      <w:bookmarkEnd w:id="13"/>
      <w:bookmarkEnd w:id="16"/>
    </w:p>
    <w:p w:rsidR="00FD28E1" w:rsidRDefault="00C10CB5" w:rsidP="00C10CB5">
      <w:r w:rsidRPr="00C10CB5">
        <w:t>Endeavour Energy</w:t>
      </w:r>
      <w:r w:rsidR="00E9607F">
        <w:t>'s</w:t>
      </w:r>
      <w:r w:rsidRPr="00C10CB5">
        <w:t xml:space="preserve"> </w:t>
      </w:r>
      <w:r w:rsidR="00FD28E1">
        <w:t xml:space="preserve">revised proposal submitted </w:t>
      </w:r>
      <w:r w:rsidRPr="00C10CB5">
        <w:t xml:space="preserve">an opening RAB value as at </w:t>
      </w:r>
      <w:r w:rsidR="00FD28E1" w:rsidRPr="00FD28E1">
        <w:t>1 July 2014 of $5581</w:t>
      </w:r>
      <w:r w:rsidR="00E9607F">
        <w:t>.3</w:t>
      </w:r>
      <w:r w:rsidR="00FD28E1" w:rsidRPr="00FD28E1">
        <w:t> million ($ nominal).</w:t>
      </w:r>
      <w:r>
        <w:t xml:space="preserve"> </w:t>
      </w:r>
      <w:r w:rsidR="00FD28E1">
        <w:t xml:space="preserve">Endeavour Energy </w:t>
      </w:r>
      <w:r w:rsidR="00FD28E1" w:rsidRPr="00FD28E1">
        <w:t xml:space="preserve">adopted all our draft decision adjustments to roll forward the opening RAB from 1 July 2009 to </w:t>
      </w:r>
      <w:r w:rsidR="00AA5C88">
        <w:t>30 June</w:t>
      </w:r>
      <w:r w:rsidR="00FD28E1" w:rsidRPr="00FD28E1">
        <w:t xml:space="preserve"> 2014</w:t>
      </w:r>
      <w:r w:rsidR="00E9607F">
        <w:t>.</w:t>
      </w:r>
      <w:r w:rsidR="00AA5C88">
        <w:rPr>
          <w:rStyle w:val="FootnoteReference"/>
        </w:rPr>
        <w:footnoteReference w:id="4"/>
      </w:r>
      <w:r w:rsidR="00E9607F">
        <w:t xml:space="preserve"> </w:t>
      </w:r>
      <w:r w:rsidR="00E9607F">
        <w:lastRenderedPageBreak/>
        <w:t>Endeavour Energy also updated the revised proposed</w:t>
      </w:r>
      <w:r w:rsidR="00AA5C88">
        <w:t xml:space="preserve"> opening</w:t>
      </w:r>
      <w:r w:rsidR="00E9607F">
        <w:t xml:space="preserve"> RAB to reflect </w:t>
      </w:r>
      <w:r>
        <w:t>actual</w:t>
      </w:r>
      <w:r w:rsidR="00E9607F">
        <w:t xml:space="preserve"> capex for</w:t>
      </w:r>
      <w:r>
        <w:t xml:space="preserve"> 2013–14. </w:t>
      </w:r>
    </w:p>
    <w:p w:rsidR="001F7F38" w:rsidRDefault="001F7F38" w:rsidP="001F7F38">
      <w:r w:rsidRPr="001F7F38">
        <w:t>Endeavour Energy</w:t>
      </w:r>
      <w:r w:rsidR="00E9607F">
        <w:t>'s</w:t>
      </w:r>
      <w:r w:rsidRPr="001F7F38">
        <w:t xml:space="preserve"> </w:t>
      </w:r>
      <w:r w:rsidR="00FD28E1">
        <w:t xml:space="preserve">revised proposal submitted </w:t>
      </w:r>
      <w:r w:rsidRPr="001F7F38">
        <w:t xml:space="preserve">a </w:t>
      </w:r>
      <w:r w:rsidR="00FD28E1">
        <w:t xml:space="preserve">forecast </w:t>
      </w:r>
      <w:r w:rsidRPr="001F7F38">
        <w:t>closing RAB as at 30 June 2019 of $</w:t>
      </w:r>
      <w:r w:rsidR="00FD28E1">
        <w:t>691</w:t>
      </w:r>
      <w:r w:rsidR="00E9607F">
        <w:t>3.6</w:t>
      </w:r>
      <w:r>
        <w:t> </w:t>
      </w:r>
      <w:r w:rsidRPr="001F7F38">
        <w:t>million</w:t>
      </w:r>
      <w:r>
        <w:t xml:space="preserve"> </w:t>
      </w:r>
      <w:r w:rsidRPr="001F7F38">
        <w:t xml:space="preserve">($ nominal). This value reflects its </w:t>
      </w:r>
      <w:r w:rsidR="00E9607F">
        <w:t xml:space="preserve">revised </w:t>
      </w:r>
      <w:r w:rsidRPr="001F7F38">
        <w:t>opening RAB, forecast capex</w:t>
      </w:r>
      <w:r w:rsidR="00AA5C88">
        <w:t xml:space="preserve"> and</w:t>
      </w:r>
      <w:r w:rsidRPr="001F7F38">
        <w:t xml:space="preserve"> forecast depreciation (based on forecast capex) over the 2014–19 </w:t>
      </w:r>
      <w:proofErr w:type="gramStart"/>
      <w:r w:rsidRPr="001F7F38">
        <w:t>period</w:t>
      </w:r>
      <w:proofErr w:type="gramEnd"/>
      <w:r w:rsidRPr="001F7F38">
        <w:t xml:space="preserve">. </w:t>
      </w:r>
      <w:r w:rsidR="00E9607F">
        <w:t>Endeavour Energy's</w:t>
      </w:r>
      <w:r w:rsidRPr="001F7F38">
        <w:t xml:space="preserve"> projected RAB over the 2014–19</w:t>
      </w:r>
      <w:r>
        <w:t xml:space="preserve"> </w:t>
      </w:r>
      <w:proofErr w:type="gramStart"/>
      <w:r w:rsidRPr="001F7F38">
        <w:t>period</w:t>
      </w:r>
      <w:proofErr w:type="gramEnd"/>
      <w:r w:rsidRPr="001F7F38">
        <w:t xml:space="preserve"> is shown in</w:t>
      </w:r>
      <w:r>
        <w:t xml:space="preserve"> </w:t>
      </w:r>
      <w:r>
        <w:fldChar w:fldCharType="begin"/>
      </w:r>
      <w:r>
        <w:instrText xml:space="preserve"> REF _Ref413137953 \h </w:instrText>
      </w:r>
      <w:r>
        <w:fldChar w:fldCharType="separate"/>
      </w:r>
      <w:r>
        <w:t xml:space="preserve">Table </w:t>
      </w:r>
      <w:r>
        <w:rPr>
          <w:noProof/>
        </w:rPr>
        <w:t>2</w:t>
      </w:r>
      <w:r>
        <w:t>.</w:t>
      </w:r>
      <w:r>
        <w:rPr>
          <w:noProof/>
        </w:rPr>
        <w:t>4</w:t>
      </w:r>
      <w:r>
        <w:fldChar w:fldCharType="end"/>
      </w:r>
      <w:r w:rsidRPr="001F7F38">
        <w:t>.</w:t>
      </w:r>
    </w:p>
    <w:p w:rsidR="00C10CB5" w:rsidRDefault="001F7F38" w:rsidP="001F7F38">
      <w:pPr>
        <w:pStyle w:val="Caption"/>
      </w:pPr>
      <w:bookmarkStart w:id="17" w:name="_Ref413137953"/>
      <w:proofErr w:type="gramStart"/>
      <w:r>
        <w:t xml:space="preserve">Table </w:t>
      </w:r>
      <w:proofErr w:type="gramEnd"/>
      <w:r w:rsidR="000E5E2E">
        <w:fldChar w:fldCharType="begin"/>
      </w:r>
      <w:r w:rsidR="000E5E2E">
        <w:instrText xml:space="preserve"> STYLEREF 1 \s </w:instrText>
      </w:r>
      <w:r w:rsidR="000E5E2E">
        <w:fldChar w:fldCharType="separate"/>
      </w:r>
      <w:r>
        <w:rPr>
          <w:noProof/>
        </w:rPr>
        <w:t>2</w:t>
      </w:r>
      <w:r w:rsidR="000E5E2E">
        <w:rPr>
          <w:noProof/>
        </w:rPr>
        <w:fldChar w:fldCharType="end"/>
      </w:r>
      <w:proofErr w:type="gramStart"/>
      <w:r>
        <w:t>.</w:t>
      </w:r>
      <w:proofErr w:type="gramEnd"/>
      <w:r w:rsidR="006A1A89">
        <w:fldChar w:fldCharType="begin"/>
      </w:r>
      <w:r w:rsidR="006A1A89">
        <w:instrText xml:space="preserve"> SEQ Table \* ARABIC \s 1 </w:instrText>
      </w:r>
      <w:r w:rsidR="006A1A89">
        <w:fldChar w:fldCharType="separate"/>
      </w:r>
      <w:r>
        <w:rPr>
          <w:noProof/>
        </w:rPr>
        <w:t>4</w:t>
      </w:r>
      <w:r w:rsidR="006A1A89">
        <w:rPr>
          <w:noProof/>
        </w:rPr>
        <w:fldChar w:fldCharType="end"/>
      </w:r>
      <w:bookmarkEnd w:id="17"/>
      <w:r>
        <w:tab/>
      </w:r>
      <w:r w:rsidRPr="001F7F38">
        <w:t xml:space="preserve">Endeavour Energy's </w:t>
      </w:r>
      <w:r>
        <w:t xml:space="preserve">revised </w:t>
      </w:r>
      <w:r w:rsidRPr="001F7F38">
        <w:t>proposed RAB for the 2014–19 period ($</w:t>
      </w:r>
      <w:r>
        <w:t> </w:t>
      </w:r>
      <w:r w:rsidRPr="001F7F38">
        <w:t>million, nominal)</w:t>
      </w:r>
    </w:p>
    <w:tbl>
      <w:tblPr>
        <w:tblStyle w:val="AERtable-numbers"/>
        <w:tblW w:w="8755" w:type="dxa"/>
        <w:tblLayout w:type="fixed"/>
        <w:tblLook w:val="04A0" w:firstRow="1" w:lastRow="0" w:firstColumn="1" w:lastColumn="0" w:noHBand="0" w:noVBand="1"/>
      </w:tblPr>
      <w:tblGrid>
        <w:gridCol w:w="3221"/>
        <w:gridCol w:w="1106"/>
        <w:gridCol w:w="1107"/>
        <w:gridCol w:w="1107"/>
        <w:gridCol w:w="1107"/>
        <w:gridCol w:w="1107"/>
      </w:tblGrid>
      <w:tr w:rsidR="001F7F38" w:rsidRPr="001F7F38" w:rsidTr="0030538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F7F38" w:rsidRPr="001F7F38" w:rsidRDefault="001F7F38" w:rsidP="001F7F38">
            <w:r w:rsidRPr="001F7F38">
              <w:t> </w:t>
            </w:r>
          </w:p>
        </w:tc>
        <w:tc>
          <w:tcPr>
            <w:tcW w:w="1106" w:type="dxa"/>
            <w:noWrap/>
            <w:hideMark/>
          </w:tcPr>
          <w:p w:rsidR="001F7F38" w:rsidRPr="001F7F38" w:rsidRDefault="001F7F38" w:rsidP="001F7F38">
            <w:pPr>
              <w:cnfStyle w:val="100000000000" w:firstRow="1" w:lastRow="0" w:firstColumn="0" w:lastColumn="0" w:oddVBand="0" w:evenVBand="0" w:oddHBand="0" w:evenHBand="0" w:firstRowFirstColumn="0" w:firstRowLastColumn="0" w:lastRowFirstColumn="0" w:lastRowLastColumn="0"/>
            </w:pPr>
            <w:r w:rsidRPr="001F7F38">
              <w:t>2014–15</w:t>
            </w:r>
          </w:p>
        </w:tc>
        <w:tc>
          <w:tcPr>
            <w:tcW w:w="1107" w:type="dxa"/>
            <w:noWrap/>
            <w:hideMark/>
          </w:tcPr>
          <w:p w:rsidR="001F7F38" w:rsidRPr="001F7F38" w:rsidRDefault="001F7F38" w:rsidP="001F7F38">
            <w:pPr>
              <w:cnfStyle w:val="100000000000" w:firstRow="1" w:lastRow="0" w:firstColumn="0" w:lastColumn="0" w:oddVBand="0" w:evenVBand="0" w:oddHBand="0" w:evenHBand="0" w:firstRowFirstColumn="0" w:firstRowLastColumn="0" w:lastRowFirstColumn="0" w:lastRowLastColumn="0"/>
            </w:pPr>
            <w:r w:rsidRPr="001F7F38">
              <w:t>2015–16</w:t>
            </w:r>
          </w:p>
        </w:tc>
        <w:tc>
          <w:tcPr>
            <w:tcW w:w="1107" w:type="dxa"/>
            <w:noWrap/>
            <w:hideMark/>
          </w:tcPr>
          <w:p w:rsidR="001F7F38" w:rsidRPr="001F7F38" w:rsidRDefault="001F7F38" w:rsidP="001F7F38">
            <w:pPr>
              <w:cnfStyle w:val="100000000000" w:firstRow="1" w:lastRow="0" w:firstColumn="0" w:lastColumn="0" w:oddVBand="0" w:evenVBand="0" w:oddHBand="0" w:evenHBand="0" w:firstRowFirstColumn="0" w:firstRowLastColumn="0" w:lastRowFirstColumn="0" w:lastRowLastColumn="0"/>
            </w:pPr>
            <w:r w:rsidRPr="001F7F38">
              <w:t>2016–17</w:t>
            </w:r>
          </w:p>
        </w:tc>
        <w:tc>
          <w:tcPr>
            <w:tcW w:w="1107" w:type="dxa"/>
            <w:noWrap/>
            <w:hideMark/>
          </w:tcPr>
          <w:p w:rsidR="001F7F38" w:rsidRPr="001F7F38" w:rsidRDefault="001F7F38" w:rsidP="001F7F38">
            <w:pPr>
              <w:cnfStyle w:val="100000000000" w:firstRow="1" w:lastRow="0" w:firstColumn="0" w:lastColumn="0" w:oddVBand="0" w:evenVBand="0" w:oddHBand="0" w:evenHBand="0" w:firstRowFirstColumn="0" w:firstRowLastColumn="0" w:lastRowFirstColumn="0" w:lastRowLastColumn="0"/>
            </w:pPr>
            <w:r w:rsidRPr="001F7F38">
              <w:t>2017–18</w:t>
            </w:r>
          </w:p>
        </w:tc>
        <w:tc>
          <w:tcPr>
            <w:tcW w:w="1107" w:type="dxa"/>
            <w:noWrap/>
            <w:hideMark/>
          </w:tcPr>
          <w:p w:rsidR="001F7F38" w:rsidRPr="001F7F38" w:rsidRDefault="001F7F38" w:rsidP="001F7F38">
            <w:pPr>
              <w:cnfStyle w:val="100000000000" w:firstRow="1" w:lastRow="0" w:firstColumn="0" w:lastColumn="0" w:oddVBand="0" w:evenVBand="0" w:oddHBand="0" w:evenHBand="0" w:firstRowFirstColumn="0" w:firstRowLastColumn="0" w:lastRowFirstColumn="0" w:lastRowLastColumn="0"/>
            </w:pPr>
            <w:r w:rsidRPr="001F7F38">
              <w:t>2018–19</w:t>
            </w:r>
          </w:p>
        </w:tc>
      </w:tr>
      <w:tr w:rsidR="001F7F38" w:rsidRPr="00A178D4" w:rsidTr="00305388">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F7F38" w:rsidRPr="00A178D4" w:rsidRDefault="001F7F38" w:rsidP="00A178D4">
            <w:r w:rsidRPr="00A178D4">
              <w:t>Opening RAB</w:t>
            </w:r>
          </w:p>
        </w:tc>
        <w:tc>
          <w:tcPr>
            <w:tcW w:w="1106" w:type="dxa"/>
            <w:noWrap/>
            <w:hideMark/>
          </w:tcPr>
          <w:p w:rsidR="001F7F38" w:rsidRPr="00A178D4" w:rsidRDefault="001F7F38" w:rsidP="00A178D4">
            <w:pPr>
              <w:cnfStyle w:val="000000000000" w:firstRow="0" w:lastRow="0" w:firstColumn="0" w:lastColumn="0" w:oddVBand="0" w:evenVBand="0" w:oddHBand="0" w:evenHBand="0" w:firstRowFirstColumn="0" w:firstRowLastColumn="0" w:lastRowFirstColumn="0" w:lastRowLastColumn="0"/>
            </w:pPr>
            <w:r w:rsidRPr="00A178D4">
              <w:t>5581.3</w:t>
            </w:r>
          </w:p>
        </w:tc>
        <w:tc>
          <w:tcPr>
            <w:tcW w:w="1107" w:type="dxa"/>
            <w:noWrap/>
            <w:hideMark/>
          </w:tcPr>
          <w:p w:rsidR="001F7F38" w:rsidRPr="00A178D4" w:rsidRDefault="001F7F38" w:rsidP="00A178D4">
            <w:pPr>
              <w:cnfStyle w:val="000000000000" w:firstRow="0" w:lastRow="0" w:firstColumn="0" w:lastColumn="0" w:oddVBand="0" w:evenVBand="0" w:oddHBand="0" w:evenHBand="0" w:firstRowFirstColumn="0" w:firstRowLastColumn="0" w:lastRowFirstColumn="0" w:lastRowLastColumn="0"/>
            </w:pPr>
            <w:r w:rsidRPr="00A178D4">
              <w:t>5952.9</w:t>
            </w:r>
          </w:p>
        </w:tc>
        <w:tc>
          <w:tcPr>
            <w:tcW w:w="1107" w:type="dxa"/>
            <w:noWrap/>
            <w:hideMark/>
          </w:tcPr>
          <w:p w:rsidR="001F7F38" w:rsidRPr="00A178D4" w:rsidRDefault="001F7F38" w:rsidP="00A178D4">
            <w:pPr>
              <w:cnfStyle w:val="000000000000" w:firstRow="0" w:lastRow="0" w:firstColumn="0" w:lastColumn="0" w:oddVBand="0" w:evenVBand="0" w:oddHBand="0" w:evenHBand="0" w:firstRowFirstColumn="0" w:firstRowLastColumn="0" w:lastRowFirstColumn="0" w:lastRowLastColumn="0"/>
            </w:pPr>
            <w:r w:rsidRPr="00A178D4">
              <w:t>6243.3</w:t>
            </w:r>
          </w:p>
        </w:tc>
        <w:tc>
          <w:tcPr>
            <w:tcW w:w="1107" w:type="dxa"/>
            <w:noWrap/>
            <w:hideMark/>
          </w:tcPr>
          <w:p w:rsidR="001F7F38" w:rsidRPr="00A178D4" w:rsidRDefault="001F7F38" w:rsidP="00A178D4">
            <w:pPr>
              <w:cnfStyle w:val="000000000000" w:firstRow="0" w:lastRow="0" w:firstColumn="0" w:lastColumn="0" w:oddVBand="0" w:evenVBand="0" w:oddHBand="0" w:evenHBand="0" w:firstRowFirstColumn="0" w:firstRowLastColumn="0" w:lastRowFirstColumn="0" w:lastRowLastColumn="0"/>
            </w:pPr>
            <w:r w:rsidRPr="00A178D4">
              <w:t>6474.6</w:t>
            </w:r>
          </w:p>
        </w:tc>
        <w:tc>
          <w:tcPr>
            <w:tcW w:w="1107" w:type="dxa"/>
            <w:noWrap/>
            <w:hideMark/>
          </w:tcPr>
          <w:p w:rsidR="001F7F38" w:rsidRPr="00A178D4" w:rsidRDefault="001F7F38" w:rsidP="00A178D4">
            <w:pPr>
              <w:cnfStyle w:val="000000000000" w:firstRow="0" w:lastRow="0" w:firstColumn="0" w:lastColumn="0" w:oddVBand="0" w:evenVBand="0" w:oddHBand="0" w:evenHBand="0" w:firstRowFirstColumn="0" w:firstRowLastColumn="0" w:lastRowFirstColumn="0" w:lastRowLastColumn="0"/>
            </w:pPr>
            <w:r w:rsidRPr="00A178D4">
              <w:t>6700.4</w:t>
            </w:r>
          </w:p>
        </w:tc>
      </w:tr>
      <w:tr w:rsidR="001F7F38" w:rsidRPr="001F7F38" w:rsidTr="0030538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F7F38" w:rsidRPr="001F7F38" w:rsidRDefault="001F7F38" w:rsidP="001F7F38">
            <w:r w:rsidRPr="001F7F38">
              <w:t xml:space="preserve">Capital </w:t>
            </w:r>
            <w:proofErr w:type="spellStart"/>
            <w:r w:rsidRPr="001F7F38">
              <w:t>expenditure</w:t>
            </w:r>
            <w:r w:rsidR="00122167">
              <w:rPr>
                <w:rStyle w:val="AERsuperscript"/>
              </w:rPr>
              <w:t>a</w:t>
            </w:r>
            <w:proofErr w:type="spellEnd"/>
            <w:r w:rsidRPr="001F7F38">
              <w:t xml:space="preserve"> </w:t>
            </w:r>
          </w:p>
        </w:tc>
        <w:tc>
          <w:tcPr>
            <w:tcW w:w="1106" w:type="dxa"/>
            <w:noWrap/>
            <w:hideMark/>
          </w:tcPr>
          <w:p w:rsidR="001F7F38" w:rsidRPr="001F7F38" w:rsidRDefault="001F7F38" w:rsidP="001F7F38">
            <w:pPr>
              <w:cnfStyle w:val="000000010000" w:firstRow="0" w:lastRow="0" w:firstColumn="0" w:lastColumn="0" w:oddVBand="0" w:evenVBand="0" w:oddHBand="0" w:evenHBand="1" w:firstRowFirstColumn="0" w:firstRowLastColumn="0" w:lastRowFirstColumn="0" w:lastRowLastColumn="0"/>
            </w:pPr>
            <w:r w:rsidRPr="001F7F38">
              <w:t>434.4</w:t>
            </w:r>
          </w:p>
        </w:tc>
        <w:tc>
          <w:tcPr>
            <w:tcW w:w="1107" w:type="dxa"/>
            <w:noWrap/>
            <w:hideMark/>
          </w:tcPr>
          <w:p w:rsidR="001F7F38" w:rsidRPr="001F7F38" w:rsidRDefault="001F7F38" w:rsidP="001F7F38">
            <w:pPr>
              <w:cnfStyle w:val="000000010000" w:firstRow="0" w:lastRow="0" w:firstColumn="0" w:lastColumn="0" w:oddVBand="0" w:evenVBand="0" w:oddHBand="0" w:evenHBand="1" w:firstRowFirstColumn="0" w:firstRowLastColumn="0" w:lastRowFirstColumn="0" w:lastRowLastColumn="0"/>
            </w:pPr>
            <w:r w:rsidRPr="001F7F38">
              <w:t>362.6</w:t>
            </w:r>
          </w:p>
        </w:tc>
        <w:tc>
          <w:tcPr>
            <w:tcW w:w="1107" w:type="dxa"/>
            <w:noWrap/>
            <w:hideMark/>
          </w:tcPr>
          <w:p w:rsidR="001F7F38" w:rsidRPr="001F7F38" w:rsidRDefault="001F7F38" w:rsidP="001F7F38">
            <w:pPr>
              <w:cnfStyle w:val="000000010000" w:firstRow="0" w:lastRow="0" w:firstColumn="0" w:lastColumn="0" w:oddVBand="0" w:evenVBand="0" w:oddHBand="0" w:evenHBand="1" w:firstRowFirstColumn="0" w:firstRowLastColumn="0" w:lastRowFirstColumn="0" w:lastRowLastColumn="0"/>
            </w:pPr>
            <w:r w:rsidRPr="001F7F38">
              <w:t>314.0</w:t>
            </w:r>
          </w:p>
        </w:tc>
        <w:tc>
          <w:tcPr>
            <w:tcW w:w="1107" w:type="dxa"/>
            <w:noWrap/>
            <w:hideMark/>
          </w:tcPr>
          <w:p w:rsidR="001F7F38" w:rsidRPr="001F7F38" w:rsidRDefault="001F7F38" w:rsidP="001F7F38">
            <w:pPr>
              <w:cnfStyle w:val="000000010000" w:firstRow="0" w:lastRow="0" w:firstColumn="0" w:lastColumn="0" w:oddVBand="0" w:evenVBand="0" w:oddHBand="0" w:evenHBand="1" w:firstRowFirstColumn="0" w:firstRowLastColumn="0" w:lastRowFirstColumn="0" w:lastRowLastColumn="0"/>
            </w:pPr>
            <w:r w:rsidRPr="001F7F38">
              <w:t>312.6</w:t>
            </w:r>
          </w:p>
        </w:tc>
        <w:tc>
          <w:tcPr>
            <w:tcW w:w="1107" w:type="dxa"/>
            <w:noWrap/>
            <w:hideMark/>
          </w:tcPr>
          <w:p w:rsidR="001F7F38" w:rsidRPr="001F7F38" w:rsidRDefault="001F7F38" w:rsidP="001F7F38">
            <w:pPr>
              <w:cnfStyle w:val="000000010000" w:firstRow="0" w:lastRow="0" w:firstColumn="0" w:lastColumn="0" w:oddVBand="0" w:evenVBand="0" w:oddHBand="0" w:evenHBand="1" w:firstRowFirstColumn="0" w:firstRowLastColumn="0" w:lastRowFirstColumn="0" w:lastRowLastColumn="0"/>
            </w:pPr>
            <w:r w:rsidRPr="001F7F38">
              <w:t>306.1</w:t>
            </w:r>
          </w:p>
        </w:tc>
      </w:tr>
      <w:tr w:rsidR="001F7F38" w:rsidRPr="001F7F38" w:rsidTr="00305388">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F7F38" w:rsidRPr="001F7F38" w:rsidRDefault="001F7F38" w:rsidP="001F7F38">
            <w:r w:rsidRPr="001F7F38">
              <w:t>Inflation indexation on opening RAB</w:t>
            </w:r>
          </w:p>
        </w:tc>
        <w:tc>
          <w:tcPr>
            <w:tcW w:w="1106" w:type="dxa"/>
            <w:noWrap/>
            <w:hideMark/>
          </w:tcPr>
          <w:p w:rsidR="001F7F38" w:rsidRPr="001F7F38" w:rsidRDefault="001F7F38" w:rsidP="001F7F38">
            <w:pPr>
              <w:cnfStyle w:val="000000000000" w:firstRow="0" w:lastRow="0" w:firstColumn="0" w:lastColumn="0" w:oddVBand="0" w:evenVBand="0" w:oddHBand="0" w:evenHBand="0" w:firstRowFirstColumn="0" w:firstRowLastColumn="0" w:lastRowFirstColumn="0" w:lastRowLastColumn="0"/>
            </w:pPr>
            <w:r w:rsidRPr="001F7F38">
              <w:t>139.5</w:t>
            </w:r>
          </w:p>
        </w:tc>
        <w:tc>
          <w:tcPr>
            <w:tcW w:w="1107" w:type="dxa"/>
            <w:noWrap/>
            <w:hideMark/>
          </w:tcPr>
          <w:p w:rsidR="001F7F38" w:rsidRPr="001F7F38" w:rsidRDefault="001F7F38" w:rsidP="001F7F38">
            <w:pPr>
              <w:cnfStyle w:val="000000000000" w:firstRow="0" w:lastRow="0" w:firstColumn="0" w:lastColumn="0" w:oddVBand="0" w:evenVBand="0" w:oddHBand="0" w:evenHBand="0" w:firstRowFirstColumn="0" w:firstRowLastColumn="0" w:lastRowFirstColumn="0" w:lastRowLastColumn="0"/>
            </w:pPr>
            <w:r w:rsidRPr="001F7F38">
              <w:t>148.8</w:t>
            </w:r>
          </w:p>
        </w:tc>
        <w:tc>
          <w:tcPr>
            <w:tcW w:w="1107" w:type="dxa"/>
            <w:noWrap/>
            <w:hideMark/>
          </w:tcPr>
          <w:p w:rsidR="001F7F38" w:rsidRPr="001F7F38" w:rsidRDefault="001F7F38" w:rsidP="001F7F38">
            <w:pPr>
              <w:cnfStyle w:val="000000000000" w:firstRow="0" w:lastRow="0" w:firstColumn="0" w:lastColumn="0" w:oddVBand="0" w:evenVBand="0" w:oddHBand="0" w:evenHBand="0" w:firstRowFirstColumn="0" w:firstRowLastColumn="0" w:lastRowFirstColumn="0" w:lastRowLastColumn="0"/>
            </w:pPr>
            <w:r w:rsidRPr="001F7F38">
              <w:t>156.1</w:t>
            </w:r>
          </w:p>
        </w:tc>
        <w:tc>
          <w:tcPr>
            <w:tcW w:w="1107" w:type="dxa"/>
            <w:noWrap/>
            <w:hideMark/>
          </w:tcPr>
          <w:p w:rsidR="001F7F38" w:rsidRPr="001F7F38" w:rsidRDefault="001F7F38" w:rsidP="001F7F38">
            <w:pPr>
              <w:cnfStyle w:val="000000000000" w:firstRow="0" w:lastRow="0" w:firstColumn="0" w:lastColumn="0" w:oddVBand="0" w:evenVBand="0" w:oddHBand="0" w:evenHBand="0" w:firstRowFirstColumn="0" w:firstRowLastColumn="0" w:lastRowFirstColumn="0" w:lastRowLastColumn="0"/>
            </w:pPr>
            <w:r w:rsidRPr="001F7F38">
              <w:t>161.9</w:t>
            </w:r>
          </w:p>
        </w:tc>
        <w:tc>
          <w:tcPr>
            <w:tcW w:w="1107" w:type="dxa"/>
            <w:noWrap/>
            <w:hideMark/>
          </w:tcPr>
          <w:p w:rsidR="001F7F38" w:rsidRPr="001F7F38" w:rsidRDefault="001F7F38" w:rsidP="001F7F38">
            <w:pPr>
              <w:cnfStyle w:val="000000000000" w:firstRow="0" w:lastRow="0" w:firstColumn="0" w:lastColumn="0" w:oddVBand="0" w:evenVBand="0" w:oddHBand="0" w:evenHBand="0" w:firstRowFirstColumn="0" w:firstRowLastColumn="0" w:lastRowFirstColumn="0" w:lastRowLastColumn="0"/>
            </w:pPr>
            <w:r w:rsidRPr="001F7F38">
              <w:t>167.5</w:t>
            </w:r>
          </w:p>
        </w:tc>
      </w:tr>
      <w:tr w:rsidR="001F7F38" w:rsidRPr="001F7F38" w:rsidTr="0030538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F7F38" w:rsidRPr="001F7F38" w:rsidRDefault="001F7F38" w:rsidP="001F7F38">
            <w:r w:rsidRPr="00D25BEA">
              <w:rPr>
                <w:rStyle w:val="AERtextitalic"/>
              </w:rPr>
              <w:t>Less:</w:t>
            </w:r>
            <w:r w:rsidRPr="001F7F38">
              <w:t xml:space="preserve"> straight-line depreciation</w:t>
            </w:r>
          </w:p>
        </w:tc>
        <w:tc>
          <w:tcPr>
            <w:tcW w:w="1106" w:type="dxa"/>
            <w:noWrap/>
            <w:hideMark/>
          </w:tcPr>
          <w:p w:rsidR="001F7F38" w:rsidRPr="001F7F38" w:rsidRDefault="001F7F38" w:rsidP="001F7F38">
            <w:pPr>
              <w:cnfStyle w:val="000000010000" w:firstRow="0" w:lastRow="0" w:firstColumn="0" w:lastColumn="0" w:oddVBand="0" w:evenVBand="0" w:oddHBand="0" w:evenHBand="1" w:firstRowFirstColumn="0" w:firstRowLastColumn="0" w:lastRowFirstColumn="0" w:lastRowLastColumn="0"/>
            </w:pPr>
            <w:r w:rsidRPr="001F7F38">
              <w:t>202.4</w:t>
            </w:r>
          </w:p>
        </w:tc>
        <w:tc>
          <w:tcPr>
            <w:tcW w:w="1107" w:type="dxa"/>
            <w:noWrap/>
            <w:hideMark/>
          </w:tcPr>
          <w:p w:rsidR="001F7F38" w:rsidRPr="001F7F38" w:rsidRDefault="001F7F38" w:rsidP="001F7F38">
            <w:pPr>
              <w:cnfStyle w:val="000000010000" w:firstRow="0" w:lastRow="0" w:firstColumn="0" w:lastColumn="0" w:oddVBand="0" w:evenVBand="0" w:oddHBand="0" w:evenHBand="1" w:firstRowFirstColumn="0" w:firstRowLastColumn="0" w:lastRowFirstColumn="0" w:lastRowLastColumn="0"/>
            </w:pPr>
            <w:r w:rsidRPr="001F7F38">
              <w:t>221.0</w:t>
            </w:r>
          </w:p>
        </w:tc>
        <w:tc>
          <w:tcPr>
            <w:tcW w:w="1107" w:type="dxa"/>
            <w:noWrap/>
            <w:hideMark/>
          </w:tcPr>
          <w:p w:rsidR="001F7F38" w:rsidRPr="001F7F38" w:rsidRDefault="001F7F38" w:rsidP="001F7F38">
            <w:pPr>
              <w:cnfStyle w:val="000000010000" w:firstRow="0" w:lastRow="0" w:firstColumn="0" w:lastColumn="0" w:oddVBand="0" w:evenVBand="0" w:oddHBand="0" w:evenHBand="1" w:firstRowFirstColumn="0" w:firstRowLastColumn="0" w:lastRowFirstColumn="0" w:lastRowLastColumn="0"/>
            </w:pPr>
            <w:r w:rsidRPr="001F7F38">
              <w:t>238.8</w:t>
            </w:r>
          </w:p>
        </w:tc>
        <w:tc>
          <w:tcPr>
            <w:tcW w:w="1107" w:type="dxa"/>
            <w:noWrap/>
            <w:hideMark/>
          </w:tcPr>
          <w:p w:rsidR="001F7F38" w:rsidRPr="001F7F38" w:rsidRDefault="001F7F38" w:rsidP="001F7F38">
            <w:pPr>
              <w:cnfStyle w:val="000000010000" w:firstRow="0" w:lastRow="0" w:firstColumn="0" w:lastColumn="0" w:oddVBand="0" w:evenVBand="0" w:oddHBand="0" w:evenHBand="1" w:firstRowFirstColumn="0" w:firstRowLastColumn="0" w:lastRowFirstColumn="0" w:lastRowLastColumn="0"/>
            </w:pPr>
            <w:r w:rsidRPr="001F7F38">
              <w:t>248.6</w:t>
            </w:r>
          </w:p>
        </w:tc>
        <w:tc>
          <w:tcPr>
            <w:tcW w:w="1107" w:type="dxa"/>
            <w:noWrap/>
            <w:hideMark/>
          </w:tcPr>
          <w:p w:rsidR="001F7F38" w:rsidRPr="001F7F38" w:rsidRDefault="001F7F38" w:rsidP="001F7F38">
            <w:pPr>
              <w:cnfStyle w:val="000000010000" w:firstRow="0" w:lastRow="0" w:firstColumn="0" w:lastColumn="0" w:oddVBand="0" w:evenVBand="0" w:oddHBand="0" w:evenHBand="1" w:firstRowFirstColumn="0" w:firstRowLastColumn="0" w:lastRowFirstColumn="0" w:lastRowLastColumn="0"/>
            </w:pPr>
            <w:r w:rsidRPr="001F7F38">
              <w:t>260.4</w:t>
            </w:r>
          </w:p>
        </w:tc>
      </w:tr>
      <w:tr w:rsidR="001F7F38" w:rsidRPr="00B00AF7" w:rsidTr="00305388">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F7F38" w:rsidRPr="00B00AF7" w:rsidRDefault="001F7F38" w:rsidP="00A178D4">
            <w:pPr>
              <w:rPr>
                <w:rStyle w:val="Strong"/>
              </w:rPr>
            </w:pPr>
            <w:r w:rsidRPr="00B00AF7">
              <w:rPr>
                <w:rStyle w:val="Strong"/>
              </w:rPr>
              <w:t>Closing RAB</w:t>
            </w:r>
          </w:p>
        </w:tc>
        <w:tc>
          <w:tcPr>
            <w:tcW w:w="1106" w:type="dxa"/>
            <w:noWrap/>
            <w:hideMark/>
          </w:tcPr>
          <w:p w:rsidR="001F7F38" w:rsidRPr="00B00AF7" w:rsidRDefault="001F7F38" w:rsidP="00A178D4">
            <w:pPr>
              <w:cnfStyle w:val="000000000000" w:firstRow="0" w:lastRow="0" w:firstColumn="0" w:lastColumn="0" w:oddVBand="0" w:evenVBand="0" w:oddHBand="0" w:evenHBand="0" w:firstRowFirstColumn="0" w:firstRowLastColumn="0" w:lastRowFirstColumn="0" w:lastRowLastColumn="0"/>
              <w:rPr>
                <w:rStyle w:val="Strong"/>
              </w:rPr>
            </w:pPr>
            <w:r w:rsidRPr="00B00AF7">
              <w:rPr>
                <w:rStyle w:val="Strong"/>
              </w:rPr>
              <w:t>5952.9</w:t>
            </w:r>
          </w:p>
        </w:tc>
        <w:tc>
          <w:tcPr>
            <w:tcW w:w="1107" w:type="dxa"/>
            <w:noWrap/>
            <w:hideMark/>
          </w:tcPr>
          <w:p w:rsidR="001F7F38" w:rsidRPr="00B00AF7" w:rsidRDefault="001F7F38" w:rsidP="00A178D4">
            <w:pPr>
              <w:cnfStyle w:val="000000000000" w:firstRow="0" w:lastRow="0" w:firstColumn="0" w:lastColumn="0" w:oddVBand="0" w:evenVBand="0" w:oddHBand="0" w:evenHBand="0" w:firstRowFirstColumn="0" w:firstRowLastColumn="0" w:lastRowFirstColumn="0" w:lastRowLastColumn="0"/>
              <w:rPr>
                <w:rStyle w:val="Strong"/>
              </w:rPr>
            </w:pPr>
            <w:r w:rsidRPr="00B00AF7">
              <w:rPr>
                <w:rStyle w:val="Strong"/>
              </w:rPr>
              <w:t>6243.3</w:t>
            </w:r>
          </w:p>
        </w:tc>
        <w:tc>
          <w:tcPr>
            <w:tcW w:w="1107" w:type="dxa"/>
            <w:noWrap/>
            <w:hideMark/>
          </w:tcPr>
          <w:p w:rsidR="001F7F38" w:rsidRPr="00B00AF7" w:rsidRDefault="001F7F38" w:rsidP="00A178D4">
            <w:pPr>
              <w:cnfStyle w:val="000000000000" w:firstRow="0" w:lastRow="0" w:firstColumn="0" w:lastColumn="0" w:oddVBand="0" w:evenVBand="0" w:oddHBand="0" w:evenHBand="0" w:firstRowFirstColumn="0" w:firstRowLastColumn="0" w:lastRowFirstColumn="0" w:lastRowLastColumn="0"/>
              <w:rPr>
                <w:rStyle w:val="Strong"/>
              </w:rPr>
            </w:pPr>
            <w:r w:rsidRPr="00B00AF7">
              <w:rPr>
                <w:rStyle w:val="Strong"/>
              </w:rPr>
              <w:t>6474.6</w:t>
            </w:r>
          </w:p>
        </w:tc>
        <w:tc>
          <w:tcPr>
            <w:tcW w:w="1107" w:type="dxa"/>
            <w:noWrap/>
            <w:hideMark/>
          </w:tcPr>
          <w:p w:rsidR="001F7F38" w:rsidRPr="00B00AF7" w:rsidRDefault="001F7F38" w:rsidP="00A178D4">
            <w:pPr>
              <w:cnfStyle w:val="000000000000" w:firstRow="0" w:lastRow="0" w:firstColumn="0" w:lastColumn="0" w:oddVBand="0" w:evenVBand="0" w:oddHBand="0" w:evenHBand="0" w:firstRowFirstColumn="0" w:firstRowLastColumn="0" w:lastRowFirstColumn="0" w:lastRowLastColumn="0"/>
              <w:rPr>
                <w:rStyle w:val="Strong"/>
              </w:rPr>
            </w:pPr>
            <w:r w:rsidRPr="00B00AF7">
              <w:rPr>
                <w:rStyle w:val="Strong"/>
              </w:rPr>
              <w:t>6700.4</w:t>
            </w:r>
          </w:p>
        </w:tc>
        <w:tc>
          <w:tcPr>
            <w:tcW w:w="1107" w:type="dxa"/>
            <w:noWrap/>
            <w:hideMark/>
          </w:tcPr>
          <w:p w:rsidR="001F7F38" w:rsidRPr="00B00AF7" w:rsidRDefault="001F7F38" w:rsidP="00A178D4">
            <w:pPr>
              <w:cnfStyle w:val="000000000000" w:firstRow="0" w:lastRow="0" w:firstColumn="0" w:lastColumn="0" w:oddVBand="0" w:evenVBand="0" w:oddHBand="0" w:evenHBand="0" w:firstRowFirstColumn="0" w:firstRowLastColumn="0" w:lastRowFirstColumn="0" w:lastRowLastColumn="0"/>
              <w:rPr>
                <w:rStyle w:val="Strong"/>
              </w:rPr>
            </w:pPr>
            <w:r w:rsidRPr="00B00AF7">
              <w:rPr>
                <w:rStyle w:val="Strong"/>
              </w:rPr>
              <w:t>6913.6</w:t>
            </w:r>
          </w:p>
        </w:tc>
      </w:tr>
    </w:tbl>
    <w:p w:rsidR="00122167" w:rsidRDefault="001F7F38" w:rsidP="00122167">
      <w:pPr>
        <w:pStyle w:val="AERtablesource"/>
      </w:pPr>
      <w:r>
        <w:t>Source:</w:t>
      </w:r>
      <w:r>
        <w:tab/>
      </w:r>
      <w:r w:rsidR="00AA5C88">
        <w:t xml:space="preserve">Endeavour Energy, </w:t>
      </w:r>
      <w:r w:rsidR="00305388" w:rsidRPr="00374C7E">
        <w:rPr>
          <w:rStyle w:val="AERtextitalic"/>
        </w:rPr>
        <w:t>Revised regulatory proposal</w:t>
      </w:r>
      <w:r w:rsidR="00305388">
        <w:t>, January 2015, Attachment 4.01a.</w:t>
      </w:r>
    </w:p>
    <w:p w:rsidR="001F7F38" w:rsidRDefault="00122167" w:rsidP="00D25BEA">
      <w:pPr>
        <w:pStyle w:val="AERtablesource"/>
      </w:pPr>
      <w:r>
        <w:t>(a)</w:t>
      </w:r>
      <w:r>
        <w:tab/>
        <w:t>Net of forecast disposals and capital contributions.</w:t>
      </w:r>
    </w:p>
    <w:p w:rsidR="00DE563D" w:rsidRDefault="00DE563D" w:rsidP="001754EE">
      <w:pPr>
        <w:pStyle w:val="Heading2"/>
      </w:pPr>
      <w:bookmarkStart w:id="18" w:name="_Toc403144138"/>
      <w:bookmarkStart w:id="19" w:name="_Toc413851794"/>
      <w:r w:rsidRPr="001754EE">
        <w:t>AER’s</w:t>
      </w:r>
      <w:r>
        <w:t xml:space="preserve"> assessment approach</w:t>
      </w:r>
      <w:bookmarkEnd w:id="18"/>
      <w:bookmarkEnd w:id="19"/>
    </w:p>
    <w:p w:rsidR="00BA6440" w:rsidRPr="00BA6440" w:rsidRDefault="003415D8" w:rsidP="00BA6440">
      <w:r w:rsidRPr="00CA062D">
        <w:t xml:space="preserve">We did not change our assessment approach for the </w:t>
      </w:r>
      <w:r>
        <w:t>RAB</w:t>
      </w:r>
      <w:r w:rsidRPr="00CA062D">
        <w:t xml:space="preserve"> from our draft decision. Section </w:t>
      </w:r>
      <w:r>
        <w:t>2</w:t>
      </w:r>
      <w:r w:rsidRPr="00CA062D">
        <w:t>.3 of our draft decision details that approach.</w:t>
      </w:r>
      <w:r>
        <w:rPr>
          <w:rStyle w:val="FootnoteReference"/>
        </w:rPr>
        <w:footnoteReference w:id="5"/>
      </w:r>
    </w:p>
    <w:p w:rsidR="00DE563D" w:rsidRDefault="00DE563D" w:rsidP="001754EE">
      <w:pPr>
        <w:pStyle w:val="Heading2"/>
      </w:pPr>
      <w:bookmarkStart w:id="20" w:name="_Toc403144140"/>
      <w:bookmarkStart w:id="21" w:name="_Toc413851795"/>
      <w:r w:rsidRPr="001754EE">
        <w:t>Reasons</w:t>
      </w:r>
      <w:r>
        <w:t xml:space="preserve"> for </w:t>
      </w:r>
      <w:r w:rsidR="002016E7">
        <w:t>final</w:t>
      </w:r>
      <w:r>
        <w:t xml:space="preserve"> decision</w:t>
      </w:r>
      <w:bookmarkEnd w:id="20"/>
      <w:bookmarkEnd w:id="21"/>
      <w:r>
        <w:t xml:space="preserve"> </w:t>
      </w:r>
    </w:p>
    <w:p w:rsidR="002C233C" w:rsidRDefault="00BA6440" w:rsidP="002C233C">
      <w:r w:rsidRPr="00BA6440">
        <w:t xml:space="preserve">We </w:t>
      </w:r>
      <w:r>
        <w:t>accept En</w:t>
      </w:r>
      <w:r w:rsidR="00FD28E1">
        <w:t>deavour Energy's revised proposed</w:t>
      </w:r>
      <w:r>
        <w:t xml:space="preserve"> </w:t>
      </w:r>
      <w:r w:rsidRPr="00BA6440">
        <w:t>opening RAB value of $</w:t>
      </w:r>
      <w:r>
        <w:t>5581</w:t>
      </w:r>
      <w:r w:rsidR="00122167">
        <w:t>.3</w:t>
      </w:r>
      <w:r>
        <w:t> </w:t>
      </w:r>
      <w:r w:rsidRPr="00BA6440">
        <w:t>million ($</w:t>
      </w:r>
      <w:r>
        <w:t> </w:t>
      </w:r>
      <w:r w:rsidRPr="00BA6440">
        <w:t>nominal) as</w:t>
      </w:r>
      <w:r>
        <w:t xml:space="preserve"> </w:t>
      </w:r>
      <w:r w:rsidRPr="00BA6440">
        <w:t>at 1 July 2014.</w:t>
      </w:r>
      <w:r>
        <w:t xml:space="preserve"> </w:t>
      </w:r>
      <w:r w:rsidR="003415D8">
        <w:t>Based on the approved opening RAB we</w:t>
      </w:r>
      <w:r>
        <w:t xml:space="preserve"> </w:t>
      </w:r>
      <w:r w:rsidRPr="00BA6440">
        <w:t>forecast a closing RAB value of $</w:t>
      </w:r>
      <w:r w:rsidR="00DD0E3E">
        <w:t>6859.9</w:t>
      </w:r>
      <w:r>
        <w:t> </w:t>
      </w:r>
      <w:r w:rsidRPr="00BA6440">
        <w:t xml:space="preserve">million </w:t>
      </w:r>
      <w:r>
        <w:t xml:space="preserve">($ nominal) </w:t>
      </w:r>
      <w:r w:rsidRPr="00BA6440">
        <w:t>by 30 June 2019. This represents a reduction of</w:t>
      </w:r>
      <w:r>
        <w:t xml:space="preserve"> $</w:t>
      </w:r>
      <w:r w:rsidR="008E6C64">
        <w:t>53.</w:t>
      </w:r>
      <w:r w:rsidR="00DD0E3E">
        <w:t>7</w:t>
      </w:r>
      <w:r w:rsidRPr="00BA6440">
        <w:t xml:space="preserve"> million, or </w:t>
      </w:r>
      <w:r w:rsidR="008E6C64">
        <w:t>0.8</w:t>
      </w:r>
      <w:r w:rsidRPr="00BA6440">
        <w:t xml:space="preserve"> per cent compared to the</w:t>
      </w:r>
      <w:r w:rsidR="0064602F">
        <w:t xml:space="preserve"> revised</w:t>
      </w:r>
      <w:r w:rsidRPr="00BA6440">
        <w:t xml:space="preserve"> proposal. The reasons for our decision are discussed</w:t>
      </w:r>
      <w:r>
        <w:t xml:space="preserve"> </w:t>
      </w:r>
      <w:r w:rsidRPr="00BA6440">
        <w:t>below.</w:t>
      </w:r>
    </w:p>
    <w:p w:rsidR="007B186E" w:rsidRDefault="00BA6440" w:rsidP="00BA6440">
      <w:pPr>
        <w:pStyle w:val="Heading3"/>
      </w:pPr>
      <w:bookmarkStart w:id="22" w:name="_Toc413851796"/>
      <w:r w:rsidRPr="00BA6440">
        <w:t>Opening RAB as at 1 July 2014</w:t>
      </w:r>
      <w:bookmarkEnd w:id="22"/>
      <w:r w:rsidR="007D456E">
        <w:t xml:space="preserve"> </w:t>
      </w:r>
    </w:p>
    <w:p w:rsidR="002C233C" w:rsidRDefault="00BA6440" w:rsidP="002C233C">
      <w:r w:rsidRPr="00BA6440">
        <w:t xml:space="preserve">We </w:t>
      </w:r>
      <w:r>
        <w:t>accept En</w:t>
      </w:r>
      <w:r w:rsidR="003415D8">
        <w:t>deavour Energy's revised proposed</w:t>
      </w:r>
      <w:r>
        <w:t xml:space="preserve"> </w:t>
      </w:r>
      <w:r w:rsidRPr="00BA6440">
        <w:t>opening RAB value of $</w:t>
      </w:r>
      <w:r>
        <w:t>5581</w:t>
      </w:r>
      <w:r w:rsidR="008E6C64">
        <w:t>.3 </w:t>
      </w:r>
      <w:r w:rsidRPr="00BA6440">
        <w:t>million</w:t>
      </w:r>
      <w:r w:rsidR="008E6C64">
        <w:t xml:space="preserve"> </w:t>
      </w:r>
      <w:r w:rsidRPr="00BA6440">
        <w:t>($</w:t>
      </w:r>
      <w:r>
        <w:t> </w:t>
      </w:r>
      <w:r w:rsidRPr="00BA6440">
        <w:t>nominal) as</w:t>
      </w:r>
      <w:r>
        <w:t xml:space="preserve"> </w:t>
      </w:r>
      <w:r w:rsidRPr="00BA6440">
        <w:t>at 1 July 2014.</w:t>
      </w:r>
      <w:r>
        <w:t xml:space="preserve"> </w:t>
      </w:r>
    </w:p>
    <w:p w:rsidR="00F95C25" w:rsidRDefault="003415D8" w:rsidP="002C233C">
      <w:r w:rsidRPr="003415D8">
        <w:t xml:space="preserve">In the draft decision, we made adjustments to </w:t>
      </w:r>
      <w:r>
        <w:t>the disposal values in Endeavour Energy</w:t>
      </w:r>
      <w:r w:rsidRPr="003415D8">
        <w:t xml:space="preserve">'s roll forward of its </w:t>
      </w:r>
      <w:r>
        <w:t>RAB</w:t>
      </w:r>
      <w:r w:rsidRPr="003415D8">
        <w:t xml:space="preserve"> over the 2009–14 regulatory control </w:t>
      </w:r>
      <w:proofErr w:type="gramStart"/>
      <w:r w:rsidRPr="003415D8">
        <w:t>period</w:t>
      </w:r>
      <w:proofErr w:type="gramEnd"/>
      <w:r w:rsidRPr="003415D8">
        <w:t xml:space="preserve">. </w:t>
      </w:r>
      <w:r w:rsidR="00122167">
        <w:t xml:space="preserve">We noted </w:t>
      </w:r>
      <w:r w:rsidR="00122167">
        <w:lastRenderedPageBreak/>
        <w:t>the roll forward of Endeavour Energy's RAB</w:t>
      </w:r>
      <w:r w:rsidR="009E2395">
        <w:t xml:space="preserve"> included an estimate</w:t>
      </w:r>
      <w:r w:rsidR="00122167">
        <w:t>d capex value</w:t>
      </w:r>
      <w:r w:rsidR="009E2395">
        <w:t xml:space="preserve"> for 2013–14. </w:t>
      </w:r>
      <w:r w:rsidR="009E2395" w:rsidRPr="009477A6">
        <w:t xml:space="preserve">We </w:t>
      </w:r>
      <w:r w:rsidR="00122167">
        <w:t>stated</w:t>
      </w:r>
      <w:r w:rsidR="009E2395">
        <w:t xml:space="preserve"> we </w:t>
      </w:r>
      <w:r w:rsidR="009E2395" w:rsidRPr="009477A6">
        <w:t>would update</w:t>
      </w:r>
      <w:r w:rsidR="009E2395">
        <w:t xml:space="preserve"> th</w:t>
      </w:r>
      <w:r w:rsidR="00122167">
        <w:t>e 2013–14</w:t>
      </w:r>
      <w:r w:rsidR="009E2395">
        <w:t xml:space="preserve"> estimate</w:t>
      </w:r>
      <w:r w:rsidR="00122167">
        <w:t>d capex value for</w:t>
      </w:r>
      <w:r w:rsidR="009E2395">
        <w:t xml:space="preserve"> the final decision</w:t>
      </w:r>
      <w:r w:rsidR="009E2395" w:rsidRPr="009477A6">
        <w:t>.</w:t>
      </w:r>
    </w:p>
    <w:p w:rsidR="00E749BE" w:rsidRDefault="003415D8" w:rsidP="00854664">
      <w:r>
        <w:t xml:space="preserve">Endeavour Energy's </w:t>
      </w:r>
      <w:r w:rsidRPr="003415D8">
        <w:t xml:space="preserve">revised proposal adopted our draft decision adjustments to roll forward the opening RAB from 1 July 2009 to 1 July 2014. </w:t>
      </w:r>
      <w:r>
        <w:t>Endeavour Energy</w:t>
      </w:r>
      <w:r w:rsidRPr="003415D8">
        <w:t xml:space="preserve"> </w:t>
      </w:r>
      <w:r>
        <w:t xml:space="preserve">also </w:t>
      </w:r>
      <w:r w:rsidRPr="003415D8">
        <w:t>update</w:t>
      </w:r>
      <w:r>
        <w:t>d</w:t>
      </w:r>
      <w:r w:rsidRPr="003415D8">
        <w:t xml:space="preserve"> </w:t>
      </w:r>
      <w:r>
        <w:t xml:space="preserve">the </w:t>
      </w:r>
      <w:r w:rsidRPr="003415D8">
        <w:t xml:space="preserve">2013–14 </w:t>
      </w:r>
      <w:r w:rsidR="00122167">
        <w:t xml:space="preserve">estimated </w:t>
      </w:r>
      <w:r w:rsidRPr="003415D8">
        <w:t xml:space="preserve">capex </w:t>
      </w:r>
      <w:r w:rsidR="00122167">
        <w:t>adopted in the draft decision to reflect</w:t>
      </w:r>
      <w:r>
        <w:t xml:space="preserve"> actual capex</w:t>
      </w:r>
      <w:r w:rsidR="00122167">
        <w:t xml:space="preserve"> for that year</w:t>
      </w:r>
      <w:r w:rsidRPr="003415D8">
        <w:t xml:space="preserve">. We have reconciled the 2013–14 capex in the revised proposal against </w:t>
      </w:r>
      <w:r>
        <w:t>Endeavour Energy</w:t>
      </w:r>
      <w:r w:rsidRPr="003415D8">
        <w:t xml:space="preserve">'s </w:t>
      </w:r>
      <w:r w:rsidR="00122167">
        <w:t xml:space="preserve">audited </w:t>
      </w:r>
      <w:r w:rsidRPr="003415D8">
        <w:t xml:space="preserve">annual RIN for </w:t>
      </w:r>
      <w:r w:rsidR="00122167">
        <w:t>2013–14</w:t>
      </w:r>
      <w:r w:rsidRPr="003415D8">
        <w:t>. We therefore accept the actual capex for 2013–14, and t</w:t>
      </w:r>
      <w:r>
        <w:t>he revised proposed opening RAB</w:t>
      </w:r>
      <w:r w:rsidRPr="003415D8">
        <w:t xml:space="preserve"> </w:t>
      </w:r>
      <w:r>
        <w:t>as at 1 July 2014</w:t>
      </w:r>
      <w:r w:rsidRPr="003415D8">
        <w:t>.</w:t>
      </w:r>
      <w:r w:rsidR="00E749BE">
        <w:t xml:space="preserve"> </w:t>
      </w:r>
    </w:p>
    <w:p w:rsidR="00854664" w:rsidRDefault="00854664" w:rsidP="002C233C">
      <w:r>
        <w:t>PIAC</w:t>
      </w:r>
      <w:r w:rsidRPr="00376D68">
        <w:t xml:space="preserve"> </w:t>
      </w:r>
      <w:r>
        <w:t xml:space="preserve">raised </w:t>
      </w:r>
      <w:r w:rsidRPr="00376D68">
        <w:t xml:space="preserve">concerns with the size of </w:t>
      </w:r>
      <w:r>
        <w:t>Endeavour Energy's</w:t>
      </w:r>
      <w:r w:rsidRPr="00376D68">
        <w:t xml:space="preserve"> opening RAB</w:t>
      </w:r>
      <w:r>
        <w:t xml:space="preserve"> in its submission to the draft decision.</w:t>
      </w:r>
      <w:r w:rsidRPr="00376D68">
        <w:rPr>
          <w:rStyle w:val="FootnoteReference"/>
        </w:rPr>
        <w:footnoteReference w:id="6"/>
      </w:r>
      <w:r>
        <w:t xml:space="preserve"> It</w:t>
      </w:r>
      <w:r w:rsidR="00E749BE">
        <w:t>s submission suggested</w:t>
      </w:r>
      <w:r>
        <w:t xml:space="preserve"> the potential for </w:t>
      </w:r>
      <w:r w:rsidRPr="00854664">
        <w:t xml:space="preserve">writing off some parts of the </w:t>
      </w:r>
      <w:r w:rsidR="00E749BE">
        <w:t>RAB</w:t>
      </w:r>
      <w:r w:rsidRPr="00376D68">
        <w:t xml:space="preserve">. </w:t>
      </w:r>
      <w:r w:rsidR="00E749BE">
        <w:t>We note that t</w:t>
      </w:r>
      <w:r w:rsidR="008F4599" w:rsidRPr="00376D68">
        <w:t xml:space="preserve">he opening RAB reflects the capex incurred during the previous regulatory control periods. In the previous two regulatory control periods there was a significant increase in capex that only began to tail off in more recent years. </w:t>
      </w:r>
      <w:r w:rsidR="008F4599">
        <w:t>W</w:t>
      </w:r>
      <w:r w:rsidR="008F4599" w:rsidRPr="00376D68">
        <w:t>e have no ability to adjust for past capex or to optimise/write down the opening RAB</w:t>
      </w:r>
      <w:r w:rsidR="008F4599">
        <w:t xml:space="preserve"> for efficiency considerations</w:t>
      </w:r>
      <w:r w:rsidR="008F4599" w:rsidRPr="00376D68">
        <w:t xml:space="preserve">. </w:t>
      </w:r>
      <w:r w:rsidR="008F4599">
        <w:t>Under</w:t>
      </w:r>
      <w:r w:rsidR="008F4599" w:rsidRPr="000F67F7">
        <w:t xml:space="preserve"> the transitional rules, the review of past</w:t>
      </w:r>
      <w:r w:rsidR="008F4599">
        <w:t xml:space="preserve"> capex does not apply to Endeavour Energy</w:t>
      </w:r>
      <w:r w:rsidR="008F4599" w:rsidRPr="000F67F7">
        <w:t xml:space="preserve"> prior to 1 July 2015.</w:t>
      </w:r>
      <w:r w:rsidR="008F4599" w:rsidRPr="000F67F7">
        <w:rPr>
          <w:rStyle w:val="FootnoteReference"/>
        </w:rPr>
        <w:footnoteReference w:id="7"/>
      </w:r>
      <w:r w:rsidR="008F4599" w:rsidRPr="000F67F7">
        <w:t xml:space="preserve"> Therefore, for the purposes of this </w:t>
      </w:r>
      <w:r w:rsidR="008F4599">
        <w:t>final</w:t>
      </w:r>
      <w:r w:rsidR="008F4599" w:rsidRPr="000F67F7">
        <w:t xml:space="preserve"> decision, we </w:t>
      </w:r>
      <w:r w:rsidR="009A0725">
        <w:t>are required</w:t>
      </w:r>
      <w:r w:rsidR="008F4599">
        <w:t xml:space="preserve"> to </w:t>
      </w:r>
      <w:r w:rsidR="008F4599" w:rsidRPr="000F67F7">
        <w:t xml:space="preserve">add </w:t>
      </w:r>
      <w:r w:rsidR="008F4599">
        <w:t>Endeavour Energy'</w:t>
      </w:r>
      <w:r w:rsidR="008F4599" w:rsidRPr="000F67F7">
        <w:t>s actual</w:t>
      </w:r>
      <w:r w:rsidR="008F4599">
        <w:t xml:space="preserve"> capex </w:t>
      </w:r>
      <w:r w:rsidR="00643586">
        <w:t>from</w:t>
      </w:r>
      <w:r w:rsidR="008F4599">
        <w:t xml:space="preserve"> the 2009</w:t>
      </w:r>
      <w:r w:rsidR="008F4599" w:rsidRPr="000F67F7">
        <w:t>–</w:t>
      </w:r>
      <w:r w:rsidR="008F4599">
        <w:t>14</w:t>
      </w:r>
      <w:r w:rsidR="008F4599" w:rsidRPr="000F67F7">
        <w:t xml:space="preserve"> regulatory control </w:t>
      </w:r>
      <w:proofErr w:type="gramStart"/>
      <w:r w:rsidR="008F4599" w:rsidRPr="000F67F7">
        <w:t>period</w:t>
      </w:r>
      <w:proofErr w:type="gramEnd"/>
      <w:r w:rsidR="008F4599" w:rsidRPr="000F67F7">
        <w:t xml:space="preserve"> to the RAB. </w:t>
      </w:r>
      <w:r w:rsidR="008F4599" w:rsidRPr="00376D68">
        <w:t>However, with rule changes in 2012, we will have the ability to exclude inefficient capex incurred during the 201</w:t>
      </w:r>
      <w:r w:rsidR="008F4599">
        <w:t>5</w:t>
      </w:r>
      <w:r w:rsidR="008F4599" w:rsidRPr="00376D68">
        <w:t xml:space="preserve">–19 </w:t>
      </w:r>
      <w:r w:rsidR="008F4599">
        <w:t xml:space="preserve">regulatory control </w:t>
      </w:r>
      <w:r w:rsidR="008F4599" w:rsidRPr="00376D68">
        <w:t>period</w:t>
      </w:r>
      <w:r w:rsidR="009A0725">
        <w:t xml:space="preserve"> in future resets</w:t>
      </w:r>
      <w:r w:rsidR="008F4599" w:rsidRPr="00376D68">
        <w:t xml:space="preserve"> </w:t>
      </w:r>
      <w:r w:rsidR="008F4599">
        <w:t xml:space="preserve">if it exceeds the approved forecast and </w:t>
      </w:r>
      <w:r w:rsidR="008F4599" w:rsidRPr="00376D68">
        <w:t>if we consider it does not reasonably reflect the capital expenditure criteria.</w:t>
      </w:r>
      <w:r w:rsidR="008F4599" w:rsidRPr="00376D68">
        <w:rPr>
          <w:rStyle w:val="FootnoteReference"/>
        </w:rPr>
        <w:footnoteReference w:id="8"/>
      </w:r>
      <w:r w:rsidR="008F4599" w:rsidRPr="00376D68">
        <w:t xml:space="preserve"> The details of our assessment approach for inefficient capex are set out in the </w:t>
      </w:r>
      <w:r w:rsidR="008F4599" w:rsidRPr="006C551A">
        <w:rPr>
          <w:rStyle w:val="AERtextitalic"/>
        </w:rPr>
        <w:t>Capital expenditure incentive guideline</w:t>
      </w:r>
      <w:r w:rsidR="008F4599" w:rsidRPr="00376D68">
        <w:t>.</w:t>
      </w:r>
      <w:r w:rsidR="008F4599" w:rsidRPr="00376D68">
        <w:rPr>
          <w:rStyle w:val="FootnoteReference"/>
        </w:rPr>
        <w:footnoteReference w:id="9"/>
      </w:r>
    </w:p>
    <w:p w:rsidR="007B186E" w:rsidRDefault="00BA6440" w:rsidP="00BA6440">
      <w:pPr>
        <w:pStyle w:val="Heading3"/>
      </w:pPr>
      <w:bookmarkStart w:id="23" w:name="_Toc413851797"/>
      <w:r w:rsidRPr="00BA6440">
        <w:t>Forecast closing RAB as at 30 June 2019</w:t>
      </w:r>
      <w:bookmarkEnd w:id="23"/>
      <w:r w:rsidR="007D456E">
        <w:t xml:space="preserve"> </w:t>
      </w:r>
    </w:p>
    <w:p w:rsidR="002C233C" w:rsidRDefault="0064602F" w:rsidP="0064602F">
      <w:r w:rsidRPr="0064602F">
        <w:t>We forecast a closing RAB value of $</w:t>
      </w:r>
      <w:r w:rsidR="00DD0E3E">
        <w:t>6859.9</w:t>
      </w:r>
      <w:r>
        <w:t xml:space="preserve"> </w:t>
      </w:r>
      <w:r w:rsidRPr="0064602F">
        <w:t>million by 30 June 2019 for Endeavour Energy. This</w:t>
      </w:r>
      <w:r>
        <w:t xml:space="preserve"> </w:t>
      </w:r>
      <w:r w:rsidRPr="0064602F">
        <w:t xml:space="preserve">represents a reduction of </w:t>
      </w:r>
      <w:r>
        <w:t>$</w:t>
      </w:r>
      <w:r w:rsidR="005954A7">
        <w:t>53.</w:t>
      </w:r>
      <w:r w:rsidR="00DD0E3E">
        <w:t>7</w:t>
      </w:r>
      <w:r w:rsidRPr="0064602F">
        <w:t xml:space="preserve"> million, or </w:t>
      </w:r>
      <w:r w:rsidR="005954A7">
        <w:t>0.8</w:t>
      </w:r>
      <w:r w:rsidRPr="0064602F">
        <w:t xml:space="preserve"> per cent to Endeavour Energy's </w:t>
      </w:r>
      <w:r>
        <w:t xml:space="preserve">revised </w:t>
      </w:r>
      <w:r w:rsidRPr="0064602F">
        <w:t>proposal. This</w:t>
      </w:r>
      <w:r>
        <w:t xml:space="preserve"> </w:t>
      </w:r>
      <w:r w:rsidRPr="0064602F">
        <w:t xml:space="preserve">reduction reflects our </w:t>
      </w:r>
      <w:r>
        <w:t>final</w:t>
      </w:r>
      <w:r w:rsidRPr="0064602F">
        <w:t xml:space="preserve"> decision on the required inputs for determining the forecast RAB in the</w:t>
      </w:r>
      <w:r>
        <w:t xml:space="preserve"> </w:t>
      </w:r>
      <w:r w:rsidR="00122167">
        <w:t>post-tax revenue model (</w:t>
      </w:r>
      <w:r w:rsidRPr="0064602F">
        <w:t>PTRM</w:t>
      </w:r>
      <w:r w:rsidR="00122167">
        <w:t>)</w:t>
      </w:r>
      <w:r w:rsidRPr="0064602F">
        <w:t>. To determine the forecast RAB value, we amended the following PTRM inputs:</w:t>
      </w:r>
    </w:p>
    <w:p w:rsidR="0064602F" w:rsidRDefault="0064602F" w:rsidP="0064602F">
      <w:pPr>
        <w:pStyle w:val="AERbulletlistfirststyle"/>
      </w:pPr>
      <w:r w:rsidRPr="0064602F">
        <w:t xml:space="preserve">We </w:t>
      </w:r>
      <w:r w:rsidR="005954A7">
        <w:t>increased</w:t>
      </w:r>
      <w:r w:rsidR="005954A7" w:rsidRPr="0064602F">
        <w:t xml:space="preserve"> </w:t>
      </w:r>
      <w:r w:rsidRPr="0064602F">
        <w:t xml:space="preserve">Endeavour Energy's </w:t>
      </w:r>
      <w:r>
        <w:t xml:space="preserve">revised </w:t>
      </w:r>
      <w:r w:rsidRPr="0064602F">
        <w:t>propos</w:t>
      </w:r>
      <w:r>
        <w:t>al</w:t>
      </w:r>
      <w:r w:rsidRPr="0064602F">
        <w:t xml:space="preserve"> forecast </w:t>
      </w:r>
      <w:r>
        <w:t>regulatory depreciation</w:t>
      </w:r>
      <w:r w:rsidRPr="0064602F">
        <w:t xml:space="preserve"> for the 2014–19 period by</w:t>
      </w:r>
      <w:r>
        <w:t xml:space="preserve"> </w:t>
      </w:r>
      <w:r w:rsidRPr="0064602F">
        <w:t>$</w:t>
      </w:r>
      <w:r w:rsidR="005954A7">
        <w:t>34.3</w:t>
      </w:r>
      <w:r w:rsidRPr="0064602F">
        <w:t xml:space="preserve"> million or </w:t>
      </w:r>
      <w:r w:rsidR="005954A7">
        <w:t>8.6</w:t>
      </w:r>
      <w:r w:rsidRPr="0064602F">
        <w:t xml:space="preserve"> per cent (attachment </w:t>
      </w:r>
      <w:r>
        <w:t>5</w:t>
      </w:r>
      <w:r w:rsidRPr="0064602F">
        <w:t>).</w:t>
      </w:r>
    </w:p>
    <w:p w:rsidR="004F6A0E" w:rsidRDefault="008F4599" w:rsidP="00050E0D">
      <w:pPr>
        <w:pStyle w:val="AERbulletlistfirststyle"/>
      </w:pPr>
      <w:r w:rsidRPr="0064602F">
        <w:t xml:space="preserve">We reduced </w:t>
      </w:r>
      <w:r>
        <w:t>Endeavour</w:t>
      </w:r>
      <w:r w:rsidRPr="0064602F">
        <w:t xml:space="preserve"> Energy's </w:t>
      </w:r>
      <w:r>
        <w:t xml:space="preserve">revised </w:t>
      </w:r>
      <w:r w:rsidRPr="0064602F">
        <w:t>propos</w:t>
      </w:r>
      <w:r>
        <w:t>ed</w:t>
      </w:r>
      <w:r w:rsidRPr="0064602F">
        <w:t xml:space="preserve"> forecast </w:t>
      </w:r>
      <w:r>
        <w:t>inflation rate</w:t>
      </w:r>
      <w:r w:rsidRPr="0064602F">
        <w:t xml:space="preserve"> </w:t>
      </w:r>
      <w:r>
        <w:t xml:space="preserve">of 2.50 per cent </w:t>
      </w:r>
      <w:r w:rsidR="00A178D4">
        <w:t xml:space="preserve">per annum </w:t>
      </w:r>
      <w:r>
        <w:t xml:space="preserve">to 2.38 per cent </w:t>
      </w:r>
      <w:r w:rsidR="00A178D4">
        <w:t xml:space="preserve">per annum </w:t>
      </w:r>
      <w:r w:rsidRPr="0064602F">
        <w:t xml:space="preserve">(attachment </w:t>
      </w:r>
      <w:r>
        <w:t>3</w:t>
      </w:r>
      <w:r w:rsidRPr="0064602F">
        <w:t>).</w:t>
      </w:r>
    </w:p>
    <w:sectPr w:rsidR="004F6A0E"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58" w:rsidRPr="00290C63" w:rsidRDefault="00964158" w:rsidP="00290C63">
      <w:r>
        <w:separator/>
      </w:r>
    </w:p>
    <w:p w:rsidR="00964158" w:rsidRDefault="00964158"/>
  </w:endnote>
  <w:endnote w:type="continuationSeparator" w:id="0">
    <w:p w:rsidR="00964158" w:rsidRPr="00290C63" w:rsidRDefault="00964158" w:rsidP="00290C63">
      <w:r>
        <w:continuationSeparator/>
      </w:r>
    </w:p>
    <w:p w:rsidR="00964158" w:rsidRDefault="00964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58" w:rsidRPr="00290C63" w:rsidRDefault="0096415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64158" w:rsidRDefault="00964158"/>
  <w:p w:rsidR="00964158" w:rsidRDefault="00964158"/>
  <w:p w:rsidR="00964158" w:rsidRDefault="00964158"/>
  <w:p w:rsidR="00964158" w:rsidRDefault="00964158"/>
  <w:p w:rsidR="00964158" w:rsidRDefault="00964158"/>
  <w:p w:rsidR="00964158" w:rsidRDefault="00964158"/>
  <w:p w:rsidR="00964158" w:rsidRDefault="009641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964158" w:rsidRPr="009B6F84" w:rsidRDefault="00964158">
        <w:pPr>
          <w:pStyle w:val="Footer"/>
          <w:rPr>
            <w:sz w:val="20"/>
          </w:rPr>
        </w:pPr>
        <w:r>
          <w:fldChar w:fldCharType="begin"/>
        </w:r>
        <w:r>
          <w:instrText xml:space="preserve"> PAGE   \* MERGEFORMAT </w:instrText>
        </w:r>
        <w:r>
          <w:fldChar w:fldCharType="separate"/>
        </w:r>
        <w:r w:rsidR="007D1D89">
          <w:rPr>
            <w:noProof/>
          </w:rPr>
          <w:t>2-7</w:t>
        </w:r>
        <w:r>
          <w:rPr>
            <w:noProof/>
          </w:rPr>
          <w:fldChar w:fldCharType="end"/>
        </w:r>
        <w:r>
          <w:rPr>
            <w:noProof/>
          </w:rPr>
          <w:t xml:space="preserve">         </w:t>
        </w:r>
        <w:r>
          <w:t xml:space="preserve">                      </w:t>
        </w:r>
        <w:r>
          <w:rPr>
            <w:noProof/>
          </w:rPr>
          <w:t xml:space="preserve"> </w:t>
        </w:r>
        <w:r w:rsidRPr="005E1582">
          <w:rPr>
            <w:noProof/>
          </w:rPr>
          <w:t xml:space="preserve">Attachment </w:t>
        </w:r>
        <w:r>
          <w:rPr>
            <w:noProof/>
          </w:rPr>
          <w:t>2</w:t>
        </w:r>
        <w:r w:rsidRPr="005E1582">
          <w:rPr>
            <w:noProof/>
          </w:rPr>
          <w:t xml:space="preserve"> – </w:t>
        </w:r>
        <w:r>
          <w:rPr>
            <w:noProof/>
          </w:rPr>
          <w:t xml:space="preserve">Regulatory asset base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964158" w:rsidRDefault="009641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58" w:rsidRPr="00290C63" w:rsidRDefault="0096415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64158" w:rsidRDefault="00964158">
    <w:pPr>
      <w:pStyle w:val="Footer"/>
    </w:pPr>
  </w:p>
  <w:p w:rsidR="00964158" w:rsidRDefault="00964158"/>
  <w:p w:rsidR="00964158" w:rsidRDefault="00964158"/>
  <w:p w:rsidR="00964158" w:rsidRDefault="00964158"/>
  <w:p w:rsidR="00964158" w:rsidRDefault="00964158"/>
  <w:p w:rsidR="00964158" w:rsidRDefault="00964158"/>
  <w:p w:rsidR="00964158" w:rsidRDefault="00964158"/>
  <w:p w:rsidR="00964158" w:rsidRDefault="009641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58" w:rsidRPr="00290C63" w:rsidRDefault="00964158" w:rsidP="00290C63">
      <w:r>
        <w:separator/>
      </w:r>
    </w:p>
    <w:p w:rsidR="00964158" w:rsidRDefault="00964158"/>
  </w:footnote>
  <w:footnote w:type="continuationSeparator" w:id="0">
    <w:p w:rsidR="00964158" w:rsidRPr="00290C63" w:rsidRDefault="00964158" w:rsidP="00290C63">
      <w:r>
        <w:continuationSeparator/>
      </w:r>
    </w:p>
    <w:p w:rsidR="00964158" w:rsidRDefault="00964158"/>
  </w:footnote>
  <w:footnote w:id="1">
    <w:p w:rsidR="00964158" w:rsidRDefault="00964158">
      <w:pPr>
        <w:pStyle w:val="FootnoteText"/>
      </w:pPr>
      <w:r>
        <w:rPr>
          <w:rStyle w:val="FootnoteReference"/>
        </w:rPr>
        <w:footnoteRef/>
      </w:r>
      <w:r>
        <w:t xml:space="preserve"> </w:t>
      </w:r>
      <w:r>
        <w:tab/>
      </w:r>
      <w:proofErr w:type="gramStart"/>
      <w:r>
        <w:t>NER, cl. 6.1</w:t>
      </w:r>
      <w:r w:rsidR="00CD60C1">
        <w:t>2</w:t>
      </w:r>
      <w:r>
        <w:t>.1(6).</w:t>
      </w:r>
      <w:proofErr w:type="gramEnd"/>
    </w:p>
  </w:footnote>
  <w:footnote w:id="2">
    <w:p w:rsidR="00964158" w:rsidRDefault="00964158">
      <w:pPr>
        <w:pStyle w:val="FootnoteText"/>
      </w:pPr>
      <w:r>
        <w:rPr>
          <w:rStyle w:val="FootnoteReference"/>
        </w:rPr>
        <w:footnoteRef/>
      </w:r>
      <w:r>
        <w:t xml:space="preserve"> </w:t>
      </w:r>
      <w:r>
        <w:tab/>
        <w:t xml:space="preserve">Endeavour Energy, </w:t>
      </w:r>
      <w:r w:rsidR="00305388" w:rsidRPr="00374C7E">
        <w:rPr>
          <w:rStyle w:val="AERtextitalic"/>
        </w:rPr>
        <w:t>Revised regulatory proposal</w:t>
      </w:r>
      <w:r w:rsidR="00305388">
        <w:t>, January 2015, Attachment 4.02.</w:t>
      </w:r>
    </w:p>
  </w:footnote>
  <w:footnote w:id="3">
    <w:p w:rsidR="00964158" w:rsidRDefault="00964158" w:rsidP="008B0934">
      <w:pPr>
        <w:pStyle w:val="FootnoteText"/>
      </w:pPr>
      <w:r>
        <w:rPr>
          <w:rStyle w:val="FootnoteReference"/>
        </w:rPr>
        <w:footnoteRef/>
      </w:r>
      <w:r>
        <w:t xml:space="preserve"> </w:t>
      </w:r>
      <w:r>
        <w:tab/>
        <w:t xml:space="preserve">Endeavour Energy, </w:t>
      </w:r>
      <w:r w:rsidRPr="00374C7E">
        <w:rPr>
          <w:rStyle w:val="AERtextitalic"/>
        </w:rPr>
        <w:t>Revised regulatory proposal</w:t>
      </w:r>
      <w:r>
        <w:t>, January 2015, p. 69.</w:t>
      </w:r>
    </w:p>
  </w:footnote>
  <w:footnote w:id="4">
    <w:p w:rsidR="00964158" w:rsidRDefault="00964158">
      <w:pPr>
        <w:pStyle w:val="FootnoteText"/>
      </w:pPr>
      <w:r>
        <w:rPr>
          <w:rStyle w:val="FootnoteReference"/>
        </w:rPr>
        <w:footnoteRef/>
      </w:r>
      <w:r>
        <w:t xml:space="preserve"> </w:t>
      </w:r>
      <w:r>
        <w:tab/>
        <w:t xml:space="preserve">Endeavour Energy, </w:t>
      </w:r>
      <w:r w:rsidR="00305388" w:rsidRPr="00374C7E">
        <w:rPr>
          <w:rStyle w:val="AERtextitalic"/>
        </w:rPr>
        <w:t>Revised regulatory proposal</w:t>
      </w:r>
      <w:r w:rsidR="00305388">
        <w:t>, January 2015, Attachment 4.02.</w:t>
      </w:r>
    </w:p>
  </w:footnote>
  <w:footnote w:id="5">
    <w:p w:rsidR="00964158" w:rsidRDefault="00964158" w:rsidP="003415D8">
      <w:pPr>
        <w:pStyle w:val="FootnoteText"/>
      </w:pPr>
      <w:r>
        <w:rPr>
          <w:rStyle w:val="FootnoteReference"/>
        </w:rPr>
        <w:footnoteRef/>
      </w:r>
      <w:r>
        <w:t xml:space="preserve"> </w:t>
      </w:r>
      <w:r>
        <w:tab/>
      </w:r>
      <w:proofErr w:type="gramStart"/>
      <w:r>
        <w:t xml:space="preserve">AER, </w:t>
      </w:r>
      <w:r w:rsidRPr="005C78F1">
        <w:rPr>
          <w:rStyle w:val="AERtextitalic"/>
        </w:rPr>
        <w:t xml:space="preserve">Draft decision - </w:t>
      </w:r>
      <w:r>
        <w:rPr>
          <w:rStyle w:val="AERtextitalic"/>
        </w:rPr>
        <w:t xml:space="preserve">Endeavour Energy </w:t>
      </w:r>
      <w:r w:rsidRPr="005C78F1">
        <w:rPr>
          <w:rStyle w:val="AERtextitalic"/>
        </w:rPr>
        <w:t>distribution determination attachment 2 - Regulatory asset base</w:t>
      </w:r>
      <w:r>
        <w:t>, November 2014, pp. 10–13.</w:t>
      </w:r>
      <w:proofErr w:type="gramEnd"/>
    </w:p>
  </w:footnote>
  <w:footnote w:id="6">
    <w:p w:rsidR="00964158" w:rsidRPr="006A1A89" w:rsidRDefault="00964158" w:rsidP="00854664">
      <w:pPr>
        <w:pStyle w:val="FootnoteText"/>
      </w:pPr>
      <w:r>
        <w:rPr>
          <w:rStyle w:val="FootnoteReference"/>
        </w:rPr>
        <w:footnoteRef/>
      </w:r>
      <w:r>
        <w:t xml:space="preserve"> </w:t>
      </w:r>
      <w:r>
        <w:tab/>
        <w:t>PIAC,</w:t>
      </w:r>
      <w:r w:rsidRPr="00376D68">
        <w:t xml:space="preserve"> </w:t>
      </w:r>
      <w:r w:rsidRPr="005A68EB">
        <w:rPr>
          <w:rStyle w:val="AERtextitalic"/>
        </w:rPr>
        <w:t>Submission on NSW draft decisions</w:t>
      </w:r>
      <w:r>
        <w:t xml:space="preserve">, </w:t>
      </w:r>
      <w:r w:rsidRPr="00376D68">
        <w:t>14 February 2015</w:t>
      </w:r>
      <w:r>
        <w:t>, p. 60–61</w:t>
      </w:r>
      <w:r w:rsidRPr="006A1A89">
        <w:rPr>
          <w:rStyle w:val="AERtextitalic"/>
          <w:i w:val="0"/>
        </w:rPr>
        <w:t>.</w:t>
      </w:r>
    </w:p>
  </w:footnote>
  <w:footnote w:id="7">
    <w:p w:rsidR="008F4599" w:rsidRDefault="008F4599" w:rsidP="008F4599">
      <w:pPr>
        <w:pStyle w:val="FootnoteText"/>
      </w:pPr>
      <w:r>
        <w:rPr>
          <w:rStyle w:val="FootnoteReference"/>
        </w:rPr>
        <w:footnoteRef/>
      </w:r>
      <w:r>
        <w:t xml:space="preserve"> </w:t>
      </w:r>
      <w:r>
        <w:tab/>
      </w:r>
      <w:proofErr w:type="gramStart"/>
      <w:r>
        <w:t>NER, cl</w:t>
      </w:r>
      <w:r w:rsidR="009A0725">
        <w:t>.</w:t>
      </w:r>
      <w:r>
        <w:t xml:space="preserve"> 11.</w:t>
      </w:r>
      <w:r w:rsidR="009A0725">
        <w:t>56.5.</w:t>
      </w:r>
      <w:proofErr w:type="gramEnd"/>
    </w:p>
  </w:footnote>
  <w:footnote w:id="8">
    <w:p w:rsidR="008F4599" w:rsidRDefault="008F4599" w:rsidP="008F4599">
      <w:pPr>
        <w:pStyle w:val="FootnoteText"/>
      </w:pPr>
      <w:r>
        <w:rPr>
          <w:rStyle w:val="FootnoteReference"/>
        </w:rPr>
        <w:footnoteRef/>
      </w:r>
      <w:r>
        <w:t xml:space="preserve"> </w:t>
      </w:r>
      <w:r>
        <w:tab/>
        <w:t xml:space="preserve">Under the NER, cl S6.2.2A(b), the exclusion of </w:t>
      </w:r>
      <w:r w:rsidRPr="00166EE4">
        <w:t>inefficient</w:t>
      </w:r>
      <w:r>
        <w:t xml:space="preserve"> capex could only come from three areas including overspend in capex , margin paid to third party and capitalisation of </w:t>
      </w:r>
      <w:proofErr w:type="spellStart"/>
      <w:r>
        <w:t>opex</w:t>
      </w:r>
      <w:proofErr w:type="spellEnd"/>
      <w:r>
        <w:t xml:space="preserve"> as defined in cl S6.2.2A(</w:t>
      </w:r>
      <w:r w:rsidR="009A0725">
        <w:t>c</w:t>
      </w:r>
      <w:r>
        <w:t>), (</w:t>
      </w:r>
      <w:r w:rsidR="009A0725">
        <w:t>d</w:t>
      </w:r>
      <w:r>
        <w:t>) and (</w:t>
      </w:r>
      <w:r w:rsidR="009A0725">
        <w:t>e</w:t>
      </w:r>
      <w:r>
        <w:t xml:space="preserve">) of the NER. </w:t>
      </w:r>
    </w:p>
  </w:footnote>
  <w:footnote w:id="9">
    <w:p w:rsidR="008F4599" w:rsidRDefault="008F4599" w:rsidP="008F4599">
      <w:pPr>
        <w:pStyle w:val="FootnoteText"/>
      </w:pPr>
      <w:r>
        <w:rPr>
          <w:rStyle w:val="FootnoteReference"/>
        </w:rPr>
        <w:footnoteRef/>
      </w:r>
      <w:r>
        <w:t xml:space="preserve"> </w:t>
      </w:r>
      <w:r>
        <w:tab/>
      </w:r>
      <w:proofErr w:type="gramStart"/>
      <w:r>
        <w:t xml:space="preserve">AER, </w:t>
      </w:r>
      <w:r w:rsidRPr="00105346">
        <w:rPr>
          <w:rStyle w:val="AERtextitalic"/>
        </w:rPr>
        <w:t xml:space="preserve">Capital </w:t>
      </w:r>
      <w:r>
        <w:rPr>
          <w:rStyle w:val="AERtextitalic"/>
        </w:rPr>
        <w:t>e</w:t>
      </w:r>
      <w:r w:rsidRPr="00105346">
        <w:rPr>
          <w:rStyle w:val="AERtextitalic"/>
        </w:rPr>
        <w:t xml:space="preserve">xpenditure Incentive </w:t>
      </w:r>
      <w:r>
        <w:rPr>
          <w:rStyle w:val="AERtextitalic"/>
        </w:rPr>
        <w:t>g</w:t>
      </w:r>
      <w:r w:rsidRPr="00105346">
        <w:rPr>
          <w:rStyle w:val="AERtextitalic"/>
        </w:rPr>
        <w:t>uideline</w:t>
      </w:r>
      <w:r>
        <w:t>, November 2013, pp. 12–20.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6BA61C2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8qWtxwpZZklxulQ1MmZfq0yICGYG3ZCk12pCQF6dcB0=" w:saltValue="K/236hh2u6Ssdz1hzXm8pw==" w:algorithmName="SHA-256"/>
  <w:defaultTabStop w:val="34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372\AER15 452  AER - Final Decision Endeavour Energy distribution determination - Attachment 2 - Regulatory asset base - April 2015.DOCX"/>
  </w:docVars>
  <w:rsids>
    <w:rsidRoot w:val="00961A4A"/>
    <w:rsid w:val="00011F13"/>
    <w:rsid w:val="00021202"/>
    <w:rsid w:val="00021C2B"/>
    <w:rsid w:val="0002517F"/>
    <w:rsid w:val="0003578C"/>
    <w:rsid w:val="00050E0D"/>
    <w:rsid w:val="00063247"/>
    <w:rsid w:val="00070F9F"/>
    <w:rsid w:val="0007137B"/>
    <w:rsid w:val="00071AE5"/>
    <w:rsid w:val="00085663"/>
    <w:rsid w:val="00085EBF"/>
    <w:rsid w:val="00091B15"/>
    <w:rsid w:val="000A3020"/>
    <w:rsid w:val="000A6C7B"/>
    <w:rsid w:val="000C2B40"/>
    <w:rsid w:val="000C3E90"/>
    <w:rsid w:val="000D122C"/>
    <w:rsid w:val="000E1819"/>
    <w:rsid w:val="000E4821"/>
    <w:rsid w:val="000E5E2E"/>
    <w:rsid w:val="000E6C72"/>
    <w:rsid w:val="00116EB2"/>
    <w:rsid w:val="00122167"/>
    <w:rsid w:val="00124609"/>
    <w:rsid w:val="00126A4C"/>
    <w:rsid w:val="0014573B"/>
    <w:rsid w:val="001551A4"/>
    <w:rsid w:val="001573E4"/>
    <w:rsid w:val="00160756"/>
    <w:rsid w:val="0017232E"/>
    <w:rsid w:val="00174102"/>
    <w:rsid w:val="001754EE"/>
    <w:rsid w:val="00180157"/>
    <w:rsid w:val="00185CB9"/>
    <w:rsid w:val="00186F77"/>
    <w:rsid w:val="001926A4"/>
    <w:rsid w:val="00192AD5"/>
    <w:rsid w:val="00197AF4"/>
    <w:rsid w:val="001B45A0"/>
    <w:rsid w:val="001B7707"/>
    <w:rsid w:val="001D055E"/>
    <w:rsid w:val="001D0684"/>
    <w:rsid w:val="001E6733"/>
    <w:rsid w:val="001F05A4"/>
    <w:rsid w:val="001F492E"/>
    <w:rsid w:val="001F6DA3"/>
    <w:rsid w:val="001F7F38"/>
    <w:rsid w:val="002010BC"/>
    <w:rsid w:val="002016E7"/>
    <w:rsid w:val="00202E03"/>
    <w:rsid w:val="0020492C"/>
    <w:rsid w:val="00224DB9"/>
    <w:rsid w:val="00233775"/>
    <w:rsid w:val="00251745"/>
    <w:rsid w:val="00263AC0"/>
    <w:rsid w:val="00264264"/>
    <w:rsid w:val="0026772D"/>
    <w:rsid w:val="00275155"/>
    <w:rsid w:val="00286874"/>
    <w:rsid w:val="00290C63"/>
    <w:rsid w:val="00296B65"/>
    <w:rsid w:val="002A7DEF"/>
    <w:rsid w:val="002C233C"/>
    <w:rsid w:val="002D72E8"/>
    <w:rsid w:val="002D7527"/>
    <w:rsid w:val="002E7B22"/>
    <w:rsid w:val="002F7986"/>
    <w:rsid w:val="00301B40"/>
    <w:rsid w:val="003029EE"/>
    <w:rsid w:val="00305388"/>
    <w:rsid w:val="00305CC8"/>
    <w:rsid w:val="00307F6D"/>
    <w:rsid w:val="003177A2"/>
    <w:rsid w:val="003271B5"/>
    <w:rsid w:val="00327A1E"/>
    <w:rsid w:val="00331264"/>
    <w:rsid w:val="00334C8D"/>
    <w:rsid w:val="003415D8"/>
    <w:rsid w:val="00343A18"/>
    <w:rsid w:val="003518B3"/>
    <w:rsid w:val="003805CA"/>
    <w:rsid w:val="003846F1"/>
    <w:rsid w:val="003B484F"/>
    <w:rsid w:val="003B7FBA"/>
    <w:rsid w:val="003F174D"/>
    <w:rsid w:val="004065DA"/>
    <w:rsid w:val="00415F31"/>
    <w:rsid w:val="00423A77"/>
    <w:rsid w:val="0045777E"/>
    <w:rsid w:val="00480B4B"/>
    <w:rsid w:val="00485DC4"/>
    <w:rsid w:val="004A43D1"/>
    <w:rsid w:val="004B15BD"/>
    <w:rsid w:val="004B2F5F"/>
    <w:rsid w:val="004B4412"/>
    <w:rsid w:val="004C348C"/>
    <w:rsid w:val="004D55BA"/>
    <w:rsid w:val="004E22EC"/>
    <w:rsid w:val="004E658F"/>
    <w:rsid w:val="004F6A0E"/>
    <w:rsid w:val="00530128"/>
    <w:rsid w:val="00532467"/>
    <w:rsid w:val="00543F8B"/>
    <w:rsid w:val="00564A4D"/>
    <w:rsid w:val="00567BA5"/>
    <w:rsid w:val="00571B35"/>
    <w:rsid w:val="00571D57"/>
    <w:rsid w:val="00577A09"/>
    <w:rsid w:val="00581F71"/>
    <w:rsid w:val="005829C2"/>
    <w:rsid w:val="00584D8F"/>
    <w:rsid w:val="00592CAA"/>
    <w:rsid w:val="005954A7"/>
    <w:rsid w:val="005A404D"/>
    <w:rsid w:val="005B1E3C"/>
    <w:rsid w:val="005B704A"/>
    <w:rsid w:val="005B70E4"/>
    <w:rsid w:val="005C21A4"/>
    <w:rsid w:val="005C26CC"/>
    <w:rsid w:val="005D7BA2"/>
    <w:rsid w:val="005E1582"/>
    <w:rsid w:val="005E36C2"/>
    <w:rsid w:val="005E77F8"/>
    <w:rsid w:val="00610EF9"/>
    <w:rsid w:val="00612F4F"/>
    <w:rsid w:val="00613756"/>
    <w:rsid w:val="00615C6B"/>
    <w:rsid w:val="00621DCE"/>
    <w:rsid w:val="00627626"/>
    <w:rsid w:val="00632D6D"/>
    <w:rsid w:val="00642C3E"/>
    <w:rsid w:val="00643586"/>
    <w:rsid w:val="0064602F"/>
    <w:rsid w:val="0066104A"/>
    <w:rsid w:val="00663DAD"/>
    <w:rsid w:val="00675E20"/>
    <w:rsid w:val="00676679"/>
    <w:rsid w:val="00683C89"/>
    <w:rsid w:val="006A1A89"/>
    <w:rsid w:val="006B2395"/>
    <w:rsid w:val="006B4CF9"/>
    <w:rsid w:val="006B7AC8"/>
    <w:rsid w:val="006C1736"/>
    <w:rsid w:val="006D550F"/>
    <w:rsid w:val="006F1BB0"/>
    <w:rsid w:val="0070011E"/>
    <w:rsid w:val="00701CAB"/>
    <w:rsid w:val="00707563"/>
    <w:rsid w:val="007204CD"/>
    <w:rsid w:val="0072348C"/>
    <w:rsid w:val="00724A37"/>
    <w:rsid w:val="007303C3"/>
    <w:rsid w:val="007429BE"/>
    <w:rsid w:val="00743223"/>
    <w:rsid w:val="00746E01"/>
    <w:rsid w:val="00757364"/>
    <w:rsid w:val="00757BDF"/>
    <w:rsid w:val="007609D0"/>
    <w:rsid w:val="00763E5D"/>
    <w:rsid w:val="00767740"/>
    <w:rsid w:val="00777EE6"/>
    <w:rsid w:val="00782EEA"/>
    <w:rsid w:val="007B186E"/>
    <w:rsid w:val="007B2C72"/>
    <w:rsid w:val="007C1243"/>
    <w:rsid w:val="007C1C53"/>
    <w:rsid w:val="007C74BB"/>
    <w:rsid w:val="007D1D89"/>
    <w:rsid w:val="007D456E"/>
    <w:rsid w:val="007E4904"/>
    <w:rsid w:val="007E4CB5"/>
    <w:rsid w:val="007F066B"/>
    <w:rsid w:val="008033C4"/>
    <w:rsid w:val="00806C88"/>
    <w:rsid w:val="0081034E"/>
    <w:rsid w:val="00826183"/>
    <w:rsid w:val="008344F6"/>
    <w:rsid w:val="0083510F"/>
    <w:rsid w:val="00851209"/>
    <w:rsid w:val="00854664"/>
    <w:rsid w:val="008837AC"/>
    <w:rsid w:val="008A587D"/>
    <w:rsid w:val="008B0934"/>
    <w:rsid w:val="008B35CD"/>
    <w:rsid w:val="008B5FCC"/>
    <w:rsid w:val="008C5486"/>
    <w:rsid w:val="008D1661"/>
    <w:rsid w:val="008D6800"/>
    <w:rsid w:val="008E6C64"/>
    <w:rsid w:val="008E7031"/>
    <w:rsid w:val="008E77DE"/>
    <w:rsid w:val="008F07A3"/>
    <w:rsid w:val="008F4599"/>
    <w:rsid w:val="009001B6"/>
    <w:rsid w:val="00900E1B"/>
    <w:rsid w:val="009233EE"/>
    <w:rsid w:val="009460AA"/>
    <w:rsid w:val="00951978"/>
    <w:rsid w:val="00961A4A"/>
    <w:rsid w:val="00964158"/>
    <w:rsid w:val="009661DE"/>
    <w:rsid w:val="00983C25"/>
    <w:rsid w:val="009856B7"/>
    <w:rsid w:val="00985C86"/>
    <w:rsid w:val="009864FF"/>
    <w:rsid w:val="009A0725"/>
    <w:rsid w:val="009A5FC3"/>
    <w:rsid w:val="009B6F84"/>
    <w:rsid w:val="009B74B0"/>
    <w:rsid w:val="009D3906"/>
    <w:rsid w:val="009D6B46"/>
    <w:rsid w:val="009E2395"/>
    <w:rsid w:val="009F3EFD"/>
    <w:rsid w:val="009F4940"/>
    <w:rsid w:val="009F5BA1"/>
    <w:rsid w:val="00A02A88"/>
    <w:rsid w:val="00A0562E"/>
    <w:rsid w:val="00A0726D"/>
    <w:rsid w:val="00A178D4"/>
    <w:rsid w:val="00A32FBB"/>
    <w:rsid w:val="00A428EE"/>
    <w:rsid w:val="00A43713"/>
    <w:rsid w:val="00A4478A"/>
    <w:rsid w:val="00A44852"/>
    <w:rsid w:val="00A50502"/>
    <w:rsid w:val="00A57D04"/>
    <w:rsid w:val="00A60A26"/>
    <w:rsid w:val="00A61598"/>
    <w:rsid w:val="00A84A99"/>
    <w:rsid w:val="00A84F46"/>
    <w:rsid w:val="00A84F77"/>
    <w:rsid w:val="00A85625"/>
    <w:rsid w:val="00A871F4"/>
    <w:rsid w:val="00A94BC2"/>
    <w:rsid w:val="00AA5C88"/>
    <w:rsid w:val="00AC1B2C"/>
    <w:rsid w:val="00AC3264"/>
    <w:rsid w:val="00AD471E"/>
    <w:rsid w:val="00AE1BF1"/>
    <w:rsid w:val="00AF0DD2"/>
    <w:rsid w:val="00AF492E"/>
    <w:rsid w:val="00B00AF7"/>
    <w:rsid w:val="00B13048"/>
    <w:rsid w:val="00B1716D"/>
    <w:rsid w:val="00B17A1D"/>
    <w:rsid w:val="00B207A0"/>
    <w:rsid w:val="00B514DD"/>
    <w:rsid w:val="00B52AF0"/>
    <w:rsid w:val="00B561BD"/>
    <w:rsid w:val="00B56E03"/>
    <w:rsid w:val="00B8080B"/>
    <w:rsid w:val="00B816FB"/>
    <w:rsid w:val="00B82223"/>
    <w:rsid w:val="00B87BA5"/>
    <w:rsid w:val="00B87C39"/>
    <w:rsid w:val="00B9562D"/>
    <w:rsid w:val="00BA4665"/>
    <w:rsid w:val="00BA6440"/>
    <w:rsid w:val="00BB2FB2"/>
    <w:rsid w:val="00BB3304"/>
    <w:rsid w:val="00BD3446"/>
    <w:rsid w:val="00BE1F1B"/>
    <w:rsid w:val="00BE47B5"/>
    <w:rsid w:val="00C10CB5"/>
    <w:rsid w:val="00C25FA6"/>
    <w:rsid w:val="00C4466F"/>
    <w:rsid w:val="00C52FFE"/>
    <w:rsid w:val="00C538A9"/>
    <w:rsid w:val="00C53B5A"/>
    <w:rsid w:val="00C54F5A"/>
    <w:rsid w:val="00C569B4"/>
    <w:rsid w:val="00C67A92"/>
    <w:rsid w:val="00C84560"/>
    <w:rsid w:val="00C86679"/>
    <w:rsid w:val="00CA489E"/>
    <w:rsid w:val="00CB0279"/>
    <w:rsid w:val="00CB666B"/>
    <w:rsid w:val="00CC1532"/>
    <w:rsid w:val="00CC7F1D"/>
    <w:rsid w:val="00CD60C1"/>
    <w:rsid w:val="00CE484B"/>
    <w:rsid w:val="00CF0DEE"/>
    <w:rsid w:val="00D006AE"/>
    <w:rsid w:val="00D01CF0"/>
    <w:rsid w:val="00D0442A"/>
    <w:rsid w:val="00D07E5A"/>
    <w:rsid w:val="00D25BEA"/>
    <w:rsid w:val="00D25D8D"/>
    <w:rsid w:val="00D61388"/>
    <w:rsid w:val="00D61A54"/>
    <w:rsid w:val="00D64DEA"/>
    <w:rsid w:val="00D65F95"/>
    <w:rsid w:val="00D7168E"/>
    <w:rsid w:val="00D71E57"/>
    <w:rsid w:val="00D80893"/>
    <w:rsid w:val="00D84854"/>
    <w:rsid w:val="00D92CF1"/>
    <w:rsid w:val="00D92D38"/>
    <w:rsid w:val="00D950F5"/>
    <w:rsid w:val="00DA4752"/>
    <w:rsid w:val="00DA61F3"/>
    <w:rsid w:val="00DB0F93"/>
    <w:rsid w:val="00DB1A67"/>
    <w:rsid w:val="00DB5074"/>
    <w:rsid w:val="00DC7981"/>
    <w:rsid w:val="00DD0E3E"/>
    <w:rsid w:val="00DE1093"/>
    <w:rsid w:val="00DE4EFA"/>
    <w:rsid w:val="00DE5520"/>
    <w:rsid w:val="00DE563D"/>
    <w:rsid w:val="00E021C0"/>
    <w:rsid w:val="00E04818"/>
    <w:rsid w:val="00E06442"/>
    <w:rsid w:val="00E17DD3"/>
    <w:rsid w:val="00E23993"/>
    <w:rsid w:val="00E25B8C"/>
    <w:rsid w:val="00E65C85"/>
    <w:rsid w:val="00E66199"/>
    <w:rsid w:val="00E749BE"/>
    <w:rsid w:val="00E755EC"/>
    <w:rsid w:val="00E7624D"/>
    <w:rsid w:val="00E81E3A"/>
    <w:rsid w:val="00E9607F"/>
    <w:rsid w:val="00EA3D42"/>
    <w:rsid w:val="00EA6B1B"/>
    <w:rsid w:val="00EC04F1"/>
    <w:rsid w:val="00ED7323"/>
    <w:rsid w:val="00EE28F3"/>
    <w:rsid w:val="00EE50D1"/>
    <w:rsid w:val="00EF5110"/>
    <w:rsid w:val="00F10411"/>
    <w:rsid w:val="00F15882"/>
    <w:rsid w:val="00F171E0"/>
    <w:rsid w:val="00F20BD3"/>
    <w:rsid w:val="00F373A5"/>
    <w:rsid w:val="00F47559"/>
    <w:rsid w:val="00F62B6D"/>
    <w:rsid w:val="00F64C7B"/>
    <w:rsid w:val="00F676DD"/>
    <w:rsid w:val="00F75A26"/>
    <w:rsid w:val="00F76706"/>
    <w:rsid w:val="00F83FAD"/>
    <w:rsid w:val="00F87520"/>
    <w:rsid w:val="00F9019D"/>
    <w:rsid w:val="00F952A0"/>
    <w:rsid w:val="00F95C25"/>
    <w:rsid w:val="00FA3C7F"/>
    <w:rsid w:val="00FB60FE"/>
    <w:rsid w:val="00FB74E2"/>
    <w:rsid w:val="00FD28E1"/>
    <w:rsid w:val="00FD5614"/>
    <w:rsid w:val="00FD5E78"/>
    <w:rsid w:val="00FE0BE1"/>
    <w:rsid w:val="00FE17DE"/>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454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96231755">
      <w:bodyDiv w:val="1"/>
      <w:marLeft w:val="0"/>
      <w:marRight w:val="0"/>
      <w:marTop w:val="0"/>
      <w:marBottom w:val="0"/>
      <w:divBdr>
        <w:top w:val="none" w:sz="0" w:space="0" w:color="auto"/>
        <w:left w:val="none" w:sz="0" w:space="0" w:color="auto"/>
        <w:bottom w:val="none" w:sz="0" w:space="0" w:color="auto"/>
        <w:right w:val="none" w:sz="0" w:space="0" w:color="auto"/>
      </w:divBdr>
    </w:div>
    <w:div w:id="1220555510">
      <w:bodyDiv w:val="1"/>
      <w:marLeft w:val="0"/>
      <w:marRight w:val="0"/>
      <w:marTop w:val="0"/>
      <w:marBottom w:val="0"/>
      <w:divBdr>
        <w:top w:val="none" w:sz="0" w:space="0" w:color="auto"/>
        <w:left w:val="none" w:sz="0" w:space="0" w:color="auto"/>
        <w:bottom w:val="none" w:sz="0" w:space="0" w:color="auto"/>
        <w:right w:val="none" w:sz="0" w:space="0" w:color="auto"/>
      </w:divBdr>
    </w:div>
    <w:div w:id="1689911688">
      <w:bodyDiv w:val="1"/>
      <w:marLeft w:val="0"/>
      <w:marRight w:val="0"/>
      <w:marTop w:val="0"/>
      <w:marBottom w:val="0"/>
      <w:divBdr>
        <w:top w:val="none" w:sz="0" w:space="0" w:color="auto"/>
        <w:left w:val="none" w:sz="0" w:space="0" w:color="auto"/>
        <w:bottom w:val="none" w:sz="0" w:space="0" w:color="auto"/>
        <w:right w:val="none" w:sz="0" w:space="0" w:color="auto"/>
      </w:divBdr>
    </w:div>
    <w:div w:id="186019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C4A5810C.dotm</Template>
  <TotalTime>0</TotalTime>
  <Pages>10</Pages>
  <Words>1920</Words>
  <Characters>10948</Characters>
  <Application>Microsoft Office Word</Application>
  <DocSecurity>0</DocSecurity>
  <Lines>91</Lines>
  <Paragraphs>25</Paragraphs>
  <ScaleCrop>false</ScaleCrop>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2015-04-27T07:40:00Z</dcterms:created>
  <dcterms:modified xsi:type="dcterms:W3CDTF">2015-04-27T07:40:00Z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