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E40C92C" wp14:editId="16729A4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4D0B40">
            <w:t>9</w:t>
          </w:r>
          <w:r w:rsidR="00257E97">
            <w:t xml:space="preserve"> –</w:t>
          </w:r>
          <w:r w:rsidR="008875E1">
            <w:t xml:space="preserve"> </w:t>
          </w:r>
          <w:r w:rsidR="004D0B40">
            <w:t>Efficiency benefit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724854"/>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2C6F96" w:rsidRPr="002C6F96">
        <w:t>policy</w:t>
      </w:r>
    </w:p>
    <w:p w:rsidR="00415F31" w:rsidRDefault="0070011E" w:rsidP="00415F31">
      <w:r>
        <w:t>Attachment 19 - Pricing methodology</w:t>
      </w:r>
    </w:p>
    <w:p w:rsidR="000F5CC3" w:rsidRDefault="000F5CC3" w:rsidP="00415F31">
      <w:r w:rsidRPr="000F5CC3">
        <w:t>Attachment 20 - Analysis of financial viability</w:t>
      </w:r>
    </w:p>
    <w:p w:rsidR="000F5CC3" w:rsidRDefault="000F5CC3" w:rsidP="00415F31"/>
    <w:p w:rsidR="008F07A3" w:rsidRPr="008F07A3" w:rsidRDefault="008F07A3" w:rsidP="00415F31">
      <w:pPr>
        <w:numPr>
          <w:ilvl w:val="0"/>
          <w:numId w:val="25"/>
        </w:numPr>
        <w:sectPr w:rsidR="008F07A3" w:rsidRPr="008F07A3" w:rsidSect="001754EE">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2485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F5CC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24854" w:history="1">
            <w:r w:rsidR="000F5CC3" w:rsidRPr="001B4EFC">
              <w:rPr>
                <w:rStyle w:val="Hyperlink"/>
              </w:rPr>
              <w:t>Note</w:t>
            </w:r>
            <w:r w:rsidR="000F5CC3">
              <w:rPr>
                <w:webHidden/>
              </w:rPr>
              <w:tab/>
            </w:r>
            <w:r w:rsidR="000F5CC3">
              <w:rPr>
                <w:webHidden/>
              </w:rPr>
              <w:fldChar w:fldCharType="begin"/>
            </w:r>
            <w:r w:rsidR="000F5CC3">
              <w:rPr>
                <w:webHidden/>
              </w:rPr>
              <w:instrText xml:space="preserve"> PAGEREF _Toc417724854 \h </w:instrText>
            </w:r>
            <w:r w:rsidR="000F5CC3">
              <w:rPr>
                <w:webHidden/>
              </w:rPr>
            </w:r>
            <w:r w:rsidR="000F5CC3">
              <w:rPr>
                <w:webHidden/>
              </w:rPr>
              <w:fldChar w:fldCharType="separate"/>
            </w:r>
            <w:r w:rsidR="000F5CC3">
              <w:rPr>
                <w:webHidden/>
              </w:rPr>
              <w:t>9-2</w:t>
            </w:r>
            <w:r w:rsidR="000F5CC3">
              <w:rPr>
                <w:webHidden/>
              </w:rPr>
              <w:fldChar w:fldCharType="end"/>
            </w:r>
          </w:hyperlink>
        </w:p>
        <w:p w:rsidR="000F5CC3" w:rsidRDefault="00302C8F">
          <w:pPr>
            <w:pStyle w:val="TOC1"/>
            <w:rPr>
              <w:rFonts w:asciiTheme="minorHAnsi" w:eastAsiaTheme="minorEastAsia" w:hAnsiTheme="minorHAnsi"/>
              <w:b w:val="0"/>
              <w:color w:val="auto"/>
              <w:sz w:val="22"/>
              <w:lang w:val="en-AU" w:eastAsia="en-AU"/>
            </w:rPr>
          </w:pPr>
          <w:hyperlink w:anchor="_Toc417724855" w:history="1">
            <w:r w:rsidR="000F5CC3" w:rsidRPr="001B4EFC">
              <w:rPr>
                <w:rStyle w:val="Hyperlink"/>
              </w:rPr>
              <w:t>Contents</w:t>
            </w:r>
            <w:r w:rsidR="000F5CC3">
              <w:rPr>
                <w:webHidden/>
              </w:rPr>
              <w:tab/>
            </w:r>
            <w:r w:rsidR="000F5CC3">
              <w:rPr>
                <w:webHidden/>
              </w:rPr>
              <w:fldChar w:fldCharType="begin"/>
            </w:r>
            <w:r w:rsidR="000F5CC3">
              <w:rPr>
                <w:webHidden/>
              </w:rPr>
              <w:instrText xml:space="preserve"> PAGEREF _Toc417724855 \h </w:instrText>
            </w:r>
            <w:r w:rsidR="000F5CC3">
              <w:rPr>
                <w:webHidden/>
              </w:rPr>
            </w:r>
            <w:r w:rsidR="000F5CC3">
              <w:rPr>
                <w:webHidden/>
              </w:rPr>
              <w:fldChar w:fldCharType="separate"/>
            </w:r>
            <w:r w:rsidR="000F5CC3">
              <w:rPr>
                <w:webHidden/>
              </w:rPr>
              <w:t>9-3</w:t>
            </w:r>
            <w:r w:rsidR="000F5CC3">
              <w:rPr>
                <w:webHidden/>
              </w:rPr>
              <w:fldChar w:fldCharType="end"/>
            </w:r>
          </w:hyperlink>
        </w:p>
        <w:p w:rsidR="000F5CC3" w:rsidRDefault="00302C8F">
          <w:pPr>
            <w:pStyle w:val="TOC1"/>
            <w:rPr>
              <w:rFonts w:asciiTheme="minorHAnsi" w:eastAsiaTheme="minorEastAsia" w:hAnsiTheme="minorHAnsi"/>
              <w:b w:val="0"/>
              <w:color w:val="auto"/>
              <w:sz w:val="22"/>
              <w:lang w:val="en-AU" w:eastAsia="en-AU"/>
            </w:rPr>
          </w:pPr>
          <w:hyperlink w:anchor="_Toc417724856" w:history="1">
            <w:r w:rsidR="000F5CC3" w:rsidRPr="001B4EFC">
              <w:rPr>
                <w:rStyle w:val="Hyperlink"/>
              </w:rPr>
              <w:t>Shortened forms</w:t>
            </w:r>
            <w:r w:rsidR="000F5CC3">
              <w:rPr>
                <w:webHidden/>
              </w:rPr>
              <w:tab/>
            </w:r>
            <w:r w:rsidR="000F5CC3">
              <w:rPr>
                <w:webHidden/>
              </w:rPr>
              <w:fldChar w:fldCharType="begin"/>
            </w:r>
            <w:r w:rsidR="000F5CC3">
              <w:rPr>
                <w:webHidden/>
              </w:rPr>
              <w:instrText xml:space="preserve"> PAGEREF _Toc417724856 \h </w:instrText>
            </w:r>
            <w:r w:rsidR="000F5CC3">
              <w:rPr>
                <w:webHidden/>
              </w:rPr>
            </w:r>
            <w:r w:rsidR="000F5CC3">
              <w:rPr>
                <w:webHidden/>
              </w:rPr>
              <w:fldChar w:fldCharType="separate"/>
            </w:r>
            <w:r w:rsidR="000F5CC3">
              <w:rPr>
                <w:webHidden/>
              </w:rPr>
              <w:t>9-4</w:t>
            </w:r>
            <w:r w:rsidR="000F5CC3">
              <w:rPr>
                <w:webHidden/>
              </w:rPr>
              <w:fldChar w:fldCharType="end"/>
            </w:r>
          </w:hyperlink>
        </w:p>
        <w:p w:rsidR="000F5CC3" w:rsidRDefault="00302C8F">
          <w:pPr>
            <w:pStyle w:val="TOC1"/>
            <w:rPr>
              <w:rFonts w:asciiTheme="minorHAnsi" w:eastAsiaTheme="minorEastAsia" w:hAnsiTheme="minorHAnsi"/>
              <w:b w:val="0"/>
              <w:color w:val="auto"/>
              <w:sz w:val="22"/>
              <w:lang w:val="en-AU" w:eastAsia="en-AU"/>
            </w:rPr>
          </w:pPr>
          <w:hyperlink w:anchor="_Toc417724857" w:history="1">
            <w:r w:rsidR="000F5CC3" w:rsidRPr="001B4EFC">
              <w:rPr>
                <w:rStyle w:val="Hyperlink"/>
              </w:rPr>
              <w:t>9</w:t>
            </w:r>
            <w:r w:rsidR="000F5CC3">
              <w:rPr>
                <w:rFonts w:asciiTheme="minorHAnsi" w:eastAsiaTheme="minorEastAsia" w:hAnsiTheme="minorHAnsi"/>
                <w:b w:val="0"/>
                <w:color w:val="auto"/>
                <w:sz w:val="22"/>
                <w:lang w:val="en-AU" w:eastAsia="en-AU"/>
              </w:rPr>
              <w:tab/>
            </w:r>
            <w:r w:rsidR="000F5CC3" w:rsidRPr="001B4EFC">
              <w:rPr>
                <w:rStyle w:val="Hyperlink"/>
              </w:rPr>
              <w:t>Efficiency benefit sharing scheme</w:t>
            </w:r>
            <w:r w:rsidR="000F5CC3">
              <w:rPr>
                <w:webHidden/>
              </w:rPr>
              <w:tab/>
            </w:r>
            <w:r w:rsidR="000F5CC3">
              <w:rPr>
                <w:webHidden/>
              </w:rPr>
              <w:fldChar w:fldCharType="begin"/>
            </w:r>
            <w:r w:rsidR="000F5CC3">
              <w:rPr>
                <w:webHidden/>
              </w:rPr>
              <w:instrText xml:space="preserve"> PAGEREF _Toc417724857 \h </w:instrText>
            </w:r>
            <w:r w:rsidR="000F5CC3">
              <w:rPr>
                <w:webHidden/>
              </w:rPr>
            </w:r>
            <w:r w:rsidR="000F5CC3">
              <w:rPr>
                <w:webHidden/>
              </w:rPr>
              <w:fldChar w:fldCharType="separate"/>
            </w:r>
            <w:r w:rsidR="000F5CC3">
              <w:rPr>
                <w:webHidden/>
              </w:rPr>
              <w:t>9-6</w:t>
            </w:r>
            <w:r w:rsidR="000F5CC3">
              <w:rPr>
                <w:webHidden/>
              </w:rPr>
              <w:fldChar w:fldCharType="end"/>
            </w:r>
          </w:hyperlink>
        </w:p>
        <w:p w:rsidR="000F5CC3" w:rsidRDefault="00302C8F">
          <w:pPr>
            <w:pStyle w:val="TOC2"/>
            <w:rPr>
              <w:rFonts w:asciiTheme="minorHAnsi" w:eastAsiaTheme="minorEastAsia" w:hAnsiTheme="minorHAnsi"/>
              <w:b w:val="0"/>
              <w:color w:val="auto"/>
              <w:sz w:val="22"/>
              <w:lang w:eastAsia="en-AU"/>
            </w:rPr>
          </w:pPr>
          <w:hyperlink w:anchor="_Toc417724858" w:history="1">
            <w:r w:rsidR="000F5CC3" w:rsidRPr="001B4EFC">
              <w:rPr>
                <w:rStyle w:val="Hyperlink"/>
              </w:rPr>
              <w:t>9.1</w:t>
            </w:r>
            <w:r w:rsidR="000F5CC3">
              <w:rPr>
                <w:rFonts w:asciiTheme="minorHAnsi" w:eastAsiaTheme="minorEastAsia" w:hAnsiTheme="minorHAnsi"/>
                <w:b w:val="0"/>
                <w:color w:val="auto"/>
                <w:sz w:val="22"/>
                <w:lang w:eastAsia="en-AU"/>
              </w:rPr>
              <w:tab/>
            </w:r>
            <w:r w:rsidR="000F5CC3" w:rsidRPr="001B4EFC">
              <w:rPr>
                <w:rStyle w:val="Hyperlink"/>
              </w:rPr>
              <w:t>Final decision</w:t>
            </w:r>
            <w:r w:rsidR="000F5CC3">
              <w:rPr>
                <w:webHidden/>
              </w:rPr>
              <w:tab/>
            </w:r>
            <w:r w:rsidR="000F5CC3">
              <w:rPr>
                <w:webHidden/>
              </w:rPr>
              <w:fldChar w:fldCharType="begin"/>
            </w:r>
            <w:r w:rsidR="000F5CC3">
              <w:rPr>
                <w:webHidden/>
              </w:rPr>
              <w:instrText xml:space="preserve"> PAGEREF _Toc417724858 \h </w:instrText>
            </w:r>
            <w:r w:rsidR="000F5CC3">
              <w:rPr>
                <w:webHidden/>
              </w:rPr>
            </w:r>
            <w:r w:rsidR="000F5CC3">
              <w:rPr>
                <w:webHidden/>
              </w:rPr>
              <w:fldChar w:fldCharType="separate"/>
            </w:r>
            <w:r w:rsidR="000F5CC3">
              <w:rPr>
                <w:webHidden/>
              </w:rPr>
              <w:t>9-6</w:t>
            </w:r>
            <w:r w:rsidR="000F5CC3">
              <w:rPr>
                <w:webHidden/>
              </w:rPr>
              <w:fldChar w:fldCharType="end"/>
            </w:r>
          </w:hyperlink>
        </w:p>
        <w:p w:rsidR="000F5CC3" w:rsidRDefault="00302C8F">
          <w:pPr>
            <w:pStyle w:val="TOC2"/>
            <w:rPr>
              <w:rFonts w:asciiTheme="minorHAnsi" w:eastAsiaTheme="minorEastAsia" w:hAnsiTheme="minorHAnsi"/>
              <w:b w:val="0"/>
              <w:color w:val="auto"/>
              <w:sz w:val="22"/>
              <w:lang w:eastAsia="en-AU"/>
            </w:rPr>
          </w:pPr>
          <w:hyperlink w:anchor="_Toc417724859" w:history="1">
            <w:r w:rsidR="000F5CC3" w:rsidRPr="001B4EFC">
              <w:rPr>
                <w:rStyle w:val="Hyperlink"/>
              </w:rPr>
              <w:t>9.2</w:t>
            </w:r>
            <w:r w:rsidR="000F5CC3">
              <w:rPr>
                <w:rFonts w:asciiTheme="minorHAnsi" w:eastAsiaTheme="minorEastAsia" w:hAnsiTheme="minorHAnsi"/>
                <w:b w:val="0"/>
                <w:color w:val="auto"/>
                <w:sz w:val="22"/>
                <w:lang w:eastAsia="en-AU"/>
              </w:rPr>
              <w:tab/>
            </w:r>
            <w:r w:rsidR="000F5CC3" w:rsidRPr="001B4EFC">
              <w:rPr>
                <w:rStyle w:val="Hyperlink"/>
              </w:rPr>
              <w:t>Draft decision</w:t>
            </w:r>
            <w:r w:rsidR="000F5CC3">
              <w:rPr>
                <w:webHidden/>
              </w:rPr>
              <w:tab/>
            </w:r>
            <w:r w:rsidR="000F5CC3">
              <w:rPr>
                <w:webHidden/>
              </w:rPr>
              <w:fldChar w:fldCharType="begin"/>
            </w:r>
            <w:r w:rsidR="000F5CC3">
              <w:rPr>
                <w:webHidden/>
              </w:rPr>
              <w:instrText xml:space="preserve"> PAGEREF _Toc417724859 \h </w:instrText>
            </w:r>
            <w:r w:rsidR="000F5CC3">
              <w:rPr>
                <w:webHidden/>
              </w:rPr>
            </w:r>
            <w:r w:rsidR="000F5CC3">
              <w:rPr>
                <w:webHidden/>
              </w:rPr>
              <w:fldChar w:fldCharType="separate"/>
            </w:r>
            <w:r w:rsidR="000F5CC3">
              <w:rPr>
                <w:webHidden/>
              </w:rPr>
              <w:t>9-7</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0" w:history="1">
            <w:r w:rsidR="000F5CC3" w:rsidRPr="001B4EFC">
              <w:rPr>
                <w:rStyle w:val="Hyperlink"/>
              </w:rPr>
              <w:t>9.2.1 Carryover amounts accrued during the 2009–14 regulatory control period</w:t>
            </w:r>
            <w:r w:rsidR="000F5CC3">
              <w:rPr>
                <w:webHidden/>
              </w:rPr>
              <w:tab/>
            </w:r>
            <w:r w:rsidR="000F5CC3">
              <w:rPr>
                <w:webHidden/>
              </w:rPr>
              <w:tab/>
            </w:r>
            <w:r w:rsidR="000F5CC3">
              <w:rPr>
                <w:webHidden/>
              </w:rPr>
              <w:fldChar w:fldCharType="begin"/>
            </w:r>
            <w:r w:rsidR="000F5CC3">
              <w:rPr>
                <w:webHidden/>
              </w:rPr>
              <w:instrText xml:space="preserve"> PAGEREF _Toc417724860 \h </w:instrText>
            </w:r>
            <w:r w:rsidR="000F5CC3">
              <w:rPr>
                <w:webHidden/>
              </w:rPr>
            </w:r>
            <w:r w:rsidR="000F5CC3">
              <w:rPr>
                <w:webHidden/>
              </w:rPr>
              <w:fldChar w:fldCharType="separate"/>
            </w:r>
            <w:r w:rsidR="000F5CC3">
              <w:rPr>
                <w:webHidden/>
              </w:rPr>
              <w:t>9-7</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1" w:history="1">
            <w:r w:rsidR="000F5CC3" w:rsidRPr="001B4EFC">
              <w:rPr>
                <w:rStyle w:val="Hyperlink"/>
              </w:rPr>
              <w:t>9.2.2 Application of the EBSS in the 2015–19 regulatory control period</w:t>
            </w:r>
            <w:r w:rsidR="000F5CC3">
              <w:rPr>
                <w:webHidden/>
              </w:rPr>
              <w:tab/>
            </w:r>
            <w:r w:rsidR="000F5CC3">
              <w:rPr>
                <w:webHidden/>
              </w:rPr>
              <w:fldChar w:fldCharType="begin"/>
            </w:r>
            <w:r w:rsidR="000F5CC3">
              <w:rPr>
                <w:webHidden/>
              </w:rPr>
              <w:instrText xml:space="preserve"> PAGEREF _Toc417724861 \h </w:instrText>
            </w:r>
            <w:r w:rsidR="000F5CC3">
              <w:rPr>
                <w:webHidden/>
              </w:rPr>
            </w:r>
            <w:r w:rsidR="000F5CC3">
              <w:rPr>
                <w:webHidden/>
              </w:rPr>
              <w:fldChar w:fldCharType="separate"/>
            </w:r>
            <w:r w:rsidR="000F5CC3">
              <w:rPr>
                <w:webHidden/>
              </w:rPr>
              <w:t>9-7</w:t>
            </w:r>
            <w:r w:rsidR="000F5CC3">
              <w:rPr>
                <w:webHidden/>
              </w:rPr>
              <w:fldChar w:fldCharType="end"/>
            </w:r>
          </w:hyperlink>
        </w:p>
        <w:p w:rsidR="000F5CC3" w:rsidRDefault="00302C8F">
          <w:pPr>
            <w:pStyle w:val="TOC2"/>
            <w:rPr>
              <w:rFonts w:asciiTheme="minorHAnsi" w:eastAsiaTheme="minorEastAsia" w:hAnsiTheme="minorHAnsi"/>
              <w:b w:val="0"/>
              <w:color w:val="auto"/>
              <w:sz w:val="22"/>
              <w:lang w:eastAsia="en-AU"/>
            </w:rPr>
          </w:pPr>
          <w:hyperlink w:anchor="_Toc417724862" w:history="1">
            <w:r w:rsidR="000F5CC3" w:rsidRPr="001B4EFC">
              <w:rPr>
                <w:rStyle w:val="Hyperlink"/>
              </w:rPr>
              <w:t>9.3</w:t>
            </w:r>
            <w:r w:rsidR="000F5CC3">
              <w:rPr>
                <w:rFonts w:asciiTheme="minorHAnsi" w:eastAsiaTheme="minorEastAsia" w:hAnsiTheme="minorHAnsi"/>
                <w:b w:val="0"/>
                <w:color w:val="auto"/>
                <w:sz w:val="22"/>
                <w:lang w:eastAsia="en-AU"/>
              </w:rPr>
              <w:tab/>
            </w:r>
            <w:r w:rsidR="000F5CC3" w:rsidRPr="001B4EFC">
              <w:rPr>
                <w:rStyle w:val="Hyperlink"/>
              </w:rPr>
              <w:t>ActewAGL's revised proposal and submissions</w:t>
            </w:r>
            <w:r w:rsidR="000F5CC3">
              <w:rPr>
                <w:webHidden/>
              </w:rPr>
              <w:tab/>
            </w:r>
            <w:r w:rsidR="000F5CC3">
              <w:rPr>
                <w:webHidden/>
              </w:rPr>
              <w:fldChar w:fldCharType="begin"/>
            </w:r>
            <w:r w:rsidR="000F5CC3">
              <w:rPr>
                <w:webHidden/>
              </w:rPr>
              <w:instrText xml:space="preserve"> PAGEREF _Toc417724862 \h </w:instrText>
            </w:r>
            <w:r w:rsidR="000F5CC3">
              <w:rPr>
                <w:webHidden/>
              </w:rPr>
            </w:r>
            <w:r w:rsidR="000F5CC3">
              <w:rPr>
                <w:webHidden/>
              </w:rPr>
              <w:fldChar w:fldCharType="separate"/>
            </w:r>
            <w:r w:rsidR="000F5CC3">
              <w:rPr>
                <w:webHidden/>
              </w:rPr>
              <w:t>9-8</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3" w:history="1">
            <w:r w:rsidR="000F5CC3" w:rsidRPr="001B4EFC">
              <w:rPr>
                <w:rStyle w:val="Hyperlink"/>
              </w:rPr>
              <w:t>9.3.1</w:t>
            </w:r>
            <w:r w:rsidR="000F5CC3">
              <w:rPr>
                <w:rFonts w:asciiTheme="minorHAnsi" w:eastAsiaTheme="minorEastAsia" w:hAnsiTheme="minorHAnsi"/>
                <w:lang w:eastAsia="en-AU"/>
              </w:rPr>
              <w:tab/>
            </w:r>
            <w:r w:rsidR="000F5CC3" w:rsidRPr="001B4EFC">
              <w:rPr>
                <w:rStyle w:val="Hyperlink"/>
              </w:rPr>
              <w:t>Carryover amounts accrued during the 2009–14 regulatory control period</w:t>
            </w:r>
            <w:r w:rsidR="000F5CC3">
              <w:rPr>
                <w:webHidden/>
              </w:rPr>
              <w:tab/>
            </w:r>
            <w:r w:rsidR="000F5CC3">
              <w:rPr>
                <w:webHidden/>
              </w:rPr>
              <w:tab/>
            </w:r>
            <w:r w:rsidR="000F5CC3">
              <w:rPr>
                <w:webHidden/>
              </w:rPr>
              <w:fldChar w:fldCharType="begin"/>
            </w:r>
            <w:r w:rsidR="000F5CC3">
              <w:rPr>
                <w:webHidden/>
              </w:rPr>
              <w:instrText xml:space="preserve"> PAGEREF _Toc417724863 \h </w:instrText>
            </w:r>
            <w:r w:rsidR="000F5CC3">
              <w:rPr>
                <w:webHidden/>
              </w:rPr>
            </w:r>
            <w:r w:rsidR="000F5CC3">
              <w:rPr>
                <w:webHidden/>
              </w:rPr>
              <w:fldChar w:fldCharType="separate"/>
            </w:r>
            <w:r w:rsidR="000F5CC3">
              <w:rPr>
                <w:webHidden/>
              </w:rPr>
              <w:t>9-8</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4" w:history="1">
            <w:r w:rsidR="000F5CC3" w:rsidRPr="001B4EFC">
              <w:rPr>
                <w:rStyle w:val="Hyperlink"/>
              </w:rPr>
              <w:t>9.3.2</w:t>
            </w:r>
            <w:r w:rsidR="000F5CC3">
              <w:rPr>
                <w:rFonts w:asciiTheme="minorHAnsi" w:eastAsiaTheme="minorEastAsia" w:hAnsiTheme="minorHAnsi"/>
                <w:lang w:eastAsia="en-AU"/>
              </w:rPr>
              <w:tab/>
            </w:r>
            <w:r w:rsidR="000F5CC3" w:rsidRPr="001B4EFC">
              <w:rPr>
                <w:rStyle w:val="Hyperlink"/>
              </w:rPr>
              <w:t>Application of the EBSS in the 2015–19 regulatory control period</w:t>
            </w:r>
            <w:r w:rsidR="000F5CC3">
              <w:rPr>
                <w:rStyle w:val="Hyperlink"/>
              </w:rPr>
              <w:tab/>
            </w:r>
            <w:r w:rsidR="000F5CC3">
              <w:rPr>
                <w:rStyle w:val="Hyperlink"/>
              </w:rPr>
              <w:tab/>
            </w:r>
            <w:r w:rsidR="000F5CC3">
              <w:rPr>
                <w:webHidden/>
              </w:rPr>
              <w:tab/>
            </w:r>
            <w:r w:rsidR="000F5CC3">
              <w:rPr>
                <w:webHidden/>
              </w:rPr>
              <w:fldChar w:fldCharType="begin"/>
            </w:r>
            <w:r w:rsidR="000F5CC3">
              <w:rPr>
                <w:webHidden/>
              </w:rPr>
              <w:instrText xml:space="preserve"> PAGEREF _Toc417724864 \h </w:instrText>
            </w:r>
            <w:r w:rsidR="000F5CC3">
              <w:rPr>
                <w:webHidden/>
              </w:rPr>
            </w:r>
            <w:r w:rsidR="000F5CC3">
              <w:rPr>
                <w:webHidden/>
              </w:rPr>
              <w:fldChar w:fldCharType="separate"/>
            </w:r>
            <w:r w:rsidR="000F5CC3">
              <w:rPr>
                <w:webHidden/>
              </w:rPr>
              <w:t>9-8</w:t>
            </w:r>
            <w:r w:rsidR="000F5CC3">
              <w:rPr>
                <w:webHidden/>
              </w:rPr>
              <w:fldChar w:fldCharType="end"/>
            </w:r>
          </w:hyperlink>
        </w:p>
        <w:p w:rsidR="000F5CC3" w:rsidRDefault="00302C8F">
          <w:pPr>
            <w:pStyle w:val="TOC2"/>
            <w:rPr>
              <w:rFonts w:asciiTheme="minorHAnsi" w:eastAsiaTheme="minorEastAsia" w:hAnsiTheme="minorHAnsi"/>
              <w:b w:val="0"/>
              <w:color w:val="auto"/>
              <w:sz w:val="22"/>
              <w:lang w:eastAsia="en-AU"/>
            </w:rPr>
          </w:pPr>
          <w:hyperlink w:anchor="_Toc417724865" w:history="1">
            <w:r w:rsidR="000F5CC3" w:rsidRPr="001B4EFC">
              <w:rPr>
                <w:rStyle w:val="Hyperlink"/>
              </w:rPr>
              <w:t>9.4</w:t>
            </w:r>
            <w:r w:rsidR="000F5CC3">
              <w:rPr>
                <w:rFonts w:asciiTheme="minorHAnsi" w:eastAsiaTheme="minorEastAsia" w:hAnsiTheme="minorHAnsi"/>
                <w:b w:val="0"/>
                <w:color w:val="auto"/>
                <w:sz w:val="22"/>
                <w:lang w:eastAsia="en-AU"/>
              </w:rPr>
              <w:tab/>
            </w:r>
            <w:r w:rsidR="000F5CC3" w:rsidRPr="001B4EFC">
              <w:rPr>
                <w:rStyle w:val="Hyperlink"/>
              </w:rPr>
              <w:t>AER’s assessment approach</w:t>
            </w:r>
            <w:r w:rsidR="000F5CC3">
              <w:rPr>
                <w:webHidden/>
              </w:rPr>
              <w:tab/>
            </w:r>
            <w:r w:rsidR="000F5CC3">
              <w:rPr>
                <w:webHidden/>
              </w:rPr>
              <w:fldChar w:fldCharType="begin"/>
            </w:r>
            <w:r w:rsidR="000F5CC3">
              <w:rPr>
                <w:webHidden/>
              </w:rPr>
              <w:instrText xml:space="preserve"> PAGEREF _Toc417724865 \h </w:instrText>
            </w:r>
            <w:r w:rsidR="000F5CC3">
              <w:rPr>
                <w:webHidden/>
              </w:rPr>
            </w:r>
            <w:r w:rsidR="000F5CC3">
              <w:rPr>
                <w:webHidden/>
              </w:rPr>
              <w:fldChar w:fldCharType="separate"/>
            </w:r>
            <w:r w:rsidR="000F5CC3">
              <w:rPr>
                <w:webHidden/>
              </w:rPr>
              <w:t>9-8</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6" w:history="1">
            <w:r w:rsidR="000F5CC3" w:rsidRPr="001B4EFC">
              <w:rPr>
                <w:rStyle w:val="Hyperlink"/>
              </w:rPr>
              <w:t>9.4.1</w:t>
            </w:r>
            <w:r w:rsidR="000F5CC3">
              <w:rPr>
                <w:rFonts w:asciiTheme="minorHAnsi" w:eastAsiaTheme="minorEastAsia" w:hAnsiTheme="minorHAnsi"/>
                <w:lang w:eastAsia="en-AU"/>
              </w:rPr>
              <w:tab/>
            </w:r>
            <w:r w:rsidR="000F5CC3" w:rsidRPr="001B4EFC">
              <w:rPr>
                <w:rStyle w:val="Hyperlink"/>
              </w:rPr>
              <w:t>Interrelationships</w:t>
            </w:r>
            <w:r w:rsidR="000F5CC3">
              <w:rPr>
                <w:webHidden/>
              </w:rPr>
              <w:tab/>
            </w:r>
            <w:r w:rsidR="000F5CC3">
              <w:rPr>
                <w:webHidden/>
              </w:rPr>
              <w:fldChar w:fldCharType="begin"/>
            </w:r>
            <w:r w:rsidR="000F5CC3">
              <w:rPr>
                <w:webHidden/>
              </w:rPr>
              <w:instrText xml:space="preserve"> PAGEREF _Toc417724866 \h </w:instrText>
            </w:r>
            <w:r w:rsidR="000F5CC3">
              <w:rPr>
                <w:webHidden/>
              </w:rPr>
            </w:r>
            <w:r w:rsidR="000F5CC3">
              <w:rPr>
                <w:webHidden/>
              </w:rPr>
              <w:fldChar w:fldCharType="separate"/>
            </w:r>
            <w:r w:rsidR="000F5CC3">
              <w:rPr>
                <w:webHidden/>
              </w:rPr>
              <w:t>9-9</w:t>
            </w:r>
            <w:r w:rsidR="000F5CC3">
              <w:rPr>
                <w:webHidden/>
              </w:rPr>
              <w:fldChar w:fldCharType="end"/>
            </w:r>
          </w:hyperlink>
        </w:p>
        <w:p w:rsidR="000F5CC3" w:rsidRDefault="00302C8F">
          <w:pPr>
            <w:pStyle w:val="TOC2"/>
            <w:rPr>
              <w:rFonts w:asciiTheme="minorHAnsi" w:eastAsiaTheme="minorEastAsia" w:hAnsiTheme="minorHAnsi"/>
              <w:b w:val="0"/>
              <w:color w:val="auto"/>
              <w:sz w:val="22"/>
              <w:lang w:eastAsia="en-AU"/>
            </w:rPr>
          </w:pPr>
          <w:hyperlink w:anchor="_Toc417724867" w:history="1">
            <w:r w:rsidR="000F5CC3" w:rsidRPr="001B4EFC">
              <w:rPr>
                <w:rStyle w:val="Hyperlink"/>
              </w:rPr>
              <w:t>9.5</w:t>
            </w:r>
            <w:r w:rsidR="000F5CC3">
              <w:rPr>
                <w:rFonts w:asciiTheme="minorHAnsi" w:eastAsiaTheme="minorEastAsia" w:hAnsiTheme="minorHAnsi"/>
                <w:b w:val="0"/>
                <w:color w:val="auto"/>
                <w:sz w:val="22"/>
                <w:lang w:eastAsia="en-AU"/>
              </w:rPr>
              <w:tab/>
            </w:r>
            <w:r w:rsidR="000F5CC3" w:rsidRPr="001B4EFC">
              <w:rPr>
                <w:rStyle w:val="Hyperlink"/>
              </w:rPr>
              <w:t>Reasons for final decision</w:t>
            </w:r>
            <w:r w:rsidR="000F5CC3">
              <w:rPr>
                <w:webHidden/>
              </w:rPr>
              <w:tab/>
            </w:r>
            <w:r w:rsidR="000F5CC3">
              <w:rPr>
                <w:webHidden/>
              </w:rPr>
              <w:fldChar w:fldCharType="begin"/>
            </w:r>
            <w:r w:rsidR="000F5CC3">
              <w:rPr>
                <w:webHidden/>
              </w:rPr>
              <w:instrText xml:space="preserve"> PAGEREF _Toc417724867 \h </w:instrText>
            </w:r>
            <w:r w:rsidR="000F5CC3">
              <w:rPr>
                <w:webHidden/>
              </w:rPr>
            </w:r>
            <w:r w:rsidR="000F5CC3">
              <w:rPr>
                <w:webHidden/>
              </w:rPr>
              <w:fldChar w:fldCharType="separate"/>
            </w:r>
            <w:r w:rsidR="000F5CC3">
              <w:rPr>
                <w:webHidden/>
              </w:rPr>
              <w:t>9-10</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8" w:history="1">
            <w:r w:rsidR="000F5CC3" w:rsidRPr="001B4EFC">
              <w:rPr>
                <w:rStyle w:val="Hyperlink"/>
              </w:rPr>
              <w:t>9.5.1</w:t>
            </w:r>
            <w:r w:rsidR="000F5CC3">
              <w:rPr>
                <w:rFonts w:asciiTheme="minorHAnsi" w:eastAsiaTheme="minorEastAsia" w:hAnsiTheme="minorHAnsi"/>
                <w:lang w:eastAsia="en-AU"/>
              </w:rPr>
              <w:tab/>
            </w:r>
            <w:r w:rsidR="000F5CC3" w:rsidRPr="001B4EFC">
              <w:rPr>
                <w:rStyle w:val="Hyperlink"/>
              </w:rPr>
              <w:t>Carryover amounts accrued during the 2009–14 regulatory control period</w:t>
            </w:r>
            <w:r w:rsidR="000F5CC3">
              <w:rPr>
                <w:rStyle w:val="Hyperlink"/>
              </w:rPr>
              <w:tab/>
            </w:r>
            <w:r w:rsidR="000F5CC3">
              <w:rPr>
                <w:webHidden/>
              </w:rPr>
              <w:tab/>
            </w:r>
            <w:r w:rsidR="000F5CC3">
              <w:rPr>
                <w:webHidden/>
              </w:rPr>
              <w:fldChar w:fldCharType="begin"/>
            </w:r>
            <w:r w:rsidR="000F5CC3">
              <w:rPr>
                <w:webHidden/>
              </w:rPr>
              <w:instrText xml:space="preserve"> PAGEREF _Toc417724868 \h </w:instrText>
            </w:r>
            <w:r w:rsidR="000F5CC3">
              <w:rPr>
                <w:webHidden/>
              </w:rPr>
            </w:r>
            <w:r w:rsidR="000F5CC3">
              <w:rPr>
                <w:webHidden/>
              </w:rPr>
              <w:fldChar w:fldCharType="separate"/>
            </w:r>
            <w:r w:rsidR="000F5CC3">
              <w:rPr>
                <w:webHidden/>
              </w:rPr>
              <w:t>9-10</w:t>
            </w:r>
            <w:r w:rsidR="000F5CC3">
              <w:rPr>
                <w:webHidden/>
              </w:rPr>
              <w:fldChar w:fldCharType="end"/>
            </w:r>
          </w:hyperlink>
        </w:p>
        <w:p w:rsidR="000F5CC3" w:rsidRDefault="00302C8F">
          <w:pPr>
            <w:pStyle w:val="TOC3"/>
            <w:rPr>
              <w:rFonts w:asciiTheme="minorHAnsi" w:eastAsiaTheme="minorEastAsia" w:hAnsiTheme="minorHAnsi"/>
              <w:lang w:eastAsia="en-AU"/>
            </w:rPr>
          </w:pPr>
          <w:hyperlink w:anchor="_Toc417724869" w:history="1">
            <w:r w:rsidR="000F5CC3" w:rsidRPr="001B4EFC">
              <w:rPr>
                <w:rStyle w:val="Hyperlink"/>
              </w:rPr>
              <w:t>9.5.2</w:t>
            </w:r>
            <w:r w:rsidR="000F5CC3">
              <w:rPr>
                <w:rFonts w:asciiTheme="minorHAnsi" w:eastAsiaTheme="minorEastAsia" w:hAnsiTheme="minorHAnsi"/>
                <w:lang w:eastAsia="en-AU"/>
              </w:rPr>
              <w:tab/>
            </w:r>
            <w:r w:rsidR="000F5CC3" w:rsidRPr="001B4EFC">
              <w:rPr>
                <w:rStyle w:val="Hyperlink"/>
              </w:rPr>
              <w:t>Application of the EBSS in the 2015–19 regulatory control period</w:t>
            </w:r>
            <w:r w:rsidR="000F5CC3">
              <w:rPr>
                <w:webHidden/>
              </w:rPr>
              <w:tab/>
            </w:r>
            <w:r w:rsidR="000F5CC3">
              <w:rPr>
                <w:webHidden/>
              </w:rPr>
              <w:tab/>
            </w:r>
            <w:r w:rsidR="000F5CC3">
              <w:rPr>
                <w:webHidden/>
              </w:rPr>
              <w:tab/>
            </w:r>
            <w:r w:rsidR="000F5CC3">
              <w:rPr>
                <w:webHidden/>
              </w:rPr>
              <w:fldChar w:fldCharType="begin"/>
            </w:r>
            <w:r w:rsidR="000F5CC3">
              <w:rPr>
                <w:webHidden/>
              </w:rPr>
              <w:instrText xml:space="preserve"> PAGEREF _Toc417724869 \h </w:instrText>
            </w:r>
            <w:r w:rsidR="000F5CC3">
              <w:rPr>
                <w:webHidden/>
              </w:rPr>
            </w:r>
            <w:r w:rsidR="000F5CC3">
              <w:rPr>
                <w:webHidden/>
              </w:rPr>
              <w:fldChar w:fldCharType="separate"/>
            </w:r>
            <w:r w:rsidR="000F5CC3">
              <w:rPr>
                <w:webHidden/>
              </w:rPr>
              <w:t>9-11</w:t>
            </w:r>
            <w:r w:rsidR="000F5CC3">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724856"/>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87B84">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C07062" w:rsidTr="00C07062">
        <w:tc>
          <w:tcPr>
            <w:tcW w:w="4349" w:type="dxa"/>
          </w:tcPr>
          <w:p w:rsidR="00C07062" w:rsidRPr="00C07062" w:rsidRDefault="00C07062" w:rsidP="00C07062">
            <w:pPr>
              <w:numPr>
                <w:ilvl w:val="0"/>
                <w:numId w:val="25"/>
              </w:numPr>
            </w:pPr>
            <w:r w:rsidRPr="00C07062">
              <w:t>AEMC</w:t>
            </w:r>
          </w:p>
        </w:tc>
        <w:tc>
          <w:tcPr>
            <w:tcW w:w="4344" w:type="dxa"/>
          </w:tcPr>
          <w:p w:rsidR="00C07062" w:rsidRPr="00C07062" w:rsidRDefault="00C07062" w:rsidP="00C07062">
            <w:pPr>
              <w:numPr>
                <w:ilvl w:val="0"/>
                <w:numId w:val="25"/>
              </w:numPr>
            </w:pPr>
            <w:r w:rsidRPr="00C07062">
              <w:t>Australian Energy Market Commission</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AEMO</w:t>
            </w:r>
          </w:p>
        </w:tc>
        <w:tc>
          <w:tcPr>
            <w:tcW w:w="4344" w:type="dxa"/>
          </w:tcPr>
          <w:p w:rsidR="00C07062" w:rsidRPr="00C07062" w:rsidRDefault="00C07062" w:rsidP="00C07062">
            <w:pPr>
              <w:numPr>
                <w:ilvl w:val="0"/>
                <w:numId w:val="25"/>
              </w:numPr>
            </w:pPr>
            <w:r w:rsidRPr="00C07062">
              <w:t>Australian Energy Market Operator</w:t>
            </w:r>
          </w:p>
        </w:tc>
      </w:tr>
      <w:tr w:rsidR="00C07062" w:rsidTr="00C07062">
        <w:tc>
          <w:tcPr>
            <w:tcW w:w="4349" w:type="dxa"/>
          </w:tcPr>
          <w:p w:rsidR="00C07062" w:rsidRPr="00C07062" w:rsidRDefault="00C07062" w:rsidP="00C07062">
            <w:pPr>
              <w:numPr>
                <w:ilvl w:val="0"/>
                <w:numId w:val="25"/>
              </w:numPr>
            </w:pPr>
            <w:r w:rsidRPr="00C07062">
              <w:t>AER</w:t>
            </w:r>
          </w:p>
        </w:tc>
        <w:tc>
          <w:tcPr>
            <w:tcW w:w="4344" w:type="dxa"/>
          </w:tcPr>
          <w:p w:rsidR="00C07062" w:rsidRPr="00C07062" w:rsidRDefault="00C07062" w:rsidP="00C07062">
            <w:pPr>
              <w:numPr>
                <w:ilvl w:val="0"/>
                <w:numId w:val="25"/>
              </w:numPr>
            </w:pPr>
            <w:r w:rsidRPr="00C07062">
              <w:t>Australian Energy Regulator</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augex</w:t>
            </w:r>
          </w:p>
        </w:tc>
        <w:tc>
          <w:tcPr>
            <w:tcW w:w="4344" w:type="dxa"/>
          </w:tcPr>
          <w:p w:rsidR="00C07062" w:rsidRPr="00C07062" w:rsidRDefault="00C07062" w:rsidP="00C07062">
            <w:pPr>
              <w:numPr>
                <w:ilvl w:val="0"/>
                <w:numId w:val="25"/>
              </w:numPr>
            </w:pPr>
            <w:r w:rsidRPr="00C07062">
              <w:t>augmentation expenditure</w:t>
            </w:r>
          </w:p>
        </w:tc>
      </w:tr>
      <w:tr w:rsidR="00C07062" w:rsidTr="00C07062">
        <w:tc>
          <w:tcPr>
            <w:tcW w:w="4349" w:type="dxa"/>
          </w:tcPr>
          <w:p w:rsidR="00C07062" w:rsidRPr="00C07062" w:rsidRDefault="00C07062" w:rsidP="00C07062">
            <w:pPr>
              <w:numPr>
                <w:ilvl w:val="0"/>
                <w:numId w:val="25"/>
              </w:numPr>
            </w:pPr>
            <w:r w:rsidRPr="00C07062">
              <w:t>capex</w:t>
            </w:r>
          </w:p>
        </w:tc>
        <w:tc>
          <w:tcPr>
            <w:tcW w:w="4344" w:type="dxa"/>
          </w:tcPr>
          <w:p w:rsidR="00C07062" w:rsidRPr="00C07062" w:rsidRDefault="00C07062" w:rsidP="00C07062">
            <w:pPr>
              <w:numPr>
                <w:ilvl w:val="0"/>
                <w:numId w:val="25"/>
              </w:numPr>
            </w:pPr>
            <w:r w:rsidRPr="00C07062">
              <w:t>capital expenditure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CCP</w:t>
            </w:r>
          </w:p>
        </w:tc>
        <w:tc>
          <w:tcPr>
            <w:tcW w:w="4344" w:type="dxa"/>
          </w:tcPr>
          <w:p w:rsidR="00C07062" w:rsidRPr="00C07062" w:rsidRDefault="00C07062" w:rsidP="00C07062">
            <w:pPr>
              <w:numPr>
                <w:ilvl w:val="0"/>
                <w:numId w:val="25"/>
              </w:numPr>
            </w:pPr>
            <w:r w:rsidRPr="00C07062">
              <w:t>Consumer Challenge Panel</w:t>
            </w:r>
          </w:p>
        </w:tc>
      </w:tr>
      <w:tr w:rsidR="00C07062" w:rsidTr="00C07062">
        <w:tc>
          <w:tcPr>
            <w:tcW w:w="4349" w:type="dxa"/>
          </w:tcPr>
          <w:p w:rsidR="00C07062" w:rsidRPr="00C07062" w:rsidRDefault="00C07062" w:rsidP="00C07062">
            <w:pPr>
              <w:numPr>
                <w:ilvl w:val="0"/>
                <w:numId w:val="25"/>
              </w:numPr>
            </w:pPr>
            <w:r w:rsidRPr="00C07062">
              <w:t>CESS</w:t>
            </w:r>
          </w:p>
        </w:tc>
        <w:tc>
          <w:tcPr>
            <w:tcW w:w="4344" w:type="dxa"/>
          </w:tcPr>
          <w:p w:rsidR="00C07062" w:rsidRPr="00C07062" w:rsidRDefault="00C07062" w:rsidP="00C07062">
            <w:pPr>
              <w:numPr>
                <w:ilvl w:val="0"/>
                <w:numId w:val="25"/>
              </w:numPr>
            </w:pPr>
            <w:r w:rsidRPr="00C07062">
              <w:t>capital expenditure sharing scheme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CPI</w:t>
            </w:r>
          </w:p>
        </w:tc>
        <w:tc>
          <w:tcPr>
            <w:tcW w:w="4344" w:type="dxa"/>
          </w:tcPr>
          <w:p w:rsidR="00C07062" w:rsidRPr="00C07062" w:rsidRDefault="00C07062" w:rsidP="00C07062">
            <w:pPr>
              <w:numPr>
                <w:ilvl w:val="0"/>
                <w:numId w:val="25"/>
              </w:numPr>
            </w:pPr>
            <w:r w:rsidRPr="00C07062">
              <w:t>consumer price index</w:t>
            </w:r>
          </w:p>
        </w:tc>
      </w:tr>
      <w:tr w:rsidR="00C07062" w:rsidTr="00C07062">
        <w:tc>
          <w:tcPr>
            <w:tcW w:w="4349" w:type="dxa"/>
          </w:tcPr>
          <w:p w:rsidR="00C07062" w:rsidRPr="00C07062" w:rsidRDefault="00C07062" w:rsidP="00C07062">
            <w:pPr>
              <w:numPr>
                <w:ilvl w:val="0"/>
                <w:numId w:val="25"/>
              </w:numPr>
            </w:pPr>
            <w:r w:rsidRPr="00C07062">
              <w:t>DRP</w:t>
            </w:r>
          </w:p>
        </w:tc>
        <w:tc>
          <w:tcPr>
            <w:tcW w:w="4344" w:type="dxa"/>
          </w:tcPr>
          <w:p w:rsidR="00C07062" w:rsidRPr="00C07062" w:rsidRDefault="00C07062" w:rsidP="00C07062">
            <w:pPr>
              <w:numPr>
                <w:ilvl w:val="0"/>
                <w:numId w:val="25"/>
              </w:numPr>
            </w:pPr>
            <w:r w:rsidRPr="00C07062">
              <w:t>debt risk premium</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DMIA</w:t>
            </w:r>
          </w:p>
        </w:tc>
        <w:tc>
          <w:tcPr>
            <w:tcW w:w="4344" w:type="dxa"/>
          </w:tcPr>
          <w:p w:rsidR="00C07062" w:rsidRPr="00C07062" w:rsidRDefault="00C07062" w:rsidP="00C07062">
            <w:pPr>
              <w:numPr>
                <w:ilvl w:val="0"/>
                <w:numId w:val="25"/>
              </w:numPr>
            </w:pPr>
            <w:r w:rsidRPr="00C07062">
              <w:t>demand management innovation allowance</w:t>
            </w:r>
          </w:p>
        </w:tc>
      </w:tr>
      <w:tr w:rsidR="00C07062" w:rsidTr="00C07062">
        <w:tc>
          <w:tcPr>
            <w:tcW w:w="4349" w:type="dxa"/>
          </w:tcPr>
          <w:p w:rsidR="00C07062" w:rsidRPr="00C07062" w:rsidRDefault="00C07062" w:rsidP="00C07062">
            <w:pPr>
              <w:numPr>
                <w:ilvl w:val="0"/>
                <w:numId w:val="25"/>
              </w:numPr>
            </w:pPr>
            <w:r w:rsidRPr="00C07062">
              <w:t>DMIS</w:t>
            </w:r>
          </w:p>
        </w:tc>
        <w:tc>
          <w:tcPr>
            <w:tcW w:w="4344" w:type="dxa"/>
          </w:tcPr>
          <w:p w:rsidR="00C07062" w:rsidRPr="00C07062" w:rsidRDefault="00C07062" w:rsidP="00C07062">
            <w:pPr>
              <w:numPr>
                <w:ilvl w:val="0"/>
                <w:numId w:val="25"/>
              </w:numPr>
            </w:pPr>
            <w:r w:rsidRPr="00C07062">
              <w:t>demand management incentive scheme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distributor</w:t>
            </w:r>
          </w:p>
        </w:tc>
        <w:tc>
          <w:tcPr>
            <w:tcW w:w="4344" w:type="dxa"/>
          </w:tcPr>
          <w:p w:rsidR="00C07062" w:rsidRPr="00C07062" w:rsidRDefault="00C07062" w:rsidP="00C07062">
            <w:pPr>
              <w:numPr>
                <w:ilvl w:val="0"/>
                <w:numId w:val="25"/>
              </w:numPr>
            </w:pPr>
            <w:r w:rsidRPr="00C07062">
              <w:t>distribution network service provider</w:t>
            </w:r>
          </w:p>
        </w:tc>
      </w:tr>
      <w:tr w:rsidR="00C07062" w:rsidTr="00C07062">
        <w:tc>
          <w:tcPr>
            <w:tcW w:w="4349" w:type="dxa"/>
          </w:tcPr>
          <w:p w:rsidR="00C07062" w:rsidRPr="00C07062" w:rsidRDefault="00C07062" w:rsidP="00C07062">
            <w:pPr>
              <w:numPr>
                <w:ilvl w:val="0"/>
                <w:numId w:val="25"/>
              </w:numPr>
            </w:pPr>
            <w:r w:rsidRPr="00C07062">
              <w:t>DUoS</w:t>
            </w:r>
          </w:p>
        </w:tc>
        <w:tc>
          <w:tcPr>
            <w:tcW w:w="4344" w:type="dxa"/>
          </w:tcPr>
          <w:p w:rsidR="00C07062" w:rsidRPr="00C07062" w:rsidRDefault="00C07062" w:rsidP="00C07062">
            <w:pPr>
              <w:numPr>
                <w:ilvl w:val="0"/>
                <w:numId w:val="25"/>
              </w:numPr>
            </w:pPr>
            <w:r w:rsidRPr="00C07062">
              <w:t>distribution use of system</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EBSS</w:t>
            </w:r>
          </w:p>
        </w:tc>
        <w:tc>
          <w:tcPr>
            <w:tcW w:w="4344" w:type="dxa"/>
          </w:tcPr>
          <w:p w:rsidR="00C07062" w:rsidRPr="00C07062" w:rsidRDefault="00C07062" w:rsidP="00C07062">
            <w:pPr>
              <w:numPr>
                <w:ilvl w:val="0"/>
                <w:numId w:val="25"/>
              </w:numPr>
            </w:pPr>
            <w:r w:rsidRPr="00C07062">
              <w:t>efficiency benefit sharing scheme</w:t>
            </w:r>
          </w:p>
        </w:tc>
      </w:tr>
      <w:tr w:rsidR="00C07062" w:rsidTr="00C07062">
        <w:tc>
          <w:tcPr>
            <w:tcW w:w="4349" w:type="dxa"/>
          </w:tcPr>
          <w:p w:rsidR="00C07062" w:rsidRPr="00C07062" w:rsidRDefault="00C07062" w:rsidP="00C07062">
            <w:pPr>
              <w:numPr>
                <w:ilvl w:val="0"/>
                <w:numId w:val="25"/>
              </w:numPr>
            </w:pPr>
            <w:r w:rsidRPr="00C07062">
              <w:t>ERP</w:t>
            </w:r>
          </w:p>
        </w:tc>
        <w:tc>
          <w:tcPr>
            <w:tcW w:w="4344" w:type="dxa"/>
          </w:tcPr>
          <w:p w:rsidR="00C07062" w:rsidRPr="00C07062" w:rsidRDefault="00C07062" w:rsidP="00C07062">
            <w:pPr>
              <w:numPr>
                <w:ilvl w:val="0"/>
                <w:numId w:val="25"/>
              </w:numPr>
            </w:pPr>
            <w:r w:rsidRPr="00C07062">
              <w:t>equity risk premium</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Expenditure Assessment Guideline</w:t>
            </w:r>
          </w:p>
        </w:tc>
        <w:tc>
          <w:tcPr>
            <w:tcW w:w="4344" w:type="dxa"/>
          </w:tcPr>
          <w:p w:rsidR="00C07062" w:rsidRPr="00C07062" w:rsidRDefault="00C07062" w:rsidP="00C07062">
            <w:pPr>
              <w:numPr>
                <w:ilvl w:val="0"/>
                <w:numId w:val="25"/>
              </w:numPr>
            </w:pPr>
            <w:r w:rsidRPr="00C07062">
              <w:t>expenditure forecast assessment Guideline for electricity distribution</w:t>
            </w:r>
          </w:p>
        </w:tc>
      </w:tr>
      <w:tr w:rsidR="00C07062" w:rsidTr="00C07062">
        <w:tc>
          <w:tcPr>
            <w:tcW w:w="4349" w:type="dxa"/>
          </w:tcPr>
          <w:p w:rsidR="00C07062" w:rsidRPr="00C07062" w:rsidRDefault="00C07062" w:rsidP="00C07062">
            <w:pPr>
              <w:numPr>
                <w:ilvl w:val="0"/>
                <w:numId w:val="25"/>
              </w:numPr>
            </w:pPr>
            <w:r w:rsidRPr="00C07062">
              <w:t>F&amp;A</w:t>
            </w:r>
          </w:p>
        </w:tc>
        <w:tc>
          <w:tcPr>
            <w:tcW w:w="4344" w:type="dxa"/>
          </w:tcPr>
          <w:p w:rsidR="00C07062" w:rsidRPr="00C07062" w:rsidRDefault="00C07062" w:rsidP="00C07062">
            <w:pPr>
              <w:numPr>
                <w:ilvl w:val="0"/>
                <w:numId w:val="25"/>
              </w:numPr>
            </w:pPr>
            <w:r w:rsidRPr="00C07062">
              <w:t>framework and approach</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MRP</w:t>
            </w:r>
          </w:p>
        </w:tc>
        <w:tc>
          <w:tcPr>
            <w:tcW w:w="4344" w:type="dxa"/>
          </w:tcPr>
          <w:p w:rsidR="00C07062" w:rsidRPr="00C07062" w:rsidRDefault="00C07062" w:rsidP="00C07062">
            <w:pPr>
              <w:numPr>
                <w:ilvl w:val="0"/>
                <w:numId w:val="25"/>
              </w:numPr>
            </w:pPr>
            <w:r w:rsidRPr="00C07062">
              <w:t>market risk premium</w:t>
            </w:r>
          </w:p>
        </w:tc>
      </w:tr>
      <w:tr w:rsidR="00C07062" w:rsidTr="00C07062">
        <w:tc>
          <w:tcPr>
            <w:tcW w:w="4349" w:type="dxa"/>
          </w:tcPr>
          <w:p w:rsidR="00C07062" w:rsidRPr="00C07062" w:rsidRDefault="00C07062" w:rsidP="00C07062">
            <w:pPr>
              <w:numPr>
                <w:ilvl w:val="0"/>
                <w:numId w:val="25"/>
              </w:numPr>
            </w:pPr>
            <w:r w:rsidRPr="00C07062">
              <w:t>NEL</w:t>
            </w:r>
          </w:p>
        </w:tc>
        <w:tc>
          <w:tcPr>
            <w:tcW w:w="4344" w:type="dxa"/>
          </w:tcPr>
          <w:p w:rsidR="00C07062" w:rsidRPr="00C07062" w:rsidRDefault="00C07062" w:rsidP="00C07062">
            <w:pPr>
              <w:numPr>
                <w:ilvl w:val="0"/>
                <w:numId w:val="25"/>
              </w:numPr>
            </w:pPr>
            <w:r w:rsidRPr="00C07062">
              <w:t>national electricity law</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NEM</w:t>
            </w:r>
          </w:p>
        </w:tc>
        <w:tc>
          <w:tcPr>
            <w:tcW w:w="4344" w:type="dxa"/>
          </w:tcPr>
          <w:p w:rsidR="00C07062" w:rsidRPr="00C07062" w:rsidRDefault="00C07062" w:rsidP="00C07062">
            <w:pPr>
              <w:numPr>
                <w:ilvl w:val="0"/>
                <w:numId w:val="25"/>
              </w:numPr>
            </w:pPr>
            <w:r w:rsidRPr="00C07062">
              <w:t>national electricity market</w:t>
            </w:r>
          </w:p>
        </w:tc>
      </w:tr>
      <w:tr w:rsidR="00C07062" w:rsidTr="00C07062">
        <w:tc>
          <w:tcPr>
            <w:tcW w:w="4349" w:type="dxa"/>
          </w:tcPr>
          <w:p w:rsidR="00C07062" w:rsidRPr="00C07062" w:rsidRDefault="00C07062" w:rsidP="00C07062">
            <w:pPr>
              <w:numPr>
                <w:ilvl w:val="0"/>
                <w:numId w:val="25"/>
              </w:numPr>
            </w:pPr>
            <w:r w:rsidRPr="00C07062">
              <w:t>NEO</w:t>
            </w:r>
          </w:p>
        </w:tc>
        <w:tc>
          <w:tcPr>
            <w:tcW w:w="4344" w:type="dxa"/>
          </w:tcPr>
          <w:p w:rsidR="00C07062" w:rsidRPr="00C07062" w:rsidRDefault="00C07062" w:rsidP="00C07062">
            <w:pPr>
              <w:numPr>
                <w:ilvl w:val="0"/>
                <w:numId w:val="25"/>
              </w:numPr>
            </w:pPr>
            <w:r w:rsidRPr="00C07062">
              <w:t>national electricity objective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NER</w:t>
            </w:r>
          </w:p>
        </w:tc>
        <w:tc>
          <w:tcPr>
            <w:tcW w:w="4344" w:type="dxa"/>
          </w:tcPr>
          <w:p w:rsidR="00C07062" w:rsidRPr="00C07062" w:rsidRDefault="00C07062" w:rsidP="00C07062">
            <w:pPr>
              <w:numPr>
                <w:ilvl w:val="0"/>
                <w:numId w:val="25"/>
              </w:numPr>
            </w:pPr>
            <w:r w:rsidRPr="00C07062">
              <w:t>national electricity rules</w:t>
            </w:r>
          </w:p>
        </w:tc>
      </w:tr>
      <w:tr w:rsidR="00C07062" w:rsidTr="00C07062">
        <w:tc>
          <w:tcPr>
            <w:tcW w:w="4349" w:type="dxa"/>
          </w:tcPr>
          <w:p w:rsidR="00C07062" w:rsidRPr="00C07062" w:rsidRDefault="00C07062" w:rsidP="00C07062">
            <w:pPr>
              <w:numPr>
                <w:ilvl w:val="0"/>
                <w:numId w:val="25"/>
              </w:numPr>
            </w:pPr>
            <w:r w:rsidRPr="00C07062">
              <w:t>NSP</w:t>
            </w:r>
          </w:p>
        </w:tc>
        <w:tc>
          <w:tcPr>
            <w:tcW w:w="4344" w:type="dxa"/>
          </w:tcPr>
          <w:p w:rsidR="00C07062" w:rsidRPr="00C07062" w:rsidRDefault="00C07062" w:rsidP="00C07062">
            <w:pPr>
              <w:numPr>
                <w:ilvl w:val="0"/>
                <w:numId w:val="25"/>
              </w:numPr>
            </w:pPr>
            <w:r w:rsidRPr="00C07062">
              <w:t>network service provider</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opex</w:t>
            </w:r>
          </w:p>
        </w:tc>
        <w:tc>
          <w:tcPr>
            <w:tcW w:w="4344" w:type="dxa"/>
          </w:tcPr>
          <w:p w:rsidR="00C07062" w:rsidRPr="00C07062" w:rsidRDefault="00C07062" w:rsidP="00C07062">
            <w:pPr>
              <w:numPr>
                <w:ilvl w:val="0"/>
                <w:numId w:val="25"/>
              </w:numPr>
            </w:pPr>
            <w:r w:rsidRPr="00C07062">
              <w:t>operating expenditure</w:t>
            </w:r>
          </w:p>
        </w:tc>
      </w:tr>
      <w:tr w:rsidR="00C07062" w:rsidTr="00C07062">
        <w:tc>
          <w:tcPr>
            <w:tcW w:w="4349" w:type="dxa"/>
          </w:tcPr>
          <w:p w:rsidR="00C07062" w:rsidRPr="00C07062" w:rsidRDefault="00C07062" w:rsidP="00C07062">
            <w:pPr>
              <w:numPr>
                <w:ilvl w:val="0"/>
                <w:numId w:val="25"/>
              </w:numPr>
            </w:pPr>
            <w:r w:rsidRPr="00C07062">
              <w:t>PPI</w:t>
            </w:r>
          </w:p>
        </w:tc>
        <w:tc>
          <w:tcPr>
            <w:tcW w:w="4344" w:type="dxa"/>
          </w:tcPr>
          <w:p w:rsidR="00C07062" w:rsidRPr="00C07062" w:rsidRDefault="00C07062" w:rsidP="00C07062">
            <w:pPr>
              <w:numPr>
                <w:ilvl w:val="0"/>
                <w:numId w:val="25"/>
              </w:numPr>
            </w:pPr>
            <w:r w:rsidRPr="00C07062">
              <w:t>partial performance indicators</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PTRM</w:t>
            </w:r>
          </w:p>
        </w:tc>
        <w:tc>
          <w:tcPr>
            <w:tcW w:w="4344" w:type="dxa"/>
          </w:tcPr>
          <w:p w:rsidR="00C07062" w:rsidRPr="00C07062" w:rsidRDefault="00C07062" w:rsidP="00C07062">
            <w:pPr>
              <w:numPr>
                <w:ilvl w:val="0"/>
                <w:numId w:val="25"/>
              </w:numPr>
            </w:pPr>
            <w:r w:rsidRPr="00C07062">
              <w:t>post-tax revenue model</w:t>
            </w:r>
          </w:p>
        </w:tc>
      </w:tr>
      <w:tr w:rsidR="00C07062" w:rsidTr="00C07062">
        <w:tc>
          <w:tcPr>
            <w:tcW w:w="4349" w:type="dxa"/>
          </w:tcPr>
          <w:p w:rsidR="00C07062" w:rsidRPr="00C07062" w:rsidRDefault="00C07062" w:rsidP="00C07062">
            <w:pPr>
              <w:numPr>
                <w:ilvl w:val="0"/>
                <w:numId w:val="25"/>
              </w:numPr>
            </w:pPr>
            <w:r w:rsidRPr="00C07062">
              <w:t>RAB</w:t>
            </w:r>
          </w:p>
        </w:tc>
        <w:tc>
          <w:tcPr>
            <w:tcW w:w="4344" w:type="dxa"/>
          </w:tcPr>
          <w:p w:rsidR="00C07062" w:rsidRPr="00C07062" w:rsidRDefault="00C07062" w:rsidP="00C07062">
            <w:pPr>
              <w:numPr>
                <w:ilvl w:val="0"/>
                <w:numId w:val="25"/>
              </w:numPr>
            </w:pPr>
            <w:r w:rsidRPr="00C07062">
              <w:t>regulatory asset base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RBA</w:t>
            </w:r>
          </w:p>
        </w:tc>
        <w:tc>
          <w:tcPr>
            <w:tcW w:w="4344" w:type="dxa"/>
          </w:tcPr>
          <w:p w:rsidR="00C07062" w:rsidRPr="00C07062" w:rsidRDefault="00C07062" w:rsidP="00C07062">
            <w:pPr>
              <w:numPr>
                <w:ilvl w:val="0"/>
                <w:numId w:val="25"/>
              </w:numPr>
            </w:pPr>
            <w:r w:rsidRPr="00C07062">
              <w:t>Reserve Bank of Australia</w:t>
            </w:r>
          </w:p>
        </w:tc>
      </w:tr>
      <w:tr w:rsidR="00C07062" w:rsidTr="00C07062">
        <w:tc>
          <w:tcPr>
            <w:tcW w:w="4349" w:type="dxa"/>
          </w:tcPr>
          <w:p w:rsidR="00C07062" w:rsidRPr="00C07062" w:rsidRDefault="00C07062" w:rsidP="00C07062">
            <w:pPr>
              <w:numPr>
                <w:ilvl w:val="0"/>
                <w:numId w:val="25"/>
              </w:numPr>
            </w:pPr>
            <w:r w:rsidRPr="00C07062">
              <w:t>repex</w:t>
            </w:r>
          </w:p>
        </w:tc>
        <w:tc>
          <w:tcPr>
            <w:tcW w:w="4344" w:type="dxa"/>
          </w:tcPr>
          <w:p w:rsidR="00C07062" w:rsidRPr="00C07062" w:rsidRDefault="00C07062" w:rsidP="00C07062">
            <w:pPr>
              <w:numPr>
                <w:ilvl w:val="0"/>
                <w:numId w:val="25"/>
              </w:numPr>
            </w:pPr>
            <w:r w:rsidRPr="00C07062">
              <w:t>replacement expenditure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RFM</w:t>
            </w:r>
          </w:p>
        </w:tc>
        <w:tc>
          <w:tcPr>
            <w:tcW w:w="4344" w:type="dxa"/>
          </w:tcPr>
          <w:p w:rsidR="00C07062" w:rsidRPr="00C07062" w:rsidRDefault="00C07062" w:rsidP="00C07062">
            <w:pPr>
              <w:numPr>
                <w:ilvl w:val="0"/>
                <w:numId w:val="25"/>
              </w:numPr>
            </w:pPr>
            <w:r w:rsidRPr="00C07062">
              <w:t>roll forward model</w:t>
            </w:r>
          </w:p>
        </w:tc>
      </w:tr>
      <w:tr w:rsidR="00C07062" w:rsidTr="00C07062">
        <w:tc>
          <w:tcPr>
            <w:tcW w:w="4349" w:type="dxa"/>
          </w:tcPr>
          <w:p w:rsidR="00C07062" w:rsidRPr="00C07062" w:rsidRDefault="00C07062" w:rsidP="00C07062">
            <w:pPr>
              <w:numPr>
                <w:ilvl w:val="0"/>
                <w:numId w:val="25"/>
              </w:numPr>
            </w:pPr>
            <w:r w:rsidRPr="00C07062">
              <w:lastRenderedPageBreak/>
              <w:t>RIN</w:t>
            </w:r>
          </w:p>
        </w:tc>
        <w:tc>
          <w:tcPr>
            <w:tcW w:w="4344" w:type="dxa"/>
          </w:tcPr>
          <w:p w:rsidR="00C07062" w:rsidRPr="00C07062" w:rsidRDefault="00C07062" w:rsidP="00C07062">
            <w:pPr>
              <w:numPr>
                <w:ilvl w:val="0"/>
                <w:numId w:val="25"/>
              </w:numPr>
            </w:pPr>
            <w:r w:rsidRPr="00C07062">
              <w:t>regulatory information notice</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RPP</w:t>
            </w:r>
          </w:p>
        </w:tc>
        <w:tc>
          <w:tcPr>
            <w:tcW w:w="4344" w:type="dxa"/>
          </w:tcPr>
          <w:p w:rsidR="00C07062" w:rsidRPr="00C07062" w:rsidRDefault="00C07062" w:rsidP="00C07062">
            <w:pPr>
              <w:numPr>
                <w:ilvl w:val="0"/>
                <w:numId w:val="25"/>
              </w:numPr>
            </w:pPr>
            <w:r w:rsidRPr="00C07062">
              <w:t>revenue and pricing principles</w:t>
            </w:r>
          </w:p>
        </w:tc>
      </w:tr>
      <w:tr w:rsidR="00C07062" w:rsidTr="00C07062">
        <w:tc>
          <w:tcPr>
            <w:tcW w:w="4349" w:type="dxa"/>
          </w:tcPr>
          <w:p w:rsidR="00C07062" w:rsidRPr="00C07062" w:rsidRDefault="00C07062" w:rsidP="00C07062">
            <w:pPr>
              <w:numPr>
                <w:ilvl w:val="0"/>
                <w:numId w:val="25"/>
              </w:numPr>
            </w:pPr>
            <w:r w:rsidRPr="00C07062">
              <w:t>SAIDI</w:t>
            </w:r>
          </w:p>
        </w:tc>
        <w:tc>
          <w:tcPr>
            <w:tcW w:w="4344" w:type="dxa"/>
          </w:tcPr>
          <w:p w:rsidR="00C07062" w:rsidRPr="00C07062" w:rsidRDefault="00C07062" w:rsidP="00C07062">
            <w:pPr>
              <w:numPr>
                <w:ilvl w:val="0"/>
                <w:numId w:val="25"/>
              </w:numPr>
            </w:pPr>
            <w:r w:rsidRPr="00C07062">
              <w:t>system average interruption duration index</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SAIFI</w:t>
            </w:r>
          </w:p>
        </w:tc>
        <w:tc>
          <w:tcPr>
            <w:tcW w:w="4344" w:type="dxa"/>
          </w:tcPr>
          <w:p w:rsidR="00C07062" w:rsidRPr="00C07062" w:rsidRDefault="00C07062" w:rsidP="00C07062">
            <w:pPr>
              <w:numPr>
                <w:ilvl w:val="0"/>
                <w:numId w:val="25"/>
              </w:numPr>
            </w:pPr>
            <w:r w:rsidRPr="00C07062">
              <w:t>system average interruption frequency index</w:t>
            </w:r>
          </w:p>
        </w:tc>
      </w:tr>
      <w:tr w:rsidR="00C07062" w:rsidTr="00C07062">
        <w:tc>
          <w:tcPr>
            <w:tcW w:w="4349" w:type="dxa"/>
          </w:tcPr>
          <w:p w:rsidR="00C07062" w:rsidRPr="00C07062" w:rsidRDefault="00C07062" w:rsidP="00C07062">
            <w:pPr>
              <w:numPr>
                <w:ilvl w:val="0"/>
                <w:numId w:val="25"/>
              </w:numPr>
            </w:pPr>
            <w:r w:rsidRPr="00C07062">
              <w:t>SLCAPM</w:t>
            </w:r>
          </w:p>
        </w:tc>
        <w:tc>
          <w:tcPr>
            <w:tcW w:w="4344" w:type="dxa"/>
          </w:tcPr>
          <w:p w:rsidR="00C07062" w:rsidRPr="00C07062" w:rsidRDefault="00C07062" w:rsidP="00C07062">
            <w:pPr>
              <w:numPr>
                <w:ilvl w:val="0"/>
                <w:numId w:val="25"/>
              </w:numPr>
            </w:pPr>
            <w:r w:rsidRPr="00C07062">
              <w:t>Sharpe-Lintner capital asset pricing model</w:t>
            </w:r>
          </w:p>
        </w:tc>
      </w:tr>
      <w:tr w:rsidR="00C07062" w:rsidTr="00C07062">
        <w:trPr>
          <w:cnfStyle w:val="000000010000" w:firstRow="0" w:lastRow="0" w:firstColumn="0" w:lastColumn="0" w:oddVBand="0" w:evenVBand="0" w:oddHBand="0" w:evenHBand="1" w:firstRowFirstColumn="0" w:firstRowLastColumn="0" w:lastRowFirstColumn="0" w:lastRowLastColumn="0"/>
        </w:trPr>
        <w:tc>
          <w:tcPr>
            <w:tcW w:w="4349" w:type="dxa"/>
          </w:tcPr>
          <w:p w:rsidR="00C07062" w:rsidRPr="00C07062" w:rsidRDefault="00C07062" w:rsidP="00C07062">
            <w:pPr>
              <w:numPr>
                <w:ilvl w:val="0"/>
                <w:numId w:val="25"/>
              </w:numPr>
            </w:pPr>
            <w:r w:rsidRPr="00C07062">
              <w:t>STPIS</w:t>
            </w:r>
          </w:p>
        </w:tc>
        <w:tc>
          <w:tcPr>
            <w:tcW w:w="4344" w:type="dxa"/>
          </w:tcPr>
          <w:p w:rsidR="00C07062" w:rsidRPr="00C07062" w:rsidRDefault="00C07062" w:rsidP="00C07062">
            <w:pPr>
              <w:numPr>
                <w:ilvl w:val="0"/>
                <w:numId w:val="25"/>
              </w:numPr>
            </w:pPr>
            <w:r w:rsidRPr="00C07062">
              <w:t>service target performance incentive scheme</w:t>
            </w:r>
          </w:p>
        </w:tc>
      </w:tr>
      <w:tr w:rsidR="00C07062" w:rsidTr="00C07062">
        <w:tc>
          <w:tcPr>
            <w:tcW w:w="4349" w:type="dxa"/>
          </w:tcPr>
          <w:p w:rsidR="00C07062" w:rsidRPr="00C07062" w:rsidRDefault="00C07062" w:rsidP="00C07062">
            <w:pPr>
              <w:numPr>
                <w:ilvl w:val="0"/>
                <w:numId w:val="25"/>
              </w:numPr>
            </w:pPr>
            <w:r w:rsidRPr="00C07062">
              <w:t>WACC</w:t>
            </w:r>
          </w:p>
        </w:tc>
        <w:tc>
          <w:tcPr>
            <w:tcW w:w="4344" w:type="dxa"/>
          </w:tcPr>
          <w:p w:rsidR="00C07062" w:rsidRPr="00C07062" w:rsidRDefault="00C07062" w:rsidP="00C07062">
            <w:pPr>
              <w:numPr>
                <w:ilvl w:val="0"/>
                <w:numId w:val="25"/>
              </w:numPr>
            </w:pPr>
            <w:r w:rsidRPr="00C07062">
              <w:t>weighted average cost of capital</w:t>
            </w:r>
          </w:p>
        </w:tc>
      </w:tr>
    </w:tbl>
    <w:p w:rsidR="00DE563D" w:rsidRPr="00436A39" w:rsidRDefault="00DE563D" w:rsidP="00DE563D">
      <w:pPr>
        <w:numPr>
          <w:ilvl w:val="0"/>
          <w:numId w:val="25"/>
        </w:numPr>
      </w:pPr>
    </w:p>
    <w:p w:rsidR="00DE563D" w:rsidRDefault="00DE563D" w:rsidP="00DE563D"/>
    <w:p w:rsidR="00DE563D" w:rsidRDefault="00A34FF4" w:rsidP="00A34FF4">
      <w:pPr>
        <w:pStyle w:val="Heading1"/>
      </w:pPr>
      <w:bookmarkStart w:id="10" w:name="_Toc417724857"/>
      <w:r w:rsidRPr="00A34FF4">
        <w:lastRenderedPageBreak/>
        <w:t>Efficiency benefit sharing scheme</w:t>
      </w:r>
      <w:bookmarkEnd w:id="10"/>
    </w:p>
    <w:p w:rsidR="004F2F29" w:rsidRPr="000C2EF1" w:rsidRDefault="004F2F29" w:rsidP="004F2F29">
      <w:pPr>
        <w:rPr>
          <w:rStyle w:val="AERbody"/>
        </w:rPr>
      </w:pPr>
      <w:bookmarkStart w:id="11" w:name="_Toc403144136"/>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4F2F29" w:rsidRDefault="00E00357" w:rsidP="004F2F29">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and </w:t>
      </w:r>
      <w:r>
        <w:rPr>
          <w:rStyle w:val="AERbody"/>
        </w:rPr>
        <w:t>additional penalties for in</w:t>
      </w:r>
      <w:r w:rsidRPr="000C2EF1">
        <w:rPr>
          <w:rStyle w:val="AERbody"/>
        </w:rPr>
        <w:t xml:space="preserve">creases in opex.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r w:rsidR="004F2F29" w:rsidRPr="000C2EF1">
        <w:rPr>
          <w:rStyle w:val="AERbody"/>
        </w:rPr>
        <w:t>.</w:t>
      </w:r>
    </w:p>
    <w:p w:rsidR="004F2F29" w:rsidRPr="000C2EF1" w:rsidRDefault="004F2F29" w:rsidP="004F2F29">
      <w:pPr>
        <w:rPr>
          <w:rStyle w:val="AERbody"/>
        </w:rPr>
      </w:pPr>
      <w:r w:rsidRPr="000C2EF1">
        <w:rPr>
          <w:rStyle w:val="AERbody"/>
        </w:rPr>
        <w:t xml:space="preserve">During the 2009–14 regulatory control period </w:t>
      </w:r>
      <w:r>
        <w:rPr>
          <w:rStyle w:val="AERbody"/>
        </w:rPr>
        <w:t>ActewAGL</w:t>
      </w:r>
      <w:r w:rsidRPr="000C2EF1">
        <w:rPr>
          <w:rStyle w:val="AERbody"/>
        </w:rPr>
        <w:t xml:space="preserve"> operated under the </w:t>
      </w:r>
      <w:r w:rsidRPr="009120D0">
        <w:t>EBSS for the ACT and NSW 2009 distribution determinations</w:t>
      </w:r>
      <w:r>
        <w:rPr>
          <w:rStyle w:val="AERbody"/>
        </w:rPr>
        <w:t xml:space="preserve">, </w:t>
      </w:r>
      <w:r w:rsidRPr="000C2EF1">
        <w:rPr>
          <w:rStyle w:val="AERbody"/>
        </w:rPr>
        <w:t xml:space="preserve">which was </w:t>
      </w:r>
      <w:r>
        <w:rPr>
          <w:rStyle w:val="AERbody"/>
        </w:rPr>
        <w:t>released in February 2008</w:t>
      </w:r>
      <w:r w:rsidRPr="000C2EF1">
        <w:rPr>
          <w:rStyle w:val="AERbody"/>
        </w:rPr>
        <w:t>.</w:t>
      </w:r>
      <w:r>
        <w:rPr>
          <w:rStyle w:val="FootnoteReference"/>
        </w:rPr>
        <w:footnoteReference w:id="1"/>
      </w:r>
      <w:r w:rsidRPr="000C2EF1">
        <w:rPr>
          <w:rStyle w:val="AERbody"/>
        </w:rPr>
        <w:t xml:space="preserve">  </w:t>
      </w:r>
    </w:p>
    <w:p w:rsidR="00DE563D" w:rsidRPr="001754EE" w:rsidRDefault="00415F31" w:rsidP="001754EE">
      <w:pPr>
        <w:pStyle w:val="Heading2"/>
      </w:pPr>
      <w:bookmarkStart w:id="12" w:name="_Toc417724858"/>
      <w:r w:rsidRPr="001754EE">
        <w:t>Final</w:t>
      </w:r>
      <w:r w:rsidR="00DE563D" w:rsidRPr="001754EE">
        <w:t xml:space="preserve"> decision</w:t>
      </w:r>
      <w:bookmarkEnd w:id="11"/>
      <w:bookmarkEnd w:id="12"/>
    </w:p>
    <w:p w:rsidR="00B535C8" w:rsidRDefault="006E50B3" w:rsidP="009A45BA">
      <w:bookmarkStart w:id="13" w:name="_Toc403144137"/>
      <w:r>
        <w:t xml:space="preserve">We will not apply EBSS carryover amounts accrued by ActewAGL </w:t>
      </w:r>
      <w:r w:rsidRPr="00433792">
        <w:t>during the 2009–14 regulatory control period.</w:t>
      </w:r>
      <w:r>
        <w:t xml:space="preserve"> This is the same position as our </w:t>
      </w:r>
      <w:r w:rsidRPr="00433792">
        <w:t>draft decision.</w:t>
      </w:r>
      <w:r w:rsidR="00F2046A">
        <w:rPr>
          <w:rStyle w:val="FootnoteReference"/>
        </w:rPr>
        <w:footnoteReference w:id="2"/>
      </w:r>
      <w:r w:rsidR="004F2F29" w:rsidRPr="004F2F29">
        <w:t xml:space="preserve"> The EBSS was intended to work in conjunction with a revealed cost forecast approach. Given how we are forecasti</w:t>
      </w:r>
      <w:r w:rsidR="009A45BA">
        <w:t>ng ActewAGL's opex for the 2014–</w:t>
      </w:r>
      <w:r w:rsidR="004F2F29" w:rsidRPr="004F2F29">
        <w:t>19 period, we consider it would not be consistent with the intended operation of the EBSS, and it would not implement the EBSS in accordance with the terms of the NER, if we were to carryover the EBSS penalty.</w:t>
      </w:r>
      <w:r w:rsidR="004F2F29">
        <w:t xml:space="preserve"> </w:t>
      </w:r>
    </w:p>
    <w:p w:rsidR="004F2F29" w:rsidRDefault="00730FF2" w:rsidP="009A45BA">
      <w:r>
        <w:rPr>
          <w:rStyle w:val="AERbody"/>
        </w:rPr>
        <w:t>No expenditure incurred by ActewAGL will be subject to the EBSS during the 2015–19 regulatory control period.</w:t>
      </w:r>
      <w:r>
        <w:rPr>
          <w:rStyle w:val="FootnoteReference"/>
        </w:rPr>
        <w:footnoteReference w:id="3"/>
      </w:r>
      <w:r>
        <w:rPr>
          <w:rStyle w:val="AERbody"/>
        </w:rPr>
        <w:t xml:space="preserve"> This position is also consistent with our draft decision</w:t>
      </w:r>
      <w:r w:rsidR="004F2F29" w:rsidRPr="009A45BA">
        <w:t>.</w:t>
      </w:r>
    </w:p>
    <w:p w:rsidR="00730FF2" w:rsidRDefault="00730FF2" w:rsidP="009A45BA"/>
    <w:p w:rsidR="00730FF2" w:rsidRDefault="00730FF2" w:rsidP="009A45BA"/>
    <w:p w:rsidR="00730FF2" w:rsidRPr="009A45BA" w:rsidRDefault="00730FF2" w:rsidP="009A45BA"/>
    <w:p w:rsidR="007C3197" w:rsidRDefault="007C3197" w:rsidP="007C3197">
      <w:pPr>
        <w:pStyle w:val="Heading2"/>
      </w:pPr>
      <w:bookmarkStart w:id="14" w:name="_Toc417724859"/>
      <w:bookmarkEnd w:id="13"/>
      <w:r>
        <w:lastRenderedPageBreak/>
        <w:t>Draft decision</w:t>
      </w:r>
      <w:bookmarkEnd w:id="14"/>
    </w:p>
    <w:p w:rsidR="007C3197" w:rsidRDefault="007C3197" w:rsidP="007C3197">
      <w:pPr>
        <w:pStyle w:val="HeadingBoldBlue"/>
        <w:numPr>
          <w:ilvl w:val="0"/>
          <w:numId w:val="25"/>
        </w:numPr>
      </w:pPr>
      <w:bookmarkStart w:id="15" w:name="_Toc416940865"/>
      <w:bookmarkStart w:id="16" w:name="_Toc417724860"/>
      <w:r>
        <w:t>9.2.1 Carryover amounts accrued during the 2009</w:t>
      </w:r>
      <w:r w:rsidRPr="00D06BEA">
        <w:t>–14 regulatory control period</w:t>
      </w:r>
      <w:bookmarkEnd w:id="15"/>
      <w:bookmarkEnd w:id="16"/>
    </w:p>
    <w:p w:rsidR="007C3197" w:rsidRDefault="007C3197" w:rsidP="007C3197">
      <w:r>
        <w:t xml:space="preserve">If we applied the EBSS carryover amounts to ActewAGL, we considered it should have received an EBSS carryover amount of –$19.6 million ($2013-14) from the application of the EBSS during the 2009–14 regulatory control period. </w:t>
      </w:r>
      <w:r w:rsidR="00F712B2" w:rsidRPr="00E974BF">
        <w:t xml:space="preserve">Our calculation </w:t>
      </w:r>
      <w:r w:rsidR="00F712B2">
        <w:t>was</w:t>
      </w:r>
      <w:r w:rsidR="00F712B2" w:rsidRPr="00E974BF">
        <w:t xml:space="preserve"> in accordance with section 2.3 of the EBSS for the ACT and NSW 2009 distribution determinations.</w:t>
      </w:r>
      <w:r w:rsidR="00F712B2">
        <w:t xml:space="preserve"> It</w:t>
      </w:r>
      <w:r>
        <w:t xml:space="preserve"> was the same as ActewAGL's calculation in its original regulatory proposal.</w:t>
      </w:r>
    </w:p>
    <w:p w:rsidR="00160F36" w:rsidRDefault="00160F36" w:rsidP="007C3197">
      <w:r>
        <w:t>However, our draft decision was not to apply the EBSS carryover amounts.</w:t>
      </w:r>
    </w:p>
    <w:p w:rsidR="002F4FB4" w:rsidRDefault="00160F36" w:rsidP="002F4FB4">
      <w:pPr>
        <w:numPr>
          <w:ilvl w:val="0"/>
          <w:numId w:val="25"/>
        </w:numPr>
      </w:pPr>
      <w:r>
        <w:t>W</w:t>
      </w:r>
      <w:r w:rsidR="002F4FB4">
        <w:t xml:space="preserve">e </w:t>
      </w:r>
      <w:r>
        <w:t>did not</w:t>
      </w:r>
      <w:r w:rsidR="002F4FB4">
        <w:t xml:space="preserve"> use ActewAGL's actual opex as </w:t>
      </w:r>
      <w:r w:rsidR="0025487A">
        <w:t>the</w:t>
      </w:r>
      <w:r w:rsidR="002F4FB4">
        <w:t xml:space="preserve"> base for forecasting its opex for the 2014–19 period, as this would not produce a total forecast that reasonably reflects the opex criteria. After benchmarking ActewAGL's base opex against other service providers in the NEM, we consider</w:t>
      </w:r>
      <w:r>
        <w:t>ed</w:t>
      </w:r>
      <w:r w:rsidR="002F4FB4">
        <w:t xml:space="preserve"> base opex need</w:t>
      </w:r>
      <w:r>
        <w:t>ed</w:t>
      </w:r>
      <w:r w:rsidR="002F4FB4">
        <w:t xml:space="preserve"> to be adjusted</w:t>
      </w:r>
      <w:r w:rsidR="00334868">
        <w:t xml:space="preserve"> to a</w:t>
      </w:r>
      <w:r w:rsidR="002F4FB4">
        <w:t xml:space="preserve"> lower</w:t>
      </w:r>
      <w:r w:rsidR="00334868">
        <w:t xml:space="preserve"> level</w:t>
      </w:r>
      <w:r w:rsidR="002F4FB4">
        <w:t xml:space="preserve"> in our alternative forecast.</w:t>
      </w:r>
    </w:p>
    <w:p w:rsidR="002F4FB4" w:rsidRDefault="002F4FB4" w:rsidP="002F4FB4">
      <w:pPr>
        <w:numPr>
          <w:ilvl w:val="0"/>
          <w:numId w:val="25"/>
        </w:numPr>
      </w:pPr>
      <w:r>
        <w:t xml:space="preserve">If we applied both the EBSS penalties and a benchmark opex allowance for the next regulatory control period, this has implications for whether the efficiency losses ActewAGL made during the 2009–14 regulatory control period would be shared fairly with consumers. </w:t>
      </w:r>
      <w:r w:rsidR="00734CC7">
        <w:t xml:space="preserve">It would mean that ActewAGL could bear more than 100 per cent of the efficiency losses it made during the </w:t>
      </w:r>
      <w:r w:rsidR="00C63E12">
        <w:t>regulatory</w:t>
      </w:r>
      <w:r w:rsidR="00734CC7">
        <w:t xml:space="preserve"> control period</w:t>
      </w:r>
      <w:r>
        <w:t>.</w:t>
      </w:r>
      <w:r w:rsidR="00734CC7">
        <w:t xml:space="preserve"> We did not consider this would reflect fair sharing of efficiency losses as required by the </w:t>
      </w:r>
      <w:r w:rsidR="0083367D">
        <w:t>EBSS.</w:t>
      </w:r>
    </w:p>
    <w:p w:rsidR="007C3197" w:rsidRPr="00D06BEA" w:rsidRDefault="007C3197" w:rsidP="007C3197">
      <w:pPr>
        <w:pStyle w:val="HeadingBoldBlue"/>
        <w:numPr>
          <w:ilvl w:val="0"/>
          <w:numId w:val="25"/>
        </w:numPr>
      </w:pPr>
      <w:bookmarkStart w:id="17" w:name="_Toc416940866"/>
      <w:bookmarkStart w:id="18" w:name="_Toc417724861"/>
      <w:r>
        <w:t xml:space="preserve">9.2.2 </w:t>
      </w:r>
      <w:r w:rsidRPr="00D06BEA">
        <w:t>Ap</w:t>
      </w:r>
      <w:r>
        <w:t>plication of the EBSS in the 2015–19 regulatory control period</w:t>
      </w:r>
      <w:bookmarkEnd w:id="17"/>
      <w:bookmarkEnd w:id="18"/>
    </w:p>
    <w:p w:rsidR="007C3197" w:rsidRDefault="007C3197" w:rsidP="007C3197">
      <w:pPr>
        <w:numPr>
          <w:ilvl w:val="0"/>
          <w:numId w:val="25"/>
        </w:numPr>
      </w:pPr>
      <w:r>
        <w:t xml:space="preserve">Our draft decision was that </w:t>
      </w:r>
      <w:r w:rsidRPr="002C3FA3">
        <w:t>no expenditure will be subject to the EBSS during the 201</w:t>
      </w:r>
      <w:r>
        <w:t>5–</w:t>
      </w:r>
      <w:r w:rsidRPr="002C3FA3">
        <w:t xml:space="preserve">19 </w:t>
      </w:r>
      <w:r>
        <w:t xml:space="preserve">regulatory control </w:t>
      </w:r>
      <w:r w:rsidRPr="002C3FA3">
        <w:t>period.</w:t>
      </w:r>
    </w:p>
    <w:p w:rsidR="007C3197" w:rsidRPr="009915A3" w:rsidRDefault="007C3197" w:rsidP="007C3197">
      <w:r>
        <w:t xml:space="preserve">We noted that the decision on how to apply the </w:t>
      </w:r>
      <w:r w:rsidRPr="001E14BE">
        <w:t>E</w:t>
      </w:r>
      <w:r>
        <w:t>BSS is intrinsically linked to the revealed cost</w:t>
      </w:r>
      <w:r w:rsidRPr="001E14BE">
        <w:t xml:space="preserve"> forecasting </w:t>
      </w:r>
      <w:r>
        <w:t>method for opex.</w:t>
      </w:r>
    </w:p>
    <w:p w:rsidR="007C3197" w:rsidRDefault="007C3197" w:rsidP="007C3197">
      <w:pPr>
        <w:numPr>
          <w:ilvl w:val="0"/>
          <w:numId w:val="25"/>
        </w:numPr>
      </w:pPr>
      <w:r w:rsidRPr="009915A3">
        <w:t>Economic benchmark</w:t>
      </w:r>
      <w:r>
        <w:t>ing</w:t>
      </w:r>
      <w:r w:rsidR="00C63E12">
        <w:t xml:space="preserve"> and</w:t>
      </w:r>
      <w:r w:rsidR="00334868">
        <w:t xml:space="preserve"> other corroborating evidence</w:t>
      </w:r>
      <w:r w:rsidRPr="009915A3">
        <w:t xml:space="preserve"> indicate that </w:t>
      </w:r>
      <w:r w:rsidR="00EC39EB">
        <w:t>ActewAGL's</w:t>
      </w:r>
      <w:r>
        <w:t xml:space="preserve"> opex is higher than opex incurred by a benchmark efficient</w:t>
      </w:r>
      <w:r w:rsidRPr="009915A3">
        <w:t xml:space="preserve"> service provider. </w:t>
      </w:r>
      <w:r>
        <w:t>In our draft decision, w</w:t>
      </w:r>
      <w:r w:rsidRPr="009915A3">
        <w:t>e also note</w:t>
      </w:r>
      <w:r>
        <w:t>d</w:t>
      </w:r>
      <w:r w:rsidRPr="009915A3">
        <w:t xml:space="preserve"> that </w:t>
      </w:r>
      <w:r w:rsidR="00EC39EB">
        <w:t>ActewAGL</w:t>
      </w:r>
      <w:r w:rsidRPr="009915A3">
        <w:t xml:space="preserve"> has just over three years before it submits its next regulatory proposal. Based on these factors it is uncertain whether</w:t>
      </w:r>
      <w:r>
        <w:t>,</w:t>
      </w:r>
      <w:r w:rsidRPr="009915A3">
        <w:t xml:space="preserve"> and to what extent</w:t>
      </w:r>
      <w:r>
        <w:t>,</w:t>
      </w:r>
      <w:r w:rsidRPr="009915A3">
        <w:t xml:space="preserve"> we are likely to rely on </w:t>
      </w:r>
      <w:r w:rsidR="00EC39EB">
        <w:t>ActewAGL's</w:t>
      </w:r>
      <w:r>
        <w:t xml:space="preserve"> revealed costs in the 2014–</w:t>
      </w:r>
      <w:r w:rsidRPr="009915A3">
        <w:t xml:space="preserve">19 period in forecasting opex in the </w:t>
      </w:r>
      <w:r>
        <w:t>following</w:t>
      </w:r>
      <w:r w:rsidRPr="009915A3">
        <w:t xml:space="preserve"> regulatory control period.</w:t>
      </w:r>
      <w:r>
        <w:t xml:space="preserve"> </w:t>
      </w:r>
      <w:r w:rsidRPr="009915A3">
        <w:t xml:space="preserve"> If we do not use </w:t>
      </w:r>
      <w:r>
        <w:t xml:space="preserve">a </w:t>
      </w:r>
      <w:r w:rsidRPr="009915A3">
        <w:t>revealed costs approach for forecasting opex</w:t>
      </w:r>
      <w:r>
        <w:t xml:space="preserve"> in the future</w:t>
      </w:r>
      <w:r w:rsidRPr="009915A3">
        <w:t xml:space="preserve">, there is </w:t>
      </w:r>
      <w:r>
        <w:t>not a strong reason to</w:t>
      </w:r>
      <w:r w:rsidRPr="009915A3">
        <w:t xml:space="preserve"> apply the current version </w:t>
      </w:r>
      <w:r>
        <w:t xml:space="preserve">of the </w:t>
      </w:r>
      <w:r w:rsidRPr="009915A3">
        <w:t xml:space="preserve">EBSS. </w:t>
      </w:r>
    </w:p>
    <w:p w:rsidR="007C3197" w:rsidRDefault="007C3197" w:rsidP="007C3197">
      <w:pPr>
        <w:numPr>
          <w:ilvl w:val="0"/>
          <w:numId w:val="25"/>
        </w:numPr>
      </w:pPr>
      <w:r>
        <w:t xml:space="preserve">For instance we consider </w:t>
      </w:r>
      <w:r w:rsidR="00EC39EB">
        <w:t>ActewAGL</w:t>
      </w:r>
      <w:r>
        <w:t xml:space="preserve"> will already face an incentive to make efficiency improvements while its actual opex is more than that of a benchmark efficient service provider. We do not need to apply an EBSS to further strengthen its incentives.</w:t>
      </w:r>
    </w:p>
    <w:p w:rsidR="007C3197" w:rsidRPr="00AA7E5A" w:rsidRDefault="00EC39EB">
      <w:pPr>
        <w:pStyle w:val="Heading2"/>
        <w:rPr>
          <w:rStyle w:val="AERbody"/>
          <w:color w:val="70635A" w:themeColor="text2"/>
          <w:sz w:val="32"/>
        </w:rPr>
      </w:pPr>
      <w:bookmarkStart w:id="19" w:name="_Toc417724862"/>
      <w:r w:rsidRPr="00AA7E5A">
        <w:rPr>
          <w:rStyle w:val="AERbody"/>
          <w:color w:val="70635A" w:themeColor="text2"/>
          <w:sz w:val="32"/>
        </w:rPr>
        <w:lastRenderedPageBreak/>
        <w:t>ActewAGL's</w:t>
      </w:r>
      <w:r w:rsidR="007C3197" w:rsidRPr="00AA7E5A">
        <w:rPr>
          <w:rStyle w:val="AERbody"/>
          <w:color w:val="70635A" w:themeColor="text2"/>
          <w:sz w:val="32"/>
        </w:rPr>
        <w:t xml:space="preserve"> revised proposal and submissions</w:t>
      </w:r>
      <w:bookmarkEnd w:id="19"/>
    </w:p>
    <w:p w:rsidR="007C3197" w:rsidRDefault="007C3197" w:rsidP="007C3197">
      <w:pPr>
        <w:pStyle w:val="Heading3"/>
      </w:pPr>
      <w:bookmarkStart w:id="20" w:name="_Toc416940868"/>
      <w:bookmarkStart w:id="21" w:name="_Toc417724863"/>
      <w:r>
        <w:t>Carryover amounts accrued during the 2009</w:t>
      </w:r>
      <w:r w:rsidRPr="00D06BEA">
        <w:t>–14 regulatory control period</w:t>
      </w:r>
      <w:bookmarkEnd w:id="20"/>
      <w:bookmarkEnd w:id="21"/>
    </w:p>
    <w:p w:rsidR="00D00FC8" w:rsidRDefault="00D00FC8" w:rsidP="00D00FC8">
      <w:bookmarkStart w:id="22" w:name="_Toc409015716"/>
      <w:r>
        <w:t>In its revised proposal, ActewAGL submitted that we should set its base year opex on the basis of its actual revealed costs, and continue to apply the EBSS.</w:t>
      </w:r>
      <w:r>
        <w:rPr>
          <w:rStyle w:val="FootnoteReference"/>
        </w:rPr>
        <w:footnoteReference w:id="4"/>
      </w:r>
      <w:r>
        <w:t xml:space="preserve"> ActewAGL</w:t>
      </w:r>
      <w:r w:rsidRPr="000D2D10">
        <w:t xml:space="preserve"> </w:t>
      </w:r>
      <w:r>
        <w:t xml:space="preserve">reaffirmed its proposal that a total EBSS carryover amount of </w:t>
      </w:r>
      <w:r w:rsidR="00E66120">
        <w:t>–</w:t>
      </w:r>
      <w:r>
        <w:t xml:space="preserve">$19.6 million </w:t>
      </w:r>
      <w:r w:rsidR="0064107B">
        <w:br/>
      </w:r>
      <w:r>
        <w:t>($2013–14) be subtracted from its regulated revenue in the 2014–19 period</w:t>
      </w:r>
      <w:r w:rsidRPr="00DD6380">
        <w:t xml:space="preserve"> </w:t>
      </w:r>
      <w:r>
        <w:t xml:space="preserve">arising from the application of the EBSS in the </w:t>
      </w:r>
      <w:r w:rsidRPr="000D2D10">
        <w:t xml:space="preserve">2009–14 </w:t>
      </w:r>
      <w:r>
        <w:t xml:space="preserve">regulatory control </w:t>
      </w:r>
      <w:r w:rsidRPr="000D2D10">
        <w:t>period</w:t>
      </w:r>
      <w:r>
        <w:t>.</w:t>
      </w:r>
      <w:r>
        <w:rPr>
          <w:rStyle w:val="FootnoteReference"/>
        </w:rPr>
        <w:footnoteReference w:id="5"/>
      </w:r>
      <w:r>
        <w:t xml:space="preserve"> However, it also </w:t>
      </w:r>
      <w:r w:rsidR="0060315E">
        <w:t>considered</w:t>
      </w:r>
      <w:r>
        <w:t xml:space="preserve"> that, if we maintain our decision to set the opex on a basis other than revealed costs, then ActewAGL's revenue should be adjusted for the 2014–19 period such that it achieves the 30:70 sharing principles underpinning the EBSS.</w:t>
      </w:r>
      <w:r>
        <w:rPr>
          <w:rStyle w:val="FootnoteReference"/>
        </w:rPr>
        <w:footnoteReference w:id="6"/>
      </w:r>
    </w:p>
    <w:p w:rsidR="007C3197" w:rsidRPr="00D06BEA" w:rsidRDefault="007C3197" w:rsidP="007C3197">
      <w:pPr>
        <w:pStyle w:val="Heading3"/>
      </w:pPr>
      <w:bookmarkStart w:id="23" w:name="_Toc416940869"/>
      <w:bookmarkStart w:id="24" w:name="_Toc417724864"/>
      <w:r w:rsidRPr="00D06BEA">
        <w:t>Ap</w:t>
      </w:r>
      <w:r>
        <w:t>plication of the EBSS in the 2015–19 regulatory control period</w:t>
      </w:r>
      <w:bookmarkEnd w:id="23"/>
      <w:bookmarkEnd w:id="24"/>
    </w:p>
    <w:p w:rsidR="00BC4A66" w:rsidRDefault="00B930DD" w:rsidP="00D00FC8">
      <w:r>
        <w:t xml:space="preserve">ActewAGL considered that our </w:t>
      </w:r>
      <w:r w:rsidR="005B5126">
        <w:t xml:space="preserve">draft </w:t>
      </w:r>
      <w:r>
        <w:t>decision not to apply the EBSS in the 2015–19 regulatory period undermined the regulatory incentive framework.</w:t>
      </w:r>
      <w:r w:rsidR="007C3197">
        <w:rPr>
          <w:rStyle w:val="FootnoteReference"/>
        </w:rPr>
        <w:footnoteReference w:id="7"/>
      </w:r>
      <w:r w:rsidR="00D07A43" w:rsidRPr="00D07A43">
        <w:t xml:space="preserve"> </w:t>
      </w:r>
      <w:r w:rsidR="00D07A43" w:rsidRPr="00E974BF">
        <w:t xml:space="preserve">In support of its proposal, </w:t>
      </w:r>
      <w:r w:rsidR="00D07A43">
        <w:t>ActewAGL</w:t>
      </w:r>
      <w:r w:rsidR="00D07A43" w:rsidRPr="00E974BF">
        <w:t xml:space="preserve"> submitted a report </w:t>
      </w:r>
      <w:r w:rsidR="00D07A43">
        <w:t>it commissioned from</w:t>
      </w:r>
      <w:r w:rsidR="00D07A43" w:rsidRPr="00E974BF">
        <w:t xml:space="preserve"> </w:t>
      </w:r>
      <w:r w:rsidR="00D07A43">
        <w:t>HoustonKemp</w:t>
      </w:r>
      <w:r w:rsidR="007E54B3">
        <w:t xml:space="preserve"> criticising our approach</w:t>
      </w:r>
      <w:r w:rsidR="00D07A43" w:rsidRPr="00E974BF">
        <w:t>.</w:t>
      </w:r>
      <w:r w:rsidR="00D07A43">
        <w:rPr>
          <w:rStyle w:val="FootnoteReference"/>
        </w:rPr>
        <w:footnoteReference w:id="8"/>
      </w:r>
    </w:p>
    <w:p w:rsidR="00053E31" w:rsidRDefault="00D00FC8" w:rsidP="00053E31">
      <w:r>
        <w:t xml:space="preserve">The Consumer Challenge Panel (CCP) </w:t>
      </w:r>
      <w:r w:rsidRPr="00A14381">
        <w:t>support</w:t>
      </w:r>
      <w:r>
        <w:t>ed</w:t>
      </w:r>
      <w:r w:rsidRPr="00A14381">
        <w:t xml:space="preserve"> </w:t>
      </w:r>
      <w:r>
        <w:t>our</w:t>
      </w:r>
      <w:r w:rsidRPr="00A14381">
        <w:t xml:space="preserve"> decision not to </w:t>
      </w:r>
      <w:r>
        <w:t>subject any expenditure to</w:t>
      </w:r>
      <w:r w:rsidRPr="00A14381">
        <w:t xml:space="preserve"> the EBSS </w:t>
      </w:r>
      <w:r>
        <w:t>for</w:t>
      </w:r>
      <w:r w:rsidRPr="00A14381">
        <w:t xml:space="preserve"> </w:t>
      </w:r>
      <w:r>
        <w:t>ActewAGL in the 2015–</w:t>
      </w:r>
      <w:r w:rsidRPr="00A14381">
        <w:t>19</w:t>
      </w:r>
      <w:r>
        <w:t xml:space="preserve"> regulatory control period.</w:t>
      </w:r>
      <w:r>
        <w:rPr>
          <w:rStyle w:val="FootnoteReference"/>
        </w:rPr>
        <w:footnoteReference w:id="9"/>
      </w:r>
    </w:p>
    <w:p w:rsidR="007C3197" w:rsidRDefault="007C3197" w:rsidP="007C3197">
      <w:pPr>
        <w:pStyle w:val="Heading2"/>
      </w:pPr>
      <w:bookmarkStart w:id="25" w:name="_Toc403144138"/>
      <w:bookmarkStart w:id="26" w:name="_Toc409015718"/>
      <w:bookmarkStart w:id="27" w:name="_Toc417724865"/>
      <w:bookmarkEnd w:id="22"/>
      <w:r w:rsidRPr="001754EE">
        <w:t>AER’s</w:t>
      </w:r>
      <w:r>
        <w:t xml:space="preserve"> assessment approach</w:t>
      </w:r>
      <w:bookmarkEnd w:id="25"/>
      <w:bookmarkEnd w:id="26"/>
      <w:bookmarkEnd w:id="27"/>
    </w:p>
    <w:p w:rsidR="007C3197" w:rsidRPr="002D16B9" w:rsidRDefault="007C3197" w:rsidP="007C3197">
      <w:pPr>
        <w:numPr>
          <w:ilvl w:val="0"/>
          <w:numId w:val="25"/>
        </w:numPr>
      </w:pPr>
      <w:bookmarkStart w:id="28" w:name="_Toc409015719"/>
      <w:r>
        <w:t>Under t</w:t>
      </w:r>
      <w:r w:rsidRPr="002D16B9">
        <w:t xml:space="preserve">he National Electricity Rules (NER) </w:t>
      </w:r>
      <w:r>
        <w:t xml:space="preserve">we must </w:t>
      </w:r>
      <w:r w:rsidRPr="002D16B9">
        <w:t xml:space="preserve">decide: </w:t>
      </w:r>
    </w:p>
    <w:p w:rsidR="007C3197" w:rsidRPr="002D16B9" w:rsidRDefault="007C3197" w:rsidP="007C3197">
      <w:pPr>
        <w:pStyle w:val="ListNumber"/>
        <w:numPr>
          <w:ilvl w:val="1"/>
          <w:numId w:val="25"/>
        </w:numPr>
      </w:pPr>
      <w:r w:rsidRPr="002D16B9">
        <w:t xml:space="preserve">the </w:t>
      </w:r>
      <w:r w:rsidRPr="00061D4E">
        <w:t xml:space="preserve">revenue increments or decrements (if any) for each regulatory year </w:t>
      </w:r>
      <w:r>
        <w:t xml:space="preserve">of the 2014–19 period </w:t>
      </w:r>
      <w:r w:rsidRPr="00061D4E">
        <w:t xml:space="preserve">arising from the application of the EBSS during the </w:t>
      </w:r>
      <w:r>
        <w:t>2009–14</w:t>
      </w:r>
      <w:r w:rsidRPr="00061D4E">
        <w:t xml:space="preserve"> </w:t>
      </w:r>
      <w:r>
        <w:t xml:space="preserve">regulatory control </w:t>
      </w:r>
      <w:r w:rsidRPr="00061D4E">
        <w:t>period</w:t>
      </w:r>
      <w:r>
        <w:rPr>
          <w:rStyle w:val="FootnoteReference"/>
        </w:rPr>
        <w:footnoteReference w:id="10"/>
      </w:r>
    </w:p>
    <w:p w:rsidR="007C3197" w:rsidRDefault="007C3197" w:rsidP="007C3197">
      <w:pPr>
        <w:pStyle w:val="ListNumber"/>
        <w:numPr>
          <w:ilvl w:val="1"/>
          <w:numId w:val="25"/>
        </w:numPr>
      </w:pPr>
      <w:r>
        <w:t>how any applicable</w:t>
      </w:r>
      <w:r w:rsidRPr="002D16B9">
        <w:t xml:space="preserve"> EBSS </w:t>
      </w:r>
      <w:r>
        <w:t>is to</w:t>
      </w:r>
      <w:r w:rsidRPr="002D16B9">
        <w:t xml:space="preserve"> a</w:t>
      </w:r>
      <w:r>
        <w:t xml:space="preserve">pply to </w:t>
      </w:r>
      <w:r w:rsidR="00EC39EB">
        <w:t>ActewAGL</w:t>
      </w:r>
      <w:r>
        <w:t xml:space="preserve"> in the 2014–19</w:t>
      </w:r>
      <w:r w:rsidRPr="002D16B9">
        <w:t xml:space="preserve"> period.</w:t>
      </w:r>
      <w:r>
        <w:rPr>
          <w:rStyle w:val="FootnoteReference"/>
        </w:rPr>
        <w:footnoteReference w:id="11"/>
      </w:r>
    </w:p>
    <w:p w:rsidR="007C3197" w:rsidRDefault="007C3197" w:rsidP="007C3197">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12"/>
      </w:r>
      <w:r>
        <w:rPr>
          <w:rStyle w:val="AERbody"/>
        </w:rPr>
        <w:t xml:space="preserve"> We must also have regard to the following factors when implementing the EBSS</w:t>
      </w:r>
      <w:r>
        <w:t>:</w:t>
      </w:r>
      <w:r>
        <w:rPr>
          <w:rStyle w:val="FootnoteReference"/>
        </w:rPr>
        <w:footnoteReference w:id="13"/>
      </w:r>
    </w:p>
    <w:p w:rsidR="007C3197" w:rsidRPr="00684CF5" w:rsidRDefault="007C3197" w:rsidP="007C3197">
      <w:pPr>
        <w:pStyle w:val="AERbulletlistfirststyle"/>
      </w:pPr>
      <w:r>
        <w:lastRenderedPageBreak/>
        <w:t>the need to ensure that benefits to electricity consumers likely to result from the scheme are sufficient to warrant any reward or penalty under the scheme</w:t>
      </w:r>
    </w:p>
    <w:p w:rsidR="007C3197" w:rsidRPr="00684CF5" w:rsidRDefault="007C3197" w:rsidP="007C3197">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opex </w:t>
      </w:r>
    </w:p>
    <w:p w:rsidR="007C3197" w:rsidRPr="00684CF5" w:rsidRDefault="007C3197" w:rsidP="007C3197">
      <w:pPr>
        <w:pStyle w:val="AERbulletlistfirststyle"/>
      </w:pPr>
      <w:r w:rsidRPr="007439B9">
        <w:t xml:space="preserve">the desirability of both rewarding </w:t>
      </w:r>
      <w:r w:rsidRPr="00684CF5">
        <w:t xml:space="preserve">service providers for efficiency gains and penalising them for efficiency losses </w:t>
      </w:r>
    </w:p>
    <w:p w:rsidR="007C3197" w:rsidRPr="00684CF5" w:rsidRDefault="007C3197" w:rsidP="007C3197">
      <w:pPr>
        <w:pStyle w:val="AERbulletlistfirststyle"/>
      </w:pPr>
      <w:r w:rsidRPr="007439B9">
        <w:t>any incentives that service providers may have to capitalise expenditure</w:t>
      </w:r>
    </w:p>
    <w:p w:rsidR="007C3197" w:rsidRPr="00684CF5" w:rsidRDefault="007C3197" w:rsidP="007C3197">
      <w:pPr>
        <w:pStyle w:val="AERbulletlistfirststyle"/>
      </w:pPr>
      <w:r w:rsidRPr="00DC57D9">
        <w:t>the possible effects of the scheme on incentives for the implementation of non–network alternatives.</w:t>
      </w:r>
    </w:p>
    <w:p w:rsidR="007C3197" w:rsidRDefault="007C3197" w:rsidP="007C3197">
      <w:pPr>
        <w:pStyle w:val="Heading3"/>
      </w:pPr>
      <w:bookmarkStart w:id="29" w:name="_Toc416940871"/>
      <w:bookmarkStart w:id="30" w:name="_Toc417724866"/>
      <w:r>
        <w:t>Interrelationships</w:t>
      </w:r>
      <w:bookmarkEnd w:id="28"/>
      <w:bookmarkEnd w:id="29"/>
      <w:bookmarkEnd w:id="30"/>
      <w:r>
        <w:t xml:space="preserve"> </w:t>
      </w:r>
    </w:p>
    <w:p w:rsidR="007C3197" w:rsidRDefault="007C3197" w:rsidP="007C3197">
      <w:pPr>
        <w:numPr>
          <w:ilvl w:val="0"/>
          <w:numId w:val="25"/>
        </w:numPr>
      </w:pPr>
      <w:bookmarkStart w:id="31" w:name="_Toc409015720"/>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7C3197" w:rsidRPr="00684CF5" w:rsidRDefault="007C3197" w:rsidP="007C3197">
      <w:pPr>
        <w:pStyle w:val="AERbulletlistfirststyle"/>
      </w:pPr>
      <w:r>
        <w:t xml:space="preserve">To mitigate the incentive for a service provider </w:t>
      </w:r>
      <w:r w:rsidRPr="00684CF5">
        <w:t>to increase opex in the expected 'base year' to increase its forecast opex allowance for the following regulatory control period.</w:t>
      </w:r>
    </w:p>
    <w:p w:rsidR="007C3197" w:rsidRPr="00684CF5" w:rsidRDefault="007C3197" w:rsidP="007C3197">
      <w:pPr>
        <w:pStyle w:val="AERbulletlistfirststyle"/>
      </w:pPr>
      <w:r>
        <w:t xml:space="preserve">To provide a continuous incentive for a service provider to make efficiency gains - service providers receive </w:t>
      </w:r>
      <w:r w:rsidRPr="00684CF5">
        <w:t>the same reward for an underspend and the same penalty for an overspend in each year of the regulatory control period.</w:t>
      </w:r>
    </w:p>
    <w:p w:rsidR="007C3197" w:rsidRDefault="007C3197" w:rsidP="007C3197">
      <w:pPr>
        <w:numPr>
          <w:ilvl w:val="0"/>
          <w:numId w:val="25"/>
        </w:numPr>
      </w:pPr>
      <w:r w:rsidRPr="009A7159">
        <w:t xml:space="preserve">Where </w:t>
      </w:r>
      <w:r>
        <w:t>we do</w:t>
      </w:r>
      <w:r w:rsidRPr="009A7159">
        <w:t xml:space="preserve"> not</w:t>
      </w:r>
      <w:r>
        <w:t xml:space="preserve"> propose to rely on the revealed costs of a service provider in forecasting opex there are</w:t>
      </w:r>
      <w:r w:rsidRPr="009A7159">
        <w:t xml:space="preserve"> consequences for </w:t>
      </w:r>
      <w:r>
        <w:t>a</w:t>
      </w:r>
      <w:r w:rsidRPr="009A7159">
        <w:t xml:space="preserve"> </w:t>
      </w:r>
      <w:r>
        <w:t>service provider's</w:t>
      </w:r>
      <w:r w:rsidRPr="009A7159">
        <w:t xml:space="preserve"> incentives to make productivity improvements</w:t>
      </w:r>
      <w:r>
        <w:t>. This effects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opex forecasting, in reaching our decision.</w:t>
      </w:r>
    </w:p>
    <w:p w:rsidR="007C3197" w:rsidRDefault="007C3197" w:rsidP="007C3197">
      <w:pPr>
        <w:numPr>
          <w:ilvl w:val="0"/>
          <w:numId w:val="25"/>
        </w:numPr>
      </w:pPr>
      <w:r>
        <w:t>Incentives to reduce opex may also affect a service provider's incentives to undertake capex. We take into account of these interactions in developing and implementing the EBSS as well as the developing the CESS. For instance:</w:t>
      </w:r>
    </w:p>
    <w:p w:rsidR="007C3197" w:rsidRPr="002F0531" w:rsidRDefault="007C3197" w:rsidP="007C3197">
      <w:pPr>
        <w:pStyle w:val="AERbulletlistfirststyle"/>
        <w:rPr>
          <w:rStyle w:val="AERbody"/>
        </w:rPr>
      </w:pPr>
      <w:r w:rsidRPr="002F0531">
        <w:rPr>
          <w:rStyle w:val="AERbody"/>
        </w:rPr>
        <w:t>In developing and implementing the EBSS, the AER must have regard to any inc</w:t>
      </w:r>
      <w:r>
        <w:rPr>
          <w:rStyle w:val="AERbody"/>
        </w:rPr>
        <w:t xml:space="preserve">entives that </w:t>
      </w:r>
      <w:r w:rsidR="00A838AE">
        <w:rPr>
          <w:rStyle w:val="AERbody"/>
        </w:rPr>
        <w:t>distributors</w:t>
      </w:r>
      <w:r>
        <w:rPr>
          <w:rStyle w:val="AERbody"/>
        </w:rPr>
        <w:t xml:space="preserve"> 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14"/>
      </w:r>
    </w:p>
    <w:p w:rsidR="007C3197" w:rsidRDefault="007C3197" w:rsidP="007C3197">
      <w:pPr>
        <w:pStyle w:val="AERbulletlistfirststyle"/>
        <w:rPr>
          <w:rStyle w:val="AERbody"/>
        </w:rPr>
      </w:pPr>
      <w:r w:rsidRPr="002F0531">
        <w:rPr>
          <w:rStyle w:val="AERbody"/>
        </w:rPr>
        <w:t>In developing the CESS, the AER must take into account the interaction of the scheme with</w:t>
      </w:r>
      <w:r>
        <w:rPr>
          <w:rStyle w:val="AERbody"/>
        </w:rPr>
        <w:t xml:space="preserve"> other incentives that </w:t>
      </w:r>
      <w:r w:rsidR="00A838AE">
        <w:rPr>
          <w:rStyle w:val="AERbody"/>
        </w:rPr>
        <w:t>distributors</w:t>
      </w:r>
      <w:r w:rsidRPr="002F0531">
        <w:rPr>
          <w:rStyle w:val="AERbody"/>
        </w:rPr>
        <w:t xml:space="preserve"> may have in relation to undertaking efficient opex or capex as well as the capex objectives and, if relevant, the opex objectives</w:t>
      </w:r>
      <w:r>
        <w:rPr>
          <w:rStyle w:val="AERbody"/>
        </w:rPr>
        <w:t>.</w:t>
      </w:r>
      <w:r>
        <w:rPr>
          <w:rStyle w:val="FootnoteReference"/>
        </w:rPr>
        <w:footnoteReference w:id="15"/>
      </w:r>
      <w:r w:rsidRPr="002F0531">
        <w:rPr>
          <w:rStyle w:val="AERbody"/>
        </w:rPr>
        <w:t xml:space="preserve"> </w:t>
      </w:r>
    </w:p>
    <w:p w:rsidR="007C3197" w:rsidRDefault="007C3197" w:rsidP="007C3197">
      <w:pPr>
        <w:pStyle w:val="Heading2"/>
      </w:pPr>
      <w:bookmarkStart w:id="32" w:name="_Toc403144140"/>
      <w:bookmarkStart w:id="33" w:name="_Toc409015721"/>
      <w:bookmarkStart w:id="34" w:name="_Toc417724867"/>
      <w:bookmarkEnd w:id="31"/>
      <w:r w:rsidRPr="001754EE">
        <w:lastRenderedPageBreak/>
        <w:t>Reasons</w:t>
      </w:r>
      <w:r>
        <w:t xml:space="preserve"> for final decision</w:t>
      </w:r>
      <w:bookmarkEnd w:id="32"/>
      <w:bookmarkEnd w:id="33"/>
      <w:bookmarkEnd w:id="34"/>
      <w:r>
        <w:t xml:space="preserve"> </w:t>
      </w:r>
    </w:p>
    <w:p w:rsidR="007C3197" w:rsidRPr="00E974BF" w:rsidRDefault="007C3197" w:rsidP="007C3197">
      <w:pPr>
        <w:pStyle w:val="Heading3"/>
      </w:pPr>
      <w:bookmarkStart w:id="35" w:name="_Toc416940873"/>
      <w:bookmarkStart w:id="36" w:name="_Toc417724868"/>
      <w:bookmarkStart w:id="37" w:name="_Toc409015723"/>
      <w:r>
        <w:t>Carryover amounts accrued during the 2009</w:t>
      </w:r>
      <w:r w:rsidRPr="00D06BEA">
        <w:t>–14 regulatory control period</w:t>
      </w:r>
      <w:bookmarkEnd w:id="35"/>
      <w:bookmarkEnd w:id="36"/>
    </w:p>
    <w:p w:rsidR="00D00FC8" w:rsidRDefault="00D00FC8" w:rsidP="00D00FC8">
      <w:r>
        <w:t xml:space="preserve">We have considered ActewAGL's revised proposal and have determined </w:t>
      </w:r>
      <w:r w:rsidR="0064107B">
        <w:t>to maintain</w:t>
      </w:r>
      <w:r>
        <w:t xml:space="preserve"> our draft decision not to apply the EBSS carryover amounts accrued by ActewAGL </w:t>
      </w:r>
      <w:r w:rsidRPr="00433792">
        <w:t>during the 2009–14 regulatory control period.</w:t>
      </w:r>
      <w:r>
        <w:rPr>
          <w:rStyle w:val="FootnoteReference"/>
        </w:rPr>
        <w:footnoteReference w:id="16"/>
      </w:r>
      <w:r w:rsidRPr="004F2F29">
        <w:t xml:space="preserve"> The EBSS was intended to work in conjunction with a revealed cost forecast approach. Given how we are forecasti</w:t>
      </w:r>
      <w:r>
        <w:t>ng ActewAGL's opex for the 2014–</w:t>
      </w:r>
      <w:r w:rsidRPr="004F2F29">
        <w:t>19 period, it would not be consistent with the intended operation of the EBSS, and it would not implement the EBSS in accordance with the terms of the NER, if we were to carryover the EBSS penalty.</w:t>
      </w:r>
      <w:r w:rsidRPr="001F3F13">
        <w:t xml:space="preserve"> </w:t>
      </w:r>
    </w:p>
    <w:p w:rsidR="00D00FC8" w:rsidRDefault="00D00FC8" w:rsidP="00D00FC8">
      <w:r>
        <w:t>As discussed above and in the opex attachment 7, w</w:t>
      </w:r>
      <w:r w:rsidRPr="001F3F13">
        <w:t xml:space="preserve">e have not used ActewAGL's actual opex as a base for forecasting </w:t>
      </w:r>
      <w:r>
        <w:t>its opex for the 2014–19 period</w:t>
      </w:r>
      <w:r w:rsidRPr="001F3F13">
        <w:t xml:space="preserve">. </w:t>
      </w:r>
    </w:p>
    <w:p w:rsidR="00D00FC8" w:rsidRPr="00E974BF" w:rsidRDefault="00D00FC8" w:rsidP="00AA7E5A">
      <w:r>
        <w:t>We disagree with ActewAGL</w:t>
      </w:r>
      <w:r w:rsidR="00873F0A">
        <w:t>'s</w:t>
      </w:r>
      <w:r>
        <w:t xml:space="preserve"> statement that our draft decision not to use the revealed cost forecasting approach for the 2014–19 period and not to apply the EBSS carryover is flawed and inconsistent with the NEL and the </w:t>
      </w:r>
      <w:r w:rsidR="0047166A">
        <w:t>NER</w:t>
      </w:r>
      <w:r w:rsidR="00873F0A">
        <w:t>.</w:t>
      </w:r>
      <w:r w:rsidR="00873F0A" w:rsidRPr="00873F0A">
        <w:rPr>
          <w:rStyle w:val="FootnoteReference"/>
        </w:rPr>
        <w:t xml:space="preserve"> </w:t>
      </w:r>
      <w:r w:rsidR="00873F0A">
        <w:rPr>
          <w:rStyle w:val="FootnoteReference"/>
        </w:rPr>
        <w:footnoteReference w:id="17"/>
      </w:r>
      <w:r>
        <w:t xml:space="preserve"> </w:t>
      </w:r>
    </w:p>
    <w:p w:rsidR="001F6F12" w:rsidRDefault="00054C21" w:rsidP="00D00FC8">
      <w:r>
        <w:t>We must determine an opex forecast that reasonably reflects the opex criteria. We have found ActewAGL</w:t>
      </w:r>
      <w:r w:rsidR="001F6F12">
        <w:t>'s revealed opex</w:t>
      </w:r>
      <w:r>
        <w:t xml:space="preserve"> to be materially inefficient. A</w:t>
      </w:r>
      <w:r w:rsidR="001F6F12">
        <w:t>n opex</w:t>
      </w:r>
      <w:r>
        <w:t xml:space="preserve"> forecast based on the revealed costs</w:t>
      </w:r>
      <w:r w:rsidR="001F6F12">
        <w:t xml:space="preserve"> of </w:t>
      </w:r>
      <w:r>
        <w:t>a service provider that is found to be materially inefficient</w:t>
      </w:r>
      <w:r w:rsidR="001F6F12">
        <w:t xml:space="preserve"> would not reasonably </w:t>
      </w:r>
      <w:r>
        <w:t>reflect the opex criteria</w:t>
      </w:r>
      <w:r w:rsidR="001F6F12">
        <w:t xml:space="preserve">. </w:t>
      </w:r>
    </w:p>
    <w:p w:rsidR="00A91551" w:rsidRDefault="00BF135E" w:rsidP="00734CC7">
      <w:r>
        <w:t>As outlined above, ActewAGL considers that where we do not use its costs to forecast is opex, its revenue should be adjusted to give effect to a 30:70 share of efficiency gains and losses in opex from the 2009–14 regulatory control period. T</w:t>
      </w:r>
      <w:r w:rsidR="00734CC7">
        <w:t xml:space="preserve">he </w:t>
      </w:r>
      <w:r w:rsidR="00734CC7" w:rsidRPr="00734CC7">
        <w:t xml:space="preserve">30:70 sharing ratio </w:t>
      </w:r>
      <w:r w:rsidR="00734CC7">
        <w:t>that ActewAGL refers</w:t>
      </w:r>
      <w:r w:rsidR="0083367D">
        <w:t xml:space="preserve"> to</w:t>
      </w:r>
      <w:r w:rsidR="00734CC7">
        <w:t xml:space="preserve"> </w:t>
      </w:r>
      <w:r w:rsidR="00622EFC">
        <w:t>is</w:t>
      </w:r>
      <w:r w:rsidR="0083367D">
        <w:t xml:space="preserve"> not a fixed sharing of efficiency gains and losses that we pre-determined in the 2009–14 regulatory control period</w:t>
      </w:r>
      <w:r w:rsidR="00734CC7" w:rsidRPr="00734CC7">
        <w:t xml:space="preserve">. It is an outcome that </w:t>
      </w:r>
      <w:r w:rsidR="0083367D">
        <w:t xml:space="preserve">is achieved by applying the EBSS to opex in one regulatory control period </w:t>
      </w:r>
      <w:r w:rsidR="00734CC7" w:rsidRPr="00734CC7">
        <w:t xml:space="preserve">and </w:t>
      </w:r>
      <w:r w:rsidR="0083367D">
        <w:t xml:space="preserve">using a revealed cost approach to forecast opex in the next regulatory control period. </w:t>
      </w:r>
    </w:p>
    <w:p w:rsidR="00734CC7" w:rsidRPr="00734CC7" w:rsidRDefault="00622EFC" w:rsidP="00734CC7">
      <w:r>
        <w:t>T</w:t>
      </w:r>
      <w:r w:rsidR="0083367D">
        <w:t xml:space="preserve">he decision to use revealed cost to forecast opex in a regulatory control period is subject to an assessment against the opex </w:t>
      </w:r>
      <w:r>
        <w:t>criteria</w:t>
      </w:r>
      <w:r w:rsidR="0083367D">
        <w:t xml:space="preserve">. </w:t>
      </w:r>
      <w:r w:rsidR="00734CC7" w:rsidRPr="00734CC7">
        <w:t>We outlined this</w:t>
      </w:r>
      <w:r w:rsidR="0083367D">
        <w:t xml:space="preserve"> </w:t>
      </w:r>
      <w:r w:rsidR="00734CC7" w:rsidRPr="00734CC7">
        <w:t xml:space="preserve">in the EBSS for </w:t>
      </w:r>
      <w:r w:rsidR="00373BE7">
        <w:t xml:space="preserve">the </w:t>
      </w:r>
      <w:r w:rsidR="00734CC7" w:rsidRPr="00734CC7">
        <w:t>ACT and NSW</w:t>
      </w:r>
      <w:r w:rsidR="00373BE7">
        <w:t xml:space="preserve"> determinations</w:t>
      </w:r>
      <w:r w:rsidR="0083367D">
        <w:t>:</w:t>
      </w:r>
    </w:p>
    <w:p w:rsidR="00734CC7" w:rsidRPr="00734CC7" w:rsidRDefault="00734CC7" w:rsidP="00734CC7">
      <w:pPr>
        <w:pStyle w:val="AERquote"/>
      </w:pPr>
      <w:r w:rsidRPr="00734CC7">
        <w:t>The AER does not consider it appropriate, however, to mechanistically set forecast</w:t>
      </w:r>
      <w:r>
        <w:t xml:space="preserve"> </w:t>
      </w:r>
      <w:r w:rsidRPr="00734CC7">
        <w:t>costs to actual costs in the fourth year of the regulatory control period. Consequently,</w:t>
      </w:r>
      <w:r>
        <w:t xml:space="preserve"> </w:t>
      </w:r>
      <w:r w:rsidRPr="00734CC7">
        <w:t>when the AER assesses forecast opex figures proposed by DNSPs the AER will</w:t>
      </w:r>
      <w:r>
        <w:t xml:space="preserve"> </w:t>
      </w:r>
      <w:r w:rsidRPr="00734CC7">
        <w:t>assess the forecasts against the opex objectives, criteria and factors outlined in the</w:t>
      </w:r>
      <w:r>
        <w:t xml:space="preserve"> </w:t>
      </w:r>
      <w:r w:rsidRPr="00734CC7">
        <w:t xml:space="preserve">NER. The amount of opex incurred in the fourth year </w:t>
      </w:r>
      <w:r w:rsidRPr="00734CC7">
        <w:lastRenderedPageBreak/>
        <w:t>of a regulatory control period</w:t>
      </w:r>
      <w:r>
        <w:t xml:space="preserve"> </w:t>
      </w:r>
      <w:r w:rsidRPr="00734CC7">
        <w:t>will however be used as a starting point for analysing forecast opex in the next</w:t>
      </w:r>
      <w:r>
        <w:t xml:space="preserve"> </w:t>
      </w:r>
      <w:r w:rsidRPr="00734CC7">
        <w:t>regulatory control period.</w:t>
      </w:r>
      <w:r w:rsidR="0083367D">
        <w:rPr>
          <w:rStyle w:val="FootnoteReference"/>
        </w:rPr>
        <w:footnoteReference w:id="18"/>
      </w:r>
    </w:p>
    <w:p w:rsidR="00734CC7" w:rsidRPr="00734CC7" w:rsidRDefault="00622EFC" w:rsidP="00734CC7">
      <w:r>
        <w:t>It</w:t>
      </w:r>
      <w:r w:rsidR="00734CC7" w:rsidRPr="00734CC7">
        <w:t xml:space="preserve"> therefore does not follow that ActewAGL would </w:t>
      </w:r>
      <w:r w:rsidR="00A91551">
        <w:t>somehow</w:t>
      </w:r>
      <w:r w:rsidR="00A91551" w:rsidRPr="00734CC7">
        <w:t xml:space="preserve"> </w:t>
      </w:r>
      <w:r w:rsidR="00734CC7" w:rsidRPr="00734CC7">
        <w:t>need to</w:t>
      </w:r>
      <w:r w:rsidR="00734CC7">
        <w:t xml:space="preserve"> be compensated</w:t>
      </w:r>
      <w:r>
        <w:t xml:space="preserve"> because </w:t>
      </w:r>
      <w:r w:rsidR="0083367D">
        <w:t>a 30:70 share of efficiency gains and losses</w:t>
      </w:r>
      <w:r w:rsidR="00BF135E">
        <w:t xml:space="preserve"> in the 2009–14 regulatory control period</w:t>
      </w:r>
      <w:r w:rsidR="0083367D">
        <w:t xml:space="preserve"> has not been achieved.</w:t>
      </w:r>
      <w:r>
        <w:t xml:space="preserve"> </w:t>
      </w:r>
      <w:r w:rsidR="00BF135E">
        <w:t xml:space="preserve">It would imply that the </w:t>
      </w:r>
      <w:r w:rsidR="00D07A43">
        <w:t>we</w:t>
      </w:r>
      <w:r w:rsidR="00BF135E">
        <w:t xml:space="preserve"> would always use ActewAGL's opex from the 2009–14 regulatory control period to forecast its opex for the 2014–19 period, no matter how inefficient we found those costs to be. This approach would not reasonably reflect the opex criteria.</w:t>
      </w:r>
    </w:p>
    <w:p w:rsidR="001B74F8" w:rsidRDefault="00734CC7" w:rsidP="00AA7E5A">
      <w:r w:rsidRPr="00734CC7">
        <w:t xml:space="preserve">However where we do consider some latitude is </w:t>
      </w:r>
      <w:r w:rsidR="006F0E33" w:rsidRPr="00734CC7">
        <w:t>desirable</w:t>
      </w:r>
      <w:r w:rsidRPr="00734CC7">
        <w:t xml:space="preserve"> with the app</w:t>
      </w:r>
      <w:r w:rsidR="007E54B3">
        <w:t>lication of negative EBSS carry</w:t>
      </w:r>
      <w:r w:rsidRPr="00734CC7">
        <w:t>overs</w:t>
      </w:r>
      <w:r w:rsidR="00A91551">
        <w:t xml:space="preserve"> that ActewAGL accrued during the 2009–14 regulatory control period</w:t>
      </w:r>
      <w:r w:rsidRPr="00734CC7">
        <w:t xml:space="preserve">. </w:t>
      </w:r>
      <w:r w:rsidR="0083367D">
        <w:t>If</w:t>
      </w:r>
      <w:r w:rsidR="008A2AF6">
        <w:t xml:space="preserve"> we applied both the EBSS penalties and a benchmark opex allowance for the 2009–14 regulatory control period, ActewAGL </w:t>
      </w:r>
      <w:r w:rsidR="0083367D">
        <w:t>could bear more than 100 per cent of efficiency losses it made in the 2009–14 regulatory control period</w:t>
      </w:r>
      <w:r w:rsidR="008A2AF6">
        <w:t>.</w:t>
      </w:r>
      <w:r w:rsidR="007E54B3">
        <w:t xml:space="preserve"> We do not consider this would be a fair share of ActewAGL's efficiency losses.</w:t>
      </w:r>
      <w:r w:rsidR="008A2AF6">
        <w:t xml:space="preserve"> We have addressed this by not applying the</w:t>
      </w:r>
      <w:r w:rsidR="00A91551">
        <w:t>se negative amounts</w:t>
      </w:r>
      <w:r w:rsidR="008A2AF6">
        <w:t xml:space="preserve">. </w:t>
      </w:r>
    </w:p>
    <w:p w:rsidR="007C3197" w:rsidRPr="00E974BF" w:rsidRDefault="007C3197" w:rsidP="007C3197">
      <w:pPr>
        <w:pStyle w:val="Heading3"/>
      </w:pPr>
      <w:bookmarkStart w:id="38" w:name="_Toc416940874"/>
      <w:bookmarkStart w:id="39" w:name="_Toc417724869"/>
      <w:bookmarkEnd w:id="37"/>
      <w:r>
        <w:t>Application of the EBSS in the 2015–19 regulatory control period</w:t>
      </w:r>
      <w:bookmarkEnd w:id="38"/>
      <w:bookmarkEnd w:id="39"/>
    </w:p>
    <w:p w:rsidR="00BD662C" w:rsidRDefault="00D00FC8" w:rsidP="00D00FC8">
      <w:r>
        <w:t xml:space="preserve">We maintain our draft decision not to subject any expenditure to the EBSS in the 2015–19 regulatory control period. We do not consider the EBSS is needed to incentivise efficient opex. </w:t>
      </w:r>
      <w:r w:rsidR="00BD662C">
        <w:t>ActewAGL will already bear any costs in transitioning to efficient levels so there does not seem to be a strong reason to provide it with an additional incentive to become more efficient.</w:t>
      </w:r>
    </w:p>
    <w:p w:rsidR="008A2AF6" w:rsidRDefault="008A2AF6" w:rsidP="00AA7E5A">
      <w:r>
        <w:t xml:space="preserve">Given our forecasting approach, if we applied the EBSS, </w:t>
      </w:r>
      <w:r w:rsidR="00BD662C">
        <w:t>the following outcomes,</w:t>
      </w:r>
      <w:r w:rsidR="00BD662C" w:rsidRPr="00BD662C">
        <w:t xml:space="preserve"> </w:t>
      </w:r>
      <w:r w:rsidR="00BD662C">
        <w:t>which are</w:t>
      </w:r>
      <w:r w:rsidR="00BD662C" w:rsidRPr="009915A3">
        <w:t xml:space="preserve"> </w:t>
      </w:r>
      <w:r w:rsidR="00BD662C">
        <w:t xml:space="preserve">not </w:t>
      </w:r>
      <w:r w:rsidR="00BD662C" w:rsidRPr="009915A3">
        <w:t xml:space="preserve">consistent with what we are seeking to achieve with the application of the </w:t>
      </w:r>
      <w:r w:rsidR="00BD662C" w:rsidRPr="00A35AA5">
        <w:t>EBSS</w:t>
      </w:r>
      <w:r w:rsidR="00BD662C">
        <w:t>,</w:t>
      </w:r>
      <w:r w:rsidR="00BD662C" w:rsidRPr="00BD662C">
        <w:t xml:space="preserve"> </w:t>
      </w:r>
      <w:r w:rsidR="00BD662C">
        <w:t>may result:</w:t>
      </w:r>
      <w:r w:rsidR="00BD662C">
        <w:rPr>
          <w:rStyle w:val="FootnoteReference"/>
        </w:rPr>
        <w:footnoteReference w:id="19"/>
      </w:r>
    </w:p>
    <w:p w:rsidR="008A2AF6" w:rsidRDefault="008A2AF6" w:rsidP="008A2AF6">
      <w:pPr>
        <w:pStyle w:val="AERbulletlistfirststyle"/>
      </w:pPr>
      <w:r>
        <w:t xml:space="preserve">If ActewAGL does not improve its efficiency over the period its revealed costs will not affect its opex forecast in the next period. This could result in ActewAGL incurring an EBSS penalty which would exceed its fair share of its efficiency loss. </w:t>
      </w:r>
      <w:r w:rsidRPr="009915A3">
        <w:t xml:space="preserve"> </w:t>
      </w:r>
    </w:p>
    <w:p w:rsidR="008A2AF6" w:rsidRDefault="008A2AF6" w:rsidP="00AA7E5A">
      <w:pPr>
        <w:pStyle w:val="AERbulletlistfirststyle"/>
      </w:pPr>
      <w:r>
        <w:t>If ActewAGL improves its efficiency it could receive EBSS rewards but it may still not benchmark well when compared to other service providers. In this case, ActewAGL's consumers would pay more than the efficient costs to receive the network service.</w:t>
      </w:r>
    </w:p>
    <w:p w:rsidR="008A2AF6" w:rsidRDefault="008A2AF6" w:rsidP="00B535C8">
      <w:r>
        <w:t>For these reasons, w</w:t>
      </w:r>
      <w:r w:rsidR="00B535C8">
        <w:t xml:space="preserve">e </w:t>
      </w:r>
      <w:r w:rsidR="00622EFC">
        <w:t>do not consider we should apply the EBSS to ActewAGL in the 2015–19 regulatory control period.</w:t>
      </w:r>
    </w:p>
    <w:p w:rsidR="00AA7E5A" w:rsidRDefault="00AA7E5A" w:rsidP="00AA7E5A">
      <w:r>
        <w:t xml:space="preserve">ActewAGL asked HoustonKemp to provide one or more illustrative EBSS that could operate where the distribution network service provider's opex in the following </w:t>
      </w:r>
      <w:r>
        <w:lastRenderedPageBreak/>
        <w:t>regulatory control period may be set on the basis of either the network's revealed opex or by reference to comparative efficiency.</w:t>
      </w:r>
      <w:r w:rsidR="00EC42ED">
        <w:t xml:space="preserve"> HoustonKemp provided its report in February 2015.</w:t>
      </w:r>
      <w:r>
        <w:rPr>
          <w:rStyle w:val="FootnoteReference"/>
        </w:rPr>
        <w:footnoteReference w:id="20"/>
      </w:r>
      <w:r w:rsidR="00382C72">
        <w:t xml:space="preserve"> When using a benchmark, the</w:t>
      </w:r>
      <w:r w:rsidR="00A91551">
        <w:t xml:space="preserve"> illustrative scheme shows if costs were incurred above or below the benchmark, they</w:t>
      </w:r>
      <w:r w:rsidR="00382C72">
        <w:t xml:space="preserve"> would be shared between service providers and consumers according to a fixed ratio</w:t>
      </w:r>
      <w:r w:rsidR="00A91551">
        <w:t>.</w:t>
      </w:r>
      <w:r w:rsidR="00CD17BC">
        <w:rPr>
          <w:rStyle w:val="FootnoteReference"/>
        </w:rPr>
        <w:footnoteReference w:id="21"/>
      </w:r>
    </w:p>
    <w:p w:rsidR="00A91551" w:rsidRDefault="009A5F55" w:rsidP="00A91551">
      <w:r>
        <w:t xml:space="preserve">We previously considered a similar scheme in developing version 2 of the EBSS. The main flaw of this </w:t>
      </w:r>
      <w:r w:rsidR="00A91551">
        <w:t>type of scheme</w:t>
      </w:r>
      <w:r>
        <w:t xml:space="preserve"> is that for all costs incurred above the forecast opex we approve, they are shared with consumers</w:t>
      </w:r>
      <w:r w:rsidR="00382C72">
        <w:t xml:space="preserve"> (eg. 30:70)</w:t>
      </w:r>
      <w:r w:rsidR="00CD17BC">
        <w:t>. There is a significant risk that, in sharing the cost of overspends between network service providers and consumers, consumers would end up paying</w:t>
      </w:r>
      <w:r>
        <w:t xml:space="preserve"> </w:t>
      </w:r>
      <w:r w:rsidR="00CD17BC">
        <w:t>more than the efficient cost of providing that service</w:t>
      </w:r>
      <w:r>
        <w:t>. We do not consider this to be a desirable outcome.</w:t>
      </w:r>
      <w:r w:rsidR="00382C72">
        <w:rPr>
          <w:rStyle w:val="FootnoteReference"/>
        </w:rPr>
        <w:footnoteReference w:id="22"/>
      </w:r>
      <w:r w:rsidR="00A91551" w:rsidRPr="00A91551">
        <w:t xml:space="preserve"> </w:t>
      </w:r>
    </w:p>
    <w:p w:rsidR="00F55690" w:rsidRDefault="00F55690" w:rsidP="00F55690">
      <w:r>
        <w:t xml:space="preserve">We also note we do not have the scope to </w:t>
      </w:r>
      <w:r w:rsidR="00CD17BC">
        <w:t>give detailed consideration to</w:t>
      </w:r>
      <w:r>
        <w:t xml:space="preserve"> alternative EBSS</w:t>
      </w:r>
      <w:r w:rsidR="00CD17BC">
        <w:t xml:space="preserve"> mechanisms</w:t>
      </w:r>
      <w:r>
        <w:t xml:space="preserve"> in time for us to publish our final decision for ActewAGL's 2015–20 distribution determination. Consideration of the design of incentive schemes take some time. It involves developing a scheme, consulting with relevant stakeholders and refining the scheme in response to stakeholder submissions.</w:t>
      </w:r>
      <w:r w:rsidR="00CD17BC">
        <w:t xml:space="preserve"> </w:t>
      </w:r>
      <w:r>
        <w:t xml:space="preserve"> Under the NER, if we amend or replace an EBSS we must do so</w:t>
      </w:r>
      <w:r w:rsidRPr="00EC42ED">
        <w:t xml:space="preserve"> in accordance with the distr</w:t>
      </w:r>
      <w:r>
        <w:t>ibution consultation procedures.</w:t>
      </w:r>
      <w:r>
        <w:rPr>
          <w:rStyle w:val="FootnoteReference"/>
        </w:rPr>
        <w:footnoteReference w:id="23"/>
      </w:r>
      <w:r>
        <w:t xml:space="preserve"> These procedures require us to publish our proposed scheme and allow 30 days for submissions before publishing our final scheme within 80 days after that.  </w:t>
      </w:r>
    </w:p>
    <w:p w:rsidR="00A91551" w:rsidRDefault="00A91551" w:rsidP="00A91551">
      <w:r>
        <w:t>We note</w:t>
      </w:r>
      <w:r w:rsidR="00622EFC">
        <w:t xml:space="preserve"> that ActewAGL and</w:t>
      </w:r>
      <w:r>
        <w:t xml:space="preserve"> HoustonKemp also raised concerns about the balance </w:t>
      </w:r>
      <w:r w:rsidR="006F0E33">
        <w:t>between</w:t>
      </w:r>
      <w:r>
        <w:t xml:space="preserve"> incentives to reduce opex and other incentives in the regime.</w:t>
      </w:r>
      <w:r w:rsidR="00622EFC">
        <w:rPr>
          <w:rStyle w:val="FootnoteReference"/>
        </w:rPr>
        <w:footnoteReference w:id="24"/>
      </w:r>
      <w:r>
        <w:t xml:space="preserve"> We acknowledge this is a tension with our approach. However, the balance between different incentives is only one consideration we must take into account when determining forecast opex and how the EBSS should apply. </w:t>
      </w:r>
      <w:r w:rsidR="00EF5825">
        <w:rPr>
          <w:rStyle w:val="AERbody"/>
        </w:rPr>
        <w:t>W</w:t>
      </w:r>
      <w:r w:rsidRPr="00AA7E5A">
        <w:rPr>
          <w:rStyle w:val="AERbody"/>
        </w:rPr>
        <w:t>e are not aware of any option available to us that would deliver</w:t>
      </w:r>
      <w:r>
        <w:t xml:space="preserve"> deliver perfectly continuous and balanced incentives, while ensuring consumers only pay efficient cost</w:t>
      </w:r>
      <w:r w:rsidR="00615BD5">
        <w:t>s</w:t>
      </w:r>
      <w:r>
        <w:t xml:space="preserve"> of receiving a safe and reliable network service.</w:t>
      </w:r>
    </w:p>
    <w:p w:rsidR="007C3197" w:rsidRDefault="007C3197" w:rsidP="007C3197"/>
    <w:sectPr w:rsidR="007C3197"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0A" w:rsidRPr="00290C63" w:rsidRDefault="00873F0A" w:rsidP="00290C63">
      <w:r>
        <w:separator/>
      </w:r>
    </w:p>
    <w:p w:rsidR="00873F0A" w:rsidRDefault="00873F0A"/>
  </w:endnote>
  <w:endnote w:type="continuationSeparator" w:id="0">
    <w:p w:rsidR="00873F0A" w:rsidRPr="00290C63" w:rsidRDefault="00873F0A" w:rsidP="00290C63">
      <w:r>
        <w:continuationSeparator/>
      </w:r>
    </w:p>
    <w:p w:rsidR="00873F0A" w:rsidRDefault="00873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0A" w:rsidRPr="00290C63" w:rsidRDefault="00873F0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73F0A" w:rsidRDefault="00873F0A"/>
  <w:p w:rsidR="00873F0A" w:rsidRDefault="00873F0A"/>
  <w:p w:rsidR="00873F0A" w:rsidRDefault="00873F0A"/>
  <w:p w:rsidR="00873F0A" w:rsidRDefault="00873F0A"/>
  <w:p w:rsidR="00873F0A" w:rsidRDefault="00873F0A"/>
  <w:p w:rsidR="00873F0A" w:rsidRDefault="00873F0A"/>
  <w:p w:rsidR="00873F0A" w:rsidRDefault="00873F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873F0A" w:rsidRDefault="00873F0A">
        <w:pPr>
          <w:pStyle w:val="Footer"/>
        </w:pPr>
        <w:r w:rsidRPr="00A34FF4">
          <w:t>Attachment 9 – E</w:t>
        </w:r>
        <w:r w:rsidR="007F0EDD">
          <w:t>BSS</w:t>
        </w:r>
        <w:r w:rsidRPr="00A34FF4">
          <w:t xml:space="preserve"> </w:t>
        </w:r>
        <w:r w:rsidRPr="00FD5E78">
          <w:rPr>
            <w:rFonts w:cs="Gautami"/>
            <w:noProof/>
            <w:sz w:val="16"/>
            <w:szCs w:val="16"/>
          </w:rPr>
          <w:t xml:space="preserve">| </w:t>
        </w:r>
        <w:r>
          <w:rPr>
            <w:sz w:val="16"/>
            <w:szCs w:val="16"/>
          </w:rPr>
          <w:t>ActewAGL</w:t>
        </w:r>
        <w:r w:rsidRPr="00FD5E78">
          <w:rPr>
            <w:sz w:val="16"/>
            <w:szCs w:val="16"/>
          </w:rPr>
          <w:t xml:space="preserve"> </w:t>
        </w:r>
        <w:r>
          <w:t>f</w:t>
        </w:r>
        <w:r w:rsidRPr="0070011E">
          <w:t xml:space="preserve">inal decision </w:t>
        </w:r>
        <w:r w:rsidRPr="00FD5E78">
          <w:rPr>
            <w:rFonts w:cs="Gautami"/>
            <w:noProof/>
            <w:sz w:val="16"/>
            <w:szCs w:val="16"/>
          </w:rPr>
          <w:t>2015–</w:t>
        </w:r>
        <w:r>
          <w:rPr>
            <w:rFonts w:cs="Gautami"/>
            <w:noProof/>
            <w:sz w:val="16"/>
            <w:szCs w:val="16"/>
          </w:rPr>
          <w:t>19</w:t>
        </w:r>
        <w:r w:rsidR="00FF7A46">
          <w:tab/>
        </w:r>
        <w:r w:rsidR="00FF7A46">
          <w:tab/>
        </w:r>
        <w:r w:rsidR="00FF7A46" w:rsidRPr="00FF7A46">
          <w:fldChar w:fldCharType="begin"/>
        </w:r>
        <w:r w:rsidR="00FF7A46" w:rsidRPr="00FF7A46">
          <w:instrText xml:space="preserve"> PAGE   \* MERGEFORMAT </w:instrText>
        </w:r>
        <w:r w:rsidR="00FF7A46" w:rsidRPr="00FF7A46">
          <w:fldChar w:fldCharType="separate"/>
        </w:r>
        <w:r w:rsidR="00302C8F">
          <w:rPr>
            <w:noProof/>
          </w:rPr>
          <w:t>9-3</w:t>
        </w:r>
        <w:r w:rsidR="00FF7A46" w:rsidRPr="00FF7A46">
          <w:fldChar w:fldCharType="end"/>
        </w:r>
      </w:p>
    </w:sdtContent>
  </w:sdt>
  <w:p w:rsidR="00873F0A" w:rsidRDefault="00873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0A" w:rsidRPr="00290C63" w:rsidRDefault="00873F0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73F0A" w:rsidRDefault="00873F0A">
    <w:pPr>
      <w:pStyle w:val="Footer"/>
    </w:pPr>
  </w:p>
  <w:p w:rsidR="00873F0A" w:rsidRDefault="00873F0A"/>
  <w:p w:rsidR="00873F0A" w:rsidRDefault="00873F0A"/>
  <w:p w:rsidR="00873F0A" w:rsidRDefault="00873F0A"/>
  <w:p w:rsidR="00873F0A" w:rsidRDefault="00873F0A"/>
  <w:p w:rsidR="00873F0A" w:rsidRDefault="00873F0A"/>
  <w:p w:rsidR="00873F0A" w:rsidRDefault="00873F0A"/>
  <w:p w:rsidR="00873F0A" w:rsidRDefault="00873F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0A" w:rsidRPr="00290C63" w:rsidRDefault="00873F0A" w:rsidP="00290C63">
      <w:r>
        <w:separator/>
      </w:r>
    </w:p>
    <w:p w:rsidR="00873F0A" w:rsidRDefault="00873F0A"/>
  </w:footnote>
  <w:footnote w:type="continuationSeparator" w:id="0">
    <w:p w:rsidR="00873F0A" w:rsidRPr="00290C63" w:rsidRDefault="00873F0A" w:rsidP="00290C63">
      <w:r>
        <w:continuationSeparator/>
      </w:r>
    </w:p>
    <w:p w:rsidR="00873F0A" w:rsidRDefault="00873F0A"/>
  </w:footnote>
  <w:footnote w:id="1">
    <w:p w:rsidR="00873F0A" w:rsidRDefault="00873F0A" w:rsidP="004F2F29">
      <w:pPr>
        <w:pStyle w:val="FootnoteText"/>
      </w:pPr>
      <w:r>
        <w:rPr>
          <w:rStyle w:val="FootnoteReference"/>
        </w:rPr>
        <w:footnoteRef/>
      </w:r>
      <w:r>
        <w:t xml:space="preserve"> </w:t>
      </w:r>
      <w:r>
        <w:tab/>
        <w:t xml:space="preserve">AER, </w:t>
      </w:r>
      <w:r w:rsidRPr="006F0324">
        <w:rPr>
          <w:rStyle w:val="AERtextitalic"/>
        </w:rPr>
        <w:t>Efficiency benefit sharing scheme for the ACT and NSW 2009 distribution determinations</w:t>
      </w:r>
      <w:r>
        <w:t>, February 2008.</w:t>
      </w:r>
    </w:p>
  </w:footnote>
  <w:footnote w:id="2">
    <w:p w:rsidR="00873F0A" w:rsidRDefault="00873F0A" w:rsidP="00F2046A">
      <w:pPr>
        <w:pStyle w:val="FootnoteText"/>
      </w:pPr>
      <w:r>
        <w:rPr>
          <w:rStyle w:val="FootnoteReference"/>
        </w:rPr>
        <w:footnoteRef/>
      </w:r>
      <w:r>
        <w:t xml:space="preserve"> </w:t>
      </w:r>
      <w:r>
        <w:tab/>
        <w:t xml:space="preserve">AER, </w:t>
      </w:r>
      <w:r w:rsidRPr="00682C76">
        <w:rPr>
          <w:rStyle w:val="AERtextitalic"/>
        </w:rPr>
        <w:t>Draft decision, ActewAGL distribution determination 2015–19</w:t>
      </w:r>
      <w:r>
        <w:t>, November 2014, Attachment 9, p. 9-10.</w:t>
      </w:r>
    </w:p>
  </w:footnote>
  <w:footnote w:id="3">
    <w:p w:rsidR="00730FF2" w:rsidRDefault="00730FF2" w:rsidP="00730FF2">
      <w:pPr>
        <w:pStyle w:val="FootnoteText"/>
      </w:pPr>
      <w:r>
        <w:rPr>
          <w:rStyle w:val="FootnoteReference"/>
        </w:rPr>
        <w:footnoteRef/>
      </w:r>
      <w:r>
        <w:t xml:space="preserve"> </w:t>
      </w:r>
      <w:r>
        <w:tab/>
        <w:t>We have previously determined that the EBSS that applied to ActewAGL in the 2009-14 regulatory control period will apply to ActewAGL in the 2014–15 transitional regulatory control</w:t>
      </w:r>
      <w:r w:rsidRPr="00CA5234">
        <w:t xml:space="preserve"> period</w:t>
      </w:r>
      <w:r>
        <w:t xml:space="preserve"> but modified to be in terms of version 2 of the EBSS</w:t>
      </w:r>
      <w:r w:rsidRPr="00CA5234">
        <w:t xml:space="preserve"> as if </w:t>
      </w:r>
      <w:r>
        <w:t>the transitional regulatory control period was</w:t>
      </w:r>
      <w:r w:rsidRPr="00CA5234">
        <w:t xml:space="preserve"> the first year of the </w:t>
      </w:r>
      <w:r>
        <w:t xml:space="preserve">subsequent regulatory control period </w:t>
      </w:r>
      <w:r w:rsidRPr="00CA5234">
        <w:t>2015</w:t>
      </w:r>
      <w:r>
        <w:t>–</w:t>
      </w:r>
      <w:r w:rsidRPr="00CA5234">
        <w:t>19 (that is,</w:t>
      </w:r>
      <w:r>
        <w:t xml:space="preserve"> the first year in a period running from 2014–19).</w:t>
      </w:r>
      <w:r w:rsidRPr="00CA5234">
        <w:t xml:space="preserve"> The effect of our decision is that no expenditure will be subject to the EBSS during the 2014</w:t>
      </w:r>
      <w:r>
        <w:t>–</w:t>
      </w:r>
      <w:r w:rsidRPr="00CA5234">
        <w:t>19</w:t>
      </w:r>
      <w:r w:rsidRPr="001A7E3D">
        <w:t xml:space="preserve"> period</w:t>
      </w:r>
      <w:r w:rsidRPr="00CA5234">
        <w:t>.</w:t>
      </w:r>
      <w:r w:rsidRPr="00403B7F">
        <w:t xml:space="preserve"> </w:t>
      </w:r>
      <w:r w:rsidR="00A838AE">
        <w:t xml:space="preserve">See </w:t>
      </w:r>
      <w:r>
        <w:rPr>
          <w:rStyle w:val="AERtextitalic"/>
        </w:rPr>
        <w:t xml:space="preserve">, </w:t>
      </w:r>
      <w:r w:rsidRPr="001405C3">
        <w:rPr>
          <w:rStyle w:val="AERtextitalic"/>
        </w:rPr>
        <w:t>Essential Energy</w:t>
      </w:r>
      <w:r>
        <w:rPr>
          <w:rStyle w:val="AERtextitalic"/>
        </w:rPr>
        <w:t xml:space="preserve">, </w:t>
      </w:r>
      <w:r w:rsidRPr="001405C3">
        <w:rPr>
          <w:rStyle w:val="AERtextitalic"/>
        </w:rPr>
        <w:t>ActewAGL</w:t>
      </w:r>
      <w:r>
        <w:rPr>
          <w:rStyle w:val="AERtextitalic"/>
        </w:rPr>
        <w:t xml:space="preserve"> - </w:t>
      </w:r>
      <w:r w:rsidRPr="001405C3">
        <w:rPr>
          <w:rStyle w:val="AERtextitalic"/>
        </w:rPr>
        <w:t>Tra</w:t>
      </w:r>
      <w:r>
        <w:rPr>
          <w:rStyle w:val="AERtextitalic"/>
        </w:rPr>
        <w:t xml:space="preserve">nsitional distribution decision </w:t>
      </w:r>
      <w:r w:rsidRPr="001405C3">
        <w:rPr>
          <w:rStyle w:val="AERtextitalic"/>
        </w:rPr>
        <w:t>2014–15</w:t>
      </w:r>
      <w:r>
        <w:t>,</w:t>
      </w:r>
      <w:r w:rsidRPr="001405C3">
        <w:t xml:space="preserve"> 16 April 2014</w:t>
      </w:r>
      <w:r>
        <w:t>, pp. 47</w:t>
      </w:r>
      <w:r w:rsidRPr="005A4523">
        <w:t>–</w:t>
      </w:r>
      <w:r>
        <w:t xml:space="preserve">48; AER, </w:t>
      </w:r>
      <w:r w:rsidRPr="00BF04D1">
        <w:rPr>
          <w:rStyle w:val="AERtextitalic"/>
        </w:rPr>
        <w:t>Efficiency Benefit Sharing Scheme for Electricity Network Service Providers</w:t>
      </w:r>
      <w:r>
        <w:t>, November 2013.</w:t>
      </w:r>
    </w:p>
  </w:footnote>
  <w:footnote w:id="4">
    <w:p w:rsidR="00873F0A" w:rsidRDefault="00873F0A" w:rsidP="00D00FC8">
      <w:pPr>
        <w:pStyle w:val="FootnoteText"/>
      </w:pPr>
      <w:r>
        <w:rPr>
          <w:rStyle w:val="FootnoteReference"/>
        </w:rPr>
        <w:footnoteRef/>
      </w:r>
      <w:r>
        <w:t xml:space="preserve"> </w:t>
      </w:r>
      <w:r>
        <w:tab/>
        <w:t xml:space="preserve">ActewAGL, </w:t>
      </w:r>
      <w:r w:rsidRPr="00FB30C0">
        <w:rPr>
          <w:rStyle w:val="AERtextitalic"/>
        </w:rPr>
        <w:t>Revised regulatory proposal</w:t>
      </w:r>
      <w:r>
        <w:t>, January 2015, pp. xi.</w:t>
      </w:r>
    </w:p>
  </w:footnote>
  <w:footnote w:id="5">
    <w:p w:rsidR="00873F0A" w:rsidRDefault="00873F0A" w:rsidP="00D00FC8">
      <w:pPr>
        <w:pStyle w:val="FootnoteText"/>
      </w:pPr>
      <w:r>
        <w:rPr>
          <w:rStyle w:val="FootnoteReference"/>
        </w:rPr>
        <w:footnoteRef/>
      </w:r>
      <w:r>
        <w:t xml:space="preserve"> </w:t>
      </w:r>
      <w:r>
        <w:tab/>
        <w:t xml:space="preserve">ActewAGL, </w:t>
      </w:r>
      <w:r w:rsidRPr="00FB30C0">
        <w:rPr>
          <w:rStyle w:val="AERtextitalic"/>
        </w:rPr>
        <w:t>Revised regulatory proposal</w:t>
      </w:r>
      <w:r>
        <w:rPr>
          <w:rStyle w:val="AERtextitalic"/>
        </w:rPr>
        <w:t>, PTRM</w:t>
      </w:r>
      <w:r>
        <w:t>, January 2015.</w:t>
      </w:r>
    </w:p>
  </w:footnote>
  <w:footnote w:id="6">
    <w:p w:rsidR="00873F0A" w:rsidRDefault="00873F0A" w:rsidP="00D00FC8">
      <w:pPr>
        <w:pStyle w:val="FootnoteText"/>
      </w:pPr>
      <w:r>
        <w:rPr>
          <w:rStyle w:val="FootnoteReference"/>
        </w:rPr>
        <w:footnoteRef/>
      </w:r>
      <w:r>
        <w:t xml:space="preserve"> </w:t>
      </w:r>
      <w:r>
        <w:tab/>
        <w:t xml:space="preserve">ActewAGL, </w:t>
      </w:r>
      <w:r w:rsidRPr="00FB30C0">
        <w:rPr>
          <w:rStyle w:val="AERtextitalic"/>
        </w:rPr>
        <w:t>Revised regulatory proposal</w:t>
      </w:r>
      <w:r>
        <w:t>, January 2015, pp. xvii.</w:t>
      </w:r>
    </w:p>
  </w:footnote>
  <w:footnote w:id="7">
    <w:p w:rsidR="00873F0A" w:rsidRDefault="00873F0A" w:rsidP="007C3197">
      <w:pPr>
        <w:pStyle w:val="FootnoteText"/>
      </w:pPr>
      <w:r>
        <w:rPr>
          <w:rStyle w:val="FootnoteReference"/>
        </w:rPr>
        <w:footnoteRef/>
      </w:r>
      <w:r>
        <w:t xml:space="preserve"> </w:t>
      </w:r>
      <w:r>
        <w:tab/>
        <w:t xml:space="preserve">ActewAGL, </w:t>
      </w:r>
      <w:r w:rsidRPr="00B930DD">
        <w:rPr>
          <w:rStyle w:val="AERtextitalic"/>
        </w:rPr>
        <w:t>Revised regulatory proposal</w:t>
      </w:r>
      <w:r>
        <w:t xml:space="preserve">, January 2015, p. iv. </w:t>
      </w:r>
    </w:p>
  </w:footnote>
  <w:footnote w:id="8">
    <w:p w:rsidR="00D07A43" w:rsidRDefault="00D07A43" w:rsidP="00D07A43">
      <w:pPr>
        <w:pStyle w:val="FootnoteText"/>
      </w:pPr>
      <w:r>
        <w:rPr>
          <w:rStyle w:val="FootnoteReference"/>
        </w:rPr>
        <w:footnoteRef/>
      </w:r>
      <w:r>
        <w:t xml:space="preserve"> </w:t>
      </w:r>
      <w:r>
        <w:tab/>
        <w:t xml:space="preserve">HoustonKemp, </w:t>
      </w:r>
      <w:r w:rsidRPr="00E66120">
        <w:rPr>
          <w:rStyle w:val="AERtextitalic"/>
        </w:rPr>
        <w:t>Attachment C1, Opex and the efficiency benefit sharing scheme</w:t>
      </w:r>
      <w:r w:rsidR="00EE7A1B">
        <w:t>, January 2015</w:t>
      </w:r>
      <w:r>
        <w:t>.</w:t>
      </w:r>
    </w:p>
  </w:footnote>
  <w:footnote w:id="9">
    <w:p w:rsidR="00873F0A" w:rsidRDefault="00873F0A" w:rsidP="00D00FC8">
      <w:pPr>
        <w:pStyle w:val="FootnoteText"/>
      </w:pPr>
      <w:r>
        <w:rPr>
          <w:rStyle w:val="FootnoteReference"/>
        </w:rPr>
        <w:footnoteRef/>
      </w:r>
      <w:r>
        <w:t xml:space="preserve"> </w:t>
      </w:r>
      <w:r>
        <w:tab/>
        <w:t xml:space="preserve">CCP, </w:t>
      </w:r>
      <w:r w:rsidRPr="00A14381">
        <w:rPr>
          <w:rStyle w:val="AERtextitalic"/>
        </w:rPr>
        <w:t>Submission on draft decision and ActewAGL's revised regulatory proposal</w:t>
      </w:r>
      <w:r>
        <w:t>, 23 February 2015, p. 34.</w:t>
      </w:r>
    </w:p>
  </w:footnote>
  <w:footnote w:id="10">
    <w:p w:rsidR="00873F0A" w:rsidRDefault="00873F0A" w:rsidP="007C3197">
      <w:pPr>
        <w:pStyle w:val="FootnoteText"/>
      </w:pPr>
      <w:r>
        <w:rPr>
          <w:rStyle w:val="FootnoteReference"/>
        </w:rPr>
        <w:footnoteRef/>
      </w:r>
      <w:r>
        <w:t xml:space="preserve"> </w:t>
      </w:r>
      <w:r>
        <w:tab/>
        <w:t>NER, cl. 6.4.3(a)(5).</w:t>
      </w:r>
    </w:p>
  </w:footnote>
  <w:footnote w:id="11">
    <w:p w:rsidR="00873F0A" w:rsidRDefault="00873F0A" w:rsidP="007C3197">
      <w:pPr>
        <w:pStyle w:val="FootnoteText"/>
      </w:pPr>
      <w:r>
        <w:rPr>
          <w:rStyle w:val="FootnoteReference"/>
        </w:rPr>
        <w:footnoteRef/>
      </w:r>
      <w:r>
        <w:t xml:space="preserve"> </w:t>
      </w:r>
      <w:r>
        <w:tab/>
        <w:t>NER, cl. 6.3.2(a)(3); cl. 6.12.1(9).</w:t>
      </w:r>
    </w:p>
  </w:footnote>
  <w:footnote w:id="12">
    <w:p w:rsidR="00873F0A" w:rsidRDefault="00873F0A" w:rsidP="007C3197">
      <w:pPr>
        <w:pStyle w:val="FootnoteText"/>
      </w:pPr>
      <w:r>
        <w:rPr>
          <w:rStyle w:val="FootnoteReference"/>
        </w:rPr>
        <w:footnoteRef/>
      </w:r>
      <w:r>
        <w:t xml:space="preserve"> </w:t>
      </w:r>
      <w:r>
        <w:tab/>
        <w:t>NER, cl. 6.5.8(a).</w:t>
      </w:r>
    </w:p>
  </w:footnote>
  <w:footnote w:id="13">
    <w:p w:rsidR="00873F0A" w:rsidRDefault="00873F0A" w:rsidP="007C3197">
      <w:pPr>
        <w:pStyle w:val="FootnoteText"/>
      </w:pPr>
      <w:r>
        <w:rPr>
          <w:rStyle w:val="FootnoteReference"/>
        </w:rPr>
        <w:footnoteRef/>
      </w:r>
      <w:r>
        <w:t xml:space="preserve"> </w:t>
      </w:r>
      <w:r>
        <w:tab/>
        <w:t>NER, cl. 6.5.8(c).</w:t>
      </w:r>
    </w:p>
  </w:footnote>
  <w:footnote w:id="14">
    <w:p w:rsidR="00873F0A" w:rsidRDefault="00873F0A" w:rsidP="007C3197">
      <w:pPr>
        <w:pStyle w:val="FootnoteText"/>
      </w:pPr>
      <w:r>
        <w:rPr>
          <w:rStyle w:val="FootnoteReference"/>
        </w:rPr>
        <w:footnoteRef/>
      </w:r>
      <w:r>
        <w:t xml:space="preserve"> </w:t>
      </w:r>
      <w:r>
        <w:tab/>
        <w:t>NER, cl. 6.4.3(a)(4),(5).</w:t>
      </w:r>
    </w:p>
  </w:footnote>
  <w:footnote w:id="15">
    <w:p w:rsidR="00873F0A" w:rsidRDefault="00873F0A" w:rsidP="007C3197">
      <w:pPr>
        <w:pStyle w:val="FootnoteText"/>
      </w:pPr>
      <w:r>
        <w:rPr>
          <w:rStyle w:val="FootnoteReference"/>
        </w:rPr>
        <w:footnoteRef/>
      </w:r>
      <w:r>
        <w:t xml:space="preserve"> </w:t>
      </w:r>
      <w:r>
        <w:tab/>
        <w:t>NER, cl. 6.5.8A(d)</w:t>
      </w:r>
      <w:r w:rsidR="00AC1072">
        <w:t>.</w:t>
      </w:r>
      <w:r>
        <w:t xml:space="preserve"> </w:t>
      </w:r>
    </w:p>
  </w:footnote>
  <w:footnote w:id="16">
    <w:p w:rsidR="00873F0A" w:rsidRDefault="00873F0A" w:rsidP="00D00FC8">
      <w:pPr>
        <w:pStyle w:val="FootnoteText"/>
      </w:pPr>
      <w:r>
        <w:rPr>
          <w:rStyle w:val="FootnoteReference"/>
        </w:rPr>
        <w:footnoteRef/>
      </w:r>
      <w:r>
        <w:t xml:space="preserve"> </w:t>
      </w:r>
      <w:r>
        <w:tab/>
        <w:t xml:space="preserve">AER, </w:t>
      </w:r>
      <w:r w:rsidRPr="00682C76">
        <w:rPr>
          <w:rStyle w:val="AERtextitalic"/>
        </w:rPr>
        <w:t>Draft decision, ActewAGL distribution determination 2015–19</w:t>
      </w:r>
      <w:r>
        <w:t xml:space="preserve">, November 2014, Attachment 9, p. 9-10. </w:t>
      </w:r>
    </w:p>
  </w:footnote>
  <w:footnote w:id="17">
    <w:p w:rsidR="00873F0A" w:rsidRDefault="00873F0A" w:rsidP="00873F0A">
      <w:pPr>
        <w:pStyle w:val="FootnoteText"/>
      </w:pPr>
      <w:r>
        <w:rPr>
          <w:rStyle w:val="FootnoteReference"/>
        </w:rPr>
        <w:footnoteRef/>
      </w:r>
      <w:r>
        <w:t xml:space="preserve"> </w:t>
      </w:r>
      <w:r>
        <w:tab/>
        <w:t xml:space="preserve">ActewAGL, </w:t>
      </w:r>
      <w:r w:rsidRPr="00FB30C0">
        <w:rPr>
          <w:rStyle w:val="AERtextitalic"/>
        </w:rPr>
        <w:t>Revised regulatory proposal</w:t>
      </w:r>
      <w:r>
        <w:t>, January 2015, pp. xvi.</w:t>
      </w:r>
    </w:p>
  </w:footnote>
  <w:footnote w:id="18">
    <w:p w:rsidR="0083367D" w:rsidRDefault="0083367D">
      <w:pPr>
        <w:pStyle w:val="FootnoteText"/>
      </w:pPr>
      <w:r>
        <w:rPr>
          <w:rStyle w:val="FootnoteReference"/>
        </w:rPr>
        <w:footnoteRef/>
      </w:r>
      <w:r>
        <w:t xml:space="preserve"> </w:t>
      </w:r>
      <w:r>
        <w:tab/>
        <w:t xml:space="preserve">AER, </w:t>
      </w:r>
      <w:r w:rsidRPr="00AC1072">
        <w:rPr>
          <w:rStyle w:val="AERtextitalic"/>
        </w:rPr>
        <w:t>EBSS for the NSW and ACT determinations - Final decision</w:t>
      </w:r>
      <w:r>
        <w:t>, February 2008, p. 15.</w:t>
      </w:r>
    </w:p>
  </w:footnote>
  <w:footnote w:id="19">
    <w:p w:rsidR="00BD662C" w:rsidRDefault="00BD662C" w:rsidP="00BD662C">
      <w:pPr>
        <w:pStyle w:val="FootnoteText"/>
      </w:pPr>
      <w:r>
        <w:rPr>
          <w:rStyle w:val="FootnoteReference"/>
        </w:rPr>
        <w:footnoteRef/>
      </w:r>
      <w:r>
        <w:t xml:space="preserve"> </w:t>
      </w:r>
      <w:r>
        <w:tab/>
        <w:t>NER, cl.6.5.8.</w:t>
      </w:r>
    </w:p>
  </w:footnote>
  <w:footnote w:id="20">
    <w:p w:rsidR="00AA7E5A" w:rsidRDefault="00AA7E5A" w:rsidP="00AA7E5A">
      <w:pPr>
        <w:pStyle w:val="FootnoteText"/>
      </w:pPr>
      <w:r>
        <w:rPr>
          <w:rStyle w:val="FootnoteReference"/>
        </w:rPr>
        <w:footnoteRef/>
      </w:r>
      <w:r>
        <w:t xml:space="preserve"> </w:t>
      </w:r>
      <w:r>
        <w:tab/>
        <w:t xml:space="preserve">HoustonKemp, </w:t>
      </w:r>
      <w:r w:rsidRPr="00AC1072">
        <w:rPr>
          <w:rStyle w:val="AERtextitalic"/>
        </w:rPr>
        <w:t>Illustrative EBSS Mechanisms, A report for ActewAGL</w:t>
      </w:r>
      <w:r>
        <w:t>, 11 February 2015.</w:t>
      </w:r>
    </w:p>
  </w:footnote>
  <w:footnote w:id="21">
    <w:p w:rsidR="00CD17BC" w:rsidRDefault="00CD17BC">
      <w:pPr>
        <w:pStyle w:val="FootnoteText"/>
      </w:pPr>
      <w:r>
        <w:rPr>
          <w:rStyle w:val="FootnoteReference"/>
        </w:rPr>
        <w:footnoteRef/>
      </w:r>
      <w:r>
        <w:t xml:space="preserve"> </w:t>
      </w:r>
      <w:r>
        <w:tab/>
      </w:r>
      <w:r w:rsidRPr="00CD17BC">
        <w:t xml:space="preserve">HoustonKemp, </w:t>
      </w:r>
      <w:r w:rsidRPr="00CD17BC">
        <w:rPr>
          <w:rStyle w:val="AERtextitalic"/>
        </w:rPr>
        <w:t>Illustrative EBSS Mechanisms, A report for ActewAGL</w:t>
      </w:r>
      <w:r w:rsidRPr="00CD17BC">
        <w:t>, 11 February 2015</w:t>
      </w:r>
      <w:r>
        <w:t>, p</w:t>
      </w:r>
      <w:r w:rsidR="00377D51">
        <w:t>p</w:t>
      </w:r>
      <w:r>
        <w:t>.</w:t>
      </w:r>
      <w:r w:rsidR="00377D51">
        <w:t>8-9.</w:t>
      </w:r>
      <w:r>
        <w:t xml:space="preserve"> </w:t>
      </w:r>
    </w:p>
  </w:footnote>
  <w:footnote w:id="22">
    <w:p w:rsidR="00382C72" w:rsidRDefault="00382C72">
      <w:pPr>
        <w:pStyle w:val="FootnoteText"/>
      </w:pPr>
      <w:r>
        <w:rPr>
          <w:rStyle w:val="FootnoteReference"/>
        </w:rPr>
        <w:footnoteRef/>
      </w:r>
      <w:r>
        <w:t xml:space="preserve"> </w:t>
      </w:r>
      <w:r>
        <w:tab/>
        <w:t>While we note the illustrative scheme is similar to the Capital Expenditure Sharing Scheme (CESS) we apply, the CESS is supplemented by an ex post review</w:t>
      </w:r>
      <w:r w:rsidR="00377D51">
        <w:t xml:space="preserve"> of capex</w:t>
      </w:r>
      <w:r>
        <w:t>. For costs incurred above the forecast capex we approve, we have scope to exclude them from the RAB. This provides protection to consumers from paying for inefficient costs.</w:t>
      </w:r>
    </w:p>
  </w:footnote>
  <w:footnote w:id="23">
    <w:p w:rsidR="00F55690" w:rsidRDefault="00F55690" w:rsidP="00F55690">
      <w:pPr>
        <w:pStyle w:val="FootnoteText"/>
      </w:pPr>
      <w:r>
        <w:rPr>
          <w:rStyle w:val="FootnoteReference"/>
        </w:rPr>
        <w:footnoteRef/>
      </w:r>
      <w:r>
        <w:t xml:space="preserve"> </w:t>
      </w:r>
      <w:r>
        <w:tab/>
        <w:t xml:space="preserve">NER, cl. 6.5.8(d); </w:t>
      </w:r>
      <w:r w:rsidRPr="00EC42ED">
        <w:t>Distribution consultation procedures</w:t>
      </w:r>
      <w:r>
        <w:t xml:space="preserve"> NER, section (6.16).</w:t>
      </w:r>
    </w:p>
  </w:footnote>
  <w:footnote w:id="24">
    <w:p w:rsidR="00622EFC" w:rsidRDefault="00622EFC">
      <w:pPr>
        <w:pStyle w:val="FootnoteText"/>
      </w:pPr>
      <w:r>
        <w:rPr>
          <w:rStyle w:val="FootnoteReference"/>
        </w:rPr>
        <w:footnoteRef/>
      </w:r>
      <w:r>
        <w:t xml:space="preserve"> </w:t>
      </w:r>
      <w:r>
        <w:tab/>
        <w:t xml:space="preserve">ActewAGL, </w:t>
      </w:r>
      <w:r w:rsidRPr="00B930DD">
        <w:rPr>
          <w:rStyle w:val="AERtextitalic"/>
        </w:rPr>
        <w:t>Revised regulatory proposal</w:t>
      </w:r>
      <w:r>
        <w:t>, January 2015, p. 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46" w:rsidRDefault="00FF7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46" w:rsidRDefault="00FF7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46" w:rsidRDefault="00FF7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37901DF8"/>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90sYgQvZMNos7xw4kkk2DDAk8TKCvKRlNWy4Yhb94o=" w:saltValue="8bdMsGIXLKHJuxmdhoKxlQ=="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52\AER15 328  AER - Final Decision ActewAGL distribution determination - Attachment 9 - Efficiency benefit sharing scheme - April 2015.DOCX"/>
  </w:docVars>
  <w:rsids>
    <w:rsidRoot w:val="00961A4A"/>
    <w:rsid w:val="00004C40"/>
    <w:rsid w:val="00021202"/>
    <w:rsid w:val="00021C2B"/>
    <w:rsid w:val="0002517F"/>
    <w:rsid w:val="0003578C"/>
    <w:rsid w:val="00053E31"/>
    <w:rsid w:val="00054C21"/>
    <w:rsid w:val="00063247"/>
    <w:rsid w:val="00070F9F"/>
    <w:rsid w:val="0007137B"/>
    <w:rsid w:val="00073165"/>
    <w:rsid w:val="00085663"/>
    <w:rsid w:val="00085EBF"/>
    <w:rsid w:val="00087B84"/>
    <w:rsid w:val="00091B15"/>
    <w:rsid w:val="000945F5"/>
    <w:rsid w:val="000A3020"/>
    <w:rsid w:val="000A3395"/>
    <w:rsid w:val="000A6C7B"/>
    <w:rsid w:val="000C2B40"/>
    <w:rsid w:val="000D122C"/>
    <w:rsid w:val="000E1819"/>
    <w:rsid w:val="000E4821"/>
    <w:rsid w:val="000E6C72"/>
    <w:rsid w:val="000F5CC3"/>
    <w:rsid w:val="001129C5"/>
    <w:rsid w:val="00116EB2"/>
    <w:rsid w:val="00124609"/>
    <w:rsid w:val="00126A4C"/>
    <w:rsid w:val="00132924"/>
    <w:rsid w:val="0014573B"/>
    <w:rsid w:val="001573E4"/>
    <w:rsid w:val="00160756"/>
    <w:rsid w:val="00160F36"/>
    <w:rsid w:val="00171C8B"/>
    <w:rsid w:val="0017232E"/>
    <w:rsid w:val="00174102"/>
    <w:rsid w:val="001754EE"/>
    <w:rsid w:val="00180157"/>
    <w:rsid w:val="00185CB9"/>
    <w:rsid w:val="00186F77"/>
    <w:rsid w:val="001926A4"/>
    <w:rsid w:val="00192AD5"/>
    <w:rsid w:val="001B45A0"/>
    <w:rsid w:val="001B74F8"/>
    <w:rsid w:val="001D055E"/>
    <w:rsid w:val="001D4AF9"/>
    <w:rsid w:val="001F05A4"/>
    <w:rsid w:val="001F3F13"/>
    <w:rsid w:val="001F492E"/>
    <w:rsid w:val="001F4B63"/>
    <w:rsid w:val="001F6DA3"/>
    <w:rsid w:val="001F6F12"/>
    <w:rsid w:val="002010BC"/>
    <w:rsid w:val="002016E7"/>
    <w:rsid w:val="00202E03"/>
    <w:rsid w:val="0020492C"/>
    <w:rsid w:val="00224DB9"/>
    <w:rsid w:val="00225324"/>
    <w:rsid w:val="00233775"/>
    <w:rsid w:val="002432E6"/>
    <w:rsid w:val="00251745"/>
    <w:rsid w:val="0025487A"/>
    <w:rsid w:val="00257E97"/>
    <w:rsid w:val="00263AC0"/>
    <w:rsid w:val="00264264"/>
    <w:rsid w:val="0026772D"/>
    <w:rsid w:val="00286874"/>
    <w:rsid w:val="00290C63"/>
    <w:rsid w:val="0029339E"/>
    <w:rsid w:val="00296B65"/>
    <w:rsid w:val="002A7DEF"/>
    <w:rsid w:val="002C233C"/>
    <w:rsid w:val="002C6F96"/>
    <w:rsid w:val="002D18BE"/>
    <w:rsid w:val="002D72E8"/>
    <w:rsid w:val="002E7B22"/>
    <w:rsid w:val="002F4FB4"/>
    <w:rsid w:val="002F7986"/>
    <w:rsid w:val="00301B40"/>
    <w:rsid w:val="003029EE"/>
    <w:rsid w:val="00302C8F"/>
    <w:rsid w:val="0030470B"/>
    <w:rsid w:val="00305CC8"/>
    <w:rsid w:val="00307F6D"/>
    <w:rsid w:val="003177A2"/>
    <w:rsid w:val="003271AA"/>
    <w:rsid w:val="003271B5"/>
    <w:rsid w:val="00327A1E"/>
    <w:rsid w:val="00331264"/>
    <w:rsid w:val="00334868"/>
    <w:rsid w:val="00334C8D"/>
    <w:rsid w:val="00343A18"/>
    <w:rsid w:val="003518B3"/>
    <w:rsid w:val="00373BE7"/>
    <w:rsid w:val="00377D51"/>
    <w:rsid w:val="00382C72"/>
    <w:rsid w:val="003846F1"/>
    <w:rsid w:val="003A4602"/>
    <w:rsid w:val="003B484F"/>
    <w:rsid w:val="003B7FBA"/>
    <w:rsid w:val="003D50FA"/>
    <w:rsid w:val="003F174D"/>
    <w:rsid w:val="003F5578"/>
    <w:rsid w:val="00415F31"/>
    <w:rsid w:val="00423A77"/>
    <w:rsid w:val="0045777E"/>
    <w:rsid w:val="0047166A"/>
    <w:rsid w:val="00480B4B"/>
    <w:rsid w:val="00485DC4"/>
    <w:rsid w:val="004A43D1"/>
    <w:rsid w:val="004B4412"/>
    <w:rsid w:val="004C348C"/>
    <w:rsid w:val="004D0B40"/>
    <w:rsid w:val="004D55BA"/>
    <w:rsid w:val="004E22EC"/>
    <w:rsid w:val="004F0B65"/>
    <w:rsid w:val="004F2F29"/>
    <w:rsid w:val="004F6A0E"/>
    <w:rsid w:val="00530128"/>
    <w:rsid w:val="00532467"/>
    <w:rsid w:val="00554AAF"/>
    <w:rsid w:val="00564A4D"/>
    <w:rsid w:val="00567BA5"/>
    <w:rsid w:val="00571B35"/>
    <w:rsid w:val="00571D57"/>
    <w:rsid w:val="00577A09"/>
    <w:rsid w:val="00580E8D"/>
    <w:rsid w:val="005829C2"/>
    <w:rsid w:val="00584D8F"/>
    <w:rsid w:val="005A404D"/>
    <w:rsid w:val="005B1E3C"/>
    <w:rsid w:val="005B5126"/>
    <w:rsid w:val="005B704A"/>
    <w:rsid w:val="005C26CC"/>
    <w:rsid w:val="005D7BA2"/>
    <w:rsid w:val="005E36C2"/>
    <w:rsid w:val="00600D17"/>
    <w:rsid w:val="0060315E"/>
    <w:rsid w:val="00610EF9"/>
    <w:rsid w:val="00612F4F"/>
    <w:rsid w:val="00615BD5"/>
    <w:rsid w:val="00615C6B"/>
    <w:rsid w:val="00621DCE"/>
    <w:rsid w:val="00622EFC"/>
    <w:rsid w:val="00632D6D"/>
    <w:rsid w:val="0064107B"/>
    <w:rsid w:val="00642C3E"/>
    <w:rsid w:val="00642DB9"/>
    <w:rsid w:val="0066104A"/>
    <w:rsid w:val="00663DAD"/>
    <w:rsid w:val="00675E20"/>
    <w:rsid w:val="00676679"/>
    <w:rsid w:val="00682C76"/>
    <w:rsid w:val="00683C89"/>
    <w:rsid w:val="006A19E8"/>
    <w:rsid w:val="006B2395"/>
    <w:rsid w:val="006B4CF9"/>
    <w:rsid w:val="006B7AC8"/>
    <w:rsid w:val="006C1736"/>
    <w:rsid w:val="006D550F"/>
    <w:rsid w:val="006E50B3"/>
    <w:rsid w:val="006F0E33"/>
    <w:rsid w:val="0070011E"/>
    <w:rsid w:val="00701CAB"/>
    <w:rsid w:val="00707563"/>
    <w:rsid w:val="0072348C"/>
    <w:rsid w:val="00724A37"/>
    <w:rsid w:val="007303C3"/>
    <w:rsid w:val="00730FF2"/>
    <w:rsid w:val="00734CC7"/>
    <w:rsid w:val="007429BE"/>
    <w:rsid w:val="00743223"/>
    <w:rsid w:val="00746E01"/>
    <w:rsid w:val="00757364"/>
    <w:rsid w:val="00757BDF"/>
    <w:rsid w:val="007609D0"/>
    <w:rsid w:val="00763E5D"/>
    <w:rsid w:val="00767740"/>
    <w:rsid w:val="00767C7C"/>
    <w:rsid w:val="00767E2A"/>
    <w:rsid w:val="00777EE6"/>
    <w:rsid w:val="00782EEA"/>
    <w:rsid w:val="007B186E"/>
    <w:rsid w:val="007B2C72"/>
    <w:rsid w:val="007C1C53"/>
    <w:rsid w:val="007C3197"/>
    <w:rsid w:val="007C74BB"/>
    <w:rsid w:val="007D456E"/>
    <w:rsid w:val="007D75B2"/>
    <w:rsid w:val="007E4904"/>
    <w:rsid w:val="007E4CB5"/>
    <w:rsid w:val="007E54B3"/>
    <w:rsid w:val="007F066B"/>
    <w:rsid w:val="007F0EDD"/>
    <w:rsid w:val="008033C4"/>
    <w:rsid w:val="00806C88"/>
    <w:rsid w:val="0081034E"/>
    <w:rsid w:val="0083367D"/>
    <w:rsid w:val="008344F6"/>
    <w:rsid w:val="0083510F"/>
    <w:rsid w:val="00851209"/>
    <w:rsid w:val="0086262B"/>
    <w:rsid w:val="00873F0A"/>
    <w:rsid w:val="008837AC"/>
    <w:rsid w:val="008875E1"/>
    <w:rsid w:val="008A2AF6"/>
    <w:rsid w:val="008A587D"/>
    <w:rsid w:val="008B35CD"/>
    <w:rsid w:val="008B5FCC"/>
    <w:rsid w:val="008C5486"/>
    <w:rsid w:val="008D1661"/>
    <w:rsid w:val="008D6800"/>
    <w:rsid w:val="008E1493"/>
    <w:rsid w:val="008E7031"/>
    <w:rsid w:val="008E77DE"/>
    <w:rsid w:val="008F07A3"/>
    <w:rsid w:val="009001B6"/>
    <w:rsid w:val="00900E1B"/>
    <w:rsid w:val="009233EE"/>
    <w:rsid w:val="00940391"/>
    <w:rsid w:val="009460AA"/>
    <w:rsid w:val="00951978"/>
    <w:rsid w:val="00960D5C"/>
    <w:rsid w:val="00961A4A"/>
    <w:rsid w:val="009661DE"/>
    <w:rsid w:val="00983C25"/>
    <w:rsid w:val="009856B7"/>
    <w:rsid w:val="00985C86"/>
    <w:rsid w:val="009A45BA"/>
    <w:rsid w:val="009A5F55"/>
    <w:rsid w:val="009A5FC3"/>
    <w:rsid w:val="009B74B0"/>
    <w:rsid w:val="009D3906"/>
    <w:rsid w:val="009D6B46"/>
    <w:rsid w:val="009F4940"/>
    <w:rsid w:val="009F5BA1"/>
    <w:rsid w:val="00A02A88"/>
    <w:rsid w:val="00A0562E"/>
    <w:rsid w:val="00A0726D"/>
    <w:rsid w:val="00A14381"/>
    <w:rsid w:val="00A32FBB"/>
    <w:rsid w:val="00A34FF4"/>
    <w:rsid w:val="00A428EE"/>
    <w:rsid w:val="00A4478A"/>
    <w:rsid w:val="00A44852"/>
    <w:rsid w:val="00A50502"/>
    <w:rsid w:val="00A57D04"/>
    <w:rsid w:val="00A60A26"/>
    <w:rsid w:val="00A61598"/>
    <w:rsid w:val="00A72D00"/>
    <w:rsid w:val="00A838AE"/>
    <w:rsid w:val="00A84A99"/>
    <w:rsid w:val="00A84F46"/>
    <w:rsid w:val="00A8547B"/>
    <w:rsid w:val="00A871F4"/>
    <w:rsid w:val="00A91551"/>
    <w:rsid w:val="00AA7E5A"/>
    <w:rsid w:val="00AC1072"/>
    <w:rsid w:val="00AC1B2C"/>
    <w:rsid w:val="00AC3264"/>
    <w:rsid w:val="00AE1BF1"/>
    <w:rsid w:val="00AF0DD2"/>
    <w:rsid w:val="00B01210"/>
    <w:rsid w:val="00B018E2"/>
    <w:rsid w:val="00B13048"/>
    <w:rsid w:val="00B1716D"/>
    <w:rsid w:val="00B17A1D"/>
    <w:rsid w:val="00B207A0"/>
    <w:rsid w:val="00B514DD"/>
    <w:rsid w:val="00B52AF0"/>
    <w:rsid w:val="00B535C8"/>
    <w:rsid w:val="00B561BD"/>
    <w:rsid w:val="00B56E03"/>
    <w:rsid w:val="00B8080B"/>
    <w:rsid w:val="00B82223"/>
    <w:rsid w:val="00B87BA5"/>
    <w:rsid w:val="00B87C39"/>
    <w:rsid w:val="00B930DD"/>
    <w:rsid w:val="00B9562D"/>
    <w:rsid w:val="00BA4665"/>
    <w:rsid w:val="00BB2FB2"/>
    <w:rsid w:val="00BB3304"/>
    <w:rsid w:val="00BC4A66"/>
    <w:rsid w:val="00BD3446"/>
    <w:rsid w:val="00BD662C"/>
    <w:rsid w:val="00BE1F1B"/>
    <w:rsid w:val="00BE47B5"/>
    <w:rsid w:val="00BF135E"/>
    <w:rsid w:val="00C07062"/>
    <w:rsid w:val="00C25FA6"/>
    <w:rsid w:val="00C538A9"/>
    <w:rsid w:val="00C53B5A"/>
    <w:rsid w:val="00C54F5A"/>
    <w:rsid w:val="00C569B4"/>
    <w:rsid w:val="00C63E12"/>
    <w:rsid w:val="00C67A92"/>
    <w:rsid w:val="00C844BE"/>
    <w:rsid w:val="00C84560"/>
    <w:rsid w:val="00C86679"/>
    <w:rsid w:val="00CA489E"/>
    <w:rsid w:val="00CB0279"/>
    <w:rsid w:val="00CB666B"/>
    <w:rsid w:val="00CC7F1D"/>
    <w:rsid w:val="00CD17BC"/>
    <w:rsid w:val="00CE0EE2"/>
    <w:rsid w:val="00CE484B"/>
    <w:rsid w:val="00CF0DEE"/>
    <w:rsid w:val="00D006AE"/>
    <w:rsid w:val="00D00FC8"/>
    <w:rsid w:val="00D01CF0"/>
    <w:rsid w:val="00D0442A"/>
    <w:rsid w:val="00D07A43"/>
    <w:rsid w:val="00D52268"/>
    <w:rsid w:val="00D55A4D"/>
    <w:rsid w:val="00D61388"/>
    <w:rsid w:val="00D61A54"/>
    <w:rsid w:val="00D64DEA"/>
    <w:rsid w:val="00D7168E"/>
    <w:rsid w:val="00D71E57"/>
    <w:rsid w:val="00D80893"/>
    <w:rsid w:val="00D84854"/>
    <w:rsid w:val="00D92CF1"/>
    <w:rsid w:val="00D92D38"/>
    <w:rsid w:val="00D95014"/>
    <w:rsid w:val="00D950F5"/>
    <w:rsid w:val="00DA4752"/>
    <w:rsid w:val="00DA61F3"/>
    <w:rsid w:val="00DB0F93"/>
    <w:rsid w:val="00DB1A67"/>
    <w:rsid w:val="00DB5074"/>
    <w:rsid w:val="00DC7981"/>
    <w:rsid w:val="00DE1093"/>
    <w:rsid w:val="00DE4EFA"/>
    <w:rsid w:val="00DE5520"/>
    <w:rsid w:val="00DE563D"/>
    <w:rsid w:val="00DE585F"/>
    <w:rsid w:val="00E00357"/>
    <w:rsid w:val="00E04818"/>
    <w:rsid w:val="00E06442"/>
    <w:rsid w:val="00E23993"/>
    <w:rsid w:val="00E25B8C"/>
    <w:rsid w:val="00E36758"/>
    <w:rsid w:val="00E42EF9"/>
    <w:rsid w:val="00E4740D"/>
    <w:rsid w:val="00E65C85"/>
    <w:rsid w:val="00E66120"/>
    <w:rsid w:val="00E66199"/>
    <w:rsid w:val="00E755EC"/>
    <w:rsid w:val="00E7624D"/>
    <w:rsid w:val="00EA3D42"/>
    <w:rsid w:val="00EA46EF"/>
    <w:rsid w:val="00EA6B1B"/>
    <w:rsid w:val="00EB07F8"/>
    <w:rsid w:val="00EC04F1"/>
    <w:rsid w:val="00EC39EB"/>
    <w:rsid w:val="00EC42ED"/>
    <w:rsid w:val="00ED7323"/>
    <w:rsid w:val="00EE28F3"/>
    <w:rsid w:val="00EE50D1"/>
    <w:rsid w:val="00EE7A1B"/>
    <w:rsid w:val="00EF5110"/>
    <w:rsid w:val="00EF5825"/>
    <w:rsid w:val="00F10411"/>
    <w:rsid w:val="00F15882"/>
    <w:rsid w:val="00F171E0"/>
    <w:rsid w:val="00F2046A"/>
    <w:rsid w:val="00F20BD3"/>
    <w:rsid w:val="00F3245E"/>
    <w:rsid w:val="00F373A5"/>
    <w:rsid w:val="00F47559"/>
    <w:rsid w:val="00F55690"/>
    <w:rsid w:val="00F64C7B"/>
    <w:rsid w:val="00F676DD"/>
    <w:rsid w:val="00F712B2"/>
    <w:rsid w:val="00F75A26"/>
    <w:rsid w:val="00F76706"/>
    <w:rsid w:val="00F83FAD"/>
    <w:rsid w:val="00F952A0"/>
    <w:rsid w:val="00FA3C7F"/>
    <w:rsid w:val="00FB30C0"/>
    <w:rsid w:val="00FB60FE"/>
    <w:rsid w:val="00FB74E2"/>
    <w:rsid w:val="00FD5614"/>
    <w:rsid w:val="00FD5E78"/>
    <w:rsid w:val="00FE0BE1"/>
    <w:rsid w:val="00FE1DE9"/>
    <w:rsid w:val="00FE36AF"/>
    <w:rsid w:val="00FE39C2"/>
    <w:rsid w:val="00FE3C32"/>
    <w:rsid w:val="00FE64AE"/>
    <w:rsid w:val="00FF7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008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C1FADAC2</Template>
  <TotalTime>0</TotalTime>
  <Pages>13</Pages>
  <Words>3176</Words>
  <Characters>18106</Characters>
  <Application>Microsoft Office Word</Application>
  <DocSecurity>0</DocSecurity>
  <Lines>150</Lines>
  <Paragraphs>42</Paragraphs>
  <ScaleCrop>false</ScaleCrop>
  <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2015-04-29T05:40:00Z</dcterms:created>
  <dcterms:modified xsi:type="dcterms:W3CDTF">2015-04-29T05:40:00Z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