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A515C21" wp14:editId="5E48416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70011E" w:rsidP="008F07A3">
          <w:pPr>
            <w:pStyle w:val="ReportSubtitle"/>
          </w:pPr>
          <w:r>
            <w:t>ActewAGL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940391">
            <w:t>8</w:t>
          </w:r>
          <w:r w:rsidR="00257E97">
            <w:t xml:space="preserve"> –</w:t>
          </w:r>
          <w:r w:rsidR="008875E1">
            <w:t xml:space="preserve"> </w:t>
          </w:r>
          <w:r w:rsidR="00940391">
            <w:t>Corporate income tax</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t>52254</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631969"/>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70011E">
        <w:t>ActewAGL’</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 xml:space="preserve">Attachment 18 - Connection </w:t>
      </w:r>
      <w:r w:rsidR="00397E2F" w:rsidRPr="00397E2F">
        <w:t>policy</w:t>
      </w:r>
    </w:p>
    <w:p w:rsidR="00415F31" w:rsidRDefault="0070011E" w:rsidP="00415F31">
      <w:r>
        <w:t>Attachment 19 - Pricing methodology</w:t>
      </w:r>
    </w:p>
    <w:p w:rsidR="00093BE6" w:rsidRPr="00093BE6" w:rsidRDefault="00093BE6" w:rsidP="00093BE6">
      <w:r w:rsidRPr="00093BE6">
        <w:t>Attachment 20 - Analysis of Financial Viability</w:t>
      </w:r>
    </w:p>
    <w:p w:rsidR="00DE563D" w:rsidRPr="00A72B34" w:rsidRDefault="00DE563D" w:rsidP="00DE563D">
      <w:pPr>
        <w:pStyle w:val="UnnumberedHeading"/>
        <w:numPr>
          <w:ilvl w:val="0"/>
          <w:numId w:val="24"/>
        </w:numPr>
      </w:pPr>
      <w:bookmarkStart w:id="6" w:name="_Toc403144133"/>
      <w:bookmarkStart w:id="7" w:name="_Toc417631970"/>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DB0803"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7631969" w:history="1">
            <w:r w:rsidR="00DB0803" w:rsidRPr="00B2189F">
              <w:rPr>
                <w:rStyle w:val="Hyperlink"/>
              </w:rPr>
              <w:t>Note</w:t>
            </w:r>
            <w:r w:rsidR="00DB0803">
              <w:rPr>
                <w:webHidden/>
              </w:rPr>
              <w:tab/>
            </w:r>
            <w:r w:rsidR="00DB0803">
              <w:rPr>
                <w:webHidden/>
              </w:rPr>
              <w:fldChar w:fldCharType="begin"/>
            </w:r>
            <w:r w:rsidR="00DB0803">
              <w:rPr>
                <w:webHidden/>
              </w:rPr>
              <w:instrText xml:space="preserve"> PAGEREF _Toc417631969 \h </w:instrText>
            </w:r>
            <w:r w:rsidR="00DB0803">
              <w:rPr>
                <w:webHidden/>
              </w:rPr>
            </w:r>
            <w:r w:rsidR="00DB0803">
              <w:rPr>
                <w:webHidden/>
              </w:rPr>
              <w:fldChar w:fldCharType="separate"/>
            </w:r>
            <w:r w:rsidR="00DB0803">
              <w:rPr>
                <w:webHidden/>
              </w:rPr>
              <w:t>8-2</w:t>
            </w:r>
            <w:r w:rsidR="00DB0803">
              <w:rPr>
                <w:webHidden/>
              </w:rPr>
              <w:fldChar w:fldCharType="end"/>
            </w:r>
          </w:hyperlink>
        </w:p>
        <w:p w:rsidR="00DB0803" w:rsidRDefault="00203C82">
          <w:pPr>
            <w:pStyle w:val="TOC1"/>
            <w:rPr>
              <w:rFonts w:asciiTheme="minorHAnsi" w:eastAsiaTheme="minorEastAsia" w:hAnsiTheme="minorHAnsi"/>
              <w:b w:val="0"/>
              <w:color w:val="auto"/>
              <w:sz w:val="22"/>
              <w:lang w:val="en-AU" w:eastAsia="en-AU"/>
            </w:rPr>
          </w:pPr>
          <w:hyperlink w:anchor="_Toc417631970" w:history="1">
            <w:r w:rsidR="00DB0803" w:rsidRPr="00B2189F">
              <w:rPr>
                <w:rStyle w:val="Hyperlink"/>
              </w:rPr>
              <w:t>Contents</w:t>
            </w:r>
            <w:r w:rsidR="00DB0803">
              <w:rPr>
                <w:webHidden/>
              </w:rPr>
              <w:tab/>
            </w:r>
            <w:r w:rsidR="00DB0803">
              <w:rPr>
                <w:webHidden/>
              </w:rPr>
              <w:fldChar w:fldCharType="begin"/>
            </w:r>
            <w:r w:rsidR="00DB0803">
              <w:rPr>
                <w:webHidden/>
              </w:rPr>
              <w:instrText xml:space="preserve"> PAGEREF _Toc417631970 \h </w:instrText>
            </w:r>
            <w:r w:rsidR="00DB0803">
              <w:rPr>
                <w:webHidden/>
              </w:rPr>
            </w:r>
            <w:r w:rsidR="00DB0803">
              <w:rPr>
                <w:webHidden/>
              </w:rPr>
              <w:fldChar w:fldCharType="separate"/>
            </w:r>
            <w:r w:rsidR="00DB0803">
              <w:rPr>
                <w:webHidden/>
              </w:rPr>
              <w:t>8-3</w:t>
            </w:r>
            <w:r w:rsidR="00DB0803">
              <w:rPr>
                <w:webHidden/>
              </w:rPr>
              <w:fldChar w:fldCharType="end"/>
            </w:r>
          </w:hyperlink>
        </w:p>
        <w:p w:rsidR="00DB0803" w:rsidRDefault="00203C82">
          <w:pPr>
            <w:pStyle w:val="TOC1"/>
            <w:rPr>
              <w:rFonts w:asciiTheme="minorHAnsi" w:eastAsiaTheme="minorEastAsia" w:hAnsiTheme="minorHAnsi"/>
              <w:b w:val="0"/>
              <w:color w:val="auto"/>
              <w:sz w:val="22"/>
              <w:lang w:val="en-AU" w:eastAsia="en-AU"/>
            </w:rPr>
          </w:pPr>
          <w:hyperlink w:anchor="_Toc417631971" w:history="1">
            <w:r w:rsidR="00DB0803" w:rsidRPr="00B2189F">
              <w:rPr>
                <w:rStyle w:val="Hyperlink"/>
              </w:rPr>
              <w:t>Shortened forms</w:t>
            </w:r>
            <w:r w:rsidR="00DB0803">
              <w:rPr>
                <w:webHidden/>
              </w:rPr>
              <w:tab/>
            </w:r>
            <w:r w:rsidR="00DB0803">
              <w:rPr>
                <w:webHidden/>
              </w:rPr>
              <w:fldChar w:fldCharType="begin"/>
            </w:r>
            <w:r w:rsidR="00DB0803">
              <w:rPr>
                <w:webHidden/>
              </w:rPr>
              <w:instrText xml:space="preserve"> PAGEREF _Toc417631971 \h </w:instrText>
            </w:r>
            <w:r w:rsidR="00DB0803">
              <w:rPr>
                <w:webHidden/>
              </w:rPr>
            </w:r>
            <w:r w:rsidR="00DB0803">
              <w:rPr>
                <w:webHidden/>
              </w:rPr>
              <w:fldChar w:fldCharType="separate"/>
            </w:r>
            <w:r w:rsidR="00DB0803">
              <w:rPr>
                <w:webHidden/>
              </w:rPr>
              <w:t>8-4</w:t>
            </w:r>
            <w:r w:rsidR="00DB0803">
              <w:rPr>
                <w:webHidden/>
              </w:rPr>
              <w:fldChar w:fldCharType="end"/>
            </w:r>
          </w:hyperlink>
        </w:p>
        <w:p w:rsidR="00DB0803" w:rsidRDefault="00203C82">
          <w:pPr>
            <w:pStyle w:val="TOC1"/>
            <w:rPr>
              <w:rFonts w:asciiTheme="minorHAnsi" w:eastAsiaTheme="minorEastAsia" w:hAnsiTheme="minorHAnsi"/>
              <w:b w:val="0"/>
              <w:color w:val="auto"/>
              <w:sz w:val="22"/>
              <w:lang w:val="en-AU" w:eastAsia="en-AU"/>
            </w:rPr>
          </w:pPr>
          <w:hyperlink w:anchor="_Toc417631972" w:history="1">
            <w:r w:rsidR="00DB0803" w:rsidRPr="00B2189F">
              <w:rPr>
                <w:rStyle w:val="Hyperlink"/>
              </w:rPr>
              <w:t>8</w:t>
            </w:r>
            <w:r w:rsidR="00DB0803">
              <w:rPr>
                <w:rFonts w:asciiTheme="minorHAnsi" w:eastAsiaTheme="minorEastAsia" w:hAnsiTheme="minorHAnsi"/>
                <w:b w:val="0"/>
                <w:color w:val="auto"/>
                <w:sz w:val="22"/>
                <w:lang w:val="en-AU" w:eastAsia="en-AU"/>
              </w:rPr>
              <w:tab/>
            </w:r>
            <w:r w:rsidR="00DB0803" w:rsidRPr="00B2189F">
              <w:rPr>
                <w:rStyle w:val="Hyperlink"/>
              </w:rPr>
              <w:t>Corporate income tax</w:t>
            </w:r>
            <w:r w:rsidR="00DB0803">
              <w:rPr>
                <w:webHidden/>
              </w:rPr>
              <w:tab/>
            </w:r>
            <w:r w:rsidR="00DB0803">
              <w:rPr>
                <w:webHidden/>
              </w:rPr>
              <w:fldChar w:fldCharType="begin"/>
            </w:r>
            <w:r w:rsidR="00DB0803">
              <w:rPr>
                <w:webHidden/>
              </w:rPr>
              <w:instrText xml:space="preserve"> PAGEREF _Toc417631972 \h </w:instrText>
            </w:r>
            <w:r w:rsidR="00DB0803">
              <w:rPr>
                <w:webHidden/>
              </w:rPr>
            </w:r>
            <w:r w:rsidR="00DB0803">
              <w:rPr>
                <w:webHidden/>
              </w:rPr>
              <w:fldChar w:fldCharType="separate"/>
            </w:r>
            <w:r w:rsidR="00DB0803">
              <w:rPr>
                <w:webHidden/>
              </w:rPr>
              <w:t>8-6</w:t>
            </w:r>
            <w:r w:rsidR="00DB0803">
              <w:rPr>
                <w:webHidden/>
              </w:rPr>
              <w:fldChar w:fldCharType="end"/>
            </w:r>
          </w:hyperlink>
        </w:p>
        <w:p w:rsidR="00DB0803" w:rsidRDefault="00203C82">
          <w:pPr>
            <w:pStyle w:val="TOC2"/>
            <w:rPr>
              <w:rFonts w:asciiTheme="minorHAnsi" w:eastAsiaTheme="minorEastAsia" w:hAnsiTheme="minorHAnsi"/>
              <w:b w:val="0"/>
              <w:color w:val="auto"/>
              <w:sz w:val="22"/>
              <w:lang w:eastAsia="en-AU"/>
            </w:rPr>
          </w:pPr>
          <w:hyperlink w:anchor="_Toc417631973" w:history="1">
            <w:r w:rsidR="00DB0803" w:rsidRPr="00B2189F">
              <w:rPr>
                <w:rStyle w:val="Hyperlink"/>
              </w:rPr>
              <w:t>8.1</w:t>
            </w:r>
            <w:r w:rsidR="00DB0803">
              <w:rPr>
                <w:rFonts w:asciiTheme="minorHAnsi" w:eastAsiaTheme="minorEastAsia" w:hAnsiTheme="minorHAnsi"/>
                <w:b w:val="0"/>
                <w:color w:val="auto"/>
                <w:sz w:val="22"/>
                <w:lang w:eastAsia="en-AU"/>
              </w:rPr>
              <w:tab/>
            </w:r>
            <w:r w:rsidR="00DB0803" w:rsidRPr="00B2189F">
              <w:rPr>
                <w:rStyle w:val="Hyperlink"/>
              </w:rPr>
              <w:t>Final decision</w:t>
            </w:r>
            <w:r w:rsidR="00DB0803">
              <w:rPr>
                <w:webHidden/>
              </w:rPr>
              <w:tab/>
            </w:r>
            <w:r w:rsidR="00DB0803">
              <w:rPr>
                <w:webHidden/>
              </w:rPr>
              <w:fldChar w:fldCharType="begin"/>
            </w:r>
            <w:r w:rsidR="00DB0803">
              <w:rPr>
                <w:webHidden/>
              </w:rPr>
              <w:instrText xml:space="preserve"> PAGEREF _Toc417631973 \h </w:instrText>
            </w:r>
            <w:r w:rsidR="00DB0803">
              <w:rPr>
                <w:webHidden/>
              </w:rPr>
            </w:r>
            <w:r w:rsidR="00DB0803">
              <w:rPr>
                <w:webHidden/>
              </w:rPr>
              <w:fldChar w:fldCharType="separate"/>
            </w:r>
            <w:r w:rsidR="00DB0803">
              <w:rPr>
                <w:webHidden/>
              </w:rPr>
              <w:t>8-6</w:t>
            </w:r>
            <w:r w:rsidR="00DB0803">
              <w:rPr>
                <w:webHidden/>
              </w:rPr>
              <w:fldChar w:fldCharType="end"/>
            </w:r>
          </w:hyperlink>
        </w:p>
        <w:p w:rsidR="00DB0803" w:rsidRDefault="00203C82">
          <w:pPr>
            <w:pStyle w:val="TOC2"/>
            <w:rPr>
              <w:rFonts w:asciiTheme="minorHAnsi" w:eastAsiaTheme="minorEastAsia" w:hAnsiTheme="minorHAnsi"/>
              <w:b w:val="0"/>
              <w:color w:val="auto"/>
              <w:sz w:val="22"/>
              <w:lang w:eastAsia="en-AU"/>
            </w:rPr>
          </w:pPr>
          <w:hyperlink w:anchor="_Toc417631974" w:history="1">
            <w:r w:rsidR="00DB0803" w:rsidRPr="00B2189F">
              <w:rPr>
                <w:rStyle w:val="Hyperlink"/>
              </w:rPr>
              <w:t>8.2</w:t>
            </w:r>
            <w:r w:rsidR="00DB0803">
              <w:rPr>
                <w:rFonts w:asciiTheme="minorHAnsi" w:eastAsiaTheme="minorEastAsia" w:hAnsiTheme="minorHAnsi"/>
                <w:b w:val="0"/>
                <w:color w:val="auto"/>
                <w:sz w:val="22"/>
                <w:lang w:eastAsia="en-AU"/>
              </w:rPr>
              <w:tab/>
            </w:r>
            <w:r w:rsidR="00DB0803" w:rsidRPr="00B2189F">
              <w:rPr>
                <w:rStyle w:val="Hyperlink"/>
              </w:rPr>
              <w:t>ActewAGL’s revised proposal</w:t>
            </w:r>
            <w:r w:rsidR="00DB0803">
              <w:rPr>
                <w:webHidden/>
              </w:rPr>
              <w:tab/>
            </w:r>
            <w:r w:rsidR="00DB0803">
              <w:rPr>
                <w:webHidden/>
              </w:rPr>
              <w:fldChar w:fldCharType="begin"/>
            </w:r>
            <w:r w:rsidR="00DB0803">
              <w:rPr>
                <w:webHidden/>
              </w:rPr>
              <w:instrText xml:space="preserve"> PAGEREF _Toc417631974 \h </w:instrText>
            </w:r>
            <w:r w:rsidR="00DB0803">
              <w:rPr>
                <w:webHidden/>
              </w:rPr>
            </w:r>
            <w:r w:rsidR="00DB0803">
              <w:rPr>
                <w:webHidden/>
              </w:rPr>
              <w:fldChar w:fldCharType="separate"/>
            </w:r>
            <w:r w:rsidR="00DB0803">
              <w:rPr>
                <w:webHidden/>
              </w:rPr>
              <w:t>8-7</w:t>
            </w:r>
            <w:r w:rsidR="00DB0803">
              <w:rPr>
                <w:webHidden/>
              </w:rPr>
              <w:fldChar w:fldCharType="end"/>
            </w:r>
          </w:hyperlink>
        </w:p>
        <w:p w:rsidR="00DB0803" w:rsidRDefault="00203C82">
          <w:pPr>
            <w:pStyle w:val="TOC2"/>
            <w:rPr>
              <w:rFonts w:asciiTheme="minorHAnsi" w:eastAsiaTheme="minorEastAsia" w:hAnsiTheme="minorHAnsi"/>
              <w:b w:val="0"/>
              <w:color w:val="auto"/>
              <w:sz w:val="22"/>
              <w:lang w:eastAsia="en-AU"/>
            </w:rPr>
          </w:pPr>
          <w:hyperlink w:anchor="_Toc417631975" w:history="1">
            <w:r w:rsidR="00DB0803" w:rsidRPr="00B2189F">
              <w:rPr>
                <w:rStyle w:val="Hyperlink"/>
              </w:rPr>
              <w:t>8.3</w:t>
            </w:r>
            <w:r w:rsidR="00DB0803">
              <w:rPr>
                <w:rFonts w:asciiTheme="minorHAnsi" w:eastAsiaTheme="minorEastAsia" w:hAnsiTheme="minorHAnsi"/>
                <w:b w:val="0"/>
                <w:color w:val="auto"/>
                <w:sz w:val="22"/>
                <w:lang w:eastAsia="en-AU"/>
              </w:rPr>
              <w:tab/>
            </w:r>
            <w:r w:rsidR="00DB0803" w:rsidRPr="00B2189F">
              <w:rPr>
                <w:rStyle w:val="Hyperlink"/>
              </w:rPr>
              <w:t>AER’s assessment approach</w:t>
            </w:r>
            <w:r w:rsidR="00DB0803">
              <w:rPr>
                <w:webHidden/>
              </w:rPr>
              <w:tab/>
            </w:r>
            <w:r w:rsidR="00DB0803">
              <w:rPr>
                <w:webHidden/>
              </w:rPr>
              <w:fldChar w:fldCharType="begin"/>
            </w:r>
            <w:r w:rsidR="00DB0803">
              <w:rPr>
                <w:webHidden/>
              </w:rPr>
              <w:instrText xml:space="preserve"> PAGEREF _Toc417631975 \h </w:instrText>
            </w:r>
            <w:r w:rsidR="00DB0803">
              <w:rPr>
                <w:webHidden/>
              </w:rPr>
            </w:r>
            <w:r w:rsidR="00DB0803">
              <w:rPr>
                <w:webHidden/>
              </w:rPr>
              <w:fldChar w:fldCharType="separate"/>
            </w:r>
            <w:r w:rsidR="00DB0803">
              <w:rPr>
                <w:webHidden/>
              </w:rPr>
              <w:t>8-8</w:t>
            </w:r>
            <w:r w:rsidR="00DB0803">
              <w:rPr>
                <w:webHidden/>
              </w:rPr>
              <w:fldChar w:fldCharType="end"/>
            </w:r>
          </w:hyperlink>
        </w:p>
        <w:p w:rsidR="00DB0803" w:rsidRDefault="00203C82">
          <w:pPr>
            <w:pStyle w:val="TOC2"/>
            <w:rPr>
              <w:rFonts w:asciiTheme="minorHAnsi" w:eastAsiaTheme="minorEastAsia" w:hAnsiTheme="minorHAnsi"/>
              <w:b w:val="0"/>
              <w:color w:val="auto"/>
              <w:sz w:val="22"/>
              <w:lang w:eastAsia="en-AU"/>
            </w:rPr>
          </w:pPr>
          <w:hyperlink w:anchor="_Toc417631976" w:history="1">
            <w:r w:rsidR="00DB0803" w:rsidRPr="00B2189F">
              <w:rPr>
                <w:rStyle w:val="Hyperlink"/>
              </w:rPr>
              <w:t>8.4</w:t>
            </w:r>
            <w:r w:rsidR="00DB0803">
              <w:rPr>
                <w:rFonts w:asciiTheme="minorHAnsi" w:eastAsiaTheme="minorEastAsia" w:hAnsiTheme="minorHAnsi"/>
                <w:b w:val="0"/>
                <w:color w:val="auto"/>
                <w:sz w:val="22"/>
                <w:lang w:eastAsia="en-AU"/>
              </w:rPr>
              <w:tab/>
            </w:r>
            <w:r w:rsidR="00DB0803" w:rsidRPr="00B2189F">
              <w:rPr>
                <w:rStyle w:val="Hyperlink"/>
              </w:rPr>
              <w:t>Reasons for final decision</w:t>
            </w:r>
            <w:r w:rsidR="00DB0803">
              <w:rPr>
                <w:webHidden/>
              </w:rPr>
              <w:tab/>
            </w:r>
            <w:r w:rsidR="00DB0803">
              <w:rPr>
                <w:webHidden/>
              </w:rPr>
              <w:fldChar w:fldCharType="begin"/>
            </w:r>
            <w:r w:rsidR="00DB0803">
              <w:rPr>
                <w:webHidden/>
              </w:rPr>
              <w:instrText xml:space="preserve"> PAGEREF _Toc417631976 \h </w:instrText>
            </w:r>
            <w:r w:rsidR="00DB0803">
              <w:rPr>
                <w:webHidden/>
              </w:rPr>
            </w:r>
            <w:r w:rsidR="00DB0803">
              <w:rPr>
                <w:webHidden/>
              </w:rPr>
              <w:fldChar w:fldCharType="separate"/>
            </w:r>
            <w:r w:rsidR="00DB0803">
              <w:rPr>
                <w:webHidden/>
              </w:rPr>
              <w:t>8-8</w:t>
            </w:r>
            <w:r w:rsidR="00DB0803">
              <w:rPr>
                <w:webHidden/>
              </w:rPr>
              <w:fldChar w:fldCharType="end"/>
            </w:r>
          </w:hyperlink>
        </w:p>
        <w:p w:rsidR="00DB0803" w:rsidRDefault="00203C82">
          <w:pPr>
            <w:pStyle w:val="TOC3"/>
            <w:rPr>
              <w:rFonts w:asciiTheme="minorHAnsi" w:eastAsiaTheme="minorEastAsia" w:hAnsiTheme="minorHAnsi"/>
              <w:lang w:eastAsia="en-AU"/>
            </w:rPr>
          </w:pPr>
          <w:hyperlink w:anchor="_Toc417631977" w:history="1">
            <w:r w:rsidR="00DB0803" w:rsidRPr="00B2189F">
              <w:rPr>
                <w:rStyle w:val="Hyperlink"/>
              </w:rPr>
              <w:t>8.4.1</w:t>
            </w:r>
            <w:r w:rsidR="00DB0803">
              <w:rPr>
                <w:rFonts w:asciiTheme="minorHAnsi" w:eastAsiaTheme="minorEastAsia" w:hAnsiTheme="minorHAnsi"/>
                <w:lang w:eastAsia="en-AU"/>
              </w:rPr>
              <w:tab/>
            </w:r>
            <w:r w:rsidR="00DB0803" w:rsidRPr="00B2189F">
              <w:rPr>
                <w:rStyle w:val="Hyperlink"/>
              </w:rPr>
              <w:t>Opening tax asset base</w:t>
            </w:r>
            <w:r w:rsidR="00DB0803">
              <w:rPr>
                <w:webHidden/>
              </w:rPr>
              <w:tab/>
            </w:r>
            <w:r w:rsidR="00DB0803">
              <w:rPr>
                <w:webHidden/>
              </w:rPr>
              <w:fldChar w:fldCharType="begin"/>
            </w:r>
            <w:r w:rsidR="00DB0803">
              <w:rPr>
                <w:webHidden/>
              </w:rPr>
              <w:instrText xml:space="preserve"> PAGEREF _Toc417631977 \h </w:instrText>
            </w:r>
            <w:r w:rsidR="00DB0803">
              <w:rPr>
                <w:webHidden/>
              </w:rPr>
            </w:r>
            <w:r w:rsidR="00DB0803">
              <w:rPr>
                <w:webHidden/>
              </w:rPr>
              <w:fldChar w:fldCharType="separate"/>
            </w:r>
            <w:r w:rsidR="00DB0803">
              <w:rPr>
                <w:webHidden/>
              </w:rPr>
              <w:t>8-9</w:t>
            </w:r>
            <w:r w:rsidR="00DB0803">
              <w:rPr>
                <w:webHidden/>
              </w:rPr>
              <w:fldChar w:fldCharType="end"/>
            </w:r>
          </w:hyperlink>
        </w:p>
        <w:p w:rsidR="00DB0803" w:rsidRDefault="00203C82">
          <w:pPr>
            <w:pStyle w:val="TOC3"/>
            <w:rPr>
              <w:rFonts w:asciiTheme="minorHAnsi" w:eastAsiaTheme="minorEastAsia" w:hAnsiTheme="minorHAnsi"/>
              <w:lang w:eastAsia="en-AU"/>
            </w:rPr>
          </w:pPr>
          <w:hyperlink w:anchor="_Toc417631978" w:history="1">
            <w:r w:rsidR="00DB0803" w:rsidRPr="00B2189F">
              <w:rPr>
                <w:rStyle w:val="Hyperlink"/>
              </w:rPr>
              <w:t>8.4.2</w:t>
            </w:r>
            <w:r w:rsidR="00DB0803">
              <w:rPr>
                <w:rFonts w:asciiTheme="minorHAnsi" w:eastAsiaTheme="minorEastAsia" w:hAnsiTheme="minorHAnsi"/>
                <w:lang w:eastAsia="en-AU"/>
              </w:rPr>
              <w:tab/>
            </w:r>
            <w:r w:rsidR="00DB0803" w:rsidRPr="00B2189F">
              <w:rPr>
                <w:rStyle w:val="Hyperlink"/>
              </w:rPr>
              <w:t>Standard tax asset lives</w:t>
            </w:r>
            <w:r w:rsidR="00DB0803">
              <w:rPr>
                <w:webHidden/>
              </w:rPr>
              <w:tab/>
            </w:r>
            <w:r w:rsidR="00DB0803">
              <w:rPr>
                <w:webHidden/>
              </w:rPr>
              <w:fldChar w:fldCharType="begin"/>
            </w:r>
            <w:r w:rsidR="00DB0803">
              <w:rPr>
                <w:webHidden/>
              </w:rPr>
              <w:instrText xml:space="preserve"> PAGEREF _Toc417631978 \h </w:instrText>
            </w:r>
            <w:r w:rsidR="00DB0803">
              <w:rPr>
                <w:webHidden/>
              </w:rPr>
            </w:r>
            <w:r w:rsidR="00DB0803">
              <w:rPr>
                <w:webHidden/>
              </w:rPr>
              <w:fldChar w:fldCharType="separate"/>
            </w:r>
            <w:r w:rsidR="00DB0803">
              <w:rPr>
                <w:webHidden/>
              </w:rPr>
              <w:t>8-10</w:t>
            </w:r>
            <w:r w:rsidR="00DB0803">
              <w:rPr>
                <w:webHidden/>
              </w:rPr>
              <w:fldChar w:fldCharType="end"/>
            </w:r>
          </w:hyperlink>
        </w:p>
        <w:p w:rsidR="00DB0803" w:rsidRDefault="00203C82">
          <w:pPr>
            <w:pStyle w:val="TOC3"/>
            <w:rPr>
              <w:rFonts w:asciiTheme="minorHAnsi" w:eastAsiaTheme="minorEastAsia" w:hAnsiTheme="minorHAnsi"/>
              <w:lang w:eastAsia="en-AU"/>
            </w:rPr>
          </w:pPr>
          <w:hyperlink w:anchor="_Toc417631979" w:history="1">
            <w:r w:rsidR="00DB0803" w:rsidRPr="00B2189F">
              <w:rPr>
                <w:rStyle w:val="Hyperlink"/>
              </w:rPr>
              <w:t>8.4.3</w:t>
            </w:r>
            <w:r w:rsidR="00DB0803">
              <w:rPr>
                <w:rFonts w:asciiTheme="minorHAnsi" w:eastAsiaTheme="minorEastAsia" w:hAnsiTheme="minorHAnsi"/>
                <w:lang w:eastAsia="en-AU"/>
              </w:rPr>
              <w:tab/>
            </w:r>
            <w:r w:rsidR="00DB0803" w:rsidRPr="00B2189F">
              <w:rPr>
                <w:rStyle w:val="Hyperlink"/>
              </w:rPr>
              <w:t>Remaining tax asset lives</w:t>
            </w:r>
            <w:r w:rsidR="00DB0803">
              <w:rPr>
                <w:webHidden/>
              </w:rPr>
              <w:tab/>
            </w:r>
            <w:r w:rsidR="00DB0803">
              <w:rPr>
                <w:webHidden/>
              </w:rPr>
              <w:fldChar w:fldCharType="begin"/>
            </w:r>
            <w:r w:rsidR="00DB0803">
              <w:rPr>
                <w:webHidden/>
              </w:rPr>
              <w:instrText xml:space="preserve"> PAGEREF _Toc417631979 \h </w:instrText>
            </w:r>
            <w:r w:rsidR="00DB0803">
              <w:rPr>
                <w:webHidden/>
              </w:rPr>
            </w:r>
            <w:r w:rsidR="00DB0803">
              <w:rPr>
                <w:webHidden/>
              </w:rPr>
              <w:fldChar w:fldCharType="separate"/>
            </w:r>
            <w:r w:rsidR="00DB0803">
              <w:rPr>
                <w:webHidden/>
              </w:rPr>
              <w:t>8-11</w:t>
            </w:r>
            <w:r w:rsidR="00DB0803">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7631971"/>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7C1963">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1F05A4">
            <w:pPr>
              <w:numPr>
                <w:ilvl w:val="0"/>
                <w:numId w:val="25"/>
              </w:numPr>
            </w:pPr>
            <w:r>
              <w:t>Shortened form</w:t>
            </w:r>
          </w:p>
        </w:tc>
        <w:tc>
          <w:tcPr>
            <w:tcW w:w="4344" w:type="dxa"/>
          </w:tcPr>
          <w:p w:rsidR="001F05A4" w:rsidRDefault="001F05A4" w:rsidP="001F05A4">
            <w:pPr>
              <w:numPr>
                <w:ilvl w:val="0"/>
                <w:numId w:val="25"/>
              </w:numPr>
            </w:pPr>
            <w:r>
              <w:t>Extended form</w:t>
            </w:r>
          </w:p>
        </w:tc>
      </w:tr>
      <w:tr w:rsidR="00680E4C" w:rsidTr="00680E4C">
        <w:tc>
          <w:tcPr>
            <w:tcW w:w="4349" w:type="dxa"/>
          </w:tcPr>
          <w:p w:rsidR="00680E4C" w:rsidRPr="00680E4C" w:rsidRDefault="00680E4C" w:rsidP="00680E4C">
            <w:pPr>
              <w:numPr>
                <w:ilvl w:val="0"/>
                <w:numId w:val="25"/>
              </w:numPr>
            </w:pPr>
            <w:r w:rsidRPr="00680E4C">
              <w:t>AEMC</w:t>
            </w:r>
          </w:p>
        </w:tc>
        <w:tc>
          <w:tcPr>
            <w:tcW w:w="4344" w:type="dxa"/>
          </w:tcPr>
          <w:p w:rsidR="00680E4C" w:rsidRPr="00680E4C" w:rsidRDefault="00680E4C" w:rsidP="00680E4C">
            <w:pPr>
              <w:numPr>
                <w:ilvl w:val="0"/>
                <w:numId w:val="25"/>
              </w:numPr>
            </w:pPr>
            <w:r w:rsidRPr="00680E4C">
              <w:t>Australian Energy Market Commission</w:t>
            </w:r>
          </w:p>
        </w:tc>
      </w:tr>
      <w:tr w:rsidR="00680E4C" w:rsidTr="00680E4C">
        <w:trPr>
          <w:cnfStyle w:val="000000010000" w:firstRow="0" w:lastRow="0" w:firstColumn="0" w:lastColumn="0" w:oddVBand="0" w:evenVBand="0" w:oddHBand="0" w:evenHBand="1" w:firstRowFirstColumn="0" w:firstRowLastColumn="0" w:lastRowFirstColumn="0" w:lastRowLastColumn="0"/>
        </w:trPr>
        <w:tc>
          <w:tcPr>
            <w:tcW w:w="4349" w:type="dxa"/>
          </w:tcPr>
          <w:p w:rsidR="00680E4C" w:rsidRPr="00680E4C" w:rsidRDefault="00680E4C" w:rsidP="00680E4C">
            <w:pPr>
              <w:numPr>
                <w:ilvl w:val="0"/>
                <w:numId w:val="25"/>
              </w:numPr>
            </w:pPr>
            <w:r w:rsidRPr="00680E4C">
              <w:t>AEMO</w:t>
            </w:r>
          </w:p>
        </w:tc>
        <w:tc>
          <w:tcPr>
            <w:tcW w:w="4344" w:type="dxa"/>
          </w:tcPr>
          <w:p w:rsidR="00680E4C" w:rsidRPr="00680E4C" w:rsidRDefault="00680E4C" w:rsidP="00680E4C">
            <w:pPr>
              <w:numPr>
                <w:ilvl w:val="0"/>
                <w:numId w:val="25"/>
              </w:numPr>
            </w:pPr>
            <w:r w:rsidRPr="00680E4C">
              <w:t>Australian Energy Market Operator</w:t>
            </w:r>
          </w:p>
        </w:tc>
      </w:tr>
      <w:tr w:rsidR="00680E4C" w:rsidTr="00680E4C">
        <w:tc>
          <w:tcPr>
            <w:tcW w:w="4349" w:type="dxa"/>
          </w:tcPr>
          <w:p w:rsidR="00680E4C" w:rsidRPr="00680E4C" w:rsidRDefault="00680E4C" w:rsidP="00680E4C">
            <w:pPr>
              <w:numPr>
                <w:ilvl w:val="0"/>
                <w:numId w:val="25"/>
              </w:numPr>
            </w:pPr>
            <w:r w:rsidRPr="00680E4C">
              <w:t>AER</w:t>
            </w:r>
          </w:p>
        </w:tc>
        <w:tc>
          <w:tcPr>
            <w:tcW w:w="4344" w:type="dxa"/>
          </w:tcPr>
          <w:p w:rsidR="00680E4C" w:rsidRPr="00680E4C" w:rsidRDefault="00680E4C" w:rsidP="00680E4C">
            <w:pPr>
              <w:numPr>
                <w:ilvl w:val="0"/>
                <w:numId w:val="25"/>
              </w:numPr>
            </w:pPr>
            <w:r w:rsidRPr="00680E4C">
              <w:t>Australian Energy Regulator</w:t>
            </w:r>
          </w:p>
        </w:tc>
      </w:tr>
      <w:tr w:rsidR="00680E4C" w:rsidTr="00680E4C">
        <w:trPr>
          <w:cnfStyle w:val="000000010000" w:firstRow="0" w:lastRow="0" w:firstColumn="0" w:lastColumn="0" w:oddVBand="0" w:evenVBand="0" w:oddHBand="0" w:evenHBand="1" w:firstRowFirstColumn="0" w:firstRowLastColumn="0" w:lastRowFirstColumn="0" w:lastRowLastColumn="0"/>
        </w:trPr>
        <w:tc>
          <w:tcPr>
            <w:tcW w:w="4349" w:type="dxa"/>
          </w:tcPr>
          <w:p w:rsidR="00680E4C" w:rsidRPr="00680E4C" w:rsidRDefault="00680E4C" w:rsidP="00680E4C">
            <w:pPr>
              <w:numPr>
                <w:ilvl w:val="0"/>
                <w:numId w:val="25"/>
              </w:numPr>
            </w:pPr>
            <w:r w:rsidRPr="00680E4C">
              <w:t>augex</w:t>
            </w:r>
          </w:p>
        </w:tc>
        <w:tc>
          <w:tcPr>
            <w:tcW w:w="4344" w:type="dxa"/>
          </w:tcPr>
          <w:p w:rsidR="00680E4C" w:rsidRPr="00680E4C" w:rsidRDefault="00680E4C" w:rsidP="00680E4C">
            <w:pPr>
              <w:numPr>
                <w:ilvl w:val="0"/>
                <w:numId w:val="25"/>
              </w:numPr>
            </w:pPr>
            <w:r w:rsidRPr="00680E4C">
              <w:t>augmentation expenditure</w:t>
            </w:r>
          </w:p>
        </w:tc>
      </w:tr>
      <w:tr w:rsidR="00680E4C" w:rsidTr="00680E4C">
        <w:tc>
          <w:tcPr>
            <w:tcW w:w="4349" w:type="dxa"/>
          </w:tcPr>
          <w:p w:rsidR="00680E4C" w:rsidRPr="00680E4C" w:rsidRDefault="00680E4C" w:rsidP="00680E4C">
            <w:pPr>
              <w:numPr>
                <w:ilvl w:val="0"/>
                <w:numId w:val="25"/>
              </w:numPr>
            </w:pPr>
            <w:r w:rsidRPr="00680E4C">
              <w:t>capex</w:t>
            </w:r>
          </w:p>
        </w:tc>
        <w:tc>
          <w:tcPr>
            <w:tcW w:w="4344" w:type="dxa"/>
          </w:tcPr>
          <w:p w:rsidR="00680E4C" w:rsidRPr="00680E4C" w:rsidRDefault="00680E4C" w:rsidP="00680E4C">
            <w:pPr>
              <w:numPr>
                <w:ilvl w:val="0"/>
                <w:numId w:val="25"/>
              </w:numPr>
            </w:pPr>
            <w:r w:rsidRPr="00680E4C">
              <w:t>capital expenditure</w:t>
            </w:r>
          </w:p>
        </w:tc>
      </w:tr>
      <w:tr w:rsidR="00680E4C" w:rsidTr="00680E4C">
        <w:trPr>
          <w:cnfStyle w:val="000000010000" w:firstRow="0" w:lastRow="0" w:firstColumn="0" w:lastColumn="0" w:oddVBand="0" w:evenVBand="0" w:oddHBand="0" w:evenHBand="1" w:firstRowFirstColumn="0" w:firstRowLastColumn="0" w:lastRowFirstColumn="0" w:lastRowLastColumn="0"/>
        </w:trPr>
        <w:tc>
          <w:tcPr>
            <w:tcW w:w="4349" w:type="dxa"/>
          </w:tcPr>
          <w:p w:rsidR="00680E4C" w:rsidRPr="00680E4C" w:rsidRDefault="00680E4C" w:rsidP="00680E4C">
            <w:pPr>
              <w:numPr>
                <w:ilvl w:val="0"/>
                <w:numId w:val="25"/>
              </w:numPr>
            </w:pPr>
            <w:r w:rsidRPr="00680E4C">
              <w:t>CCP</w:t>
            </w:r>
          </w:p>
        </w:tc>
        <w:tc>
          <w:tcPr>
            <w:tcW w:w="4344" w:type="dxa"/>
          </w:tcPr>
          <w:p w:rsidR="00680E4C" w:rsidRPr="00680E4C" w:rsidRDefault="00680E4C" w:rsidP="00680E4C">
            <w:pPr>
              <w:numPr>
                <w:ilvl w:val="0"/>
                <w:numId w:val="25"/>
              </w:numPr>
            </w:pPr>
            <w:r w:rsidRPr="00680E4C">
              <w:t>Consumer Challenge Panel</w:t>
            </w:r>
          </w:p>
        </w:tc>
      </w:tr>
      <w:tr w:rsidR="00680E4C" w:rsidTr="00680E4C">
        <w:tc>
          <w:tcPr>
            <w:tcW w:w="4349" w:type="dxa"/>
          </w:tcPr>
          <w:p w:rsidR="00680E4C" w:rsidRPr="00680E4C" w:rsidRDefault="00680E4C" w:rsidP="00680E4C">
            <w:pPr>
              <w:numPr>
                <w:ilvl w:val="0"/>
                <w:numId w:val="25"/>
              </w:numPr>
            </w:pPr>
            <w:r w:rsidRPr="00680E4C">
              <w:t>CESS</w:t>
            </w:r>
          </w:p>
        </w:tc>
        <w:tc>
          <w:tcPr>
            <w:tcW w:w="4344" w:type="dxa"/>
          </w:tcPr>
          <w:p w:rsidR="00680E4C" w:rsidRPr="00680E4C" w:rsidRDefault="00680E4C" w:rsidP="00680E4C">
            <w:pPr>
              <w:numPr>
                <w:ilvl w:val="0"/>
                <w:numId w:val="25"/>
              </w:numPr>
            </w:pPr>
            <w:r w:rsidRPr="00680E4C">
              <w:t>capital expenditure sharing scheme</w:t>
            </w:r>
          </w:p>
        </w:tc>
      </w:tr>
      <w:tr w:rsidR="00680E4C" w:rsidTr="00680E4C">
        <w:trPr>
          <w:cnfStyle w:val="000000010000" w:firstRow="0" w:lastRow="0" w:firstColumn="0" w:lastColumn="0" w:oddVBand="0" w:evenVBand="0" w:oddHBand="0" w:evenHBand="1" w:firstRowFirstColumn="0" w:firstRowLastColumn="0" w:lastRowFirstColumn="0" w:lastRowLastColumn="0"/>
        </w:trPr>
        <w:tc>
          <w:tcPr>
            <w:tcW w:w="4349" w:type="dxa"/>
          </w:tcPr>
          <w:p w:rsidR="00680E4C" w:rsidRPr="00680E4C" w:rsidRDefault="00680E4C" w:rsidP="00680E4C">
            <w:pPr>
              <w:numPr>
                <w:ilvl w:val="0"/>
                <w:numId w:val="25"/>
              </w:numPr>
            </w:pPr>
            <w:r w:rsidRPr="00680E4C">
              <w:t>CPI</w:t>
            </w:r>
          </w:p>
        </w:tc>
        <w:tc>
          <w:tcPr>
            <w:tcW w:w="4344" w:type="dxa"/>
          </w:tcPr>
          <w:p w:rsidR="00680E4C" w:rsidRPr="00680E4C" w:rsidRDefault="00680E4C" w:rsidP="00680E4C">
            <w:pPr>
              <w:numPr>
                <w:ilvl w:val="0"/>
                <w:numId w:val="25"/>
              </w:numPr>
            </w:pPr>
            <w:r w:rsidRPr="00680E4C">
              <w:t>consumer price index</w:t>
            </w:r>
          </w:p>
        </w:tc>
      </w:tr>
      <w:tr w:rsidR="00680E4C" w:rsidTr="00680E4C">
        <w:tc>
          <w:tcPr>
            <w:tcW w:w="4349" w:type="dxa"/>
          </w:tcPr>
          <w:p w:rsidR="00680E4C" w:rsidRPr="00680E4C" w:rsidRDefault="00680E4C" w:rsidP="00680E4C">
            <w:pPr>
              <w:numPr>
                <w:ilvl w:val="0"/>
                <w:numId w:val="25"/>
              </w:numPr>
            </w:pPr>
            <w:r w:rsidRPr="00680E4C">
              <w:t>DRP</w:t>
            </w:r>
          </w:p>
        </w:tc>
        <w:tc>
          <w:tcPr>
            <w:tcW w:w="4344" w:type="dxa"/>
          </w:tcPr>
          <w:p w:rsidR="00680E4C" w:rsidRPr="00680E4C" w:rsidRDefault="00680E4C" w:rsidP="00680E4C">
            <w:pPr>
              <w:numPr>
                <w:ilvl w:val="0"/>
                <w:numId w:val="25"/>
              </w:numPr>
            </w:pPr>
            <w:r w:rsidRPr="00680E4C">
              <w:t>debt risk premium</w:t>
            </w:r>
          </w:p>
        </w:tc>
      </w:tr>
      <w:tr w:rsidR="00680E4C" w:rsidTr="00680E4C">
        <w:trPr>
          <w:cnfStyle w:val="000000010000" w:firstRow="0" w:lastRow="0" w:firstColumn="0" w:lastColumn="0" w:oddVBand="0" w:evenVBand="0" w:oddHBand="0" w:evenHBand="1" w:firstRowFirstColumn="0" w:firstRowLastColumn="0" w:lastRowFirstColumn="0" w:lastRowLastColumn="0"/>
        </w:trPr>
        <w:tc>
          <w:tcPr>
            <w:tcW w:w="4349" w:type="dxa"/>
          </w:tcPr>
          <w:p w:rsidR="00680E4C" w:rsidRPr="00680E4C" w:rsidRDefault="00680E4C" w:rsidP="00680E4C">
            <w:pPr>
              <w:numPr>
                <w:ilvl w:val="0"/>
                <w:numId w:val="25"/>
              </w:numPr>
            </w:pPr>
            <w:r w:rsidRPr="00680E4C">
              <w:t>DMIA</w:t>
            </w:r>
          </w:p>
        </w:tc>
        <w:tc>
          <w:tcPr>
            <w:tcW w:w="4344" w:type="dxa"/>
          </w:tcPr>
          <w:p w:rsidR="00680E4C" w:rsidRPr="00680E4C" w:rsidRDefault="00680E4C" w:rsidP="00680E4C">
            <w:pPr>
              <w:numPr>
                <w:ilvl w:val="0"/>
                <w:numId w:val="25"/>
              </w:numPr>
            </w:pPr>
            <w:r w:rsidRPr="00680E4C">
              <w:t>demand management innovation allowance</w:t>
            </w:r>
          </w:p>
        </w:tc>
      </w:tr>
      <w:tr w:rsidR="00680E4C" w:rsidTr="00680E4C">
        <w:tc>
          <w:tcPr>
            <w:tcW w:w="4349" w:type="dxa"/>
          </w:tcPr>
          <w:p w:rsidR="00680E4C" w:rsidRPr="00680E4C" w:rsidRDefault="00680E4C" w:rsidP="00680E4C">
            <w:pPr>
              <w:numPr>
                <w:ilvl w:val="0"/>
                <w:numId w:val="25"/>
              </w:numPr>
            </w:pPr>
            <w:r w:rsidRPr="00680E4C">
              <w:t>DMIS</w:t>
            </w:r>
          </w:p>
        </w:tc>
        <w:tc>
          <w:tcPr>
            <w:tcW w:w="4344" w:type="dxa"/>
          </w:tcPr>
          <w:p w:rsidR="00680E4C" w:rsidRPr="00680E4C" w:rsidRDefault="00680E4C" w:rsidP="00680E4C">
            <w:pPr>
              <w:numPr>
                <w:ilvl w:val="0"/>
                <w:numId w:val="25"/>
              </w:numPr>
            </w:pPr>
            <w:r w:rsidRPr="00680E4C">
              <w:t>demand management incentive scheme</w:t>
            </w:r>
          </w:p>
        </w:tc>
      </w:tr>
      <w:tr w:rsidR="00680E4C" w:rsidTr="00680E4C">
        <w:trPr>
          <w:cnfStyle w:val="000000010000" w:firstRow="0" w:lastRow="0" w:firstColumn="0" w:lastColumn="0" w:oddVBand="0" w:evenVBand="0" w:oddHBand="0" w:evenHBand="1" w:firstRowFirstColumn="0" w:firstRowLastColumn="0" w:lastRowFirstColumn="0" w:lastRowLastColumn="0"/>
        </w:trPr>
        <w:tc>
          <w:tcPr>
            <w:tcW w:w="4349" w:type="dxa"/>
          </w:tcPr>
          <w:p w:rsidR="00680E4C" w:rsidRPr="00680E4C" w:rsidRDefault="00680E4C" w:rsidP="00680E4C">
            <w:pPr>
              <w:numPr>
                <w:ilvl w:val="0"/>
                <w:numId w:val="25"/>
              </w:numPr>
            </w:pPr>
            <w:r w:rsidRPr="00680E4C">
              <w:t>distributor</w:t>
            </w:r>
          </w:p>
        </w:tc>
        <w:tc>
          <w:tcPr>
            <w:tcW w:w="4344" w:type="dxa"/>
          </w:tcPr>
          <w:p w:rsidR="00680E4C" w:rsidRPr="00680E4C" w:rsidRDefault="00680E4C" w:rsidP="00680E4C">
            <w:pPr>
              <w:numPr>
                <w:ilvl w:val="0"/>
                <w:numId w:val="25"/>
              </w:numPr>
            </w:pPr>
            <w:r w:rsidRPr="00680E4C">
              <w:t>distribution network service provider</w:t>
            </w:r>
          </w:p>
        </w:tc>
      </w:tr>
      <w:tr w:rsidR="00680E4C" w:rsidTr="00680E4C">
        <w:tc>
          <w:tcPr>
            <w:tcW w:w="4349" w:type="dxa"/>
          </w:tcPr>
          <w:p w:rsidR="00680E4C" w:rsidRPr="00680E4C" w:rsidRDefault="00680E4C" w:rsidP="00680E4C">
            <w:pPr>
              <w:numPr>
                <w:ilvl w:val="0"/>
                <w:numId w:val="25"/>
              </w:numPr>
            </w:pPr>
            <w:r w:rsidRPr="00680E4C">
              <w:t>DUoS</w:t>
            </w:r>
          </w:p>
        </w:tc>
        <w:tc>
          <w:tcPr>
            <w:tcW w:w="4344" w:type="dxa"/>
          </w:tcPr>
          <w:p w:rsidR="00680E4C" w:rsidRPr="00680E4C" w:rsidRDefault="00680E4C" w:rsidP="00680E4C">
            <w:pPr>
              <w:numPr>
                <w:ilvl w:val="0"/>
                <w:numId w:val="25"/>
              </w:numPr>
            </w:pPr>
            <w:r w:rsidRPr="00680E4C">
              <w:t>distribution use of system</w:t>
            </w:r>
          </w:p>
        </w:tc>
      </w:tr>
      <w:tr w:rsidR="00680E4C" w:rsidTr="00680E4C">
        <w:trPr>
          <w:cnfStyle w:val="000000010000" w:firstRow="0" w:lastRow="0" w:firstColumn="0" w:lastColumn="0" w:oddVBand="0" w:evenVBand="0" w:oddHBand="0" w:evenHBand="1" w:firstRowFirstColumn="0" w:firstRowLastColumn="0" w:lastRowFirstColumn="0" w:lastRowLastColumn="0"/>
        </w:trPr>
        <w:tc>
          <w:tcPr>
            <w:tcW w:w="4349" w:type="dxa"/>
          </w:tcPr>
          <w:p w:rsidR="00680E4C" w:rsidRPr="00680E4C" w:rsidRDefault="00680E4C" w:rsidP="00680E4C">
            <w:pPr>
              <w:numPr>
                <w:ilvl w:val="0"/>
                <w:numId w:val="25"/>
              </w:numPr>
            </w:pPr>
            <w:r w:rsidRPr="00680E4C">
              <w:t>EBSS</w:t>
            </w:r>
          </w:p>
        </w:tc>
        <w:tc>
          <w:tcPr>
            <w:tcW w:w="4344" w:type="dxa"/>
          </w:tcPr>
          <w:p w:rsidR="00680E4C" w:rsidRPr="00680E4C" w:rsidRDefault="00680E4C" w:rsidP="00680E4C">
            <w:pPr>
              <w:numPr>
                <w:ilvl w:val="0"/>
                <w:numId w:val="25"/>
              </w:numPr>
            </w:pPr>
            <w:r w:rsidRPr="00680E4C">
              <w:t>efficiency benefit sharing scheme</w:t>
            </w:r>
          </w:p>
        </w:tc>
      </w:tr>
      <w:tr w:rsidR="00680E4C" w:rsidTr="00680E4C">
        <w:tc>
          <w:tcPr>
            <w:tcW w:w="4349" w:type="dxa"/>
          </w:tcPr>
          <w:p w:rsidR="00680E4C" w:rsidRPr="00680E4C" w:rsidRDefault="00680E4C" w:rsidP="00680E4C">
            <w:pPr>
              <w:numPr>
                <w:ilvl w:val="0"/>
                <w:numId w:val="25"/>
              </w:numPr>
            </w:pPr>
            <w:r w:rsidRPr="00680E4C">
              <w:t>ERP</w:t>
            </w:r>
          </w:p>
        </w:tc>
        <w:tc>
          <w:tcPr>
            <w:tcW w:w="4344" w:type="dxa"/>
          </w:tcPr>
          <w:p w:rsidR="00680E4C" w:rsidRPr="00680E4C" w:rsidRDefault="00680E4C" w:rsidP="00680E4C">
            <w:pPr>
              <w:numPr>
                <w:ilvl w:val="0"/>
                <w:numId w:val="25"/>
              </w:numPr>
            </w:pPr>
            <w:r w:rsidRPr="00680E4C">
              <w:t>equity risk premium</w:t>
            </w:r>
          </w:p>
        </w:tc>
      </w:tr>
      <w:tr w:rsidR="00680E4C" w:rsidTr="00680E4C">
        <w:trPr>
          <w:cnfStyle w:val="000000010000" w:firstRow="0" w:lastRow="0" w:firstColumn="0" w:lastColumn="0" w:oddVBand="0" w:evenVBand="0" w:oddHBand="0" w:evenHBand="1" w:firstRowFirstColumn="0" w:firstRowLastColumn="0" w:lastRowFirstColumn="0" w:lastRowLastColumn="0"/>
        </w:trPr>
        <w:tc>
          <w:tcPr>
            <w:tcW w:w="4349" w:type="dxa"/>
          </w:tcPr>
          <w:p w:rsidR="00680E4C" w:rsidRPr="00680E4C" w:rsidRDefault="00680E4C" w:rsidP="00680E4C">
            <w:pPr>
              <w:numPr>
                <w:ilvl w:val="0"/>
                <w:numId w:val="25"/>
              </w:numPr>
            </w:pPr>
            <w:r w:rsidRPr="00680E4C">
              <w:t>Expenditure Assessment Guideline</w:t>
            </w:r>
          </w:p>
        </w:tc>
        <w:tc>
          <w:tcPr>
            <w:tcW w:w="4344" w:type="dxa"/>
          </w:tcPr>
          <w:p w:rsidR="00680E4C" w:rsidRPr="00680E4C" w:rsidRDefault="00680E4C" w:rsidP="00680E4C">
            <w:pPr>
              <w:numPr>
                <w:ilvl w:val="0"/>
                <w:numId w:val="25"/>
              </w:numPr>
            </w:pPr>
            <w:r w:rsidRPr="00680E4C">
              <w:t>expenditure forecast assessment Guideline for electricity distribution</w:t>
            </w:r>
          </w:p>
        </w:tc>
      </w:tr>
      <w:tr w:rsidR="00680E4C" w:rsidTr="00680E4C">
        <w:tc>
          <w:tcPr>
            <w:tcW w:w="4349" w:type="dxa"/>
          </w:tcPr>
          <w:p w:rsidR="00680E4C" w:rsidRPr="00680E4C" w:rsidRDefault="00680E4C" w:rsidP="00680E4C">
            <w:pPr>
              <w:numPr>
                <w:ilvl w:val="0"/>
                <w:numId w:val="25"/>
              </w:numPr>
            </w:pPr>
            <w:r w:rsidRPr="00680E4C">
              <w:t>F&amp;A</w:t>
            </w:r>
          </w:p>
        </w:tc>
        <w:tc>
          <w:tcPr>
            <w:tcW w:w="4344" w:type="dxa"/>
          </w:tcPr>
          <w:p w:rsidR="00680E4C" w:rsidRPr="00680E4C" w:rsidRDefault="00680E4C" w:rsidP="00680E4C">
            <w:pPr>
              <w:numPr>
                <w:ilvl w:val="0"/>
                <w:numId w:val="25"/>
              </w:numPr>
            </w:pPr>
            <w:r w:rsidRPr="00680E4C">
              <w:t>framework and approach</w:t>
            </w:r>
          </w:p>
        </w:tc>
      </w:tr>
      <w:tr w:rsidR="00680E4C" w:rsidTr="00680E4C">
        <w:trPr>
          <w:cnfStyle w:val="000000010000" w:firstRow="0" w:lastRow="0" w:firstColumn="0" w:lastColumn="0" w:oddVBand="0" w:evenVBand="0" w:oddHBand="0" w:evenHBand="1" w:firstRowFirstColumn="0" w:firstRowLastColumn="0" w:lastRowFirstColumn="0" w:lastRowLastColumn="0"/>
        </w:trPr>
        <w:tc>
          <w:tcPr>
            <w:tcW w:w="4349" w:type="dxa"/>
          </w:tcPr>
          <w:p w:rsidR="00680E4C" w:rsidRPr="00680E4C" w:rsidRDefault="00680E4C" w:rsidP="00680E4C">
            <w:pPr>
              <w:numPr>
                <w:ilvl w:val="0"/>
                <w:numId w:val="25"/>
              </w:numPr>
            </w:pPr>
            <w:r w:rsidRPr="00680E4C">
              <w:t>MRP</w:t>
            </w:r>
          </w:p>
        </w:tc>
        <w:tc>
          <w:tcPr>
            <w:tcW w:w="4344" w:type="dxa"/>
          </w:tcPr>
          <w:p w:rsidR="00680E4C" w:rsidRPr="00680E4C" w:rsidRDefault="00680E4C" w:rsidP="00680E4C">
            <w:pPr>
              <w:numPr>
                <w:ilvl w:val="0"/>
                <w:numId w:val="25"/>
              </w:numPr>
            </w:pPr>
            <w:r w:rsidRPr="00680E4C">
              <w:t>market risk premium</w:t>
            </w:r>
          </w:p>
        </w:tc>
      </w:tr>
      <w:tr w:rsidR="00680E4C" w:rsidTr="00680E4C">
        <w:tc>
          <w:tcPr>
            <w:tcW w:w="4349" w:type="dxa"/>
          </w:tcPr>
          <w:p w:rsidR="00680E4C" w:rsidRPr="00680E4C" w:rsidRDefault="00680E4C" w:rsidP="00680E4C">
            <w:pPr>
              <w:numPr>
                <w:ilvl w:val="0"/>
                <w:numId w:val="25"/>
              </w:numPr>
            </w:pPr>
            <w:r w:rsidRPr="00680E4C">
              <w:t>NEL</w:t>
            </w:r>
          </w:p>
        </w:tc>
        <w:tc>
          <w:tcPr>
            <w:tcW w:w="4344" w:type="dxa"/>
          </w:tcPr>
          <w:p w:rsidR="00680E4C" w:rsidRPr="00680E4C" w:rsidRDefault="00680E4C" w:rsidP="00680E4C">
            <w:pPr>
              <w:numPr>
                <w:ilvl w:val="0"/>
                <w:numId w:val="25"/>
              </w:numPr>
            </w:pPr>
            <w:r w:rsidRPr="00680E4C">
              <w:t>national electricity law</w:t>
            </w:r>
          </w:p>
        </w:tc>
      </w:tr>
      <w:tr w:rsidR="00680E4C" w:rsidTr="00680E4C">
        <w:trPr>
          <w:cnfStyle w:val="000000010000" w:firstRow="0" w:lastRow="0" w:firstColumn="0" w:lastColumn="0" w:oddVBand="0" w:evenVBand="0" w:oddHBand="0" w:evenHBand="1" w:firstRowFirstColumn="0" w:firstRowLastColumn="0" w:lastRowFirstColumn="0" w:lastRowLastColumn="0"/>
        </w:trPr>
        <w:tc>
          <w:tcPr>
            <w:tcW w:w="4349" w:type="dxa"/>
          </w:tcPr>
          <w:p w:rsidR="00680E4C" w:rsidRPr="00680E4C" w:rsidRDefault="00680E4C" w:rsidP="00680E4C">
            <w:pPr>
              <w:numPr>
                <w:ilvl w:val="0"/>
                <w:numId w:val="25"/>
              </w:numPr>
            </w:pPr>
            <w:r w:rsidRPr="00680E4C">
              <w:t>NEM</w:t>
            </w:r>
          </w:p>
        </w:tc>
        <w:tc>
          <w:tcPr>
            <w:tcW w:w="4344" w:type="dxa"/>
          </w:tcPr>
          <w:p w:rsidR="00680E4C" w:rsidRPr="00680E4C" w:rsidRDefault="00680E4C" w:rsidP="00680E4C">
            <w:pPr>
              <w:numPr>
                <w:ilvl w:val="0"/>
                <w:numId w:val="25"/>
              </w:numPr>
            </w:pPr>
            <w:r w:rsidRPr="00680E4C">
              <w:t>national electricity market</w:t>
            </w:r>
          </w:p>
        </w:tc>
      </w:tr>
      <w:tr w:rsidR="00680E4C" w:rsidTr="00680E4C">
        <w:tc>
          <w:tcPr>
            <w:tcW w:w="4349" w:type="dxa"/>
          </w:tcPr>
          <w:p w:rsidR="00680E4C" w:rsidRPr="00680E4C" w:rsidRDefault="00680E4C" w:rsidP="00680E4C">
            <w:pPr>
              <w:numPr>
                <w:ilvl w:val="0"/>
                <w:numId w:val="25"/>
              </w:numPr>
            </w:pPr>
            <w:r w:rsidRPr="00680E4C">
              <w:t>NEO</w:t>
            </w:r>
          </w:p>
        </w:tc>
        <w:tc>
          <w:tcPr>
            <w:tcW w:w="4344" w:type="dxa"/>
          </w:tcPr>
          <w:p w:rsidR="00680E4C" w:rsidRPr="00680E4C" w:rsidRDefault="00680E4C" w:rsidP="00680E4C">
            <w:pPr>
              <w:numPr>
                <w:ilvl w:val="0"/>
                <w:numId w:val="25"/>
              </w:numPr>
            </w:pPr>
            <w:r w:rsidRPr="00680E4C">
              <w:t>national electricity objective</w:t>
            </w:r>
          </w:p>
        </w:tc>
      </w:tr>
      <w:tr w:rsidR="00680E4C" w:rsidTr="00680E4C">
        <w:trPr>
          <w:cnfStyle w:val="000000010000" w:firstRow="0" w:lastRow="0" w:firstColumn="0" w:lastColumn="0" w:oddVBand="0" w:evenVBand="0" w:oddHBand="0" w:evenHBand="1" w:firstRowFirstColumn="0" w:firstRowLastColumn="0" w:lastRowFirstColumn="0" w:lastRowLastColumn="0"/>
        </w:trPr>
        <w:tc>
          <w:tcPr>
            <w:tcW w:w="4349" w:type="dxa"/>
          </w:tcPr>
          <w:p w:rsidR="00680E4C" w:rsidRPr="00680E4C" w:rsidRDefault="00680E4C" w:rsidP="00680E4C">
            <w:pPr>
              <w:numPr>
                <w:ilvl w:val="0"/>
                <w:numId w:val="25"/>
              </w:numPr>
            </w:pPr>
            <w:r w:rsidRPr="00680E4C">
              <w:t>NER</w:t>
            </w:r>
          </w:p>
        </w:tc>
        <w:tc>
          <w:tcPr>
            <w:tcW w:w="4344" w:type="dxa"/>
          </w:tcPr>
          <w:p w:rsidR="00680E4C" w:rsidRPr="00680E4C" w:rsidRDefault="00680E4C" w:rsidP="00680E4C">
            <w:pPr>
              <w:numPr>
                <w:ilvl w:val="0"/>
                <w:numId w:val="25"/>
              </w:numPr>
            </w:pPr>
            <w:r w:rsidRPr="00680E4C">
              <w:t>national electricity rules</w:t>
            </w:r>
          </w:p>
        </w:tc>
      </w:tr>
      <w:tr w:rsidR="00680E4C" w:rsidTr="00680E4C">
        <w:tc>
          <w:tcPr>
            <w:tcW w:w="4349" w:type="dxa"/>
          </w:tcPr>
          <w:p w:rsidR="00680E4C" w:rsidRPr="00680E4C" w:rsidRDefault="00680E4C" w:rsidP="00680E4C">
            <w:pPr>
              <w:numPr>
                <w:ilvl w:val="0"/>
                <w:numId w:val="25"/>
              </w:numPr>
            </w:pPr>
            <w:r w:rsidRPr="00680E4C">
              <w:t>NSP</w:t>
            </w:r>
          </w:p>
        </w:tc>
        <w:tc>
          <w:tcPr>
            <w:tcW w:w="4344" w:type="dxa"/>
          </w:tcPr>
          <w:p w:rsidR="00680E4C" w:rsidRPr="00680E4C" w:rsidRDefault="00680E4C" w:rsidP="00680E4C">
            <w:pPr>
              <w:numPr>
                <w:ilvl w:val="0"/>
                <w:numId w:val="25"/>
              </w:numPr>
            </w:pPr>
            <w:r w:rsidRPr="00680E4C">
              <w:t>network service provider</w:t>
            </w:r>
          </w:p>
        </w:tc>
      </w:tr>
      <w:tr w:rsidR="00680E4C" w:rsidTr="00680E4C">
        <w:trPr>
          <w:cnfStyle w:val="000000010000" w:firstRow="0" w:lastRow="0" w:firstColumn="0" w:lastColumn="0" w:oddVBand="0" w:evenVBand="0" w:oddHBand="0" w:evenHBand="1" w:firstRowFirstColumn="0" w:firstRowLastColumn="0" w:lastRowFirstColumn="0" w:lastRowLastColumn="0"/>
        </w:trPr>
        <w:tc>
          <w:tcPr>
            <w:tcW w:w="4349" w:type="dxa"/>
          </w:tcPr>
          <w:p w:rsidR="00680E4C" w:rsidRPr="00680E4C" w:rsidRDefault="00680E4C" w:rsidP="00680E4C">
            <w:pPr>
              <w:numPr>
                <w:ilvl w:val="0"/>
                <w:numId w:val="25"/>
              </w:numPr>
            </w:pPr>
            <w:r w:rsidRPr="00680E4C">
              <w:t>opex</w:t>
            </w:r>
          </w:p>
        </w:tc>
        <w:tc>
          <w:tcPr>
            <w:tcW w:w="4344" w:type="dxa"/>
          </w:tcPr>
          <w:p w:rsidR="00680E4C" w:rsidRPr="00680E4C" w:rsidRDefault="00680E4C" w:rsidP="00680E4C">
            <w:pPr>
              <w:numPr>
                <w:ilvl w:val="0"/>
                <w:numId w:val="25"/>
              </w:numPr>
            </w:pPr>
            <w:r w:rsidRPr="00680E4C">
              <w:t>operating expenditure</w:t>
            </w:r>
          </w:p>
        </w:tc>
      </w:tr>
      <w:tr w:rsidR="00680E4C" w:rsidTr="00680E4C">
        <w:tc>
          <w:tcPr>
            <w:tcW w:w="4349" w:type="dxa"/>
          </w:tcPr>
          <w:p w:rsidR="00680E4C" w:rsidRPr="00680E4C" w:rsidRDefault="00680E4C" w:rsidP="00680E4C">
            <w:pPr>
              <w:numPr>
                <w:ilvl w:val="0"/>
                <w:numId w:val="25"/>
              </w:numPr>
            </w:pPr>
            <w:r w:rsidRPr="00680E4C">
              <w:t>PPI</w:t>
            </w:r>
          </w:p>
        </w:tc>
        <w:tc>
          <w:tcPr>
            <w:tcW w:w="4344" w:type="dxa"/>
          </w:tcPr>
          <w:p w:rsidR="00680E4C" w:rsidRPr="00680E4C" w:rsidRDefault="00680E4C" w:rsidP="00680E4C">
            <w:pPr>
              <w:numPr>
                <w:ilvl w:val="0"/>
                <w:numId w:val="25"/>
              </w:numPr>
            </w:pPr>
            <w:r w:rsidRPr="00680E4C">
              <w:t>partial performance indicators</w:t>
            </w:r>
          </w:p>
        </w:tc>
      </w:tr>
      <w:tr w:rsidR="00680E4C" w:rsidTr="00680E4C">
        <w:trPr>
          <w:cnfStyle w:val="000000010000" w:firstRow="0" w:lastRow="0" w:firstColumn="0" w:lastColumn="0" w:oddVBand="0" w:evenVBand="0" w:oddHBand="0" w:evenHBand="1" w:firstRowFirstColumn="0" w:firstRowLastColumn="0" w:lastRowFirstColumn="0" w:lastRowLastColumn="0"/>
        </w:trPr>
        <w:tc>
          <w:tcPr>
            <w:tcW w:w="4349" w:type="dxa"/>
          </w:tcPr>
          <w:p w:rsidR="00680E4C" w:rsidRPr="00680E4C" w:rsidRDefault="00680E4C" w:rsidP="00680E4C">
            <w:pPr>
              <w:numPr>
                <w:ilvl w:val="0"/>
                <w:numId w:val="25"/>
              </w:numPr>
            </w:pPr>
            <w:r w:rsidRPr="00680E4C">
              <w:t>PTRM</w:t>
            </w:r>
          </w:p>
        </w:tc>
        <w:tc>
          <w:tcPr>
            <w:tcW w:w="4344" w:type="dxa"/>
          </w:tcPr>
          <w:p w:rsidR="00680E4C" w:rsidRPr="00680E4C" w:rsidRDefault="00680E4C" w:rsidP="00680E4C">
            <w:pPr>
              <w:numPr>
                <w:ilvl w:val="0"/>
                <w:numId w:val="25"/>
              </w:numPr>
            </w:pPr>
            <w:r w:rsidRPr="00680E4C">
              <w:t>post-tax revenue model</w:t>
            </w:r>
          </w:p>
        </w:tc>
      </w:tr>
      <w:tr w:rsidR="00680E4C" w:rsidTr="00680E4C">
        <w:tc>
          <w:tcPr>
            <w:tcW w:w="4349" w:type="dxa"/>
          </w:tcPr>
          <w:p w:rsidR="00680E4C" w:rsidRPr="00680E4C" w:rsidRDefault="00680E4C" w:rsidP="00680E4C">
            <w:pPr>
              <w:numPr>
                <w:ilvl w:val="0"/>
                <w:numId w:val="25"/>
              </w:numPr>
            </w:pPr>
            <w:r w:rsidRPr="00680E4C">
              <w:t>RAB</w:t>
            </w:r>
          </w:p>
        </w:tc>
        <w:tc>
          <w:tcPr>
            <w:tcW w:w="4344" w:type="dxa"/>
          </w:tcPr>
          <w:p w:rsidR="00680E4C" w:rsidRPr="00680E4C" w:rsidRDefault="00680E4C" w:rsidP="00680E4C">
            <w:pPr>
              <w:numPr>
                <w:ilvl w:val="0"/>
                <w:numId w:val="25"/>
              </w:numPr>
            </w:pPr>
            <w:r w:rsidRPr="00680E4C">
              <w:t>regulatory asset base</w:t>
            </w:r>
          </w:p>
        </w:tc>
      </w:tr>
      <w:tr w:rsidR="00680E4C" w:rsidTr="00680E4C">
        <w:trPr>
          <w:cnfStyle w:val="000000010000" w:firstRow="0" w:lastRow="0" w:firstColumn="0" w:lastColumn="0" w:oddVBand="0" w:evenVBand="0" w:oddHBand="0" w:evenHBand="1" w:firstRowFirstColumn="0" w:firstRowLastColumn="0" w:lastRowFirstColumn="0" w:lastRowLastColumn="0"/>
        </w:trPr>
        <w:tc>
          <w:tcPr>
            <w:tcW w:w="4349" w:type="dxa"/>
          </w:tcPr>
          <w:p w:rsidR="00680E4C" w:rsidRPr="00680E4C" w:rsidRDefault="00680E4C" w:rsidP="00680E4C">
            <w:pPr>
              <w:numPr>
                <w:ilvl w:val="0"/>
                <w:numId w:val="25"/>
              </w:numPr>
            </w:pPr>
            <w:r w:rsidRPr="00680E4C">
              <w:t>RBA</w:t>
            </w:r>
          </w:p>
        </w:tc>
        <w:tc>
          <w:tcPr>
            <w:tcW w:w="4344" w:type="dxa"/>
          </w:tcPr>
          <w:p w:rsidR="00680E4C" w:rsidRPr="00680E4C" w:rsidRDefault="00680E4C" w:rsidP="00680E4C">
            <w:pPr>
              <w:numPr>
                <w:ilvl w:val="0"/>
                <w:numId w:val="25"/>
              </w:numPr>
            </w:pPr>
            <w:r w:rsidRPr="00680E4C">
              <w:t>Reserve Bank of Australia</w:t>
            </w:r>
          </w:p>
        </w:tc>
      </w:tr>
      <w:tr w:rsidR="00680E4C" w:rsidTr="00680E4C">
        <w:tc>
          <w:tcPr>
            <w:tcW w:w="4349" w:type="dxa"/>
          </w:tcPr>
          <w:p w:rsidR="00680E4C" w:rsidRPr="00680E4C" w:rsidRDefault="00680E4C" w:rsidP="00680E4C">
            <w:pPr>
              <w:numPr>
                <w:ilvl w:val="0"/>
                <w:numId w:val="25"/>
              </w:numPr>
            </w:pPr>
            <w:r w:rsidRPr="00680E4C">
              <w:t>repex</w:t>
            </w:r>
          </w:p>
        </w:tc>
        <w:tc>
          <w:tcPr>
            <w:tcW w:w="4344" w:type="dxa"/>
          </w:tcPr>
          <w:p w:rsidR="00680E4C" w:rsidRPr="00680E4C" w:rsidRDefault="00680E4C" w:rsidP="00680E4C">
            <w:pPr>
              <w:numPr>
                <w:ilvl w:val="0"/>
                <w:numId w:val="25"/>
              </w:numPr>
            </w:pPr>
            <w:r w:rsidRPr="00680E4C">
              <w:t>replacement expenditure</w:t>
            </w:r>
          </w:p>
        </w:tc>
      </w:tr>
      <w:tr w:rsidR="00680E4C" w:rsidTr="00680E4C">
        <w:trPr>
          <w:cnfStyle w:val="000000010000" w:firstRow="0" w:lastRow="0" w:firstColumn="0" w:lastColumn="0" w:oddVBand="0" w:evenVBand="0" w:oddHBand="0" w:evenHBand="1" w:firstRowFirstColumn="0" w:firstRowLastColumn="0" w:lastRowFirstColumn="0" w:lastRowLastColumn="0"/>
        </w:trPr>
        <w:tc>
          <w:tcPr>
            <w:tcW w:w="4349" w:type="dxa"/>
          </w:tcPr>
          <w:p w:rsidR="00680E4C" w:rsidRPr="00680E4C" w:rsidRDefault="00680E4C" w:rsidP="00680E4C">
            <w:pPr>
              <w:numPr>
                <w:ilvl w:val="0"/>
                <w:numId w:val="25"/>
              </w:numPr>
            </w:pPr>
            <w:r w:rsidRPr="00680E4C">
              <w:t>RFM</w:t>
            </w:r>
          </w:p>
        </w:tc>
        <w:tc>
          <w:tcPr>
            <w:tcW w:w="4344" w:type="dxa"/>
          </w:tcPr>
          <w:p w:rsidR="00680E4C" w:rsidRPr="00680E4C" w:rsidRDefault="00680E4C" w:rsidP="00680E4C">
            <w:pPr>
              <w:numPr>
                <w:ilvl w:val="0"/>
                <w:numId w:val="25"/>
              </w:numPr>
            </w:pPr>
            <w:r w:rsidRPr="00680E4C">
              <w:t>roll forward model</w:t>
            </w:r>
          </w:p>
        </w:tc>
      </w:tr>
      <w:tr w:rsidR="00680E4C" w:rsidTr="00680E4C">
        <w:tc>
          <w:tcPr>
            <w:tcW w:w="4349" w:type="dxa"/>
          </w:tcPr>
          <w:p w:rsidR="00680E4C" w:rsidRPr="00680E4C" w:rsidRDefault="00680E4C" w:rsidP="00680E4C">
            <w:pPr>
              <w:numPr>
                <w:ilvl w:val="0"/>
                <w:numId w:val="25"/>
              </w:numPr>
            </w:pPr>
            <w:r w:rsidRPr="00680E4C">
              <w:lastRenderedPageBreak/>
              <w:t>RIN</w:t>
            </w:r>
          </w:p>
        </w:tc>
        <w:tc>
          <w:tcPr>
            <w:tcW w:w="4344" w:type="dxa"/>
          </w:tcPr>
          <w:p w:rsidR="00680E4C" w:rsidRPr="00680E4C" w:rsidRDefault="00680E4C" w:rsidP="00680E4C">
            <w:pPr>
              <w:numPr>
                <w:ilvl w:val="0"/>
                <w:numId w:val="25"/>
              </w:numPr>
            </w:pPr>
            <w:r w:rsidRPr="00680E4C">
              <w:t>regulatory information notice</w:t>
            </w:r>
          </w:p>
        </w:tc>
      </w:tr>
      <w:tr w:rsidR="00680E4C" w:rsidTr="00680E4C">
        <w:trPr>
          <w:cnfStyle w:val="000000010000" w:firstRow="0" w:lastRow="0" w:firstColumn="0" w:lastColumn="0" w:oddVBand="0" w:evenVBand="0" w:oddHBand="0" w:evenHBand="1" w:firstRowFirstColumn="0" w:firstRowLastColumn="0" w:lastRowFirstColumn="0" w:lastRowLastColumn="0"/>
        </w:trPr>
        <w:tc>
          <w:tcPr>
            <w:tcW w:w="4349" w:type="dxa"/>
          </w:tcPr>
          <w:p w:rsidR="00680E4C" w:rsidRPr="00680E4C" w:rsidRDefault="00680E4C" w:rsidP="00680E4C">
            <w:pPr>
              <w:numPr>
                <w:ilvl w:val="0"/>
                <w:numId w:val="25"/>
              </w:numPr>
            </w:pPr>
            <w:r w:rsidRPr="00680E4C">
              <w:t>RPP</w:t>
            </w:r>
          </w:p>
        </w:tc>
        <w:tc>
          <w:tcPr>
            <w:tcW w:w="4344" w:type="dxa"/>
          </w:tcPr>
          <w:p w:rsidR="00680E4C" w:rsidRPr="00680E4C" w:rsidRDefault="00680E4C" w:rsidP="00680E4C">
            <w:pPr>
              <w:numPr>
                <w:ilvl w:val="0"/>
                <w:numId w:val="25"/>
              </w:numPr>
            </w:pPr>
            <w:r w:rsidRPr="00680E4C">
              <w:t>revenue and pricing principles</w:t>
            </w:r>
          </w:p>
        </w:tc>
      </w:tr>
      <w:tr w:rsidR="00680E4C" w:rsidTr="00680E4C">
        <w:tc>
          <w:tcPr>
            <w:tcW w:w="4349" w:type="dxa"/>
          </w:tcPr>
          <w:p w:rsidR="00680E4C" w:rsidRPr="00680E4C" w:rsidRDefault="00680E4C" w:rsidP="00680E4C">
            <w:pPr>
              <w:numPr>
                <w:ilvl w:val="0"/>
                <w:numId w:val="25"/>
              </w:numPr>
            </w:pPr>
            <w:r w:rsidRPr="00680E4C">
              <w:t>SAIDI</w:t>
            </w:r>
          </w:p>
        </w:tc>
        <w:tc>
          <w:tcPr>
            <w:tcW w:w="4344" w:type="dxa"/>
          </w:tcPr>
          <w:p w:rsidR="00680E4C" w:rsidRPr="00680E4C" w:rsidRDefault="00680E4C" w:rsidP="00680E4C">
            <w:pPr>
              <w:numPr>
                <w:ilvl w:val="0"/>
                <w:numId w:val="25"/>
              </w:numPr>
            </w:pPr>
            <w:r w:rsidRPr="00680E4C">
              <w:t>system average interruption duration index</w:t>
            </w:r>
          </w:p>
        </w:tc>
      </w:tr>
      <w:tr w:rsidR="00680E4C" w:rsidTr="00680E4C">
        <w:trPr>
          <w:cnfStyle w:val="000000010000" w:firstRow="0" w:lastRow="0" w:firstColumn="0" w:lastColumn="0" w:oddVBand="0" w:evenVBand="0" w:oddHBand="0" w:evenHBand="1" w:firstRowFirstColumn="0" w:firstRowLastColumn="0" w:lastRowFirstColumn="0" w:lastRowLastColumn="0"/>
        </w:trPr>
        <w:tc>
          <w:tcPr>
            <w:tcW w:w="4349" w:type="dxa"/>
          </w:tcPr>
          <w:p w:rsidR="00680E4C" w:rsidRPr="00680E4C" w:rsidRDefault="00680E4C" w:rsidP="00680E4C">
            <w:pPr>
              <w:numPr>
                <w:ilvl w:val="0"/>
                <w:numId w:val="25"/>
              </w:numPr>
            </w:pPr>
            <w:r w:rsidRPr="00680E4C">
              <w:t>SAIFI</w:t>
            </w:r>
          </w:p>
        </w:tc>
        <w:tc>
          <w:tcPr>
            <w:tcW w:w="4344" w:type="dxa"/>
          </w:tcPr>
          <w:p w:rsidR="00680E4C" w:rsidRPr="00680E4C" w:rsidRDefault="00680E4C" w:rsidP="00680E4C">
            <w:pPr>
              <w:numPr>
                <w:ilvl w:val="0"/>
                <w:numId w:val="25"/>
              </w:numPr>
            </w:pPr>
            <w:r w:rsidRPr="00680E4C">
              <w:t>system average interruption frequency index</w:t>
            </w:r>
          </w:p>
        </w:tc>
      </w:tr>
      <w:tr w:rsidR="00680E4C" w:rsidTr="00680E4C">
        <w:tc>
          <w:tcPr>
            <w:tcW w:w="4349" w:type="dxa"/>
          </w:tcPr>
          <w:p w:rsidR="00680E4C" w:rsidRPr="00680E4C" w:rsidRDefault="00680E4C" w:rsidP="00680E4C">
            <w:pPr>
              <w:numPr>
                <w:ilvl w:val="0"/>
                <w:numId w:val="25"/>
              </w:numPr>
            </w:pPr>
            <w:r w:rsidRPr="00680E4C">
              <w:t>SLCAPM</w:t>
            </w:r>
          </w:p>
        </w:tc>
        <w:tc>
          <w:tcPr>
            <w:tcW w:w="4344" w:type="dxa"/>
          </w:tcPr>
          <w:p w:rsidR="00680E4C" w:rsidRPr="00680E4C" w:rsidRDefault="00680E4C" w:rsidP="00680E4C">
            <w:pPr>
              <w:numPr>
                <w:ilvl w:val="0"/>
                <w:numId w:val="25"/>
              </w:numPr>
            </w:pPr>
            <w:r w:rsidRPr="00680E4C">
              <w:t>Sharpe-Lintner capital asset pricing model</w:t>
            </w:r>
          </w:p>
        </w:tc>
      </w:tr>
      <w:tr w:rsidR="00680E4C" w:rsidTr="00680E4C">
        <w:trPr>
          <w:cnfStyle w:val="000000010000" w:firstRow="0" w:lastRow="0" w:firstColumn="0" w:lastColumn="0" w:oddVBand="0" w:evenVBand="0" w:oddHBand="0" w:evenHBand="1" w:firstRowFirstColumn="0" w:firstRowLastColumn="0" w:lastRowFirstColumn="0" w:lastRowLastColumn="0"/>
        </w:trPr>
        <w:tc>
          <w:tcPr>
            <w:tcW w:w="4349" w:type="dxa"/>
          </w:tcPr>
          <w:p w:rsidR="00680E4C" w:rsidRPr="00680E4C" w:rsidRDefault="00680E4C" w:rsidP="00680E4C">
            <w:pPr>
              <w:numPr>
                <w:ilvl w:val="0"/>
                <w:numId w:val="25"/>
              </w:numPr>
            </w:pPr>
            <w:r w:rsidRPr="00680E4C">
              <w:t>STPIS</w:t>
            </w:r>
          </w:p>
        </w:tc>
        <w:tc>
          <w:tcPr>
            <w:tcW w:w="4344" w:type="dxa"/>
          </w:tcPr>
          <w:p w:rsidR="00680E4C" w:rsidRPr="00680E4C" w:rsidRDefault="00680E4C" w:rsidP="00680E4C">
            <w:pPr>
              <w:numPr>
                <w:ilvl w:val="0"/>
                <w:numId w:val="25"/>
              </w:numPr>
            </w:pPr>
            <w:r w:rsidRPr="00680E4C">
              <w:t>service target performance incentive scheme</w:t>
            </w:r>
          </w:p>
        </w:tc>
      </w:tr>
      <w:tr w:rsidR="00680E4C" w:rsidTr="00680E4C">
        <w:tc>
          <w:tcPr>
            <w:tcW w:w="4349" w:type="dxa"/>
          </w:tcPr>
          <w:p w:rsidR="00680E4C" w:rsidRPr="00680E4C" w:rsidRDefault="00680E4C" w:rsidP="00680E4C">
            <w:pPr>
              <w:numPr>
                <w:ilvl w:val="0"/>
                <w:numId w:val="25"/>
              </w:numPr>
            </w:pPr>
            <w:r w:rsidRPr="00680E4C">
              <w:t>WACC</w:t>
            </w:r>
          </w:p>
        </w:tc>
        <w:tc>
          <w:tcPr>
            <w:tcW w:w="4344" w:type="dxa"/>
          </w:tcPr>
          <w:p w:rsidR="00680E4C" w:rsidRPr="00680E4C" w:rsidRDefault="00680E4C" w:rsidP="00680E4C">
            <w:pPr>
              <w:numPr>
                <w:ilvl w:val="0"/>
                <w:numId w:val="25"/>
              </w:numPr>
            </w:pPr>
            <w:r w:rsidRPr="00680E4C">
              <w:t>weighted average cost of capital</w:t>
            </w:r>
          </w:p>
        </w:tc>
      </w:tr>
    </w:tbl>
    <w:p w:rsidR="00DE563D" w:rsidRPr="00436A39" w:rsidRDefault="00DE563D" w:rsidP="00DE563D">
      <w:pPr>
        <w:numPr>
          <w:ilvl w:val="0"/>
          <w:numId w:val="25"/>
        </w:numPr>
      </w:pPr>
    </w:p>
    <w:p w:rsidR="00DE563D" w:rsidRDefault="00DE563D" w:rsidP="00DE563D"/>
    <w:p w:rsidR="00DE563D" w:rsidRDefault="00940391" w:rsidP="00940391">
      <w:pPr>
        <w:pStyle w:val="Heading1"/>
      </w:pPr>
      <w:bookmarkStart w:id="10" w:name="_Toc417631972"/>
      <w:r w:rsidRPr="00940391">
        <w:lastRenderedPageBreak/>
        <w:t>Corporate income tax</w:t>
      </w:r>
      <w:bookmarkEnd w:id="10"/>
    </w:p>
    <w:p w:rsidR="00E82A83" w:rsidRPr="00E82A83" w:rsidRDefault="00E82A83" w:rsidP="00AC7638">
      <w:r w:rsidRPr="00E82A83">
        <w:t>We are required to make a decision on the estimated cost of corporate income tax for ActewAGL</w:t>
      </w:r>
      <w:r w:rsidR="00290098">
        <w:t xml:space="preserve"> in the</w:t>
      </w:r>
      <w:r w:rsidRPr="00E82A83">
        <w:t xml:space="preserve"> 2014–19 period.</w:t>
      </w:r>
      <w:r w:rsidR="00281FBD">
        <w:rPr>
          <w:rStyle w:val="FootnoteReference"/>
        </w:rPr>
        <w:footnoteReference w:id="1"/>
      </w:r>
      <w:r w:rsidRPr="00E82A83">
        <w:t xml:space="preserve"> Under the post-tax framework, a corporate income tax allowance is calculated as part of the building block assessment using our post-tax revenue model (PTRM). This amount enables ActewAGL to recover the costs associated with the estimated corporate income tax payable during the 2014–19 period. </w:t>
      </w:r>
    </w:p>
    <w:p w:rsidR="00DE563D" w:rsidRDefault="00E82A83" w:rsidP="00AC7638">
      <w:r w:rsidRPr="00E82A83">
        <w:t xml:space="preserve">This attachment presents our </w:t>
      </w:r>
      <w:r w:rsidR="00A13EBC">
        <w:t xml:space="preserve">final decision on </w:t>
      </w:r>
      <w:r w:rsidRPr="00E82A83">
        <w:t xml:space="preserve">ActewAGL's </w:t>
      </w:r>
      <w:r w:rsidR="00B72D10">
        <w:t xml:space="preserve">revised proposed </w:t>
      </w:r>
      <w:r w:rsidRPr="00E82A83">
        <w:t xml:space="preserve">corporate income tax allowances for the 2014–19 period in respect of its distribution and transmission networks. It also presents our </w:t>
      </w:r>
      <w:r w:rsidR="009A52A1">
        <w:t>final decision on</w:t>
      </w:r>
      <w:r w:rsidRPr="00E82A83">
        <w:t xml:space="preserve"> its</w:t>
      </w:r>
      <w:r w:rsidR="009A52A1">
        <w:t xml:space="preserve"> revised</w:t>
      </w:r>
      <w:r w:rsidRPr="00E82A83">
        <w:t xml:space="preserve"> proposed opening tax asset bases (TABs), and the standard and remaining tax asset lives used to estimate tax depreciation for the purpose of calculating tax expenses.</w:t>
      </w:r>
    </w:p>
    <w:p w:rsidR="00DE563D" w:rsidRPr="001754EE" w:rsidRDefault="00415F31" w:rsidP="001754EE">
      <w:pPr>
        <w:pStyle w:val="Heading2"/>
      </w:pPr>
      <w:bookmarkStart w:id="11" w:name="_Toc403144136"/>
      <w:bookmarkStart w:id="12" w:name="_Toc417631973"/>
      <w:r w:rsidRPr="001754EE">
        <w:t>Final</w:t>
      </w:r>
      <w:r w:rsidR="00DE563D" w:rsidRPr="001754EE">
        <w:t xml:space="preserve"> decision</w:t>
      </w:r>
      <w:bookmarkEnd w:id="11"/>
      <w:bookmarkEnd w:id="12"/>
    </w:p>
    <w:p w:rsidR="00E82A83" w:rsidRDefault="00E82A83" w:rsidP="00E82A83">
      <w:bookmarkStart w:id="13" w:name="_Toc403144137"/>
      <w:r w:rsidRPr="00E82A83">
        <w:t xml:space="preserve">We do not accept ActewAGL's </w:t>
      </w:r>
      <w:r w:rsidR="00A90284">
        <w:t xml:space="preserve">revised </w:t>
      </w:r>
      <w:r w:rsidRPr="00E82A83">
        <w:t>proposed cost of corporate income tax allowances of $</w:t>
      </w:r>
      <w:r w:rsidR="001E2375">
        <w:t>47.6</w:t>
      </w:r>
      <w:r w:rsidRPr="00E82A83">
        <w:t xml:space="preserve"> million and $</w:t>
      </w:r>
      <w:r w:rsidR="001E2375">
        <w:t>8.1</w:t>
      </w:r>
      <w:r w:rsidRPr="00E82A83">
        <w:t xml:space="preserve"> million ($ nominal) for its distribution and transmission networks respectively. Our </w:t>
      </w:r>
      <w:r w:rsidR="00A13EBC">
        <w:t>final</w:t>
      </w:r>
      <w:r w:rsidRPr="00E82A83">
        <w:t xml:space="preserve"> decision on the estimated cost of corporate income tax is $</w:t>
      </w:r>
      <w:r w:rsidR="00F36B47">
        <w:t>26.6</w:t>
      </w:r>
      <w:r w:rsidRPr="00E82A83">
        <w:t xml:space="preserve"> million and $</w:t>
      </w:r>
      <w:r w:rsidR="00F36B47">
        <w:t>3.9</w:t>
      </w:r>
      <w:r w:rsidRPr="00E82A83">
        <w:t xml:space="preserve"> million ($ nominal) for ActewAGL's distribution and transmission networks respectively over the 2014–19 period. This represents a reduction of $</w:t>
      </w:r>
      <w:r w:rsidR="00F36B47">
        <w:t>20.9</w:t>
      </w:r>
      <w:r w:rsidRPr="00E82A83">
        <w:t xml:space="preserve"> million (or </w:t>
      </w:r>
      <w:r w:rsidR="00F36B47">
        <w:t>44.0</w:t>
      </w:r>
      <w:r w:rsidRPr="00E82A83">
        <w:t xml:space="preserve"> per cent) for its distribution network and a reduction of $</w:t>
      </w:r>
      <w:r w:rsidR="00F36B47">
        <w:t>4.2</w:t>
      </w:r>
      <w:r w:rsidRPr="00E82A83">
        <w:t xml:space="preserve"> million (or </w:t>
      </w:r>
      <w:r w:rsidR="00F36B47">
        <w:t>51.7</w:t>
      </w:r>
      <w:r w:rsidRPr="00E82A83">
        <w:t xml:space="preserve"> per cent) for its transmission network compared to its </w:t>
      </w:r>
      <w:r w:rsidR="009A52A1">
        <w:t xml:space="preserve">revised </w:t>
      </w:r>
      <w:r w:rsidRPr="00E82A83">
        <w:t>proposal.</w:t>
      </w:r>
      <w:r>
        <w:t xml:space="preserve"> </w:t>
      </w:r>
    </w:p>
    <w:p w:rsidR="002C233C" w:rsidRDefault="00E82A83" w:rsidP="00E82A83">
      <w:r w:rsidRPr="00E82A83">
        <w:t xml:space="preserve">These reductions reflect our </w:t>
      </w:r>
      <w:r>
        <w:t>final decision</w:t>
      </w:r>
      <w:r w:rsidRPr="00E82A83">
        <w:t xml:space="preserve"> on the value of imputation credits—gamma—(attachment 4)</w:t>
      </w:r>
      <w:r>
        <w:t>, and c</w:t>
      </w:r>
      <w:r w:rsidRPr="00E82A83">
        <w:t>hanges to building block costs affect</w:t>
      </w:r>
      <w:r w:rsidR="009A52A1">
        <w:t>ing</w:t>
      </w:r>
      <w:r w:rsidRPr="00E82A83">
        <w:t xml:space="preserve"> revenues, which also impact the tax calculation. The changes affecting revenues are discussed in attachment 1.</w:t>
      </w:r>
    </w:p>
    <w:p w:rsidR="00E82A83" w:rsidRDefault="00281FBD" w:rsidP="00E82A83">
      <w:r>
        <w:fldChar w:fldCharType="begin"/>
      </w:r>
      <w:r>
        <w:instrText xml:space="preserve"> REF _Ref411951690 \h </w:instrText>
      </w:r>
      <w:r>
        <w:fldChar w:fldCharType="separate"/>
      </w:r>
      <w:r w:rsidR="004B70E5">
        <w:t xml:space="preserve">Table </w:t>
      </w:r>
      <w:r w:rsidR="004B70E5">
        <w:rPr>
          <w:noProof/>
        </w:rPr>
        <w:t>8</w:t>
      </w:r>
      <w:r w:rsidR="004B70E5">
        <w:t>.</w:t>
      </w:r>
      <w:r w:rsidR="004B70E5">
        <w:rPr>
          <w:noProof/>
        </w:rPr>
        <w:t>1</w:t>
      </w:r>
      <w:r>
        <w:fldChar w:fldCharType="end"/>
      </w:r>
      <w:r>
        <w:t xml:space="preserve"> </w:t>
      </w:r>
      <w:r w:rsidR="00E82A83" w:rsidRPr="00E82A83">
        <w:t>and</w:t>
      </w:r>
      <w:r>
        <w:t xml:space="preserve"> </w:t>
      </w:r>
      <w:r>
        <w:fldChar w:fldCharType="begin"/>
      </w:r>
      <w:r>
        <w:instrText xml:space="preserve"> REF _Ref411951696 \h </w:instrText>
      </w:r>
      <w:r>
        <w:fldChar w:fldCharType="separate"/>
      </w:r>
      <w:r w:rsidR="004B70E5">
        <w:t xml:space="preserve">Table </w:t>
      </w:r>
      <w:r w:rsidR="004B70E5">
        <w:rPr>
          <w:noProof/>
        </w:rPr>
        <w:t>8</w:t>
      </w:r>
      <w:r w:rsidR="004B70E5">
        <w:t>.</w:t>
      </w:r>
      <w:r w:rsidR="004B70E5">
        <w:rPr>
          <w:noProof/>
        </w:rPr>
        <w:t>2</w:t>
      </w:r>
      <w:r>
        <w:fldChar w:fldCharType="end"/>
      </w:r>
      <w:r w:rsidR="00E82A83" w:rsidRPr="00E82A83">
        <w:t xml:space="preserve"> set out our </w:t>
      </w:r>
      <w:r w:rsidR="001E2375">
        <w:t>final</w:t>
      </w:r>
      <w:r w:rsidR="00E82A83" w:rsidRPr="00E82A83">
        <w:t xml:space="preserve"> decision on the estimated cost of corporate income tax allowances for ActewAGL's distribution and transmission networks respectively. </w:t>
      </w:r>
    </w:p>
    <w:p w:rsidR="004D0422" w:rsidRDefault="004D0422" w:rsidP="00E82A83"/>
    <w:p w:rsidR="004D0422" w:rsidRDefault="004D0422" w:rsidP="00E82A83"/>
    <w:p w:rsidR="004D0422" w:rsidRDefault="004D0422" w:rsidP="00E82A83"/>
    <w:p w:rsidR="00E82A83" w:rsidRDefault="00E82A83" w:rsidP="00E82A83">
      <w:pPr>
        <w:pStyle w:val="Caption"/>
      </w:pPr>
      <w:bookmarkStart w:id="14" w:name="_Ref411951690"/>
      <w:r>
        <w:lastRenderedPageBreak/>
        <w:t xml:space="preserve">Table </w:t>
      </w:r>
      <w:r w:rsidR="00203C82">
        <w:fldChar w:fldCharType="begin"/>
      </w:r>
      <w:r w:rsidR="00203C82">
        <w:instrText xml:space="preserve"> STYLEREF 1 \s </w:instrText>
      </w:r>
      <w:r w:rsidR="00203C82">
        <w:fldChar w:fldCharType="separate"/>
      </w:r>
      <w:r w:rsidR="004B70E5">
        <w:rPr>
          <w:noProof/>
        </w:rPr>
        <w:t>8</w:t>
      </w:r>
      <w:r w:rsidR="00203C82">
        <w:rPr>
          <w:noProof/>
        </w:rPr>
        <w:fldChar w:fldCharType="end"/>
      </w:r>
      <w:r w:rsidR="004B70E5">
        <w:t>.</w:t>
      </w:r>
      <w:r w:rsidR="00203C82">
        <w:fldChar w:fldCharType="begin"/>
      </w:r>
      <w:r w:rsidR="00203C82">
        <w:instrText xml:space="preserve"> SEQ Table \* ARABIC \s 1 </w:instrText>
      </w:r>
      <w:r w:rsidR="00203C82">
        <w:fldChar w:fldCharType="separate"/>
      </w:r>
      <w:r w:rsidR="004B70E5">
        <w:rPr>
          <w:noProof/>
        </w:rPr>
        <w:t>1</w:t>
      </w:r>
      <w:r w:rsidR="00203C82">
        <w:rPr>
          <w:noProof/>
        </w:rPr>
        <w:fldChar w:fldCharType="end"/>
      </w:r>
      <w:bookmarkEnd w:id="14"/>
      <w:r>
        <w:tab/>
        <w:t xml:space="preserve">AER's final decision on ActewAGL's cost of corporate income tax allowance for the 2014–19 period </w:t>
      </w:r>
      <w:r w:rsidR="00F203ED">
        <w:t>($ million, nominal) –</w:t>
      </w:r>
      <w:r>
        <w:t xml:space="preserve"> distribution</w:t>
      </w:r>
    </w:p>
    <w:tbl>
      <w:tblPr>
        <w:tblStyle w:val="AERtable-numbers"/>
        <w:tblW w:w="0" w:type="auto"/>
        <w:tblLook w:val="04A0" w:firstRow="1" w:lastRow="0" w:firstColumn="1" w:lastColumn="0" w:noHBand="0" w:noVBand="1"/>
      </w:tblPr>
      <w:tblGrid>
        <w:gridCol w:w="2943"/>
        <w:gridCol w:w="993"/>
        <w:gridCol w:w="992"/>
        <w:gridCol w:w="992"/>
        <w:gridCol w:w="992"/>
        <w:gridCol w:w="993"/>
        <w:gridCol w:w="788"/>
      </w:tblGrid>
      <w:tr w:rsidR="00E82A83" w:rsidTr="00E82A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E82A83" w:rsidRDefault="00E82A83" w:rsidP="00E82A83"/>
        </w:tc>
        <w:tc>
          <w:tcPr>
            <w:tcW w:w="993" w:type="dxa"/>
          </w:tcPr>
          <w:p w:rsidR="00E82A83" w:rsidRDefault="00E82A83" w:rsidP="00E82A83">
            <w:pPr>
              <w:cnfStyle w:val="100000000000" w:firstRow="1" w:lastRow="0" w:firstColumn="0" w:lastColumn="0" w:oddVBand="0" w:evenVBand="0" w:oddHBand="0" w:evenHBand="0" w:firstRowFirstColumn="0" w:firstRowLastColumn="0" w:lastRowFirstColumn="0" w:lastRowLastColumn="0"/>
            </w:pPr>
            <w:r>
              <w:t>2014–15</w:t>
            </w:r>
          </w:p>
        </w:tc>
        <w:tc>
          <w:tcPr>
            <w:tcW w:w="992" w:type="dxa"/>
          </w:tcPr>
          <w:p w:rsidR="00E82A83" w:rsidRDefault="00E82A83" w:rsidP="00E82A83">
            <w:pPr>
              <w:cnfStyle w:val="100000000000" w:firstRow="1" w:lastRow="0" w:firstColumn="0" w:lastColumn="0" w:oddVBand="0" w:evenVBand="0" w:oddHBand="0" w:evenHBand="0" w:firstRowFirstColumn="0" w:firstRowLastColumn="0" w:lastRowFirstColumn="0" w:lastRowLastColumn="0"/>
            </w:pPr>
            <w:r>
              <w:t>2015–16</w:t>
            </w:r>
          </w:p>
        </w:tc>
        <w:tc>
          <w:tcPr>
            <w:tcW w:w="992" w:type="dxa"/>
          </w:tcPr>
          <w:p w:rsidR="00E82A83" w:rsidRDefault="00E82A83" w:rsidP="00E82A83">
            <w:pPr>
              <w:cnfStyle w:val="100000000000" w:firstRow="1" w:lastRow="0" w:firstColumn="0" w:lastColumn="0" w:oddVBand="0" w:evenVBand="0" w:oddHBand="0" w:evenHBand="0" w:firstRowFirstColumn="0" w:firstRowLastColumn="0" w:lastRowFirstColumn="0" w:lastRowLastColumn="0"/>
            </w:pPr>
            <w:r>
              <w:t>2016–17</w:t>
            </w:r>
          </w:p>
        </w:tc>
        <w:tc>
          <w:tcPr>
            <w:tcW w:w="992" w:type="dxa"/>
          </w:tcPr>
          <w:p w:rsidR="00E82A83" w:rsidRDefault="00E82A83" w:rsidP="00E82A83">
            <w:pPr>
              <w:cnfStyle w:val="100000000000" w:firstRow="1" w:lastRow="0" w:firstColumn="0" w:lastColumn="0" w:oddVBand="0" w:evenVBand="0" w:oddHBand="0" w:evenHBand="0" w:firstRowFirstColumn="0" w:firstRowLastColumn="0" w:lastRowFirstColumn="0" w:lastRowLastColumn="0"/>
            </w:pPr>
            <w:r>
              <w:t>2017–18</w:t>
            </w:r>
          </w:p>
        </w:tc>
        <w:tc>
          <w:tcPr>
            <w:tcW w:w="993" w:type="dxa"/>
          </w:tcPr>
          <w:p w:rsidR="00E82A83" w:rsidRDefault="00E82A83" w:rsidP="00E82A83">
            <w:pPr>
              <w:cnfStyle w:val="100000000000" w:firstRow="1" w:lastRow="0" w:firstColumn="0" w:lastColumn="0" w:oddVBand="0" w:evenVBand="0" w:oddHBand="0" w:evenHBand="0" w:firstRowFirstColumn="0" w:firstRowLastColumn="0" w:lastRowFirstColumn="0" w:lastRowLastColumn="0"/>
            </w:pPr>
            <w:r>
              <w:t>2018–19</w:t>
            </w:r>
          </w:p>
        </w:tc>
        <w:tc>
          <w:tcPr>
            <w:tcW w:w="788" w:type="dxa"/>
          </w:tcPr>
          <w:p w:rsidR="00E82A83" w:rsidRDefault="00E82A83" w:rsidP="00E82A83">
            <w:pPr>
              <w:cnfStyle w:val="100000000000" w:firstRow="1" w:lastRow="0" w:firstColumn="0" w:lastColumn="0" w:oddVBand="0" w:evenVBand="0" w:oddHBand="0" w:evenHBand="0" w:firstRowFirstColumn="0" w:firstRowLastColumn="0" w:lastRowFirstColumn="0" w:lastRowLastColumn="0"/>
            </w:pPr>
            <w:r>
              <w:t>Total</w:t>
            </w:r>
          </w:p>
        </w:tc>
      </w:tr>
      <w:tr w:rsidR="00F36B47" w:rsidTr="005F4936">
        <w:tc>
          <w:tcPr>
            <w:cnfStyle w:val="001000000000" w:firstRow="0" w:lastRow="0" w:firstColumn="1" w:lastColumn="0" w:oddVBand="0" w:evenVBand="0" w:oddHBand="0" w:evenHBand="0" w:firstRowFirstColumn="0" w:firstRowLastColumn="0" w:lastRowFirstColumn="0" w:lastRowLastColumn="0"/>
            <w:tcW w:w="2943" w:type="dxa"/>
          </w:tcPr>
          <w:p w:rsidR="00F36B47" w:rsidRPr="00F36B47" w:rsidRDefault="00F36B47" w:rsidP="00F36B47">
            <w:r w:rsidRPr="00F36B47">
              <w:t>Tax payable</w:t>
            </w:r>
          </w:p>
        </w:tc>
        <w:tc>
          <w:tcPr>
            <w:tcW w:w="993" w:type="dxa"/>
            <w:vAlign w:val="bottom"/>
          </w:tcPr>
          <w:p w:rsidR="00F36B47" w:rsidRPr="00F36B47" w:rsidRDefault="00F36B47" w:rsidP="00F36B47">
            <w:pPr>
              <w:cnfStyle w:val="000000000000" w:firstRow="0" w:lastRow="0" w:firstColumn="0" w:lastColumn="0" w:oddVBand="0" w:evenVBand="0" w:oddHBand="0" w:evenHBand="0" w:firstRowFirstColumn="0" w:firstRowLastColumn="0" w:lastRowFirstColumn="0" w:lastRowLastColumn="0"/>
            </w:pPr>
            <w:r w:rsidRPr="00F36B47">
              <w:t>8.0</w:t>
            </w:r>
          </w:p>
        </w:tc>
        <w:tc>
          <w:tcPr>
            <w:tcW w:w="992" w:type="dxa"/>
            <w:vAlign w:val="bottom"/>
          </w:tcPr>
          <w:p w:rsidR="00F36B47" w:rsidRPr="00F36B47" w:rsidRDefault="00F36B47" w:rsidP="00F36B47">
            <w:pPr>
              <w:cnfStyle w:val="000000000000" w:firstRow="0" w:lastRow="0" w:firstColumn="0" w:lastColumn="0" w:oddVBand="0" w:evenVBand="0" w:oddHBand="0" w:evenHBand="0" w:firstRowFirstColumn="0" w:firstRowLastColumn="0" w:lastRowFirstColumn="0" w:lastRowLastColumn="0"/>
            </w:pPr>
            <w:r w:rsidRPr="00F36B47">
              <w:t>8.5</w:t>
            </w:r>
          </w:p>
        </w:tc>
        <w:tc>
          <w:tcPr>
            <w:tcW w:w="992" w:type="dxa"/>
            <w:vAlign w:val="bottom"/>
          </w:tcPr>
          <w:p w:rsidR="00F36B47" w:rsidRPr="00F36B47" w:rsidRDefault="00F36B47" w:rsidP="00F36B47">
            <w:pPr>
              <w:cnfStyle w:val="000000000000" w:firstRow="0" w:lastRow="0" w:firstColumn="0" w:lastColumn="0" w:oddVBand="0" w:evenVBand="0" w:oddHBand="0" w:evenHBand="0" w:firstRowFirstColumn="0" w:firstRowLastColumn="0" w:lastRowFirstColumn="0" w:lastRowLastColumn="0"/>
            </w:pPr>
            <w:r w:rsidRPr="00F36B47">
              <w:t>8.0</w:t>
            </w:r>
          </w:p>
        </w:tc>
        <w:tc>
          <w:tcPr>
            <w:tcW w:w="992" w:type="dxa"/>
            <w:vAlign w:val="bottom"/>
          </w:tcPr>
          <w:p w:rsidR="00F36B47" w:rsidRPr="00F36B47" w:rsidRDefault="00F36B47" w:rsidP="00F36B47">
            <w:pPr>
              <w:cnfStyle w:val="000000000000" w:firstRow="0" w:lastRow="0" w:firstColumn="0" w:lastColumn="0" w:oddVBand="0" w:evenVBand="0" w:oddHBand="0" w:evenHBand="0" w:firstRowFirstColumn="0" w:firstRowLastColumn="0" w:lastRowFirstColumn="0" w:lastRowLastColumn="0"/>
            </w:pPr>
            <w:r w:rsidRPr="00F36B47">
              <w:t>9.8</w:t>
            </w:r>
          </w:p>
        </w:tc>
        <w:tc>
          <w:tcPr>
            <w:tcW w:w="993" w:type="dxa"/>
            <w:vAlign w:val="bottom"/>
          </w:tcPr>
          <w:p w:rsidR="00F36B47" w:rsidRPr="00F36B47" w:rsidRDefault="00F36B47" w:rsidP="00F36B47">
            <w:pPr>
              <w:cnfStyle w:val="000000000000" w:firstRow="0" w:lastRow="0" w:firstColumn="0" w:lastColumn="0" w:oddVBand="0" w:evenVBand="0" w:oddHBand="0" w:evenHBand="0" w:firstRowFirstColumn="0" w:firstRowLastColumn="0" w:lastRowFirstColumn="0" w:lastRowLastColumn="0"/>
            </w:pPr>
            <w:r w:rsidRPr="00F36B47">
              <w:t>10.0</w:t>
            </w:r>
          </w:p>
        </w:tc>
        <w:tc>
          <w:tcPr>
            <w:tcW w:w="788" w:type="dxa"/>
            <w:vAlign w:val="bottom"/>
          </w:tcPr>
          <w:p w:rsidR="00F36B47" w:rsidRPr="00F36B47" w:rsidRDefault="00F36B47" w:rsidP="00F36B47">
            <w:pPr>
              <w:cnfStyle w:val="000000000000" w:firstRow="0" w:lastRow="0" w:firstColumn="0" w:lastColumn="0" w:oddVBand="0" w:evenVBand="0" w:oddHBand="0" w:evenHBand="0" w:firstRowFirstColumn="0" w:firstRowLastColumn="0" w:lastRowFirstColumn="0" w:lastRowLastColumn="0"/>
            </w:pPr>
            <w:r w:rsidRPr="00F36B47">
              <w:t>44.4</w:t>
            </w:r>
          </w:p>
        </w:tc>
      </w:tr>
      <w:tr w:rsidR="00F36B47" w:rsidTr="005F4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F36B47" w:rsidRPr="00F36B47" w:rsidRDefault="00F36B47" w:rsidP="00F36B47">
            <w:r w:rsidRPr="00F36B47">
              <w:rPr>
                <w:rStyle w:val="AERtextitalic"/>
              </w:rPr>
              <w:t>Less</w:t>
            </w:r>
            <w:r w:rsidRPr="00F36B47">
              <w:t>: value of imputation credits</w:t>
            </w:r>
          </w:p>
        </w:tc>
        <w:tc>
          <w:tcPr>
            <w:tcW w:w="993" w:type="dxa"/>
            <w:vAlign w:val="bottom"/>
          </w:tcPr>
          <w:p w:rsidR="00F36B47" w:rsidRPr="00F36B47" w:rsidRDefault="00F36B47" w:rsidP="00F36B47">
            <w:pPr>
              <w:cnfStyle w:val="000000010000" w:firstRow="0" w:lastRow="0" w:firstColumn="0" w:lastColumn="0" w:oddVBand="0" w:evenVBand="0" w:oddHBand="0" w:evenHBand="1" w:firstRowFirstColumn="0" w:firstRowLastColumn="0" w:lastRowFirstColumn="0" w:lastRowLastColumn="0"/>
            </w:pPr>
            <w:r w:rsidRPr="00F36B47">
              <w:t>3.2</w:t>
            </w:r>
          </w:p>
        </w:tc>
        <w:tc>
          <w:tcPr>
            <w:tcW w:w="992" w:type="dxa"/>
            <w:vAlign w:val="bottom"/>
          </w:tcPr>
          <w:p w:rsidR="00F36B47" w:rsidRPr="00F36B47" w:rsidRDefault="00F36B47" w:rsidP="00F36B47">
            <w:pPr>
              <w:cnfStyle w:val="000000010000" w:firstRow="0" w:lastRow="0" w:firstColumn="0" w:lastColumn="0" w:oddVBand="0" w:evenVBand="0" w:oddHBand="0" w:evenHBand="1" w:firstRowFirstColumn="0" w:firstRowLastColumn="0" w:lastRowFirstColumn="0" w:lastRowLastColumn="0"/>
            </w:pPr>
            <w:r w:rsidRPr="00F36B47">
              <w:t>3.4</w:t>
            </w:r>
          </w:p>
        </w:tc>
        <w:tc>
          <w:tcPr>
            <w:tcW w:w="992" w:type="dxa"/>
            <w:vAlign w:val="bottom"/>
          </w:tcPr>
          <w:p w:rsidR="00F36B47" w:rsidRPr="00F36B47" w:rsidRDefault="00F36B47" w:rsidP="00F36B47">
            <w:pPr>
              <w:cnfStyle w:val="000000010000" w:firstRow="0" w:lastRow="0" w:firstColumn="0" w:lastColumn="0" w:oddVBand="0" w:evenVBand="0" w:oddHBand="0" w:evenHBand="1" w:firstRowFirstColumn="0" w:firstRowLastColumn="0" w:lastRowFirstColumn="0" w:lastRowLastColumn="0"/>
            </w:pPr>
            <w:r w:rsidRPr="00F36B47">
              <w:t>3.2</w:t>
            </w:r>
          </w:p>
        </w:tc>
        <w:tc>
          <w:tcPr>
            <w:tcW w:w="992" w:type="dxa"/>
            <w:vAlign w:val="bottom"/>
          </w:tcPr>
          <w:p w:rsidR="00F36B47" w:rsidRPr="00F36B47" w:rsidRDefault="00F36B47" w:rsidP="00F36B47">
            <w:pPr>
              <w:cnfStyle w:val="000000010000" w:firstRow="0" w:lastRow="0" w:firstColumn="0" w:lastColumn="0" w:oddVBand="0" w:evenVBand="0" w:oddHBand="0" w:evenHBand="1" w:firstRowFirstColumn="0" w:firstRowLastColumn="0" w:lastRowFirstColumn="0" w:lastRowLastColumn="0"/>
            </w:pPr>
            <w:r w:rsidRPr="00F36B47">
              <w:t>3.9</w:t>
            </w:r>
          </w:p>
        </w:tc>
        <w:tc>
          <w:tcPr>
            <w:tcW w:w="993" w:type="dxa"/>
            <w:vAlign w:val="bottom"/>
          </w:tcPr>
          <w:p w:rsidR="00F36B47" w:rsidRPr="00F36B47" w:rsidRDefault="00F36B47" w:rsidP="00F36B47">
            <w:pPr>
              <w:cnfStyle w:val="000000010000" w:firstRow="0" w:lastRow="0" w:firstColumn="0" w:lastColumn="0" w:oddVBand="0" w:evenVBand="0" w:oddHBand="0" w:evenHBand="1" w:firstRowFirstColumn="0" w:firstRowLastColumn="0" w:lastRowFirstColumn="0" w:lastRowLastColumn="0"/>
            </w:pPr>
            <w:r w:rsidRPr="00F36B47">
              <w:t>4.0</w:t>
            </w:r>
          </w:p>
        </w:tc>
        <w:tc>
          <w:tcPr>
            <w:tcW w:w="788" w:type="dxa"/>
            <w:vAlign w:val="bottom"/>
          </w:tcPr>
          <w:p w:rsidR="00F36B47" w:rsidRPr="00F36B47" w:rsidRDefault="00F36B47" w:rsidP="00F36B47">
            <w:pPr>
              <w:cnfStyle w:val="000000010000" w:firstRow="0" w:lastRow="0" w:firstColumn="0" w:lastColumn="0" w:oddVBand="0" w:evenVBand="0" w:oddHBand="0" w:evenHBand="1" w:firstRowFirstColumn="0" w:firstRowLastColumn="0" w:lastRowFirstColumn="0" w:lastRowLastColumn="0"/>
            </w:pPr>
            <w:r w:rsidRPr="00F36B47">
              <w:t>17.8</w:t>
            </w:r>
          </w:p>
        </w:tc>
      </w:tr>
      <w:tr w:rsidR="00F36B47" w:rsidRPr="009A52A1" w:rsidTr="005F4936">
        <w:tc>
          <w:tcPr>
            <w:cnfStyle w:val="001000000000" w:firstRow="0" w:lastRow="0" w:firstColumn="1" w:lastColumn="0" w:oddVBand="0" w:evenVBand="0" w:oddHBand="0" w:evenHBand="0" w:firstRowFirstColumn="0" w:firstRowLastColumn="0" w:lastRowFirstColumn="0" w:lastRowLastColumn="0"/>
            <w:tcW w:w="2943" w:type="dxa"/>
          </w:tcPr>
          <w:p w:rsidR="00F36B47" w:rsidRPr="00F36B47" w:rsidRDefault="00F36B47" w:rsidP="00F36B47">
            <w:pPr>
              <w:rPr>
                <w:rStyle w:val="Strong"/>
              </w:rPr>
            </w:pPr>
            <w:r w:rsidRPr="00F36B47">
              <w:rPr>
                <w:rStyle w:val="Strong"/>
              </w:rPr>
              <w:t>Corporate income tax allowance</w:t>
            </w:r>
          </w:p>
        </w:tc>
        <w:tc>
          <w:tcPr>
            <w:tcW w:w="993" w:type="dxa"/>
            <w:vAlign w:val="bottom"/>
          </w:tcPr>
          <w:p w:rsidR="00F36B47" w:rsidRPr="00F36B47" w:rsidRDefault="00F36B47" w:rsidP="00F36B47">
            <w:pPr>
              <w:cnfStyle w:val="000000000000" w:firstRow="0" w:lastRow="0" w:firstColumn="0" w:lastColumn="0" w:oddVBand="0" w:evenVBand="0" w:oddHBand="0" w:evenHBand="0" w:firstRowFirstColumn="0" w:firstRowLastColumn="0" w:lastRowFirstColumn="0" w:lastRowLastColumn="0"/>
              <w:rPr>
                <w:rStyle w:val="Strong"/>
              </w:rPr>
            </w:pPr>
            <w:r w:rsidRPr="00F36B47">
              <w:rPr>
                <w:rStyle w:val="Strong"/>
              </w:rPr>
              <w:t>4.8</w:t>
            </w:r>
          </w:p>
        </w:tc>
        <w:tc>
          <w:tcPr>
            <w:tcW w:w="992" w:type="dxa"/>
            <w:vAlign w:val="bottom"/>
          </w:tcPr>
          <w:p w:rsidR="00F36B47" w:rsidRPr="00F36B47" w:rsidRDefault="00F36B47" w:rsidP="00F36B47">
            <w:pPr>
              <w:cnfStyle w:val="000000000000" w:firstRow="0" w:lastRow="0" w:firstColumn="0" w:lastColumn="0" w:oddVBand="0" w:evenVBand="0" w:oddHBand="0" w:evenHBand="0" w:firstRowFirstColumn="0" w:firstRowLastColumn="0" w:lastRowFirstColumn="0" w:lastRowLastColumn="0"/>
              <w:rPr>
                <w:rStyle w:val="Strong"/>
              </w:rPr>
            </w:pPr>
            <w:r w:rsidRPr="00F36B47">
              <w:rPr>
                <w:rStyle w:val="Strong"/>
              </w:rPr>
              <w:t>5.1</w:t>
            </w:r>
          </w:p>
        </w:tc>
        <w:tc>
          <w:tcPr>
            <w:tcW w:w="992" w:type="dxa"/>
            <w:vAlign w:val="bottom"/>
          </w:tcPr>
          <w:p w:rsidR="00F36B47" w:rsidRPr="00F36B47" w:rsidRDefault="00F36B47" w:rsidP="00F36B47">
            <w:pPr>
              <w:cnfStyle w:val="000000000000" w:firstRow="0" w:lastRow="0" w:firstColumn="0" w:lastColumn="0" w:oddVBand="0" w:evenVBand="0" w:oddHBand="0" w:evenHBand="0" w:firstRowFirstColumn="0" w:firstRowLastColumn="0" w:lastRowFirstColumn="0" w:lastRowLastColumn="0"/>
              <w:rPr>
                <w:rStyle w:val="Strong"/>
              </w:rPr>
            </w:pPr>
            <w:r w:rsidRPr="00F36B47">
              <w:rPr>
                <w:rStyle w:val="Strong"/>
              </w:rPr>
              <w:t>4.8</w:t>
            </w:r>
          </w:p>
        </w:tc>
        <w:tc>
          <w:tcPr>
            <w:tcW w:w="992" w:type="dxa"/>
            <w:vAlign w:val="bottom"/>
          </w:tcPr>
          <w:p w:rsidR="00F36B47" w:rsidRPr="00F36B47" w:rsidRDefault="00F36B47" w:rsidP="00F36B47">
            <w:pPr>
              <w:cnfStyle w:val="000000000000" w:firstRow="0" w:lastRow="0" w:firstColumn="0" w:lastColumn="0" w:oddVBand="0" w:evenVBand="0" w:oddHBand="0" w:evenHBand="0" w:firstRowFirstColumn="0" w:firstRowLastColumn="0" w:lastRowFirstColumn="0" w:lastRowLastColumn="0"/>
              <w:rPr>
                <w:rStyle w:val="Strong"/>
              </w:rPr>
            </w:pPr>
            <w:r w:rsidRPr="00F36B47">
              <w:rPr>
                <w:rStyle w:val="Strong"/>
              </w:rPr>
              <w:t>5.9</w:t>
            </w:r>
          </w:p>
        </w:tc>
        <w:tc>
          <w:tcPr>
            <w:tcW w:w="993" w:type="dxa"/>
            <w:vAlign w:val="bottom"/>
          </w:tcPr>
          <w:p w:rsidR="00F36B47" w:rsidRPr="00F36B47" w:rsidRDefault="00F36B47" w:rsidP="00F36B47">
            <w:pPr>
              <w:cnfStyle w:val="000000000000" w:firstRow="0" w:lastRow="0" w:firstColumn="0" w:lastColumn="0" w:oddVBand="0" w:evenVBand="0" w:oddHBand="0" w:evenHBand="0" w:firstRowFirstColumn="0" w:firstRowLastColumn="0" w:lastRowFirstColumn="0" w:lastRowLastColumn="0"/>
              <w:rPr>
                <w:rStyle w:val="Strong"/>
              </w:rPr>
            </w:pPr>
            <w:r w:rsidRPr="00F36B47">
              <w:rPr>
                <w:rStyle w:val="Strong"/>
              </w:rPr>
              <w:t>6.0</w:t>
            </w:r>
          </w:p>
        </w:tc>
        <w:tc>
          <w:tcPr>
            <w:tcW w:w="788" w:type="dxa"/>
            <w:vAlign w:val="bottom"/>
          </w:tcPr>
          <w:p w:rsidR="00F36B47" w:rsidRPr="00F36B47" w:rsidRDefault="00F36B47" w:rsidP="00F36B47">
            <w:pPr>
              <w:cnfStyle w:val="000000000000" w:firstRow="0" w:lastRow="0" w:firstColumn="0" w:lastColumn="0" w:oddVBand="0" w:evenVBand="0" w:oddHBand="0" w:evenHBand="0" w:firstRowFirstColumn="0" w:firstRowLastColumn="0" w:lastRowFirstColumn="0" w:lastRowLastColumn="0"/>
              <w:rPr>
                <w:rStyle w:val="Strong"/>
              </w:rPr>
            </w:pPr>
            <w:r w:rsidRPr="00F36B47">
              <w:rPr>
                <w:rStyle w:val="Strong"/>
              </w:rPr>
              <w:t>26.6</w:t>
            </w:r>
          </w:p>
        </w:tc>
      </w:tr>
    </w:tbl>
    <w:p w:rsidR="00E82A83" w:rsidRDefault="00E82A83" w:rsidP="00E82A83">
      <w:pPr>
        <w:pStyle w:val="AERtablesource"/>
      </w:pPr>
      <w:r>
        <w:t>Source:</w:t>
      </w:r>
      <w:r>
        <w:tab/>
        <w:t>AER analysis.</w:t>
      </w:r>
    </w:p>
    <w:p w:rsidR="00E82A83" w:rsidRPr="00E82A83" w:rsidRDefault="00E82A83" w:rsidP="00E82A83">
      <w:pPr>
        <w:pStyle w:val="Caption"/>
      </w:pPr>
      <w:bookmarkStart w:id="15" w:name="_Ref411951696"/>
      <w:r>
        <w:t xml:space="preserve">Table </w:t>
      </w:r>
      <w:r w:rsidR="00203C82">
        <w:fldChar w:fldCharType="begin"/>
      </w:r>
      <w:r w:rsidR="00203C82">
        <w:instrText xml:space="preserve"> STYLEREF 1 \s </w:instrText>
      </w:r>
      <w:r w:rsidR="00203C82">
        <w:fldChar w:fldCharType="separate"/>
      </w:r>
      <w:r w:rsidR="004B70E5">
        <w:rPr>
          <w:noProof/>
        </w:rPr>
        <w:t>8</w:t>
      </w:r>
      <w:r w:rsidR="00203C82">
        <w:rPr>
          <w:noProof/>
        </w:rPr>
        <w:fldChar w:fldCharType="end"/>
      </w:r>
      <w:r w:rsidR="004B70E5">
        <w:t>.</w:t>
      </w:r>
      <w:r w:rsidR="00203C82">
        <w:fldChar w:fldCharType="begin"/>
      </w:r>
      <w:r w:rsidR="00203C82">
        <w:instrText xml:space="preserve"> SEQ Table \* ARABIC \s 1 </w:instrText>
      </w:r>
      <w:r w:rsidR="00203C82">
        <w:fldChar w:fldCharType="separate"/>
      </w:r>
      <w:r w:rsidR="004B70E5">
        <w:rPr>
          <w:noProof/>
        </w:rPr>
        <w:t>2</w:t>
      </w:r>
      <w:r w:rsidR="00203C82">
        <w:rPr>
          <w:noProof/>
        </w:rPr>
        <w:fldChar w:fldCharType="end"/>
      </w:r>
      <w:bookmarkEnd w:id="15"/>
      <w:r>
        <w:tab/>
        <w:t>AER final decision on ActewAGL's cost of corporate income tax allowance for the 2014–19 period ($ million, nominal)</w:t>
      </w:r>
      <w:r w:rsidR="0025043E">
        <w:t xml:space="preserve"> – transmission</w:t>
      </w:r>
    </w:p>
    <w:tbl>
      <w:tblPr>
        <w:tblStyle w:val="AERtable-numbers"/>
        <w:tblW w:w="0" w:type="auto"/>
        <w:tblLook w:val="04A0" w:firstRow="1" w:lastRow="0" w:firstColumn="1" w:lastColumn="0" w:noHBand="0" w:noVBand="1"/>
      </w:tblPr>
      <w:tblGrid>
        <w:gridCol w:w="2943"/>
        <w:gridCol w:w="993"/>
        <w:gridCol w:w="992"/>
        <w:gridCol w:w="992"/>
        <w:gridCol w:w="992"/>
        <w:gridCol w:w="993"/>
        <w:gridCol w:w="788"/>
      </w:tblGrid>
      <w:tr w:rsidR="00E82A83" w:rsidTr="00170D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E82A83" w:rsidRDefault="00E82A83" w:rsidP="00E82A83"/>
        </w:tc>
        <w:tc>
          <w:tcPr>
            <w:tcW w:w="993" w:type="dxa"/>
          </w:tcPr>
          <w:p w:rsidR="00E82A83" w:rsidRPr="00E82A83" w:rsidRDefault="00E82A83" w:rsidP="00E82A83">
            <w:pPr>
              <w:cnfStyle w:val="100000000000" w:firstRow="1" w:lastRow="0" w:firstColumn="0" w:lastColumn="0" w:oddVBand="0" w:evenVBand="0" w:oddHBand="0" w:evenHBand="0" w:firstRowFirstColumn="0" w:firstRowLastColumn="0" w:lastRowFirstColumn="0" w:lastRowLastColumn="0"/>
            </w:pPr>
            <w:r>
              <w:t>2014–15</w:t>
            </w:r>
          </w:p>
        </w:tc>
        <w:tc>
          <w:tcPr>
            <w:tcW w:w="992" w:type="dxa"/>
          </w:tcPr>
          <w:p w:rsidR="00E82A83" w:rsidRPr="00E82A83" w:rsidRDefault="00E82A83" w:rsidP="00E82A83">
            <w:pPr>
              <w:cnfStyle w:val="100000000000" w:firstRow="1" w:lastRow="0" w:firstColumn="0" w:lastColumn="0" w:oddVBand="0" w:evenVBand="0" w:oddHBand="0" w:evenHBand="0" w:firstRowFirstColumn="0" w:firstRowLastColumn="0" w:lastRowFirstColumn="0" w:lastRowLastColumn="0"/>
            </w:pPr>
            <w:r>
              <w:t>2</w:t>
            </w:r>
            <w:r w:rsidRPr="00E82A83">
              <w:t>015–16</w:t>
            </w:r>
          </w:p>
        </w:tc>
        <w:tc>
          <w:tcPr>
            <w:tcW w:w="992" w:type="dxa"/>
          </w:tcPr>
          <w:p w:rsidR="00E82A83" w:rsidRPr="00E82A83" w:rsidRDefault="00E82A83" w:rsidP="00E82A83">
            <w:pPr>
              <w:cnfStyle w:val="100000000000" w:firstRow="1" w:lastRow="0" w:firstColumn="0" w:lastColumn="0" w:oddVBand="0" w:evenVBand="0" w:oddHBand="0" w:evenHBand="0" w:firstRowFirstColumn="0" w:firstRowLastColumn="0" w:lastRowFirstColumn="0" w:lastRowLastColumn="0"/>
            </w:pPr>
            <w:r>
              <w:t>2016–17</w:t>
            </w:r>
          </w:p>
        </w:tc>
        <w:tc>
          <w:tcPr>
            <w:tcW w:w="992" w:type="dxa"/>
          </w:tcPr>
          <w:p w:rsidR="00E82A83" w:rsidRPr="00E82A83" w:rsidRDefault="00E82A83" w:rsidP="00E82A83">
            <w:pPr>
              <w:cnfStyle w:val="100000000000" w:firstRow="1" w:lastRow="0" w:firstColumn="0" w:lastColumn="0" w:oddVBand="0" w:evenVBand="0" w:oddHBand="0" w:evenHBand="0" w:firstRowFirstColumn="0" w:firstRowLastColumn="0" w:lastRowFirstColumn="0" w:lastRowLastColumn="0"/>
            </w:pPr>
            <w:r>
              <w:t>2017–18</w:t>
            </w:r>
          </w:p>
        </w:tc>
        <w:tc>
          <w:tcPr>
            <w:tcW w:w="993" w:type="dxa"/>
          </w:tcPr>
          <w:p w:rsidR="00E82A83" w:rsidRPr="00E82A83" w:rsidRDefault="00E82A83" w:rsidP="00E82A83">
            <w:pPr>
              <w:cnfStyle w:val="100000000000" w:firstRow="1" w:lastRow="0" w:firstColumn="0" w:lastColumn="0" w:oddVBand="0" w:evenVBand="0" w:oddHBand="0" w:evenHBand="0" w:firstRowFirstColumn="0" w:firstRowLastColumn="0" w:lastRowFirstColumn="0" w:lastRowLastColumn="0"/>
            </w:pPr>
            <w:r>
              <w:t>2018–19</w:t>
            </w:r>
          </w:p>
        </w:tc>
        <w:tc>
          <w:tcPr>
            <w:tcW w:w="788" w:type="dxa"/>
          </w:tcPr>
          <w:p w:rsidR="00E82A83" w:rsidRPr="00E82A83" w:rsidRDefault="00E82A83" w:rsidP="00E82A83">
            <w:pPr>
              <w:cnfStyle w:val="100000000000" w:firstRow="1" w:lastRow="0" w:firstColumn="0" w:lastColumn="0" w:oddVBand="0" w:evenVBand="0" w:oddHBand="0" w:evenHBand="0" w:firstRowFirstColumn="0" w:firstRowLastColumn="0" w:lastRowFirstColumn="0" w:lastRowLastColumn="0"/>
            </w:pPr>
            <w:r>
              <w:t>Total</w:t>
            </w:r>
          </w:p>
        </w:tc>
      </w:tr>
      <w:tr w:rsidR="00F36B47" w:rsidTr="005F4936">
        <w:tc>
          <w:tcPr>
            <w:cnfStyle w:val="001000000000" w:firstRow="0" w:lastRow="0" w:firstColumn="1" w:lastColumn="0" w:oddVBand="0" w:evenVBand="0" w:oddHBand="0" w:evenHBand="0" w:firstRowFirstColumn="0" w:firstRowLastColumn="0" w:lastRowFirstColumn="0" w:lastRowLastColumn="0"/>
            <w:tcW w:w="2943" w:type="dxa"/>
          </w:tcPr>
          <w:p w:rsidR="00F36B47" w:rsidRPr="00F36B47" w:rsidRDefault="00F36B47" w:rsidP="00F36B47">
            <w:r w:rsidRPr="00F36B47">
              <w:t>Tax payable</w:t>
            </w:r>
          </w:p>
        </w:tc>
        <w:tc>
          <w:tcPr>
            <w:tcW w:w="993" w:type="dxa"/>
            <w:vAlign w:val="bottom"/>
          </w:tcPr>
          <w:p w:rsidR="00F36B47" w:rsidRPr="00F36B47" w:rsidRDefault="00F36B47" w:rsidP="00F36B47">
            <w:pPr>
              <w:cnfStyle w:val="000000000000" w:firstRow="0" w:lastRow="0" w:firstColumn="0" w:lastColumn="0" w:oddVBand="0" w:evenVBand="0" w:oddHBand="0" w:evenHBand="0" w:firstRowFirstColumn="0" w:firstRowLastColumn="0" w:lastRowFirstColumn="0" w:lastRowLastColumn="0"/>
            </w:pPr>
            <w:r w:rsidRPr="00F36B47">
              <w:t>1.1</w:t>
            </w:r>
          </w:p>
        </w:tc>
        <w:tc>
          <w:tcPr>
            <w:tcW w:w="992" w:type="dxa"/>
            <w:vAlign w:val="bottom"/>
          </w:tcPr>
          <w:p w:rsidR="00F36B47" w:rsidRPr="00F36B47" w:rsidRDefault="00F36B47" w:rsidP="00F36B47">
            <w:pPr>
              <w:cnfStyle w:val="000000000000" w:firstRow="0" w:lastRow="0" w:firstColumn="0" w:lastColumn="0" w:oddVBand="0" w:evenVBand="0" w:oddHBand="0" w:evenHBand="0" w:firstRowFirstColumn="0" w:firstRowLastColumn="0" w:lastRowFirstColumn="0" w:lastRowLastColumn="0"/>
            </w:pPr>
            <w:r w:rsidRPr="00F36B47">
              <w:t>1.2</w:t>
            </w:r>
          </w:p>
        </w:tc>
        <w:tc>
          <w:tcPr>
            <w:tcW w:w="992" w:type="dxa"/>
            <w:vAlign w:val="bottom"/>
          </w:tcPr>
          <w:p w:rsidR="00F36B47" w:rsidRPr="00F36B47" w:rsidRDefault="00F36B47" w:rsidP="00F36B47">
            <w:pPr>
              <w:cnfStyle w:val="000000000000" w:firstRow="0" w:lastRow="0" w:firstColumn="0" w:lastColumn="0" w:oddVBand="0" w:evenVBand="0" w:oddHBand="0" w:evenHBand="0" w:firstRowFirstColumn="0" w:firstRowLastColumn="0" w:lastRowFirstColumn="0" w:lastRowLastColumn="0"/>
            </w:pPr>
            <w:r w:rsidRPr="00F36B47">
              <w:t>1.2</w:t>
            </w:r>
          </w:p>
        </w:tc>
        <w:tc>
          <w:tcPr>
            <w:tcW w:w="992" w:type="dxa"/>
            <w:vAlign w:val="bottom"/>
          </w:tcPr>
          <w:p w:rsidR="00F36B47" w:rsidRPr="00F36B47" w:rsidRDefault="00F36B47" w:rsidP="00F36B47">
            <w:pPr>
              <w:cnfStyle w:val="000000000000" w:firstRow="0" w:lastRow="0" w:firstColumn="0" w:lastColumn="0" w:oddVBand="0" w:evenVBand="0" w:oddHBand="0" w:evenHBand="0" w:firstRowFirstColumn="0" w:firstRowLastColumn="0" w:lastRowFirstColumn="0" w:lastRowLastColumn="0"/>
            </w:pPr>
            <w:r w:rsidRPr="00F36B47">
              <w:t>1.5</w:t>
            </w:r>
          </w:p>
        </w:tc>
        <w:tc>
          <w:tcPr>
            <w:tcW w:w="993" w:type="dxa"/>
            <w:vAlign w:val="bottom"/>
          </w:tcPr>
          <w:p w:rsidR="00F36B47" w:rsidRPr="00F36B47" w:rsidRDefault="00F36B47" w:rsidP="00F36B47">
            <w:pPr>
              <w:cnfStyle w:val="000000000000" w:firstRow="0" w:lastRow="0" w:firstColumn="0" w:lastColumn="0" w:oddVBand="0" w:evenVBand="0" w:oddHBand="0" w:evenHBand="0" w:firstRowFirstColumn="0" w:firstRowLastColumn="0" w:lastRowFirstColumn="0" w:lastRowLastColumn="0"/>
            </w:pPr>
            <w:r w:rsidRPr="00F36B47">
              <w:t>1.5</w:t>
            </w:r>
          </w:p>
        </w:tc>
        <w:tc>
          <w:tcPr>
            <w:tcW w:w="788" w:type="dxa"/>
            <w:vAlign w:val="bottom"/>
          </w:tcPr>
          <w:p w:rsidR="00F36B47" w:rsidRPr="00F36B47" w:rsidRDefault="00F36B47" w:rsidP="00F36B47">
            <w:pPr>
              <w:cnfStyle w:val="000000000000" w:firstRow="0" w:lastRow="0" w:firstColumn="0" w:lastColumn="0" w:oddVBand="0" w:evenVBand="0" w:oddHBand="0" w:evenHBand="0" w:firstRowFirstColumn="0" w:firstRowLastColumn="0" w:lastRowFirstColumn="0" w:lastRowLastColumn="0"/>
            </w:pPr>
            <w:r w:rsidRPr="00F36B47">
              <w:t>6.5</w:t>
            </w:r>
          </w:p>
        </w:tc>
      </w:tr>
      <w:tr w:rsidR="00F36B47" w:rsidTr="005F49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F36B47" w:rsidRPr="00F36B47" w:rsidRDefault="00F36B47" w:rsidP="00F36B47">
            <w:r w:rsidRPr="00F36B47">
              <w:rPr>
                <w:rStyle w:val="AERtextitalic"/>
              </w:rPr>
              <w:t>Less</w:t>
            </w:r>
            <w:r w:rsidRPr="00F36B47">
              <w:t>: value of imputation credits</w:t>
            </w:r>
          </w:p>
        </w:tc>
        <w:tc>
          <w:tcPr>
            <w:tcW w:w="993" w:type="dxa"/>
            <w:vAlign w:val="bottom"/>
          </w:tcPr>
          <w:p w:rsidR="00F36B47" w:rsidRPr="00F36B47" w:rsidRDefault="00F36B47" w:rsidP="00F36B47">
            <w:pPr>
              <w:cnfStyle w:val="000000010000" w:firstRow="0" w:lastRow="0" w:firstColumn="0" w:lastColumn="0" w:oddVBand="0" w:evenVBand="0" w:oddHBand="0" w:evenHBand="1" w:firstRowFirstColumn="0" w:firstRowLastColumn="0" w:lastRowFirstColumn="0" w:lastRowLastColumn="0"/>
            </w:pPr>
            <w:r w:rsidRPr="00F36B47">
              <w:t>0.4</w:t>
            </w:r>
          </w:p>
        </w:tc>
        <w:tc>
          <w:tcPr>
            <w:tcW w:w="992" w:type="dxa"/>
            <w:vAlign w:val="bottom"/>
          </w:tcPr>
          <w:p w:rsidR="00F36B47" w:rsidRPr="00F36B47" w:rsidRDefault="00F36B47" w:rsidP="00F36B47">
            <w:pPr>
              <w:cnfStyle w:val="000000010000" w:firstRow="0" w:lastRow="0" w:firstColumn="0" w:lastColumn="0" w:oddVBand="0" w:evenVBand="0" w:oddHBand="0" w:evenHBand="1" w:firstRowFirstColumn="0" w:firstRowLastColumn="0" w:lastRowFirstColumn="0" w:lastRowLastColumn="0"/>
            </w:pPr>
            <w:r w:rsidRPr="00F36B47">
              <w:t>0.5</w:t>
            </w:r>
          </w:p>
        </w:tc>
        <w:tc>
          <w:tcPr>
            <w:tcW w:w="992" w:type="dxa"/>
            <w:vAlign w:val="bottom"/>
          </w:tcPr>
          <w:p w:rsidR="00F36B47" w:rsidRPr="00F36B47" w:rsidRDefault="00F36B47" w:rsidP="00F36B47">
            <w:pPr>
              <w:cnfStyle w:val="000000010000" w:firstRow="0" w:lastRow="0" w:firstColumn="0" w:lastColumn="0" w:oddVBand="0" w:evenVBand="0" w:oddHBand="0" w:evenHBand="1" w:firstRowFirstColumn="0" w:firstRowLastColumn="0" w:lastRowFirstColumn="0" w:lastRowLastColumn="0"/>
            </w:pPr>
            <w:r w:rsidRPr="00F36B47">
              <w:t>0.5</w:t>
            </w:r>
          </w:p>
        </w:tc>
        <w:tc>
          <w:tcPr>
            <w:tcW w:w="992" w:type="dxa"/>
            <w:vAlign w:val="bottom"/>
          </w:tcPr>
          <w:p w:rsidR="00F36B47" w:rsidRPr="00F36B47" w:rsidRDefault="00F36B47" w:rsidP="00F36B47">
            <w:pPr>
              <w:cnfStyle w:val="000000010000" w:firstRow="0" w:lastRow="0" w:firstColumn="0" w:lastColumn="0" w:oddVBand="0" w:evenVBand="0" w:oddHBand="0" w:evenHBand="1" w:firstRowFirstColumn="0" w:firstRowLastColumn="0" w:lastRowFirstColumn="0" w:lastRowLastColumn="0"/>
            </w:pPr>
            <w:r w:rsidRPr="00F36B47">
              <w:t>0.6</w:t>
            </w:r>
          </w:p>
        </w:tc>
        <w:tc>
          <w:tcPr>
            <w:tcW w:w="993" w:type="dxa"/>
            <w:vAlign w:val="bottom"/>
          </w:tcPr>
          <w:p w:rsidR="00F36B47" w:rsidRPr="00F36B47" w:rsidRDefault="00F36B47" w:rsidP="00F36B47">
            <w:pPr>
              <w:cnfStyle w:val="000000010000" w:firstRow="0" w:lastRow="0" w:firstColumn="0" w:lastColumn="0" w:oddVBand="0" w:evenVBand="0" w:oddHBand="0" w:evenHBand="1" w:firstRowFirstColumn="0" w:firstRowLastColumn="0" w:lastRowFirstColumn="0" w:lastRowLastColumn="0"/>
            </w:pPr>
            <w:r w:rsidRPr="00F36B47">
              <w:t>0.6</w:t>
            </w:r>
          </w:p>
        </w:tc>
        <w:tc>
          <w:tcPr>
            <w:tcW w:w="788" w:type="dxa"/>
            <w:vAlign w:val="bottom"/>
          </w:tcPr>
          <w:p w:rsidR="00F36B47" w:rsidRPr="00F36B47" w:rsidRDefault="00F36B47" w:rsidP="00F36B47">
            <w:pPr>
              <w:cnfStyle w:val="000000010000" w:firstRow="0" w:lastRow="0" w:firstColumn="0" w:lastColumn="0" w:oddVBand="0" w:evenVBand="0" w:oddHBand="0" w:evenHBand="1" w:firstRowFirstColumn="0" w:firstRowLastColumn="0" w:lastRowFirstColumn="0" w:lastRowLastColumn="0"/>
            </w:pPr>
            <w:r w:rsidRPr="00F36B47">
              <w:t>2.6</w:t>
            </w:r>
          </w:p>
        </w:tc>
      </w:tr>
      <w:tr w:rsidR="00F36B47" w:rsidRPr="009A52A1" w:rsidTr="005F4936">
        <w:tc>
          <w:tcPr>
            <w:cnfStyle w:val="001000000000" w:firstRow="0" w:lastRow="0" w:firstColumn="1" w:lastColumn="0" w:oddVBand="0" w:evenVBand="0" w:oddHBand="0" w:evenHBand="0" w:firstRowFirstColumn="0" w:firstRowLastColumn="0" w:lastRowFirstColumn="0" w:lastRowLastColumn="0"/>
            <w:tcW w:w="2943" w:type="dxa"/>
          </w:tcPr>
          <w:p w:rsidR="00F36B47" w:rsidRPr="00F36B47" w:rsidRDefault="00F36B47" w:rsidP="00F36B47">
            <w:pPr>
              <w:rPr>
                <w:rStyle w:val="Strong"/>
              </w:rPr>
            </w:pPr>
            <w:r w:rsidRPr="00F36B47">
              <w:rPr>
                <w:rStyle w:val="Strong"/>
              </w:rPr>
              <w:t>Corporate income tax allowance</w:t>
            </w:r>
          </w:p>
        </w:tc>
        <w:tc>
          <w:tcPr>
            <w:tcW w:w="993" w:type="dxa"/>
            <w:vAlign w:val="bottom"/>
          </w:tcPr>
          <w:p w:rsidR="00F36B47" w:rsidRPr="00F36B47" w:rsidRDefault="00F36B47" w:rsidP="00F36B47">
            <w:pPr>
              <w:cnfStyle w:val="000000000000" w:firstRow="0" w:lastRow="0" w:firstColumn="0" w:lastColumn="0" w:oddVBand="0" w:evenVBand="0" w:oddHBand="0" w:evenHBand="0" w:firstRowFirstColumn="0" w:firstRowLastColumn="0" w:lastRowFirstColumn="0" w:lastRowLastColumn="0"/>
              <w:rPr>
                <w:rStyle w:val="Strong"/>
              </w:rPr>
            </w:pPr>
            <w:r w:rsidRPr="00F36B47">
              <w:rPr>
                <w:rStyle w:val="Strong"/>
              </w:rPr>
              <w:t>0.7</w:t>
            </w:r>
          </w:p>
        </w:tc>
        <w:tc>
          <w:tcPr>
            <w:tcW w:w="992" w:type="dxa"/>
            <w:vAlign w:val="bottom"/>
          </w:tcPr>
          <w:p w:rsidR="00F36B47" w:rsidRPr="00F36B47" w:rsidRDefault="00F36B47" w:rsidP="00F36B47">
            <w:pPr>
              <w:cnfStyle w:val="000000000000" w:firstRow="0" w:lastRow="0" w:firstColumn="0" w:lastColumn="0" w:oddVBand="0" w:evenVBand="0" w:oddHBand="0" w:evenHBand="0" w:firstRowFirstColumn="0" w:firstRowLastColumn="0" w:lastRowFirstColumn="0" w:lastRowLastColumn="0"/>
              <w:rPr>
                <w:rStyle w:val="Strong"/>
              </w:rPr>
            </w:pPr>
            <w:r w:rsidRPr="00F36B47">
              <w:rPr>
                <w:rStyle w:val="Strong"/>
              </w:rPr>
              <w:t>0.7</w:t>
            </w:r>
          </w:p>
        </w:tc>
        <w:tc>
          <w:tcPr>
            <w:tcW w:w="992" w:type="dxa"/>
            <w:vAlign w:val="bottom"/>
          </w:tcPr>
          <w:p w:rsidR="00F36B47" w:rsidRPr="00F36B47" w:rsidRDefault="00F36B47" w:rsidP="00F36B47">
            <w:pPr>
              <w:cnfStyle w:val="000000000000" w:firstRow="0" w:lastRow="0" w:firstColumn="0" w:lastColumn="0" w:oddVBand="0" w:evenVBand="0" w:oddHBand="0" w:evenHBand="0" w:firstRowFirstColumn="0" w:firstRowLastColumn="0" w:lastRowFirstColumn="0" w:lastRowLastColumn="0"/>
              <w:rPr>
                <w:rStyle w:val="Strong"/>
              </w:rPr>
            </w:pPr>
            <w:r w:rsidRPr="00F36B47">
              <w:rPr>
                <w:rStyle w:val="Strong"/>
              </w:rPr>
              <w:t>0.7</w:t>
            </w:r>
          </w:p>
        </w:tc>
        <w:tc>
          <w:tcPr>
            <w:tcW w:w="992" w:type="dxa"/>
            <w:vAlign w:val="bottom"/>
          </w:tcPr>
          <w:p w:rsidR="00F36B47" w:rsidRPr="00F36B47" w:rsidRDefault="00F36B47" w:rsidP="00F36B47">
            <w:pPr>
              <w:cnfStyle w:val="000000000000" w:firstRow="0" w:lastRow="0" w:firstColumn="0" w:lastColumn="0" w:oddVBand="0" w:evenVBand="0" w:oddHBand="0" w:evenHBand="0" w:firstRowFirstColumn="0" w:firstRowLastColumn="0" w:lastRowFirstColumn="0" w:lastRowLastColumn="0"/>
              <w:rPr>
                <w:rStyle w:val="Strong"/>
              </w:rPr>
            </w:pPr>
            <w:r w:rsidRPr="00F36B47">
              <w:rPr>
                <w:rStyle w:val="Strong"/>
              </w:rPr>
              <w:t>0.9</w:t>
            </w:r>
          </w:p>
        </w:tc>
        <w:tc>
          <w:tcPr>
            <w:tcW w:w="993" w:type="dxa"/>
            <w:vAlign w:val="bottom"/>
          </w:tcPr>
          <w:p w:rsidR="00F36B47" w:rsidRPr="00F36B47" w:rsidRDefault="00F36B47" w:rsidP="00F36B47">
            <w:pPr>
              <w:cnfStyle w:val="000000000000" w:firstRow="0" w:lastRow="0" w:firstColumn="0" w:lastColumn="0" w:oddVBand="0" w:evenVBand="0" w:oddHBand="0" w:evenHBand="0" w:firstRowFirstColumn="0" w:firstRowLastColumn="0" w:lastRowFirstColumn="0" w:lastRowLastColumn="0"/>
              <w:rPr>
                <w:rStyle w:val="Strong"/>
              </w:rPr>
            </w:pPr>
            <w:r w:rsidRPr="00F36B47">
              <w:rPr>
                <w:rStyle w:val="Strong"/>
              </w:rPr>
              <w:t>0.9</w:t>
            </w:r>
          </w:p>
        </w:tc>
        <w:tc>
          <w:tcPr>
            <w:tcW w:w="788" w:type="dxa"/>
            <w:vAlign w:val="bottom"/>
          </w:tcPr>
          <w:p w:rsidR="00F36B47" w:rsidRPr="00F36B47" w:rsidRDefault="00F36B47" w:rsidP="00F36B47">
            <w:pPr>
              <w:cnfStyle w:val="000000000000" w:firstRow="0" w:lastRow="0" w:firstColumn="0" w:lastColumn="0" w:oddVBand="0" w:evenVBand="0" w:oddHBand="0" w:evenHBand="0" w:firstRowFirstColumn="0" w:firstRowLastColumn="0" w:lastRowFirstColumn="0" w:lastRowLastColumn="0"/>
              <w:rPr>
                <w:rStyle w:val="Strong"/>
              </w:rPr>
            </w:pPr>
            <w:r w:rsidRPr="00F36B47">
              <w:rPr>
                <w:rStyle w:val="Strong"/>
              </w:rPr>
              <w:t>3.9</w:t>
            </w:r>
          </w:p>
        </w:tc>
      </w:tr>
    </w:tbl>
    <w:p w:rsidR="00E82A83" w:rsidRPr="00E82A83" w:rsidRDefault="00E82A83" w:rsidP="00E82A83">
      <w:pPr>
        <w:pStyle w:val="AERtablesource"/>
      </w:pPr>
      <w:r>
        <w:t>Source:</w:t>
      </w:r>
      <w:r>
        <w:tab/>
        <w:t>AER analysis.</w:t>
      </w:r>
    </w:p>
    <w:p w:rsidR="00DE563D" w:rsidRPr="001754EE" w:rsidRDefault="001F05A4" w:rsidP="001754EE">
      <w:pPr>
        <w:pStyle w:val="Heading2"/>
      </w:pPr>
      <w:bookmarkStart w:id="16" w:name="_Toc417631974"/>
      <w:r>
        <w:t>ActewAGL</w:t>
      </w:r>
      <w:r w:rsidR="00415F31" w:rsidRPr="001754EE">
        <w:t>’s revised</w:t>
      </w:r>
      <w:r w:rsidR="00DE563D" w:rsidRPr="001754EE">
        <w:t xml:space="preserve"> proposal</w:t>
      </w:r>
      <w:bookmarkEnd w:id="13"/>
      <w:bookmarkEnd w:id="16"/>
    </w:p>
    <w:p w:rsidR="00E413B4" w:rsidRPr="00E82A83" w:rsidRDefault="00E82A83" w:rsidP="00E84B83">
      <w:r w:rsidRPr="00E82A83">
        <w:t>ActewAGL</w:t>
      </w:r>
      <w:r w:rsidR="00381F6E">
        <w:t>'s</w:t>
      </w:r>
      <w:r w:rsidRPr="00E82A83">
        <w:t xml:space="preserve"> </w:t>
      </w:r>
      <w:r w:rsidR="00741730">
        <w:t>revised proposal f</w:t>
      </w:r>
      <w:r w:rsidRPr="00E82A83">
        <w:t>orecast</w:t>
      </w:r>
      <w:r w:rsidR="00741730">
        <w:t xml:space="preserve">s </w:t>
      </w:r>
      <w:r w:rsidRPr="00E82A83">
        <w:t>cost</w:t>
      </w:r>
      <w:r w:rsidR="009A52A1">
        <w:t>s</w:t>
      </w:r>
      <w:r w:rsidRPr="00E82A83">
        <w:t xml:space="preserve"> of corporate income tax of $</w:t>
      </w:r>
      <w:r w:rsidR="001E2375">
        <w:t>47.6</w:t>
      </w:r>
      <w:r w:rsidRPr="00E82A83">
        <w:t xml:space="preserve"> million and $</w:t>
      </w:r>
      <w:r w:rsidR="001E2375">
        <w:t>8.1</w:t>
      </w:r>
      <w:r w:rsidRPr="00E82A83">
        <w:t xml:space="preserve"> million ($ nominal) for its distribution and transmission networks respectively</w:t>
      </w:r>
      <w:r w:rsidR="00A75065">
        <w:t>.</w:t>
      </w:r>
      <w:r w:rsidR="00A13EBC">
        <w:t xml:space="preserve"> </w:t>
      </w:r>
      <w:r w:rsidR="00A75065">
        <w:t>ActewAGL's methodology for determining its</w:t>
      </w:r>
      <w:r w:rsidR="00A75065" w:rsidRPr="00DC58F1">
        <w:t xml:space="preserve"> corporate income tax </w:t>
      </w:r>
      <w:r w:rsidR="00A75065">
        <w:t>is unchanged from its initial proposal</w:t>
      </w:r>
      <w:r w:rsidR="001711D8">
        <w:t xml:space="preserve">. We accepted the approach in our </w:t>
      </w:r>
      <w:r w:rsidR="00A75065">
        <w:t xml:space="preserve">draft decision. </w:t>
      </w:r>
      <w:r w:rsidR="00A13EBC">
        <w:t>ActewAGL</w:t>
      </w:r>
      <w:r w:rsidR="009A52A1">
        <w:t>'s</w:t>
      </w:r>
      <w:r w:rsidR="00A13EBC">
        <w:t xml:space="preserve"> revised proposal adopted our draft decision amendment to the standard tax asset life </w:t>
      </w:r>
      <w:r w:rsidR="009A52A1">
        <w:t>for the</w:t>
      </w:r>
      <w:r w:rsidR="00A13EBC">
        <w:t xml:space="preserve"> </w:t>
      </w:r>
      <w:r w:rsidR="009A52A1">
        <w:t>'E</w:t>
      </w:r>
      <w:r w:rsidR="00A13EBC">
        <w:t>quity raising costs</w:t>
      </w:r>
      <w:r w:rsidR="009A52A1">
        <w:t>' asset class</w:t>
      </w:r>
      <w:r w:rsidR="00E84B83">
        <w:t xml:space="preserve"> </w:t>
      </w:r>
      <w:r w:rsidR="009A52A1">
        <w:t>of</w:t>
      </w:r>
      <w:r w:rsidR="00E84B83">
        <w:t xml:space="preserve"> five years.</w:t>
      </w:r>
      <w:r w:rsidR="00E84B83" w:rsidRPr="00E84B83">
        <w:rPr>
          <w:rStyle w:val="FootnoteReference"/>
        </w:rPr>
        <w:t xml:space="preserve"> </w:t>
      </w:r>
      <w:r w:rsidR="00E84B83">
        <w:rPr>
          <w:rStyle w:val="FootnoteReference"/>
        </w:rPr>
        <w:footnoteReference w:id="2"/>
      </w:r>
      <w:r w:rsidR="00E84B83">
        <w:t xml:space="preserve"> </w:t>
      </w:r>
      <w:r w:rsidR="00A75065">
        <w:t>ActewAGL has revised its</w:t>
      </w:r>
      <w:r w:rsidR="00A75065" w:rsidRPr="00DC58F1">
        <w:t xml:space="preserve"> corporate income tax allowance</w:t>
      </w:r>
      <w:r w:rsidR="00A75065">
        <w:t>s for its distribution and transmission networks</w:t>
      </w:r>
      <w:r w:rsidR="00A75065" w:rsidRPr="00DC58F1">
        <w:t xml:space="preserve"> using the AER's PTRM</w:t>
      </w:r>
      <w:r w:rsidR="00A75065">
        <w:t xml:space="preserve"> and include</w:t>
      </w:r>
      <w:r w:rsidR="001711D8">
        <w:t>d</w:t>
      </w:r>
      <w:r w:rsidR="00A75065">
        <w:t xml:space="preserve"> the following inputs:</w:t>
      </w:r>
      <w:r w:rsidR="00E84B83">
        <w:rPr>
          <w:rStyle w:val="FootnoteReference"/>
        </w:rPr>
        <w:footnoteReference w:id="3"/>
      </w:r>
      <w:r w:rsidR="00F85580">
        <w:t xml:space="preserve"> </w:t>
      </w:r>
    </w:p>
    <w:p w:rsidR="00A75065" w:rsidRPr="00D21A2E" w:rsidRDefault="00A75065" w:rsidP="00A75065">
      <w:pPr>
        <w:pStyle w:val="AERbulletlistfirststyle"/>
      </w:pPr>
      <w:r>
        <w:t>the revised opening TABs at 1 July 2014, reflecting updates for 2013</w:t>
      </w:r>
      <w:r w:rsidRPr="009134B1">
        <w:rPr>
          <w:rStyle w:val="AERbody"/>
        </w:rPr>
        <w:t>–</w:t>
      </w:r>
      <w:r>
        <w:t>14 actual capex</w:t>
      </w:r>
    </w:p>
    <w:p w:rsidR="00A75065" w:rsidRDefault="00A75065" w:rsidP="00A75065">
      <w:pPr>
        <w:pStyle w:val="AERbulletlistfirststyle"/>
      </w:pPr>
      <w:r>
        <w:t>revised forecast capex</w:t>
      </w:r>
    </w:p>
    <w:p w:rsidR="001711D8" w:rsidRDefault="00A75065" w:rsidP="001711D8">
      <w:pPr>
        <w:pStyle w:val="AERbulletlistfirststyle"/>
      </w:pPr>
      <w:r>
        <w:t xml:space="preserve">revised forecast opex. </w:t>
      </w:r>
    </w:p>
    <w:p w:rsidR="00A75065" w:rsidRDefault="001711D8" w:rsidP="00E82A83">
      <w:r>
        <w:t>ActewAGL also used standard tax asset lives consistent with those approved in the draft decision</w:t>
      </w:r>
      <w:r w:rsidRPr="00EA215A">
        <w:t xml:space="preserve"> </w:t>
      </w:r>
      <w:r>
        <w:t>and remaining tax asset lives reflecting updates for 2013–14 actual capex, and a</w:t>
      </w:r>
      <w:r w:rsidRPr="00DC58F1">
        <w:t xml:space="preserve"> value for gamma of 0.</w:t>
      </w:r>
      <w:r w:rsidRPr="00D21A2E">
        <w:t>25</w:t>
      </w:r>
      <w:r>
        <w:t xml:space="preserve"> consistent with its initial proposal.</w:t>
      </w:r>
    </w:p>
    <w:p w:rsidR="002C233C" w:rsidRDefault="00AB7F16" w:rsidP="00E82A83">
      <w:r>
        <w:lastRenderedPageBreak/>
        <w:fldChar w:fldCharType="begin"/>
      </w:r>
      <w:r>
        <w:instrText xml:space="preserve"> REF _Ref411599653 \h </w:instrText>
      </w:r>
      <w:r>
        <w:fldChar w:fldCharType="separate"/>
      </w:r>
      <w:r w:rsidR="004B70E5">
        <w:t xml:space="preserve">Table </w:t>
      </w:r>
      <w:r w:rsidR="004B70E5">
        <w:rPr>
          <w:noProof/>
        </w:rPr>
        <w:t>8</w:t>
      </w:r>
      <w:r w:rsidR="004B70E5">
        <w:t>.</w:t>
      </w:r>
      <w:r w:rsidR="004B70E5">
        <w:rPr>
          <w:noProof/>
        </w:rPr>
        <w:t>3</w:t>
      </w:r>
      <w:r>
        <w:fldChar w:fldCharType="end"/>
      </w:r>
      <w:r w:rsidR="00E82A83" w:rsidRPr="00E82A83">
        <w:t xml:space="preserve"> and </w:t>
      </w:r>
      <w:r>
        <w:fldChar w:fldCharType="begin"/>
      </w:r>
      <w:r>
        <w:instrText xml:space="preserve"> REF _Ref411599664 \h </w:instrText>
      </w:r>
      <w:r>
        <w:fldChar w:fldCharType="separate"/>
      </w:r>
      <w:r w:rsidR="004B70E5">
        <w:t xml:space="preserve">Table </w:t>
      </w:r>
      <w:r w:rsidR="004B70E5">
        <w:rPr>
          <w:noProof/>
        </w:rPr>
        <w:t>8</w:t>
      </w:r>
      <w:r w:rsidR="004B70E5">
        <w:t>.</w:t>
      </w:r>
      <w:r w:rsidR="004B70E5">
        <w:rPr>
          <w:noProof/>
        </w:rPr>
        <w:t>4</w:t>
      </w:r>
      <w:r>
        <w:fldChar w:fldCharType="end"/>
      </w:r>
      <w:r w:rsidR="00E82A83" w:rsidRPr="00E82A83">
        <w:t xml:space="preserve"> set out ActewAGL's </w:t>
      </w:r>
      <w:r w:rsidR="00E84B83">
        <w:t xml:space="preserve">revised </w:t>
      </w:r>
      <w:r w:rsidR="00E82A83" w:rsidRPr="00E82A83">
        <w:t>proposed corporate income tax allowances for its distribution and transmission networks respectively over the 2014–19 period.</w:t>
      </w:r>
    </w:p>
    <w:p w:rsidR="00E82A83" w:rsidRDefault="00AB7F16" w:rsidP="00AB7F16">
      <w:pPr>
        <w:pStyle w:val="Caption"/>
      </w:pPr>
      <w:bookmarkStart w:id="17" w:name="_Ref411599653"/>
      <w:r>
        <w:t xml:space="preserve">Table </w:t>
      </w:r>
      <w:r w:rsidR="00203C82">
        <w:fldChar w:fldCharType="begin"/>
      </w:r>
      <w:r w:rsidR="00203C82">
        <w:instrText xml:space="preserve"> STYLEREF 1 \s </w:instrText>
      </w:r>
      <w:r w:rsidR="00203C82">
        <w:fldChar w:fldCharType="separate"/>
      </w:r>
      <w:r w:rsidR="004B70E5">
        <w:rPr>
          <w:noProof/>
        </w:rPr>
        <w:t>8</w:t>
      </w:r>
      <w:r w:rsidR="00203C82">
        <w:rPr>
          <w:noProof/>
        </w:rPr>
        <w:fldChar w:fldCharType="end"/>
      </w:r>
      <w:r w:rsidR="004B70E5">
        <w:t>.</w:t>
      </w:r>
      <w:r w:rsidR="00203C82">
        <w:fldChar w:fldCharType="begin"/>
      </w:r>
      <w:r w:rsidR="00203C82">
        <w:instrText xml:space="preserve"> SEQ Table \* ARABIC \s 1 </w:instrText>
      </w:r>
      <w:r w:rsidR="00203C82">
        <w:fldChar w:fldCharType="separate"/>
      </w:r>
      <w:r w:rsidR="004B70E5">
        <w:rPr>
          <w:noProof/>
        </w:rPr>
        <w:t>3</w:t>
      </w:r>
      <w:r w:rsidR="00203C82">
        <w:rPr>
          <w:noProof/>
        </w:rPr>
        <w:fldChar w:fldCharType="end"/>
      </w:r>
      <w:bookmarkEnd w:id="17"/>
      <w:r>
        <w:tab/>
        <w:t xml:space="preserve">ActewAGL's </w:t>
      </w:r>
      <w:r w:rsidR="00A75065">
        <w:t xml:space="preserve">revised </w:t>
      </w:r>
      <w:r>
        <w:t>proposed cost of corporate income tax allowance for the 2014–19 period ($ million, nominal)</w:t>
      </w:r>
      <w:r w:rsidR="0025043E">
        <w:t xml:space="preserve"> – distribution</w:t>
      </w:r>
    </w:p>
    <w:tbl>
      <w:tblPr>
        <w:tblStyle w:val="AERtable-numbers"/>
        <w:tblW w:w="0" w:type="auto"/>
        <w:tblLook w:val="04A0" w:firstRow="1" w:lastRow="0" w:firstColumn="1" w:lastColumn="0" w:noHBand="0" w:noVBand="1"/>
      </w:tblPr>
      <w:tblGrid>
        <w:gridCol w:w="2943"/>
        <w:gridCol w:w="993"/>
        <w:gridCol w:w="992"/>
        <w:gridCol w:w="992"/>
        <w:gridCol w:w="992"/>
        <w:gridCol w:w="993"/>
        <w:gridCol w:w="788"/>
      </w:tblGrid>
      <w:tr w:rsidR="00E82A83" w:rsidTr="00170D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E82A83" w:rsidRDefault="00E82A83" w:rsidP="00E82A83"/>
        </w:tc>
        <w:tc>
          <w:tcPr>
            <w:tcW w:w="993" w:type="dxa"/>
          </w:tcPr>
          <w:p w:rsidR="00E82A83" w:rsidRPr="00E82A83" w:rsidRDefault="00E82A83" w:rsidP="00E82A83">
            <w:pPr>
              <w:cnfStyle w:val="100000000000" w:firstRow="1" w:lastRow="0" w:firstColumn="0" w:lastColumn="0" w:oddVBand="0" w:evenVBand="0" w:oddHBand="0" w:evenHBand="0" w:firstRowFirstColumn="0" w:firstRowLastColumn="0" w:lastRowFirstColumn="0" w:lastRowLastColumn="0"/>
            </w:pPr>
            <w:r>
              <w:t>2014–15</w:t>
            </w:r>
          </w:p>
        </w:tc>
        <w:tc>
          <w:tcPr>
            <w:tcW w:w="992" w:type="dxa"/>
          </w:tcPr>
          <w:p w:rsidR="00E82A83" w:rsidRPr="00E82A83" w:rsidRDefault="00E82A83" w:rsidP="00E82A83">
            <w:pPr>
              <w:cnfStyle w:val="100000000000" w:firstRow="1" w:lastRow="0" w:firstColumn="0" w:lastColumn="0" w:oddVBand="0" w:evenVBand="0" w:oddHBand="0" w:evenHBand="0" w:firstRowFirstColumn="0" w:firstRowLastColumn="0" w:lastRowFirstColumn="0" w:lastRowLastColumn="0"/>
            </w:pPr>
            <w:r>
              <w:t>2</w:t>
            </w:r>
            <w:r w:rsidRPr="00E82A83">
              <w:t>015–16</w:t>
            </w:r>
          </w:p>
        </w:tc>
        <w:tc>
          <w:tcPr>
            <w:tcW w:w="992" w:type="dxa"/>
          </w:tcPr>
          <w:p w:rsidR="00E82A83" w:rsidRPr="00E82A83" w:rsidRDefault="00E82A83" w:rsidP="00E82A83">
            <w:pPr>
              <w:cnfStyle w:val="100000000000" w:firstRow="1" w:lastRow="0" w:firstColumn="0" w:lastColumn="0" w:oddVBand="0" w:evenVBand="0" w:oddHBand="0" w:evenHBand="0" w:firstRowFirstColumn="0" w:firstRowLastColumn="0" w:lastRowFirstColumn="0" w:lastRowLastColumn="0"/>
            </w:pPr>
            <w:r>
              <w:t>2016–17</w:t>
            </w:r>
          </w:p>
        </w:tc>
        <w:tc>
          <w:tcPr>
            <w:tcW w:w="992" w:type="dxa"/>
          </w:tcPr>
          <w:p w:rsidR="00E82A83" w:rsidRPr="00E82A83" w:rsidRDefault="00E82A83" w:rsidP="00E82A83">
            <w:pPr>
              <w:cnfStyle w:val="100000000000" w:firstRow="1" w:lastRow="0" w:firstColumn="0" w:lastColumn="0" w:oddVBand="0" w:evenVBand="0" w:oddHBand="0" w:evenHBand="0" w:firstRowFirstColumn="0" w:firstRowLastColumn="0" w:lastRowFirstColumn="0" w:lastRowLastColumn="0"/>
            </w:pPr>
            <w:r>
              <w:t>2017–18</w:t>
            </w:r>
          </w:p>
        </w:tc>
        <w:tc>
          <w:tcPr>
            <w:tcW w:w="993" w:type="dxa"/>
          </w:tcPr>
          <w:p w:rsidR="00E82A83" w:rsidRPr="00E82A83" w:rsidRDefault="00E82A83" w:rsidP="00E82A83">
            <w:pPr>
              <w:cnfStyle w:val="100000000000" w:firstRow="1" w:lastRow="0" w:firstColumn="0" w:lastColumn="0" w:oddVBand="0" w:evenVBand="0" w:oddHBand="0" w:evenHBand="0" w:firstRowFirstColumn="0" w:firstRowLastColumn="0" w:lastRowFirstColumn="0" w:lastRowLastColumn="0"/>
            </w:pPr>
            <w:r>
              <w:t>2018–19</w:t>
            </w:r>
          </w:p>
        </w:tc>
        <w:tc>
          <w:tcPr>
            <w:tcW w:w="788" w:type="dxa"/>
          </w:tcPr>
          <w:p w:rsidR="00E82A83" w:rsidRPr="00E82A83" w:rsidRDefault="00E82A83" w:rsidP="00E82A83">
            <w:pPr>
              <w:cnfStyle w:val="100000000000" w:firstRow="1" w:lastRow="0" w:firstColumn="0" w:lastColumn="0" w:oddVBand="0" w:evenVBand="0" w:oddHBand="0" w:evenHBand="0" w:firstRowFirstColumn="0" w:firstRowLastColumn="0" w:lastRowFirstColumn="0" w:lastRowLastColumn="0"/>
            </w:pPr>
            <w:r>
              <w:t>Total</w:t>
            </w:r>
          </w:p>
        </w:tc>
      </w:tr>
      <w:tr w:rsidR="00E82A83" w:rsidTr="00170D44">
        <w:tc>
          <w:tcPr>
            <w:cnfStyle w:val="001000000000" w:firstRow="0" w:lastRow="0" w:firstColumn="1" w:lastColumn="0" w:oddVBand="0" w:evenVBand="0" w:oddHBand="0" w:evenHBand="0" w:firstRowFirstColumn="0" w:firstRowLastColumn="0" w:lastRowFirstColumn="0" w:lastRowLastColumn="0"/>
            <w:tcW w:w="2943" w:type="dxa"/>
          </w:tcPr>
          <w:p w:rsidR="00E82A83" w:rsidRPr="00E82A83" w:rsidRDefault="00E82A83" w:rsidP="00E82A83">
            <w:r>
              <w:t>Tax payable</w:t>
            </w:r>
          </w:p>
        </w:tc>
        <w:tc>
          <w:tcPr>
            <w:tcW w:w="993" w:type="dxa"/>
          </w:tcPr>
          <w:p w:rsidR="00E82A83" w:rsidRDefault="00AB7F16" w:rsidP="00E82A83">
            <w:pPr>
              <w:cnfStyle w:val="000000000000" w:firstRow="0" w:lastRow="0" w:firstColumn="0" w:lastColumn="0" w:oddVBand="0" w:evenVBand="0" w:oddHBand="0" w:evenHBand="0" w:firstRowFirstColumn="0" w:firstRowLastColumn="0" w:lastRowFirstColumn="0" w:lastRowLastColumn="0"/>
            </w:pPr>
            <w:r>
              <w:t>11.5</w:t>
            </w:r>
          </w:p>
        </w:tc>
        <w:tc>
          <w:tcPr>
            <w:tcW w:w="992" w:type="dxa"/>
          </w:tcPr>
          <w:p w:rsidR="00E82A83" w:rsidRDefault="00AB7F16" w:rsidP="00E82A83">
            <w:pPr>
              <w:cnfStyle w:val="000000000000" w:firstRow="0" w:lastRow="0" w:firstColumn="0" w:lastColumn="0" w:oddVBand="0" w:evenVBand="0" w:oddHBand="0" w:evenHBand="0" w:firstRowFirstColumn="0" w:firstRowLastColumn="0" w:lastRowFirstColumn="0" w:lastRowLastColumn="0"/>
            </w:pPr>
            <w:r>
              <w:t>12.2</w:t>
            </w:r>
          </w:p>
        </w:tc>
        <w:tc>
          <w:tcPr>
            <w:tcW w:w="992" w:type="dxa"/>
          </w:tcPr>
          <w:p w:rsidR="00E82A83" w:rsidRDefault="00AB7F16" w:rsidP="00E82A83">
            <w:pPr>
              <w:cnfStyle w:val="000000000000" w:firstRow="0" w:lastRow="0" w:firstColumn="0" w:lastColumn="0" w:oddVBand="0" w:evenVBand="0" w:oddHBand="0" w:evenHBand="0" w:firstRowFirstColumn="0" w:firstRowLastColumn="0" w:lastRowFirstColumn="0" w:lastRowLastColumn="0"/>
            </w:pPr>
            <w:r>
              <w:t>11.8</w:t>
            </w:r>
          </w:p>
        </w:tc>
        <w:tc>
          <w:tcPr>
            <w:tcW w:w="992" w:type="dxa"/>
          </w:tcPr>
          <w:p w:rsidR="00E82A83" w:rsidRDefault="00AB7F16" w:rsidP="00E82A83">
            <w:pPr>
              <w:cnfStyle w:val="000000000000" w:firstRow="0" w:lastRow="0" w:firstColumn="0" w:lastColumn="0" w:oddVBand="0" w:evenVBand="0" w:oddHBand="0" w:evenHBand="0" w:firstRowFirstColumn="0" w:firstRowLastColumn="0" w:lastRowFirstColumn="0" w:lastRowLastColumn="0"/>
            </w:pPr>
            <w:r>
              <w:t>13.8</w:t>
            </w:r>
          </w:p>
        </w:tc>
        <w:tc>
          <w:tcPr>
            <w:tcW w:w="993" w:type="dxa"/>
          </w:tcPr>
          <w:p w:rsidR="00E82A83" w:rsidRDefault="00AB7F16" w:rsidP="00E82A83">
            <w:pPr>
              <w:cnfStyle w:val="000000000000" w:firstRow="0" w:lastRow="0" w:firstColumn="0" w:lastColumn="0" w:oddVBand="0" w:evenVBand="0" w:oddHBand="0" w:evenHBand="0" w:firstRowFirstColumn="0" w:firstRowLastColumn="0" w:lastRowFirstColumn="0" w:lastRowLastColumn="0"/>
            </w:pPr>
            <w:r>
              <w:t>14.2</w:t>
            </w:r>
          </w:p>
        </w:tc>
        <w:tc>
          <w:tcPr>
            <w:tcW w:w="788" w:type="dxa"/>
          </w:tcPr>
          <w:p w:rsidR="00E82A83" w:rsidRDefault="00AB7F16" w:rsidP="00E82A83">
            <w:pPr>
              <w:cnfStyle w:val="000000000000" w:firstRow="0" w:lastRow="0" w:firstColumn="0" w:lastColumn="0" w:oddVBand="0" w:evenVBand="0" w:oddHBand="0" w:evenHBand="0" w:firstRowFirstColumn="0" w:firstRowLastColumn="0" w:lastRowFirstColumn="0" w:lastRowLastColumn="0"/>
            </w:pPr>
            <w:r>
              <w:t>63.4</w:t>
            </w:r>
          </w:p>
        </w:tc>
      </w:tr>
      <w:tr w:rsidR="00E82A83" w:rsidTr="00170D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E82A83" w:rsidRPr="00E82A83" w:rsidRDefault="00E82A83" w:rsidP="00E82A83">
            <w:r>
              <w:t>Less: value of imputation credits</w:t>
            </w:r>
          </w:p>
        </w:tc>
        <w:tc>
          <w:tcPr>
            <w:tcW w:w="993" w:type="dxa"/>
          </w:tcPr>
          <w:p w:rsidR="00E82A83" w:rsidRDefault="00AB7F16" w:rsidP="00E82A83">
            <w:pPr>
              <w:cnfStyle w:val="000000010000" w:firstRow="0" w:lastRow="0" w:firstColumn="0" w:lastColumn="0" w:oddVBand="0" w:evenVBand="0" w:oddHBand="0" w:evenHBand="1" w:firstRowFirstColumn="0" w:firstRowLastColumn="0" w:lastRowFirstColumn="0" w:lastRowLastColumn="0"/>
            </w:pPr>
            <w:r>
              <w:t>2.9</w:t>
            </w:r>
          </w:p>
        </w:tc>
        <w:tc>
          <w:tcPr>
            <w:tcW w:w="992" w:type="dxa"/>
          </w:tcPr>
          <w:p w:rsidR="00E82A83" w:rsidRDefault="00AB7F16" w:rsidP="00E82A83">
            <w:pPr>
              <w:cnfStyle w:val="000000010000" w:firstRow="0" w:lastRow="0" w:firstColumn="0" w:lastColumn="0" w:oddVBand="0" w:evenVBand="0" w:oddHBand="0" w:evenHBand="1" w:firstRowFirstColumn="0" w:firstRowLastColumn="0" w:lastRowFirstColumn="0" w:lastRowLastColumn="0"/>
            </w:pPr>
            <w:r>
              <w:t>3.1</w:t>
            </w:r>
          </w:p>
        </w:tc>
        <w:tc>
          <w:tcPr>
            <w:tcW w:w="992" w:type="dxa"/>
          </w:tcPr>
          <w:p w:rsidR="00E82A83" w:rsidRDefault="00AB7F16" w:rsidP="00E82A83">
            <w:pPr>
              <w:cnfStyle w:val="000000010000" w:firstRow="0" w:lastRow="0" w:firstColumn="0" w:lastColumn="0" w:oddVBand="0" w:evenVBand="0" w:oddHBand="0" w:evenHBand="1" w:firstRowFirstColumn="0" w:firstRowLastColumn="0" w:lastRowFirstColumn="0" w:lastRowLastColumn="0"/>
            </w:pPr>
            <w:r>
              <w:t>2.9</w:t>
            </w:r>
          </w:p>
        </w:tc>
        <w:tc>
          <w:tcPr>
            <w:tcW w:w="992" w:type="dxa"/>
          </w:tcPr>
          <w:p w:rsidR="00E82A83" w:rsidRDefault="00AB7F16" w:rsidP="00E82A83">
            <w:pPr>
              <w:cnfStyle w:val="000000010000" w:firstRow="0" w:lastRow="0" w:firstColumn="0" w:lastColumn="0" w:oddVBand="0" w:evenVBand="0" w:oddHBand="0" w:evenHBand="1" w:firstRowFirstColumn="0" w:firstRowLastColumn="0" w:lastRowFirstColumn="0" w:lastRowLastColumn="0"/>
            </w:pPr>
            <w:r>
              <w:t>3.4</w:t>
            </w:r>
          </w:p>
        </w:tc>
        <w:tc>
          <w:tcPr>
            <w:tcW w:w="993" w:type="dxa"/>
          </w:tcPr>
          <w:p w:rsidR="00E82A83" w:rsidRDefault="00AB7F16" w:rsidP="00E82A83">
            <w:pPr>
              <w:cnfStyle w:val="000000010000" w:firstRow="0" w:lastRow="0" w:firstColumn="0" w:lastColumn="0" w:oddVBand="0" w:evenVBand="0" w:oddHBand="0" w:evenHBand="1" w:firstRowFirstColumn="0" w:firstRowLastColumn="0" w:lastRowFirstColumn="0" w:lastRowLastColumn="0"/>
            </w:pPr>
            <w:r>
              <w:t>3.5</w:t>
            </w:r>
          </w:p>
        </w:tc>
        <w:tc>
          <w:tcPr>
            <w:tcW w:w="788" w:type="dxa"/>
          </w:tcPr>
          <w:p w:rsidR="00E82A83" w:rsidRDefault="00AB7F16" w:rsidP="00E82A83">
            <w:pPr>
              <w:cnfStyle w:val="000000010000" w:firstRow="0" w:lastRow="0" w:firstColumn="0" w:lastColumn="0" w:oddVBand="0" w:evenVBand="0" w:oddHBand="0" w:evenHBand="1" w:firstRowFirstColumn="0" w:firstRowLastColumn="0" w:lastRowFirstColumn="0" w:lastRowLastColumn="0"/>
            </w:pPr>
            <w:r>
              <w:t>15.9</w:t>
            </w:r>
          </w:p>
        </w:tc>
      </w:tr>
      <w:tr w:rsidR="00E82A83" w:rsidTr="00170D44">
        <w:tc>
          <w:tcPr>
            <w:cnfStyle w:val="001000000000" w:firstRow="0" w:lastRow="0" w:firstColumn="1" w:lastColumn="0" w:oddVBand="0" w:evenVBand="0" w:oddHBand="0" w:evenHBand="0" w:firstRowFirstColumn="0" w:firstRowLastColumn="0" w:lastRowFirstColumn="0" w:lastRowLastColumn="0"/>
            <w:tcW w:w="2943" w:type="dxa"/>
          </w:tcPr>
          <w:p w:rsidR="00E82A83" w:rsidRPr="00AB7F16" w:rsidRDefault="00E82A83" w:rsidP="00E82A83">
            <w:pPr>
              <w:rPr>
                <w:rStyle w:val="Strong"/>
              </w:rPr>
            </w:pPr>
            <w:r w:rsidRPr="00AB7F16">
              <w:rPr>
                <w:rStyle w:val="Strong"/>
              </w:rPr>
              <w:t>Corporate income tax allowance</w:t>
            </w:r>
          </w:p>
        </w:tc>
        <w:tc>
          <w:tcPr>
            <w:tcW w:w="993" w:type="dxa"/>
          </w:tcPr>
          <w:p w:rsidR="00E82A83" w:rsidRPr="00AB7F16" w:rsidRDefault="00AB7F16" w:rsidP="00E82A83">
            <w:pPr>
              <w:cnfStyle w:val="000000000000" w:firstRow="0" w:lastRow="0" w:firstColumn="0" w:lastColumn="0" w:oddVBand="0" w:evenVBand="0" w:oddHBand="0" w:evenHBand="0" w:firstRowFirstColumn="0" w:firstRowLastColumn="0" w:lastRowFirstColumn="0" w:lastRowLastColumn="0"/>
              <w:rPr>
                <w:rStyle w:val="Strong"/>
              </w:rPr>
            </w:pPr>
            <w:r>
              <w:rPr>
                <w:rStyle w:val="Strong"/>
              </w:rPr>
              <w:t>8.6</w:t>
            </w:r>
          </w:p>
        </w:tc>
        <w:tc>
          <w:tcPr>
            <w:tcW w:w="992" w:type="dxa"/>
          </w:tcPr>
          <w:p w:rsidR="00E82A83" w:rsidRPr="00AB7F16" w:rsidRDefault="00AB7F16" w:rsidP="00E82A83">
            <w:pPr>
              <w:cnfStyle w:val="000000000000" w:firstRow="0" w:lastRow="0" w:firstColumn="0" w:lastColumn="0" w:oddVBand="0" w:evenVBand="0" w:oddHBand="0" w:evenHBand="0" w:firstRowFirstColumn="0" w:firstRowLastColumn="0" w:lastRowFirstColumn="0" w:lastRowLastColumn="0"/>
              <w:rPr>
                <w:rStyle w:val="Strong"/>
              </w:rPr>
            </w:pPr>
            <w:r>
              <w:rPr>
                <w:rStyle w:val="Strong"/>
              </w:rPr>
              <w:t>9.2</w:t>
            </w:r>
          </w:p>
        </w:tc>
        <w:tc>
          <w:tcPr>
            <w:tcW w:w="992" w:type="dxa"/>
          </w:tcPr>
          <w:p w:rsidR="00E82A83" w:rsidRPr="00AB7F16" w:rsidRDefault="00AB7F16" w:rsidP="00E82A83">
            <w:pPr>
              <w:cnfStyle w:val="000000000000" w:firstRow="0" w:lastRow="0" w:firstColumn="0" w:lastColumn="0" w:oddVBand="0" w:evenVBand="0" w:oddHBand="0" w:evenHBand="0" w:firstRowFirstColumn="0" w:firstRowLastColumn="0" w:lastRowFirstColumn="0" w:lastRowLastColumn="0"/>
              <w:rPr>
                <w:rStyle w:val="Strong"/>
              </w:rPr>
            </w:pPr>
            <w:r>
              <w:rPr>
                <w:rStyle w:val="Strong"/>
              </w:rPr>
              <w:t>8.8</w:t>
            </w:r>
          </w:p>
        </w:tc>
        <w:tc>
          <w:tcPr>
            <w:tcW w:w="992" w:type="dxa"/>
          </w:tcPr>
          <w:p w:rsidR="00E82A83" w:rsidRPr="00AB7F16" w:rsidRDefault="00AB7F16" w:rsidP="00E82A83">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10.3</w:t>
            </w:r>
          </w:p>
        </w:tc>
        <w:tc>
          <w:tcPr>
            <w:tcW w:w="993" w:type="dxa"/>
          </w:tcPr>
          <w:p w:rsidR="00E82A83" w:rsidRPr="00AB7F16" w:rsidRDefault="00AB7F16" w:rsidP="00E82A83">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10.6</w:t>
            </w:r>
          </w:p>
        </w:tc>
        <w:tc>
          <w:tcPr>
            <w:tcW w:w="788" w:type="dxa"/>
          </w:tcPr>
          <w:p w:rsidR="00E82A83" w:rsidRPr="00AB7F16" w:rsidRDefault="00AB7F16" w:rsidP="00E82A83">
            <w:pPr>
              <w:cnfStyle w:val="000000000000" w:firstRow="0" w:lastRow="0" w:firstColumn="0" w:lastColumn="0" w:oddVBand="0" w:evenVBand="0" w:oddHBand="0" w:evenHBand="0" w:firstRowFirstColumn="0" w:firstRowLastColumn="0" w:lastRowFirstColumn="0" w:lastRowLastColumn="0"/>
              <w:rPr>
                <w:rStyle w:val="Strong"/>
              </w:rPr>
            </w:pPr>
            <w:r>
              <w:rPr>
                <w:rStyle w:val="Strong"/>
              </w:rPr>
              <w:t>47.6</w:t>
            </w:r>
          </w:p>
        </w:tc>
      </w:tr>
    </w:tbl>
    <w:p w:rsidR="00E82A83" w:rsidRDefault="00E82A83" w:rsidP="00AB7F16">
      <w:pPr>
        <w:pStyle w:val="AERtablesource"/>
      </w:pPr>
      <w:r>
        <w:t>Source:</w:t>
      </w:r>
      <w:r>
        <w:tab/>
      </w:r>
      <w:r w:rsidR="00170D44">
        <w:t xml:space="preserve">ActewAGL, </w:t>
      </w:r>
      <w:r w:rsidR="00170D44" w:rsidRPr="004F4655">
        <w:rPr>
          <w:rStyle w:val="AERtextitalic"/>
        </w:rPr>
        <w:t>Revised regulatory proposal</w:t>
      </w:r>
      <w:r w:rsidR="00170D44">
        <w:t xml:space="preserve">, </w:t>
      </w:r>
      <w:r w:rsidR="004F4655">
        <w:t>January 2015</w:t>
      </w:r>
      <w:r w:rsidR="00170D44">
        <w:t xml:space="preserve">, Attachment </w:t>
      </w:r>
      <w:r w:rsidR="004F4655">
        <w:t>H8</w:t>
      </w:r>
      <w:r w:rsidR="00170D44">
        <w:t>.</w:t>
      </w:r>
    </w:p>
    <w:p w:rsidR="00AB7F16" w:rsidRPr="00AB7F16" w:rsidRDefault="00AB7F16" w:rsidP="00AB7F16">
      <w:pPr>
        <w:pStyle w:val="Caption"/>
      </w:pPr>
      <w:bookmarkStart w:id="18" w:name="_Ref411599664"/>
      <w:r>
        <w:t xml:space="preserve">Table </w:t>
      </w:r>
      <w:r w:rsidR="00203C82">
        <w:fldChar w:fldCharType="begin"/>
      </w:r>
      <w:r w:rsidR="00203C82">
        <w:instrText xml:space="preserve"> STYLEREF 1 \s </w:instrText>
      </w:r>
      <w:r w:rsidR="00203C82">
        <w:fldChar w:fldCharType="separate"/>
      </w:r>
      <w:r w:rsidR="004B70E5">
        <w:rPr>
          <w:noProof/>
        </w:rPr>
        <w:t>8</w:t>
      </w:r>
      <w:r w:rsidR="00203C82">
        <w:rPr>
          <w:noProof/>
        </w:rPr>
        <w:fldChar w:fldCharType="end"/>
      </w:r>
      <w:r w:rsidR="004B70E5">
        <w:t>.</w:t>
      </w:r>
      <w:r w:rsidR="00203C82">
        <w:fldChar w:fldCharType="begin"/>
      </w:r>
      <w:r w:rsidR="00203C82">
        <w:instrText xml:space="preserve"> SEQ Table \* ARABIC \s 1 </w:instrText>
      </w:r>
      <w:r w:rsidR="00203C82">
        <w:fldChar w:fldCharType="separate"/>
      </w:r>
      <w:r w:rsidR="004B70E5">
        <w:rPr>
          <w:noProof/>
        </w:rPr>
        <w:t>4</w:t>
      </w:r>
      <w:r w:rsidR="00203C82">
        <w:rPr>
          <w:noProof/>
        </w:rPr>
        <w:fldChar w:fldCharType="end"/>
      </w:r>
      <w:bookmarkEnd w:id="18"/>
      <w:r>
        <w:tab/>
        <w:t xml:space="preserve">ActewAGL's </w:t>
      </w:r>
      <w:r w:rsidR="00A75065">
        <w:t xml:space="preserve">revised </w:t>
      </w:r>
      <w:r>
        <w:t>proposed cost of corporate income tax allowance for 2014–19 period ($ million, nominal)</w:t>
      </w:r>
      <w:r w:rsidR="0025043E">
        <w:t xml:space="preserve"> – transmission</w:t>
      </w:r>
    </w:p>
    <w:tbl>
      <w:tblPr>
        <w:tblStyle w:val="AERtable-numbers"/>
        <w:tblW w:w="0" w:type="auto"/>
        <w:tblLook w:val="04A0" w:firstRow="1" w:lastRow="0" w:firstColumn="1" w:lastColumn="0" w:noHBand="0" w:noVBand="1"/>
      </w:tblPr>
      <w:tblGrid>
        <w:gridCol w:w="2943"/>
        <w:gridCol w:w="993"/>
        <w:gridCol w:w="992"/>
        <w:gridCol w:w="992"/>
        <w:gridCol w:w="992"/>
        <w:gridCol w:w="993"/>
        <w:gridCol w:w="788"/>
      </w:tblGrid>
      <w:tr w:rsidR="00AB7F16" w:rsidTr="00170D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AB7F16" w:rsidRDefault="00AB7F16" w:rsidP="00AB7F16"/>
        </w:tc>
        <w:tc>
          <w:tcPr>
            <w:tcW w:w="993" w:type="dxa"/>
          </w:tcPr>
          <w:p w:rsidR="00AB7F16" w:rsidRPr="00AB7F16" w:rsidRDefault="00AB7F16" w:rsidP="00AB7F16">
            <w:pPr>
              <w:cnfStyle w:val="100000000000" w:firstRow="1" w:lastRow="0" w:firstColumn="0" w:lastColumn="0" w:oddVBand="0" w:evenVBand="0" w:oddHBand="0" w:evenHBand="0" w:firstRowFirstColumn="0" w:firstRowLastColumn="0" w:lastRowFirstColumn="0" w:lastRowLastColumn="0"/>
            </w:pPr>
            <w:r>
              <w:t>2014–15</w:t>
            </w:r>
          </w:p>
        </w:tc>
        <w:tc>
          <w:tcPr>
            <w:tcW w:w="992" w:type="dxa"/>
          </w:tcPr>
          <w:p w:rsidR="00AB7F16" w:rsidRPr="00AB7F16" w:rsidRDefault="00AB7F16" w:rsidP="00AB7F16">
            <w:pPr>
              <w:cnfStyle w:val="100000000000" w:firstRow="1" w:lastRow="0" w:firstColumn="0" w:lastColumn="0" w:oddVBand="0" w:evenVBand="0" w:oddHBand="0" w:evenHBand="0" w:firstRowFirstColumn="0" w:firstRowLastColumn="0" w:lastRowFirstColumn="0" w:lastRowLastColumn="0"/>
            </w:pPr>
            <w:r>
              <w:t>2</w:t>
            </w:r>
            <w:r w:rsidRPr="00AB7F16">
              <w:t>015–16</w:t>
            </w:r>
          </w:p>
        </w:tc>
        <w:tc>
          <w:tcPr>
            <w:tcW w:w="992" w:type="dxa"/>
          </w:tcPr>
          <w:p w:rsidR="00AB7F16" w:rsidRPr="00AB7F16" w:rsidRDefault="00AB7F16" w:rsidP="00AB7F16">
            <w:pPr>
              <w:cnfStyle w:val="100000000000" w:firstRow="1" w:lastRow="0" w:firstColumn="0" w:lastColumn="0" w:oddVBand="0" w:evenVBand="0" w:oddHBand="0" w:evenHBand="0" w:firstRowFirstColumn="0" w:firstRowLastColumn="0" w:lastRowFirstColumn="0" w:lastRowLastColumn="0"/>
            </w:pPr>
            <w:r>
              <w:t>2016–17</w:t>
            </w:r>
          </w:p>
        </w:tc>
        <w:tc>
          <w:tcPr>
            <w:tcW w:w="992" w:type="dxa"/>
          </w:tcPr>
          <w:p w:rsidR="00AB7F16" w:rsidRPr="00AB7F16" w:rsidRDefault="00AB7F16" w:rsidP="00AB7F16">
            <w:pPr>
              <w:cnfStyle w:val="100000000000" w:firstRow="1" w:lastRow="0" w:firstColumn="0" w:lastColumn="0" w:oddVBand="0" w:evenVBand="0" w:oddHBand="0" w:evenHBand="0" w:firstRowFirstColumn="0" w:firstRowLastColumn="0" w:lastRowFirstColumn="0" w:lastRowLastColumn="0"/>
            </w:pPr>
            <w:r>
              <w:t>2017–18</w:t>
            </w:r>
          </w:p>
        </w:tc>
        <w:tc>
          <w:tcPr>
            <w:tcW w:w="993" w:type="dxa"/>
          </w:tcPr>
          <w:p w:rsidR="00AB7F16" w:rsidRPr="00AB7F16" w:rsidRDefault="00AB7F16" w:rsidP="00AB7F16">
            <w:pPr>
              <w:cnfStyle w:val="100000000000" w:firstRow="1" w:lastRow="0" w:firstColumn="0" w:lastColumn="0" w:oddVBand="0" w:evenVBand="0" w:oddHBand="0" w:evenHBand="0" w:firstRowFirstColumn="0" w:firstRowLastColumn="0" w:lastRowFirstColumn="0" w:lastRowLastColumn="0"/>
            </w:pPr>
            <w:r>
              <w:t>2018–19</w:t>
            </w:r>
          </w:p>
        </w:tc>
        <w:tc>
          <w:tcPr>
            <w:tcW w:w="788" w:type="dxa"/>
          </w:tcPr>
          <w:p w:rsidR="00AB7F16" w:rsidRPr="00AB7F16" w:rsidRDefault="00AB7F16" w:rsidP="00AB7F16">
            <w:pPr>
              <w:cnfStyle w:val="100000000000" w:firstRow="1" w:lastRow="0" w:firstColumn="0" w:lastColumn="0" w:oddVBand="0" w:evenVBand="0" w:oddHBand="0" w:evenHBand="0" w:firstRowFirstColumn="0" w:firstRowLastColumn="0" w:lastRowFirstColumn="0" w:lastRowLastColumn="0"/>
            </w:pPr>
            <w:r>
              <w:t>Total</w:t>
            </w:r>
          </w:p>
        </w:tc>
      </w:tr>
      <w:tr w:rsidR="00AB7F16" w:rsidTr="00170D44">
        <w:tc>
          <w:tcPr>
            <w:cnfStyle w:val="001000000000" w:firstRow="0" w:lastRow="0" w:firstColumn="1" w:lastColumn="0" w:oddVBand="0" w:evenVBand="0" w:oddHBand="0" w:evenHBand="0" w:firstRowFirstColumn="0" w:firstRowLastColumn="0" w:lastRowFirstColumn="0" w:lastRowLastColumn="0"/>
            <w:tcW w:w="2943" w:type="dxa"/>
          </w:tcPr>
          <w:p w:rsidR="00AB7F16" w:rsidRPr="00AB7F16" w:rsidRDefault="00AB7F16" w:rsidP="00AB7F16">
            <w:r>
              <w:t>Tax payable</w:t>
            </w:r>
          </w:p>
        </w:tc>
        <w:tc>
          <w:tcPr>
            <w:tcW w:w="993" w:type="dxa"/>
          </w:tcPr>
          <w:p w:rsidR="00AB7F16" w:rsidRDefault="00AB7F16" w:rsidP="00AB7F16">
            <w:pPr>
              <w:cnfStyle w:val="000000000000" w:firstRow="0" w:lastRow="0" w:firstColumn="0" w:lastColumn="0" w:oddVBand="0" w:evenVBand="0" w:oddHBand="0" w:evenHBand="0" w:firstRowFirstColumn="0" w:firstRowLastColumn="0" w:lastRowFirstColumn="0" w:lastRowLastColumn="0"/>
            </w:pPr>
            <w:r>
              <w:t>1.8</w:t>
            </w:r>
          </w:p>
        </w:tc>
        <w:tc>
          <w:tcPr>
            <w:tcW w:w="992" w:type="dxa"/>
          </w:tcPr>
          <w:p w:rsidR="00AB7F16" w:rsidRDefault="00AB7F16" w:rsidP="00AB7F16">
            <w:pPr>
              <w:cnfStyle w:val="000000000000" w:firstRow="0" w:lastRow="0" w:firstColumn="0" w:lastColumn="0" w:oddVBand="0" w:evenVBand="0" w:oddHBand="0" w:evenHBand="0" w:firstRowFirstColumn="0" w:firstRowLastColumn="0" w:lastRowFirstColumn="0" w:lastRowLastColumn="0"/>
            </w:pPr>
            <w:r>
              <w:t>2.0</w:t>
            </w:r>
          </w:p>
        </w:tc>
        <w:tc>
          <w:tcPr>
            <w:tcW w:w="992" w:type="dxa"/>
          </w:tcPr>
          <w:p w:rsidR="00AB7F16" w:rsidRDefault="00AB7F16" w:rsidP="00AB7F16">
            <w:pPr>
              <w:cnfStyle w:val="000000000000" w:firstRow="0" w:lastRow="0" w:firstColumn="0" w:lastColumn="0" w:oddVBand="0" w:evenVBand="0" w:oddHBand="0" w:evenHBand="0" w:firstRowFirstColumn="0" w:firstRowLastColumn="0" w:lastRowFirstColumn="0" w:lastRowLastColumn="0"/>
            </w:pPr>
            <w:r>
              <w:t>2.0</w:t>
            </w:r>
          </w:p>
        </w:tc>
        <w:tc>
          <w:tcPr>
            <w:tcW w:w="992" w:type="dxa"/>
          </w:tcPr>
          <w:p w:rsidR="00AB7F16" w:rsidRDefault="00AB7F16" w:rsidP="00AB7F16">
            <w:pPr>
              <w:cnfStyle w:val="000000000000" w:firstRow="0" w:lastRow="0" w:firstColumn="0" w:lastColumn="0" w:oddVBand="0" w:evenVBand="0" w:oddHBand="0" w:evenHBand="0" w:firstRowFirstColumn="0" w:firstRowLastColumn="0" w:lastRowFirstColumn="0" w:lastRowLastColumn="0"/>
            </w:pPr>
            <w:r>
              <w:t>2.4</w:t>
            </w:r>
          </w:p>
        </w:tc>
        <w:tc>
          <w:tcPr>
            <w:tcW w:w="993" w:type="dxa"/>
          </w:tcPr>
          <w:p w:rsidR="00AB7F16" w:rsidRDefault="00AB7F16" w:rsidP="00AB7F16">
            <w:pPr>
              <w:cnfStyle w:val="000000000000" w:firstRow="0" w:lastRow="0" w:firstColumn="0" w:lastColumn="0" w:oddVBand="0" w:evenVBand="0" w:oddHBand="0" w:evenHBand="0" w:firstRowFirstColumn="0" w:firstRowLastColumn="0" w:lastRowFirstColumn="0" w:lastRowLastColumn="0"/>
            </w:pPr>
            <w:r>
              <w:t>2.6</w:t>
            </w:r>
          </w:p>
        </w:tc>
        <w:tc>
          <w:tcPr>
            <w:tcW w:w="788" w:type="dxa"/>
          </w:tcPr>
          <w:p w:rsidR="00AB7F16" w:rsidRDefault="00AB7F16" w:rsidP="00AB7F16">
            <w:pPr>
              <w:cnfStyle w:val="000000000000" w:firstRow="0" w:lastRow="0" w:firstColumn="0" w:lastColumn="0" w:oddVBand="0" w:evenVBand="0" w:oddHBand="0" w:evenHBand="0" w:firstRowFirstColumn="0" w:firstRowLastColumn="0" w:lastRowFirstColumn="0" w:lastRowLastColumn="0"/>
            </w:pPr>
            <w:r>
              <w:t>10.8</w:t>
            </w:r>
          </w:p>
        </w:tc>
      </w:tr>
      <w:tr w:rsidR="00AB7F16" w:rsidTr="00170D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AB7F16" w:rsidRPr="00AB7F16" w:rsidRDefault="00AB7F16" w:rsidP="00AB7F16">
            <w:r w:rsidRPr="00331A20">
              <w:rPr>
                <w:rStyle w:val="AERtextitalic"/>
              </w:rPr>
              <w:t>Less</w:t>
            </w:r>
            <w:r>
              <w:t>: value of imputation credits</w:t>
            </w:r>
          </w:p>
        </w:tc>
        <w:tc>
          <w:tcPr>
            <w:tcW w:w="993" w:type="dxa"/>
          </w:tcPr>
          <w:p w:rsidR="00AB7F16" w:rsidRDefault="00AB7F16" w:rsidP="00AB7F16">
            <w:pPr>
              <w:cnfStyle w:val="000000010000" w:firstRow="0" w:lastRow="0" w:firstColumn="0" w:lastColumn="0" w:oddVBand="0" w:evenVBand="0" w:oddHBand="0" w:evenHBand="1" w:firstRowFirstColumn="0" w:firstRowLastColumn="0" w:lastRowFirstColumn="0" w:lastRowLastColumn="0"/>
            </w:pPr>
            <w:r>
              <w:t>0.5</w:t>
            </w:r>
          </w:p>
        </w:tc>
        <w:tc>
          <w:tcPr>
            <w:tcW w:w="992" w:type="dxa"/>
          </w:tcPr>
          <w:p w:rsidR="00AB7F16" w:rsidRDefault="00AB7F16" w:rsidP="00AB7F16">
            <w:pPr>
              <w:cnfStyle w:val="000000010000" w:firstRow="0" w:lastRow="0" w:firstColumn="0" w:lastColumn="0" w:oddVBand="0" w:evenVBand="0" w:oddHBand="0" w:evenHBand="1" w:firstRowFirstColumn="0" w:firstRowLastColumn="0" w:lastRowFirstColumn="0" w:lastRowLastColumn="0"/>
            </w:pPr>
            <w:r>
              <w:t>0.5</w:t>
            </w:r>
          </w:p>
        </w:tc>
        <w:tc>
          <w:tcPr>
            <w:tcW w:w="992" w:type="dxa"/>
          </w:tcPr>
          <w:p w:rsidR="00AB7F16" w:rsidRDefault="00AB7F16" w:rsidP="00AB7F16">
            <w:pPr>
              <w:cnfStyle w:val="000000010000" w:firstRow="0" w:lastRow="0" w:firstColumn="0" w:lastColumn="0" w:oddVBand="0" w:evenVBand="0" w:oddHBand="0" w:evenHBand="1" w:firstRowFirstColumn="0" w:firstRowLastColumn="0" w:lastRowFirstColumn="0" w:lastRowLastColumn="0"/>
            </w:pPr>
            <w:r>
              <w:t>0.5</w:t>
            </w:r>
          </w:p>
        </w:tc>
        <w:tc>
          <w:tcPr>
            <w:tcW w:w="992" w:type="dxa"/>
          </w:tcPr>
          <w:p w:rsidR="00AB7F16" w:rsidRDefault="00AB7F16" w:rsidP="00AB7F16">
            <w:pPr>
              <w:cnfStyle w:val="000000010000" w:firstRow="0" w:lastRow="0" w:firstColumn="0" w:lastColumn="0" w:oddVBand="0" w:evenVBand="0" w:oddHBand="0" w:evenHBand="1" w:firstRowFirstColumn="0" w:firstRowLastColumn="0" w:lastRowFirstColumn="0" w:lastRowLastColumn="0"/>
            </w:pPr>
            <w:r>
              <w:t>0.6</w:t>
            </w:r>
          </w:p>
        </w:tc>
        <w:tc>
          <w:tcPr>
            <w:tcW w:w="993" w:type="dxa"/>
          </w:tcPr>
          <w:p w:rsidR="00AB7F16" w:rsidRDefault="00AB7F16" w:rsidP="00AB7F16">
            <w:pPr>
              <w:cnfStyle w:val="000000010000" w:firstRow="0" w:lastRow="0" w:firstColumn="0" w:lastColumn="0" w:oddVBand="0" w:evenVBand="0" w:oddHBand="0" w:evenHBand="1" w:firstRowFirstColumn="0" w:firstRowLastColumn="0" w:lastRowFirstColumn="0" w:lastRowLastColumn="0"/>
            </w:pPr>
            <w:r>
              <w:t>0.6</w:t>
            </w:r>
          </w:p>
        </w:tc>
        <w:tc>
          <w:tcPr>
            <w:tcW w:w="788" w:type="dxa"/>
          </w:tcPr>
          <w:p w:rsidR="00AB7F16" w:rsidRDefault="00AB7F16" w:rsidP="00AB7F16">
            <w:pPr>
              <w:cnfStyle w:val="000000010000" w:firstRow="0" w:lastRow="0" w:firstColumn="0" w:lastColumn="0" w:oddVBand="0" w:evenVBand="0" w:oddHBand="0" w:evenHBand="1" w:firstRowFirstColumn="0" w:firstRowLastColumn="0" w:lastRowFirstColumn="0" w:lastRowLastColumn="0"/>
            </w:pPr>
            <w:r>
              <w:t>2.7</w:t>
            </w:r>
          </w:p>
        </w:tc>
      </w:tr>
      <w:tr w:rsidR="00AB7F16" w:rsidTr="00170D44">
        <w:tc>
          <w:tcPr>
            <w:cnfStyle w:val="001000000000" w:firstRow="0" w:lastRow="0" w:firstColumn="1" w:lastColumn="0" w:oddVBand="0" w:evenVBand="0" w:oddHBand="0" w:evenHBand="0" w:firstRowFirstColumn="0" w:firstRowLastColumn="0" w:lastRowFirstColumn="0" w:lastRowLastColumn="0"/>
            <w:tcW w:w="2943" w:type="dxa"/>
          </w:tcPr>
          <w:p w:rsidR="00AB7F16" w:rsidRPr="00AB7F16" w:rsidRDefault="00AB7F16" w:rsidP="00AB7F16">
            <w:pPr>
              <w:rPr>
                <w:rStyle w:val="Strong"/>
              </w:rPr>
            </w:pPr>
            <w:r w:rsidRPr="00AB7F16">
              <w:rPr>
                <w:rStyle w:val="Strong"/>
              </w:rPr>
              <w:t>Corporate income tax allowance</w:t>
            </w:r>
          </w:p>
        </w:tc>
        <w:tc>
          <w:tcPr>
            <w:tcW w:w="993" w:type="dxa"/>
          </w:tcPr>
          <w:p w:rsidR="00AB7F16" w:rsidRPr="00AB7F16" w:rsidRDefault="00AB7F16" w:rsidP="00AB7F16">
            <w:pPr>
              <w:cnfStyle w:val="000000000000" w:firstRow="0" w:lastRow="0" w:firstColumn="0" w:lastColumn="0" w:oddVBand="0" w:evenVBand="0" w:oddHBand="0" w:evenHBand="0" w:firstRowFirstColumn="0" w:firstRowLastColumn="0" w:lastRowFirstColumn="0" w:lastRowLastColumn="0"/>
              <w:rPr>
                <w:rStyle w:val="Strong"/>
              </w:rPr>
            </w:pPr>
            <w:r w:rsidRPr="00AB7F16">
              <w:rPr>
                <w:rStyle w:val="Strong"/>
              </w:rPr>
              <w:t>1.4</w:t>
            </w:r>
          </w:p>
        </w:tc>
        <w:tc>
          <w:tcPr>
            <w:tcW w:w="992" w:type="dxa"/>
          </w:tcPr>
          <w:p w:rsidR="00AB7F16" w:rsidRPr="00AB7F16" w:rsidRDefault="00AB7F16" w:rsidP="00AB7F16">
            <w:pPr>
              <w:cnfStyle w:val="000000000000" w:firstRow="0" w:lastRow="0" w:firstColumn="0" w:lastColumn="0" w:oddVBand="0" w:evenVBand="0" w:oddHBand="0" w:evenHBand="0" w:firstRowFirstColumn="0" w:firstRowLastColumn="0" w:lastRowFirstColumn="0" w:lastRowLastColumn="0"/>
              <w:rPr>
                <w:rStyle w:val="Strong"/>
              </w:rPr>
            </w:pPr>
            <w:r w:rsidRPr="00AB7F16">
              <w:rPr>
                <w:rStyle w:val="Strong"/>
              </w:rPr>
              <w:t>1.5</w:t>
            </w:r>
          </w:p>
        </w:tc>
        <w:tc>
          <w:tcPr>
            <w:tcW w:w="992" w:type="dxa"/>
          </w:tcPr>
          <w:p w:rsidR="00AB7F16" w:rsidRPr="00AB7F16" w:rsidRDefault="00AB7F16" w:rsidP="00AB7F16">
            <w:pPr>
              <w:cnfStyle w:val="000000000000" w:firstRow="0" w:lastRow="0" w:firstColumn="0" w:lastColumn="0" w:oddVBand="0" w:evenVBand="0" w:oddHBand="0" w:evenHBand="0" w:firstRowFirstColumn="0" w:firstRowLastColumn="0" w:lastRowFirstColumn="0" w:lastRowLastColumn="0"/>
              <w:rPr>
                <w:rStyle w:val="Strong"/>
              </w:rPr>
            </w:pPr>
            <w:r w:rsidRPr="00AB7F16">
              <w:rPr>
                <w:rStyle w:val="Strong"/>
              </w:rPr>
              <w:t>1.5</w:t>
            </w:r>
          </w:p>
        </w:tc>
        <w:tc>
          <w:tcPr>
            <w:tcW w:w="992" w:type="dxa"/>
          </w:tcPr>
          <w:p w:rsidR="00AB7F16" w:rsidRPr="00AB7F16" w:rsidRDefault="00AB7F16" w:rsidP="00AB7F16">
            <w:pPr>
              <w:cnfStyle w:val="000000000000" w:firstRow="0" w:lastRow="0" w:firstColumn="0" w:lastColumn="0" w:oddVBand="0" w:evenVBand="0" w:oddHBand="0" w:evenHBand="0" w:firstRowFirstColumn="0" w:firstRowLastColumn="0" w:lastRowFirstColumn="0" w:lastRowLastColumn="0"/>
              <w:rPr>
                <w:rStyle w:val="Strong"/>
              </w:rPr>
            </w:pPr>
            <w:r w:rsidRPr="00AB7F16">
              <w:rPr>
                <w:rStyle w:val="Strong"/>
              </w:rPr>
              <w:t>1.8</w:t>
            </w:r>
          </w:p>
        </w:tc>
        <w:tc>
          <w:tcPr>
            <w:tcW w:w="993" w:type="dxa"/>
          </w:tcPr>
          <w:p w:rsidR="00AB7F16" w:rsidRPr="00AB7F16" w:rsidRDefault="00AB7F16" w:rsidP="00AB7F16">
            <w:pPr>
              <w:cnfStyle w:val="000000000000" w:firstRow="0" w:lastRow="0" w:firstColumn="0" w:lastColumn="0" w:oddVBand="0" w:evenVBand="0" w:oddHBand="0" w:evenHBand="0" w:firstRowFirstColumn="0" w:firstRowLastColumn="0" w:lastRowFirstColumn="0" w:lastRowLastColumn="0"/>
              <w:rPr>
                <w:rStyle w:val="Strong"/>
              </w:rPr>
            </w:pPr>
            <w:r w:rsidRPr="00AB7F16">
              <w:rPr>
                <w:rStyle w:val="Strong"/>
              </w:rPr>
              <w:t>1.9</w:t>
            </w:r>
          </w:p>
        </w:tc>
        <w:tc>
          <w:tcPr>
            <w:tcW w:w="788" w:type="dxa"/>
          </w:tcPr>
          <w:p w:rsidR="00AB7F16" w:rsidRPr="00AB7F16" w:rsidRDefault="00AB7F16" w:rsidP="00AB7F16">
            <w:pPr>
              <w:cnfStyle w:val="000000000000" w:firstRow="0" w:lastRow="0" w:firstColumn="0" w:lastColumn="0" w:oddVBand="0" w:evenVBand="0" w:oddHBand="0" w:evenHBand="0" w:firstRowFirstColumn="0" w:firstRowLastColumn="0" w:lastRowFirstColumn="0" w:lastRowLastColumn="0"/>
              <w:rPr>
                <w:rStyle w:val="Strong"/>
              </w:rPr>
            </w:pPr>
            <w:r w:rsidRPr="00AB7F16">
              <w:rPr>
                <w:rStyle w:val="Strong"/>
              </w:rPr>
              <w:t>8.1</w:t>
            </w:r>
          </w:p>
        </w:tc>
      </w:tr>
    </w:tbl>
    <w:p w:rsidR="00AB7F16" w:rsidRPr="00AB7F16" w:rsidRDefault="00AB7F16" w:rsidP="00AB7F16">
      <w:pPr>
        <w:pStyle w:val="AERtablesource"/>
      </w:pPr>
      <w:r>
        <w:t>Source:</w:t>
      </w:r>
      <w:r>
        <w:tab/>
        <w:t>A</w:t>
      </w:r>
      <w:r w:rsidR="00170D44">
        <w:t xml:space="preserve">ctewAGL, </w:t>
      </w:r>
      <w:r w:rsidR="00170D44" w:rsidRPr="004F4655">
        <w:rPr>
          <w:rStyle w:val="AERtextitalic"/>
        </w:rPr>
        <w:t>Revised regulatory proposal</w:t>
      </w:r>
      <w:r w:rsidR="00170D44">
        <w:t xml:space="preserve">, </w:t>
      </w:r>
      <w:r w:rsidR="004F4655">
        <w:t>January 2015</w:t>
      </w:r>
      <w:r w:rsidR="00170D44">
        <w:t xml:space="preserve">, Attachment </w:t>
      </w:r>
      <w:r w:rsidR="004F4655">
        <w:t>H9</w:t>
      </w:r>
      <w:r>
        <w:t>.</w:t>
      </w:r>
    </w:p>
    <w:p w:rsidR="00DE563D" w:rsidRDefault="00DE563D" w:rsidP="001754EE">
      <w:pPr>
        <w:pStyle w:val="Heading2"/>
      </w:pPr>
      <w:bookmarkStart w:id="19" w:name="_Toc403144138"/>
      <w:bookmarkStart w:id="20" w:name="_Toc417631975"/>
      <w:r w:rsidRPr="001754EE">
        <w:t>AER’s</w:t>
      </w:r>
      <w:r>
        <w:t xml:space="preserve"> assessment approach</w:t>
      </w:r>
      <w:bookmarkEnd w:id="19"/>
      <w:bookmarkEnd w:id="20"/>
    </w:p>
    <w:p w:rsidR="002C233C" w:rsidRDefault="00A13EBC" w:rsidP="00170D44">
      <w:r w:rsidRPr="00A13EBC">
        <w:t xml:space="preserve">We did not change our assessment approach for the </w:t>
      </w:r>
      <w:r w:rsidR="00F85580">
        <w:t xml:space="preserve">cost of corporate </w:t>
      </w:r>
      <w:r w:rsidR="00A75065">
        <w:t xml:space="preserve">income </w:t>
      </w:r>
      <w:r w:rsidR="00F85580">
        <w:t xml:space="preserve">tax </w:t>
      </w:r>
      <w:r w:rsidRPr="00A13EBC">
        <w:t xml:space="preserve">from our draft decision. Section </w:t>
      </w:r>
      <w:r w:rsidR="00F85580">
        <w:t>8</w:t>
      </w:r>
      <w:r w:rsidRPr="00A13EBC">
        <w:t>.3 of our draft decision details that approach.</w:t>
      </w:r>
      <w:r>
        <w:rPr>
          <w:rStyle w:val="FootnoteReference"/>
        </w:rPr>
        <w:footnoteReference w:id="4"/>
      </w:r>
    </w:p>
    <w:p w:rsidR="00DE563D" w:rsidRDefault="00DE563D" w:rsidP="001754EE">
      <w:pPr>
        <w:pStyle w:val="Heading2"/>
      </w:pPr>
      <w:bookmarkStart w:id="21" w:name="_Toc403144140"/>
      <w:bookmarkStart w:id="22" w:name="_Toc417631976"/>
      <w:r w:rsidRPr="001754EE">
        <w:t>Reasons</w:t>
      </w:r>
      <w:r>
        <w:t xml:space="preserve"> for </w:t>
      </w:r>
      <w:r w:rsidR="002016E7">
        <w:t>final</w:t>
      </w:r>
      <w:r>
        <w:t xml:space="preserve"> decision</w:t>
      </w:r>
      <w:bookmarkEnd w:id="21"/>
      <w:bookmarkEnd w:id="22"/>
      <w:r>
        <w:t xml:space="preserve"> </w:t>
      </w:r>
    </w:p>
    <w:p w:rsidR="009E73C3" w:rsidRDefault="00170D44" w:rsidP="00170D44">
      <w:r w:rsidRPr="00170D44">
        <w:t xml:space="preserve">We </w:t>
      </w:r>
      <w:r w:rsidR="00A75065">
        <w:t>do not accept ActewAGL's revised proposed</w:t>
      </w:r>
      <w:r w:rsidR="00E84B83">
        <w:t xml:space="preserve"> c</w:t>
      </w:r>
      <w:r w:rsidRPr="00170D44">
        <w:t>orporate income tax allowances</w:t>
      </w:r>
      <w:r w:rsidR="00A75065">
        <w:t>. We instead determine estimated corporate income tax allowances</w:t>
      </w:r>
      <w:r w:rsidRPr="00170D44">
        <w:t xml:space="preserve"> of $</w:t>
      </w:r>
      <w:r w:rsidR="00F36B47">
        <w:t>26.6</w:t>
      </w:r>
      <w:r w:rsidRPr="00170D44">
        <w:t xml:space="preserve"> million and $</w:t>
      </w:r>
      <w:r w:rsidR="00F36B47">
        <w:t>3.9</w:t>
      </w:r>
      <w:r w:rsidRPr="00170D44">
        <w:t xml:space="preserve"> million for </w:t>
      </w:r>
      <w:r w:rsidR="00E84B83">
        <w:t xml:space="preserve">ActewAGL's </w:t>
      </w:r>
      <w:r w:rsidRPr="00170D44">
        <w:t xml:space="preserve">distribution and transmission networks respectively. </w:t>
      </w:r>
      <w:r w:rsidR="009E73C3">
        <w:t>These</w:t>
      </w:r>
      <w:r w:rsidR="00A75065">
        <w:t xml:space="preserve"> represent reductions of </w:t>
      </w:r>
      <w:r w:rsidR="00A75065" w:rsidRPr="00170D44">
        <w:t>$</w:t>
      </w:r>
      <w:r w:rsidR="00F36B47">
        <w:t>20.9</w:t>
      </w:r>
      <w:r w:rsidR="00A75065" w:rsidRPr="00170D44">
        <w:t xml:space="preserve"> million (or </w:t>
      </w:r>
      <w:r w:rsidR="00F36B47">
        <w:t>44.0</w:t>
      </w:r>
      <w:r w:rsidR="00A75065" w:rsidRPr="00170D44">
        <w:t xml:space="preserve"> per cent) for ActewAGL's distribution network and $</w:t>
      </w:r>
      <w:r w:rsidR="00F36B47">
        <w:t>4.2</w:t>
      </w:r>
      <w:r w:rsidR="00A75065" w:rsidRPr="00170D44">
        <w:t xml:space="preserve"> million (or </w:t>
      </w:r>
      <w:r w:rsidR="00F36B47">
        <w:t>51.7</w:t>
      </w:r>
      <w:r w:rsidR="00A75065" w:rsidRPr="00170D44">
        <w:t xml:space="preserve"> per cent) for ActewAGL's transmission network. </w:t>
      </w:r>
    </w:p>
    <w:p w:rsidR="009E73C3" w:rsidRDefault="009E73C3" w:rsidP="00170D44">
      <w:r>
        <w:t>W</w:t>
      </w:r>
      <w:r w:rsidR="00E84B83">
        <w:t xml:space="preserve">e </w:t>
      </w:r>
      <w:r>
        <w:t xml:space="preserve">have </w:t>
      </w:r>
      <w:r w:rsidR="00E84B83">
        <w:t>accept</w:t>
      </w:r>
      <w:r>
        <w:t>ed</w:t>
      </w:r>
      <w:r w:rsidR="00E84B83">
        <w:t xml:space="preserve"> </w:t>
      </w:r>
      <w:r>
        <w:t xml:space="preserve">the following revised proposed </w:t>
      </w:r>
      <w:r w:rsidR="00BB09D2">
        <w:t xml:space="preserve">inputs to the </w:t>
      </w:r>
      <w:r w:rsidR="00C11ED6">
        <w:t xml:space="preserve">distribution and transmission </w:t>
      </w:r>
      <w:r w:rsidR="00BB09D2">
        <w:t>PTRM</w:t>
      </w:r>
      <w:r w:rsidR="00C11ED6">
        <w:t>s</w:t>
      </w:r>
      <w:r w:rsidR="00BB09D2">
        <w:t xml:space="preserve"> for tax purposes</w:t>
      </w:r>
      <w:r>
        <w:t>:</w:t>
      </w:r>
      <w:r w:rsidR="00E84B83">
        <w:t xml:space="preserve"> </w:t>
      </w:r>
    </w:p>
    <w:p w:rsidR="009E73C3" w:rsidRDefault="00BB09D2" w:rsidP="00331A20">
      <w:pPr>
        <w:pStyle w:val="AERbulletlistfirststyle"/>
      </w:pPr>
      <w:r>
        <w:lastRenderedPageBreak/>
        <w:t>the</w:t>
      </w:r>
      <w:r w:rsidR="00E84B83">
        <w:t xml:space="preserve"> opening TAB</w:t>
      </w:r>
      <w:r>
        <w:t xml:space="preserve"> value</w:t>
      </w:r>
      <w:r w:rsidR="009E73C3">
        <w:t xml:space="preserve">s </w:t>
      </w:r>
      <w:r w:rsidR="00E84B83">
        <w:t xml:space="preserve">and </w:t>
      </w:r>
      <w:r w:rsidR="009E73C3">
        <w:t xml:space="preserve">the </w:t>
      </w:r>
      <w:r w:rsidR="00E84B83">
        <w:t xml:space="preserve">remaining </w:t>
      </w:r>
      <w:r w:rsidR="006D2E2F">
        <w:t>tax</w:t>
      </w:r>
      <w:r w:rsidR="00E84B83">
        <w:t xml:space="preserve"> asset lives</w:t>
      </w:r>
      <w:r w:rsidR="006D2E2F">
        <w:t xml:space="preserve"> as at 1 July 2014</w:t>
      </w:r>
      <w:r>
        <w:t>,</w:t>
      </w:r>
      <w:r w:rsidR="006D2E2F">
        <w:t xml:space="preserve"> updated to reflect ActewAGL's actual capex for 2013–14</w:t>
      </w:r>
      <w:r>
        <w:t xml:space="preserve"> (sections </w:t>
      </w:r>
      <w:r>
        <w:fldChar w:fldCharType="begin"/>
      </w:r>
      <w:r>
        <w:instrText xml:space="preserve"> REF _Ref414280179 \r \h </w:instrText>
      </w:r>
      <w:r>
        <w:fldChar w:fldCharType="separate"/>
      </w:r>
      <w:r w:rsidR="004B70E5">
        <w:t>8.4.1</w:t>
      </w:r>
      <w:r>
        <w:fldChar w:fldCharType="end"/>
      </w:r>
      <w:r>
        <w:t xml:space="preserve"> and </w:t>
      </w:r>
      <w:r>
        <w:fldChar w:fldCharType="begin"/>
      </w:r>
      <w:r>
        <w:instrText xml:space="preserve"> REF _Ref414280184 \r \h </w:instrText>
      </w:r>
      <w:r>
        <w:fldChar w:fldCharType="separate"/>
      </w:r>
      <w:r w:rsidR="004B70E5">
        <w:t>8.4.3</w:t>
      </w:r>
      <w:r>
        <w:fldChar w:fldCharType="end"/>
      </w:r>
      <w:r>
        <w:t>)</w:t>
      </w:r>
    </w:p>
    <w:p w:rsidR="006D2E2F" w:rsidRDefault="009E73C3" w:rsidP="00331A20">
      <w:pPr>
        <w:pStyle w:val="AERbulletlistfirststyle"/>
      </w:pPr>
      <w:r>
        <w:t>standard tax asset lives consistent with those approved in the draft decision</w:t>
      </w:r>
      <w:r w:rsidR="00BB09D2">
        <w:t xml:space="preserve"> (section </w:t>
      </w:r>
      <w:r w:rsidR="00BB09D2">
        <w:fldChar w:fldCharType="begin"/>
      </w:r>
      <w:r w:rsidR="00BB09D2">
        <w:instrText xml:space="preserve"> REF _Ref414280200 \r \h </w:instrText>
      </w:r>
      <w:r w:rsidR="00BB09D2">
        <w:fldChar w:fldCharType="separate"/>
      </w:r>
      <w:r w:rsidR="004B70E5">
        <w:t>8.4.2</w:t>
      </w:r>
      <w:r w:rsidR="00BB09D2">
        <w:fldChar w:fldCharType="end"/>
      </w:r>
      <w:r w:rsidR="00BB09D2">
        <w:t>)</w:t>
      </w:r>
      <w:r w:rsidR="006D2E2F">
        <w:t xml:space="preserve">. </w:t>
      </w:r>
    </w:p>
    <w:p w:rsidR="002A4BFD" w:rsidRDefault="00BB09D2" w:rsidP="00331A20">
      <w:r>
        <w:t xml:space="preserve">However, </w:t>
      </w:r>
      <w:r w:rsidR="00170D44" w:rsidRPr="00170D44">
        <w:t>we</w:t>
      </w:r>
      <w:r>
        <w:t xml:space="preserve"> have</w:t>
      </w:r>
      <w:r w:rsidR="00170D44" w:rsidRPr="00170D44">
        <w:t xml:space="preserve"> adjusted </w:t>
      </w:r>
      <w:r w:rsidR="002A4BFD">
        <w:t>the following</w:t>
      </w:r>
      <w:r w:rsidR="00170D44" w:rsidRPr="00170D44">
        <w:t xml:space="preserve"> proposed inputs to the </w:t>
      </w:r>
      <w:r w:rsidR="00F039AA">
        <w:t xml:space="preserve">distribution and transmission </w:t>
      </w:r>
      <w:r w:rsidR="00170D44" w:rsidRPr="00170D44">
        <w:t>PTRM</w:t>
      </w:r>
      <w:r w:rsidR="00F039AA">
        <w:t>s</w:t>
      </w:r>
      <w:r w:rsidR="002A4BFD">
        <w:t xml:space="preserve"> that impact the estimated corporate</w:t>
      </w:r>
      <w:r w:rsidR="00170D44" w:rsidRPr="00170D44">
        <w:t xml:space="preserve"> </w:t>
      </w:r>
      <w:r w:rsidR="002A4BFD">
        <w:t>income tax allowance:</w:t>
      </w:r>
    </w:p>
    <w:p w:rsidR="002A4BFD" w:rsidRDefault="002A4BFD" w:rsidP="00F36B47">
      <w:pPr>
        <w:pStyle w:val="AERbulletlistfirststyle"/>
      </w:pPr>
      <w:r w:rsidRPr="00170D44">
        <w:t>the value of gamma (attachment 4)</w:t>
      </w:r>
    </w:p>
    <w:p w:rsidR="002C233C" w:rsidRDefault="002A4BFD" w:rsidP="00F36B47">
      <w:pPr>
        <w:pStyle w:val="AERbulletlistfirststyle"/>
      </w:pPr>
      <w:r>
        <w:t xml:space="preserve">other building block components </w:t>
      </w:r>
      <w:r w:rsidR="00BB09D2">
        <w:t xml:space="preserve">which affect the calculation of the taxable income. These include, </w:t>
      </w:r>
      <w:r w:rsidR="00170D44" w:rsidRPr="00170D44">
        <w:t>forecast opex (attachment 7) and forecast capex (attachment 6).</w:t>
      </w:r>
    </w:p>
    <w:p w:rsidR="007B186E" w:rsidRDefault="00170D44" w:rsidP="001754EE">
      <w:pPr>
        <w:pStyle w:val="Heading3"/>
      </w:pPr>
      <w:bookmarkStart w:id="23" w:name="_Ref414280179"/>
      <w:bookmarkStart w:id="24" w:name="_Ref414284161"/>
      <w:bookmarkStart w:id="25" w:name="_Toc417631977"/>
      <w:r>
        <w:t>Opening tax asset base</w:t>
      </w:r>
      <w:bookmarkEnd w:id="23"/>
      <w:bookmarkEnd w:id="24"/>
      <w:bookmarkEnd w:id="25"/>
      <w:r w:rsidR="007D456E">
        <w:t xml:space="preserve"> </w:t>
      </w:r>
    </w:p>
    <w:p w:rsidR="006D2E2F" w:rsidRDefault="00170D44" w:rsidP="002C233C">
      <w:r w:rsidRPr="00170D44">
        <w:t xml:space="preserve">We accept ActewAGL's </w:t>
      </w:r>
      <w:r w:rsidR="00E413B4">
        <w:t xml:space="preserve">revised </w:t>
      </w:r>
      <w:r w:rsidRPr="00170D44">
        <w:t>propos</w:t>
      </w:r>
      <w:r w:rsidR="00BB09D2">
        <w:t>ed</w:t>
      </w:r>
      <w:r w:rsidR="00E413B4">
        <w:t xml:space="preserve"> </w:t>
      </w:r>
      <w:r w:rsidRPr="00170D44">
        <w:t>opening TAB</w:t>
      </w:r>
      <w:r w:rsidR="00BB09D2">
        <w:t xml:space="preserve"> value</w:t>
      </w:r>
      <w:r w:rsidRPr="00170D44">
        <w:t>s as at 1 July 2014 of $</w:t>
      </w:r>
      <w:r w:rsidR="001E2375">
        <w:t>608.6</w:t>
      </w:r>
      <w:r w:rsidRPr="00170D44">
        <w:t xml:space="preserve"> million for its distribution network and $</w:t>
      </w:r>
      <w:r w:rsidR="001E2375">
        <w:t>137.1</w:t>
      </w:r>
      <w:r w:rsidRPr="00170D44">
        <w:t xml:space="preserve"> million ($nominal) for its transmission network.</w:t>
      </w:r>
      <w:r w:rsidR="00EB625E">
        <w:t xml:space="preserve"> </w:t>
      </w:r>
    </w:p>
    <w:p w:rsidR="004B70E5" w:rsidRDefault="006D2E2F" w:rsidP="004D0422">
      <w:r>
        <w:t>I</w:t>
      </w:r>
      <w:r w:rsidR="00F85580">
        <w:t>n</w:t>
      </w:r>
      <w:r>
        <w:t xml:space="preserve"> </w:t>
      </w:r>
      <w:r w:rsidR="00924639">
        <w:t>the</w:t>
      </w:r>
      <w:r>
        <w:t xml:space="preserve"> draft decision, we accepted ActewAGL's proposed TABs for its distribution and transmiss</w:t>
      </w:r>
      <w:r w:rsidR="00083540">
        <w:t>i</w:t>
      </w:r>
      <w:r>
        <w:t>on networks</w:t>
      </w:r>
      <w:r w:rsidR="00393A70">
        <w:t xml:space="preserve"> </w:t>
      </w:r>
      <w:r w:rsidR="00083540">
        <w:t>and noted the roll forward of A</w:t>
      </w:r>
      <w:r w:rsidR="00574329">
        <w:t>c</w:t>
      </w:r>
      <w:r w:rsidR="00083540">
        <w:t>tewAGL's TABs included estimated capex values for 2013–14.</w:t>
      </w:r>
      <w:r w:rsidR="00BF5ADE">
        <w:rPr>
          <w:rStyle w:val="FootnoteReference"/>
        </w:rPr>
        <w:footnoteReference w:id="5"/>
      </w:r>
      <w:r w:rsidR="00393A70">
        <w:t xml:space="preserve"> </w:t>
      </w:r>
      <w:r w:rsidR="00924639">
        <w:t xml:space="preserve">ActewAGL's revised proposal updated the opening TABs for 2013–14 actual capex. </w:t>
      </w:r>
      <w:r w:rsidR="00393A70">
        <w:t>As di</w:t>
      </w:r>
      <w:r w:rsidR="00F85580">
        <w:t>s</w:t>
      </w:r>
      <w:r w:rsidR="00393A70">
        <w:t>cussed in a</w:t>
      </w:r>
      <w:r w:rsidR="00F85580">
        <w:t xml:space="preserve">ttachment </w:t>
      </w:r>
      <w:r w:rsidR="00393A70">
        <w:t>2</w:t>
      </w:r>
      <w:r w:rsidR="00924639">
        <w:t>,</w:t>
      </w:r>
      <w:r w:rsidR="00393A70">
        <w:t xml:space="preserve"> we </w:t>
      </w:r>
      <w:r w:rsidR="00924639">
        <w:t xml:space="preserve">have </w:t>
      </w:r>
      <w:r w:rsidR="00393A70">
        <w:t>reco</w:t>
      </w:r>
      <w:r w:rsidR="00F85580">
        <w:t xml:space="preserve">nciled </w:t>
      </w:r>
      <w:r w:rsidR="00083540">
        <w:t xml:space="preserve">the </w:t>
      </w:r>
      <w:r w:rsidR="00393A70">
        <w:t>2013</w:t>
      </w:r>
      <w:r w:rsidR="00924639">
        <w:t>–</w:t>
      </w:r>
      <w:r w:rsidR="00393A70">
        <w:t xml:space="preserve">14 actual capex </w:t>
      </w:r>
      <w:r w:rsidR="00083540">
        <w:t xml:space="preserve">in the revised proposal against ActewAGL's audited </w:t>
      </w:r>
      <w:r w:rsidR="00393A70">
        <w:t>annual RIN</w:t>
      </w:r>
      <w:r w:rsidR="00083540">
        <w:t xml:space="preserve"> for 2013–14</w:t>
      </w:r>
      <w:r w:rsidR="00393A70">
        <w:t xml:space="preserve">. We therefore </w:t>
      </w:r>
      <w:r w:rsidR="00741730">
        <w:t xml:space="preserve">accept </w:t>
      </w:r>
      <w:r w:rsidR="00083540">
        <w:t>the actual capex for 2013–14</w:t>
      </w:r>
      <w:r w:rsidR="00924639">
        <w:t>,</w:t>
      </w:r>
      <w:r w:rsidR="00083540">
        <w:t xml:space="preserve"> and the revised </w:t>
      </w:r>
      <w:r w:rsidR="00924639">
        <w:t xml:space="preserve">proposed </w:t>
      </w:r>
      <w:r w:rsidR="00393A70">
        <w:t xml:space="preserve">opening TABs for </w:t>
      </w:r>
      <w:r w:rsidR="00924639">
        <w:t>ActewAGL's</w:t>
      </w:r>
      <w:r w:rsidR="00393A70">
        <w:t xml:space="preserve"> distrib</w:t>
      </w:r>
      <w:r w:rsidR="00083540">
        <w:t xml:space="preserve">ution </w:t>
      </w:r>
      <w:r w:rsidR="00393A70">
        <w:t>and transmission networks.</w:t>
      </w:r>
      <w:r w:rsidR="0009424C">
        <w:fldChar w:fldCharType="begin"/>
      </w:r>
      <w:r w:rsidR="0009424C">
        <w:instrText xml:space="preserve"> REF _Ref411600730 \h </w:instrText>
      </w:r>
      <w:r w:rsidR="0009424C">
        <w:fldChar w:fldCharType="separate"/>
      </w:r>
    </w:p>
    <w:p w:rsidR="00F457DC" w:rsidRDefault="004B70E5" w:rsidP="004D0422">
      <w:r>
        <w:t xml:space="preserve">Table </w:t>
      </w:r>
      <w:r>
        <w:rPr>
          <w:noProof/>
        </w:rPr>
        <w:t>8</w:t>
      </w:r>
      <w:r>
        <w:t>.</w:t>
      </w:r>
      <w:r>
        <w:rPr>
          <w:noProof/>
        </w:rPr>
        <w:t>5</w:t>
      </w:r>
      <w:r w:rsidR="0009424C">
        <w:fldChar w:fldCharType="end"/>
      </w:r>
      <w:r w:rsidR="00170D44" w:rsidRPr="00170D44">
        <w:t xml:space="preserve"> and </w:t>
      </w:r>
      <w:r w:rsidR="0009424C">
        <w:fldChar w:fldCharType="begin"/>
      </w:r>
      <w:r w:rsidR="0009424C">
        <w:instrText xml:space="preserve"> REF _Ref411600740 \h </w:instrText>
      </w:r>
      <w:r w:rsidR="0009424C">
        <w:fldChar w:fldCharType="separate"/>
      </w:r>
      <w:r>
        <w:t xml:space="preserve">Table </w:t>
      </w:r>
      <w:r>
        <w:rPr>
          <w:noProof/>
        </w:rPr>
        <w:t>8</w:t>
      </w:r>
      <w:r>
        <w:t>.</w:t>
      </w:r>
      <w:r>
        <w:rPr>
          <w:noProof/>
        </w:rPr>
        <w:t>6</w:t>
      </w:r>
      <w:r w:rsidR="0009424C">
        <w:fldChar w:fldCharType="end"/>
      </w:r>
      <w:r w:rsidR="00170D44" w:rsidRPr="00170D44">
        <w:t xml:space="preserve"> set out our </w:t>
      </w:r>
      <w:r w:rsidR="00EB625E">
        <w:t xml:space="preserve">final </w:t>
      </w:r>
      <w:r w:rsidR="00170D44" w:rsidRPr="00170D44">
        <w:t>decision on the roll forward of ActewAGL's TABs over the 2009–14 regulatory control period for its distribution and transmission networks respectively.</w:t>
      </w:r>
      <w:bookmarkStart w:id="26" w:name="_Ref411600730"/>
    </w:p>
    <w:p w:rsidR="00170D44" w:rsidRDefault="00170D44" w:rsidP="00170D44">
      <w:pPr>
        <w:pStyle w:val="Caption"/>
      </w:pPr>
      <w:r>
        <w:t xml:space="preserve">Table </w:t>
      </w:r>
      <w:r w:rsidR="00203C82">
        <w:fldChar w:fldCharType="begin"/>
      </w:r>
      <w:r w:rsidR="00203C82">
        <w:instrText xml:space="preserve"> STYLEREF 1 \</w:instrText>
      </w:r>
      <w:r w:rsidR="00203C82">
        <w:instrText xml:space="preserve">s </w:instrText>
      </w:r>
      <w:r w:rsidR="00203C82">
        <w:fldChar w:fldCharType="separate"/>
      </w:r>
      <w:r w:rsidR="004B70E5">
        <w:rPr>
          <w:noProof/>
        </w:rPr>
        <w:t>8</w:t>
      </w:r>
      <w:r w:rsidR="00203C82">
        <w:rPr>
          <w:noProof/>
        </w:rPr>
        <w:fldChar w:fldCharType="end"/>
      </w:r>
      <w:r w:rsidR="004B70E5">
        <w:t>.</w:t>
      </w:r>
      <w:r w:rsidR="00203C82">
        <w:fldChar w:fldCharType="begin"/>
      </w:r>
      <w:r w:rsidR="00203C82">
        <w:instrText xml:space="preserve"> SEQ Table \* ARABIC \s 1 </w:instrText>
      </w:r>
      <w:r w:rsidR="00203C82">
        <w:fldChar w:fldCharType="separate"/>
      </w:r>
      <w:r w:rsidR="004B70E5">
        <w:rPr>
          <w:noProof/>
        </w:rPr>
        <w:t>5</w:t>
      </w:r>
      <w:r w:rsidR="00203C82">
        <w:rPr>
          <w:noProof/>
        </w:rPr>
        <w:fldChar w:fldCharType="end"/>
      </w:r>
      <w:bookmarkEnd w:id="26"/>
      <w:r>
        <w:tab/>
        <w:t>A</w:t>
      </w:r>
      <w:r w:rsidR="0009424C">
        <w:t>ER'</w:t>
      </w:r>
      <w:r>
        <w:t xml:space="preserve">s final decision on ActewAGL's TAB roll forward </w:t>
      </w:r>
      <w:r w:rsidR="00924639">
        <w:t xml:space="preserve">for the </w:t>
      </w:r>
      <w:r w:rsidR="00E413B4">
        <w:t>2009</w:t>
      </w:r>
      <w:r w:rsidR="00924639">
        <w:t>–</w:t>
      </w:r>
      <w:r w:rsidR="00E413B4">
        <w:t xml:space="preserve">14 </w:t>
      </w:r>
      <w:r w:rsidR="00924639">
        <w:t xml:space="preserve">regulatory control period </w:t>
      </w:r>
      <w:r>
        <w:t xml:space="preserve">($ million, nominal) </w:t>
      </w:r>
      <w:r w:rsidR="0025043E">
        <w:t>–</w:t>
      </w:r>
      <w:r>
        <w:t xml:space="preserve"> distribution</w:t>
      </w:r>
    </w:p>
    <w:tbl>
      <w:tblPr>
        <w:tblStyle w:val="AERtable-numbers"/>
        <w:tblW w:w="8702" w:type="dxa"/>
        <w:tblLook w:val="04A0" w:firstRow="1" w:lastRow="0" w:firstColumn="1" w:lastColumn="0" w:noHBand="0" w:noVBand="1"/>
      </w:tblPr>
      <w:tblGrid>
        <w:gridCol w:w="3240"/>
        <w:gridCol w:w="1093"/>
        <w:gridCol w:w="1092"/>
        <w:gridCol w:w="1092"/>
        <w:gridCol w:w="1092"/>
        <w:gridCol w:w="1093"/>
      </w:tblGrid>
      <w:tr w:rsidR="00EB625E" w:rsidTr="00EB625E">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240" w:type="dxa"/>
          </w:tcPr>
          <w:p w:rsidR="00EB625E" w:rsidRDefault="00EB625E" w:rsidP="00170D44"/>
        </w:tc>
        <w:tc>
          <w:tcPr>
            <w:tcW w:w="1093" w:type="dxa"/>
          </w:tcPr>
          <w:p w:rsidR="00EB625E" w:rsidRPr="00170D44" w:rsidRDefault="00EB625E" w:rsidP="00EB625E">
            <w:pPr>
              <w:cnfStyle w:val="100000000000" w:firstRow="1" w:lastRow="0" w:firstColumn="0" w:lastColumn="0" w:oddVBand="0" w:evenVBand="0" w:oddHBand="0" w:evenHBand="0" w:firstRowFirstColumn="0" w:firstRowLastColumn="0" w:lastRowFirstColumn="0" w:lastRowLastColumn="0"/>
            </w:pPr>
            <w:r>
              <w:t>2009–10</w:t>
            </w:r>
          </w:p>
        </w:tc>
        <w:tc>
          <w:tcPr>
            <w:tcW w:w="1092" w:type="dxa"/>
          </w:tcPr>
          <w:p w:rsidR="00EB625E" w:rsidRPr="00170D44" w:rsidRDefault="00EB625E" w:rsidP="00D64250">
            <w:pPr>
              <w:cnfStyle w:val="100000000000" w:firstRow="1" w:lastRow="0" w:firstColumn="0" w:lastColumn="0" w:oddVBand="0" w:evenVBand="0" w:oddHBand="0" w:evenHBand="0" w:firstRowFirstColumn="0" w:firstRowLastColumn="0" w:lastRowFirstColumn="0" w:lastRowLastColumn="0"/>
            </w:pPr>
            <w:r>
              <w:t>2010</w:t>
            </w:r>
            <w:r w:rsidR="00D64250">
              <w:t>–</w:t>
            </w:r>
            <w:r>
              <w:t>11</w:t>
            </w:r>
          </w:p>
        </w:tc>
        <w:tc>
          <w:tcPr>
            <w:tcW w:w="1092" w:type="dxa"/>
          </w:tcPr>
          <w:p w:rsidR="00EB625E" w:rsidRPr="00170D44" w:rsidRDefault="00EB625E" w:rsidP="00D64250">
            <w:pPr>
              <w:cnfStyle w:val="100000000000" w:firstRow="1" w:lastRow="0" w:firstColumn="0" w:lastColumn="0" w:oddVBand="0" w:evenVBand="0" w:oddHBand="0" w:evenHBand="0" w:firstRowFirstColumn="0" w:firstRowLastColumn="0" w:lastRowFirstColumn="0" w:lastRowLastColumn="0"/>
            </w:pPr>
            <w:r>
              <w:t>2011</w:t>
            </w:r>
            <w:r w:rsidR="00D64250">
              <w:t>–</w:t>
            </w:r>
            <w:r>
              <w:t>12</w:t>
            </w:r>
          </w:p>
        </w:tc>
        <w:tc>
          <w:tcPr>
            <w:tcW w:w="1092" w:type="dxa"/>
          </w:tcPr>
          <w:p w:rsidR="00EB625E" w:rsidRPr="00170D44" w:rsidRDefault="00EB625E" w:rsidP="00D64250">
            <w:pPr>
              <w:cnfStyle w:val="100000000000" w:firstRow="1" w:lastRow="0" w:firstColumn="0" w:lastColumn="0" w:oddVBand="0" w:evenVBand="0" w:oddHBand="0" w:evenHBand="0" w:firstRowFirstColumn="0" w:firstRowLastColumn="0" w:lastRowFirstColumn="0" w:lastRowLastColumn="0"/>
            </w:pPr>
            <w:r>
              <w:t>2012</w:t>
            </w:r>
            <w:r w:rsidR="00D64250">
              <w:t>–</w:t>
            </w:r>
            <w:r>
              <w:t>13</w:t>
            </w:r>
          </w:p>
        </w:tc>
        <w:tc>
          <w:tcPr>
            <w:tcW w:w="1093" w:type="dxa"/>
          </w:tcPr>
          <w:p w:rsidR="00EB625E" w:rsidRPr="00170D44" w:rsidRDefault="00EB625E" w:rsidP="00D64250">
            <w:pPr>
              <w:cnfStyle w:val="100000000000" w:firstRow="1" w:lastRow="0" w:firstColumn="0" w:lastColumn="0" w:oddVBand="0" w:evenVBand="0" w:oddHBand="0" w:evenHBand="0" w:firstRowFirstColumn="0" w:firstRowLastColumn="0" w:lastRowFirstColumn="0" w:lastRowLastColumn="0"/>
            </w:pPr>
            <w:r>
              <w:t>2013</w:t>
            </w:r>
            <w:r w:rsidR="00D64250">
              <w:t>–</w:t>
            </w:r>
            <w:r>
              <w:t>14</w:t>
            </w:r>
          </w:p>
        </w:tc>
      </w:tr>
      <w:tr w:rsidR="00EB625E" w:rsidTr="00EB625E">
        <w:trPr>
          <w:trHeight w:val="417"/>
        </w:trPr>
        <w:tc>
          <w:tcPr>
            <w:cnfStyle w:val="001000000000" w:firstRow="0" w:lastRow="0" w:firstColumn="1" w:lastColumn="0" w:oddVBand="0" w:evenVBand="0" w:oddHBand="0" w:evenHBand="0" w:firstRowFirstColumn="0" w:firstRowLastColumn="0" w:lastRowFirstColumn="0" w:lastRowLastColumn="0"/>
            <w:tcW w:w="3240" w:type="dxa"/>
          </w:tcPr>
          <w:p w:rsidR="00EB625E" w:rsidRPr="00170D44" w:rsidRDefault="00EB625E" w:rsidP="00170D44">
            <w:r>
              <w:t>Opening TAB</w:t>
            </w:r>
          </w:p>
        </w:tc>
        <w:tc>
          <w:tcPr>
            <w:tcW w:w="1093" w:type="dxa"/>
          </w:tcPr>
          <w:p w:rsidR="00EB625E" w:rsidRPr="00170D44" w:rsidRDefault="00EB625E" w:rsidP="00170D44">
            <w:pPr>
              <w:cnfStyle w:val="000000000000" w:firstRow="0" w:lastRow="0" w:firstColumn="0" w:lastColumn="0" w:oddVBand="0" w:evenVBand="0" w:oddHBand="0" w:evenHBand="0" w:firstRowFirstColumn="0" w:firstRowLastColumn="0" w:lastRowFirstColumn="0" w:lastRowLastColumn="0"/>
            </w:pPr>
            <w:r>
              <w:t>412.2</w:t>
            </w:r>
          </w:p>
        </w:tc>
        <w:tc>
          <w:tcPr>
            <w:tcW w:w="1092" w:type="dxa"/>
          </w:tcPr>
          <w:p w:rsidR="00EB625E" w:rsidRPr="00170D44" w:rsidRDefault="00EB625E" w:rsidP="00170D44">
            <w:pPr>
              <w:cnfStyle w:val="000000000000" w:firstRow="0" w:lastRow="0" w:firstColumn="0" w:lastColumn="0" w:oddVBand="0" w:evenVBand="0" w:oddHBand="0" w:evenHBand="0" w:firstRowFirstColumn="0" w:firstRowLastColumn="0" w:lastRowFirstColumn="0" w:lastRowLastColumn="0"/>
            </w:pPr>
            <w:r>
              <w:t>452.7</w:t>
            </w:r>
          </w:p>
        </w:tc>
        <w:tc>
          <w:tcPr>
            <w:tcW w:w="1092" w:type="dxa"/>
          </w:tcPr>
          <w:p w:rsidR="00EB625E" w:rsidRPr="00170D44" w:rsidRDefault="00EB625E" w:rsidP="00170D44">
            <w:pPr>
              <w:cnfStyle w:val="000000000000" w:firstRow="0" w:lastRow="0" w:firstColumn="0" w:lastColumn="0" w:oddVBand="0" w:evenVBand="0" w:oddHBand="0" w:evenHBand="0" w:firstRowFirstColumn="0" w:firstRowLastColumn="0" w:lastRowFirstColumn="0" w:lastRowLastColumn="0"/>
            </w:pPr>
            <w:r>
              <w:t>499.1</w:t>
            </w:r>
          </w:p>
        </w:tc>
        <w:tc>
          <w:tcPr>
            <w:tcW w:w="1092" w:type="dxa"/>
          </w:tcPr>
          <w:p w:rsidR="00EB625E" w:rsidRPr="00170D44" w:rsidRDefault="00EB625E" w:rsidP="00170D44">
            <w:pPr>
              <w:cnfStyle w:val="000000000000" w:firstRow="0" w:lastRow="0" w:firstColumn="0" w:lastColumn="0" w:oddVBand="0" w:evenVBand="0" w:oddHBand="0" w:evenHBand="0" w:firstRowFirstColumn="0" w:firstRowLastColumn="0" w:lastRowFirstColumn="0" w:lastRowLastColumn="0"/>
            </w:pPr>
            <w:r>
              <w:t>532.5</w:t>
            </w:r>
          </w:p>
        </w:tc>
        <w:tc>
          <w:tcPr>
            <w:tcW w:w="1093" w:type="dxa"/>
          </w:tcPr>
          <w:p w:rsidR="00EB625E" w:rsidRPr="00170D44" w:rsidRDefault="00EB625E" w:rsidP="00170D44">
            <w:pPr>
              <w:cnfStyle w:val="000000000000" w:firstRow="0" w:lastRow="0" w:firstColumn="0" w:lastColumn="0" w:oddVBand="0" w:evenVBand="0" w:oddHBand="0" w:evenHBand="0" w:firstRowFirstColumn="0" w:firstRowLastColumn="0" w:lastRowFirstColumn="0" w:lastRowLastColumn="0"/>
            </w:pPr>
            <w:r>
              <w:t>563.0</w:t>
            </w:r>
          </w:p>
        </w:tc>
      </w:tr>
      <w:tr w:rsidR="00EB625E" w:rsidTr="00EB625E">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240" w:type="dxa"/>
          </w:tcPr>
          <w:p w:rsidR="00EB625E" w:rsidRPr="00170D44" w:rsidRDefault="00EB625E" w:rsidP="00170D44">
            <w:r>
              <w:t>Capital expenditure</w:t>
            </w:r>
            <w:r w:rsidRPr="00EB625E">
              <w:rPr>
                <w:rStyle w:val="AERsuperscript"/>
              </w:rPr>
              <w:t>a</w:t>
            </w:r>
          </w:p>
        </w:tc>
        <w:tc>
          <w:tcPr>
            <w:tcW w:w="1093" w:type="dxa"/>
          </w:tcPr>
          <w:p w:rsidR="00EB625E" w:rsidRPr="00170D44" w:rsidRDefault="00EB625E" w:rsidP="00170D44">
            <w:pPr>
              <w:cnfStyle w:val="000000010000" w:firstRow="0" w:lastRow="0" w:firstColumn="0" w:lastColumn="0" w:oddVBand="0" w:evenVBand="0" w:oddHBand="0" w:evenHBand="1" w:firstRowFirstColumn="0" w:firstRowLastColumn="0" w:lastRowFirstColumn="0" w:lastRowLastColumn="0"/>
            </w:pPr>
            <w:r>
              <w:t>58.0</w:t>
            </w:r>
          </w:p>
        </w:tc>
        <w:tc>
          <w:tcPr>
            <w:tcW w:w="1092" w:type="dxa"/>
          </w:tcPr>
          <w:p w:rsidR="00EB625E" w:rsidRPr="00170D44" w:rsidRDefault="00EB625E" w:rsidP="00170D44">
            <w:pPr>
              <w:cnfStyle w:val="000000010000" w:firstRow="0" w:lastRow="0" w:firstColumn="0" w:lastColumn="0" w:oddVBand="0" w:evenVBand="0" w:oddHBand="0" w:evenHBand="1" w:firstRowFirstColumn="0" w:firstRowLastColumn="0" w:lastRowFirstColumn="0" w:lastRowLastColumn="0"/>
            </w:pPr>
            <w:r>
              <w:t>66.0</w:t>
            </w:r>
          </w:p>
        </w:tc>
        <w:tc>
          <w:tcPr>
            <w:tcW w:w="1092" w:type="dxa"/>
          </w:tcPr>
          <w:p w:rsidR="00EB625E" w:rsidRPr="00170D44" w:rsidRDefault="00EB625E" w:rsidP="00170D44">
            <w:pPr>
              <w:cnfStyle w:val="000000010000" w:firstRow="0" w:lastRow="0" w:firstColumn="0" w:lastColumn="0" w:oddVBand="0" w:evenVBand="0" w:oddHBand="0" w:evenHBand="1" w:firstRowFirstColumn="0" w:firstRowLastColumn="0" w:lastRowFirstColumn="0" w:lastRowLastColumn="0"/>
            </w:pPr>
            <w:r>
              <w:t>55.2</w:t>
            </w:r>
          </w:p>
        </w:tc>
        <w:tc>
          <w:tcPr>
            <w:tcW w:w="1092" w:type="dxa"/>
          </w:tcPr>
          <w:p w:rsidR="00EB625E" w:rsidRPr="00170D44" w:rsidRDefault="00EB625E" w:rsidP="00170D44">
            <w:pPr>
              <w:cnfStyle w:val="000000010000" w:firstRow="0" w:lastRow="0" w:firstColumn="0" w:lastColumn="0" w:oddVBand="0" w:evenVBand="0" w:oddHBand="0" w:evenHBand="1" w:firstRowFirstColumn="0" w:firstRowLastColumn="0" w:lastRowFirstColumn="0" w:lastRowLastColumn="0"/>
            </w:pPr>
            <w:r>
              <w:t>54.2</w:t>
            </w:r>
          </w:p>
        </w:tc>
        <w:tc>
          <w:tcPr>
            <w:tcW w:w="1093" w:type="dxa"/>
          </w:tcPr>
          <w:p w:rsidR="00EB625E" w:rsidRPr="00170D44" w:rsidRDefault="00EB625E" w:rsidP="00170D44">
            <w:pPr>
              <w:cnfStyle w:val="000000010000" w:firstRow="0" w:lastRow="0" w:firstColumn="0" w:lastColumn="0" w:oddVBand="0" w:evenVBand="0" w:oddHBand="0" w:evenHBand="1" w:firstRowFirstColumn="0" w:firstRowLastColumn="0" w:lastRowFirstColumn="0" w:lastRowLastColumn="0"/>
            </w:pPr>
            <w:r>
              <w:t>72.2</w:t>
            </w:r>
          </w:p>
        </w:tc>
      </w:tr>
      <w:tr w:rsidR="00EB625E" w:rsidTr="00EB625E">
        <w:trPr>
          <w:trHeight w:val="417"/>
        </w:trPr>
        <w:tc>
          <w:tcPr>
            <w:cnfStyle w:val="001000000000" w:firstRow="0" w:lastRow="0" w:firstColumn="1" w:lastColumn="0" w:oddVBand="0" w:evenVBand="0" w:oddHBand="0" w:evenHBand="0" w:firstRowFirstColumn="0" w:firstRowLastColumn="0" w:lastRowFirstColumn="0" w:lastRowLastColumn="0"/>
            <w:tcW w:w="3240" w:type="dxa"/>
          </w:tcPr>
          <w:p w:rsidR="00EB625E" w:rsidRPr="0009424C" w:rsidRDefault="00EB625E" w:rsidP="0009424C">
            <w:pPr>
              <w:rPr>
                <w:rStyle w:val="AERtextsize8"/>
              </w:rPr>
            </w:pPr>
            <w:r w:rsidRPr="00331A20">
              <w:rPr>
                <w:rStyle w:val="AERtextitalic"/>
              </w:rPr>
              <w:t>Less</w:t>
            </w:r>
            <w:r w:rsidRPr="0009424C">
              <w:rPr>
                <w:rStyle w:val="AERtextsize8"/>
              </w:rPr>
              <w:t>: tax depreciation</w:t>
            </w:r>
          </w:p>
        </w:tc>
        <w:tc>
          <w:tcPr>
            <w:tcW w:w="1093" w:type="dxa"/>
          </w:tcPr>
          <w:p w:rsidR="00EB625E" w:rsidRPr="0009424C" w:rsidRDefault="00EB625E" w:rsidP="0009424C">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17.5</w:t>
            </w:r>
          </w:p>
        </w:tc>
        <w:tc>
          <w:tcPr>
            <w:tcW w:w="1092" w:type="dxa"/>
          </w:tcPr>
          <w:p w:rsidR="00EB625E" w:rsidRPr="0009424C" w:rsidRDefault="00EB625E" w:rsidP="0009424C">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19.6</w:t>
            </w:r>
          </w:p>
        </w:tc>
        <w:tc>
          <w:tcPr>
            <w:tcW w:w="1092" w:type="dxa"/>
          </w:tcPr>
          <w:p w:rsidR="00EB625E" w:rsidRPr="0009424C" w:rsidRDefault="00EB625E" w:rsidP="0009424C">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21.8</w:t>
            </w:r>
          </w:p>
        </w:tc>
        <w:tc>
          <w:tcPr>
            <w:tcW w:w="1092" w:type="dxa"/>
          </w:tcPr>
          <w:p w:rsidR="00EB625E" w:rsidRPr="0009424C" w:rsidRDefault="00EB625E" w:rsidP="0009424C">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23.7</w:t>
            </w:r>
          </w:p>
        </w:tc>
        <w:tc>
          <w:tcPr>
            <w:tcW w:w="1093" w:type="dxa"/>
          </w:tcPr>
          <w:p w:rsidR="00EB625E" w:rsidRPr="0009424C" w:rsidRDefault="00EB625E" w:rsidP="0009424C">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26.6</w:t>
            </w:r>
          </w:p>
        </w:tc>
      </w:tr>
      <w:tr w:rsidR="00EB625E" w:rsidRPr="004D0422" w:rsidTr="00EB625E">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240" w:type="dxa"/>
          </w:tcPr>
          <w:p w:rsidR="00EB625E" w:rsidRPr="004D0422" w:rsidRDefault="00EB625E" w:rsidP="0009424C">
            <w:pPr>
              <w:rPr>
                <w:rStyle w:val="Strong"/>
              </w:rPr>
            </w:pPr>
            <w:r w:rsidRPr="004D0422">
              <w:rPr>
                <w:rStyle w:val="Strong"/>
              </w:rPr>
              <w:t>Closing TAB</w:t>
            </w:r>
          </w:p>
        </w:tc>
        <w:tc>
          <w:tcPr>
            <w:tcW w:w="1093" w:type="dxa"/>
          </w:tcPr>
          <w:p w:rsidR="00EB625E" w:rsidRPr="004D0422" w:rsidRDefault="00EB625E" w:rsidP="0009424C">
            <w:pPr>
              <w:cnfStyle w:val="000000010000" w:firstRow="0" w:lastRow="0" w:firstColumn="0" w:lastColumn="0" w:oddVBand="0" w:evenVBand="0" w:oddHBand="0" w:evenHBand="1" w:firstRowFirstColumn="0" w:firstRowLastColumn="0" w:lastRowFirstColumn="0" w:lastRowLastColumn="0"/>
              <w:rPr>
                <w:rStyle w:val="Strong"/>
              </w:rPr>
            </w:pPr>
            <w:r w:rsidRPr="004D0422">
              <w:rPr>
                <w:rStyle w:val="Strong"/>
              </w:rPr>
              <w:t>452.7</w:t>
            </w:r>
          </w:p>
        </w:tc>
        <w:tc>
          <w:tcPr>
            <w:tcW w:w="1092" w:type="dxa"/>
          </w:tcPr>
          <w:p w:rsidR="00EB625E" w:rsidRPr="004D0422" w:rsidRDefault="00EB625E" w:rsidP="0009424C">
            <w:pPr>
              <w:cnfStyle w:val="000000010000" w:firstRow="0" w:lastRow="0" w:firstColumn="0" w:lastColumn="0" w:oddVBand="0" w:evenVBand="0" w:oddHBand="0" w:evenHBand="1" w:firstRowFirstColumn="0" w:firstRowLastColumn="0" w:lastRowFirstColumn="0" w:lastRowLastColumn="0"/>
              <w:rPr>
                <w:rStyle w:val="Strong"/>
              </w:rPr>
            </w:pPr>
            <w:r w:rsidRPr="004D0422">
              <w:rPr>
                <w:rStyle w:val="Strong"/>
              </w:rPr>
              <w:t>499.1</w:t>
            </w:r>
          </w:p>
        </w:tc>
        <w:tc>
          <w:tcPr>
            <w:tcW w:w="1092" w:type="dxa"/>
          </w:tcPr>
          <w:p w:rsidR="00EB625E" w:rsidRPr="004D0422" w:rsidRDefault="00EB625E" w:rsidP="0009424C">
            <w:pPr>
              <w:cnfStyle w:val="000000010000" w:firstRow="0" w:lastRow="0" w:firstColumn="0" w:lastColumn="0" w:oddVBand="0" w:evenVBand="0" w:oddHBand="0" w:evenHBand="1" w:firstRowFirstColumn="0" w:firstRowLastColumn="0" w:lastRowFirstColumn="0" w:lastRowLastColumn="0"/>
              <w:rPr>
                <w:rStyle w:val="Strong"/>
              </w:rPr>
            </w:pPr>
            <w:r w:rsidRPr="004D0422">
              <w:rPr>
                <w:rStyle w:val="Strong"/>
              </w:rPr>
              <w:t>532.5</w:t>
            </w:r>
          </w:p>
        </w:tc>
        <w:tc>
          <w:tcPr>
            <w:tcW w:w="1092" w:type="dxa"/>
          </w:tcPr>
          <w:p w:rsidR="00EB625E" w:rsidRPr="004D0422" w:rsidRDefault="00EB625E" w:rsidP="0009424C">
            <w:pPr>
              <w:cnfStyle w:val="000000010000" w:firstRow="0" w:lastRow="0" w:firstColumn="0" w:lastColumn="0" w:oddVBand="0" w:evenVBand="0" w:oddHBand="0" w:evenHBand="1" w:firstRowFirstColumn="0" w:firstRowLastColumn="0" w:lastRowFirstColumn="0" w:lastRowLastColumn="0"/>
              <w:rPr>
                <w:rStyle w:val="Strong"/>
              </w:rPr>
            </w:pPr>
            <w:r w:rsidRPr="004D0422">
              <w:rPr>
                <w:rStyle w:val="Strong"/>
              </w:rPr>
              <w:t>563.0</w:t>
            </w:r>
          </w:p>
        </w:tc>
        <w:tc>
          <w:tcPr>
            <w:tcW w:w="1093" w:type="dxa"/>
          </w:tcPr>
          <w:p w:rsidR="00EB625E" w:rsidRPr="004D0422" w:rsidRDefault="00EB625E" w:rsidP="0009424C">
            <w:pPr>
              <w:cnfStyle w:val="000000010000" w:firstRow="0" w:lastRow="0" w:firstColumn="0" w:lastColumn="0" w:oddVBand="0" w:evenVBand="0" w:oddHBand="0" w:evenHBand="1" w:firstRowFirstColumn="0" w:firstRowLastColumn="0" w:lastRowFirstColumn="0" w:lastRowLastColumn="0"/>
              <w:rPr>
                <w:rStyle w:val="Strong"/>
              </w:rPr>
            </w:pPr>
            <w:r w:rsidRPr="004D0422">
              <w:rPr>
                <w:rStyle w:val="Strong"/>
              </w:rPr>
              <w:t>608.6</w:t>
            </w:r>
          </w:p>
        </w:tc>
      </w:tr>
    </w:tbl>
    <w:p w:rsidR="00EB625E" w:rsidRDefault="0009424C" w:rsidP="0009424C">
      <w:pPr>
        <w:pStyle w:val="AERtablesource"/>
      </w:pPr>
      <w:r>
        <w:t>Source:</w:t>
      </w:r>
      <w:r>
        <w:tab/>
        <w:t>AER analysis.</w:t>
      </w:r>
    </w:p>
    <w:p w:rsidR="00170D44" w:rsidRDefault="00EB625E" w:rsidP="0009424C">
      <w:pPr>
        <w:pStyle w:val="AERtablesource"/>
      </w:pPr>
      <w:r>
        <w:t>(a)</w:t>
      </w:r>
      <w:r>
        <w:tab/>
        <w:t>Net of disposals.</w:t>
      </w:r>
    </w:p>
    <w:p w:rsidR="00170D44" w:rsidRDefault="00170D44" w:rsidP="00170D44">
      <w:pPr>
        <w:pStyle w:val="Caption"/>
      </w:pPr>
      <w:bookmarkStart w:id="27" w:name="_Ref411600740"/>
      <w:r>
        <w:lastRenderedPageBreak/>
        <w:t xml:space="preserve">Table </w:t>
      </w:r>
      <w:r w:rsidR="00203C82">
        <w:fldChar w:fldCharType="begin"/>
      </w:r>
      <w:r w:rsidR="00203C82">
        <w:instrText xml:space="preserve"> STYLEREF 1 \s </w:instrText>
      </w:r>
      <w:r w:rsidR="00203C82">
        <w:fldChar w:fldCharType="separate"/>
      </w:r>
      <w:r w:rsidR="004B70E5">
        <w:rPr>
          <w:noProof/>
        </w:rPr>
        <w:t>8</w:t>
      </w:r>
      <w:r w:rsidR="00203C82">
        <w:rPr>
          <w:noProof/>
        </w:rPr>
        <w:fldChar w:fldCharType="end"/>
      </w:r>
      <w:r w:rsidR="004B70E5">
        <w:t>.</w:t>
      </w:r>
      <w:r w:rsidR="00203C82">
        <w:fldChar w:fldCharType="begin"/>
      </w:r>
      <w:r w:rsidR="00203C82">
        <w:instrText xml:space="preserve"> SEQ Table \* ARABIC \s 1 </w:instrText>
      </w:r>
      <w:r w:rsidR="00203C82">
        <w:fldChar w:fldCharType="separate"/>
      </w:r>
      <w:r w:rsidR="004B70E5">
        <w:rPr>
          <w:noProof/>
        </w:rPr>
        <w:t>6</w:t>
      </w:r>
      <w:r w:rsidR="00203C82">
        <w:rPr>
          <w:noProof/>
        </w:rPr>
        <w:fldChar w:fldCharType="end"/>
      </w:r>
      <w:bookmarkEnd w:id="27"/>
      <w:r>
        <w:tab/>
        <w:t>A</w:t>
      </w:r>
      <w:r w:rsidR="0009424C">
        <w:t>ER'</w:t>
      </w:r>
      <w:r>
        <w:t xml:space="preserve">s final decision on ActewAGL's TAB roll forward </w:t>
      </w:r>
      <w:r w:rsidR="00D64250">
        <w:t xml:space="preserve">for the </w:t>
      </w:r>
      <w:r w:rsidR="00E413B4">
        <w:t>2009</w:t>
      </w:r>
      <w:r w:rsidR="00D64250">
        <w:t>–</w:t>
      </w:r>
      <w:r w:rsidR="00E413B4">
        <w:t>14</w:t>
      </w:r>
      <w:r w:rsidR="00D64250">
        <w:t xml:space="preserve"> regulatory control period </w:t>
      </w:r>
      <w:r>
        <w:t xml:space="preserve">($ million, nominal) </w:t>
      </w:r>
      <w:r w:rsidR="0025043E">
        <w:t>–</w:t>
      </w:r>
      <w:r>
        <w:t xml:space="preserve"> transmission</w:t>
      </w:r>
    </w:p>
    <w:tbl>
      <w:tblPr>
        <w:tblStyle w:val="AERtable-numbers"/>
        <w:tblW w:w="8702" w:type="dxa"/>
        <w:tblLook w:val="04A0" w:firstRow="1" w:lastRow="0" w:firstColumn="1" w:lastColumn="0" w:noHBand="0" w:noVBand="1"/>
      </w:tblPr>
      <w:tblGrid>
        <w:gridCol w:w="3240"/>
        <w:gridCol w:w="1093"/>
        <w:gridCol w:w="1092"/>
        <w:gridCol w:w="1092"/>
        <w:gridCol w:w="1092"/>
        <w:gridCol w:w="1093"/>
      </w:tblGrid>
      <w:tr w:rsidR="00EB625E" w:rsidTr="00EB625E">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240" w:type="dxa"/>
          </w:tcPr>
          <w:p w:rsidR="00EB625E" w:rsidRDefault="00EB625E" w:rsidP="0009424C"/>
        </w:tc>
        <w:tc>
          <w:tcPr>
            <w:tcW w:w="1093" w:type="dxa"/>
          </w:tcPr>
          <w:p w:rsidR="00EB625E" w:rsidRPr="0009424C" w:rsidRDefault="00EB625E" w:rsidP="00EB625E">
            <w:pPr>
              <w:cnfStyle w:val="100000000000" w:firstRow="1" w:lastRow="0" w:firstColumn="0" w:lastColumn="0" w:oddVBand="0" w:evenVBand="0" w:oddHBand="0" w:evenHBand="0" w:firstRowFirstColumn="0" w:firstRowLastColumn="0" w:lastRowFirstColumn="0" w:lastRowLastColumn="0"/>
            </w:pPr>
            <w:r>
              <w:t>2009–10</w:t>
            </w:r>
          </w:p>
        </w:tc>
        <w:tc>
          <w:tcPr>
            <w:tcW w:w="1092" w:type="dxa"/>
          </w:tcPr>
          <w:p w:rsidR="00EB625E" w:rsidRPr="0009424C" w:rsidRDefault="00EB625E" w:rsidP="0009424C">
            <w:pPr>
              <w:cnfStyle w:val="100000000000" w:firstRow="1" w:lastRow="0" w:firstColumn="0" w:lastColumn="0" w:oddVBand="0" w:evenVBand="0" w:oddHBand="0" w:evenHBand="0" w:firstRowFirstColumn="0" w:firstRowLastColumn="0" w:lastRowFirstColumn="0" w:lastRowLastColumn="0"/>
            </w:pPr>
            <w:r>
              <w:t>2010</w:t>
            </w:r>
            <w:r w:rsidR="00D64250">
              <w:t>–</w:t>
            </w:r>
            <w:r>
              <w:t>11</w:t>
            </w:r>
          </w:p>
        </w:tc>
        <w:tc>
          <w:tcPr>
            <w:tcW w:w="1092" w:type="dxa"/>
          </w:tcPr>
          <w:p w:rsidR="00EB625E" w:rsidRPr="0009424C" w:rsidRDefault="00EB625E" w:rsidP="00D64250">
            <w:pPr>
              <w:cnfStyle w:val="100000000000" w:firstRow="1" w:lastRow="0" w:firstColumn="0" w:lastColumn="0" w:oddVBand="0" w:evenVBand="0" w:oddHBand="0" w:evenHBand="0" w:firstRowFirstColumn="0" w:firstRowLastColumn="0" w:lastRowFirstColumn="0" w:lastRowLastColumn="0"/>
            </w:pPr>
            <w:r>
              <w:t>2011</w:t>
            </w:r>
            <w:r w:rsidR="00D64250">
              <w:t>–</w:t>
            </w:r>
            <w:r>
              <w:t>12</w:t>
            </w:r>
          </w:p>
        </w:tc>
        <w:tc>
          <w:tcPr>
            <w:tcW w:w="1092" w:type="dxa"/>
          </w:tcPr>
          <w:p w:rsidR="00EB625E" w:rsidRPr="0009424C" w:rsidRDefault="00EB625E" w:rsidP="00D64250">
            <w:pPr>
              <w:cnfStyle w:val="100000000000" w:firstRow="1" w:lastRow="0" w:firstColumn="0" w:lastColumn="0" w:oddVBand="0" w:evenVBand="0" w:oddHBand="0" w:evenHBand="0" w:firstRowFirstColumn="0" w:firstRowLastColumn="0" w:lastRowFirstColumn="0" w:lastRowLastColumn="0"/>
            </w:pPr>
            <w:r>
              <w:t>2012</w:t>
            </w:r>
            <w:r w:rsidR="00D64250">
              <w:t>–</w:t>
            </w:r>
            <w:r>
              <w:t>13</w:t>
            </w:r>
          </w:p>
        </w:tc>
        <w:tc>
          <w:tcPr>
            <w:tcW w:w="1093" w:type="dxa"/>
          </w:tcPr>
          <w:p w:rsidR="00EB625E" w:rsidRPr="0009424C" w:rsidRDefault="00EB625E" w:rsidP="00D64250">
            <w:pPr>
              <w:cnfStyle w:val="100000000000" w:firstRow="1" w:lastRow="0" w:firstColumn="0" w:lastColumn="0" w:oddVBand="0" w:evenVBand="0" w:oddHBand="0" w:evenHBand="0" w:firstRowFirstColumn="0" w:firstRowLastColumn="0" w:lastRowFirstColumn="0" w:lastRowLastColumn="0"/>
            </w:pPr>
            <w:r>
              <w:t>2013</w:t>
            </w:r>
            <w:r w:rsidR="00D64250">
              <w:t>–</w:t>
            </w:r>
            <w:r>
              <w:t>14</w:t>
            </w:r>
          </w:p>
        </w:tc>
      </w:tr>
      <w:tr w:rsidR="00EB625E" w:rsidTr="00EB625E">
        <w:trPr>
          <w:trHeight w:val="414"/>
        </w:trPr>
        <w:tc>
          <w:tcPr>
            <w:cnfStyle w:val="001000000000" w:firstRow="0" w:lastRow="0" w:firstColumn="1" w:lastColumn="0" w:oddVBand="0" w:evenVBand="0" w:oddHBand="0" w:evenHBand="0" w:firstRowFirstColumn="0" w:firstRowLastColumn="0" w:lastRowFirstColumn="0" w:lastRowLastColumn="0"/>
            <w:tcW w:w="3240" w:type="dxa"/>
          </w:tcPr>
          <w:p w:rsidR="00EB625E" w:rsidRPr="0009424C" w:rsidRDefault="00EB625E" w:rsidP="0009424C">
            <w:r>
              <w:t>Opening TAB</w:t>
            </w:r>
          </w:p>
        </w:tc>
        <w:tc>
          <w:tcPr>
            <w:tcW w:w="1093" w:type="dxa"/>
          </w:tcPr>
          <w:p w:rsidR="00EB625E" w:rsidRPr="00170D44" w:rsidRDefault="00EB625E" w:rsidP="0009424C">
            <w:pPr>
              <w:cnfStyle w:val="000000000000" w:firstRow="0" w:lastRow="0" w:firstColumn="0" w:lastColumn="0" w:oddVBand="0" w:evenVBand="0" w:oddHBand="0" w:evenHBand="0" w:firstRowFirstColumn="0" w:firstRowLastColumn="0" w:lastRowFirstColumn="0" w:lastRowLastColumn="0"/>
            </w:pPr>
            <w:r>
              <w:t>59.4</w:t>
            </w:r>
          </w:p>
        </w:tc>
        <w:tc>
          <w:tcPr>
            <w:tcW w:w="1092" w:type="dxa"/>
          </w:tcPr>
          <w:p w:rsidR="00EB625E" w:rsidRPr="00170D44" w:rsidRDefault="00EB625E" w:rsidP="0009424C">
            <w:pPr>
              <w:cnfStyle w:val="000000000000" w:firstRow="0" w:lastRow="0" w:firstColumn="0" w:lastColumn="0" w:oddVBand="0" w:evenVBand="0" w:oddHBand="0" w:evenHBand="0" w:firstRowFirstColumn="0" w:firstRowLastColumn="0" w:lastRowFirstColumn="0" w:lastRowLastColumn="0"/>
            </w:pPr>
            <w:r>
              <w:t>69.5</w:t>
            </w:r>
          </w:p>
        </w:tc>
        <w:tc>
          <w:tcPr>
            <w:tcW w:w="1092" w:type="dxa"/>
          </w:tcPr>
          <w:p w:rsidR="00EB625E" w:rsidRPr="00170D44" w:rsidRDefault="00EB625E" w:rsidP="0009424C">
            <w:pPr>
              <w:cnfStyle w:val="000000000000" w:firstRow="0" w:lastRow="0" w:firstColumn="0" w:lastColumn="0" w:oddVBand="0" w:evenVBand="0" w:oddHBand="0" w:evenHBand="0" w:firstRowFirstColumn="0" w:firstRowLastColumn="0" w:lastRowFirstColumn="0" w:lastRowLastColumn="0"/>
            </w:pPr>
            <w:r>
              <w:t>81.0</w:t>
            </w:r>
          </w:p>
        </w:tc>
        <w:tc>
          <w:tcPr>
            <w:tcW w:w="1092" w:type="dxa"/>
          </w:tcPr>
          <w:p w:rsidR="00EB625E" w:rsidRPr="00170D44" w:rsidRDefault="00EB625E" w:rsidP="0009424C">
            <w:pPr>
              <w:cnfStyle w:val="000000000000" w:firstRow="0" w:lastRow="0" w:firstColumn="0" w:lastColumn="0" w:oddVBand="0" w:evenVBand="0" w:oddHBand="0" w:evenHBand="0" w:firstRowFirstColumn="0" w:firstRowLastColumn="0" w:lastRowFirstColumn="0" w:lastRowLastColumn="0"/>
            </w:pPr>
            <w:r>
              <w:t>97.4</w:t>
            </w:r>
          </w:p>
        </w:tc>
        <w:tc>
          <w:tcPr>
            <w:tcW w:w="1093" w:type="dxa"/>
          </w:tcPr>
          <w:p w:rsidR="00EB625E" w:rsidRPr="00170D44" w:rsidRDefault="00EB625E" w:rsidP="0009424C">
            <w:pPr>
              <w:cnfStyle w:val="000000000000" w:firstRow="0" w:lastRow="0" w:firstColumn="0" w:lastColumn="0" w:oddVBand="0" w:evenVBand="0" w:oddHBand="0" w:evenHBand="0" w:firstRowFirstColumn="0" w:firstRowLastColumn="0" w:lastRowFirstColumn="0" w:lastRowLastColumn="0"/>
            </w:pPr>
            <w:r>
              <w:t>118.7</w:t>
            </w:r>
          </w:p>
        </w:tc>
      </w:tr>
      <w:tr w:rsidR="00EB625E" w:rsidTr="00EB625E">
        <w:trPr>
          <w:cnfStyle w:val="000000010000" w:firstRow="0" w:lastRow="0" w:firstColumn="0" w:lastColumn="0" w:oddVBand="0" w:evenVBand="0" w:oddHBand="0" w:evenHBand="1"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240" w:type="dxa"/>
          </w:tcPr>
          <w:p w:rsidR="00EB625E" w:rsidRPr="0009424C" w:rsidRDefault="00EB625E" w:rsidP="0009424C">
            <w:r>
              <w:t>Capital expenditure</w:t>
            </w:r>
            <w:r w:rsidRPr="00EB625E">
              <w:rPr>
                <w:rStyle w:val="AERsuperscript"/>
              </w:rPr>
              <w:t>a</w:t>
            </w:r>
          </w:p>
        </w:tc>
        <w:tc>
          <w:tcPr>
            <w:tcW w:w="1093" w:type="dxa"/>
          </w:tcPr>
          <w:p w:rsidR="00EB625E" w:rsidRPr="00170D44" w:rsidRDefault="00EB625E" w:rsidP="0009424C">
            <w:pPr>
              <w:cnfStyle w:val="000000010000" w:firstRow="0" w:lastRow="0" w:firstColumn="0" w:lastColumn="0" w:oddVBand="0" w:evenVBand="0" w:oddHBand="0" w:evenHBand="1" w:firstRowFirstColumn="0" w:firstRowLastColumn="0" w:lastRowFirstColumn="0" w:lastRowLastColumn="0"/>
            </w:pPr>
            <w:r>
              <w:t>12.6</w:t>
            </w:r>
          </w:p>
        </w:tc>
        <w:tc>
          <w:tcPr>
            <w:tcW w:w="1092" w:type="dxa"/>
          </w:tcPr>
          <w:p w:rsidR="00EB625E" w:rsidRPr="00170D44" w:rsidRDefault="00EB625E" w:rsidP="0009424C">
            <w:pPr>
              <w:cnfStyle w:val="000000010000" w:firstRow="0" w:lastRow="0" w:firstColumn="0" w:lastColumn="0" w:oddVBand="0" w:evenVBand="0" w:oddHBand="0" w:evenHBand="1" w:firstRowFirstColumn="0" w:firstRowLastColumn="0" w:lastRowFirstColumn="0" w:lastRowLastColumn="0"/>
            </w:pPr>
            <w:r>
              <w:t>14.4</w:t>
            </w:r>
          </w:p>
        </w:tc>
        <w:tc>
          <w:tcPr>
            <w:tcW w:w="1092" w:type="dxa"/>
          </w:tcPr>
          <w:p w:rsidR="00EB625E" w:rsidRPr="00170D44" w:rsidRDefault="00EB625E" w:rsidP="0009424C">
            <w:pPr>
              <w:cnfStyle w:val="000000010000" w:firstRow="0" w:lastRow="0" w:firstColumn="0" w:lastColumn="0" w:oddVBand="0" w:evenVBand="0" w:oddHBand="0" w:evenHBand="1" w:firstRowFirstColumn="0" w:firstRowLastColumn="0" w:lastRowFirstColumn="0" w:lastRowLastColumn="0"/>
            </w:pPr>
            <w:r>
              <w:t>19.8</w:t>
            </w:r>
          </w:p>
        </w:tc>
        <w:tc>
          <w:tcPr>
            <w:tcW w:w="1092" w:type="dxa"/>
          </w:tcPr>
          <w:p w:rsidR="00EB625E" w:rsidRPr="00170D44" w:rsidRDefault="00EB625E" w:rsidP="0009424C">
            <w:pPr>
              <w:cnfStyle w:val="000000010000" w:firstRow="0" w:lastRow="0" w:firstColumn="0" w:lastColumn="0" w:oddVBand="0" w:evenVBand="0" w:oddHBand="0" w:evenHBand="1" w:firstRowFirstColumn="0" w:firstRowLastColumn="0" w:lastRowFirstColumn="0" w:lastRowLastColumn="0"/>
            </w:pPr>
            <w:r>
              <w:t>25.2</w:t>
            </w:r>
          </w:p>
        </w:tc>
        <w:tc>
          <w:tcPr>
            <w:tcW w:w="1093" w:type="dxa"/>
          </w:tcPr>
          <w:p w:rsidR="00EB625E" w:rsidRPr="00170D44" w:rsidRDefault="00EB625E" w:rsidP="0009424C">
            <w:pPr>
              <w:cnfStyle w:val="000000010000" w:firstRow="0" w:lastRow="0" w:firstColumn="0" w:lastColumn="0" w:oddVBand="0" w:evenVBand="0" w:oddHBand="0" w:evenHBand="1" w:firstRowFirstColumn="0" w:firstRowLastColumn="0" w:lastRowFirstColumn="0" w:lastRowLastColumn="0"/>
            </w:pPr>
            <w:r>
              <w:t>23.2</w:t>
            </w:r>
          </w:p>
        </w:tc>
      </w:tr>
      <w:tr w:rsidR="00EB625E" w:rsidTr="00EB625E">
        <w:trPr>
          <w:trHeight w:val="414"/>
        </w:trPr>
        <w:tc>
          <w:tcPr>
            <w:cnfStyle w:val="001000000000" w:firstRow="0" w:lastRow="0" w:firstColumn="1" w:lastColumn="0" w:oddVBand="0" w:evenVBand="0" w:oddHBand="0" w:evenHBand="0" w:firstRowFirstColumn="0" w:firstRowLastColumn="0" w:lastRowFirstColumn="0" w:lastRowLastColumn="0"/>
            <w:tcW w:w="3240" w:type="dxa"/>
          </w:tcPr>
          <w:p w:rsidR="00EB625E" w:rsidRPr="0009424C" w:rsidRDefault="00EB625E" w:rsidP="0009424C">
            <w:pPr>
              <w:rPr>
                <w:rStyle w:val="AERtextsize8"/>
              </w:rPr>
            </w:pPr>
            <w:r w:rsidRPr="00331A20">
              <w:rPr>
                <w:rStyle w:val="AERtextitalic"/>
              </w:rPr>
              <w:t>Less</w:t>
            </w:r>
            <w:r w:rsidRPr="0009424C">
              <w:rPr>
                <w:rStyle w:val="AERtextsize8"/>
              </w:rPr>
              <w:t>: tax depreciation</w:t>
            </w:r>
          </w:p>
        </w:tc>
        <w:tc>
          <w:tcPr>
            <w:tcW w:w="1093" w:type="dxa"/>
          </w:tcPr>
          <w:p w:rsidR="00EB625E" w:rsidRPr="0009424C" w:rsidRDefault="00EB625E" w:rsidP="0009424C">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2.5</w:t>
            </w:r>
          </w:p>
        </w:tc>
        <w:tc>
          <w:tcPr>
            <w:tcW w:w="1092" w:type="dxa"/>
          </w:tcPr>
          <w:p w:rsidR="00EB625E" w:rsidRPr="0009424C" w:rsidRDefault="00EB625E" w:rsidP="0009424C">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2.9</w:t>
            </w:r>
          </w:p>
        </w:tc>
        <w:tc>
          <w:tcPr>
            <w:tcW w:w="1092" w:type="dxa"/>
          </w:tcPr>
          <w:p w:rsidR="00EB625E" w:rsidRPr="0009424C" w:rsidRDefault="00EB625E" w:rsidP="0009424C">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3.4</w:t>
            </w:r>
          </w:p>
        </w:tc>
        <w:tc>
          <w:tcPr>
            <w:tcW w:w="1092" w:type="dxa"/>
          </w:tcPr>
          <w:p w:rsidR="00EB625E" w:rsidRPr="0009424C" w:rsidRDefault="00EB625E" w:rsidP="0009424C">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3.9</w:t>
            </w:r>
          </w:p>
        </w:tc>
        <w:tc>
          <w:tcPr>
            <w:tcW w:w="1093" w:type="dxa"/>
          </w:tcPr>
          <w:p w:rsidR="00EB625E" w:rsidRPr="0009424C" w:rsidRDefault="00EB625E" w:rsidP="0009424C">
            <w:pPr>
              <w:cnfStyle w:val="000000000000" w:firstRow="0" w:lastRow="0" w:firstColumn="0" w:lastColumn="0" w:oddVBand="0" w:evenVBand="0" w:oddHBand="0" w:evenHBand="0" w:firstRowFirstColumn="0" w:firstRowLastColumn="0" w:lastRowFirstColumn="0" w:lastRowLastColumn="0"/>
              <w:rPr>
                <w:rStyle w:val="AERtextsize8"/>
              </w:rPr>
            </w:pPr>
            <w:r>
              <w:rPr>
                <w:rStyle w:val="AERtextsize8"/>
              </w:rPr>
              <w:t>4.8</w:t>
            </w:r>
          </w:p>
        </w:tc>
      </w:tr>
      <w:tr w:rsidR="00EB625E" w:rsidRPr="004D0422" w:rsidTr="00EB625E">
        <w:trPr>
          <w:cnfStyle w:val="000000010000" w:firstRow="0" w:lastRow="0" w:firstColumn="0" w:lastColumn="0" w:oddVBand="0" w:evenVBand="0" w:oddHBand="0" w:evenHBand="1"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240" w:type="dxa"/>
          </w:tcPr>
          <w:p w:rsidR="00EB625E" w:rsidRPr="004D0422" w:rsidRDefault="00EB625E" w:rsidP="0009424C">
            <w:pPr>
              <w:rPr>
                <w:rStyle w:val="Strong"/>
              </w:rPr>
            </w:pPr>
            <w:r w:rsidRPr="004D0422">
              <w:rPr>
                <w:rStyle w:val="Strong"/>
              </w:rPr>
              <w:t>Closing TAB</w:t>
            </w:r>
          </w:p>
        </w:tc>
        <w:tc>
          <w:tcPr>
            <w:tcW w:w="1093" w:type="dxa"/>
          </w:tcPr>
          <w:p w:rsidR="00EB625E" w:rsidRPr="004D0422" w:rsidRDefault="00EB625E" w:rsidP="0009424C">
            <w:pPr>
              <w:cnfStyle w:val="000000010000" w:firstRow="0" w:lastRow="0" w:firstColumn="0" w:lastColumn="0" w:oddVBand="0" w:evenVBand="0" w:oddHBand="0" w:evenHBand="1" w:firstRowFirstColumn="0" w:firstRowLastColumn="0" w:lastRowFirstColumn="0" w:lastRowLastColumn="0"/>
              <w:rPr>
                <w:rStyle w:val="Strong"/>
              </w:rPr>
            </w:pPr>
            <w:r w:rsidRPr="004D0422">
              <w:rPr>
                <w:rStyle w:val="Strong"/>
              </w:rPr>
              <w:t>69.5</w:t>
            </w:r>
          </w:p>
        </w:tc>
        <w:tc>
          <w:tcPr>
            <w:tcW w:w="1092" w:type="dxa"/>
          </w:tcPr>
          <w:p w:rsidR="00EB625E" w:rsidRPr="004D0422" w:rsidRDefault="00EB625E" w:rsidP="0009424C">
            <w:pPr>
              <w:cnfStyle w:val="000000010000" w:firstRow="0" w:lastRow="0" w:firstColumn="0" w:lastColumn="0" w:oddVBand="0" w:evenVBand="0" w:oddHBand="0" w:evenHBand="1" w:firstRowFirstColumn="0" w:firstRowLastColumn="0" w:lastRowFirstColumn="0" w:lastRowLastColumn="0"/>
              <w:rPr>
                <w:rStyle w:val="Strong"/>
              </w:rPr>
            </w:pPr>
            <w:r w:rsidRPr="004D0422">
              <w:rPr>
                <w:rStyle w:val="Strong"/>
              </w:rPr>
              <w:t>81.0</w:t>
            </w:r>
          </w:p>
        </w:tc>
        <w:tc>
          <w:tcPr>
            <w:tcW w:w="1092" w:type="dxa"/>
          </w:tcPr>
          <w:p w:rsidR="00EB625E" w:rsidRPr="004D0422" w:rsidRDefault="00EB625E" w:rsidP="0009424C">
            <w:pPr>
              <w:cnfStyle w:val="000000010000" w:firstRow="0" w:lastRow="0" w:firstColumn="0" w:lastColumn="0" w:oddVBand="0" w:evenVBand="0" w:oddHBand="0" w:evenHBand="1" w:firstRowFirstColumn="0" w:firstRowLastColumn="0" w:lastRowFirstColumn="0" w:lastRowLastColumn="0"/>
              <w:rPr>
                <w:rStyle w:val="Strong"/>
              </w:rPr>
            </w:pPr>
            <w:r w:rsidRPr="004D0422">
              <w:rPr>
                <w:rStyle w:val="Strong"/>
              </w:rPr>
              <w:t>97.4</w:t>
            </w:r>
          </w:p>
        </w:tc>
        <w:tc>
          <w:tcPr>
            <w:tcW w:w="1092" w:type="dxa"/>
          </w:tcPr>
          <w:p w:rsidR="00EB625E" w:rsidRPr="004D0422" w:rsidRDefault="00EB625E" w:rsidP="0009424C">
            <w:pPr>
              <w:cnfStyle w:val="000000010000" w:firstRow="0" w:lastRow="0" w:firstColumn="0" w:lastColumn="0" w:oddVBand="0" w:evenVBand="0" w:oddHBand="0" w:evenHBand="1" w:firstRowFirstColumn="0" w:firstRowLastColumn="0" w:lastRowFirstColumn="0" w:lastRowLastColumn="0"/>
              <w:rPr>
                <w:rStyle w:val="Strong"/>
              </w:rPr>
            </w:pPr>
            <w:r w:rsidRPr="004D0422">
              <w:rPr>
                <w:rStyle w:val="Strong"/>
              </w:rPr>
              <w:t>118.7</w:t>
            </w:r>
          </w:p>
        </w:tc>
        <w:tc>
          <w:tcPr>
            <w:tcW w:w="1093" w:type="dxa"/>
          </w:tcPr>
          <w:p w:rsidR="00EB625E" w:rsidRPr="004D0422" w:rsidRDefault="00EB625E" w:rsidP="0009424C">
            <w:pPr>
              <w:cnfStyle w:val="000000010000" w:firstRow="0" w:lastRow="0" w:firstColumn="0" w:lastColumn="0" w:oddVBand="0" w:evenVBand="0" w:oddHBand="0" w:evenHBand="1" w:firstRowFirstColumn="0" w:firstRowLastColumn="0" w:lastRowFirstColumn="0" w:lastRowLastColumn="0"/>
              <w:rPr>
                <w:rStyle w:val="Strong"/>
              </w:rPr>
            </w:pPr>
            <w:r w:rsidRPr="004D0422">
              <w:rPr>
                <w:rStyle w:val="Strong"/>
              </w:rPr>
              <w:t>137.1</w:t>
            </w:r>
          </w:p>
        </w:tc>
      </w:tr>
    </w:tbl>
    <w:p w:rsidR="00EB625E" w:rsidRDefault="0009424C" w:rsidP="0009424C">
      <w:pPr>
        <w:pStyle w:val="AERtablesource"/>
      </w:pPr>
      <w:r>
        <w:t>Source:</w:t>
      </w:r>
      <w:r>
        <w:tab/>
        <w:t>AER analysis.</w:t>
      </w:r>
    </w:p>
    <w:p w:rsidR="00170D44" w:rsidRDefault="00EB625E" w:rsidP="0009424C">
      <w:pPr>
        <w:pStyle w:val="AERtablesource"/>
      </w:pPr>
      <w:r>
        <w:t xml:space="preserve">(a) </w:t>
      </w:r>
      <w:r>
        <w:tab/>
        <w:t>Net of disposals.</w:t>
      </w:r>
    </w:p>
    <w:p w:rsidR="007B186E" w:rsidRDefault="007D456E" w:rsidP="001754EE">
      <w:pPr>
        <w:pStyle w:val="Heading3"/>
      </w:pPr>
      <w:bookmarkStart w:id="28" w:name="_Ref414280200"/>
      <w:bookmarkStart w:id="29" w:name="_Toc417631978"/>
      <w:r w:rsidRPr="001754EE">
        <w:t>S</w:t>
      </w:r>
      <w:r w:rsidR="0009424C">
        <w:t>tandard tax asset lives</w:t>
      </w:r>
      <w:bookmarkEnd w:id="28"/>
      <w:bookmarkEnd w:id="29"/>
    </w:p>
    <w:p w:rsidR="0009424C" w:rsidRPr="0009424C" w:rsidRDefault="00F85580" w:rsidP="0009424C">
      <w:r>
        <w:t xml:space="preserve">Consistent with our draft decision, we accept ActewAGL's proposed standard </w:t>
      </w:r>
      <w:r w:rsidR="00083540">
        <w:t xml:space="preserve">tax asset lives because </w:t>
      </w:r>
      <w:r w:rsidR="0009424C" w:rsidRPr="0009424C">
        <w:t>they are:</w:t>
      </w:r>
    </w:p>
    <w:p w:rsidR="0009424C" w:rsidRPr="0009424C" w:rsidRDefault="0009424C" w:rsidP="0009424C">
      <w:pPr>
        <w:pStyle w:val="AERbulletlistfirststyle"/>
      </w:pPr>
      <w:r w:rsidRPr="0009424C">
        <w:t>broadly consistent with the values prescribed by the Commissioner for taxation in tax ruling 2014/4</w:t>
      </w:r>
      <w:r w:rsidR="00DA0CD9">
        <w:rPr>
          <w:rStyle w:val="FootnoteReference"/>
        </w:rPr>
        <w:footnoteReference w:id="6"/>
      </w:r>
      <w:r w:rsidRPr="0009424C">
        <w:t xml:space="preserve"> </w:t>
      </w:r>
    </w:p>
    <w:p w:rsidR="0009424C" w:rsidRPr="0009424C" w:rsidRDefault="0009424C" w:rsidP="0009424C">
      <w:pPr>
        <w:pStyle w:val="AERbulletlistfirststyle"/>
      </w:pPr>
      <w:r w:rsidRPr="0009424C">
        <w:t xml:space="preserve">the same as those approved standard tax asset lives for the 2009–14 regulatory control period. </w:t>
      </w:r>
    </w:p>
    <w:p w:rsidR="006422D6" w:rsidRDefault="006422D6" w:rsidP="0009424C">
      <w:r>
        <w:t xml:space="preserve">In the draft decision, </w:t>
      </w:r>
      <w:r w:rsidR="00763DD8">
        <w:t>we made one amendment to the proposed standard tax asset life. W</w:t>
      </w:r>
      <w:r>
        <w:t xml:space="preserve">e </w:t>
      </w:r>
      <w:r w:rsidRPr="005F0D1A">
        <w:t xml:space="preserve">changed the standard tax asset life for </w:t>
      </w:r>
      <w:r>
        <w:t>the</w:t>
      </w:r>
      <w:r w:rsidRPr="005F0D1A">
        <w:t xml:space="preserve"> 'Equity raising costs' asset class to 5</w:t>
      </w:r>
      <w:r w:rsidR="00763DD8">
        <w:t> </w:t>
      </w:r>
      <w:r w:rsidRPr="005F0D1A">
        <w:t xml:space="preserve">years from </w:t>
      </w:r>
      <w:r>
        <w:t>ActewAGL</w:t>
      </w:r>
      <w:r w:rsidRPr="005F0D1A">
        <w:t xml:space="preserve">'s proposed </w:t>
      </w:r>
      <w:r>
        <w:t>44.5</w:t>
      </w:r>
      <w:r w:rsidRPr="005F0D1A">
        <w:t xml:space="preserve"> years for tax </w:t>
      </w:r>
      <w:r>
        <w:t xml:space="preserve">depreciation purposes. </w:t>
      </w:r>
      <w:r w:rsidRPr="005F0D1A">
        <w:t xml:space="preserve">This </w:t>
      </w:r>
      <w:r>
        <w:t>wa</w:t>
      </w:r>
      <w:r w:rsidRPr="005F0D1A">
        <w:t>s because the Australian Taxation Office (ATO) requires equity raising costs to be amortised over a five-year period on a straight-line basis</w:t>
      </w:r>
      <w:r>
        <w:t>.</w:t>
      </w:r>
      <w:r>
        <w:rPr>
          <w:rStyle w:val="FootnoteReference"/>
        </w:rPr>
        <w:footnoteReference w:id="7"/>
      </w:r>
      <w:r>
        <w:t xml:space="preserve"> </w:t>
      </w:r>
      <w:r w:rsidR="00EB625E">
        <w:t>ActewAGL</w:t>
      </w:r>
      <w:r>
        <w:t>'s revised proposal</w:t>
      </w:r>
      <w:r w:rsidR="00EB625E">
        <w:t xml:space="preserve"> a</w:t>
      </w:r>
      <w:r w:rsidR="00083540">
        <w:t xml:space="preserve">dopted </w:t>
      </w:r>
      <w:r w:rsidR="00EB625E">
        <w:t xml:space="preserve">our draft decision </w:t>
      </w:r>
      <w:r>
        <w:t>on</w:t>
      </w:r>
      <w:r w:rsidR="0009424C" w:rsidRPr="0009424C">
        <w:t xml:space="preserve"> the standard tax asset life for the 'Equity raising costs' asset class. </w:t>
      </w:r>
    </w:p>
    <w:p w:rsidR="004B70E5" w:rsidRDefault="006422D6" w:rsidP="004D0422">
      <w:pPr>
        <w:numPr>
          <w:ilvl w:val="0"/>
          <w:numId w:val="25"/>
        </w:numPr>
      </w:pPr>
      <w:r>
        <w:t>We are satisfied the standard tax asset lives in ActewAGL's revised proposal are likely to provide an appropriate estimate of the tax depreciation amount for a benchmark efficient service provider as required by the NER.</w:t>
      </w:r>
      <w:r>
        <w:rPr>
          <w:rStyle w:val="FootnoteReference"/>
        </w:rPr>
        <w:footnoteReference w:id="8"/>
      </w:r>
    </w:p>
    <w:p w:rsidR="002C233C" w:rsidRDefault="004B70E5" w:rsidP="004D0422">
      <w:pPr>
        <w:numPr>
          <w:ilvl w:val="0"/>
          <w:numId w:val="25"/>
        </w:numPr>
      </w:pPr>
      <w:r>
        <w:fldChar w:fldCharType="begin"/>
      </w:r>
      <w:r>
        <w:instrText xml:space="preserve"> REF _Ref417476105 \h </w:instrText>
      </w:r>
      <w:r>
        <w:fldChar w:fldCharType="separate"/>
      </w:r>
      <w:r>
        <w:t xml:space="preserve">Table </w:t>
      </w:r>
      <w:r>
        <w:rPr>
          <w:noProof/>
        </w:rPr>
        <w:t>8</w:t>
      </w:r>
      <w:r>
        <w:t>.</w:t>
      </w:r>
      <w:r>
        <w:rPr>
          <w:noProof/>
        </w:rPr>
        <w:t>7</w:t>
      </w:r>
      <w:r>
        <w:fldChar w:fldCharType="end"/>
      </w:r>
      <w:r>
        <w:t xml:space="preserve"> and </w:t>
      </w:r>
      <w:r>
        <w:fldChar w:fldCharType="begin"/>
      </w:r>
      <w:r>
        <w:instrText xml:space="preserve"> REF _Ref417476110 \h </w:instrText>
      </w:r>
      <w:r>
        <w:fldChar w:fldCharType="separate"/>
      </w:r>
      <w:r>
        <w:t xml:space="preserve">Table </w:t>
      </w:r>
      <w:r>
        <w:rPr>
          <w:noProof/>
        </w:rPr>
        <w:t>8</w:t>
      </w:r>
      <w:r>
        <w:t>.</w:t>
      </w:r>
      <w:r>
        <w:rPr>
          <w:noProof/>
        </w:rPr>
        <w:t>8</w:t>
      </w:r>
      <w:r>
        <w:fldChar w:fldCharType="end"/>
      </w:r>
      <w:r w:rsidR="0009424C" w:rsidRPr="0009424C">
        <w:t xml:space="preserve"> present our </w:t>
      </w:r>
      <w:r w:rsidR="006422D6">
        <w:t>final</w:t>
      </w:r>
      <w:r w:rsidR="006422D6" w:rsidRPr="0009424C">
        <w:t xml:space="preserve"> </w:t>
      </w:r>
      <w:r w:rsidR="0009424C" w:rsidRPr="0009424C">
        <w:t>decision on the standard tax asset lives for ActewAGL's distribution and transmission networks respectively.</w:t>
      </w:r>
    </w:p>
    <w:p w:rsidR="004D0422" w:rsidRPr="004D0422" w:rsidRDefault="004D0422" w:rsidP="004D0422"/>
    <w:p w:rsidR="0009424C" w:rsidRDefault="0009424C" w:rsidP="0009424C">
      <w:pPr>
        <w:pStyle w:val="Heading3"/>
      </w:pPr>
      <w:bookmarkStart w:id="30" w:name="_Ref414280184"/>
      <w:bookmarkStart w:id="31" w:name="_Toc417631979"/>
      <w:r>
        <w:lastRenderedPageBreak/>
        <w:t>Remaining tax asset lives</w:t>
      </w:r>
      <w:bookmarkEnd w:id="30"/>
      <w:bookmarkEnd w:id="31"/>
    </w:p>
    <w:p w:rsidR="00574329" w:rsidRDefault="0009424C" w:rsidP="0009424C">
      <w:r w:rsidRPr="0009424C">
        <w:t>We accept</w:t>
      </w:r>
      <w:r w:rsidR="00EB625E">
        <w:t xml:space="preserve"> </w:t>
      </w:r>
      <w:r w:rsidRPr="0009424C">
        <w:t xml:space="preserve">ActewAGL's </w:t>
      </w:r>
      <w:r w:rsidR="00763DD8">
        <w:t xml:space="preserve">revised </w:t>
      </w:r>
      <w:r w:rsidRPr="0009424C">
        <w:t>proposed remaining tax asset lives as at 1 July 2014</w:t>
      </w:r>
      <w:r w:rsidR="00763DD8">
        <w:t>, which</w:t>
      </w:r>
      <w:r w:rsidR="00EB625E">
        <w:t xml:space="preserve"> </w:t>
      </w:r>
      <w:r w:rsidR="00DA0CD9">
        <w:t xml:space="preserve">reflect </w:t>
      </w:r>
      <w:r w:rsidR="00763DD8">
        <w:t>the</w:t>
      </w:r>
      <w:r w:rsidR="00DA0CD9">
        <w:t xml:space="preserve"> updates</w:t>
      </w:r>
      <w:r w:rsidR="00763DD8">
        <w:t xml:space="preserve"> made in the TAB roll forward</w:t>
      </w:r>
      <w:r w:rsidR="00DA0CD9">
        <w:t xml:space="preserve"> for 2013–14</w:t>
      </w:r>
      <w:r w:rsidR="00763DD8">
        <w:t xml:space="preserve"> actual capex as discussed in section </w:t>
      </w:r>
      <w:r w:rsidR="00763DD8">
        <w:fldChar w:fldCharType="begin"/>
      </w:r>
      <w:r w:rsidR="00763DD8">
        <w:instrText xml:space="preserve"> REF _Ref414284161 \r \h </w:instrText>
      </w:r>
      <w:r w:rsidR="00763DD8">
        <w:fldChar w:fldCharType="separate"/>
      </w:r>
      <w:r w:rsidR="004B70E5">
        <w:t>8.4.1</w:t>
      </w:r>
      <w:r w:rsidR="00763DD8">
        <w:fldChar w:fldCharType="end"/>
      </w:r>
      <w:r w:rsidR="00DA0CD9">
        <w:t xml:space="preserve">. </w:t>
      </w:r>
    </w:p>
    <w:p w:rsidR="00DA05C9" w:rsidRDefault="00574329" w:rsidP="0009424C">
      <w:r w:rsidRPr="00574329">
        <w:t xml:space="preserve">In the draft decision, we noted that the remaining </w:t>
      </w:r>
      <w:r>
        <w:t xml:space="preserve">tax </w:t>
      </w:r>
      <w:r w:rsidRPr="00574329">
        <w:t xml:space="preserve">asset lives would be updated for the final decision because ActewAGL's revised proposal would include revisions for 2013–14 actual capex. This is because the 2013–14 capex values are used to calculate the remaining </w:t>
      </w:r>
      <w:r>
        <w:t xml:space="preserve">tax </w:t>
      </w:r>
      <w:r w:rsidRPr="00574329">
        <w:t>asset lives.</w:t>
      </w:r>
    </w:p>
    <w:p w:rsidR="00574329" w:rsidRDefault="005A4DED" w:rsidP="0009424C">
      <w:r>
        <w:t xml:space="preserve">ActewAGL's </w:t>
      </w:r>
      <w:r w:rsidRPr="00E96E6A">
        <w:t>revised proposal</w:t>
      </w:r>
      <w:r>
        <w:t xml:space="preserve"> updated the calculation of its remaining tax asset lives for actual 2013–14 capex.</w:t>
      </w:r>
      <w:r w:rsidRPr="00574329">
        <w:t xml:space="preserve"> </w:t>
      </w:r>
      <w:r w:rsidR="00574329" w:rsidRPr="00574329">
        <w:t xml:space="preserve">We are satisfied that the updates to the 2013–14 actual capex have been reflected in the revised proposed remaining </w:t>
      </w:r>
      <w:r w:rsidR="00574329">
        <w:t xml:space="preserve">tax </w:t>
      </w:r>
      <w:r w:rsidR="00574329" w:rsidRPr="00574329">
        <w:t>asset lives.</w:t>
      </w:r>
    </w:p>
    <w:p w:rsidR="004B70E5" w:rsidRPr="00C93217" w:rsidRDefault="00574329" w:rsidP="004B70E5">
      <w:r>
        <w:t xml:space="preserve">For the same reasons as discussed in attachment </w:t>
      </w:r>
      <w:r w:rsidR="00763DD8">
        <w:t>5</w:t>
      </w:r>
      <w:r>
        <w:t>, we have concerns with ActewAGL's proposed approach to calculate the remaining tax asset lives as it tends to systematically underestimate the remaining tax asset life. Given our concerns we will review this matter further if th</w:t>
      </w:r>
      <w:r w:rsidR="00290098">
        <w:t>is</w:t>
      </w:r>
      <w:r>
        <w:t xml:space="preserve"> approach is proposed again at the next determination. </w:t>
      </w:r>
    </w:p>
    <w:p w:rsidR="00F457DC" w:rsidRPr="004D0422" w:rsidRDefault="004B70E5" w:rsidP="004D0422">
      <w:r>
        <w:fldChar w:fldCharType="begin"/>
      </w:r>
      <w:r>
        <w:instrText xml:space="preserve"> REF _Ref417476105 \h </w:instrText>
      </w:r>
      <w:r>
        <w:fldChar w:fldCharType="separate"/>
      </w:r>
      <w:r>
        <w:t xml:space="preserve">Table </w:t>
      </w:r>
      <w:r>
        <w:rPr>
          <w:noProof/>
        </w:rPr>
        <w:t>8</w:t>
      </w:r>
      <w:r>
        <w:t>.</w:t>
      </w:r>
      <w:r>
        <w:rPr>
          <w:noProof/>
        </w:rPr>
        <w:t>7</w:t>
      </w:r>
      <w:r>
        <w:fldChar w:fldCharType="end"/>
      </w:r>
      <w:r>
        <w:t xml:space="preserve"> and </w:t>
      </w:r>
      <w:r>
        <w:fldChar w:fldCharType="begin"/>
      </w:r>
      <w:r>
        <w:instrText xml:space="preserve"> REF _Ref417476110 \h </w:instrText>
      </w:r>
      <w:r>
        <w:fldChar w:fldCharType="separate"/>
      </w:r>
      <w:r>
        <w:t xml:space="preserve">Table </w:t>
      </w:r>
      <w:r>
        <w:rPr>
          <w:noProof/>
        </w:rPr>
        <w:t>8</w:t>
      </w:r>
      <w:r>
        <w:t>.</w:t>
      </w:r>
      <w:r>
        <w:rPr>
          <w:noProof/>
        </w:rPr>
        <w:t>8</w:t>
      </w:r>
      <w:r>
        <w:fldChar w:fldCharType="end"/>
      </w:r>
      <w:r>
        <w:t xml:space="preserve"> </w:t>
      </w:r>
      <w:r w:rsidR="00C93217" w:rsidRPr="00C93217">
        <w:t xml:space="preserve">present our </w:t>
      </w:r>
      <w:r w:rsidR="00763DD8">
        <w:t>final</w:t>
      </w:r>
      <w:r w:rsidR="00C93217" w:rsidRPr="00C93217">
        <w:t xml:space="preserve"> decision on </w:t>
      </w:r>
      <w:r w:rsidR="00763DD8">
        <w:t xml:space="preserve">the </w:t>
      </w:r>
      <w:r w:rsidR="00C93217" w:rsidRPr="00C93217">
        <w:t>remaining tax asset lives for ActewAGL's distribution and transmission networks respectively.</w:t>
      </w:r>
      <w:bookmarkStart w:id="32" w:name="_Ref411602101"/>
    </w:p>
    <w:p w:rsidR="00C93217" w:rsidRPr="0009424C" w:rsidRDefault="00C93217" w:rsidP="00C93217">
      <w:pPr>
        <w:pStyle w:val="Caption"/>
      </w:pPr>
      <w:bookmarkStart w:id="33" w:name="_Ref417476105"/>
      <w:r>
        <w:t xml:space="preserve">Table </w:t>
      </w:r>
      <w:r w:rsidR="00203C82">
        <w:fldChar w:fldCharType="begin"/>
      </w:r>
      <w:r w:rsidR="00203C82">
        <w:instrText xml:space="preserve"> STYLEREF 1 \s </w:instrText>
      </w:r>
      <w:r w:rsidR="00203C82">
        <w:fldChar w:fldCharType="separate"/>
      </w:r>
      <w:r w:rsidR="004B70E5">
        <w:rPr>
          <w:noProof/>
        </w:rPr>
        <w:t>8</w:t>
      </w:r>
      <w:r w:rsidR="00203C82">
        <w:rPr>
          <w:noProof/>
        </w:rPr>
        <w:fldChar w:fldCharType="end"/>
      </w:r>
      <w:r w:rsidR="004B70E5">
        <w:t>.</w:t>
      </w:r>
      <w:r w:rsidR="00203C82">
        <w:fldChar w:fldCharType="begin"/>
      </w:r>
      <w:r w:rsidR="00203C82">
        <w:instrText xml:space="preserve"> SEQ Table \* ARABIC \s 1 </w:instrText>
      </w:r>
      <w:r w:rsidR="00203C82">
        <w:fldChar w:fldCharType="separate"/>
      </w:r>
      <w:r w:rsidR="004B70E5">
        <w:rPr>
          <w:noProof/>
        </w:rPr>
        <w:t>7</w:t>
      </w:r>
      <w:r w:rsidR="00203C82">
        <w:rPr>
          <w:noProof/>
        </w:rPr>
        <w:fldChar w:fldCharType="end"/>
      </w:r>
      <w:bookmarkEnd w:id="32"/>
      <w:bookmarkEnd w:id="33"/>
      <w:r>
        <w:tab/>
        <w:t xml:space="preserve">AER's final decision on ActewAGL's standard and remaining tax asset lives (years) </w:t>
      </w:r>
      <w:r w:rsidR="0025043E">
        <w:t>–</w:t>
      </w:r>
      <w:r>
        <w:t xml:space="preserve"> distribution </w:t>
      </w:r>
    </w:p>
    <w:tbl>
      <w:tblPr>
        <w:tblStyle w:val="AERtable-numbers"/>
        <w:tblW w:w="0" w:type="auto"/>
        <w:tblLook w:val="04A0" w:firstRow="1" w:lastRow="0" w:firstColumn="1" w:lastColumn="0" w:noHBand="0" w:noVBand="1"/>
      </w:tblPr>
      <w:tblGrid>
        <w:gridCol w:w="2897"/>
        <w:gridCol w:w="2173"/>
        <w:gridCol w:w="3623"/>
      </w:tblGrid>
      <w:tr w:rsidR="00C93217" w:rsidTr="00F457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97" w:type="dxa"/>
          </w:tcPr>
          <w:p w:rsidR="00C93217" w:rsidRDefault="00C93217" w:rsidP="002C233C">
            <w:r>
              <w:t>Asset class</w:t>
            </w:r>
          </w:p>
        </w:tc>
        <w:tc>
          <w:tcPr>
            <w:tcW w:w="2173" w:type="dxa"/>
          </w:tcPr>
          <w:p w:rsidR="00C93217" w:rsidRDefault="00C93217" w:rsidP="002C233C">
            <w:pPr>
              <w:cnfStyle w:val="100000000000" w:firstRow="1" w:lastRow="0" w:firstColumn="0" w:lastColumn="0" w:oddVBand="0" w:evenVBand="0" w:oddHBand="0" w:evenHBand="0" w:firstRowFirstColumn="0" w:firstRowLastColumn="0" w:lastRowFirstColumn="0" w:lastRowLastColumn="0"/>
            </w:pPr>
            <w:r>
              <w:t>Standard tax asset life</w:t>
            </w:r>
          </w:p>
        </w:tc>
        <w:tc>
          <w:tcPr>
            <w:tcW w:w="3623" w:type="dxa"/>
          </w:tcPr>
          <w:p w:rsidR="00C93217" w:rsidRDefault="00C93217" w:rsidP="002C233C">
            <w:pPr>
              <w:cnfStyle w:val="100000000000" w:firstRow="1" w:lastRow="0" w:firstColumn="0" w:lastColumn="0" w:oddVBand="0" w:evenVBand="0" w:oddHBand="0" w:evenHBand="0" w:firstRowFirstColumn="0" w:firstRowLastColumn="0" w:lastRowFirstColumn="0" w:lastRowLastColumn="0"/>
            </w:pPr>
            <w:r>
              <w:t>Remaining tax asset life as at 1 July 2014</w:t>
            </w:r>
          </w:p>
        </w:tc>
      </w:tr>
      <w:tr w:rsidR="00C93217" w:rsidTr="00331A20">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281FBD">
            <w:r w:rsidRPr="00C93217">
              <w:t>Opening distribution assets</w:t>
            </w:r>
          </w:p>
        </w:tc>
        <w:tc>
          <w:tcPr>
            <w:tcW w:w="2173" w:type="dxa"/>
            <w:vAlign w:val="top"/>
          </w:tcPr>
          <w:p w:rsidR="00C93217" w:rsidRPr="00C93217" w:rsidRDefault="00C93217" w:rsidP="00281FBD">
            <w:pPr>
              <w:cnfStyle w:val="000000000000" w:firstRow="0" w:lastRow="0" w:firstColumn="0" w:lastColumn="0" w:oddVBand="0" w:evenVBand="0" w:oddHBand="0" w:evenHBand="0" w:firstRowFirstColumn="0" w:firstRowLastColumn="0" w:lastRowFirstColumn="0" w:lastRowLastColumn="0"/>
            </w:pPr>
            <w:r w:rsidRPr="00C93217">
              <w:t>44.6</w:t>
            </w:r>
          </w:p>
        </w:tc>
        <w:tc>
          <w:tcPr>
            <w:tcW w:w="3623" w:type="dxa"/>
            <w:vAlign w:val="top"/>
          </w:tcPr>
          <w:p w:rsidR="00C93217" w:rsidRPr="00C93217" w:rsidRDefault="00C93217" w:rsidP="00281FBD">
            <w:pPr>
              <w:cnfStyle w:val="000000000000" w:firstRow="0" w:lastRow="0" w:firstColumn="0" w:lastColumn="0" w:oddVBand="0" w:evenVBand="0" w:oddHBand="0" w:evenHBand="0" w:firstRowFirstColumn="0" w:firstRowLastColumn="0" w:lastRowFirstColumn="0" w:lastRowLastColumn="0"/>
            </w:pPr>
            <w:r w:rsidRPr="00C93217">
              <w:t>18.6</w:t>
            </w:r>
          </w:p>
        </w:tc>
      </w:tr>
      <w:tr w:rsidR="00C93217" w:rsidTr="00331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281FBD">
            <w:r w:rsidRPr="00C93217">
              <w:t>Sub-transmission overhead</w:t>
            </w:r>
          </w:p>
        </w:tc>
        <w:tc>
          <w:tcPr>
            <w:tcW w:w="2173" w:type="dxa"/>
            <w:vAlign w:val="top"/>
          </w:tcPr>
          <w:p w:rsidR="00C93217" w:rsidRPr="00C93217" w:rsidRDefault="00C93217" w:rsidP="00281FBD">
            <w:pPr>
              <w:cnfStyle w:val="000000010000" w:firstRow="0" w:lastRow="0" w:firstColumn="0" w:lastColumn="0" w:oddVBand="0" w:evenVBand="0" w:oddHBand="0" w:evenHBand="1" w:firstRowFirstColumn="0" w:firstRowLastColumn="0" w:lastRowFirstColumn="0" w:lastRowLastColumn="0"/>
            </w:pPr>
            <w:r w:rsidRPr="00C93217">
              <w:t>47.5</w:t>
            </w:r>
          </w:p>
        </w:tc>
        <w:tc>
          <w:tcPr>
            <w:tcW w:w="3623" w:type="dxa"/>
            <w:vAlign w:val="top"/>
          </w:tcPr>
          <w:p w:rsidR="00C93217" w:rsidRPr="00C93217" w:rsidRDefault="00C93217" w:rsidP="00281FBD">
            <w:pPr>
              <w:cnfStyle w:val="000000010000" w:firstRow="0" w:lastRow="0" w:firstColumn="0" w:lastColumn="0" w:oddVBand="0" w:evenVBand="0" w:oddHBand="0" w:evenHBand="1" w:firstRowFirstColumn="0" w:firstRowLastColumn="0" w:lastRowFirstColumn="0" w:lastRowLastColumn="0"/>
            </w:pPr>
            <w:r w:rsidRPr="00C93217">
              <w:t>n/a</w:t>
            </w:r>
          </w:p>
        </w:tc>
      </w:tr>
      <w:tr w:rsidR="00C93217" w:rsidTr="00331A20">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281FBD">
            <w:r w:rsidRPr="00C93217">
              <w:t>Sub-transmission underground</w:t>
            </w:r>
          </w:p>
        </w:tc>
        <w:tc>
          <w:tcPr>
            <w:tcW w:w="2173" w:type="dxa"/>
            <w:vAlign w:val="top"/>
          </w:tcPr>
          <w:p w:rsidR="00C93217" w:rsidRPr="00C93217" w:rsidRDefault="00C93217" w:rsidP="00281FBD">
            <w:pPr>
              <w:cnfStyle w:val="000000000000" w:firstRow="0" w:lastRow="0" w:firstColumn="0" w:lastColumn="0" w:oddVBand="0" w:evenVBand="0" w:oddHBand="0" w:evenHBand="0" w:firstRowFirstColumn="0" w:firstRowLastColumn="0" w:lastRowFirstColumn="0" w:lastRowLastColumn="0"/>
            </w:pPr>
            <w:r w:rsidRPr="00C93217">
              <w:t>47.5</w:t>
            </w:r>
          </w:p>
        </w:tc>
        <w:tc>
          <w:tcPr>
            <w:tcW w:w="3623" w:type="dxa"/>
            <w:vAlign w:val="top"/>
          </w:tcPr>
          <w:p w:rsidR="00C93217" w:rsidRPr="00C93217" w:rsidRDefault="00C93217" w:rsidP="00281FBD">
            <w:pPr>
              <w:cnfStyle w:val="000000000000" w:firstRow="0" w:lastRow="0" w:firstColumn="0" w:lastColumn="0" w:oddVBand="0" w:evenVBand="0" w:oddHBand="0" w:evenHBand="0" w:firstRowFirstColumn="0" w:firstRowLastColumn="0" w:lastRowFirstColumn="0" w:lastRowLastColumn="0"/>
            </w:pPr>
            <w:r w:rsidRPr="00C93217">
              <w:t>n/a</w:t>
            </w:r>
          </w:p>
        </w:tc>
      </w:tr>
      <w:tr w:rsidR="00C93217" w:rsidTr="00331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281FBD">
            <w:r w:rsidRPr="00C93217">
              <w:t>Zone substation</w:t>
            </w:r>
          </w:p>
        </w:tc>
        <w:tc>
          <w:tcPr>
            <w:tcW w:w="2173" w:type="dxa"/>
            <w:vAlign w:val="top"/>
          </w:tcPr>
          <w:p w:rsidR="00C93217" w:rsidRPr="00C93217" w:rsidRDefault="00C93217" w:rsidP="00281FBD">
            <w:pPr>
              <w:cnfStyle w:val="000000010000" w:firstRow="0" w:lastRow="0" w:firstColumn="0" w:lastColumn="0" w:oddVBand="0" w:evenVBand="0" w:oddHBand="0" w:evenHBand="1" w:firstRowFirstColumn="0" w:firstRowLastColumn="0" w:lastRowFirstColumn="0" w:lastRowLastColumn="0"/>
            </w:pPr>
            <w:r w:rsidRPr="00C93217">
              <w:t>40.0</w:t>
            </w:r>
          </w:p>
        </w:tc>
        <w:tc>
          <w:tcPr>
            <w:tcW w:w="3623" w:type="dxa"/>
            <w:vAlign w:val="top"/>
          </w:tcPr>
          <w:p w:rsidR="00C93217" w:rsidRPr="00C93217" w:rsidRDefault="00C93217" w:rsidP="00281FBD">
            <w:pPr>
              <w:cnfStyle w:val="000000010000" w:firstRow="0" w:lastRow="0" w:firstColumn="0" w:lastColumn="0" w:oddVBand="0" w:evenVBand="0" w:oddHBand="0" w:evenHBand="1" w:firstRowFirstColumn="0" w:firstRowLastColumn="0" w:lastRowFirstColumn="0" w:lastRowLastColumn="0"/>
            </w:pPr>
            <w:r w:rsidRPr="00C93217">
              <w:t>37.8</w:t>
            </w:r>
          </w:p>
        </w:tc>
      </w:tr>
      <w:tr w:rsidR="00C93217" w:rsidTr="00331A20">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281FBD">
            <w:r w:rsidRPr="00C93217">
              <w:t>Distribution substations</w:t>
            </w:r>
          </w:p>
        </w:tc>
        <w:tc>
          <w:tcPr>
            <w:tcW w:w="2173" w:type="dxa"/>
            <w:vAlign w:val="top"/>
          </w:tcPr>
          <w:p w:rsidR="00C93217" w:rsidRPr="00C93217" w:rsidRDefault="00C93217" w:rsidP="00281FBD">
            <w:pPr>
              <w:cnfStyle w:val="000000000000" w:firstRow="0" w:lastRow="0" w:firstColumn="0" w:lastColumn="0" w:oddVBand="0" w:evenVBand="0" w:oddHBand="0" w:evenHBand="0" w:firstRowFirstColumn="0" w:firstRowLastColumn="0" w:lastRowFirstColumn="0" w:lastRowLastColumn="0"/>
            </w:pPr>
            <w:r w:rsidRPr="00C93217">
              <w:t>40.0</w:t>
            </w:r>
          </w:p>
        </w:tc>
        <w:tc>
          <w:tcPr>
            <w:tcW w:w="3623" w:type="dxa"/>
            <w:vAlign w:val="top"/>
          </w:tcPr>
          <w:p w:rsidR="00C93217" w:rsidRPr="00C93217" w:rsidRDefault="00C93217" w:rsidP="00281FBD">
            <w:pPr>
              <w:cnfStyle w:val="000000000000" w:firstRow="0" w:lastRow="0" w:firstColumn="0" w:lastColumn="0" w:oddVBand="0" w:evenVBand="0" w:oddHBand="0" w:evenHBand="0" w:firstRowFirstColumn="0" w:firstRowLastColumn="0" w:lastRowFirstColumn="0" w:lastRowLastColumn="0"/>
            </w:pPr>
            <w:r w:rsidRPr="00C93217">
              <w:t>38.0</w:t>
            </w:r>
          </w:p>
        </w:tc>
      </w:tr>
      <w:tr w:rsidR="00C93217" w:rsidTr="00331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281FBD">
            <w:r w:rsidRPr="00C93217">
              <w:t>Distribution overhead lines</w:t>
            </w:r>
          </w:p>
        </w:tc>
        <w:tc>
          <w:tcPr>
            <w:tcW w:w="2173" w:type="dxa"/>
            <w:vAlign w:val="top"/>
          </w:tcPr>
          <w:p w:rsidR="00C93217" w:rsidRPr="00C93217" w:rsidRDefault="00C93217" w:rsidP="00281FBD">
            <w:pPr>
              <w:cnfStyle w:val="000000010000" w:firstRow="0" w:lastRow="0" w:firstColumn="0" w:lastColumn="0" w:oddVBand="0" w:evenVBand="0" w:oddHBand="0" w:evenHBand="1" w:firstRowFirstColumn="0" w:firstRowLastColumn="0" w:lastRowFirstColumn="0" w:lastRowLastColumn="0"/>
            </w:pPr>
            <w:r w:rsidRPr="00C93217">
              <w:t>45.0</w:t>
            </w:r>
          </w:p>
        </w:tc>
        <w:tc>
          <w:tcPr>
            <w:tcW w:w="3623" w:type="dxa"/>
            <w:vAlign w:val="top"/>
          </w:tcPr>
          <w:p w:rsidR="00C93217" w:rsidRPr="00C93217" w:rsidRDefault="00C93217" w:rsidP="00281FBD">
            <w:pPr>
              <w:cnfStyle w:val="000000010000" w:firstRow="0" w:lastRow="0" w:firstColumn="0" w:lastColumn="0" w:oddVBand="0" w:evenVBand="0" w:oddHBand="0" w:evenHBand="1" w:firstRowFirstColumn="0" w:firstRowLastColumn="0" w:lastRowFirstColumn="0" w:lastRowLastColumn="0"/>
            </w:pPr>
            <w:r w:rsidRPr="00C93217">
              <w:t>42.9</w:t>
            </w:r>
          </w:p>
        </w:tc>
      </w:tr>
      <w:tr w:rsidR="00C93217" w:rsidTr="00331A20">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281FBD">
            <w:r w:rsidRPr="00C93217">
              <w:t>Distribution underground lines</w:t>
            </w:r>
          </w:p>
        </w:tc>
        <w:tc>
          <w:tcPr>
            <w:tcW w:w="2173" w:type="dxa"/>
            <w:vAlign w:val="top"/>
          </w:tcPr>
          <w:p w:rsidR="00C93217" w:rsidRPr="00C93217" w:rsidRDefault="00C93217" w:rsidP="00281FBD">
            <w:pPr>
              <w:cnfStyle w:val="000000000000" w:firstRow="0" w:lastRow="0" w:firstColumn="0" w:lastColumn="0" w:oddVBand="0" w:evenVBand="0" w:oddHBand="0" w:evenHBand="0" w:firstRowFirstColumn="0" w:firstRowLastColumn="0" w:lastRowFirstColumn="0" w:lastRowLastColumn="0"/>
            </w:pPr>
            <w:r w:rsidRPr="00C93217">
              <w:t>50.0</w:t>
            </w:r>
          </w:p>
        </w:tc>
        <w:tc>
          <w:tcPr>
            <w:tcW w:w="3623" w:type="dxa"/>
            <w:vAlign w:val="top"/>
          </w:tcPr>
          <w:p w:rsidR="00C93217" w:rsidRPr="00C93217" w:rsidRDefault="00C93217" w:rsidP="00281FBD">
            <w:pPr>
              <w:cnfStyle w:val="000000000000" w:firstRow="0" w:lastRow="0" w:firstColumn="0" w:lastColumn="0" w:oddVBand="0" w:evenVBand="0" w:oddHBand="0" w:evenHBand="0" w:firstRowFirstColumn="0" w:firstRowLastColumn="0" w:lastRowFirstColumn="0" w:lastRowLastColumn="0"/>
            </w:pPr>
            <w:r w:rsidRPr="00C93217">
              <w:t>47.9</w:t>
            </w:r>
          </w:p>
        </w:tc>
      </w:tr>
      <w:tr w:rsidR="00C93217" w:rsidTr="00331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763DD8">
            <w:r w:rsidRPr="00C93217">
              <w:t xml:space="preserve">IT &amp; </w:t>
            </w:r>
            <w:r w:rsidR="00763DD8">
              <w:t>c</w:t>
            </w:r>
            <w:r w:rsidRPr="00C93217">
              <w:t>ommunication systems (networks)</w:t>
            </w:r>
          </w:p>
        </w:tc>
        <w:tc>
          <w:tcPr>
            <w:tcW w:w="2173" w:type="dxa"/>
            <w:vAlign w:val="top"/>
          </w:tcPr>
          <w:p w:rsidR="00C93217" w:rsidRPr="00C93217" w:rsidRDefault="00C93217" w:rsidP="00281FBD">
            <w:pPr>
              <w:cnfStyle w:val="000000010000" w:firstRow="0" w:lastRow="0" w:firstColumn="0" w:lastColumn="0" w:oddVBand="0" w:evenVBand="0" w:oddHBand="0" w:evenHBand="1" w:firstRowFirstColumn="0" w:firstRowLastColumn="0" w:lastRowFirstColumn="0" w:lastRowLastColumn="0"/>
            </w:pPr>
            <w:r w:rsidRPr="00C93217">
              <w:t>10.0</w:t>
            </w:r>
          </w:p>
        </w:tc>
        <w:tc>
          <w:tcPr>
            <w:tcW w:w="3623" w:type="dxa"/>
            <w:vAlign w:val="top"/>
          </w:tcPr>
          <w:p w:rsidR="00C93217" w:rsidRPr="00C93217" w:rsidRDefault="00C93217" w:rsidP="00281FBD">
            <w:pPr>
              <w:cnfStyle w:val="000000010000" w:firstRow="0" w:lastRow="0" w:firstColumn="0" w:lastColumn="0" w:oddVBand="0" w:evenVBand="0" w:oddHBand="0" w:evenHBand="1" w:firstRowFirstColumn="0" w:firstRowLastColumn="0" w:lastRowFirstColumn="0" w:lastRowLastColumn="0"/>
            </w:pPr>
            <w:r w:rsidRPr="00C93217">
              <w:t>9.4</w:t>
            </w:r>
          </w:p>
        </w:tc>
      </w:tr>
      <w:tr w:rsidR="00C93217" w:rsidTr="00331A20">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281FBD">
            <w:r w:rsidRPr="00C93217">
              <w:t>Motor vehicles</w:t>
            </w:r>
          </w:p>
        </w:tc>
        <w:tc>
          <w:tcPr>
            <w:tcW w:w="2173" w:type="dxa"/>
            <w:vAlign w:val="top"/>
          </w:tcPr>
          <w:p w:rsidR="00C93217" w:rsidRPr="00C93217" w:rsidRDefault="00C93217" w:rsidP="00281FBD">
            <w:pPr>
              <w:cnfStyle w:val="000000000000" w:firstRow="0" w:lastRow="0" w:firstColumn="0" w:lastColumn="0" w:oddVBand="0" w:evenVBand="0" w:oddHBand="0" w:evenHBand="0" w:firstRowFirstColumn="0" w:firstRowLastColumn="0" w:lastRowFirstColumn="0" w:lastRowLastColumn="0"/>
            </w:pPr>
            <w:r w:rsidRPr="00C93217">
              <w:t>8.0</w:t>
            </w:r>
          </w:p>
        </w:tc>
        <w:tc>
          <w:tcPr>
            <w:tcW w:w="3623" w:type="dxa"/>
            <w:vAlign w:val="top"/>
          </w:tcPr>
          <w:p w:rsidR="00C93217" w:rsidRPr="00C93217" w:rsidRDefault="00C93217" w:rsidP="00281FBD">
            <w:pPr>
              <w:cnfStyle w:val="000000000000" w:firstRow="0" w:lastRow="0" w:firstColumn="0" w:lastColumn="0" w:oddVBand="0" w:evenVBand="0" w:oddHBand="0" w:evenHBand="0" w:firstRowFirstColumn="0" w:firstRowLastColumn="0" w:lastRowFirstColumn="0" w:lastRowLastColumn="0"/>
            </w:pPr>
            <w:r w:rsidRPr="00C93217">
              <w:t>7.2</w:t>
            </w:r>
          </w:p>
        </w:tc>
      </w:tr>
      <w:tr w:rsidR="00C93217" w:rsidTr="00331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281FBD">
            <w:r w:rsidRPr="00C93217">
              <w:t>Other non-system assets (networks)</w:t>
            </w:r>
          </w:p>
        </w:tc>
        <w:tc>
          <w:tcPr>
            <w:tcW w:w="2173" w:type="dxa"/>
            <w:vAlign w:val="top"/>
          </w:tcPr>
          <w:p w:rsidR="00C93217" w:rsidRPr="00C93217" w:rsidRDefault="00C93217" w:rsidP="00281FBD">
            <w:pPr>
              <w:cnfStyle w:val="000000010000" w:firstRow="0" w:lastRow="0" w:firstColumn="0" w:lastColumn="0" w:oddVBand="0" w:evenVBand="0" w:oddHBand="0" w:evenHBand="1" w:firstRowFirstColumn="0" w:firstRowLastColumn="0" w:lastRowFirstColumn="0" w:lastRowLastColumn="0"/>
            </w:pPr>
            <w:r w:rsidRPr="00C93217">
              <w:t>5.8</w:t>
            </w:r>
          </w:p>
        </w:tc>
        <w:tc>
          <w:tcPr>
            <w:tcW w:w="3623" w:type="dxa"/>
            <w:vAlign w:val="top"/>
          </w:tcPr>
          <w:p w:rsidR="00C93217" w:rsidRPr="00C93217" w:rsidRDefault="00C93217" w:rsidP="005F4936">
            <w:pPr>
              <w:cnfStyle w:val="000000010000" w:firstRow="0" w:lastRow="0" w:firstColumn="0" w:lastColumn="0" w:oddVBand="0" w:evenVBand="0" w:oddHBand="0" w:evenHBand="1" w:firstRowFirstColumn="0" w:firstRowLastColumn="0" w:lastRowFirstColumn="0" w:lastRowLastColumn="0"/>
            </w:pPr>
            <w:r w:rsidRPr="00C93217">
              <w:t>3.</w:t>
            </w:r>
            <w:r w:rsidR="005F4936">
              <w:t>7</w:t>
            </w:r>
          </w:p>
        </w:tc>
      </w:tr>
      <w:tr w:rsidR="00C93217" w:rsidTr="00331A20">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281FBD">
            <w:r w:rsidRPr="00C93217">
              <w:t>IT systems (corporate)</w:t>
            </w:r>
          </w:p>
        </w:tc>
        <w:tc>
          <w:tcPr>
            <w:tcW w:w="2173" w:type="dxa"/>
            <w:vAlign w:val="top"/>
          </w:tcPr>
          <w:p w:rsidR="00C93217" w:rsidRPr="00C93217" w:rsidRDefault="00C93217" w:rsidP="00281FBD">
            <w:pPr>
              <w:cnfStyle w:val="000000000000" w:firstRow="0" w:lastRow="0" w:firstColumn="0" w:lastColumn="0" w:oddVBand="0" w:evenVBand="0" w:oddHBand="0" w:evenHBand="0" w:firstRowFirstColumn="0" w:firstRowLastColumn="0" w:lastRowFirstColumn="0" w:lastRowLastColumn="0"/>
            </w:pPr>
            <w:r w:rsidRPr="00C93217">
              <w:t>4.1</w:t>
            </w:r>
          </w:p>
        </w:tc>
        <w:tc>
          <w:tcPr>
            <w:tcW w:w="3623" w:type="dxa"/>
            <w:vAlign w:val="top"/>
          </w:tcPr>
          <w:p w:rsidR="00C93217" w:rsidRPr="00C93217" w:rsidRDefault="00C93217" w:rsidP="005F4936">
            <w:pPr>
              <w:cnfStyle w:val="000000000000" w:firstRow="0" w:lastRow="0" w:firstColumn="0" w:lastColumn="0" w:oddVBand="0" w:evenVBand="0" w:oddHBand="0" w:evenHBand="0" w:firstRowFirstColumn="0" w:firstRowLastColumn="0" w:lastRowFirstColumn="0" w:lastRowLastColumn="0"/>
            </w:pPr>
            <w:r w:rsidRPr="00C93217">
              <w:t>3.</w:t>
            </w:r>
            <w:r w:rsidR="005F4936">
              <w:t>2</w:t>
            </w:r>
          </w:p>
        </w:tc>
      </w:tr>
      <w:tr w:rsidR="00C93217" w:rsidTr="00331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281FBD">
            <w:r w:rsidRPr="00C93217">
              <w:t>Telecommunications (corporate)</w:t>
            </w:r>
          </w:p>
        </w:tc>
        <w:tc>
          <w:tcPr>
            <w:tcW w:w="2173" w:type="dxa"/>
            <w:vAlign w:val="top"/>
          </w:tcPr>
          <w:p w:rsidR="00C93217" w:rsidRPr="00C93217" w:rsidRDefault="00C93217" w:rsidP="00281FBD">
            <w:pPr>
              <w:cnfStyle w:val="000000010000" w:firstRow="0" w:lastRow="0" w:firstColumn="0" w:lastColumn="0" w:oddVBand="0" w:evenVBand="0" w:oddHBand="0" w:evenHBand="1" w:firstRowFirstColumn="0" w:firstRowLastColumn="0" w:lastRowFirstColumn="0" w:lastRowLastColumn="0"/>
            </w:pPr>
            <w:r w:rsidRPr="00C93217">
              <w:t>6.7</w:t>
            </w:r>
          </w:p>
        </w:tc>
        <w:tc>
          <w:tcPr>
            <w:tcW w:w="3623" w:type="dxa"/>
            <w:vAlign w:val="top"/>
          </w:tcPr>
          <w:p w:rsidR="00C93217" w:rsidRPr="00C93217" w:rsidRDefault="00C93217" w:rsidP="004F665F">
            <w:pPr>
              <w:cnfStyle w:val="000000010000" w:firstRow="0" w:lastRow="0" w:firstColumn="0" w:lastColumn="0" w:oddVBand="0" w:evenVBand="0" w:oddHBand="0" w:evenHBand="1" w:firstRowFirstColumn="0" w:firstRowLastColumn="0" w:lastRowFirstColumn="0" w:lastRowLastColumn="0"/>
            </w:pPr>
            <w:r w:rsidRPr="00C93217">
              <w:t>3.</w:t>
            </w:r>
            <w:r w:rsidR="004F665F">
              <w:t>6</w:t>
            </w:r>
          </w:p>
        </w:tc>
      </w:tr>
      <w:tr w:rsidR="00C93217" w:rsidTr="00331A20">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281FBD">
            <w:r w:rsidRPr="00C93217">
              <w:t>Other non-system assets (corporate)</w:t>
            </w:r>
          </w:p>
        </w:tc>
        <w:tc>
          <w:tcPr>
            <w:tcW w:w="2173" w:type="dxa"/>
            <w:vAlign w:val="top"/>
          </w:tcPr>
          <w:p w:rsidR="00C93217" w:rsidRPr="00C93217" w:rsidRDefault="00C93217" w:rsidP="00281FBD">
            <w:pPr>
              <w:cnfStyle w:val="000000000000" w:firstRow="0" w:lastRow="0" w:firstColumn="0" w:lastColumn="0" w:oddVBand="0" w:evenVBand="0" w:oddHBand="0" w:evenHBand="0" w:firstRowFirstColumn="0" w:firstRowLastColumn="0" w:lastRowFirstColumn="0" w:lastRowLastColumn="0"/>
            </w:pPr>
            <w:r w:rsidRPr="00C93217">
              <w:t>5.7</w:t>
            </w:r>
          </w:p>
        </w:tc>
        <w:tc>
          <w:tcPr>
            <w:tcW w:w="3623" w:type="dxa"/>
            <w:vAlign w:val="top"/>
          </w:tcPr>
          <w:p w:rsidR="00C93217" w:rsidRPr="00C93217" w:rsidRDefault="00C93217" w:rsidP="00281FBD">
            <w:pPr>
              <w:cnfStyle w:val="000000000000" w:firstRow="0" w:lastRow="0" w:firstColumn="0" w:lastColumn="0" w:oddVBand="0" w:evenVBand="0" w:oddHBand="0" w:evenHBand="0" w:firstRowFirstColumn="0" w:firstRowLastColumn="0" w:lastRowFirstColumn="0" w:lastRowLastColumn="0"/>
            </w:pPr>
            <w:r w:rsidRPr="00C93217">
              <w:t>2.9</w:t>
            </w:r>
          </w:p>
        </w:tc>
      </w:tr>
      <w:tr w:rsidR="00C93217" w:rsidTr="00331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281FBD">
            <w:r w:rsidRPr="00C93217">
              <w:t>Land</w:t>
            </w:r>
          </w:p>
        </w:tc>
        <w:tc>
          <w:tcPr>
            <w:tcW w:w="2173" w:type="dxa"/>
            <w:vAlign w:val="top"/>
          </w:tcPr>
          <w:p w:rsidR="00C93217" w:rsidRPr="00C93217" w:rsidRDefault="00C93217" w:rsidP="00281FBD">
            <w:pPr>
              <w:cnfStyle w:val="000000010000" w:firstRow="0" w:lastRow="0" w:firstColumn="0" w:lastColumn="0" w:oddVBand="0" w:evenVBand="0" w:oddHBand="0" w:evenHBand="1" w:firstRowFirstColumn="0" w:firstRowLastColumn="0" w:lastRowFirstColumn="0" w:lastRowLastColumn="0"/>
            </w:pPr>
            <w:r w:rsidRPr="00C93217">
              <w:t>n/a</w:t>
            </w:r>
          </w:p>
        </w:tc>
        <w:tc>
          <w:tcPr>
            <w:tcW w:w="3623" w:type="dxa"/>
            <w:vAlign w:val="top"/>
          </w:tcPr>
          <w:p w:rsidR="00C93217" w:rsidRPr="00C93217" w:rsidRDefault="00C93217" w:rsidP="00281FBD">
            <w:pPr>
              <w:cnfStyle w:val="000000010000" w:firstRow="0" w:lastRow="0" w:firstColumn="0" w:lastColumn="0" w:oddVBand="0" w:evenVBand="0" w:oddHBand="0" w:evenHBand="1" w:firstRowFirstColumn="0" w:firstRowLastColumn="0" w:lastRowFirstColumn="0" w:lastRowLastColumn="0"/>
            </w:pPr>
            <w:r w:rsidRPr="00C93217">
              <w:t>n/a</w:t>
            </w:r>
          </w:p>
        </w:tc>
      </w:tr>
      <w:tr w:rsidR="00C93217" w:rsidTr="00331A20">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281FBD">
            <w:r w:rsidRPr="00C93217">
              <w:lastRenderedPageBreak/>
              <w:t>Buildings</w:t>
            </w:r>
          </w:p>
        </w:tc>
        <w:tc>
          <w:tcPr>
            <w:tcW w:w="2173" w:type="dxa"/>
            <w:vAlign w:val="top"/>
          </w:tcPr>
          <w:p w:rsidR="00C93217" w:rsidRPr="00C93217" w:rsidRDefault="00C93217" w:rsidP="00281FBD">
            <w:pPr>
              <w:cnfStyle w:val="000000000000" w:firstRow="0" w:lastRow="0" w:firstColumn="0" w:lastColumn="0" w:oddVBand="0" w:evenVBand="0" w:oddHBand="0" w:evenHBand="0" w:firstRowFirstColumn="0" w:firstRowLastColumn="0" w:lastRowFirstColumn="0" w:lastRowLastColumn="0"/>
            </w:pPr>
            <w:r w:rsidRPr="00C93217">
              <w:t>100.0</w:t>
            </w:r>
          </w:p>
        </w:tc>
        <w:tc>
          <w:tcPr>
            <w:tcW w:w="3623" w:type="dxa"/>
            <w:vAlign w:val="top"/>
          </w:tcPr>
          <w:p w:rsidR="00C93217" w:rsidRPr="00C93217" w:rsidRDefault="00C93217" w:rsidP="00281FBD">
            <w:pPr>
              <w:cnfStyle w:val="000000000000" w:firstRow="0" w:lastRow="0" w:firstColumn="0" w:lastColumn="0" w:oddVBand="0" w:evenVBand="0" w:oddHBand="0" w:evenHBand="0" w:firstRowFirstColumn="0" w:firstRowLastColumn="0" w:lastRowFirstColumn="0" w:lastRowLastColumn="0"/>
            </w:pPr>
            <w:r w:rsidRPr="00C93217">
              <w:t>97.</w:t>
            </w:r>
            <w:r w:rsidR="004D0422">
              <w:t>0</w:t>
            </w:r>
          </w:p>
        </w:tc>
      </w:tr>
      <w:tr w:rsidR="00C93217" w:rsidTr="00331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281FBD">
            <w:r w:rsidRPr="00C93217">
              <w:t>Equity raising costs</w:t>
            </w:r>
          </w:p>
        </w:tc>
        <w:tc>
          <w:tcPr>
            <w:tcW w:w="2173" w:type="dxa"/>
            <w:vAlign w:val="top"/>
          </w:tcPr>
          <w:p w:rsidR="00C93217" w:rsidRPr="00C93217" w:rsidRDefault="00C93217" w:rsidP="00281FBD">
            <w:pPr>
              <w:cnfStyle w:val="000000010000" w:firstRow="0" w:lastRow="0" w:firstColumn="0" w:lastColumn="0" w:oddVBand="0" w:evenVBand="0" w:oddHBand="0" w:evenHBand="1" w:firstRowFirstColumn="0" w:firstRowLastColumn="0" w:lastRowFirstColumn="0" w:lastRowLastColumn="0"/>
            </w:pPr>
            <w:r w:rsidRPr="00C93217">
              <w:t>5.0</w:t>
            </w:r>
          </w:p>
        </w:tc>
        <w:tc>
          <w:tcPr>
            <w:tcW w:w="3623" w:type="dxa"/>
            <w:vAlign w:val="top"/>
          </w:tcPr>
          <w:p w:rsidR="00C93217" w:rsidRPr="00C93217" w:rsidRDefault="00C93217" w:rsidP="00281FBD">
            <w:pPr>
              <w:cnfStyle w:val="000000010000" w:firstRow="0" w:lastRow="0" w:firstColumn="0" w:lastColumn="0" w:oddVBand="0" w:evenVBand="0" w:oddHBand="0" w:evenHBand="1" w:firstRowFirstColumn="0" w:firstRowLastColumn="0" w:lastRowFirstColumn="0" w:lastRowLastColumn="0"/>
            </w:pPr>
            <w:r w:rsidRPr="00C93217">
              <w:t>40.5</w:t>
            </w:r>
          </w:p>
        </w:tc>
      </w:tr>
    </w:tbl>
    <w:p w:rsidR="006D2E2F" w:rsidRDefault="00C93217" w:rsidP="006D2E2F">
      <w:pPr>
        <w:pStyle w:val="AERtablesource"/>
      </w:pPr>
      <w:r>
        <w:t xml:space="preserve">Source: AER </w:t>
      </w:r>
      <w:r>
        <w:tab/>
        <w:t>analysis.</w:t>
      </w:r>
    </w:p>
    <w:p w:rsidR="00F457DC" w:rsidRPr="004D0422" w:rsidRDefault="006D2E2F" w:rsidP="004D0422">
      <w:pPr>
        <w:pStyle w:val="AERtablesource"/>
      </w:pPr>
      <w:r>
        <w:t>n/a:</w:t>
      </w:r>
      <w:r>
        <w:tab/>
        <w:t>not applicable.</w:t>
      </w:r>
      <w:bookmarkStart w:id="34" w:name="_Ref411603754"/>
    </w:p>
    <w:p w:rsidR="004F6A0E" w:rsidRDefault="00C93217" w:rsidP="00C93217">
      <w:pPr>
        <w:pStyle w:val="Caption"/>
      </w:pPr>
      <w:bookmarkStart w:id="35" w:name="_Ref417476110"/>
      <w:r>
        <w:t xml:space="preserve">Table </w:t>
      </w:r>
      <w:r w:rsidR="00203C82">
        <w:fldChar w:fldCharType="begin"/>
      </w:r>
      <w:r w:rsidR="00203C82">
        <w:instrText xml:space="preserve"> STYLEREF 1 \s </w:instrText>
      </w:r>
      <w:r w:rsidR="00203C82">
        <w:fldChar w:fldCharType="separate"/>
      </w:r>
      <w:r w:rsidR="004B70E5">
        <w:rPr>
          <w:noProof/>
        </w:rPr>
        <w:t>8</w:t>
      </w:r>
      <w:r w:rsidR="00203C82">
        <w:rPr>
          <w:noProof/>
        </w:rPr>
        <w:fldChar w:fldCharType="end"/>
      </w:r>
      <w:r w:rsidR="004B70E5">
        <w:t>.</w:t>
      </w:r>
      <w:r w:rsidR="00203C82">
        <w:fldChar w:fldCharType="begin"/>
      </w:r>
      <w:r w:rsidR="00203C82">
        <w:instrText xml:space="preserve"> SEQ Table \* ARABIC \s 1 </w:instrText>
      </w:r>
      <w:r w:rsidR="00203C82">
        <w:fldChar w:fldCharType="separate"/>
      </w:r>
      <w:r w:rsidR="004B70E5">
        <w:rPr>
          <w:noProof/>
        </w:rPr>
        <w:t>8</w:t>
      </w:r>
      <w:r w:rsidR="00203C82">
        <w:rPr>
          <w:noProof/>
        </w:rPr>
        <w:fldChar w:fldCharType="end"/>
      </w:r>
      <w:bookmarkEnd w:id="34"/>
      <w:bookmarkEnd w:id="35"/>
      <w:r>
        <w:tab/>
        <w:t xml:space="preserve">AER's final decision on ActewAGL's standard and remaining tax asset lives (years) </w:t>
      </w:r>
      <w:r w:rsidR="0025043E">
        <w:t>–</w:t>
      </w:r>
      <w:r>
        <w:t xml:space="preserve"> transmission</w:t>
      </w:r>
    </w:p>
    <w:tbl>
      <w:tblPr>
        <w:tblStyle w:val="AERtable-numbers"/>
        <w:tblW w:w="0" w:type="auto"/>
        <w:tblLook w:val="04A0" w:firstRow="1" w:lastRow="0" w:firstColumn="1" w:lastColumn="0" w:noHBand="0" w:noVBand="1"/>
      </w:tblPr>
      <w:tblGrid>
        <w:gridCol w:w="2897"/>
        <w:gridCol w:w="2314"/>
        <w:gridCol w:w="3482"/>
      </w:tblGrid>
      <w:tr w:rsidR="00C93217" w:rsidTr="00331A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C93217" w:rsidRPr="00C93217" w:rsidRDefault="00C93217" w:rsidP="00C93217">
            <w:r>
              <w:t>Asset class</w:t>
            </w:r>
          </w:p>
        </w:tc>
        <w:tc>
          <w:tcPr>
            <w:tcW w:w="2314" w:type="dxa"/>
          </w:tcPr>
          <w:p w:rsidR="00C93217" w:rsidRPr="00C93217" w:rsidRDefault="00C93217" w:rsidP="00C93217">
            <w:pPr>
              <w:cnfStyle w:val="100000000000" w:firstRow="1" w:lastRow="0" w:firstColumn="0" w:lastColumn="0" w:oddVBand="0" w:evenVBand="0" w:oddHBand="0" w:evenHBand="0" w:firstRowFirstColumn="0" w:firstRowLastColumn="0" w:lastRowFirstColumn="0" w:lastRowLastColumn="0"/>
            </w:pPr>
            <w:r>
              <w:t>Standard tax asset life</w:t>
            </w:r>
          </w:p>
        </w:tc>
        <w:tc>
          <w:tcPr>
            <w:tcW w:w="3482" w:type="dxa"/>
          </w:tcPr>
          <w:p w:rsidR="00C93217" w:rsidRPr="00C93217" w:rsidRDefault="00C93217" w:rsidP="00C93217">
            <w:pPr>
              <w:cnfStyle w:val="100000000000" w:firstRow="1" w:lastRow="0" w:firstColumn="0" w:lastColumn="0" w:oddVBand="0" w:evenVBand="0" w:oddHBand="0" w:evenHBand="0" w:firstRowFirstColumn="0" w:firstRowLastColumn="0" w:lastRowFirstColumn="0" w:lastRowLastColumn="0"/>
            </w:pPr>
            <w:r>
              <w:t>Remaining tax asset life as at 1 July 2014</w:t>
            </w:r>
          </w:p>
        </w:tc>
      </w:tr>
      <w:tr w:rsidR="00C93217" w:rsidTr="00331A20">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281FBD">
            <w:r w:rsidRPr="00C93217">
              <w:t>Opening distribution assets</w:t>
            </w:r>
          </w:p>
        </w:tc>
        <w:tc>
          <w:tcPr>
            <w:tcW w:w="2314" w:type="dxa"/>
            <w:vAlign w:val="top"/>
          </w:tcPr>
          <w:p w:rsidR="00C93217" w:rsidRPr="00C93217" w:rsidRDefault="00C93217" w:rsidP="00281FBD">
            <w:pPr>
              <w:cnfStyle w:val="000000000000" w:firstRow="0" w:lastRow="0" w:firstColumn="0" w:lastColumn="0" w:oddVBand="0" w:evenVBand="0" w:oddHBand="0" w:evenHBand="0" w:firstRowFirstColumn="0" w:firstRowLastColumn="0" w:lastRowFirstColumn="0" w:lastRowLastColumn="0"/>
            </w:pPr>
            <w:r w:rsidRPr="00C93217">
              <w:t>44.6</w:t>
            </w:r>
          </w:p>
        </w:tc>
        <w:tc>
          <w:tcPr>
            <w:tcW w:w="3482" w:type="dxa"/>
            <w:vAlign w:val="top"/>
          </w:tcPr>
          <w:p w:rsidR="00C93217" w:rsidRPr="00C93217" w:rsidRDefault="00C93217" w:rsidP="00281FBD">
            <w:pPr>
              <w:cnfStyle w:val="000000000000" w:firstRow="0" w:lastRow="0" w:firstColumn="0" w:lastColumn="0" w:oddVBand="0" w:evenVBand="0" w:oddHBand="0" w:evenHBand="0" w:firstRowFirstColumn="0" w:firstRowLastColumn="0" w:lastRowFirstColumn="0" w:lastRowLastColumn="0"/>
            </w:pPr>
            <w:r w:rsidRPr="00C93217">
              <w:t>18.6</w:t>
            </w:r>
          </w:p>
        </w:tc>
      </w:tr>
      <w:tr w:rsidR="00C93217" w:rsidTr="00331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281FBD">
            <w:r w:rsidRPr="00C93217">
              <w:t>Sub-transmission  overhead</w:t>
            </w:r>
          </w:p>
        </w:tc>
        <w:tc>
          <w:tcPr>
            <w:tcW w:w="2314" w:type="dxa"/>
            <w:vAlign w:val="top"/>
          </w:tcPr>
          <w:p w:rsidR="00C93217" w:rsidRPr="00C93217" w:rsidRDefault="00C93217" w:rsidP="00281FBD">
            <w:pPr>
              <w:cnfStyle w:val="000000010000" w:firstRow="0" w:lastRow="0" w:firstColumn="0" w:lastColumn="0" w:oddVBand="0" w:evenVBand="0" w:oddHBand="0" w:evenHBand="1" w:firstRowFirstColumn="0" w:firstRowLastColumn="0" w:lastRowFirstColumn="0" w:lastRowLastColumn="0"/>
            </w:pPr>
            <w:r w:rsidRPr="00C93217">
              <w:t>47.5</w:t>
            </w:r>
          </w:p>
        </w:tc>
        <w:tc>
          <w:tcPr>
            <w:tcW w:w="3482" w:type="dxa"/>
            <w:vAlign w:val="top"/>
          </w:tcPr>
          <w:p w:rsidR="00C93217" w:rsidRPr="00C93217" w:rsidRDefault="00C93217" w:rsidP="00281FBD">
            <w:pPr>
              <w:cnfStyle w:val="000000010000" w:firstRow="0" w:lastRow="0" w:firstColumn="0" w:lastColumn="0" w:oddVBand="0" w:evenVBand="0" w:oddHBand="0" w:evenHBand="1" w:firstRowFirstColumn="0" w:firstRowLastColumn="0" w:lastRowFirstColumn="0" w:lastRowLastColumn="0"/>
            </w:pPr>
            <w:r w:rsidRPr="00C93217">
              <w:t>45.1</w:t>
            </w:r>
          </w:p>
        </w:tc>
      </w:tr>
      <w:tr w:rsidR="00C93217" w:rsidTr="00331A20">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281FBD">
            <w:r w:rsidRPr="00C93217">
              <w:t>Sub-transmission  underground</w:t>
            </w:r>
          </w:p>
        </w:tc>
        <w:tc>
          <w:tcPr>
            <w:tcW w:w="2314" w:type="dxa"/>
            <w:vAlign w:val="top"/>
          </w:tcPr>
          <w:p w:rsidR="00C93217" w:rsidRPr="00C93217" w:rsidRDefault="00C93217" w:rsidP="00281FBD">
            <w:pPr>
              <w:cnfStyle w:val="000000000000" w:firstRow="0" w:lastRow="0" w:firstColumn="0" w:lastColumn="0" w:oddVBand="0" w:evenVBand="0" w:oddHBand="0" w:evenHBand="0" w:firstRowFirstColumn="0" w:firstRowLastColumn="0" w:lastRowFirstColumn="0" w:lastRowLastColumn="0"/>
            </w:pPr>
            <w:r w:rsidRPr="00C93217">
              <w:t>47.5</w:t>
            </w:r>
          </w:p>
        </w:tc>
        <w:tc>
          <w:tcPr>
            <w:tcW w:w="3482" w:type="dxa"/>
            <w:vAlign w:val="top"/>
          </w:tcPr>
          <w:p w:rsidR="00C93217" w:rsidRPr="00C93217" w:rsidRDefault="00C93217" w:rsidP="00281FBD">
            <w:pPr>
              <w:cnfStyle w:val="000000000000" w:firstRow="0" w:lastRow="0" w:firstColumn="0" w:lastColumn="0" w:oddVBand="0" w:evenVBand="0" w:oddHBand="0" w:evenHBand="0" w:firstRowFirstColumn="0" w:firstRowLastColumn="0" w:lastRowFirstColumn="0" w:lastRowLastColumn="0"/>
            </w:pPr>
            <w:r w:rsidRPr="00C93217">
              <w:t>n/a</w:t>
            </w:r>
          </w:p>
        </w:tc>
      </w:tr>
      <w:tr w:rsidR="00C93217" w:rsidTr="00331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281FBD">
            <w:r w:rsidRPr="00C93217">
              <w:t>Zone substations</w:t>
            </w:r>
          </w:p>
        </w:tc>
        <w:tc>
          <w:tcPr>
            <w:tcW w:w="2314" w:type="dxa"/>
            <w:vAlign w:val="top"/>
          </w:tcPr>
          <w:p w:rsidR="00C93217" w:rsidRPr="00C93217" w:rsidRDefault="00C93217" w:rsidP="00281FBD">
            <w:pPr>
              <w:cnfStyle w:val="000000010000" w:firstRow="0" w:lastRow="0" w:firstColumn="0" w:lastColumn="0" w:oddVBand="0" w:evenVBand="0" w:oddHBand="0" w:evenHBand="1" w:firstRowFirstColumn="0" w:firstRowLastColumn="0" w:lastRowFirstColumn="0" w:lastRowLastColumn="0"/>
            </w:pPr>
            <w:r w:rsidRPr="00C93217">
              <w:t>40.0</w:t>
            </w:r>
          </w:p>
        </w:tc>
        <w:tc>
          <w:tcPr>
            <w:tcW w:w="3482" w:type="dxa"/>
            <w:vAlign w:val="top"/>
          </w:tcPr>
          <w:p w:rsidR="00C93217" w:rsidRPr="00C93217" w:rsidRDefault="00C93217" w:rsidP="00281FBD">
            <w:pPr>
              <w:cnfStyle w:val="000000010000" w:firstRow="0" w:lastRow="0" w:firstColumn="0" w:lastColumn="0" w:oddVBand="0" w:evenVBand="0" w:oddHBand="0" w:evenHBand="1" w:firstRowFirstColumn="0" w:firstRowLastColumn="0" w:lastRowFirstColumn="0" w:lastRowLastColumn="0"/>
            </w:pPr>
            <w:r w:rsidRPr="00C93217">
              <w:t>38.7</w:t>
            </w:r>
          </w:p>
        </w:tc>
      </w:tr>
      <w:tr w:rsidR="00C93217" w:rsidTr="00331A20">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763DD8">
            <w:r w:rsidRPr="00C93217">
              <w:t xml:space="preserve">IT &amp; </w:t>
            </w:r>
            <w:r w:rsidR="00763DD8">
              <w:t>c</w:t>
            </w:r>
            <w:r w:rsidRPr="00C93217">
              <w:t>ommunications systems (networks)</w:t>
            </w:r>
          </w:p>
        </w:tc>
        <w:tc>
          <w:tcPr>
            <w:tcW w:w="2314" w:type="dxa"/>
            <w:vAlign w:val="top"/>
          </w:tcPr>
          <w:p w:rsidR="00C93217" w:rsidRPr="00C93217" w:rsidRDefault="00C93217" w:rsidP="00281FBD">
            <w:pPr>
              <w:cnfStyle w:val="000000000000" w:firstRow="0" w:lastRow="0" w:firstColumn="0" w:lastColumn="0" w:oddVBand="0" w:evenVBand="0" w:oddHBand="0" w:evenHBand="0" w:firstRowFirstColumn="0" w:firstRowLastColumn="0" w:lastRowFirstColumn="0" w:lastRowLastColumn="0"/>
            </w:pPr>
            <w:r w:rsidRPr="00C93217">
              <w:t>10.0</w:t>
            </w:r>
          </w:p>
        </w:tc>
        <w:tc>
          <w:tcPr>
            <w:tcW w:w="3482" w:type="dxa"/>
            <w:vAlign w:val="top"/>
          </w:tcPr>
          <w:p w:rsidR="00C93217" w:rsidRPr="00C93217" w:rsidRDefault="00C93217" w:rsidP="00281FBD">
            <w:pPr>
              <w:cnfStyle w:val="000000000000" w:firstRow="0" w:lastRow="0" w:firstColumn="0" w:lastColumn="0" w:oddVBand="0" w:evenVBand="0" w:oddHBand="0" w:evenHBand="0" w:firstRowFirstColumn="0" w:firstRowLastColumn="0" w:lastRowFirstColumn="0" w:lastRowLastColumn="0"/>
            </w:pPr>
            <w:r w:rsidRPr="00C93217">
              <w:t>9.4</w:t>
            </w:r>
          </w:p>
        </w:tc>
      </w:tr>
      <w:tr w:rsidR="00C93217" w:rsidTr="00331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281FBD">
            <w:r w:rsidRPr="00C93217">
              <w:t>Motor vehicles</w:t>
            </w:r>
          </w:p>
        </w:tc>
        <w:tc>
          <w:tcPr>
            <w:tcW w:w="2314" w:type="dxa"/>
            <w:vAlign w:val="top"/>
          </w:tcPr>
          <w:p w:rsidR="00C93217" w:rsidRPr="00C93217" w:rsidRDefault="00C93217" w:rsidP="00281FBD">
            <w:pPr>
              <w:cnfStyle w:val="000000010000" w:firstRow="0" w:lastRow="0" w:firstColumn="0" w:lastColumn="0" w:oddVBand="0" w:evenVBand="0" w:oddHBand="0" w:evenHBand="1" w:firstRowFirstColumn="0" w:firstRowLastColumn="0" w:lastRowFirstColumn="0" w:lastRowLastColumn="0"/>
            </w:pPr>
            <w:r w:rsidRPr="00C93217">
              <w:t>8.0</w:t>
            </w:r>
          </w:p>
        </w:tc>
        <w:tc>
          <w:tcPr>
            <w:tcW w:w="3482" w:type="dxa"/>
            <w:vAlign w:val="top"/>
          </w:tcPr>
          <w:p w:rsidR="00C93217" w:rsidRPr="00C93217" w:rsidRDefault="00C93217" w:rsidP="00281FBD">
            <w:pPr>
              <w:cnfStyle w:val="000000010000" w:firstRow="0" w:lastRow="0" w:firstColumn="0" w:lastColumn="0" w:oddVBand="0" w:evenVBand="0" w:oddHBand="0" w:evenHBand="1" w:firstRowFirstColumn="0" w:firstRowLastColumn="0" w:lastRowFirstColumn="0" w:lastRowLastColumn="0"/>
            </w:pPr>
            <w:r w:rsidRPr="00C93217">
              <w:t>7.2</w:t>
            </w:r>
          </w:p>
        </w:tc>
      </w:tr>
      <w:tr w:rsidR="00C93217" w:rsidTr="00331A20">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281FBD">
            <w:r w:rsidRPr="00C93217">
              <w:t>Other non-system assets (networks)</w:t>
            </w:r>
          </w:p>
        </w:tc>
        <w:tc>
          <w:tcPr>
            <w:tcW w:w="2314" w:type="dxa"/>
            <w:vAlign w:val="top"/>
          </w:tcPr>
          <w:p w:rsidR="00C93217" w:rsidRPr="00C93217" w:rsidRDefault="00C93217" w:rsidP="00281FBD">
            <w:pPr>
              <w:cnfStyle w:val="000000000000" w:firstRow="0" w:lastRow="0" w:firstColumn="0" w:lastColumn="0" w:oddVBand="0" w:evenVBand="0" w:oddHBand="0" w:evenHBand="0" w:firstRowFirstColumn="0" w:firstRowLastColumn="0" w:lastRowFirstColumn="0" w:lastRowLastColumn="0"/>
            </w:pPr>
            <w:r w:rsidRPr="00C93217">
              <w:t>5.8</w:t>
            </w:r>
          </w:p>
        </w:tc>
        <w:tc>
          <w:tcPr>
            <w:tcW w:w="3482" w:type="dxa"/>
            <w:vAlign w:val="top"/>
          </w:tcPr>
          <w:p w:rsidR="00C93217" w:rsidRPr="00C93217" w:rsidRDefault="00C93217" w:rsidP="005F4936">
            <w:pPr>
              <w:cnfStyle w:val="000000000000" w:firstRow="0" w:lastRow="0" w:firstColumn="0" w:lastColumn="0" w:oddVBand="0" w:evenVBand="0" w:oddHBand="0" w:evenHBand="0" w:firstRowFirstColumn="0" w:firstRowLastColumn="0" w:lastRowFirstColumn="0" w:lastRowLastColumn="0"/>
            </w:pPr>
            <w:r w:rsidRPr="00C93217">
              <w:t>3.</w:t>
            </w:r>
            <w:r w:rsidR="005F4936">
              <w:t>7</w:t>
            </w:r>
          </w:p>
        </w:tc>
      </w:tr>
      <w:tr w:rsidR="00C93217" w:rsidTr="00331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281FBD">
            <w:r w:rsidRPr="00C93217">
              <w:t>IT systems (corporate)</w:t>
            </w:r>
          </w:p>
        </w:tc>
        <w:tc>
          <w:tcPr>
            <w:tcW w:w="2314" w:type="dxa"/>
            <w:vAlign w:val="top"/>
          </w:tcPr>
          <w:p w:rsidR="00C93217" w:rsidRPr="00C93217" w:rsidRDefault="00C93217" w:rsidP="00281FBD">
            <w:pPr>
              <w:cnfStyle w:val="000000010000" w:firstRow="0" w:lastRow="0" w:firstColumn="0" w:lastColumn="0" w:oddVBand="0" w:evenVBand="0" w:oddHBand="0" w:evenHBand="1" w:firstRowFirstColumn="0" w:firstRowLastColumn="0" w:lastRowFirstColumn="0" w:lastRowLastColumn="0"/>
            </w:pPr>
            <w:r w:rsidRPr="00C93217">
              <w:t>4.1</w:t>
            </w:r>
          </w:p>
        </w:tc>
        <w:tc>
          <w:tcPr>
            <w:tcW w:w="3482" w:type="dxa"/>
            <w:vAlign w:val="top"/>
          </w:tcPr>
          <w:p w:rsidR="00C93217" w:rsidRPr="00C93217" w:rsidRDefault="00C93217" w:rsidP="005F4936">
            <w:pPr>
              <w:cnfStyle w:val="000000010000" w:firstRow="0" w:lastRow="0" w:firstColumn="0" w:lastColumn="0" w:oddVBand="0" w:evenVBand="0" w:oddHBand="0" w:evenHBand="1" w:firstRowFirstColumn="0" w:firstRowLastColumn="0" w:lastRowFirstColumn="0" w:lastRowLastColumn="0"/>
            </w:pPr>
            <w:r w:rsidRPr="00C93217">
              <w:t>3.</w:t>
            </w:r>
            <w:r w:rsidR="005F4936">
              <w:t>2</w:t>
            </w:r>
          </w:p>
        </w:tc>
      </w:tr>
      <w:tr w:rsidR="00C93217" w:rsidTr="00331A20">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281FBD">
            <w:r w:rsidRPr="00C93217">
              <w:t>Telecommunications (corporate)</w:t>
            </w:r>
          </w:p>
        </w:tc>
        <w:tc>
          <w:tcPr>
            <w:tcW w:w="2314" w:type="dxa"/>
            <w:vAlign w:val="top"/>
          </w:tcPr>
          <w:p w:rsidR="00C93217" w:rsidRPr="00C93217" w:rsidRDefault="00C93217" w:rsidP="00281FBD">
            <w:pPr>
              <w:cnfStyle w:val="000000000000" w:firstRow="0" w:lastRow="0" w:firstColumn="0" w:lastColumn="0" w:oddVBand="0" w:evenVBand="0" w:oddHBand="0" w:evenHBand="0" w:firstRowFirstColumn="0" w:firstRowLastColumn="0" w:lastRowFirstColumn="0" w:lastRowLastColumn="0"/>
            </w:pPr>
            <w:r w:rsidRPr="00C93217">
              <w:t>6.7</w:t>
            </w:r>
          </w:p>
        </w:tc>
        <w:tc>
          <w:tcPr>
            <w:tcW w:w="3482" w:type="dxa"/>
            <w:vAlign w:val="top"/>
          </w:tcPr>
          <w:p w:rsidR="00C93217" w:rsidRPr="00C93217" w:rsidRDefault="00C93217" w:rsidP="004D0422">
            <w:pPr>
              <w:cnfStyle w:val="000000000000" w:firstRow="0" w:lastRow="0" w:firstColumn="0" w:lastColumn="0" w:oddVBand="0" w:evenVBand="0" w:oddHBand="0" w:evenHBand="0" w:firstRowFirstColumn="0" w:firstRowLastColumn="0" w:lastRowFirstColumn="0" w:lastRowLastColumn="0"/>
            </w:pPr>
            <w:r w:rsidRPr="00C93217">
              <w:t>3.</w:t>
            </w:r>
            <w:r w:rsidR="004D0422">
              <w:t>7</w:t>
            </w:r>
          </w:p>
        </w:tc>
      </w:tr>
      <w:tr w:rsidR="00C93217" w:rsidTr="00331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281FBD">
            <w:r w:rsidRPr="00C93217">
              <w:t>Other non-system assets (corporate)</w:t>
            </w:r>
          </w:p>
        </w:tc>
        <w:tc>
          <w:tcPr>
            <w:tcW w:w="2314" w:type="dxa"/>
            <w:vAlign w:val="top"/>
          </w:tcPr>
          <w:p w:rsidR="00C93217" w:rsidRPr="00C93217" w:rsidRDefault="00C93217" w:rsidP="00281FBD">
            <w:pPr>
              <w:cnfStyle w:val="000000010000" w:firstRow="0" w:lastRow="0" w:firstColumn="0" w:lastColumn="0" w:oddVBand="0" w:evenVBand="0" w:oddHBand="0" w:evenHBand="1" w:firstRowFirstColumn="0" w:firstRowLastColumn="0" w:lastRowFirstColumn="0" w:lastRowLastColumn="0"/>
            </w:pPr>
            <w:r w:rsidRPr="00C93217">
              <w:t>5.7</w:t>
            </w:r>
          </w:p>
        </w:tc>
        <w:tc>
          <w:tcPr>
            <w:tcW w:w="3482" w:type="dxa"/>
            <w:vAlign w:val="top"/>
          </w:tcPr>
          <w:p w:rsidR="00C93217" w:rsidRPr="00C93217" w:rsidRDefault="00C93217" w:rsidP="00281FBD">
            <w:pPr>
              <w:cnfStyle w:val="000000010000" w:firstRow="0" w:lastRow="0" w:firstColumn="0" w:lastColumn="0" w:oddVBand="0" w:evenVBand="0" w:oddHBand="0" w:evenHBand="1" w:firstRowFirstColumn="0" w:firstRowLastColumn="0" w:lastRowFirstColumn="0" w:lastRowLastColumn="0"/>
            </w:pPr>
            <w:r w:rsidRPr="00C93217">
              <w:t>2.9</w:t>
            </w:r>
          </w:p>
        </w:tc>
      </w:tr>
      <w:tr w:rsidR="00C93217" w:rsidTr="00331A20">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281FBD">
            <w:r w:rsidRPr="00C93217">
              <w:t>Land</w:t>
            </w:r>
          </w:p>
        </w:tc>
        <w:tc>
          <w:tcPr>
            <w:tcW w:w="2314" w:type="dxa"/>
            <w:vAlign w:val="top"/>
          </w:tcPr>
          <w:p w:rsidR="00C93217" w:rsidRPr="00C93217" w:rsidRDefault="00C93217" w:rsidP="00281FBD">
            <w:pPr>
              <w:cnfStyle w:val="000000000000" w:firstRow="0" w:lastRow="0" w:firstColumn="0" w:lastColumn="0" w:oddVBand="0" w:evenVBand="0" w:oddHBand="0" w:evenHBand="0" w:firstRowFirstColumn="0" w:firstRowLastColumn="0" w:lastRowFirstColumn="0" w:lastRowLastColumn="0"/>
            </w:pPr>
            <w:r w:rsidRPr="00C93217">
              <w:t>n/a</w:t>
            </w:r>
          </w:p>
        </w:tc>
        <w:tc>
          <w:tcPr>
            <w:tcW w:w="3482" w:type="dxa"/>
            <w:vAlign w:val="top"/>
          </w:tcPr>
          <w:p w:rsidR="00C93217" w:rsidRPr="00C93217" w:rsidRDefault="00C93217" w:rsidP="00281FBD">
            <w:pPr>
              <w:cnfStyle w:val="000000000000" w:firstRow="0" w:lastRow="0" w:firstColumn="0" w:lastColumn="0" w:oddVBand="0" w:evenVBand="0" w:oddHBand="0" w:evenHBand="0" w:firstRowFirstColumn="0" w:firstRowLastColumn="0" w:lastRowFirstColumn="0" w:lastRowLastColumn="0"/>
            </w:pPr>
            <w:r w:rsidRPr="00C93217">
              <w:t>n/a</w:t>
            </w:r>
          </w:p>
        </w:tc>
      </w:tr>
      <w:tr w:rsidR="00C93217" w:rsidTr="00331A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281FBD">
            <w:r w:rsidRPr="00C93217">
              <w:t>Buildings</w:t>
            </w:r>
          </w:p>
        </w:tc>
        <w:tc>
          <w:tcPr>
            <w:tcW w:w="2314" w:type="dxa"/>
            <w:vAlign w:val="top"/>
          </w:tcPr>
          <w:p w:rsidR="00C93217" w:rsidRPr="00C93217" w:rsidRDefault="00C93217" w:rsidP="00281FBD">
            <w:pPr>
              <w:cnfStyle w:val="000000010000" w:firstRow="0" w:lastRow="0" w:firstColumn="0" w:lastColumn="0" w:oddVBand="0" w:evenVBand="0" w:oddHBand="0" w:evenHBand="1" w:firstRowFirstColumn="0" w:firstRowLastColumn="0" w:lastRowFirstColumn="0" w:lastRowLastColumn="0"/>
            </w:pPr>
            <w:r w:rsidRPr="00C93217">
              <w:t>100.0</w:t>
            </w:r>
          </w:p>
        </w:tc>
        <w:tc>
          <w:tcPr>
            <w:tcW w:w="3482" w:type="dxa"/>
            <w:vAlign w:val="top"/>
          </w:tcPr>
          <w:p w:rsidR="00C93217" w:rsidRPr="00C93217" w:rsidRDefault="00C93217" w:rsidP="005F4936">
            <w:pPr>
              <w:cnfStyle w:val="000000010000" w:firstRow="0" w:lastRow="0" w:firstColumn="0" w:lastColumn="0" w:oddVBand="0" w:evenVBand="0" w:oddHBand="0" w:evenHBand="1" w:firstRowFirstColumn="0" w:firstRowLastColumn="0" w:lastRowFirstColumn="0" w:lastRowLastColumn="0"/>
            </w:pPr>
            <w:r w:rsidRPr="00C93217">
              <w:t>97.</w:t>
            </w:r>
            <w:r w:rsidR="005F4936">
              <w:t>0</w:t>
            </w:r>
          </w:p>
        </w:tc>
      </w:tr>
      <w:tr w:rsidR="00C93217" w:rsidTr="00331A20">
        <w:tc>
          <w:tcPr>
            <w:cnfStyle w:val="001000000000" w:firstRow="0" w:lastRow="0" w:firstColumn="1" w:lastColumn="0" w:oddVBand="0" w:evenVBand="0" w:oddHBand="0" w:evenHBand="0" w:firstRowFirstColumn="0" w:firstRowLastColumn="0" w:lastRowFirstColumn="0" w:lastRowLastColumn="0"/>
            <w:tcW w:w="2897" w:type="dxa"/>
            <w:vAlign w:val="top"/>
          </w:tcPr>
          <w:p w:rsidR="00C93217" w:rsidRPr="00C93217" w:rsidRDefault="00C93217" w:rsidP="00281FBD">
            <w:r w:rsidRPr="00C93217">
              <w:t>Equity raising costs</w:t>
            </w:r>
          </w:p>
        </w:tc>
        <w:tc>
          <w:tcPr>
            <w:tcW w:w="2314" w:type="dxa"/>
            <w:vAlign w:val="top"/>
          </w:tcPr>
          <w:p w:rsidR="00C93217" w:rsidRPr="00C93217" w:rsidRDefault="00C93217" w:rsidP="00281FBD">
            <w:pPr>
              <w:cnfStyle w:val="000000000000" w:firstRow="0" w:lastRow="0" w:firstColumn="0" w:lastColumn="0" w:oddVBand="0" w:evenVBand="0" w:oddHBand="0" w:evenHBand="0" w:firstRowFirstColumn="0" w:firstRowLastColumn="0" w:lastRowFirstColumn="0" w:lastRowLastColumn="0"/>
            </w:pPr>
            <w:r w:rsidRPr="00C93217">
              <w:t>5.0</w:t>
            </w:r>
          </w:p>
        </w:tc>
        <w:tc>
          <w:tcPr>
            <w:tcW w:w="3482" w:type="dxa"/>
            <w:vAlign w:val="top"/>
          </w:tcPr>
          <w:p w:rsidR="00C93217" w:rsidRPr="00C93217" w:rsidRDefault="00C93217" w:rsidP="00281FBD">
            <w:pPr>
              <w:cnfStyle w:val="000000000000" w:firstRow="0" w:lastRow="0" w:firstColumn="0" w:lastColumn="0" w:oddVBand="0" w:evenVBand="0" w:oddHBand="0" w:evenHBand="0" w:firstRowFirstColumn="0" w:firstRowLastColumn="0" w:lastRowFirstColumn="0" w:lastRowLastColumn="0"/>
            </w:pPr>
            <w:r w:rsidRPr="00C93217">
              <w:t>40.5</w:t>
            </w:r>
          </w:p>
        </w:tc>
      </w:tr>
    </w:tbl>
    <w:p w:rsidR="006D2E2F" w:rsidRDefault="00C93217" w:rsidP="00C93217">
      <w:pPr>
        <w:pStyle w:val="AERtablesource"/>
      </w:pPr>
      <w:r>
        <w:t>Source:</w:t>
      </w:r>
      <w:r>
        <w:tab/>
        <w:t>AER analysis.</w:t>
      </w:r>
      <w:r w:rsidR="006D2E2F">
        <w:t xml:space="preserve"> </w:t>
      </w:r>
    </w:p>
    <w:p w:rsidR="004F6A0E" w:rsidRDefault="006D2E2F" w:rsidP="00C93217">
      <w:pPr>
        <w:pStyle w:val="AERtablesource"/>
      </w:pPr>
      <w:r>
        <w:t>n/a:</w:t>
      </w:r>
      <w:r>
        <w:tab/>
        <w:t>not applicable.</w:t>
      </w:r>
    </w:p>
    <w:sectPr w:rsidR="004F6A0E" w:rsidSect="00EE50D1">
      <w:footerReference w:type="even" r:id="rId11"/>
      <w:footerReference w:type="default" r:id="rId12"/>
      <w:footerReference w:type="first" r:id="rId13"/>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936" w:rsidRPr="00290C63" w:rsidRDefault="005F4936" w:rsidP="00290C63">
      <w:r>
        <w:separator/>
      </w:r>
    </w:p>
    <w:p w:rsidR="005F4936" w:rsidRDefault="005F4936"/>
  </w:endnote>
  <w:endnote w:type="continuationSeparator" w:id="0">
    <w:p w:rsidR="005F4936" w:rsidRPr="00290C63" w:rsidRDefault="005F4936" w:rsidP="00290C63">
      <w:r>
        <w:continuationSeparator/>
      </w:r>
    </w:p>
    <w:p w:rsidR="005F4936" w:rsidRDefault="005F4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936" w:rsidRPr="00290C63" w:rsidRDefault="005F4936"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5F4936" w:rsidRDefault="005F4936"/>
  <w:p w:rsidR="005F4936" w:rsidRDefault="005F4936"/>
  <w:p w:rsidR="005F4936" w:rsidRDefault="005F4936"/>
  <w:p w:rsidR="005F4936" w:rsidRDefault="005F4936"/>
  <w:p w:rsidR="005F4936" w:rsidRDefault="005F4936"/>
  <w:p w:rsidR="005F4936" w:rsidRDefault="005F4936"/>
  <w:p w:rsidR="005F4936" w:rsidRDefault="005F49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 w:val="16"/>
        <w:szCs w:val="16"/>
      </w:rPr>
    </w:sdtEndPr>
    <w:sdtContent>
      <w:p w:rsidR="005F4936" w:rsidRDefault="005F4936">
        <w:pPr>
          <w:pStyle w:val="Footer"/>
        </w:pPr>
        <w:r>
          <w:fldChar w:fldCharType="begin"/>
        </w:r>
        <w:r>
          <w:instrText xml:space="preserve"> PAGE   \* MERGEFORMAT </w:instrText>
        </w:r>
        <w:r>
          <w:fldChar w:fldCharType="separate"/>
        </w:r>
        <w:r w:rsidR="00203C82">
          <w:rPr>
            <w:noProof/>
          </w:rPr>
          <w:t>8-1</w:t>
        </w:r>
        <w:r>
          <w:rPr>
            <w:noProof/>
          </w:rPr>
          <w:fldChar w:fldCharType="end"/>
        </w:r>
        <w:r>
          <w:rPr>
            <w:noProof/>
          </w:rPr>
          <w:t xml:space="preserve">          </w:t>
        </w:r>
        <w:r>
          <w:t xml:space="preserve">                                       </w:t>
        </w:r>
        <w:r w:rsidRPr="00940391">
          <w:rPr>
            <w:noProof/>
          </w:rPr>
          <w:t>Attachment 8 – Corporate income tax</w:t>
        </w:r>
        <w:r w:rsidRPr="008875E1">
          <w:rPr>
            <w:noProof/>
          </w:rPr>
          <w:t xml:space="preserve"> </w:t>
        </w:r>
        <w:r w:rsidRPr="00FD5E78">
          <w:rPr>
            <w:rFonts w:cs="Gautami"/>
            <w:noProof/>
            <w:sz w:val="16"/>
            <w:szCs w:val="16"/>
          </w:rPr>
          <w:t xml:space="preserve">| </w:t>
        </w:r>
        <w:r>
          <w:rPr>
            <w:sz w:val="16"/>
            <w:szCs w:val="16"/>
          </w:rPr>
          <w:t>ActewAGL</w:t>
        </w:r>
        <w:r w:rsidRPr="00FD5E78">
          <w:rPr>
            <w:sz w:val="16"/>
            <w:szCs w:val="16"/>
          </w:rPr>
          <w:t xml:space="preserve"> </w:t>
        </w:r>
        <w:r>
          <w:t>f</w:t>
        </w:r>
        <w:r w:rsidRPr="0070011E">
          <w:t xml:space="preserve">inal decision </w:t>
        </w:r>
        <w:r w:rsidRPr="00FD5E78">
          <w:rPr>
            <w:rFonts w:cs="Gautami"/>
            <w:noProof/>
            <w:sz w:val="16"/>
            <w:szCs w:val="16"/>
          </w:rPr>
          <w:t>2015–</w:t>
        </w:r>
        <w:r>
          <w:rPr>
            <w:rFonts w:cs="Gautami"/>
            <w:noProof/>
            <w:sz w:val="16"/>
            <w:szCs w:val="16"/>
          </w:rPr>
          <w:t>19</w:t>
        </w:r>
      </w:p>
    </w:sdtContent>
  </w:sdt>
  <w:p w:rsidR="005F4936" w:rsidRDefault="005F49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936" w:rsidRPr="00290C63" w:rsidRDefault="005F4936"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5F4936" w:rsidRDefault="005F4936">
    <w:pPr>
      <w:pStyle w:val="Footer"/>
    </w:pPr>
  </w:p>
  <w:p w:rsidR="005F4936" w:rsidRDefault="005F4936"/>
  <w:p w:rsidR="005F4936" w:rsidRDefault="005F4936"/>
  <w:p w:rsidR="005F4936" w:rsidRDefault="005F4936"/>
  <w:p w:rsidR="005F4936" w:rsidRDefault="005F4936"/>
  <w:p w:rsidR="005F4936" w:rsidRDefault="005F4936"/>
  <w:p w:rsidR="005F4936" w:rsidRDefault="005F4936"/>
  <w:p w:rsidR="005F4936" w:rsidRDefault="005F49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936" w:rsidRPr="00290C63" w:rsidRDefault="005F4936" w:rsidP="00290C63">
      <w:r>
        <w:separator/>
      </w:r>
    </w:p>
    <w:p w:rsidR="005F4936" w:rsidRDefault="005F4936"/>
  </w:footnote>
  <w:footnote w:type="continuationSeparator" w:id="0">
    <w:p w:rsidR="005F4936" w:rsidRPr="00290C63" w:rsidRDefault="005F4936" w:rsidP="00290C63">
      <w:r>
        <w:continuationSeparator/>
      </w:r>
    </w:p>
    <w:p w:rsidR="005F4936" w:rsidRDefault="005F4936"/>
  </w:footnote>
  <w:footnote w:id="1">
    <w:p w:rsidR="005F4936" w:rsidRDefault="005F4936">
      <w:pPr>
        <w:pStyle w:val="FootnoteText"/>
      </w:pPr>
      <w:r>
        <w:rPr>
          <w:rStyle w:val="FootnoteReference"/>
        </w:rPr>
        <w:footnoteRef/>
      </w:r>
      <w:r>
        <w:t xml:space="preserve"> </w:t>
      </w:r>
      <w:r>
        <w:tab/>
        <w:t>NER, cl. 6.4.3(a)(4).</w:t>
      </w:r>
    </w:p>
  </w:footnote>
  <w:footnote w:id="2">
    <w:p w:rsidR="005F4936" w:rsidRDefault="005F4936" w:rsidP="00E84B83">
      <w:pPr>
        <w:pStyle w:val="FootnoteText"/>
      </w:pPr>
      <w:r>
        <w:rPr>
          <w:rStyle w:val="FootnoteReference"/>
        </w:rPr>
        <w:footnoteRef/>
      </w:r>
      <w:r>
        <w:t xml:space="preserve"> </w:t>
      </w:r>
      <w:r>
        <w:tab/>
        <w:t xml:space="preserve">ActewAGL, </w:t>
      </w:r>
      <w:r w:rsidRPr="004F4655">
        <w:rPr>
          <w:rStyle w:val="AERtextitalic"/>
        </w:rPr>
        <w:t>Revised regulatory proposal</w:t>
      </w:r>
      <w:r>
        <w:t>, January 2015, pp. 414-15.</w:t>
      </w:r>
    </w:p>
  </w:footnote>
  <w:footnote w:id="3">
    <w:p w:rsidR="005F4936" w:rsidRDefault="005F4936">
      <w:pPr>
        <w:pStyle w:val="FootnoteText"/>
      </w:pPr>
      <w:r>
        <w:rPr>
          <w:rStyle w:val="FootnoteReference"/>
        </w:rPr>
        <w:footnoteRef/>
      </w:r>
      <w:r>
        <w:t xml:space="preserve"> </w:t>
      </w:r>
      <w:r>
        <w:tab/>
        <w:t xml:space="preserve">ActewAGL, </w:t>
      </w:r>
      <w:r w:rsidRPr="004F4655">
        <w:rPr>
          <w:rStyle w:val="AERtextitalic"/>
        </w:rPr>
        <w:t>Revised regulatory proposal</w:t>
      </w:r>
      <w:r>
        <w:t>, January 2015, p. 415.</w:t>
      </w:r>
    </w:p>
  </w:footnote>
  <w:footnote w:id="4">
    <w:p w:rsidR="005F4936" w:rsidRDefault="005F4936">
      <w:pPr>
        <w:pStyle w:val="FootnoteText"/>
      </w:pPr>
      <w:r>
        <w:rPr>
          <w:rStyle w:val="FootnoteReference"/>
        </w:rPr>
        <w:footnoteRef/>
      </w:r>
      <w:r>
        <w:t xml:space="preserve"> </w:t>
      </w:r>
      <w:r>
        <w:tab/>
      </w:r>
      <w:r w:rsidRPr="00A13EBC">
        <w:t xml:space="preserve">AER, </w:t>
      </w:r>
      <w:r w:rsidRPr="00523BB5">
        <w:rPr>
          <w:rStyle w:val="AERtextitalic"/>
        </w:rPr>
        <w:t>Draft decision - ActewAGL distribution determination attachment 8 - Corporate income tax</w:t>
      </w:r>
      <w:r w:rsidRPr="00A13EBC">
        <w:t xml:space="preserve">, November 2014, pp. </w:t>
      </w:r>
      <w:r>
        <w:t>9</w:t>
      </w:r>
      <w:r w:rsidRPr="00A13EBC">
        <w:t>-</w:t>
      </w:r>
      <w:r>
        <w:t>11</w:t>
      </w:r>
      <w:r w:rsidRPr="00A13EBC">
        <w:t>.</w:t>
      </w:r>
    </w:p>
  </w:footnote>
  <w:footnote w:id="5">
    <w:p w:rsidR="005F4936" w:rsidRDefault="005F4936">
      <w:pPr>
        <w:pStyle w:val="FootnoteText"/>
      </w:pPr>
      <w:r>
        <w:rPr>
          <w:rStyle w:val="FootnoteReference"/>
        </w:rPr>
        <w:footnoteRef/>
      </w:r>
      <w:r>
        <w:t xml:space="preserve"> </w:t>
      </w:r>
      <w:r>
        <w:tab/>
        <w:t xml:space="preserve">AER, </w:t>
      </w:r>
      <w:r w:rsidRPr="00523BB5">
        <w:rPr>
          <w:rStyle w:val="AERtextitalic"/>
        </w:rPr>
        <w:t>Draft decision - ActewAGL distribution determination attachment 8 - Corporate income tax</w:t>
      </w:r>
      <w:r w:rsidRPr="00A13EBC">
        <w:t>, November 2014</w:t>
      </w:r>
      <w:r>
        <w:t>, p. 8.</w:t>
      </w:r>
    </w:p>
  </w:footnote>
  <w:footnote w:id="6">
    <w:p w:rsidR="005F4936" w:rsidRDefault="005F4936">
      <w:pPr>
        <w:pStyle w:val="FootnoteText"/>
      </w:pPr>
      <w:r>
        <w:rPr>
          <w:rStyle w:val="FootnoteReference"/>
        </w:rPr>
        <w:footnoteRef/>
      </w:r>
      <w:r>
        <w:t xml:space="preserve"> </w:t>
      </w:r>
      <w:r>
        <w:tab/>
      </w:r>
      <w:r w:rsidRPr="00DA0CD9">
        <w:t xml:space="preserve">ATO, Taxation Ruling Income tax: effective life of depreciating assets (applicable from 1 July 2014), August 2014, </w:t>
      </w:r>
      <w:hyperlink r:id="rId1" w:history="1">
        <w:r w:rsidRPr="00DA0CD9">
          <w:rPr>
            <w:rStyle w:val="Hyperlink"/>
            <w:sz w:val="16"/>
          </w:rPr>
          <w:t>http://law.ato.gov.au/atolaw/view.htm?docid=%22TXR%2FTR20144%2FNAT%2FATO%2F00001%22</w:t>
        </w:r>
      </w:hyperlink>
      <w:r w:rsidRPr="00DA0CD9">
        <w:t xml:space="preserve">, accessed on </w:t>
      </w:r>
      <w:r>
        <w:t xml:space="preserve">17 February </w:t>
      </w:r>
      <w:r w:rsidRPr="00DA0CD9">
        <w:t>201</w:t>
      </w:r>
      <w:r>
        <w:t>5</w:t>
      </w:r>
      <w:r w:rsidRPr="00DA0CD9">
        <w:t>.</w:t>
      </w:r>
    </w:p>
  </w:footnote>
  <w:footnote w:id="7">
    <w:p w:rsidR="005F4936" w:rsidRDefault="005F4936">
      <w:pPr>
        <w:pStyle w:val="FootnoteText"/>
      </w:pPr>
      <w:r>
        <w:rPr>
          <w:rStyle w:val="FootnoteReference"/>
        </w:rPr>
        <w:footnoteRef/>
      </w:r>
      <w:r>
        <w:t xml:space="preserve"> </w:t>
      </w:r>
      <w:r>
        <w:tab/>
        <w:t xml:space="preserve">AER, </w:t>
      </w:r>
      <w:r w:rsidRPr="00523BB5">
        <w:rPr>
          <w:rStyle w:val="AERtextitalic"/>
        </w:rPr>
        <w:t>Draft decision - ActewAGL distribution determination attachment 8 - Corporate income tax</w:t>
      </w:r>
      <w:r w:rsidRPr="00A13EBC">
        <w:t>, November 2014</w:t>
      </w:r>
      <w:r>
        <w:t>, pp. 13-14.</w:t>
      </w:r>
    </w:p>
  </w:footnote>
  <w:footnote w:id="8">
    <w:p w:rsidR="005F4936" w:rsidRDefault="005F4936" w:rsidP="006422D6">
      <w:pPr>
        <w:pStyle w:val="FootnoteText"/>
      </w:pPr>
      <w:r>
        <w:rPr>
          <w:rStyle w:val="FootnoteReference"/>
        </w:rPr>
        <w:footnoteRef/>
      </w:r>
      <w:r>
        <w:t xml:space="preserve"> </w:t>
      </w:r>
      <w:r>
        <w:tab/>
        <w:t>NER, cl. 6.5.3.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87C7731"/>
    <w:multiLevelType w:val="multilevel"/>
    <w:tmpl w:val="950A1C52"/>
    <w:numStyleLink w:val="AERHeadings"/>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88C097DE"/>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2"/>
  </w:num>
  <w:num w:numId="14">
    <w:abstractNumId w:val="10"/>
  </w:num>
  <w:num w:numId="15">
    <w:abstractNumId w:val="13"/>
  </w:num>
  <w:num w:numId="16">
    <w:abstractNumId w:val="27"/>
  </w:num>
  <w:num w:numId="17">
    <w:abstractNumId w:val="9"/>
  </w:num>
  <w:num w:numId="18">
    <w:abstractNumId w:val="18"/>
  </w:num>
  <w:num w:numId="19">
    <w:abstractNumId w:val="28"/>
  </w:num>
  <w:num w:numId="20">
    <w:abstractNumId w:val="35"/>
  </w:num>
  <w:num w:numId="21">
    <w:abstractNumId w:val="14"/>
  </w:num>
  <w:num w:numId="22">
    <w:abstractNumId w:val="31"/>
  </w:num>
  <w:num w:numId="23">
    <w:abstractNumId w:val="29"/>
  </w:num>
  <w:num w:numId="24">
    <w:abstractNumId w:val="20"/>
  </w:num>
  <w:num w:numId="25">
    <w:abstractNumId w:val="30"/>
  </w:num>
  <w:num w:numId="26">
    <w:abstractNumId w:val="32"/>
  </w:num>
  <w:num w:numId="27">
    <w:abstractNumId w:val="21"/>
  </w:num>
  <w:num w:numId="28">
    <w:abstractNumId w:val="19"/>
  </w:num>
  <w:num w:numId="29">
    <w:abstractNumId w:val="17"/>
  </w:num>
  <w:num w:numId="30">
    <w:abstractNumId w:val="36"/>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6"/>
  </w:num>
  <w:num w:numId="38">
    <w:abstractNumId w:val="23"/>
  </w:num>
  <w:num w:numId="39">
    <w:abstractNumId w:val="12"/>
  </w:num>
  <w:num w:numId="40">
    <w:abstractNumId w:val="32"/>
  </w:num>
  <w:num w:numId="41">
    <w:abstractNumId w:val="32"/>
  </w:num>
  <w:num w:numId="42">
    <w:abstractNumId w:val="25"/>
  </w:num>
  <w:num w:numId="43">
    <w:abstractNumId w:val="16"/>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oTDBzR5ZzXU25WeWLXGxs43ycslB7jSz2QN1b4Z1qks=" w:saltValue="Ym4PoooGMX6UFtRXQxJ9nQ==" w:algorithmName="SHA-256"/>
  <w:defaultTabStop w:val="34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160\AER15 327  AER - Final Decision ActewAGL distribution determination - Attachment 8 - Corporate income tax - April 2015.DOCX"/>
  </w:docVars>
  <w:rsids>
    <w:rsidRoot w:val="00961A4A"/>
    <w:rsid w:val="00004C40"/>
    <w:rsid w:val="00021202"/>
    <w:rsid w:val="00021C2B"/>
    <w:rsid w:val="0002517F"/>
    <w:rsid w:val="0003578C"/>
    <w:rsid w:val="00063247"/>
    <w:rsid w:val="00070F9F"/>
    <w:rsid w:val="0007137B"/>
    <w:rsid w:val="00083540"/>
    <w:rsid w:val="00085663"/>
    <w:rsid w:val="00085EBF"/>
    <w:rsid w:val="00091B15"/>
    <w:rsid w:val="00093BE6"/>
    <w:rsid w:val="0009424C"/>
    <w:rsid w:val="000A3020"/>
    <w:rsid w:val="000A6C7B"/>
    <w:rsid w:val="000C2B40"/>
    <w:rsid w:val="000D122C"/>
    <w:rsid w:val="000E1819"/>
    <w:rsid w:val="000E4821"/>
    <w:rsid w:val="000E6C72"/>
    <w:rsid w:val="000E7FD8"/>
    <w:rsid w:val="000F3B08"/>
    <w:rsid w:val="001025FD"/>
    <w:rsid w:val="00116EB2"/>
    <w:rsid w:val="00124609"/>
    <w:rsid w:val="00126A4C"/>
    <w:rsid w:val="0014573B"/>
    <w:rsid w:val="001573E4"/>
    <w:rsid w:val="00160756"/>
    <w:rsid w:val="00170D44"/>
    <w:rsid w:val="001711D8"/>
    <w:rsid w:val="0017232E"/>
    <w:rsid w:val="00174102"/>
    <w:rsid w:val="001754EE"/>
    <w:rsid w:val="00180157"/>
    <w:rsid w:val="00185CB9"/>
    <w:rsid w:val="00186F77"/>
    <w:rsid w:val="001926A4"/>
    <w:rsid w:val="00192AD5"/>
    <w:rsid w:val="001B45A0"/>
    <w:rsid w:val="001D055E"/>
    <w:rsid w:val="001E2375"/>
    <w:rsid w:val="001F05A4"/>
    <w:rsid w:val="001F492E"/>
    <w:rsid w:val="001F6DA3"/>
    <w:rsid w:val="002010BC"/>
    <w:rsid w:val="002016E7"/>
    <w:rsid w:val="00202E03"/>
    <w:rsid w:val="00203C82"/>
    <w:rsid w:val="0020492C"/>
    <w:rsid w:val="00224DB9"/>
    <w:rsid w:val="00233775"/>
    <w:rsid w:val="0025043E"/>
    <w:rsid w:val="00251745"/>
    <w:rsid w:val="00257E97"/>
    <w:rsid w:val="00263AC0"/>
    <w:rsid w:val="00264264"/>
    <w:rsid w:val="0026772D"/>
    <w:rsid w:val="00281FBD"/>
    <w:rsid w:val="00286874"/>
    <w:rsid w:val="00290098"/>
    <w:rsid w:val="00290C63"/>
    <w:rsid w:val="00296B65"/>
    <w:rsid w:val="002A4BFD"/>
    <w:rsid w:val="002A7DEF"/>
    <w:rsid w:val="002C233C"/>
    <w:rsid w:val="002D72E8"/>
    <w:rsid w:val="002E7B22"/>
    <w:rsid w:val="002F7986"/>
    <w:rsid w:val="00301B40"/>
    <w:rsid w:val="003029EE"/>
    <w:rsid w:val="00305CC8"/>
    <w:rsid w:val="00307F6D"/>
    <w:rsid w:val="003177A2"/>
    <w:rsid w:val="003271AA"/>
    <w:rsid w:val="003271B5"/>
    <w:rsid w:val="00327A1E"/>
    <w:rsid w:val="00331264"/>
    <w:rsid w:val="00331A20"/>
    <w:rsid w:val="00334C8D"/>
    <w:rsid w:val="00343A18"/>
    <w:rsid w:val="003518B3"/>
    <w:rsid w:val="00381F6E"/>
    <w:rsid w:val="003846F1"/>
    <w:rsid w:val="00393A70"/>
    <w:rsid w:val="00397E2F"/>
    <w:rsid w:val="003B484F"/>
    <w:rsid w:val="003B7FBA"/>
    <w:rsid w:val="003F174D"/>
    <w:rsid w:val="00415F31"/>
    <w:rsid w:val="00423A77"/>
    <w:rsid w:val="0045777E"/>
    <w:rsid w:val="00480B4B"/>
    <w:rsid w:val="00485DC4"/>
    <w:rsid w:val="0049653C"/>
    <w:rsid w:val="004A43D1"/>
    <w:rsid w:val="004B4412"/>
    <w:rsid w:val="004B70E5"/>
    <w:rsid w:val="004C348C"/>
    <w:rsid w:val="004D0422"/>
    <w:rsid w:val="004D55BA"/>
    <w:rsid w:val="004E22EC"/>
    <w:rsid w:val="004F4655"/>
    <w:rsid w:val="004F665F"/>
    <w:rsid w:val="004F6A0E"/>
    <w:rsid w:val="00523BB5"/>
    <w:rsid w:val="00530128"/>
    <w:rsid w:val="00532467"/>
    <w:rsid w:val="00564A4D"/>
    <w:rsid w:val="00567BA5"/>
    <w:rsid w:val="00571B35"/>
    <w:rsid w:val="00571D57"/>
    <w:rsid w:val="00574329"/>
    <w:rsid w:val="00577A09"/>
    <w:rsid w:val="005829C2"/>
    <w:rsid w:val="00584D8F"/>
    <w:rsid w:val="005A404D"/>
    <w:rsid w:val="005A4DED"/>
    <w:rsid w:val="005B1E3C"/>
    <w:rsid w:val="005B704A"/>
    <w:rsid w:val="005C26CC"/>
    <w:rsid w:val="005D7BA2"/>
    <w:rsid w:val="005E36C2"/>
    <w:rsid w:val="005F4936"/>
    <w:rsid w:val="00610EF9"/>
    <w:rsid w:val="00612F4F"/>
    <w:rsid w:val="00615C6B"/>
    <w:rsid w:val="00621DCE"/>
    <w:rsid w:val="00632D6D"/>
    <w:rsid w:val="006422D6"/>
    <w:rsid w:val="00642C3E"/>
    <w:rsid w:val="0066104A"/>
    <w:rsid w:val="00663DAD"/>
    <w:rsid w:val="00675E20"/>
    <w:rsid w:val="00676679"/>
    <w:rsid w:val="00680E4C"/>
    <w:rsid w:val="00683C89"/>
    <w:rsid w:val="006A19E8"/>
    <w:rsid w:val="006B2395"/>
    <w:rsid w:val="006B4CF9"/>
    <w:rsid w:val="006B7AC8"/>
    <w:rsid w:val="006C1736"/>
    <w:rsid w:val="006D2E2F"/>
    <w:rsid w:val="006D550F"/>
    <w:rsid w:val="0070011E"/>
    <w:rsid w:val="00701CAB"/>
    <w:rsid w:val="00707563"/>
    <w:rsid w:val="0072348C"/>
    <w:rsid w:val="00724A37"/>
    <w:rsid w:val="007303C3"/>
    <w:rsid w:val="00741730"/>
    <w:rsid w:val="007429BE"/>
    <w:rsid w:val="00743223"/>
    <w:rsid w:val="00746E01"/>
    <w:rsid w:val="00757364"/>
    <w:rsid w:val="00757BDF"/>
    <w:rsid w:val="007609D0"/>
    <w:rsid w:val="00763DD8"/>
    <w:rsid w:val="00763E5D"/>
    <w:rsid w:val="00767740"/>
    <w:rsid w:val="00767E2A"/>
    <w:rsid w:val="00777EE6"/>
    <w:rsid w:val="00782EEA"/>
    <w:rsid w:val="007B186E"/>
    <w:rsid w:val="007B2C72"/>
    <w:rsid w:val="007C1963"/>
    <w:rsid w:val="007C1C53"/>
    <w:rsid w:val="007C74BB"/>
    <w:rsid w:val="007D456E"/>
    <w:rsid w:val="007E4904"/>
    <w:rsid w:val="007E4CB5"/>
    <w:rsid w:val="007F066B"/>
    <w:rsid w:val="007F73A6"/>
    <w:rsid w:val="008033C4"/>
    <w:rsid w:val="00806C88"/>
    <w:rsid w:val="0081034E"/>
    <w:rsid w:val="008344F6"/>
    <w:rsid w:val="0083510F"/>
    <w:rsid w:val="00851209"/>
    <w:rsid w:val="008837AC"/>
    <w:rsid w:val="008875E1"/>
    <w:rsid w:val="008A587D"/>
    <w:rsid w:val="008B35CD"/>
    <w:rsid w:val="008B5FCC"/>
    <w:rsid w:val="008C5486"/>
    <w:rsid w:val="008D1661"/>
    <w:rsid w:val="008D6800"/>
    <w:rsid w:val="008E7031"/>
    <w:rsid w:val="008E77DE"/>
    <w:rsid w:val="008F07A3"/>
    <w:rsid w:val="009001B6"/>
    <w:rsid w:val="00900E1B"/>
    <w:rsid w:val="009233EE"/>
    <w:rsid w:val="00924639"/>
    <w:rsid w:val="00940391"/>
    <w:rsid w:val="009460AA"/>
    <w:rsid w:val="0094626E"/>
    <w:rsid w:val="00951978"/>
    <w:rsid w:val="00960D5C"/>
    <w:rsid w:val="00961A4A"/>
    <w:rsid w:val="009661DE"/>
    <w:rsid w:val="009712DF"/>
    <w:rsid w:val="00983C25"/>
    <w:rsid w:val="009856B7"/>
    <w:rsid w:val="00985C86"/>
    <w:rsid w:val="009A52A1"/>
    <w:rsid w:val="009A5FC3"/>
    <w:rsid w:val="009B74B0"/>
    <w:rsid w:val="009D3906"/>
    <w:rsid w:val="009D6B46"/>
    <w:rsid w:val="009E73C3"/>
    <w:rsid w:val="009F4940"/>
    <w:rsid w:val="009F5BA1"/>
    <w:rsid w:val="00A02A88"/>
    <w:rsid w:val="00A0562E"/>
    <w:rsid w:val="00A0726D"/>
    <w:rsid w:val="00A13EBC"/>
    <w:rsid w:val="00A32FBB"/>
    <w:rsid w:val="00A428EE"/>
    <w:rsid w:val="00A4478A"/>
    <w:rsid w:val="00A44852"/>
    <w:rsid w:val="00A50502"/>
    <w:rsid w:val="00A57D04"/>
    <w:rsid w:val="00A60A26"/>
    <w:rsid w:val="00A61598"/>
    <w:rsid w:val="00A75065"/>
    <w:rsid w:val="00A84A99"/>
    <w:rsid w:val="00A84F46"/>
    <w:rsid w:val="00A871F4"/>
    <w:rsid w:val="00A90284"/>
    <w:rsid w:val="00AB7F16"/>
    <w:rsid w:val="00AC1B2C"/>
    <w:rsid w:val="00AC3264"/>
    <w:rsid w:val="00AC7638"/>
    <w:rsid w:val="00AE1BF1"/>
    <w:rsid w:val="00AF0DD2"/>
    <w:rsid w:val="00B13048"/>
    <w:rsid w:val="00B1716D"/>
    <w:rsid w:val="00B17A1D"/>
    <w:rsid w:val="00B207A0"/>
    <w:rsid w:val="00B514DD"/>
    <w:rsid w:val="00B52AF0"/>
    <w:rsid w:val="00B561BD"/>
    <w:rsid w:val="00B56E03"/>
    <w:rsid w:val="00B72D10"/>
    <w:rsid w:val="00B8080B"/>
    <w:rsid w:val="00B82223"/>
    <w:rsid w:val="00B87BA5"/>
    <w:rsid w:val="00B87C39"/>
    <w:rsid w:val="00B9562D"/>
    <w:rsid w:val="00BA4665"/>
    <w:rsid w:val="00BB09D2"/>
    <w:rsid w:val="00BB2FB2"/>
    <w:rsid w:val="00BB3304"/>
    <w:rsid w:val="00BD3446"/>
    <w:rsid w:val="00BE1F1B"/>
    <w:rsid w:val="00BE47B5"/>
    <w:rsid w:val="00BF5ADE"/>
    <w:rsid w:val="00C11ED6"/>
    <w:rsid w:val="00C25FA6"/>
    <w:rsid w:val="00C538A9"/>
    <w:rsid w:val="00C53B5A"/>
    <w:rsid w:val="00C54F5A"/>
    <w:rsid w:val="00C569B4"/>
    <w:rsid w:val="00C57690"/>
    <w:rsid w:val="00C67A92"/>
    <w:rsid w:val="00C84560"/>
    <w:rsid w:val="00C86679"/>
    <w:rsid w:val="00C93217"/>
    <w:rsid w:val="00CA489E"/>
    <w:rsid w:val="00CB0279"/>
    <w:rsid w:val="00CB666B"/>
    <w:rsid w:val="00CC7F1D"/>
    <w:rsid w:val="00CE484B"/>
    <w:rsid w:val="00CF0DEE"/>
    <w:rsid w:val="00D006AE"/>
    <w:rsid w:val="00D01CF0"/>
    <w:rsid w:val="00D0442A"/>
    <w:rsid w:val="00D61388"/>
    <w:rsid w:val="00D61A54"/>
    <w:rsid w:val="00D64250"/>
    <w:rsid w:val="00D64DEA"/>
    <w:rsid w:val="00D7168E"/>
    <w:rsid w:val="00D71E57"/>
    <w:rsid w:val="00D80893"/>
    <w:rsid w:val="00D84854"/>
    <w:rsid w:val="00D92CF1"/>
    <w:rsid w:val="00D92D38"/>
    <w:rsid w:val="00D950F5"/>
    <w:rsid w:val="00DA05C9"/>
    <w:rsid w:val="00DA0CD9"/>
    <w:rsid w:val="00DA4752"/>
    <w:rsid w:val="00DA61F3"/>
    <w:rsid w:val="00DB0803"/>
    <w:rsid w:val="00DB0F93"/>
    <w:rsid w:val="00DB1A67"/>
    <w:rsid w:val="00DB5074"/>
    <w:rsid w:val="00DC7981"/>
    <w:rsid w:val="00DE1093"/>
    <w:rsid w:val="00DE4EFA"/>
    <w:rsid w:val="00DE5520"/>
    <w:rsid w:val="00DE563D"/>
    <w:rsid w:val="00E04818"/>
    <w:rsid w:val="00E06442"/>
    <w:rsid w:val="00E23993"/>
    <w:rsid w:val="00E25B8C"/>
    <w:rsid w:val="00E413B4"/>
    <w:rsid w:val="00E65C85"/>
    <w:rsid w:val="00E66199"/>
    <w:rsid w:val="00E755EC"/>
    <w:rsid w:val="00E7624D"/>
    <w:rsid w:val="00E82A83"/>
    <w:rsid w:val="00E84B83"/>
    <w:rsid w:val="00EA3D42"/>
    <w:rsid w:val="00EA6B1B"/>
    <w:rsid w:val="00EB625E"/>
    <w:rsid w:val="00EC04F1"/>
    <w:rsid w:val="00ED7323"/>
    <w:rsid w:val="00EE28F3"/>
    <w:rsid w:val="00EE50D1"/>
    <w:rsid w:val="00EF5110"/>
    <w:rsid w:val="00F039AA"/>
    <w:rsid w:val="00F10411"/>
    <w:rsid w:val="00F15882"/>
    <w:rsid w:val="00F171E0"/>
    <w:rsid w:val="00F203ED"/>
    <w:rsid w:val="00F20BD3"/>
    <w:rsid w:val="00F36B47"/>
    <w:rsid w:val="00F373A5"/>
    <w:rsid w:val="00F457DC"/>
    <w:rsid w:val="00F47559"/>
    <w:rsid w:val="00F64C7B"/>
    <w:rsid w:val="00F676DD"/>
    <w:rsid w:val="00F75A26"/>
    <w:rsid w:val="00F76706"/>
    <w:rsid w:val="00F83FAD"/>
    <w:rsid w:val="00F85580"/>
    <w:rsid w:val="00F952A0"/>
    <w:rsid w:val="00FA3C7F"/>
    <w:rsid w:val="00FB60FE"/>
    <w:rsid w:val="00FB74E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79051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aw.ato.gov.au/atolaw/view.htm?docid=%22TXR%2FTR20144%2FNAT%2FATO%2F00001%22"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39C574B1</Template>
  <TotalTime>0</TotalTime>
  <Pages>13</Pages>
  <Words>2589</Words>
  <Characters>14761</Characters>
  <Application>Microsoft Office Word</Application>
  <DocSecurity>0</DocSecurity>
  <Lines>123</Lines>
  <Paragraphs>34</Paragraphs>
  <ScaleCrop>false</ScaleCrop>
  <Company/>
  <LinksUpToDate>false</LinksUpToDate>
  <CharactersWithSpaces>17316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2015-04-29T05:39:00Z</dcterms:created>
  <dcterms:modified xsi:type="dcterms:W3CDTF">2015-04-29T05:39:00Z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