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C2A6F18" wp14:editId="02F4F87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70011E" w:rsidP="008F07A3">
          <w:pPr>
            <w:pStyle w:val="ReportSubtitle"/>
          </w:pPr>
          <w:r>
            <w:t>ActewAGL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3271AA">
            <w:t>5</w:t>
          </w:r>
          <w:r w:rsidR="00DA4752">
            <w:t xml:space="preserve"> </w:t>
          </w:r>
          <w:r w:rsidR="00415F31">
            <w:rPr>
              <w:rFonts w:cs="Arial"/>
            </w:rPr>
            <w:t>–</w:t>
          </w:r>
          <w:r w:rsidR="003271AA">
            <w:t xml:space="preserve"> Regulatory depreciation</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52254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3414924"/>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70011E">
        <w:t>ActewAGL’</w:t>
      </w:r>
      <w:r w:rsidR="00415F31">
        <w:t xml:space="preserve">s </w:t>
      </w:r>
      <w:r w:rsidR="00A339B5">
        <w:t xml:space="preserve">regulatory </w:t>
      </w:r>
      <w:r w:rsidR="00415F31">
        <w:t>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 xml:space="preserve">Attachment 18 - Connection </w:t>
      </w:r>
      <w:r w:rsidR="00817071" w:rsidRPr="00817071">
        <w:t>policy</w:t>
      </w:r>
    </w:p>
    <w:p w:rsidR="00415F31" w:rsidRDefault="0070011E" w:rsidP="00415F31">
      <w:r>
        <w:t>Attachment 19 - Pricing methodology</w:t>
      </w:r>
    </w:p>
    <w:p w:rsidR="00A3100E" w:rsidRPr="00A3100E" w:rsidRDefault="00A3100E" w:rsidP="00A3100E">
      <w:r w:rsidRPr="00A3100E">
        <w:t>Attachment 20 - Analysis of Financial Viability</w:t>
      </w:r>
    </w:p>
    <w:p w:rsidR="008F07A3" w:rsidRPr="008F07A3" w:rsidRDefault="008F07A3" w:rsidP="00A3100E">
      <w:p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3414925"/>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A206C"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3414924" w:history="1">
            <w:r w:rsidR="00FA206C" w:rsidRPr="009D53FA">
              <w:rPr>
                <w:rStyle w:val="Hyperlink"/>
              </w:rPr>
              <w:t>Note</w:t>
            </w:r>
            <w:r w:rsidR="00FA206C">
              <w:rPr>
                <w:webHidden/>
              </w:rPr>
              <w:tab/>
            </w:r>
            <w:r w:rsidR="00FA206C">
              <w:rPr>
                <w:webHidden/>
              </w:rPr>
              <w:fldChar w:fldCharType="begin"/>
            </w:r>
            <w:r w:rsidR="00FA206C">
              <w:rPr>
                <w:webHidden/>
              </w:rPr>
              <w:instrText xml:space="preserve"> PAGEREF _Toc413414924 \h </w:instrText>
            </w:r>
            <w:r w:rsidR="00FA206C">
              <w:rPr>
                <w:webHidden/>
              </w:rPr>
            </w:r>
            <w:r w:rsidR="00FA206C">
              <w:rPr>
                <w:webHidden/>
              </w:rPr>
              <w:fldChar w:fldCharType="separate"/>
            </w:r>
            <w:r w:rsidR="00522FE5">
              <w:rPr>
                <w:webHidden/>
              </w:rPr>
              <w:t>5-2</w:t>
            </w:r>
            <w:r w:rsidR="00FA206C">
              <w:rPr>
                <w:webHidden/>
              </w:rPr>
              <w:fldChar w:fldCharType="end"/>
            </w:r>
          </w:hyperlink>
        </w:p>
        <w:p w:rsidR="00FA206C" w:rsidRDefault="00126DF5">
          <w:pPr>
            <w:pStyle w:val="TOC1"/>
            <w:rPr>
              <w:rFonts w:asciiTheme="minorHAnsi" w:eastAsiaTheme="minorEastAsia" w:hAnsiTheme="minorHAnsi"/>
              <w:b w:val="0"/>
              <w:color w:val="auto"/>
              <w:sz w:val="22"/>
              <w:lang w:val="en-AU" w:eastAsia="en-AU"/>
            </w:rPr>
          </w:pPr>
          <w:hyperlink w:anchor="_Toc413414925" w:history="1">
            <w:r w:rsidR="00FA206C" w:rsidRPr="009D53FA">
              <w:rPr>
                <w:rStyle w:val="Hyperlink"/>
              </w:rPr>
              <w:t>Contents</w:t>
            </w:r>
            <w:r w:rsidR="00FA206C">
              <w:rPr>
                <w:webHidden/>
              </w:rPr>
              <w:tab/>
            </w:r>
            <w:r w:rsidR="00FA206C">
              <w:rPr>
                <w:webHidden/>
              </w:rPr>
              <w:fldChar w:fldCharType="begin"/>
            </w:r>
            <w:r w:rsidR="00FA206C">
              <w:rPr>
                <w:webHidden/>
              </w:rPr>
              <w:instrText xml:space="preserve"> PAGEREF _Toc413414925 \h </w:instrText>
            </w:r>
            <w:r w:rsidR="00FA206C">
              <w:rPr>
                <w:webHidden/>
              </w:rPr>
            </w:r>
            <w:r w:rsidR="00FA206C">
              <w:rPr>
                <w:webHidden/>
              </w:rPr>
              <w:fldChar w:fldCharType="separate"/>
            </w:r>
            <w:r w:rsidR="00522FE5">
              <w:rPr>
                <w:webHidden/>
              </w:rPr>
              <w:t>5-3</w:t>
            </w:r>
            <w:r w:rsidR="00FA206C">
              <w:rPr>
                <w:webHidden/>
              </w:rPr>
              <w:fldChar w:fldCharType="end"/>
            </w:r>
          </w:hyperlink>
        </w:p>
        <w:p w:rsidR="00FA206C" w:rsidRDefault="00126DF5">
          <w:pPr>
            <w:pStyle w:val="TOC1"/>
            <w:rPr>
              <w:rFonts w:asciiTheme="minorHAnsi" w:eastAsiaTheme="minorEastAsia" w:hAnsiTheme="minorHAnsi"/>
              <w:b w:val="0"/>
              <w:color w:val="auto"/>
              <w:sz w:val="22"/>
              <w:lang w:val="en-AU" w:eastAsia="en-AU"/>
            </w:rPr>
          </w:pPr>
          <w:hyperlink w:anchor="_Toc413414926" w:history="1">
            <w:r w:rsidR="00FA206C" w:rsidRPr="009D53FA">
              <w:rPr>
                <w:rStyle w:val="Hyperlink"/>
              </w:rPr>
              <w:t>Shortened forms</w:t>
            </w:r>
            <w:r w:rsidR="00FA206C">
              <w:rPr>
                <w:webHidden/>
              </w:rPr>
              <w:tab/>
            </w:r>
            <w:r w:rsidR="00FA206C">
              <w:rPr>
                <w:webHidden/>
              </w:rPr>
              <w:fldChar w:fldCharType="begin"/>
            </w:r>
            <w:r w:rsidR="00FA206C">
              <w:rPr>
                <w:webHidden/>
              </w:rPr>
              <w:instrText xml:space="preserve"> PAGEREF _Toc413414926 \h </w:instrText>
            </w:r>
            <w:r w:rsidR="00FA206C">
              <w:rPr>
                <w:webHidden/>
              </w:rPr>
            </w:r>
            <w:r w:rsidR="00FA206C">
              <w:rPr>
                <w:webHidden/>
              </w:rPr>
              <w:fldChar w:fldCharType="separate"/>
            </w:r>
            <w:r w:rsidR="00522FE5">
              <w:rPr>
                <w:webHidden/>
              </w:rPr>
              <w:t>5-4</w:t>
            </w:r>
            <w:r w:rsidR="00FA206C">
              <w:rPr>
                <w:webHidden/>
              </w:rPr>
              <w:fldChar w:fldCharType="end"/>
            </w:r>
          </w:hyperlink>
        </w:p>
        <w:p w:rsidR="00FA206C" w:rsidRDefault="00126DF5">
          <w:pPr>
            <w:pStyle w:val="TOC1"/>
            <w:rPr>
              <w:rFonts w:asciiTheme="minorHAnsi" w:eastAsiaTheme="minorEastAsia" w:hAnsiTheme="minorHAnsi"/>
              <w:b w:val="0"/>
              <w:color w:val="auto"/>
              <w:sz w:val="22"/>
              <w:lang w:val="en-AU" w:eastAsia="en-AU"/>
            </w:rPr>
          </w:pPr>
          <w:hyperlink w:anchor="_Toc413414927" w:history="1">
            <w:r w:rsidR="00FA206C" w:rsidRPr="009D53FA">
              <w:rPr>
                <w:rStyle w:val="Hyperlink"/>
              </w:rPr>
              <w:t>5</w:t>
            </w:r>
            <w:r w:rsidR="00FA206C">
              <w:rPr>
                <w:rFonts w:asciiTheme="minorHAnsi" w:eastAsiaTheme="minorEastAsia" w:hAnsiTheme="minorHAnsi"/>
                <w:b w:val="0"/>
                <w:color w:val="auto"/>
                <w:sz w:val="22"/>
                <w:lang w:val="en-AU" w:eastAsia="en-AU"/>
              </w:rPr>
              <w:tab/>
            </w:r>
            <w:r w:rsidR="00FA206C" w:rsidRPr="009D53FA">
              <w:rPr>
                <w:rStyle w:val="Hyperlink"/>
              </w:rPr>
              <w:t>Regulatory depreciation</w:t>
            </w:r>
            <w:r w:rsidR="00FA206C">
              <w:rPr>
                <w:webHidden/>
              </w:rPr>
              <w:tab/>
            </w:r>
            <w:r w:rsidR="00FA206C">
              <w:rPr>
                <w:webHidden/>
              </w:rPr>
              <w:fldChar w:fldCharType="begin"/>
            </w:r>
            <w:r w:rsidR="00FA206C">
              <w:rPr>
                <w:webHidden/>
              </w:rPr>
              <w:instrText xml:space="preserve"> PAGEREF _Toc413414927 \h </w:instrText>
            </w:r>
            <w:r w:rsidR="00FA206C">
              <w:rPr>
                <w:webHidden/>
              </w:rPr>
            </w:r>
            <w:r w:rsidR="00FA206C">
              <w:rPr>
                <w:webHidden/>
              </w:rPr>
              <w:fldChar w:fldCharType="separate"/>
            </w:r>
            <w:r w:rsidR="00522FE5">
              <w:rPr>
                <w:webHidden/>
              </w:rPr>
              <w:t>5-6</w:t>
            </w:r>
            <w:r w:rsidR="00FA206C">
              <w:rPr>
                <w:webHidden/>
              </w:rPr>
              <w:fldChar w:fldCharType="end"/>
            </w:r>
          </w:hyperlink>
        </w:p>
        <w:p w:rsidR="00FA206C" w:rsidRDefault="00126DF5">
          <w:pPr>
            <w:pStyle w:val="TOC2"/>
            <w:rPr>
              <w:rFonts w:asciiTheme="minorHAnsi" w:eastAsiaTheme="minorEastAsia" w:hAnsiTheme="minorHAnsi"/>
              <w:b w:val="0"/>
              <w:color w:val="auto"/>
              <w:sz w:val="22"/>
              <w:lang w:eastAsia="en-AU"/>
            </w:rPr>
          </w:pPr>
          <w:hyperlink w:anchor="_Toc413414928" w:history="1">
            <w:r w:rsidR="00FA206C" w:rsidRPr="009D53FA">
              <w:rPr>
                <w:rStyle w:val="Hyperlink"/>
              </w:rPr>
              <w:t>5.1</w:t>
            </w:r>
            <w:r w:rsidR="00FA206C">
              <w:rPr>
                <w:rFonts w:asciiTheme="minorHAnsi" w:eastAsiaTheme="minorEastAsia" w:hAnsiTheme="minorHAnsi"/>
                <w:b w:val="0"/>
                <w:color w:val="auto"/>
                <w:sz w:val="22"/>
                <w:lang w:eastAsia="en-AU"/>
              </w:rPr>
              <w:tab/>
            </w:r>
            <w:r w:rsidR="00FA206C" w:rsidRPr="009D53FA">
              <w:rPr>
                <w:rStyle w:val="Hyperlink"/>
              </w:rPr>
              <w:t>Final decision</w:t>
            </w:r>
            <w:r w:rsidR="00FA206C">
              <w:rPr>
                <w:webHidden/>
              </w:rPr>
              <w:tab/>
            </w:r>
            <w:r w:rsidR="00FA206C">
              <w:rPr>
                <w:webHidden/>
              </w:rPr>
              <w:fldChar w:fldCharType="begin"/>
            </w:r>
            <w:r w:rsidR="00FA206C">
              <w:rPr>
                <w:webHidden/>
              </w:rPr>
              <w:instrText xml:space="preserve"> PAGEREF _Toc413414928 \h </w:instrText>
            </w:r>
            <w:r w:rsidR="00FA206C">
              <w:rPr>
                <w:webHidden/>
              </w:rPr>
            </w:r>
            <w:r w:rsidR="00FA206C">
              <w:rPr>
                <w:webHidden/>
              </w:rPr>
              <w:fldChar w:fldCharType="separate"/>
            </w:r>
            <w:r w:rsidR="00522FE5">
              <w:rPr>
                <w:webHidden/>
              </w:rPr>
              <w:t>5-6</w:t>
            </w:r>
            <w:r w:rsidR="00FA206C">
              <w:rPr>
                <w:webHidden/>
              </w:rPr>
              <w:fldChar w:fldCharType="end"/>
            </w:r>
          </w:hyperlink>
        </w:p>
        <w:p w:rsidR="00FA206C" w:rsidRDefault="00126DF5">
          <w:pPr>
            <w:pStyle w:val="TOC2"/>
            <w:rPr>
              <w:rFonts w:asciiTheme="minorHAnsi" w:eastAsiaTheme="minorEastAsia" w:hAnsiTheme="minorHAnsi"/>
              <w:b w:val="0"/>
              <w:color w:val="auto"/>
              <w:sz w:val="22"/>
              <w:lang w:eastAsia="en-AU"/>
            </w:rPr>
          </w:pPr>
          <w:hyperlink w:anchor="_Toc413414929" w:history="1">
            <w:r w:rsidR="00FA206C" w:rsidRPr="009D53FA">
              <w:rPr>
                <w:rStyle w:val="Hyperlink"/>
              </w:rPr>
              <w:t>5.2</w:t>
            </w:r>
            <w:r w:rsidR="00FA206C">
              <w:rPr>
                <w:rFonts w:asciiTheme="minorHAnsi" w:eastAsiaTheme="minorEastAsia" w:hAnsiTheme="minorHAnsi"/>
                <w:b w:val="0"/>
                <w:color w:val="auto"/>
                <w:sz w:val="22"/>
                <w:lang w:eastAsia="en-AU"/>
              </w:rPr>
              <w:tab/>
            </w:r>
            <w:r w:rsidR="00FA206C" w:rsidRPr="009D53FA">
              <w:rPr>
                <w:rStyle w:val="Hyperlink"/>
              </w:rPr>
              <w:t>ActewAGL’s revised proposal</w:t>
            </w:r>
            <w:r w:rsidR="00FA206C">
              <w:rPr>
                <w:webHidden/>
              </w:rPr>
              <w:tab/>
            </w:r>
            <w:r w:rsidR="00FA206C">
              <w:rPr>
                <w:webHidden/>
              </w:rPr>
              <w:fldChar w:fldCharType="begin"/>
            </w:r>
            <w:r w:rsidR="00FA206C">
              <w:rPr>
                <w:webHidden/>
              </w:rPr>
              <w:instrText xml:space="preserve"> PAGEREF _Toc413414929 \h </w:instrText>
            </w:r>
            <w:r w:rsidR="00FA206C">
              <w:rPr>
                <w:webHidden/>
              </w:rPr>
            </w:r>
            <w:r w:rsidR="00FA206C">
              <w:rPr>
                <w:webHidden/>
              </w:rPr>
              <w:fldChar w:fldCharType="separate"/>
            </w:r>
            <w:r w:rsidR="00522FE5">
              <w:rPr>
                <w:webHidden/>
              </w:rPr>
              <w:t>5-7</w:t>
            </w:r>
            <w:r w:rsidR="00FA206C">
              <w:rPr>
                <w:webHidden/>
              </w:rPr>
              <w:fldChar w:fldCharType="end"/>
            </w:r>
          </w:hyperlink>
        </w:p>
        <w:p w:rsidR="00FA206C" w:rsidRDefault="00126DF5">
          <w:pPr>
            <w:pStyle w:val="TOC2"/>
            <w:rPr>
              <w:rFonts w:asciiTheme="minorHAnsi" w:eastAsiaTheme="minorEastAsia" w:hAnsiTheme="minorHAnsi"/>
              <w:b w:val="0"/>
              <w:color w:val="auto"/>
              <w:sz w:val="22"/>
              <w:lang w:eastAsia="en-AU"/>
            </w:rPr>
          </w:pPr>
          <w:hyperlink w:anchor="_Toc413414930" w:history="1">
            <w:r w:rsidR="00FA206C" w:rsidRPr="009D53FA">
              <w:rPr>
                <w:rStyle w:val="Hyperlink"/>
              </w:rPr>
              <w:t>5.3</w:t>
            </w:r>
            <w:r w:rsidR="00FA206C">
              <w:rPr>
                <w:rFonts w:asciiTheme="minorHAnsi" w:eastAsiaTheme="minorEastAsia" w:hAnsiTheme="minorHAnsi"/>
                <w:b w:val="0"/>
                <w:color w:val="auto"/>
                <w:sz w:val="22"/>
                <w:lang w:eastAsia="en-AU"/>
              </w:rPr>
              <w:tab/>
            </w:r>
            <w:r w:rsidR="00FA206C" w:rsidRPr="009D53FA">
              <w:rPr>
                <w:rStyle w:val="Hyperlink"/>
              </w:rPr>
              <w:t>AER’s assessment approach</w:t>
            </w:r>
            <w:r w:rsidR="00FA206C">
              <w:rPr>
                <w:webHidden/>
              </w:rPr>
              <w:tab/>
            </w:r>
            <w:r w:rsidR="00FA206C">
              <w:rPr>
                <w:webHidden/>
              </w:rPr>
              <w:fldChar w:fldCharType="begin"/>
            </w:r>
            <w:r w:rsidR="00FA206C">
              <w:rPr>
                <w:webHidden/>
              </w:rPr>
              <w:instrText xml:space="preserve"> PAGEREF _Toc413414930 \h </w:instrText>
            </w:r>
            <w:r w:rsidR="00FA206C">
              <w:rPr>
                <w:webHidden/>
              </w:rPr>
            </w:r>
            <w:r w:rsidR="00FA206C">
              <w:rPr>
                <w:webHidden/>
              </w:rPr>
              <w:fldChar w:fldCharType="separate"/>
            </w:r>
            <w:r w:rsidR="00522FE5">
              <w:rPr>
                <w:webHidden/>
              </w:rPr>
              <w:t>5-8</w:t>
            </w:r>
            <w:r w:rsidR="00FA206C">
              <w:rPr>
                <w:webHidden/>
              </w:rPr>
              <w:fldChar w:fldCharType="end"/>
            </w:r>
          </w:hyperlink>
        </w:p>
        <w:p w:rsidR="00FA206C" w:rsidRDefault="00126DF5">
          <w:pPr>
            <w:pStyle w:val="TOC2"/>
            <w:rPr>
              <w:rFonts w:asciiTheme="minorHAnsi" w:eastAsiaTheme="minorEastAsia" w:hAnsiTheme="minorHAnsi"/>
              <w:b w:val="0"/>
              <w:color w:val="auto"/>
              <w:sz w:val="22"/>
              <w:lang w:eastAsia="en-AU"/>
            </w:rPr>
          </w:pPr>
          <w:hyperlink w:anchor="_Toc413414931" w:history="1">
            <w:r w:rsidR="00FA206C" w:rsidRPr="009D53FA">
              <w:rPr>
                <w:rStyle w:val="Hyperlink"/>
              </w:rPr>
              <w:t>5.4</w:t>
            </w:r>
            <w:r w:rsidR="00FA206C">
              <w:rPr>
                <w:rFonts w:asciiTheme="minorHAnsi" w:eastAsiaTheme="minorEastAsia" w:hAnsiTheme="minorHAnsi"/>
                <w:b w:val="0"/>
                <w:color w:val="auto"/>
                <w:sz w:val="22"/>
                <w:lang w:eastAsia="en-AU"/>
              </w:rPr>
              <w:tab/>
            </w:r>
            <w:r w:rsidR="00FA206C" w:rsidRPr="009D53FA">
              <w:rPr>
                <w:rStyle w:val="Hyperlink"/>
              </w:rPr>
              <w:t>Reasons for final decision</w:t>
            </w:r>
            <w:r w:rsidR="00FA206C">
              <w:rPr>
                <w:webHidden/>
              </w:rPr>
              <w:tab/>
            </w:r>
            <w:r w:rsidR="00FA206C">
              <w:rPr>
                <w:webHidden/>
              </w:rPr>
              <w:fldChar w:fldCharType="begin"/>
            </w:r>
            <w:r w:rsidR="00FA206C">
              <w:rPr>
                <w:webHidden/>
              </w:rPr>
              <w:instrText xml:space="preserve"> PAGEREF _Toc413414931 \h </w:instrText>
            </w:r>
            <w:r w:rsidR="00FA206C">
              <w:rPr>
                <w:webHidden/>
              </w:rPr>
            </w:r>
            <w:r w:rsidR="00FA206C">
              <w:rPr>
                <w:webHidden/>
              </w:rPr>
              <w:fldChar w:fldCharType="separate"/>
            </w:r>
            <w:r w:rsidR="00522FE5">
              <w:rPr>
                <w:webHidden/>
              </w:rPr>
              <w:t>5-8</w:t>
            </w:r>
            <w:r w:rsidR="00FA206C">
              <w:rPr>
                <w:webHidden/>
              </w:rPr>
              <w:fldChar w:fldCharType="end"/>
            </w:r>
          </w:hyperlink>
        </w:p>
        <w:p w:rsidR="00FA206C" w:rsidRDefault="00126DF5">
          <w:pPr>
            <w:pStyle w:val="TOC3"/>
            <w:rPr>
              <w:rFonts w:asciiTheme="minorHAnsi" w:eastAsiaTheme="minorEastAsia" w:hAnsiTheme="minorHAnsi"/>
              <w:lang w:eastAsia="en-AU"/>
            </w:rPr>
          </w:pPr>
          <w:hyperlink w:anchor="_Toc413414932" w:history="1">
            <w:r w:rsidR="00FA206C" w:rsidRPr="009D53FA">
              <w:rPr>
                <w:rStyle w:val="Hyperlink"/>
              </w:rPr>
              <w:t>5.4.1</w:t>
            </w:r>
            <w:r w:rsidR="00FA206C">
              <w:rPr>
                <w:rFonts w:asciiTheme="minorHAnsi" w:eastAsiaTheme="minorEastAsia" w:hAnsiTheme="minorHAnsi"/>
                <w:lang w:eastAsia="en-AU"/>
              </w:rPr>
              <w:tab/>
            </w:r>
            <w:r w:rsidR="00FA206C" w:rsidRPr="009D53FA">
              <w:rPr>
                <w:rStyle w:val="Hyperlink"/>
              </w:rPr>
              <w:t>Standard asset lives</w:t>
            </w:r>
            <w:r w:rsidR="00FA206C">
              <w:rPr>
                <w:webHidden/>
              </w:rPr>
              <w:tab/>
            </w:r>
            <w:r w:rsidR="00FA206C">
              <w:rPr>
                <w:webHidden/>
              </w:rPr>
              <w:fldChar w:fldCharType="begin"/>
            </w:r>
            <w:r w:rsidR="00FA206C">
              <w:rPr>
                <w:webHidden/>
              </w:rPr>
              <w:instrText xml:space="preserve"> PAGEREF _Toc413414932 \h </w:instrText>
            </w:r>
            <w:r w:rsidR="00FA206C">
              <w:rPr>
                <w:webHidden/>
              </w:rPr>
            </w:r>
            <w:r w:rsidR="00FA206C">
              <w:rPr>
                <w:webHidden/>
              </w:rPr>
              <w:fldChar w:fldCharType="separate"/>
            </w:r>
            <w:r w:rsidR="00522FE5">
              <w:rPr>
                <w:webHidden/>
              </w:rPr>
              <w:t>5-9</w:t>
            </w:r>
            <w:r w:rsidR="00FA206C">
              <w:rPr>
                <w:webHidden/>
              </w:rPr>
              <w:fldChar w:fldCharType="end"/>
            </w:r>
          </w:hyperlink>
        </w:p>
        <w:p w:rsidR="00FA206C" w:rsidRDefault="00126DF5">
          <w:pPr>
            <w:pStyle w:val="TOC3"/>
            <w:rPr>
              <w:rFonts w:asciiTheme="minorHAnsi" w:eastAsiaTheme="minorEastAsia" w:hAnsiTheme="minorHAnsi"/>
              <w:lang w:eastAsia="en-AU"/>
            </w:rPr>
          </w:pPr>
          <w:hyperlink w:anchor="_Toc413414933" w:history="1">
            <w:r w:rsidR="00FA206C" w:rsidRPr="009D53FA">
              <w:rPr>
                <w:rStyle w:val="Hyperlink"/>
              </w:rPr>
              <w:t>5.4.2</w:t>
            </w:r>
            <w:r w:rsidR="00FA206C">
              <w:rPr>
                <w:rFonts w:asciiTheme="minorHAnsi" w:eastAsiaTheme="minorEastAsia" w:hAnsiTheme="minorHAnsi"/>
                <w:lang w:eastAsia="en-AU"/>
              </w:rPr>
              <w:tab/>
            </w:r>
            <w:r w:rsidR="00FA206C" w:rsidRPr="009D53FA">
              <w:rPr>
                <w:rStyle w:val="Hyperlink"/>
              </w:rPr>
              <w:t>Remaining asset lives</w:t>
            </w:r>
            <w:r w:rsidR="00FA206C">
              <w:rPr>
                <w:webHidden/>
              </w:rPr>
              <w:tab/>
            </w:r>
            <w:r w:rsidR="00FA206C">
              <w:rPr>
                <w:webHidden/>
              </w:rPr>
              <w:fldChar w:fldCharType="begin"/>
            </w:r>
            <w:r w:rsidR="00FA206C">
              <w:rPr>
                <w:webHidden/>
              </w:rPr>
              <w:instrText xml:space="preserve"> PAGEREF _Toc413414933 \h </w:instrText>
            </w:r>
            <w:r w:rsidR="00FA206C">
              <w:rPr>
                <w:webHidden/>
              </w:rPr>
            </w:r>
            <w:r w:rsidR="00FA206C">
              <w:rPr>
                <w:webHidden/>
              </w:rPr>
              <w:fldChar w:fldCharType="separate"/>
            </w:r>
            <w:r w:rsidR="00522FE5">
              <w:rPr>
                <w:webHidden/>
              </w:rPr>
              <w:t>5-9</w:t>
            </w:r>
            <w:r w:rsidR="00FA206C">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3414926"/>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D9458D">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F854CF" w:rsidTr="00F854CF">
        <w:tc>
          <w:tcPr>
            <w:tcW w:w="4349" w:type="dxa"/>
          </w:tcPr>
          <w:p w:rsidR="00F854CF" w:rsidRPr="00F854CF" w:rsidRDefault="00F854CF" w:rsidP="00F854CF">
            <w:pPr>
              <w:numPr>
                <w:ilvl w:val="0"/>
                <w:numId w:val="25"/>
              </w:numPr>
            </w:pPr>
            <w:r w:rsidRPr="00F854CF">
              <w:t>AEMC</w:t>
            </w:r>
          </w:p>
        </w:tc>
        <w:tc>
          <w:tcPr>
            <w:tcW w:w="4344" w:type="dxa"/>
          </w:tcPr>
          <w:p w:rsidR="00F854CF" w:rsidRPr="00F854CF" w:rsidRDefault="00F854CF" w:rsidP="00F854CF">
            <w:pPr>
              <w:numPr>
                <w:ilvl w:val="0"/>
                <w:numId w:val="25"/>
              </w:numPr>
            </w:pPr>
            <w:r w:rsidRPr="00F854CF">
              <w:t>Australian Energy Market Commission</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AEMO</w:t>
            </w:r>
          </w:p>
        </w:tc>
        <w:tc>
          <w:tcPr>
            <w:tcW w:w="4344" w:type="dxa"/>
          </w:tcPr>
          <w:p w:rsidR="00F854CF" w:rsidRPr="00F854CF" w:rsidRDefault="00F854CF" w:rsidP="00F854CF">
            <w:pPr>
              <w:numPr>
                <w:ilvl w:val="0"/>
                <w:numId w:val="25"/>
              </w:numPr>
            </w:pPr>
            <w:r w:rsidRPr="00F854CF">
              <w:t>Australian Energy Market Operator</w:t>
            </w:r>
          </w:p>
        </w:tc>
      </w:tr>
      <w:tr w:rsidR="00F854CF" w:rsidTr="00F854CF">
        <w:tc>
          <w:tcPr>
            <w:tcW w:w="4349" w:type="dxa"/>
          </w:tcPr>
          <w:p w:rsidR="00F854CF" w:rsidRPr="00F854CF" w:rsidRDefault="00F854CF" w:rsidP="00F854CF">
            <w:pPr>
              <w:numPr>
                <w:ilvl w:val="0"/>
                <w:numId w:val="25"/>
              </w:numPr>
            </w:pPr>
            <w:r w:rsidRPr="00F854CF">
              <w:t>AER</w:t>
            </w:r>
          </w:p>
        </w:tc>
        <w:tc>
          <w:tcPr>
            <w:tcW w:w="4344" w:type="dxa"/>
          </w:tcPr>
          <w:p w:rsidR="00F854CF" w:rsidRPr="00F854CF" w:rsidRDefault="00F854CF" w:rsidP="00F854CF">
            <w:pPr>
              <w:numPr>
                <w:ilvl w:val="0"/>
                <w:numId w:val="25"/>
              </w:numPr>
            </w:pPr>
            <w:r w:rsidRPr="00F854CF">
              <w:t>Australian Energy Regulator</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augex</w:t>
            </w:r>
          </w:p>
        </w:tc>
        <w:tc>
          <w:tcPr>
            <w:tcW w:w="4344" w:type="dxa"/>
          </w:tcPr>
          <w:p w:rsidR="00F854CF" w:rsidRPr="00F854CF" w:rsidRDefault="00F854CF" w:rsidP="00F854CF">
            <w:pPr>
              <w:numPr>
                <w:ilvl w:val="0"/>
                <w:numId w:val="25"/>
              </w:numPr>
            </w:pPr>
            <w:r w:rsidRPr="00F854CF">
              <w:t>augmentation expenditure</w:t>
            </w:r>
          </w:p>
        </w:tc>
      </w:tr>
      <w:tr w:rsidR="00F854CF" w:rsidTr="00F854CF">
        <w:tc>
          <w:tcPr>
            <w:tcW w:w="4349" w:type="dxa"/>
          </w:tcPr>
          <w:p w:rsidR="00F854CF" w:rsidRPr="00F854CF" w:rsidRDefault="00F854CF" w:rsidP="00F854CF">
            <w:pPr>
              <w:numPr>
                <w:ilvl w:val="0"/>
                <w:numId w:val="25"/>
              </w:numPr>
            </w:pPr>
            <w:r w:rsidRPr="00F854CF">
              <w:t>capex</w:t>
            </w:r>
          </w:p>
        </w:tc>
        <w:tc>
          <w:tcPr>
            <w:tcW w:w="4344" w:type="dxa"/>
          </w:tcPr>
          <w:p w:rsidR="00F854CF" w:rsidRPr="00F854CF" w:rsidRDefault="00F854CF" w:rsidP="00F854CF">
            <w:pPr>
              <w:numPr>
                <w:ilvl w:val="0"/>
                <w:numId w:val="25"/>
              </w:numPr>
            </w:pPr>
            <w:r w:rsidRPr="00F854CF">
              <w:t>capital expenditure</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CCP</w:t>
            </w:r>
          </w:p>
        </w:tc>
        <w:tc>
          <w:tcPr>
            <w:tcW w:w="4344" w:type="dxa"/>
          </w:tcPr>
          <w:p w:rsidR="00F854CF" w:rsidRPr="00F854CF" w:rsidRDefault="00F854CF" w:rsidP="00F854CF">
            <w:pPr>
              <w:numPr>
                <w:ilvl w:val="0"/>
                <w:numId w:val="25"/>
              </w:numPr>
            </w:pPr>
            <w:r w:rsidRPr="00F854CF">
              <w:t>Consumer Challenge Panel</w:t>
            </w:r>
          </w:p>
        </w:tc>
      </w:tr>
      <w:tr w:rsidR="00F854CF" w:rsidTr="00F854CF">
        <w:tc>
          <w:tcPr>
            <w:tcW w:w="4349" w:type="dxa"/>
          </w:tcPr>
          <w:p w:rsidR="00F854CF" w:rsidRPr="00F854CF" w:rsidRDefault="00F854CF" w:rsidP="00F854CF">
            <w:pPr>
              <w:numPr>
                <w:ilvl w:val="0"/>
                <w:numId w:val="25"/>
              </w:numPr>
            </w:pPr>
            <w:r w:rsidRPr="00F854CF">
              <w:t>CESS</w:t>
            </w:r>
          </w:p>
        </w:tc>
        <w:tc>
          <w:tcPr>
            <w:tcW w:w="4344" w:type="dxa"/>
          </w:tcPr>
          <w:p w:rsidR="00F854CF" w:rsidRPr="00F854CF" w:rsidRDefault="00F854CF" w:rsidP="00F854CF">
            <w:pPr>
              <w:numPr>
                <w:ilvl w:val="0"/>
                <w:numId w:val="25"/>
              </w:numPr>
            </w:pPr>
            <w:r w:rsidRPr="00F854CF">
              <w:t>capital expenditure sharing scheme</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CPI</w:t>
            </w:r>
          </w:p>
        </w:tc>
        <w:tc>
          <w:tcPr>
            <w:tcW w:w="4344" w:type="dxa"/>
          </w:tcPr>
          <w:p w:rsidR="00F854CF" w:rsidRPr="00F854CF" w:rsidRDefault="00F854CF" w:rsidP="00F854CF">
            <w:pPr>
              <w:numPr>
                <w:ilvl w:val="0"/>
                <w:numId w:val="25"/>
              </w:numPr>
            </w:pPr>
            <w:r w:rsidRPr="00F854CF">
              <w:t>consumer price index</w:t>
            </w:r>
          </w:p>
        </w:tc>
      </w:tr>
      <w:tr w:rsidR="00F854CF" w:rsidTr="00F854CF">
        <w:tc>
          <w:tcPr>
            <w:tcW w:w="4349" w:type="dxa"/>
          </w:tcPr>
          <w:p w:rsidR="00F854CF" w:rsidRPr="00F854CF" w:rsidRDefault="00F854CF" w:rsidP="00F854CF">
            <w:pPr>
              <w:numPr>
                <w:ilvl w:val="0"/>
                <w:numId w:val="25"/>
              </w:numPr>
            </w:pPr>
            <w:r w:rsidRPr="00F854CF">
              <w:t>DRP</w:t>
            </w:r>
          </w:p>
        </w:tc>
        <w:tc>
          <w:tcPr>
            <w:tcW w:w="4344" w:type="dxa"/>
          </w:tcPr>
          <w:p w:rsidR="00F854CF" w:rsidRPr="00F854CF" w:rsidRDefault="00F854CF" w:rsidP="00F854CF">
            <w:pPr>
              <w:numPr>
                <w:ilvl w:val="0"/>
                <w:numId w:val="25"/>
              </w:numPr>
            </w:pPr>
            <w:r w:rsidRPr="00F854CF">
              <w:t>debt risk premium</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DMIA</w:t>
            </w:r>
          </w:p>
        </w:tc>
        <w:tc>
          <w:tcPr>
            <w:tcW w:w="4344" w:type="dxa"/>
          </w:tcPr>
          <w:p w:rsidR="00F854CF" w:rsidRPr="00F854CF" w:rsidRDefault="00F854CF" w:rsidP="00F854CF">
            <w:pPr>
              <w:numPr>
                <w:ilvl w:val="0"/>
                <w:numId w:val="25"/>
              </w:numPr>
            </w:pPr>
            <w:r w:rsidRPr="00F854CF">
              <w:t>demand management innovation allowance</w:t>
            </w:r>
          </w:p>
        </w:tc>
      </w:tr>
      <w:tr w:rsidR="00F854CF" w:rsidTr="00F854CF">
        <w:tc>
          <w:tcPr>
            <w:tcW w:w="4349" w:type="dxa"/>
          </w:tcPr>
          <w:p w:rsidR="00F854CF" w:rsidRPr="00F854CF" w:rsidRDefault="00F854CF" w:rsidP="00F854CF">
            <w:pPr>
              <w:numPr>
                <w:ilvl w:val="0"/>
                <w:numId w:val="25"/>
              </w:numPr>
            </w:pPr>
            <w:r w:rsidRPr="00F854CF">
              <w:t>DMIS</w:t>
            </w:r>
          </w:p>
        </w:tc>
        <w:tc>
          <w:tcPr>
            <w:tcW w:w="4344" w:type="dxa"/>
          </w:tcPr>
          <w:p w:rsidR="00F854CF" w:rsidRPr="00F854CF" w:rsidRDefault="00F854CF" w:rsidP="00F854CF">
            <w:pPr>
              <w:numPr>
                <w:ilvl w:val="0"/>
                <w:numId w:val="25"/>
              </w:numPr>
            </w:pPr>
            <w:r w:rsidRPr="00F854CF">
              <w:t>demand management incentive scheme</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distributor</w:t>
            </w:r>
          </w:p>
        </w:tc>
        <w:tc>
          <w:tcPr>
            <w:tcW w:w="4344" w:type="dxa"/>
          </w:tcPr>
          <w:p w:rsidR="00F854CF" w:rsidRPr="00F854CF" w:rsidRDefault="00F854CF" w:rsidP="00F854CF">
            <w:pPr>
              <w:numPr>
                <w:ilvl w:val="0"/>
                <w:numId w:val="25"/>
              </w:numPr>
            </w:pPr>
            <w:r w:rsidRPr="00F854CF">
              <w:t>distribution network service provider</w:t>
            </w:r>
          </w:p>
        </w:tc>
      </w:tr>
      <w:tr w:rsidR="00F854CF" w:rsidTr="00F854CF">
        <w:tc>
          <w:tcPr>
            <w:tcW w:w="4349" w:type="dxa"/>
          </w:tcPr>
          <w:p w:rsidR="00F854CF" w:rsidRPr="00F854CF" w:rsidRDefault="00F854CF" w:rsidP="00F854CF">
            <w:pPr>
              <w:numPr>
                <w:ilvl w:val="0"/>
                <w:numId w:val="25"/>
              </w:numPr>
            </w:pPr>
            <w:r w:rsidRPr="00F854CF">
              <w:t>DUoS</w:t>
            </w:r>
          </w:p>
        </w:tc>
        <w:tc>
          <w:tcPr>
            <w:tcW w:w="4344" w:type="dxa"/>
          </w:tcPr>
          <w:p w:rsidR="00F854CF" w:rsidRPr="00F854CF" w:rsidRDefault="00F854CF" w:rsidP="00F854CF">
            <w:pPr>
              <w:numPr>
                <w:ilvl w:val="0"/>
                <w:numId w:val="25"/>
              </w:numPr>
            </w:pPr>
            <w:r w:rsidRPr="00F854CF">
              <w:t>distribution use of system</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EBSS</w:t>
            </w:r>
          </w:p>
        </w:tc>
        <w:tc>
          <w:tcPr>
            <w:tcW w:w="4344" w:type="dxa"/>
          </w:tcPr>
          <w:p w:rsidR="00F854CF" w:rsidRPr="00F854CF" w:rsidRDefault="00F854CF" w:rsidP="00F854CF">
            <w:pPr>
              <w:numPr>
                <w:ilvl w:val="0"/>
                <w:numId w:val="25"/>
              </w:numPr>
            </w:pPr>
            <w:r w:rsidRPr="00F854CF">
              <w:t>efficiency benefit sharing scheme</w:t>
            </w:r>
          </w:p>
        </w:tc>
      </w:tr>
      <w:tr w:rsidR="00F854CF" w:rsidTr="00F854CF">
        <w:tc>
          <w:tcPr>
            <w:tcW w:w="4349" w:type="dxa"/>
          </w:tcPr>
          <w:p w:rsidR="00F854CF" w:rsidRPr="00F854CF" w:rsidRDefault="00F854CF" w:rsidP="00F854CF">
            <w:pPr>
              <w:numPr>
                <w:ilvl w:val="0"/>
                <w:numId w:val="25"/>
              </w:numPr>
            </w:pPr>
            <w:r w:rsidRPr="00F854CF">
              <w:t>ERP</w:t>
            </w:r>
          </w:p>
        </w:tc>
        <w:tc>
          <w:tcPr>
            <w:tcW w:w="4344" w:type="dxa"/>
          </w:tcPr>
          <w:p w:rsidR="00F854CF" w:rsidRPr="00F854CF" w:rsidRDefault="00F854CF" w:rsidP="00F854CF">
            <w:pPr>
              <w:numPr>
                <w:ilvl w:val="0"/>
                <w:numId w:val="25"/>
              </w:numPr>
            </w:pPr>
            <w:r w:rsidRPr="00F854CF">
              <w:t>equity risk premium</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Expenditure Assessment Guideline</w:t>
            </w:r>
          </w:p>
        </w:tc>
        <w:tc>
          <w:tcPr>
            <w:tcW w:w="4344" w:type="dxa"/>
          </w:tcPr>
          <w:p w:rsidR="00F854CF" w:rsidRPr="00F854CF" w:rsidRDefault="00F854CF" w:rsidP="00F854CF">
            <w:pPr>
              <w:numPr>
                <w:ilvl w:val="0"/>
                <w:numId w:val="25"/>
              </w:numPr>
            </w:pPr>
            <w:r w:rsidRPr="00F854CF">
              <w:t>expenditure forecast assessment Guideline for electricity distribution</w:t>
            </w:r>
          </w:p>
        </w:tc>
      </w:tr>
      <w:tr w:rsidR="00F854CF" w:rsidTr="00F854CF">
        <w:tc>
          <w:tcPr>
            <w:tcW w:w="4349" w:type="dxa"/>
          </w:tcPr>
          <w:p w:rsidR="00F854CF" w:rsidRPr="00F854CF" w:rsidRDefault="00F854CF" w:rsidP="00F854CF">
            <w:pPr>
              <w:numPr>
                <w:ilvl w:val="0"/>
                <w:numId w:val="25"/>
              </w:numPr>
            </w:pPr>
            <w:r w:rsidRPr="00F854CF">
              <w:t>F&amp;A</w:t>
            </w:r>
          </w:p>
        </w:tc>
        <w:tc>
          <w:tcPr>
            <w:tcW w:w="4344" w:type="dxa"/>
          </w:tcPr>
          <w:p w:rsidR="00F854CF" w:rsidRPr="00F854CF" w:rsidRDefault="00F854CF" w:rsidP="00F854CF">
            <w:pPr>
              <w:numPr>
                <w:ilvl w:val="0"/>
                <w:numId w:val="25"/>
              </w:numPr>
            </w:pPr>
            <w:r w:rsidRPr="00F854CF">
              <w:t>framework and approach</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MRP</w:t>
            </w:r>
          </w:p>
        </w:tc>
        <w:tc>
          <w:tcPr>
            <w:tcW w:w="4344" w:type="dxa"/>
          </w:tcPr>
          <w:p w:rsidR="00F854CF" w:rsidRPr="00F854CF" w:rsidRDefault="00F854CF" w:rsidP="00F854CF">
            <w:pPr>
              <w:numPr>
                <w:ilvl w:val="0"/>
                <w:numId w:val="25"/>
              </w:numPr>
            </w:pPr>
            <w:r w:rsidRPr="00F854CF">
              <w:t>market risk premium</w:t>
            </w:r>
          </w:p>
        </w:tc>
      </w:tr>
      <w:tr w:rsidR="00F854CF" w:rsidTr="00F854CF">
        <w:tc>
          <w:tcPr>
            <w:tcW w:w="4349" w:type="dxa"/>
          </w:tcPr>
          <w:p w:rsidR="00F854CF" w:rsidRPr="00F854CF" w:rsidRDefault="00F854CF" w:rsidP="00F854CF">
            <w:pPr>
              <w:numPr>
                <w:ilvl w:val="0"/>
                <w:numId w:val="25"/>
              </w:numPr>
            </w:pPr>
            <w:r w:rsidRPr="00F854CF">
              <w:t>NEL</w:t>
            </w:r>
          </w:p>
        </w:tc>
        <w:tc>
          <w:tcPr>
            <w:tcW w:w="4344" w:type="dxa"/>
          </w:tcPr>
          <w:p w:rsidR="00F854CF" w:rsidRPr="00F854CF" w:rsidRDefault="00F854CF" w:rsidP="00F854CF">
            <w:pPr>
              <w:numPr>
                <w:ilvl w:val="0"/>
                <w:numId w:val="25"/>
              </w:numPr>
            </w:pPr>
            <w:r w:rsidRPr="00F854CF">
              <w:t>national electricity law</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NEM</w:t>
            </w:r>
          </w:p>
        </w:tc>
        <w:tc>
          <w:tcPr>
            <w:tcW w:w="4344" w:type="dxa"/>
          </w:tcPr>
          <w:p w:rsidR="00F854CF" w:rsidRPr="00F854CF" w:rsidRDefault="00F854CF" w:rsidP="00F854CF">
            <w:pPr>
              <w:numPr>
                <w:ilvl w:val="0"/>
                <w:numId w:val="25"/>
              </w:numPr>
            </w:pPr>
            <w:r w:rsidRPr="00F854CF">
              <w:t>national electricity market</w:t>
            </w:r>
          </w:p>
        </w:tc>
      </w:tr>
      <w:tr w:rsidR="00F854CF" w:rsidTr="00F854CF">
        <w:tc>
          <w:tcPr>
            <w:tcW w:w="4349" w:type="dxa"/>
          </w:tcPr>
          <w:p w:rsidR="00F854CF" w:rsidRPr="00F854CF" w:rsidRDefault="00F854CF" w:rsidP="00F854CF">
            <w:pPr>
              <w:numPr>
                <w:ilvl w:val="0"/>
                <w:numId w:val="25"/>
              </w:numPr>
            </w:pPr>
            <w:r w:rsidRPr="00F854CF">
              <w:t>NEO</w:t>
            </w:r>
          </w:p>
        </w:tc>
        <w:tc>
          <w:tcPr>
            <w:tcW w:w="4344" w:type="dxa"/>
          </w:tcPr>
          <w:p w:rsidR="00F854CF" w:rsidRPr="00F854CF" w:rsidRDefault="00F854CF" w:rsidP="00F854CF">
            <w:pPr>
              <w:numPr>
                <w:ilvl w:val="0"/>
                <w:numId w:val="25"/>
              </w:numPr>
            </w:pPr>
            <w:r w:rsidRPr="00F854CF">
              <w:t>national electricity objective</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NER</w:t>
            </w:r>
          </w:p>
        </w:tc>
        <w:tc>
          <w:tcPr>
            <w:tcW w:w="4344" w:type="dxa"/>
          </w:tcPr>
          <w:p w:rsidR="00F854CF" w:rsidRPr="00F854CF" w:rsidRDefault="00F854CF" w:rsidP="00F854CF">
            <w:pPr>
              <w:numPr>
                <w:ilvl w:val="0"/>
                <w:numId w:val="25"/>
              </w:numPr>
            </w:pPr>
            <w:r w:rsidRPr="00F854CF">
              <w:t>national electricity rules</w:t>
            </w:r>
          </w:p>
        </w:tc>
      </w:tr>
      <w:tr w:rsidR="00F854CF" w:rsidTr="00F854CF">
        <w:tc>
          <w:tcPr>
            <w:tcW w:w="4349" w:type="dxa"/>
          </w:tcPr>
          <w:p w:rsidR="00F854CF" w:rsidRPr="00F854CF" w:rsidRDefault="00F854CF" w:rsidP="00F854CF">
            <w:pPr>
              <w:numPr>
                <w:ilvl w:val="0"/>
                <w:numId w:val="25"/>
              </w:numPr>
            </w:pPr>
            <w:r w:rsidRPr="00F854CF">
              <w:t>NSP</w:t>
            </w:r>
          </w:p>
        </w:tc>
        <w:tc>
          <w:tcPr>
            <w:tcW w:w="4344" w:type="dxa"/>
          </w:tcPr>
          <w:p w:rsidR="00F854CF" w:rsidRPr="00F854CF" w:rsidRDefault="00F854CF" w:rsidP="00F854CF">
            <w:pPr>
              <w:numPr>
                <w:ilvl w:val="0"/>
                <w:numId w:val="25"/>
              </w:numPr>
            </w:pPr>
            <w:r w:rsidRPr="00F854CF">
              <w:t>network service provider</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opex</w:t>
            </w:r>
          </w:p>
        </w:tc>
        <w:tc>
          <w:tcPr>
            <w:tcW w:w="4344" w:type="dxa"/>
          </w:tcPr>
          <w:p w:rsidR="00F854CF" w:rsidRPr="00F854CF" w:rsidRDefault="00F854CF" w:rsidP="00F854CF">
            <w:pPr>
              <w:numPr>
                <w:ilvl w:val="0"/>
                <w:numId w:val="25"/>
              </w:numPr>
            </w:pPr>
            <w:r w:rsidRPr="00F854CF">
              <w:t>operating expenditure</w:t>
            </w:r>
          </w:p>
        </w:tc>
      </w:tr>
      <w:tr w:rsidR="00F854CF" w:rsidTr="00F854CF">
        <w:tc>
          <w:tcPr>
            <w:tcW w:w="4349" w:type="dxa"/>
          </w:tcPr>
          <w:p w:rsidR="00F854CF" w:rsidRPr="00F854CF" w:rsidRDefault="00F854CF" w:rsidP="00F854CF">
            <w:pPr>
              <w:numPr>
                <w:ilvl w:val="0"/>
                <w:numId w:val="25"/>
              </w:numPr>
            </w:pPr>
            <w:r w:rsidRPr="00F854CF">
              <w:t>PPI</w:t>
            </w:r>
          </w:p>
        </w:tc>
        <w:tc>
          <w:tcPr>
            <w:tcW w:w="4344" w:type="dxa"/>
          </w:tcPr>
          <w:p w:rsidR="00F854CF" w:rsidRPr="00F854CF" w:rsidRDefault="00F854CF" w:rsidP="00F854CF">
            <w:pPr>
              <w:numPr>
                <w:ilvl w:val="0"/>
                <w:numId w:val="25"/>
              </w:numPr>
            </w:pPr>
            <w:r w:rsidRPr="00F854CF">
              <w:t>partial performance indicators</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PTRM</w:t>
            </w:r>
          </w:p>
        </w:tc>
        <w:tc>
          <w:tcPr>
            <w:tcW w:w="4344" w:type="dxa"/>
          </w:tcPr>
          <w:p w:rsidR="00F854CF" w:rsidRPr="00F854CF" w:rsidRDefault="00F854CF" w:rsidP="00F854CF">
            <w:pPr>
              <w:numPr>
                <w:ilvl w:val="0"/>
                <w:numId w:val="25"/>
              </w:numPr>
            </w:pPr>
            <w:r w:rsidRPr="00F854CF">
              <w:t>post-tax revenue model</w:t>
            </w:r>
          </w:p>
        </w:tc>
      </w:tr>
      <w:tr w:rsidR="00F854CF" w:rsidTr="00F854CF">
        <w:tc>
          <w:tcPr>
            <w:tcW w:w="4349" w:type="dxa"/>
          </w:tcPr>
          <w:p w:rsidR="00F854CF" w:rsidRPr="00F854CF" w:rsidRDefault="00F854CF" w:rsidP="00F854CF">
            <w:pPr>
              <w:numPr>
                <w:ilvl w:val="0"/>
                <w:numId w:val="25"/>
              </w:numPr>
            </w:pPr>
            <w:r w:rsidRPr="00F854CF">
              <w:t>RAB</w:t>
            </w:r>
          </w:p>
        </w:tc>
        <w:tc>
          <w:tcPr>
            <w:tcW w:w="4344" w:type="dxa"/>
          </w:tcPr>
          <w:p w:rsidR="00F854CF" w:rsidRPr="00F854CF" w:rsidRDefault="00F854CF" w:rsidP="00F854CF">
            <w:pPr>
              <w:numPr>
                <w:ilvl w:val="0"/>
                <w:numId w:val="25"/>
              </w:numPr>
            </w:pPr>
            <w:r w:rsidRPr="00F854CF">
              <w:t>regulatory asset base</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RBA</w:t>
            </w:r>
          </w:p>
        </w:tc>
        <w:tc>
          <w:tcPr>
            <w:tcW w:w="4344" w:type="dxa"/>
          </w:tcPr>
          <w:p w:rsidR="00F854CF" w:rsidRPr="00F854CF" w:rsidRDefault="00F854CF" w:rsidP="00F854CF">
            <w:pPr>
              <w:numPr>
                <w:ilvl w:val="0"/>
                <w:numId w:val="25"/>
              </w:numPr>
            </w:pPr>
            <w:r w:rsidRPr="00F854CF">
              <w:t>Reserve Bank of Australia</w:t>
            </w:r>
          </w:p>
        </w:tc>
      </w:tr>
      <w:tr w:rsidR="00F854CF" w:rsidTr="00F854CF">
        <w:tc>
          <w:tcPr>
            <w:tcW w:w="4349" w:type="dxa"/>
          </w:tcPr>
          <w:p w:rsidR="00F854CF" w:rsidRPr="00F854CF" w:rsidRDefault="00F854CF" w:rsidP="00F854CF">
            <w:pPr>
              <w:numPr>
                <w:ilvl w:val="0"/>
                <w:numId w:val="25"/>
              </w:numPr>
            </w:pPr>
            <w:r w:rsidRPr="00F854CF">
              <w:t>repex</w:t>
            </w:r>
          </w:p>
        </w:tc>
        <w:tc>
          <w:tcPr>
            <w:tcW w:w="4344" w:type="dxa"/>
          </w:tcPr>
          <w:p w:rsidR="00F854CF" w:rsidRPr="00F854CF" w:rsidRDefault="00F854CF" w:rsidP="00F854CF">
            <w:pPr>
              <w:numPr>
                <w:ilvl w:val="0"/>
                <w:numId w:val="25"/>
              </w:numPr>
            </w:pPr>
            <w:r w:rsidRPr="00F854CF">
              <w:t>replacement expenditure</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RFM</w:t>
            </w:r>
          </w:p>
        </w:tc>
        <w:tc>
          <w:tcPr>
            <w:tcW w:w="4344" w:type="dxa"/>
          </w:tcPr>
          <w:p w:rsidR="00F854CF" w:rsidRPr="00F854CF" w:rsidRDefault="00F854CF" w:rsidP="00F854CF">
            <w:pPr>
              <w:numPr>
                <w:ilvl w:val="0"/>
                <w:numId w:val="25"/>
              </w:numPr>
            </w:pPr>
            <w:r w:rsidRPr="00F854CF">
              <w:t>roll forward model</w:t>
            </w:r>
          </w:p>
        </w:tc>
      </w:tr>
      <w:tr w:rsidR="00F854CF" w:rsidTr="00F854CF">
        <w:tc>
          <w:tcPr>
            <w:tcW w:w="4349" w:type="dxa"/>
          </w:tcPr>
          <w:p w:rsidR="00F854CF" w:rsidRPr="00F854CF" w:rsidRDefault="00F854CF" w:rsidP="00F854CF">
            <w:pPr>
              <w:numPr>
                <w:ilvl w:val="0"/>
                <w:numId w:val="25"/>
              </w:numPr>
            </w:pPr>
            <w:r w:rsidRPr="00F854CF">
              <w:lastRenderedPageBreak/>
              <w:t>RIN</w:t>
            </w:r>
          </w:p>
        </w:tc>
        <w:tc>
          <w:tcPr>
            <w:tcW w:w="4344" w:type="dxa"/>
          </w:tcPr>
          <w:p w:rsidR="00F854CF" w:rsidRPr="00F854CF" w:rsidRDefault="00F854CF" w:rsidP="00F854CF">
            <w:pPr>
              <w:numPr>
                <w:ilvl w:val="0"/>
                <w:numId w:val="25"/>
              </w:numPr>
            </w:pPr>
            <w:r w:rsidRPr="00F854CF">
              <w:t>regulatory information notice</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RPP</w:t>
            </w:r>
          </w:p>
        </w:tc>
        <w:tc>
          <w:tcPr>
            <w:tcW w:w="4344" w:type="dxa"/>
          </w:tcPr>
          <w:p w:rsidR="00F854CF" w:rsidRPr="00F854CF" w:rsidRDefault="00F854CF" w:rsidP="00F854CF">
            <w:pPr>
              <w:numPr>
                <w:ilvl w:val="0"/>
                <w:numId w:val="25"/>
              </w:numPr>
            </w:pPr>
            <w:r w:rsidRPr="00F854CF">
              <w:t>revenue and pricing principles</w:t>
            </w:r>
          </w:p>
        </w:tc>
      </w:tr>
      <w:tr w:rsidR="00F854CF" w:rsidTr="00F854CF">
        <w:tc>
          <w:tcPr>
            <w:tcW w:w="4349" w:type="dxa"/>
          </w:tcPr>
          <w:p w:rsidR="00F854CF" w:rsidRPr="00F854CF" w:rsidRDefault="00F854CF" w:rsidP="00F854CF">
            <w:pPr>
              <w:numPr>
                <w:ilvl w:val="0"/>
                <w:numId w:val="25"/>
              </w:numPr>
            </w:pPr>
            <w:r w:rsidRPr="00F854CF">
              <w:t>SAIDI</w:t>
            </w:r>
          </w:p>
        </w:tc>
        <w:tc>
          <w:tcPr>
            <w:tcW w:w="4344" w:type="dxa"/>
          </w:tcPr>
          <w:p w:rsidR="00F854CF" w:rsidRPr="00F854CF" w:rsidRDefault="00F854CF" w:rsidP="00F854CF">
            <w:pPr>
              <w:numPr>
                <w:ilvl w:val="0"/>
                <w:numId w:val="25"/>
              </w:numPr>
            </w:pPr>
            <w:r w:rsidRPr="00F854CF">
              <w:t>system average interruption duration index</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SAIFI</w:t>
            </w:r>
          </w:p>
        </w:tc>
        <w:tc>
          <w:tcPr>
            <w:tcW w:w="4344" w:type="dxa"/>
          </w:tcPr>
          <w:p w:rsidR="00F854CF" w:rsidRPr="00F854CF" w:rsidRDefault="00F854CF" w:rsidP="00F854CF">
            <w:pPr>
              <w:numPr>
                <w:ilvl w:val="0"/>
                <w:numId w:val="25"/>
              </w:numPr>
            </w:pPr>
            <w:r w:rsidRPr="00F854CF">
              <w:t>system average interruption frequency index</w:t>
            </w:r>
          </w:p>
        </w:tc>
      </w:tr>
      <w:tr w:rsidR="00F854CF" w:rsidTr="00F854CF">
        <w:tc>
          <w:tcPr>
            <w:tcW w:w="4349" w:type="dxa"/>
          </w:tcPr>
          <w:p w:rsidR="00F854CF" w:rsidRPr="00F854CF" w:rsidRDefault="00F854CF" w:rsidP="00F854CF">
            <w:pPr>
              <w:numPr>
                <w:ilvl w:val="0"/>
                <w:numId w:val="25"/>
              </w:numPr>
            </w:pPr>
            <w:r w:rsidRPr="00F854CF">
              <w:t>SLCAPM</w:t>
            </w:r>
          </w:p>
        </w:tc>
        <w:tc>
          <w:tcPr>
            <w:tcW w:w="4344" w:type="dxa"/>
          </w:tcPr>
          <w:p w:rsidR="00F854CF" w:rsidRPr="00F854CF" w:rsidRDefault="00F854CF" w:rsidP="00F854CF">
            <w:pPr>
              <w:numPr>
                <w:ilvl w:val="0"/>
                <w:numId w:val="25"/>
              </w:numPr>
            </w:pPr>
            <w:r w:rsidRPr="00F854CF">
              <w:t>Sharpe-Lintner capital asset pricing model</w:t>
            </w:r>
          </w:p>
        </w:tc>
      </w:tr>
      <w:tr w:rsidR="00F854CF" w:rsidTr="00F854CF">
        <w:trPr>
          <w:cnfStyle w:val="000000010000" w:firstRow="0" w:lastRow="0" w:firstColumn="0" w:lastColumn="0" w:oddVBand="0" w:evenVBand="0" w:oddHBand="0" w:evenHBand="1" w:firstRowFirstColumn="0" w:firstRowLastColumn="0" w:lastRowFirstColumn="0" w:lastRowLastColumn="0"/>
        </w:trPr>
        <w:tc>
          <w:tcPr>
            <w:tcW w:w="4349" w:type="dxa"/>
          </w:tcPr>
          <w:p w:rsidR="00F854CF" w:rsidRPr="00F854CF" w:rsidRDefault="00F854CF" w:rsidP="00F854CF">
            <w:pPr>
              <w:numPr>
                <w:ilvl w:val="0"/>
                <w:numId w:val="25"/>
              </w:numPr>
            </w:pPr>
            <w:r w:rsidRPr="00F854CF">
              <w:t>STPIS</w:t>
            </w:r>
          </w:p>
        </w:tc>
        <w:tc>
          <w:tcPr>
            <w:tcW w:w="4344" w:type="dxa"/>
          </w:tcPr>
          <w:p w:rsidR="00F854CF" w:rsidRPr="00F854CF" w:rsidRDefault="00F854CF" w:rsidP="00F854CF">
            <w:pPr>
              <w:numPr>
                <w:ilvl w:val="0"/>
                <w:numId w:val="25"/>
              </w:numPr>
            </w:pPr>
            <w:r w:rsidRPr="00F854CF">
              <w:t>service target performance incentive scheme</w:t>
            </w:r>
          </w:p>
        </w:tc>
      </w:tr>
      <w:tr w:rsidR="00F854CF" w:rsidTr="00F854CF">
        <w:tc>
          <w:tcPr>
            <w:tcW w:w="4349" w:type="dxa"/>
          </w:tcPr>
          <w:p w:rsidR="00F854CF" w:rsidRPr="00F854CF" w:rsidRDefault="00F854CF" w:rsidP="00F854CF">
            <w:pPr>
              <w:numPr>
                <w:ilvl w:val="0"/>
                <w:numId w:val="25"/>
              </w:numPr>
            </w:pPr>
            <w:r w:rsidRPr="00F854CF">
              <w:t>WACC</w:t>
            </w:r>
          </w:p>
        </w:tc>
        <w:tc>
          <w:tcPr>
            <w:tcW w:w="4344" w:type="dxa"/>
          </w:tcPr>
          <w:p w:rsidR="00F854CF" w:rsidRPr="00F854CF" w:rsidRDefault="00F854CF" w:rsidP="00F854CF">
            <w:pPr>
              <w:numPr>
                <w:ilvl w:val="0"/>
                <w:numId w:val="25"/>
              </w:numPr>
            </w:pPr>
            <w:r w:rsidRPr="00F854CF">
              <w:t>weighted average cost of capital</w:t>
            </w:r>
          </w:p>
        </w:tc>
      </w:tr>
    </w:tbl>
    <w:p w:rsidR="00DE563D" w:rsidRPr="00436A39" w:rsidRDefault="00DE563D" w:rsidP="00DE563D">
      <w:pPr>
        <w:numPr>
          <w:ilvl w:val="0"/>
          <w:numId w:val="25"/>
        </w:numPr>
      </w:pPr>
    </w:p>
    <w:p w:rsidR="00DE563D" w:rsidRDefault="00DE563D" w:rsidP="00DE563D"/>
    <w:p w:rsidR="00DE563D" w:rsidRDefault="003271AA" w:rsidP="003271AA">
      <w:pPr>
        <w:pStyle w:val="Heading1"/>
      </w:pPr>
      <w:bookmarkStart w:id="10" w:name="_Toc413414927"/>
      <w:r w:rsidRPr="003271AA">
        <w:lastRenderedPageBreak/>
        <w:t>Regulatory depreciation</w:t>
      </w:r>
      <w:bookmarkEnd w:id="10"/>
      <w:r w:rsidRPr="003271AA">
        <w:t xml:space="preserve"> </w:t>
      </w:r>
    </w:p>
    <w:p w:rsidR="0028189B" w:rsidRPr="0028189B" w:rsidRDefault="0028189B" w:rsidP="0028189B">
      <w:r w:rsidRPr="0028189B">
        <w:t>Depreciation is the allowance provided so that capital investors recover their investment over the economic life of the asset (return of capital). We are required to decide on whether to approve the depreciation schedules submitted by A</w:t>
      </w:r>
      <w:r w:rsidR="00C975E6">
        <w:t>ctewAGL</w:t>
      </w:r>
      <w:r w:rsidRPr="0028189B">
        <w:t>.</w:t>
      </w:r>
      <w:r w:rsidR="007A442D">
        <w:rPr>
          <w:rStyle w:val="FootnoteReference"/>
        </w:rPr>
        <w:footnoteReference w:id="1"/>
      </w:r>
      <w:r w:rsidRPr="0028189B">
        <w:t xml:space="preserve"> In doing so, we make determinations on the indexation of the regulatory asset base (RAB) and depreciation building blocks for A</w:t>
      </w:r>
      <w:r w:rsidR="00C975E6">
        <w:t>ctewAGL</w:t>
      </w:r>
      <w:r w:rsidRPr="0028189B">
        <w:t xml:space="preserve">'s 2014–19 period. The regulatory depreciation allowance is the net total of straight-line depreciation (negative) less the indexation of the RAB (positive). </w:t>
      </w:r>
    </w:p>
    <w:p w:rsidR="00DE563D" w:rsidRDefault="0028189B" w:rsidP="0028189B">
      <w:r w:rsidRPr="0028189B">
        <w:t xml:space="preserve">This attachment sets out our </w:t>
      </w:r>
      <w:r w:rsidR="003B5018">
        <w:t>final</w:t>
      </w:r>
      <w:r w:rsidRPr="0028189B">
        <w:t xml:space="preserve"> decision on A</w:t>
      </w:r>
      <w:r w:rsidR="00C975E6">
        <w:t>ctewAGL</w:t>
      </w:r>
      <w:r w:rsidRPr="0028189B">
        <w:t xml:space="preserve">'s regulatory depreciation allowance. It also presents our </w:t>
      </w:r>
      <w:r w:rsidR="003B5018">
        <w:t>final</w:t>
      </w:r>
      <w:r w:rsidRPr="0028189B">
        <w:t xml:space="preserve"> decision on the </w:t>
      </w:r>
      <w:r w:rsidR="00FA206C">
        <w:t xml:space="preserve">revised </w:t>
      </w:r>
      <w:r w:rsidRPr="0028189B">
        <w:t xml:space="preserve">proposed depreciation schedules, including the </w:t>
      </w:r>
      <w:r w:rsidR="00FA206C">
        <w:t xml:space="preserve">revised </w:t>
      </w:r>
      <w:r w:rsidRPr="0028189B">
        <w:t xml:space="preserve">proposed standard </w:t>
      </w:r>
      <w:r w:rsidR="00A339B5">
        <w:t xml:space="preserve">asset lives </w:t>
      </w:r>
      <w:r w:rsidRPr="0028189B">
        <w:t>and remaining asset lives to be used for forecasting the depreciation allowance.</w:t>
      </w:r>
    </w:p>
    <w:p w:rsidR="00DE563D" w:rsidRPr="001754EE" w:rsidRDefault="00415F31" w:rsidP="001754EE">
      <w:pPr>
        <w:pStyle w:val="Heading2"/>
      </w:pPr>
      <w:bookmarkStart w:id="11" w:name="_Toc403144136"/>
      <w:bookmarkStart w:id="12" w:name="_Toc413414928"/>
      <w:r w:rsidRPr="001754EE">
        <w:t>Final</w:t>
      </w:r>
      <w:r w:rsidR="00DE563D" w:rsidRPr="001754EE">
        <w:t xml:space="preserve"> decision</w:t>
      </w:r>
      <w:bookmarkEnd w:id="11"/>
      <w:bookmarkEnd w:id="12"/>
    </w:p>
    <w:p w:rsidR="00F96356" w:rsidRDefault="0028189B" w:rsidP="002C233C">
      <w:r w:rsidRPr="0028189B">
        <w:t>We do not accept A</w:t>
      </w:r>
      <w:r w:rsidR="00C975E6">
        <w:t>ctewAGL</w:t>
      </w:r>
      <w:r w:rsidRPr="0028189B">
        <w:t xml:space="preserve">'s </w:t>
      </w:r>
      <w:r w:rsidR="00FA206C">
        <w:t xml:space="preserve">revised </w:t>
      </w:r>
      <w:r w:rsidRPr="0028189B">
        <w:t>proposed regulatory depreciation allowances of $</w:t>
      </w:r>
      <w:r w:rsidR="00C975E6">
        <w:t>154.5</w:t>
      </w:r>
      <w:r w:rsidRPr="0028189B">
        <w:t xml:space="preserve"> million and $</w:t>
      </w:r>
      <w:r w:rsidR="00C975E6">
        <w:t>26.1</w:t>
      </w:r>
      <w:r w:rsidRPr="0028189B">
        <w:t xml:space="preserve"> million ($ nominal) for the 2014–19 period for its distribution and transmission networks respectively. Instead, we determine regulatory depreciation allowances of $</w:t>
      </w:r>
      <w:r w:rsidR="00043519">
        <w:t xml:space="preserve">158.2 </w:t>
      </w:r>
      <w:r w:rsidRPr="0028189B">
        <w:t>million and $</w:t>
      </w:r>
      <w:r w:rsidR="00043519">
        <w:t>26.9</w:t>
      </w:r>
      <w:r w:rsidRPr="0028189B">
        <w:t xml:space="preserve"> million ($ nominal) for its distribution and transmission networks respectively. </w:t>
      </w:r>
      <w:r w:rsidR="00FA206C">
        <w:t>T</w:t>
      </w:r>
      <w:r w:rsidRPr="0028189B">
        <w:t>h</w:t>
      </w:r>
      <w:r w:rsidR="00FC7602">
        <w:t>ese</w:t>
      </w:r>
      <w:r w:rsidRPr="0028189B">
        <w:t xml:space="preserve"> represent increase</w:t>
      </w:r>
      <w:r w:rsidR="00FA206C">
        <w:t>s</w:t>
      </w:r>
      <w:r w:rsidRPr="0028189B">
        <w:t xml:space="preserve"> of </w:t>
      </w:r>
      <w:r w:rsidR="00043519">
        <w:t>2.4</w:t>
      </w:r>
      <w:r w:rsidRPr="0028189B">
        <w:t xml:space="preserve"> per cent</w:t>
      </w:r>
      <w:r w:rsidR="00F96356">
        <w:t xml:space="preserve"> and </w:t>
      </w:r>
      <w:r w:rsidR="00043519">
        <w:t>0.8</w:t>
      </w:r>
      <w:r w:rsidR="00FA206C" w:rsidRPr="0028189B">
        <w:t xml:space="preserve"> per cent</w:t>
      </w:r>
      <w:r w:rsidR="00FA206C">
        <w:t xml:space="preserve"> for</w:t>
      </w:r>
      <w:r w:rsidR="00FA206C" w:rsidRPr="0028189B">
        <w:t xml:space="preserve"> </w:t>
      </w:r>
      <w:r w:rsidRPr="0028189B">
        <w:t>A</w:t>
      </w:r>
      <w:r w:rsidR="00C975E6">
        <w:t>ctewAGL</w:t>
      </w:r>
      <w:r w:rsidRPr="0028189B">
        <w:t xml:space="preserve">'s </w:t>
      </w:r>
      <w:r w:rsidR="00FA206C">
        <w:t xml:space="preserve">distribution and </w:t>
      </w:r>
      <w:r w:rsidRPr="0028189B">
        <w:t>transmission network</w:t>
      </w:r>
      <w:r w:rsidR="00FA206C">
        <w:t>s respectively</w:t>
      </w:r>
      <w:r w:rsidRPr="0028189B">
        <w:t xml:space="preserve">. </w:t>
      </w:r>
    </w:p>
    <w:p w:rsidR="00F96356" w:rsidRDefault="00F96356" w:rsidP="00194D08">
      <w:r>
        <w:t>Our final decision on ActewAGL's regu</w:t>
      </w:r>
      <w:r w:rsidR="003142D2">
        <w:t xml:space="preserve">latory </w:t>
      </w:r>
      <w:r>
        <w:t>depre</w:t>
      </w:r>
      <w:r w:rsidR="003142D2">
        <w:t xml:space="preserve">ciation </w:t>
      </w:r>
      <w:r>
        <w:t>all</w:t>
      </w:r>
      <w:r w:rsidR="003142D2">
        <w:t>owance</w:t>
      </w:r>
      <w:r w:rsidR="00FA206C">
        <w:t>s</w:t>
      </w:r>
      <w:r>
        <w:t xml:space="preserve"> reflects our</w:t>
      </w:r>
      <w:r w:rsidR="0039272E">
        <w:t> d</w:t>
      </w:r>
      <w:r w:rsidR="004D5675">
        <w:t xml:space="preserve">eterminations on </w:t>
      </w:r>
      <w:r w:rsidR="004D5675" w:rsidRPr="00FA206C">
        <w:t xml:space="preserve">other components of </w:t>
      </w:r>
      <w:r w:rsidR="004D5675">
        <w:t>ActewAGL</w:t>
      </w:r>
      <w:r w:rsidR="004D5675" w:rsidRPr="00FA206C">
        <w:t xml:space="preserve">'s revised proposal </w:t>
      </w:r>
      <w:r w:rsidR="004D5675">
        <w:t xml:space="preserve">which </w:t>
      </w:r>
      <w:r w:rsidR="004D5675" w:rsidRPr="00FA206C">
        <w:t>affect the forecast regulatory depreciation allowance</w:t>
      </w:r>
      <w:r w:rsidR="004D5675">
        <w:t xml:space="preserve">—for example, the forecast inflation </w:t>
      </w:r>
      <w:r w:rsidR="0039272E">
        <w:t xml:space="preserve">rate </w:t>
      </w:r>
      <w:r w:rsidR="004D5675">
        <w:t xml:space="preserve">(attachment 3) and </w:t>
      </w:r>
      <w:r>
        <w:t xml:space="preserve">forecast capex allowance </w:t>
      </w:r>
      <w:r w:rsidR="003B5018">
        <w:t>(attachment 6)</w:t>
      </w:r>
      <w:r w:rsidR="004D5675">
        <w:t>.</w:t>
      </w:r>
    </w:p>
    <w:p w:rsidR="00D2438C" w:rsidRDefault="00A25DC7" w:rsidP="002C233C">
      <w:r>
        <w:fldChar w:fldCharType="begin"/>
      </w:r>
      <w:r>
        <w:instrText xml:space="preserve"> REF _Ref411605828 \h </w:instrText>
      </w:r>
      <w:r>
        <w:fldChar w:fldCharType="separate"/>
      </w:r>
      <w:r w:rsidR="00E61BA4">
        <w:t xml:space="preserve">Table </w:t>
      </w:r>
      <w:r w:rsidR="00E61BA4">
        <w:rPr>
          <w:noProof/>
        </w:rPr>
        <w:t>5</w:t>
      </w:r>
      <w:r w:rsidR="00E61BA4">
        <w:t>.</w:t>
      </w:r>
      <w:r w:rsidR="00E61BA4">
        <w:rPr>
          <w:noProof/>
        </w:rPr>
        <w:t>1</w:t>
      </w:r>
      <w:r>
        <w:fldChar w:fldCharType="end"/>
      </w:r>
      <w:r w:rsidR="00D2438C" w:rsidRPr="0028189B">
        <w:t xml:space="preserve"> and </w:t>
      </w:r>
      <w:r>
        <w:fldChar w:fldCharType="begin"/>
      </w:r>
      <w:r>
        <w:instrText xml:space="preserve"> REF _Ref411605835 \h </w:instrText>
      </w:r>
      <w:r>
        <w:fldChar w:fldCharType="separate"/>
      </w:r>
      <w:r w:rsidR="00E61BA4">
        <w:t xml:space="preserve">Table </w:t>
      </w:r>
      <w:r w:rsidR="00E61BA4">
        <w:rPr>
          <w:noProof/>
        </w:rPr>
        <w:t>5</w:t>
      </w:r>
      <w:r w:rsidR="00E61BA4">
        <w:t>.</w:t>
      </w:r>
      <w:r w:rsidR="00E61BA4">
        <w:rPr>
          <w:noProof/>
        </w:rPr>
        <w:t>2</w:t>
      </w:r>
      <w:r>
        <w:fldChar w:fldCharType="end"/>
      </w:r>
      <w:r w:rsidR="00D2438C" w:rsidRPr="0028189B">
        <w:t xml:space="preserve"> set out our </w:t>
      </w:r>
      <w:r w:rsidR="003B5018">
        <w:t>final</w:t>
      </w:r>
      <w:r w:rsidR="00D2438C" w:rsidRPr="0028189B">
        <w:t xml:space="preserve"> decision on the annual regulatory depreciation allowances over the 2014–19 period for A</w:t>
      </w:r>
      <w:r>
        <w:t>ctewAGL</w:t>
      </w:r>
      <w:r w:rsidR="00D2438C" w:rsidRPr="0028189B">
        <w:t>'s distribution and transmission networks respectively.</w:t>
      </w:r>
    </w:p>
    <w:p w:rsidR="0028189B" w:rsidRDefault="00C975E6" w:rsidP="00C975E6">
      <w:pPr>
        <w:pStyle w:val="Caption"/>
      </w:pPr>
      <w:bookmarkStart w:id="13" w:name="_Ref411605828"/>
      <w:r>
        <w:t xml:space="preserve">Table </w:t>
      </w:r>
      <w:r w:rsidR="00126DF5">
        <w:fldChar w:fldCharType="begin"/>
      </w:r>
      <w:r w:rsidR="00126DF5">
        <w:instrText xml:space="preserve"> STYLEREF 1 \s </w:instrText>
      </w:r>
      <w:r w:rsidR="00126DF5">
        <w:fldChar w:fldCharType="separate"/>
      </w:r>
      <w:r w:rsidR="00E61BA4">
        <w:rPr>
          <w:noProof/>
        </w:rPr>
        <w:t>5</w:t>
      </w:r>
      <w:r w:rsidR="00126DF5">
        <w:rPr>
          <w:noProof/>
        </w:rPr>
        <w:fldChar w:fldCharType="end"/>
      </w:r>
      <w:r w:rsidR="00E61BA4">
        <w:t>.</w:t>
      </w:r>
      <w:r w:rsidR="00126DF5">
        <w:fldChar w:fldCharType="begin"/>
      </w:r>
      <w:r w:rsidR="00126DF5">
        <w:instrText xml:space="preserve"> SEQ Table \* ARABIC \s 1 </w:instrText>
      </w:r>
      <w:r w:rsidR="00126DF5">
        <w:fldChar w:fldCharType="separate"/>
      </w:r>
      <w:r w:rsidR="00E61BA4">
        <w:rPr>
          <w:noProof/>
        </w:rPr>
        <w:t>1</w:t>
      </w:r>
      <w:r w:rsidR="00126DF5">
        <w:rPr>
          <w:noProof/>
        </w:rPr>
        <w:fldChar w:fldCharType="end"/>
      </w:r>
      <w:bookmarkEnd w:id="13"/>
      <w:r>
        <w:tab/>
        <w:t>AER's final decision on ActewAGL's depreciation all</w:t>
      </w:r>
      <w:r w:rsidR="00D2438C">
        <w:t xml:space="preserve">owance </w:t>
      </w:r>
      <w:r w:rsidR="008A6214">
        <w:t xml:space="preserve">– distribution </w:t>
      </w:r>
      <w:r w:rsidR="00D2438C">
        <w:t xml:space="preserve">($ millions, nominal) </w:t>
      </w:r>
    </w:p>
    <w:tbl>
      <w:tblPr>
        <w:tblStyle w:val="AERtable-numbers"/>
        <w:tblW w:w="0" w:type="auto"/>
        <w:tblLook w:val="04A0" w:firstRow="1" w:lastRow="0" w:firstColumn="1" w:lastColumn="0" w:noHBand="0" w:noVBand="1"/>
      </w:tblPr>
      <w:tblGrid>
        <w:gridCol w:w="3227"/>
        <w:gridCol w:w="911"/>
        <w:gridCol w:w="911"/>
        <w:gridCol w:w="911"/>
        <w:gridCol w:w="911"/>
        <w:gridCol w:w="911"/>
        <w:gridCol w:w="911"/>
      </w:tblGrid>
      <w:tr w:rsidR="0028189B" w:rsidTr="00194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28189B" w:rsidRDefault="0028189B" w:rsidP="002C233C"/>
        </w:tc>
        <w:tc>
          <w:tcPr>
            <w:tcW w:w="911" w:type="dxa"/>
          </w:tcPr>
          <w:p w:rsidR="0028189B" w:rsidRDefault="0028189B" w:rsidP="002C233C">
            <w:pPr>
              <w:cnfStyle w:val="100000000000" w:firstRow="1" w:lastRow="0" w:firstColumn="0" w:lastColumn="0" w:oddVBand="0" w:evenVBand="0" w:oddHBand="0" w:evenHBand="0" w:firstRowFirstColumn="0" w:firstRowLastColumn="0" w:lastRowFirstColumn="0" w:lastRowLastColumn="0"/>
            </w:pPr>
            <w:r>
              <w:t>2014–15</w:t>
            </w:r>
          </w:p>
        </w:tc>
        <w:tc>
          <w:tcPr>
            <w:tcW w:w="911" w:type="dxa"/>
          </w:tcPr>
          <w:p w:rsidR="0028189B" w:rsidRDefault="0028189B" w:rsidP="002C233C">
            <w:pPr>
              <w:cnfStyle w:val="100000000000" w:firstRow="1" w:lastRow="0" w:firstColumn="0" w:lastColumn="0" w:oddVBand="0" w:evenVBand="0" w:oddHBand="0" w:evenHBand="0" w:firstRowFirstColumn="0" w:firstRowLastColumn="0" w:lastRowFirstColumn="0" w:lastRowLastColumn="0"/>
            </w:pPr>
            <w:r>
              <w:t>2015–16</w:t>
            </w:r>
          </w:p>
        </w:tc>
        <w:tc>
          <w:tcPr>
            <w:tcW w:w="911" w:type="dxa"/>
          </w:tcPr>
          <w:p w:rsidR="0028189B" w:rsidRDefault="0028189B" w:rsidP="002C233C">
            <w:pPr>
              <w:cnfStyle w:val="100000000000" w:firstRow="1" w:lastRow="0" w:firstColumn="0" w:lastColumn="0" w:oddVBand="0" w:evenVBand="0" w:oddHBand="0" w:evenHBand="0" w:firstRowFirstColumn="0" w:firstRowLastColumn="0" w:lastRowFirstColumn="0" w:lastRowLastColumn="0"/>
            </w:pPr>
            <w:r>
              <w:t>2016–17</w:t>
            </w:r>
          </w:p>
        </w:tc>
        <w:tc>
          <w:tcPr>
            <w:tcW w:w="911" w:type="dxa"/>
          </w:tcPr>
          <w:p w:rsidR="0028189B" w:rsidRDefault="0028189B" w:rsidP="002C233C">
            <w:pPr>
              <w:cnfStyle w:val="100000000000" w:firstRow="1" w:lastRow="0" w:firstColumn="0" w:lastColumn="0" w:oddVBand="0" w:evenVBand="0" w:oddHBand="0" w:evenHBand="0" w:firstRowFirstColumn="0" w:firstRowLastColumn="0" w:lastRowFirstColumn="0" w:lastRowLastColumn="0"/>
            </w:pPr>
            <w:r>
              <w:t>2017–18</w:t>
            </w:r>
          </w:p>
        </w:tc>
        <w:tc>
          <w:tcPr>
            <w:tcW w:w="911" w:type="dxa"/>
          </w:tcPr>
          <w:p w:rsidR="0028189B" w:rsidRDefault="0028189B" w:rsidP="002C233C">
            <w:pPr>
              <w:cnfStyle w:val="100000000000" w:firstRow="1" w:lastRow="0" w:firstColumn="0" w:lastColumn="0" w:oddVBand="0" w:evenVBand="0" w:oddHBand="0" w:evenHBand="0" w:firstRowFirstColumn="0" w:firstRowLastColumn="0" w:lastRowFirstColumn="0" w:lastRowLastColumn="0"/>
            </w:pPr>
            <w:r>
              <w:t>2018–19</w:t>
            </w:r>
          </w:p>
        </w:tc>
        <w:tc>
          <w:tcPr>
            <w:tcW w:w="911" w:type="dxa"/>
          </w:tcPr>
          <w:p w:rsidR="0028189B" w:rsidRDefault="0028189B" w:rsidP="002C233C">
            <w:pPr>
              <w:cnfStyle w:val="100000000000" w:firstRow="1" w:lastRow="0" w:firstColumn="0" w:lastColumn="0" w:oddVBand="0" w:evenVBand="0" w:oddHBand="0" w:evenHBand="0" w:firstRowFirstColumn="0" w:firstRowLastColumn="0" w:lastRowFirstColumn="0" w:lastRowLastColumn="0"/>
            </w:pPr>
            <w:r>
              <w:t>Total</w:t>
            </w:r>
          </w:p>
        </w:tc>
      </w:tr>
      <w:tr w:rsidR="00043519" w:rsidTr="00A339B5">
        <w:tc>
          <w:tcPr>
            <w:cnfStyle w:val="001000000000" w:firstRow="0" w:lastRow="0" w:firstColumn="1" w:lastColumn="0" w:oddVBand="0" w:evenVBand="0" w:oddHBand="0" w:evenHBand="0" w:firstRowFirstColumn="0" w:firstRowLastColumn="0" w:lastRowFirstColumn="0" w:lastRowLastColumn="0"/>
            <w:tcW w:w="3227" w:type="dxa"/>
          </w:tcPr>
          <w:p w:rsidR="00043519" w:rsidRPr="00043519" w:rsidRDefault="00043519" w:rsidP="00043519">
            <w:r w:rsidRPr="00043519">
              <w:t>Straight-line depreciation</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pPr>
            <w:r w:rsidRPr="00043519">
              <w:t>44.1</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pPr>
            <w:r w:rsidRPr="00043519">
              <w:t>48.8</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pPr>
            <w:r w:rsidRPr="00043519">
              <w:t>49.9</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pPr>
            <w:r w:rsidRPr="00043519">
              <w:t>51.9</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pPr>
            <w:r w:rsidRPr="00043519">
              <w:t>52.3</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pPr>
            <w:r w:rsidRPr="00043519">
              <w:t>246.9</w:t>
            </w:r>
          </w:p>
        </w:tc>
      </w:tr>
      <w:tr w:rsidR="00043519" w:rsidTr="00A339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043519" w:rsidRPr="00043519" w:rsidRDefault="00043519" w:rsidP="00043519">
            <w:r w:rsidRPr="00043519">
              <w:rPr>
                <w:rStyle w:val="AERtextitalic"/>
              </w:rPr>
              <w:t>Less:</w:t>
            </w:r>
            <w:r w:rsidRPr="00043519">
              <w:t xml:space="preserve"> inflation indexation on opening RAB</w:t>
            </w:r>
          </w:p>
        </w:tc>
        <w:tc>
          <w:tcPr>
            <w:tcW w:w="911" w:type="dxa"/>
            <w:vAlign w:val="bottom"/>
          </w:tcPr>
          <w:p w:rsidR="00043519" w:rsidRPr="00043519" w:rsidRDefault="00043519" w:rsidP="00043519">
            <w:pPr>
              <w:cnfStyle w:val="000000010000" w:firstRow="0" w:lastRow="0" w:firstColumn="0" w:lastColumn="0" w:oddVBand="0" w:evenVBand="0" w:oddHBand="0" w:evenHBand="1" w:firstRowFirstColumn="0" w:firstRowLastColumn="0" w:lastRowFirstColumn="0" w:lastRowLastColumn="0"/>
            </w:pPr>
            <w:r w:rsidRPr="00043519">
              <w:t>16.5</w:t>
            </w:r>
          </w:p>
        </w:tc>
        <w:tc>
          <w:tcPr>
            <w:tcW w:w="911" w:type="dxa"/>
            <w:vAlign w:val="bottom"/>
          </w:tcPr>
          <w:p w:rsidR="00043519" w:rsidRPr="00043519" w:rsidRDefault="00043519" w:rsidP="00043519">
            <w:pPr>
              <w:cnfStyle w:val="000000010000" w:firstRow="0" w:lastRow="0" w:firstColumn="0" w:lastColumn="0" w:oddVBand="0" w:evenVBand="0" w:oddHBand="0" w:evenHBand="1" w:firstRowFirstColumn="0" w:firstRowLastColumn="0" w:lastRowFirstColumn="0" w:lastRowLastColumn="0"/>
            </w:pPr>
            <w:r w:rsidRPr="00043519">
              <w:t>17.4</w:t>
            </w:r>
          </w:p>
        </w:tc>
        <w:tc>
          <w:tcPr>
            <w:tcW w:w="911" w:type="dxa"/>
            <w:vAlign w:val="bottom"/>
          </w:tcPr>
          <w:p w:rsidR="00043519" w:rsidRPr="00043519" w:rsidRDefault="00043519" w:rsidP="00043519">
            <w:pPr>
              <w:cnfStyle w:val="000000010000" w:firstRow="0" w:lastRow="0" w:firstColumn="0" w:lastColumn="0" w:oddVBand="0" w:evenVBand="0" w:oddHBand="0" w:evenHBand="1" w:firstRowFirstColumn="0" w:firstRowLastColumn="0" w:lastRowFirstColumn="0" w:lastRowLastColumn="0"/>
            </w:pPr>
            <w:r w:rsidRPr="00043519">
              <w:t>17.9</w:t>
            </w:r>
          </w:p>
        </w:tc>
        <w:tc>
          <w:tcPr>
            <w:tcW w:w="911" w:type="dxa"/>
            <w:vAlign w:val="bottom"/>
          </w:tcPr>
          <w:p w:rsidR="00043519" w:rsidRPr="00043519" w:rsidRDefault="00043519" w:rsidP="00043519">
            <w:pPr>
              <w:cnfStyle w:val="000000010000" w:firstRow="0" w:lastRow="0" w:firstColumn="0" w:lastColumn="0" w:oddVBand="0" w:evenVBand="0" w:oddHBand="0" w:evenHBand="1" w:firstRowFirstColumn="0" w:firstRowLastColumn="0" w:lastRowFirstColumn="0" w:lastRowLastColumn="0"/>
            </w:pPr>
            <w:r w:rsidRPr="00043519">
              <w:t>18.3</w:t>
            </w:r>
          </w:p>
        </w:tc>
        <w:tc>
          <w:tcPr>
            <w:tcW w:w="911" w:type="dxa"/>
            <w:vAlign w:val="bottom"/>
          </w:tcPr>
          <w:p w:rsidR="00043519" w:rsidRPr="00043519" w:rsidRDefault="00043519" w:rsidP="00043519">
            <w:pPr>
              <w:cnfStyle w:val="000000010000" w:firstRow="0" w:lastRow="0" w:firstColumn="0" w:lastColumn="0" w:oddVBand="0" w:evenVBand="0" w:oddHBand="0" w:evenHBand="1" w:firstRowFirstColumn="0" w:firstRowLastColumn="0" w:lastRowFirstColumn="0" w:lastRowLastColumn="0"/>
            </w:pPr>
            <w:r w:rsidRPr="00043519">
              <w:t>18.7</w:t>
            </w:r>
          </w:p>
        </w:tc>
        <w:tc>
          <w:tcPr>
            <w:tcW w:w="911" w:type="dxa"/>
            <w:vAlign w:val="bottom"/>
          </w:tcPr>
          <w:p w:rsidR="00043519" w:rsidRPr="00043519" w:rsidRDefault="00043519" w:rsidP="00043519">
            <w:pPr>
              <w:cnfStyle w:val="000000010000" w:firstRow="0" w:lastRow="0" w:firstColumn="0" w:lastColumn="0" w:oddVBand="0" w:evenVBand="0" w:oddHBand="0" w:evenHBand="1" w:firstRowFirstColumn="0" w:firstRowLastColumn="0" w:lastRowFirstColumn="0" w:lastRowLastColumn="0"/>
            </w:pPr>
            <w:r w:rsidRPr="00043519">
              <w:t>88.7</w:t>
            </w:r>
          </w:p>
        </w:tc>
      </w:tr>
      <w:tr w:rsidR="00043519" w:rsidRPr="008A6214" w:rsidTr="00A339B5">
        <w:tc>
          <w:tcPr>
            <w:cnfStyle w:val="001000000000" w:firstRow="0" w:lastRow="0" w:firstColumn="1" w:lastColumn="0" w:oddVBand="0" w:evenVBand="0" w:oddHBand="0" w:evenHBand="0" w:firstRowFirstColumn="0" w:firstRowLastColumn="0" w:lastRowFirstColumn="0" w:lastRowLastColumn="0"/>
            <w:tcW w:w="3227" w:type="dxa"/>
          </w:tcPr>
          <w:p w:rsidR="00043519" w:rsidRPr="00043519" w:rsidRDefault="00043519" w:rsidP="00043519">
            <w:pPr>
              <w:rPr>
                <w:rStyle w:val="Strong"/>
              </w:rPr>
            </w:pPr>
            <w:r w:rsidRPr="00043519">
              <w:rPr>
                <w:rStyle w:val="Strong"/>
              </w:rPr>
              <w:t>Regulatory depreciation</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rPr>
                <w:rStyle w:val="Strong"/>
              </w:rPr>
            </w:pPr>
            <w:r w:rsidRPr="00043519">
              <w:rPr>
                <w:rStyle w:val="Strong"/>
              </w:rPr>
              <w:t>27.6</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rPr>
                <w:rStyle w:val="Strong"/>
              </w:rPr>
            </w:pPr>
            <w:r w:rsidRPr="00043519">
              <w:rPr>
                <w:rStyle w:val="Strong"/>
              </w:rPr>
              <w:t>31.4</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rPr>
                <w:rStyle w:val="Strong"/>
              </w:rPr>
            </w:pPr>
            <w:r w:rsidRPr="00043519">
              <w:rPr>
                <w:rStyle w:val="Strong"/>
              </w:rPr>
              <w:t>32.0</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rPr>
                <w:rStyle w:val="Strong"/>
              </w:rPr>
            </w:pPr>
            <w:r w:rsidRPr="00043519">
              <w:rPr>
                <w:rStyle w:val="Strong"/>
              </w:rPr>
              <w:t>33.5</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rPr>
                <w:rStyle w:val="Strong"/>
              </w:rPr>
            </w:pPr>
            <w:r w:rsidRPr="00043519">
              <w:rPr>
                <w:rStyle w:val="Strong"/>
              </w:rPr>
              <w:t>33.7</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rPr>
                <w:rStyle w:val="Strong"/>
              </w:rPr>
            </w:pPr>
            <w:r w:rsidRPr="00043519">
              <w:rPr>
                <w:rStyle w:val="Strong"/>
              </w:rPr>
              <w:t>158.2</w:t>
            </w:r>
          </w:p>
        </w:tc>
      </w:tr>
    </w:tbl>
    <w:p w:rsidR="00D2438C" w:rsidRDefault="00D2438C" w:rsidP="00D2438C">
      <w:pPr>
        <w:pStyle w:val="AERtablesource"/>
      </w:pPr>
      <w:r>
        <w:t>Source:</w:t>
      </w:r>
      <w:r>
        <w:tab/>
        <w:t>AER analysis.</w:t>
      </w:r>
    </w:p>
    <w:p w:rsidR="00D2438C" w:rsidRPr="00D2438C" w:rsidRDefault="00D2438C" w:rsidP="00D2438C">
      <w:pPr>
        <w:pStyle w:val="Caption"/>
      </w:pPr>
      <w:bookmarkStart w:id="14" w:name="_Ref411605835"/>
      <w:r>
        <w:lastRenderedPageBreak/>
        <w:t xml:space="preserve">Table </w:t>
      </w:r>
      <w:r w:rsidR="00126DF5">
        <w:fldChar w:fldCharType="begin"/>
      </w:r>
      <w:r w:rsidR="00126DF5">
        <w:instrText xml:space="preserve"> STYLEREF 1 \s </w:instrText>
      </w:r>
      <w:r w:rsidR="00126DF5">
        <w:fldChar w:fldCharType="separate"/>
      </w:r>
      <w:r w:rsidR="00E61BA4">
        <w:rPr>
          <w:noProof/>
        </w:rPr>
        <w:t>5</w:t>
      </w:r>
      <w:r w:rsidR="00126DF5">
        <w:rPr>
          <w:noProof/>
        </w:rPr>
        <w:fldChar w:fldCharType="end"/>
      </w:r>
      <w:r w:rsidR="00E61BA4">
        <w:t>.</w:t>
      </w:r>
      <w:r w:rsidR="00126DF5">
        <w:fldChar w:fldCharType="begin"/>
      </w:r>
      <w:r w:rsidR="00126DF5">
        <w:instrText xml:space="preserve"> SEQ Table \* ARABIC \s 1 </w:instrText>
      </w:r>
      <w:r w:rsidR="00126DF5">
        <w:fldChar w:fldCharType="separate"/>
      </w:r>
      <w:r w:rsidR="00E61BA4">
        <w:rPr>
          <w:noProof/>
        </w:rPr>
        <w:t>2</w:t>
      </w:r>
      <w:r w:rsidR="00126DF5">
        <w:rPr>
          <w:noProof/>
        </w:rPr>
        <w:fldChar w:fldCharType="end"/>
      </w:r>
      <w:bookmarkEnd w:id="14"/>
      <w:r>
        <w:tab/>
        <w:t xml:space="preserve">AER's final decision on ActewAGL's depreciation allowance </w:t>
      </w:r>
      <w:r w:rsidR="008A6214">
        <w:t>– transmission</w:t>
      </w:r>
      <w:r>
        <w:t xml:space="preserve"> ($ millions, nominal) </w:t>
      </w:r>
    </w:p>
    <w:tbl>
      <w:tblPr>
        <w:tblStyle w:val="AERtable-numbers"/>
        <w:tblW w:w="0" w:type="auto"/>
        <w:tblLook w:val="04A0" w:firstRow="1" w:lastRow="0" w:firstColumn="1" w:lastColumn="0" w:noHBand="0" w:noVBand="1"/>
      </w:tblPr>
      <w:tblGrid>
        <w:gridCol w:w="3227"/>
        <w:gridCol w:w="911"/>
        <w:gridCol w:w="911"/>
        <w:gridCol w:w="911"/>
        <w:gridCol w:w="911"/>
        <w:gridCol w:w="911"/>
        <w:gridCol w:w="911"/>
      </w:tblGrid>
      <w:tr w:rsidR="00D2438C" w:rsidTr="00194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D2438C" w:rsidRDefault="00D2438C" w:rsidP="00D2438C"/>
        </w:tc>
        <w:tc>
          <w:tcPr>
            <w:tcW w:w="911" w:type="dxa"/>
          </w:tcPr>
          <w:p w:rsidR="00D2438C" w:rsidRPr="00D2438C" w:rsidRDefault="00D2438C" w:rsidP="00D2438C">
            <w:pPr>
              <w:cnfStyle w:val="100000000000" w:firstRow="1" w:lastRow="0" w:firstColumn="0" w:lastColumn="0" w:oddVBand="0" w:evenVBand="0" w:oddHBand="0" w:evenHBand="0" w:firstRowFirstColumn="0" w:firstRowLastColumn="0" w:lastRowFirstColumn="0" w:lastRowLastColumn="0"/>
            </w:pPr>
            <w:r>
              <w:t>2014–15</w:t>
            </w:r>
          </w:p>
        </w:tc>
        <w:tc>
          <w:tcPr>
            <w:tcW w:w="911" w:type="dxa"/>
          </w:tcPr>
          <w:p w:rsidR="00D2438C" w:rsidRPr="00D2438C" w:rsidRDefault="00D2438C" w:rsidP="00D2438C">
            <w:pPr>
              <w:cnfStyle w:val="100000000000" w:firstRow="1" w:lastRow="0" w:firstColumn="0" w:lastColumn="0" w:oddVBand="0" w:evenVBand="0" w:oddHBand="0" w:evenHBand="0" w:firstRowFirstColumn="0" w:firstRowLastColumn="0" w:lastRowFirstColumn="0" w:lastRowLastColumn="0"/>
            </w:pPr>
            <w:r>
              <w:t>2015–16</w:t>
            </w:r>
          </w:p>
        </w:tc>
        <w:tc>
          <w:tcPr>
            <w:tcW w:w="911" w:type="dxa"/>
          </w:tcPr>
          <w:p w:rsidR="00D2438C" w:rsidRPr="00D2438C" w:rsidRDefault="00D2438C" w:rsidP="00D2438C">
            <w:pPr>
              <w:cnfStyle w:val="100000000000" w:firstRow="1" w:lastRow="0" w:firstColumn="0" w:lastColumn="0" w:oddVBand="0" w:evenVBand="0" w:oddHBand="0" w:evenHBand="0" w:firstRowFirstColumn="0" w:firstRowLastColumn="0" w:lastRowFirstColumn="0" w:lastRowLastColumn="0"/>
            </w:pPr>
            <w:r>
              <w:t>2016–17</w:t>
            </w:r>
          </w:p>
        </w:tc>
        <w:tc>
          <w:tcPr>
            <w:tcW w:w="911" w:type="dxa"/>
          </w:tcPr>
          <w:p w:rsidR="00D2438C" w:rsidRPr="00D2438C" w:rsidRDefault="00D2438C" w:rsidP="00D2438C">
            <w:pPr>
              <w:cnfStyle w:val="100000000000" w:firstRow="1" w:lastRow="0" w:firstColumn="0" w:lastColumn="0" w:oddVBand="0" w:evenVBand="0" w:oddHBand="0" w:evenHBand="0" w:firstRowFirstColumn="0" w:firstRowLastColumn="0" w:lastRowFirstColumn="0" w:lastRowLastColumn="0"/>
            </w:pPr>
            <w:r>
              <w:t>2017–18</w:t>
            </w:r>
          </w:p>
        </w:tc>
        <w:tc>
          <w:tcPr>
            <w:tcW w:w="911" w:type="dxa"/>
          </w:tcPr>
          <w:p w:rsidR="00D2438C" w:rsidRPr="00D2438C" w:rsidRDefault="00D2438C" w:rsidP="00D2438C">
            <w:pPr>
              <w:cnfStyle w:val="100000000000" w:firstRow="1" w:lastRow="0" w:firstColumn="0" w:lastColumn="0" w:oddVBand="0" w:evenVBand="0" w:oddHBand="0" w:evenHBand="0" w:firstRowFirstColumn="0" w:firstRowLastColumn="0" w:lastRowFirstColumn="0" w:lastRowLastColumn="0"/>
            </w:pPr>
            <w:r>
              <w:t>2018–19</w:t>
            </w:r>
          </w:p>
        </w:tc>
        <w:tc>
          <w:tcPr>
            <w:tcW w:w="911" w:type="dxa"/>
          </w:tcPr>
          <w:p w:rsidR="00D2438C" w:rsidRPr="00D2438C" w:rsidRDefault="00D2438C" w:rsidP="00D2438C">
            <w:pPr>
              <w:cnfStyle w:val="100000000000" w:firstRow="1" w:lastRow="0" w:firstColumn="0" w:lastColumn="0" w:oddVBand="0" w:evenVBand="0" w:oddHBand="0" w:evenHBand="0" w:firstRowFirstColumn="0" w:firstRowLastColumn="0" w:lastRowFirstColumn="0" w:lastRowLastColumn="0"/>
            </w:pPr>
            <w:r>
              <w:t>Total</w:t>
            </w:r>
          </w:p>
        </w:tc>
      </w:tr>
      <w:tr w:rsidR="00043519" w:rsidTr="00A339B5">
        <w:tc>
          <w:tcPr>
            <w:cnfStyle w:val="001000000000" w:firstRow="0" w:lastRow="0" w:firstColumn="1" w:lastColumn="0" w:oddVBand="0" w:evenVBand="0" w:oddHBand="0" w:evenHBand="0" w:firstRowFirstColumn="0" w:firstRowLastColumn="0" w:lastRowFirstColumn="0" w:lastRowLastColumn="0"/>
            <w:tcW w:w="3227" w:type="dxa"/>
          </w:tcPr>
          <w:p w:rsidR="00043519" w:rsidRPr="00043519" w:rsidRDefault="00043519" w:rsidP="00043519">
            <w:r w:rsidRPr="00043519">
              <w:t>Straight-line depreciation</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pPr>
            <w:r w:rsidRPr="00043519">
              <w:t>8.0</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pPr>
            <w:r w:rsidRPr="00043519">
              <w:t>9.0</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pPr>
            <w:r w:rsidRPr="00043519">
              <w:t>9.4</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pPr>
            <w:r w:rsidRPr="00043519">
              <w:t>10.2</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pPr>
            <w:r w:rsidRPr="00043519">
              <w:t>10.6</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pPr>
            <w:r w:rsidRPr="00043519">
              <w:t>47.3</w:t>
            </w:r>
          </w:p>
        </w:tc>
      </w:tr>
      <w:tr w:rsidR="00043519" w:rsidTr="00A339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043519" w:rsidRPr="00043519" w:rsidRDefault="00043519" w:rsidP="00043519">
            <w:r w:rsidRPr="00043519">
              <w:rPr>
                <w:rStyle w:val="AERtextitalic"/>
              </w:rPr>
              <w:t>Less:</w:t>
            </w:r>
            <w:r w:rsidRPr="00043519">
              <w:t xml:space="preserve"> inflation indexation on opening RAB</w:t>
            </w:r>
          </w:p>
        </w:tc>
        <w:tc>
          <w:tcPr>
            <w:tcW w:w="911" w:type="dxa"/>
            <w:vAlign w:val="bottom"/>
          </w:tcPr>
          <w:p w:rsidR="00043519" w:rsidRPr="00043519" w:rsidRDefault="00043519" w:rsidP="00043519">
            <w:pPr>
              <w:cnfStyle w:val="000000010000" w:firstRow="0" w:lastRow="0" w:firstColumn="0" w:lastColumn="0" w:oddVBand="0" w:evenVBand="0" w:oddHBand="0" w:evenHBand="1" w:firstRowFirstColumn="0" w:firstRowLastColumn="0" w:lastRowFirstColumn="0" w:lastRowLastColumn="0"/>
            </w:pPr>
            <w:r w:rsidRPr="00043519">
              <w:t>3.7</w:t>
            </w:r>
          </w:p>
        </w:tc>
        <w:tc>
          <w:tcPr>
            <w:tcW w:w="911" w:type="dxa"/>
            <w:vAlign w:val="bottom"/>
          </w:tcPr>
          <w:p w:rsidR="00043519" w:rsidRPr="00043519" w:rsidRDefault="00043519" w:rsidP="00043519">
            <w:pPr>
              <w:cnfStyle w:val="000000010000" w:firstRow="0" w:lastRow="0" w:firstColumn="0" w:lastColumn="0" w:oddVBand="0" w:evenVBand="0" w:oddHBand="0" w:evenHBand="1" w:firstRowFirstColumn="0" w:firstRowLastColumn="0" w:lastRowFirstColumn="0" w:lastRowLastColumn="0"/>
            </w:pPr>
            <w:r w:rsidRPr="00043519">
              <w:t>3.8</w:t>
            </w:r>
          </w:p>
        </w:tc>
        <w:tc>
          <w:tcPr>
            <w:tcW w:w="911" w:type="dxa"/>
            <w:vAlign w:val="bottom"/>
          </w:tcPr>
          <w:p w:rsidR="00043519" w:rsidRPr="00043519" w:rsidRDefault="00043519" w:rsidP="00043519">
            <w:pPr>
              <w:cnfStyle w:val="000000010000" w:firstRow="0" w:lastRow="0" w:firstColumn="0" w:lastColumn="0" w:oddVBand="0" w:evenVBand="0" w:oddHBand="0" w:evenHBand="1" w:firstRowFirstColumn="0" w:firstRowLastColumn="0" w:lastRowFirstColumn="0" w:lastRowLastColumn="0"/>
            </w:pPr>
            <w:r w:rsidRPr="00043519">
              <w:t>4.0</w:t>
            </w:r>
          </w:p>
        </w:tc>
        <w:tc>
          <w:tcPr>
            <w:tcW w:w="911" w:type="dxa"/>
            <w:vAlign w:val="bottom"/>
          </w:tcPr>
          <w:p w:rsidR="00043519" w:rsidRPr="00043519" w:rsidRDefault="00043519" w:rsidP="00043519">
            <w:pPr>
              <w:cnfStyle w:val="000000010000" w:firstRow="0" w:lastRow="0" w:firstColumn="0" w:lastColumn="0" w:oddVBand="0" w:evenVBand="0" w:oddHBand="0" w:evenHBand="1" w:firstRowFirstColumn="0" w:firstRowLastColumn="0" w:lastRowFirstColumn="0" w:lastRowLastColumn="0"/>
            </w:pPr>
            <w:r w:rsidRPr="00043519">
              <w:t>4.3</w:t>
            </w:r>
          </w:p>
        </w:tc>
        <w:tc>
          <w:tcPr>
            <w:tcW w:w="911" w:type="dxa"/>
            <w:vAlign w:val="bottom"/>
          </w:tcPr>
          <w:p w:rsidR="00043519" w:rsidRPr="00043519" w:rsidRDefault="00043519" w:rsidP="00043519">
            <w:pPr>
              <w:cnfStyle w:val="000000010000" w:firstRow="0" w:lastRow="0" w:firstColumn="0" w:lastColumn="0" w:oddVBand="0" w:evenVBand="0" w:oddHBand="0" w:evenHBand="1" w:firstRowFirstColumn="0" w:firstRowLastColumn="0" w:lastRowFirstColumn="0" w:lastRowLastColumn="0"/>
            </w:pPr>
            <w:r w:rsidRPr="00043519">
              <w:t>4.6</w:t>
            </w:r>
          </w:p>
        </w:tc>
        <w:tc>
          <w:tcPr>
            <w:tcW w:w="911" w:type="dxa"/>
            <w:vAlign w:val="bottom"/>
          </w:tcPr>
          <w:p w:rsidR="00043519" w:rsidRPr="00043519" w:rsidRDefault="00043519" w:rsidP="00043519">
            <w:pPr>
              <w:cnfStyle w:val="000000010000" w:firstRow="0" w:lastRow="0" w:firstColumn="0" w:lastColumn="0" w:oddVBand="0" w:evenVBand="0" w:oddHBand="0" w:evenHBand="1" w:firstRowFirstColumn="0" w:firstRowLastColumn="0" w:lastRowFirstColumn="0" w:lastRowLastColumn="0"/>
            </w:pPr>
            <w:r w:rsidRPr="00043519">
              <w:t>20.4</w:t>
            </w:r>
          </w:p>
        </w:tc>
      </w:tr>
      <w:tr w:rsidR="00043519" w:rsidRPr="008A6214" w:rsidTr="00A339B5">
        <w:tc>
          <w:tcPr>
            <w:cnfStyle w:val="001000000000" w:firstRow="0" w:lastRow="0" w:firstColumn="1" w:lastColumn="0" w:oddVBand="0" w:evenVBand="0" w:oddHBand="0" w:evenHBand="0" w:firstRowFirstColumn="0" w:firstRowLastColumn="0" w:lastRowFirstColumn="0" w:lastRowLastColumn="0"/>
            <w:tcW w:w="3227" w:type="dxa"/>
          </w:tcPr>
          <w:p w:rsidR="00043519" w:rsidRPr="00043519" w:rsidRDefault="00043519" w:rsidP="00043519">
            <w:pPr>
              <w:rPr>
                <w:rStyle w:val="Strong"/>
              </w:rPr>
            </w:pPr>
            <w:r w:rsidRPr="00043519">
              <w:rPr>
                <w:rStyle w:val="Strong"/>
              </w:rPr>
              <w:t>Regulatory depreciation</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rPr>
                <w:rStyle w:val="Strong"/>
              </w:rPr>
            </w:pPr>
            <w:r w:rsidRPr="00043519">
              <w:rPr>
                <w:rStyle w:val="Strong"/>
              </w:rPr>
              <w:t>4.4</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rPr>
                <w:rStyle w:val="Strong"/>
              </w:rPr>
            </w:pPr>
            <w:r w:rsidRPr="00043519">
              <w:rPr>
                <w:rStyle w:val="Strong"/>
              </w:rPr>
              <w:t>5.2</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rPr>
                <w:rStyle w:val="Strong"/>
              </w:rPr>
            </w:pPr>
            <w:r w:rsidRPr="00043519">
              <w:rPr>
                <w:rStyle w:val="Strong"/>
              </w:rPr>
              <w:t>5.4</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rPr>
                <w:rStyle w:val="Strong"/>
              </w:rPr>
            </w:pPr>
            <w:r w:rsidRPr="00043519">
              <w:rPr>
                <w:rStyle w:val="Strong"/>
              </w:rPr>
              <w:t>5.8</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rPr>
                <w:rStyle w:val="Strong"/>
              </w:rPr>
            </w:pPr>
            <w:r w:rsidRPr="00043519">
              <w:rPr>
                <w:rStyle w:val="Strong"/>
              </w:rPr>
              <w:t>6.1</w:t>
            </w:r>
          </w:p>
        </w:tc>
        <w:tc>
          <w:tcPr>
            <w:tcW w:w="911" w:type="dxa"/>
            <w:vAlign w:val="bottom"/>
          </w:tcPr>
          <w:p w:rsidR="00043519" w:rsidRPr="00043519" w:rsidRDefault="00043519" w:rsidP="00043519">
            <w:pPr>
              <w:cnfStyle w:val="000000000000" w:firstRow="0" w:lastRow="0" w:firstColumn="0" w:lastColumn="0" w:oddVBand="0" w:evenVBand="0" w:oddHBand="0" w:evenHBand="0" w:firstRowFirstColumn="0" w:firstRowLastColumn="0" w:lastRowFirstColumn="0" w:lastRowLastColumn="0"/>
              <w:rPr>
                <w:rStyle w:val="Strong"/>
              </w:rPr>
            </w:pPr>
            <w:r w:rsidRPr="00043519">
              <w:rPr>
                <w:rStyle w:val="Strong"/>
              </w:rPr>
              <w:t>26.9</w:t>
            </w:r>
          </w:p>
        </w:tc>
      </w:tr>
    </w:tbl>
    <w:p w:rsidR="00D2438C" w:rsidRDefault="00D2438C" w:rsidP="00D2438C">
      <w:pPr>
        <w:pStyle w:val="AERtablesource"/>
      </w:pPr>
      <w:r>
        <w:t>Source:</w:t>
      </w:r>
      <w:r>
        <w:tab/>
        <w:t>AER analysis.</w:t>
      </w:r>
    </w:p>
    <w:p w:rsidR="00DE563D" w:rsidRPr="001754EE" w:rsidRDefault="001F05A4" w:rsidP="001754EE">
      <w:pPr>
        <w:pStyle w:val="Heading2"/>
      </w:pPr>
      <w:bookmarkStart w:id="15" w:name="_Toc413414929"/>
      <w:r>
        <w:t>ActewAGL</w:t>
      </w:r>
      <w:r w:rsidR="00415F31" w:rsidRPr="001754EE">
        <w:t>’s revised</w:t>
      </w:r>
      <w:r w:rsidR="00DE563D" w:rsidRPr="001754EE">
        <w:t xml:space="preserve"> proposal</w:t>
      </w:r>
      <w:bookmarkEnd w:id="15"/>
    </w:p>
    <w:p w:rsidR="00CF0F0A" w:rsidRDefault="003B5018" w:rsidP="00CF0F0A">
      <w:r>
        <w:t>ActewAGL's revised proposal f</w:t>
      </w:r>
      <w:r w:rsidR="00A25DC7" w:rsidRPr="00A25DC7">
        <w:t>or the 2014–19 period</w:t>
      </w:r>
      <w:r>
        <w:t xml:space="preserve"> forecasts</w:t>
      </w:r>
      <w:r w:rsidR="00A25DC7" w:rsidRPr="00A25DC7">
        <w:t xml:space="preserve"> total regulatory depreciation allowances of $154.</w:t>
      </w:r>
      <w:r w:rsidR="003142D2">
        <w:t>5</w:t>
      </w:r>
      <w:r w:rsidR="00A25DC7" w:rsidRPr="00A25DC7">
        <w:t xml:space="preserve"> million and $2</w:t>
      </w:r>
      <w:r w:rsidR="003142D2">
        <w:t>6.1</w:t>
      </w:r>
      <w:r w:rsidR="00A25DC7" w:rsidRPr="00A25DC7">
        <w:t xml:space="preserve"> million ($ nominal) for its distribution and transmission networks respectively. </w:t>
      </w:r>
      <w:r w:rsidR="00656DDB">
        <w:t>ActewAGL's methodology for determining its</w:t>
      </w:r>
      <w:r w:rsidR="00656DDB" w:rsidRPr="00DC58F1">
        <w:t xml:space="preserve"> </w:t>
      </w:r>
      <w:r w:rsidR="00656DDB">
        <w:t>regulatory depreciation allowance</w:t>
      </w:r>
      <w:r w:rsidR="00656DDB" w:rsidRPr="00DC58F1">
        <w:t xml:space="preserve"> </w:t>
      </w:r>
      <w:r w:rsidR="00656DDB">
        <w:t>is unchanged from its initial proposal</w:t>
      </w:r>
      <w:r w:rsidR="00D5673B">
        <w:t>. We accepted the</w:t>
      </w:r>
      <w:r w:rsidR="00656DDB">
        <w:t xml:space="preserve"> approach in </w:t>
      </w:r>
      <w:r w:rsidR="00D5673B">
        <w:t>our</w:t>
      </w:r>
      <w:r w:rsidR="00656DDB">
        <w:t xml:space="preserve"> draft decision. </w:t>
      </w:r>
      <w:r w:rsidR="00656DDB" w:rsidRPr="00DD41E4">
        <w:t xml:space="preserve">To calculate the depreciation allowance, </w:t>
      </w:r>
      <w:r w:rsidR="00CF0F0A">
        <w:t>ActewAGL's revised proposal used:</w:t>
      </w:r>
      <w:r w:rsidR="006E0E8D">
        <w:rPr>
          <w:rStyle w:val="FootnoteReference"/>
        </w:rPr>
        <w:footnoteReference w:id="2"/>
      </w:r>
    </w:p>
    <w:p w:rsidR="00656DDB" w:rsidRPr="001827B0" w:rsidRDefault="00656DDB" w:rsidP="00656DDB">
      <w:pPr>
        <w:pStyle w:val="AERbulletlistfirststyle"/>
      </w:pPr>
      <w:r>
        <w:t>t</w:t>
      </w:r>
      <w:r w:rsidRPr="00DD41E4">
        <w:t xml:space="preserve">he </w:t>
      </w:r>
      <w:r w:rsidRPr="001827B0">
        <w:t>straight-line depreciation method employed in the AER's post-tax revenue model (PTRM)</w:t>
      </w:r>
    </w:p>
    <w:p w:rsidR="00CF0F0A" w:rsidRDefault="00656DDB" w:rsidP="00CF0F0A">
      <w:pPr>
        <w:pStyle w:val="AERbulletlistfirststyle"/>
      </w:pPr>
      <w:r>
        <w:t>the revised</w:t>
      </w:r>
      <w:r w:rsidR="00CF0F0A" w:rsidRPr="00A25DC7">
        <w:t xml:space="preserve"> closing RAB </w:t>
      </w:r>
      <w:r>
        <w:t xml:space="preserve">values </w:t>
      </w:r>
      <w:r w:rsidR="00CF0F0A" w:rsidRPr="00A25DC7">
        <w:t xml:space="preserve">as at 30 June 2014 derived from the AER's </w:t>
      </w:r>
      <w:r>
        <w:t>roll forward model (</w:t>
      </w:r>
      <w:r w:rsidR="00CF0F0A" w:rsidRPr="00A25DC7">
        <w:t>RFM</w:t>
      </w:r>
      <w:r>
        <w:t>)</w:t>
      </w:r>
    </w:p>
    <w:p w:rsidR="00656DDB" w:rsidRPr="00A25DC7" w:rsidRDefault="002C0DA1" w:rsidP="00656DDB">
      <w:pPr>
        <w:pStyle w:val="AERbulletlistfirststyle"/>
      </w:pPr>
      <w:r>
        <w:t xml:space="preserve">the </w:t>
      </w:r>
      <w:r w:rsidR="00656DDB">
        <w:t xml:space="preserve">revised remaining asset lives as at 1 July 2014 </w:t>
      </w:r>
      <w:r w:rsidRPr="006A2A50">
        <w:t xml:space="preserve">for depreciating </w:t>
      </w:r>
      <w:r>
        <w:t>existing</w:t>
      </w:r>
      <w:r w:rsidRPr="006A2A50">
        <w:t xml:space="preserve"> assets </w:t>
      </w:r>
      <w:r>
        <w:t xml:space="preserve">in the closing RAB as at 30 June 2014, </w:t>
      </w:r>
      <w:r w:rsidR="00656DDB">
        <w:t>due to updates made for actual capex in 2013–14</w:t>
      </w:r>
      <w:r w:rsidR="00656DDB" w:rsidRPr="00A25DC7">
        <w:t xml:space="preserve"> </w:t>
      </w:r>
    </w:p>
    <w:p w:rsidR="00656DDB" w:rsidRDefault="00656DDB" w:rsidP="00CF0F0A">
      <w:pPr>
        <w:pStyle w:val="AERbulletlistfirststyle"/>
      </w:pPr>
      <w:r>
        <w:t xml:space="preserve">the </w:t>
      </w:r>
      <w:r w:rsidR="00CF0F0A">
        <w:t xml:space="preserve">revised proposed forecast capex for </w:t>
      </w:r>
      <w:r w:rsidR="002C0DA1">
        <w:t xml:space="preserve">the </w:t>
      </w:r>
      <w:r w:rsidR="00CF0F0A">
        <w:t>2014–19 period</w:t>
      </w:r>
    </w:p>
    <w:p w:rsidR="00CF0F0A" w:rsidRPr="00A25DC7" w:rsidRDefault="006A2A50" w:rsidP="006A2A50">
      <w:pPr>
        <w:pStyle w:val="AERbulletlistfirststyle"/>
      </w:pPr>
      <w:r>
        <w:t>t</w:t>
      </w:r>
      <w:r w:rsidRPr="006A2A50">
        <w:t>he standard asset lives accepted in the draft decision for depreciating new assets associated with forecast capex for the 2014–1</w:t>
      </w:r>
      <w:r>
        <w:t>9</w:t>
      </w:r>
      <w:r w:rsidRPr="006A2A50">
        <w:t xml:space="preserve"> period</w:t>
      </w:r>
      <w:r w:rsidR="00CF0F0A">
        <w:t>.</w:t>
      </w:r>
    </w:p>
    <w:p w:rsidR="00A25DC7" w:rsidRDefault="003F3AEF" w:rsidP="00A25DC7">
      <w:r>
        <w:fldChar w:fldCharType="begin"/>
      </w:r>
      <w:r>
        <w:instrText xml:space="preserve"> REF _Ref417466180 \h </w:instrText>
      </w:r>
      <w:r>
        <w:fldChar w:fldCharType="separate"/>
      </w:r>
      <w:r w:rsidR="00E61BA4">
        <w:t xml:space="preserve">Table </w:t>
      </w:r>
      <w:r w:rsidR="00E61BA4">
        <w:rPr>
          <w:noProof/>
        </w:rPr>
        <w:t>5</w:t>
      </w:r>
      <w:r w:rsidR="00E61BA4">
        <w:t>.</w:t>
      </w:r>
      <w:r w:rsidR="00E61BA4">
        <w:rPr>
          <w:noProof/>
        </w:rPr>
        <w:t>3</w:t>
      </w:r>
      <w:r>
        <w:fldChar w:fldCharType="end"/>
      </w:r>
      <w:r w:rsidR="005F06CB">
        <w:t xml:space="preserve"> </w:t>
      </w:r>
      <w:r w:rsidR="00A25DC7" w:rsidRPr="00A25DC7">
        <w:t xml:space="preserve">and </w:t>
      </w:r>
      <w:r>
        <w:fldChar w:fldCharType="begin"/>
      </w:r>
      <w:r>
        <w:instrText xml:space="preserve"> REF _Ref417466185 \h </w:instrText>
      </w:r>
      <w:r>
        <w:fldChar w:fldCharType="separate"/>
      </w:r>
      <w:r w:rsidR="00E61BA4">
        <w:t xml:space="preserve">Table </w:t>
      </w:r>
      <w:r w:rsidR="00E61BA4">
        <w:rPr>
          <w:noProof/>
        </w:rPr>
        <w:t>5</w:t>
      </w:r>
      <w:r w:rsidR="00E61BA4">
        <w:t>.</w:t>
      </w:r>
      <w:r w:rsidR="00E61BA4">
        <w:rPr>
          <w:noProof/>
        </w:rPr>
        <w:t>4</w:t>
      </w:r>
      <w:r>
        <w:fldChar w:fldCharType="end"/>
      </w:r>
      <w:r w:rsidR="005F06CB">
        <w:t xml:space="preserve"> </w:t>
      </w:r>
      <w:r w:rsidR="00A25DC7" w:rsidRPr="00A25DC7">
        <w:t>set out ActewAGL's</w:t>
      </w:r>
      <w:r w:rsidR="006A2A50">
        <w:t xml:space="preserve"> revised</w:t>
      </w:r>
      <w:r w:rsidR="00A25DC7" w:rsidRPr="00A25DC7">
        <w:t xml:space="preserve"> proposed depreciation allowances for the 2014–19 period for its distribution and transmission networks respectively.</w:t>
      </w:r>
    </w:p>
    <w:p w:rsidR="00522FE5" w:rsidRDefault="00522FE5" w:rsidP="00A25DC7"/>
    <w:p w:rsidR="00522FE5" w:rsidRDefault="00522FE5" w:rsidP="00A25DC7"/>
    <w:p w:rsidR="00522FE5" w:rsidRDefault="00522FE5" w:rsidP="00A25DC7"/>
    <w:p w:rsidR="00A25DC7" w:rsidRDefault="00A25DC7" w:rsidP="00A25DC7">
      <w:pPr>
        <w:pStyle w:val="Caption"/>
      </w:pPr>
      <w:bookmarkStart w:id="16" w:name="_Ref417466180"/>
      <w:r>
        <w:lastRenderedPageBreak/>
        <w:t xml:space="preserve">Table </w:t>
      </w:r>
      <w:r w:rsidR="00126DF5">
        <w:fldChar w:fldCharType="begin"/>
      </w:r>
      <w:r w:rsidR="00126DF5">
        <w:instrText xml:space="preserve"> STYLEREF 1 \s </w:instrText>
      </w:r>
      <w:r w:rsidR="00126DF5">
        <w:fldChar w:fldCharType="separate"/>
      </w:r>
      <w:r w:rsidR="00E61BA4">
        <w:rPr>
          <w:noProof/>
        </w:rPr>
        <w:t>5</w:t>
      </w:r>
      <w:r w:rsidR="00126DF5">
        <w:rPr>
          <w:noProof/>
        </w:rPr>
        <w:fldChar w:fldCharType="end"/>
      </w:r>
      <w:r w:rsidR="00E61BA4">
        <w:t>.</w:t>
      </w:r>
      <w:r w:rsidR="00126DF5">
        <w:fldChar w:fldCharType="begin"/>
      </w:r>
      <w:r w:rsidR="00126DF5">
        <w:instrText xml:space="preserve"> SEQ Table \* ARABIC \s 1 </w:instrText>
      </w:r>
      <w:r w:rsidR="00126DF5">
        <w:fldChar w:fldCharType="separate"/>
      </w:r>
      <w:r w:rsidR="00E61BA4">
        <w:rPr>
          <w:noProof/>
        </w:rPr>
        <w:t>3</w:t>
      </w:r>
      <w:r w:rsidR="00126DF5">
        <w:rPr>
          <w:noProof/>
        </w:rPr>
        <w:fldChar w:fldCharType="end"/>
      </w:r>
      <w:bookmarkEnd w:id="16"/>
      <w:r>
        <w:tab/>
        <w:t xml:space="preserve">ActewAGL's </w:t>
      </w:r>
      <w:r w:rsidR="006A2A50">
        <w:t xml:space="preserve">revised </w:t>
      </w:r>
      <w:r>
        <w:t xml:space="preserve">proposed depreciation allowance for the 2014–19 period </w:t>
      </w:r>
      <w:r w:rsidR="006A2A50">
        <w:t xml:space="preserve">– distribution </w:t>
      </w:r>
      <w:r>
        <w:t>($ million, nominal)</w:t>
      </w:r>
    </w:p>
    <w:tbl>
      <w:tblPr>
        <w:tblStyle w:val="AERtable-numbers"/>
        <w:tblW w:w="0" w:type="auto"/>
        <w:tblLook w:val="04A0" w:firstRow="1" w:lastRow="0" w:firstColumn="1" w:lastColumn="0" w:noHBand="0" w:noVBand="1"/>
      </w:tblPr>
      <w:tblGrid>
        <w:gridCol w:w="3227"/>
        <w:gridCol w:w="911"/>
        <w:gridCol w:w="911"/>
        <w:gridCol w:w="911"/>
        <w:gridCol w:w="911"/>
        <w:gridCol w:w="911"/>
        <w:gridCol w:w="911"/>
      </w:tblGrid>
      <w:tr w:rsidR="00A25DC7" w:rsidTr="00194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25DC7" w:rsidRDefault="00A25DC7" w:rsidP="00A25DC7"/>
        </w:tc>
        <w:tc>
          <w:tcPr>
            <w:tcW w:w="911" w:type="dxa"/>
          </w:tcPr>
          <w:p w:rsidR="00A25DC7" w:rsidRPr="00A25DC7" w:rsidRDefault="00A25DC7" w:rsidP="00A25DC7">
            <w:pPr>
              <w:cnfStyle w:val="100000000000" w:firstRow="1" w:lastRow="0" w:firstColumn="0" w:lastColumn="0" w:oddVBand="0" w:evenVBand="0" w:oddHBand="0" w:evenHBand="0" w:firstRowFirstColumn="0" w:firstRowLastColumn="0" w:lastRowFirstColumn="0" w:lastRowLastColumn="0"/>
            </w:pPr>
            <w:r>
              <w:t>2014–15</w:t>
            </w:r>
          </w:p>
        </w:tc>
        <w:tc>
          <w:tcPr>
            <w:tcW w:w="911" w:type="dxa"/>
          </w:tcPr>
          <w:p w:rsidR="00A25DC7" w:rsidRPr="00A25DC7" w:rsidRDefault="00A25DC7" w:rsidP="00A25DC7">
            <w:pPr>
              <w:cnfStyle w:val="100000000000" w:firstRow="1" w:lastRow="0" w:firstColumn="0" w:lastColumn="0" w:oddVBand="0" w:evenVBand="0" w:oddHBand="0" w:evenHBand="0" w:firstRowFirstColumn="0" w:firstRowLastColumn="0" w:lastRowFirstColumn="0" w:lastRowLastColumn="0"/>
            </w:pPr>
            <w:r>
              <w:t>2015–16</w:t>
            </w:r>
          </w:p>
        </w:tc>
        <w:tc>
          <w:tcPr>
            <w:tcW w:w="911" w:type="dxa"/>
          </w:tcPr>
          <w:p w:rsidR="00A25DC7" w:rsidRPr="00A25DC7" w:rsidRDefault="00A25DC7" w:rsidP="00A25DC7">
            <w:pPr>
              <w:cnfStyle w:val="100000000000" w:firstRow="1" w:lastRow="0" w:firstColumn="0" w:lastColumn="0" w:oddVBand="0" w:evenVBand="0" w:oddHBand="0" w:evenHBand="0" w:firstRowFirstColumn="0" w:firstRowLastColumn="0" w:lastRowFirstColumn="0" w:lastRowLastColumn="0"/>
            </w:pPr>
            <w:r>
              <w:t>2016–17</w:t>
            </w:r>
          </w:p>
        </w:tc>
        <w:tc>
          <w:tcPr>
            <w:tcW w:w="911" w:type="dxa"/>
          </w:tcPr>
          <w:p w:rsidR="00A25DC7" w:rsidRPr="00A25DC7" w:rsidRDefault="00A25DC7" w:rsidP="00A25DC7">
            <w:pPr>
              <w:cnfStyle w:val="100000000000" w:firstRow="1" w:lastRow="0" w:firstColumn="0" w:lastColumn="0" w:oddVBand="0" w:evenVBand="0" w:oddHBand="0" w:evenHBand="0" w:firstRowFirstColumn="0" w:firstRowLastColumn="0" w:lastRowFirstColumn="0" w:lastRowLastColumn="0"/>
            </w:pPr>
            <w:r>
              <w:t>2017–18</w:t>
            </w:r>
          </w:p>
        </w:tc>
        <w:tc>
          <w:tcPr>
            <w:tcW w:w="911" w:type="dxa"/>
          </w:tcPr>
          <w:p w:rsidR="00A25DC7" w:rsidRPr="00A25DC7" w:rsidRDefault="00A25DC7" w:rsidP="00A25DC7">
            <w:pPr>
              <w:cnfStyle w:val="100000000000" w:firstRow="1" w:lastRow="0" w:firstColumn="0" w:lastColumn="0" w:oddVBand="0" w:evenVBand="0" w:oddHBand="0" w:evenHBand="0" w:firstRowFirstColumn="0" w:firstRowLastColumn="0" w:lastRowFirstColumn="0" w:lastRowLastColumn="0"/>
            </w:pPr>
            <w:r>
              <w:t>2018–19</w:t>
            </w:r>
          </w:p>
        </w:tc>
        <w:tc>
          <w:tcPr>
            <w:tcW w:w="911" w:type="dxa"/>
          </w:tcPr>
          <w:p w:rsidR="00A25DC7" w:rsidRPr="00A25DC7" w:rsidRDefault="00A25DC7" w:rsidP="00A25DC7">
            <w:pPr>
              <w:cnfStyle w:val="100000000000" w:firstRow="1" w:lastRow="0" w:firstColumn="0" w:lastColumn="0" w:oddVBand="0" w:evenVBand="0" w:oddHBand="0" w:evenHBand="0" w:firstRowFirstColumn="0" w:firstRowLastColumn="0" w:lastRowFirstColumn="0" w:lastRowLastColumn="0"/>
            </w:pPr>
            <w:r>
              <w:t>Total</w:t>
            </w:r>
          </w:p>
        </w:tc>
      </w:tr>
      <w:tr w:rsidR="00A25DC7" w:rsidTr="00194D08">
        <w:tc>
          <w:tcPr>
            <w:cnfStyle w:val="001000000000" w:firstRow="0" w:lastRow="0" w:firstColumn="1" w:lastColumn="0" w:oddVBand="0" w:evenVBand="0" w:oddHBand="0" w:evenHBand="0" w:firstRowFirstColumn="0" w:firstRowLastColumn="0" w:lastRowFirstColumn="0" w:lastRowLastColumn="0"/>
            <w:tcW w:w="3227" w:type="dxa"/>
          </w:tcPr>
          <w:p w:rsidR="00A25DC7" w:rsidRPr="00A25DC7" w:rsidRDefault="00A25DC7" w:rsidP="00A25DC7">
            <w:r>
              <w:t>Straight-line depreciation</w:t>
            </w:r>
          </w:p>
        </w:tc>
        <w:tc>
          <w:tcPr>
            <w:tcW w:w="911" w:type="dxa"/>
          </w:tcPr>
          <w:p w:rsidR="00A25DC7" w:rsidRDefault="00EE3FFC" w:rsidP="00A25DC7">
            <w:pPr>
              <w:cnfStyle w:val="000000000000" w:firstRow="0" w:lastRow="0" w:firstColumn="0" w:lastColumn="0" w:oddVBand="0" w:evenVBand="0" w:oddHBand="0" w:evenHBand="0" w:firstRowFirstColumn="0" w:firstRowLastColumn="0" w:lastRowFirstColumn="0" w:lastRowLastColumn="0"/>
            </w:pPr>
            <w:r>
              <w:t>44.1</w:t>
            </w:r>
          </w:p>
        </w:tc>
        <w:tc>
          <w:tcPr>
            <w:tcW w:w="911" w:type="dxa"/>
          </w:tcPr>
          <w:p w:rsidR="00A25DC7" w:rsidRDefault="00EE3FFC" w:rsidP="00A25DC7">
            <w:pPr>
              <w:cnfStyle w:val="000000000000" w:firstRow="0" w:lastRow="0" w:firstColumn="0" w:lastColumn="0" w:oddVBand="0" w:evenVBand="0" w:oddHBand="0" w:evenHBand="0" w:firstRowFirstColumn="0" w:firstRowLastColumn="0" w:lastRowFirstColumn="0" w:lastRowLastColumn="0"/>
            </w:pPr>
            <w:r>
              <w:t>49.0</w:t>
            </w:r>
          </w:p>
        </w:tc>
        <w:tc>
          <w:tcPr>
            <w:tcW w:w="911" w:type="dxa"/>
          </w:tcPr>
          <w:p w:rsidR="00A25DC7" w:rsidRDefault="00EE3FFC" w:rsidP="00A25DC7">
            <w:pPr>
              <w:cnfStyle w:val="000000000000" w:firstRow="0" w:lastRow="0" w:firstColumn="0" w:lastColumn="0" w:oddVBand="0" w:evenVBand="0" w:oddHBand="0" w:evenHBand="0" w:firstRowFirstColumn="0" w:firstRowLastColumn="0" w:lastRowFirstColumn="0" w:lastRowLastColumn="0"/>
            </w:pPr>
            <w:r>
              <w:t>50.2</w:t>
            </w:r>
          </w:p>
        </w:tc>
        <w:tc>
          <w:tcPr>
            <w:tcW w:w="911" w:type="dxa"/>
          </w:tcPr>
          <w:p w:rsidR="00A25DC7" w:rsidRDefault="00EE3FFC" w:rsidP="00A25DC7">
            <w:pPr>
              <w:cnfStyle w:val="000000000000" w:firstRow="0" w:lastRow="0" w:firstColumn="0" w:lastColumn="0" w:oddVBand="0" w:evenVBand="0" w:oddHBand="0" w:evenHBand="0" w:firstRowFirstColumn="0" w:firstRowLastColumn="0" w:lastRowFirstColumn="0" w:lastRowLastColumn="0"/>
            </w:pPr>
            <w:r>
              <w:t>52.4</w:t>
            </w:r>
          </w:p>
        </w:tc>
        <w:tc>
          <w:tcPr>
            <w:tcW w:w="911" w:type="dxa"/>
          </w:tcPr>
          <w:p w:rsidR="00A25DC7" w:rsidRDefault="00EE3FFC" w:rsidP="00A25DC7">
            <w:pPr>
              <w:cnfStyle w:val="000000000000" w:firstRow="0" w:lastRow="0" w:firstColumn="0" w:lastColumn="0" w:oddVBand="0" w:evenVBand="0" w:oddHBand="0" w:evenHBand="0" w:firstRowFirstColumn="0" w:firstRowLastColumn="0" w:lastRowFirstColumn="0" w:lastRowLastColumn="0"/>
            </w:pPr>
            <w:r>
              <w:t>53.1</w:t>
            </w:r>
          </w:p>
        </w:tc>
        <w:tc>
          <w:tcPr>
            <w:tcW w:w="911" w:type="dxa"/>
          </w:tcPr>
          <w:p w:rsidR="00A25DC7" w:rsidRDefault="00EE3FFC" w:rsidP="00A25DC7">
            <w:pPr>
              <w:cnfStyle w:val="000000000000" w:firstRow="0" w:lastRow="0" w:firstColumn="0" w:lastColumn="0" w:oddVBand="0" w:evenVBand="0" w:oddHBand="0" w:evenHBand="0" w:firstRowFirstColumn="0" w:firstRowLastColumn="0" w:lastRowFirstColumn="0" w:lastRowLastColumn="0"/>
            </w:pPr>
            <w:r>
              <w:t>248.8</w:t>
            </w:r>
          </w:p>
        </w:tc>
      </w:tr>
      <w:tr w:rsidR="00A25DC7"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25DC7" w:rsidRPr="00A25DC7" w:rsidRDefault="00A25DC7" w:rsidP="00A25DC7">
            <w:r w:rsidRPr="00194D08">
              <w:rPr>
                <w:rStyle w:val="AERtextitalic"/>
              </w:rPr>
              <w:t>Less:</w:t>
            </w:r>
            <w:r>
              <w:t xml:space="preserve"> inflation indexation on opening RAB</w:t>
            </w:r>
          </w:p>
        </w:tc>
        <w:tc>
          <w:tcPr>
            <w:tcW w:w="911" w:type="dxa"/>
          </w:tcPr>
          <w:p w:rsidR="00A25DC7" w:rsidRDefault="00EE3FFC" w:rsidP="00A25DC7">
            <w:pPr>
              <w:cnfStyle w:val="000000010000" w:firstRow="0" w:lastRow="0" w:firstColumn="0" w:lastColumn="0" w:oddVBand="0" w:evenVBand="0" w:oddHBand="0" w:evenHBand="1" w:firstRowFirstColumn="0" w:firstRowLastColumn="0" w:lastRowFirstColumn="0" w:lastRowLastColumn="0"/>
            </w:pPr>
            <w:r>
              <w:t>17.3</w:t>
            </w:r>
          </w:p>
        </w:tc>
        <w:tc>
          <w:tcPr>
            <w:tcW w:w="911" w:type="dxa"/>
          </w:tcPr>
          <w:p w:rsidR="00A25DC7" w:rsidRDefault="00EE3FFC" w:rsidP="00A25DC7">
            <w:pPr>
              <w:cnfStyle w:val="000000010000" w:firstRow="0" w:lastRow="0" w:firstColumn="0" w:lastColumn="0" w:oddVBand="0" w:evenVBand="0" w:oddHBand="0" w:evenHBand="1" w:firstRowFirstColumn="0" w:firstRowLastColumn="0" w:lastRowFirstColumn="0" w:lastRowLastColumn="0"/>
            </w:pPr>
            <w:r>
              <w:t>18.4</w:t>
            </w:r>
          </w:p>
        </w:tc>
        <w:tc>
          <w:tcPr>
            <w:tcW w:w="911" w:type="dxa"/>
          </w:tcPr>
          <w:p w:rsidR="00A25DC7" w:rsidRDefault="00EE3FFC" w:rsidP="00A25DC7">
            <w:pPr>
              <w:cnfStyle w:val="000000010000" w:firstRow="0" w:lastRow="0" w:firstColumn="0" w:lastColumn="0" w:oddVBand="0" w:evenVBand="0" w:oddHBand="0" w:evenHBand="1" w:firstRowFirstColumn="0" w:firstRowLastColumn="0" w:lastRowFirstColumn="0" w:lastRowLastColumn="0"/>
            </w:pPr>
            <w:r>
              <w:t>19.0</w:t>
            </w:r>
          </w:p>
        </w:tc>
        <w:tc>
          <w:tcPr>
            <w:tcW w:w="911" w:type="dxa"/>
          </w:tcPr>
          <w:p w:rsidR="00A25DC7" w:rsidRDefault="00EE3FFC" w:rsidP="00A25DC7">
            <w:pPr>
              <w:cnfStyle w:val="000000010000" w:firstRow="0" w:lastRow="0" w:firstColumn="0" w:lastColumn="0" w:oddVBand="0" w:evenVBand="0" w:oddHBand="0" w:evenHBand="1" w:firstRowFirstColumn="0" w:firstRowLastColumn="0" w:lastRowFirstColumn="0" w:lastRowLastColumn="0"/>
            </w:pPr>
            <w:r>
              <w:t>19.6</w:t>
            </w:r>
          </w:p>
        </w:tc>
        <w:tc>
          <w:tcPr>
            <w:tcW w:w="911" w:type="dxa"/>
          </w:tcPr>
          <w:p w:rsidR="00A25DC7" w:rsidRDefault="00EE3FFC" w:rsidP="00A25DC7">
            <w:pPr>
              <w:cnfStyle w:val="000000010000" w:firstRow="0" w:lastRow="0" w:firstColumn="0" w:lastColumn="0" w:oddVBand="0" w:evenVBand="0" w:oddHBand="0" w:evenHBand="1" w:firstRowFirstColumn="0" w:firstRowLastColumn="0" w:lastRowFirstColumn="0" w:lastRowLastColumn="0"/>
            </w:pPr>
            <w:r>
              <w:t>20.1</w:t>
            </w:r>
          </w:p>
        </w:tc>
        <w:tc>
          <w:tcPr>
            <w:tcW w:w="911" w:type="dxa"/>
          </w:tcPr>
          <w:p w:rsidR="00A25DC7" w:rsidRDefault="00EE3FFC" w:rsidP="00A25DC7">
            <w:pPr>
              <w:cnfStyle w:val="000000010000" w:firstRow="0" w:lastRow="0" w:firstColumn="0" w:lastColumn="0" w:oddVBand="0" w:evenVBand="0" w:oddHBand="0" w:evenHBand="1" w:firstRowFirstColumn="0" w:firstRowLastColumn="0" w:lastRowFirstColumn="0" w:lastRowLastColumn="0"/>
            </w:pPr>
            <w:r>
              <w:t>94.3</w:t>
            </w:r>
          </w:p>
        </w:tc>
      </w:tr>
      <w:tr w:rsidR="00A25DC7" w:rsidRPr="006A2A50" w:rsidTr="00194D08">
        <w:tc>
          <w:tcPr>
            <w:cnfStyle w:val="001000000000" w:firstRow="0" w:lastRow="0" w:firstColumn="1" w:lastColumn="0" w:oddVBand="0" w:evenVBand="0" w:oddHBand="0" w:evenHBand="0" w:firstRowFirstColumn="0" w:firstRowLastColumn="0" w:lastRowFirstColumn="0" w:lastRowLastColumn="0"/>
            <w:tcW w:w="3227" w:type="dxa"/>
          </w:tcPr>
          <w:p w:rsidR="00A25DC7" w:rsidRPr="00194D08" w:rsidRDefault="00A25DC7" w:rsidP="00A25DC7">
            <w:pPr>
              <w:rPr>
                <w:rStyle w:val="Strong"/>
              </w:rPr>
            </w:pPr>
            <w:r w:rsidRPr="00194D08">
              <w:rPr>
                <w:rStyle w:val="Strong"/>
              </w:rPr>
              <w:t>Regulatory depreciation</w:t>
            </w:r>
          </w:p>
        </w:tc>
        <w:tc>
          <w:tcPr>
            <w:tcW w:w="911" w:type="dxa"/>
          </w:tcPr>
          <w:p w:rsidR="00A25DC7" w:rsidRPr="00194D08" w:rsidRDefault="00EE3FFC" w:rsidP="00A25DC7">
            <w:pPr>
              <w:cnfStyle w:val="000000000000" w:firstRow="0" w:lastRow="0" w:firstColumn="0" w:lastColumn="0" w:oddVBand="0" w:evenVBand="0" w:oddHBand="0" w:evenHBand="0" w:firstRowFirstColumn="0" w:firstRowLastColumn="0" w:lastRowFirstColumn="0" w:lastRowLastColumn="0"/>
              <w:rPr>
                <w:rStyle w:val="Strong"/>
              </w:rPr>
            </w:pPr>
            <w:r w:rsidRPr="00194D08">
              <w:rPr>
                <w:rStyle w:val="Strong"/>
              </w:rPr>
              <w:t>26.8</w:t>
            </w:r>
          </w:p>
        </w:tc>
        <w:tc>
          <w:tcPr>
            <w:tcW w:w="911" w:type="dxa"/>
          </w:tcPr>
          <w:p w:rsidR="00A25DC7" w:rsidRPr="00194D08" w:rsidRDefault="00EE3FFC" w:rsidP="00A25DC7">
            <w:pPr>
              <w:cnfStyle w:val="000000000000" w:firstRow="0" w:lastRow="0" w:firstColumn="0" w:lastColumn="0" w:oddVBand="0" w:evenVBand="0" w:oddHBand="0" w:evenHBand="0" w:firstRowFirstColumn="0" w:firstRowLastColumn="0" w:lastRowFirstColumn="0" w:lastRowLastColumn="0"/>
              <w:rPr>
                <w:rStyle w:val="Strong"/>
              </w:rPr>
            </w:pPr>
            <w:r w:rsidRPr="00194D08">
              <w:rPr>
                <w:rStyle w:val="Strong"/>
              </w:rPr>
              <w:t>30.7</w:t>
            </w:r>
          </w:p>
        </w:tc>
        <w:tc>
          <w:tcPr>
            <w:tcW w:w="911" w:type="dxa"/>
          </w:tcPr>
          <w:p w:rsidR="00A25DC7" w:rsidRPr="00194D08" w:rsidRDefault="00EE3FFC" w:rsidP="00A25DC7">
            <w:pPr>
              <w:cnfStyle w:val="000000000000" w:firstRow="0" w:lastRow="0" w:firstColumn="0" w:lastColumn="0" w:oddVBand="0" w:evenVBand="0" w:oddHBand="0" w:evenHBand="0" w:firstRowFirstColumn="0" w:firstRowLastColumn="0" w:lastRowFirstColumn="0" w:lastRowLastColumn="0"/>
              <w:rPr>
                <w:rStyle w:val="Strong"/>
              </w:rPr>
            </w:pPr>
            <w:r w:rsidRPr="00194D08">
              <w:rPr>
                <w:rStyle w:val="Strong"/>
              </w:rPr>
              <w:t>31.2</w:t>
            </w:r>
          </w:p>
        </w:tc>
        <w:tc>
          <w:tcPr>
            <w:tcW w:w="911" w:type="dxa"/>
          </w:tcPr>
          <w:p w:rsidR="00A25DC7" w:rsidRPr="00194D08" w:rsidRDefault="00EE3FFC" w:rsidP="00A25DC7">
            <w:pPr>
              <w:cnfStyle w:val="000000000000" w:firstRow="0" w:lastRow="0" w:firstColumn="0" w:lastColumn="0" w:oddVBand="0" w:evenVBand="0" w:oddHBand="0" w:evenHBand="0" w:firstRowFirstColumn="0" w:firstRowLastColumn="0" w:lastRowFirstColumn="0" w:lastRowLastColumn="0"/>
              <w:rPr>
                <w:rStyle w:val="Strong"/>
              </w:rPr>
            </w:pPr>
            <w:r w:rsidRPr="00194D08">
              <w:rPr>
                <w:rStyle w:val="Strong"/>
              </w:rPr>
              <w:t>32.8</w:t>
            </w:r>
          </w:p>
        </w:tc>
        <w:tc>
          <w:tcPr>
            <w:tcW w:w="911" w:type="dxa"/>
          </w:tcPr>
          <w:p w:rsidR="00A25DC7" w:rsidRPr="00194D08" w:rsidRDefault="00EE3FFC" w:rsidP="00A25DC7">
            <w:pPr>
              <w:cnfStyle w:val="000000000000" w:firstRow="0" w:lastRow="0" w:firstColumn="0" w:lastColumn="0" w:oddVBand="0" w:evenVBand="0" w:oddHBand="0" w:evenHBand="0" w:firstRowFirstColumn="0" w:firstRowLastColumn="0" w:lastRowFirstColumn="0" w:lastRowLastColumn="0"/>
              <w:rPr>
                <w:rStyle w:val="Strong"/>
              </w:rPr>
            </w:pPr>
            <w:r w:rsidRPr="00194D08">
              <w:rPr>
                <w:rStyle w:val="Strong"/>
              </w:rPr>
              <w:t>33.0</w:t>
            </w:r>
          </w:p>
        </w:tc>
        <w:tc>
          <w:tcPr>
            <w:tcW w:w="911" w:type="dxa"/>
          </w:tcPr>
          <w:p w:rsidR="00A25DC7" w:rsidRPr="00194D08" w:rsidRDefault="00EE3FFC" w:rsidP="00A25DC7">
            <w:pPr>
              <w:cnfStyle w:val="000000000000" w:firstRow="0" w:lastRow="0" w:firstColumn="0" w:lastColumn="0" w:oddVBand="0" w:evenVBand="0" w:oddHBand="0" w:evenHBand="0" w:firstRowFirstColumn="0" w:firstRowLastColumn="0" w:lastRowFirstColumn="0" w:lastRowLastColumn="0"/>
              <w:rPr>
                <w:rStyle w:val="Strong"/>
              </w:rPr>
            </w:pPr>
            <w:r w:rsidRPr="00194D08">
              <w:rPr>
                <w:rStyle w:val="Strong"/>
              </w:rPr>
              <w:t>154.5</w:t>
            </w:r>
          </w:p>
        </w:tc>
      </w:tr>
    </w:tbl>
    <w:p w:rsidR="00A25DC7" w:rsidRDefault="00A25DC7" w:rsidP="00A25DC7">
      <w:pPr>
        <w:pStyle w:val="AERtablesource"/>
      </w:pPr>
      <w:r>
        <w:t>Source:</w:t>
      </w:r>
      <w:r>
        <w:tab/>
        <w:t xml:space="preserve">ActewAGL, </w:t>
      </w:r>
      <w:r w:rsidRPr="003B5018">
        <w:rPr>
          <w:rStyle w:val="AERtextitalic"/>
        </w:rPr>
        <w:t>Revised regulatory proposal</w:t>
      </w:r>
      <w:r>
        <w:t xml:space="preserve">, </w:t>
      </w:r>
      <w:r w:rsidR="003B5018">
        <w:t>January 2015</w:t>
      </w:r>
      <w:r>
        <w:t xml:space="preserve">, Attachment </w:t>
      </w:r>
      <w:r w:rsidR="003B5018">
        <w:t>H</w:t>
      </w:r>
      <w:r>
        <w:t>.</w:t>
      </w:r>
      <w:r w:rsidR="003B5018">
        <w:t>8</w:t>
      </w:r>
      <w:r>
        <w:t>.</w:t>
      </w:r>
    </w:p>
    <w:p w:rsidR="00A25DC7" w:rsidRDefault="00A25DC7" w:rsidP="00A25DC7">
      <w:pPr>
        <w:pStyle w:val="Caption"/>
      </w:pPr>
      <w:bookmarkStart w:id="17" w:name="_Ref417466185"/>
      <w:r>
        <w:t xml:space="preserve">Table </w:t>
      </w:r>
      <w:r w:rsidR="00126DF5">
        <w:fldChar w:fldCharType="begin"/>
      </w:r>
      <w:r w:rsidR="00126DF5">
        <w:instrText xml:space="preserve"> STYLEREF 1 \s </w:instrText>
      </w:r>
      <w:r w:rsidR="00126DF5">
        <w:fldChar w:fldCharType="separate"/>
      </w:r>
      <w:r w:rsidR="00E61BA4">
        <w:rPr>
          <w:noProof/>
        </w:rPr>
        <w:t>5</w:t>
      </w:r>
      <w:r w:rsidR="00126DF5">
        <w:rPr>
          <w:noProof/>
        </w:rPr>
        <w:fldChar w:fldCharType="end"/>
      </w:r>
      <w:r w:rsidR="00E61BA4">
        <w:t>.</w:t>
      </w:r>
      <w:r w:rsidR="00126DF5">
        <w:fldChar w:fldCharType="begin"/>
      </w:r>
      <w:r w:rsidR="00126DF5">
        <w:instrText xml:space="preserve"> SEQ Table \* ARABIC \s 1 </w:instrText>
      </w:r>
      <w:r w:rsidR="00126DF5">
        <w:fldChar w:fldCharType="separate"/>
      </w:r>
      <w:r w:rsidR="00E61BA4">
        <w:rPr>
          <w:noProof/>
        </w:rPr>
        <w:t>4</w:t>
      </w:r>
      <w:r w:rsidR="00126DF5">
        <w:rPr>
          <w:noProof/>
        </w:rPr>
        <w:fldChar w:fldCharType="end"/>
      </w:r>
      <w:bookmarkEnd w:id="17"/>
      <w:r>
        <w:tab/>
        <w:t xml:space="preserve">ActewAGL's </w:t>
      </w:r>
      <w:r w:rsidR="006A2A50">
        <w:t xml:space="preserve">revised </w:t>
      </w:r>
      <w:r>
        <w:t xml:space="preserve">proposed depreciation allowance for the 2014–19 period </w:t>
      </w:r>
      <w:r w:rsidR="006A2A50">
        <w:t xml:space="preserve">– transmission </w:t>
      </w:r>
      <w:r>
        <w:t xml:space="preserve">($ million, nominal) </w:t>
      </w:r>
    </w:p>
    <w:tbl>
      <w:tblPr>
        <w:tblStyle w:val="AERtable-numbers"/>
        <w:tblW w:w="0" w:type="auto"/>
        <w:tblLook w:val="04A0" w:firstRow="1" w:lastRow="0" w:firstColumn="1" w:lastColumn="0" w:noHBand="0" w:noVBand="1"/>
      </w:tblPr>
      <w:tblGrid>
        <w:gridCol w:w="3227"/>
        <w:gridCol w:w="911"/>
        <w:gridCol w:w="911"/>
        <w:gridCol w:w="911"/>
        <w:gridCol w:w="911"/>
        <w:gridCol w:w="911"/>
        <w:gridCol w:w="911"/>
      </w:tblGrid>
      <w:tr w:rsidR="00A25DC7" w:rsidTr="00194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25DC7" w:rsidRDefault="00A25DC7" w:rsidP="00A25DC7"/>
        </w:tc>
        <w:tc>
          <w:tcPr>
            <w:tcW w:w="911" w:type="dxa"/>
          </w:tcPr>
          <w:p w:rsidR="00A25DC7" w:rsidRPr="00A25DC7" w:rsidRDefault="00A25DC7" w:rsidP="00A25DC7">
            <w:pPr>
              <w:cnfStyle w:val="100000000000" w:firstRow="1" w:lastRow="0" w:firstColumn="0" w:lastColumn="0" w:oddVBand="0" w:evenVBand="0" w:oddHBand="0" w:evenHBand="0" w:firstRowFirstColumn="0" w:firstRowLastColumn="0" w:lastRowFirstColumn="0" w:lastRowLastColumn="0"/>
            </w:pPr>
            <w:r>
              <w:t>2014–15</w:t>
            </w:r>
          </w:p>
        </w:tc>
        <w:tc>
          <w:tcPr>
            <w:tcW w:w="911" w:type="dxa"/>
          </w:tcPr>
          <w:p w:rsidR="00A25DC7" w:rsidRPr="00A25DC7" w:rsidRDefault="00A25DC7" w:rsidP="00A25DC7">
            <w:pPr>
              <w:cnfStyle w:val="100000000000" w:firstRow="1" w:lastRow="0" w:firstColumn="0" w:lastColumn="0" w:oddVBand="0" w:evenVBand="0" w:oddHBand="0" w:evenHBand="0" w:firstRowFirstColumn="0" w:firstRowLastColumn="0" w:lastRowFirstColumn="0" w:lastRowLastColumn="0"/>
            </w:pPr>
            <w:r>
              <w:t>2015–16</w:t>
            </w:r>
          </w:p>
        </w:tc>
        <w:tc>
          <w:tcPr>
            <w:tcW w:w="911" w:type="dxa"/>
          </w:tcPr>
          <w:p w:rsidR="00A25DC7" w:rsidRPr="00A25DC7" w:rsidRDefault="00A25DC7" w:rsidP="00A25DC7">
            <w:pPr>
              <w:cnfStyle w:val="100000000000" w:firstRow="1" w:lastRow="0" w:firstColumn="0" w:lastColumn="0" w:oddVBand="0" w:evenVBand="0" w:oddHBand="0" w:evenHBand="0" w:firstRowFirstColumn="0" w:firstRowLastColumn="0" w:lastRowFirstColumn="0" w:lastRowLastColumn="0"/>
            </w:pPr>
            <w:r>
              <w:t>2016–17</w:t>
            </w:r>
          </w:p>
        </w:tc>
        <w:tc>
          <w:tcPr>
            <w:tcW w:w="911" w:type="dxa"/>
          </w:tcPr>
          <w:p w:rsidR="00A25DC7" w:rsidRPr="00A25DC7" w:rsidRDefault="00A25DC7" w:rsidP="00A25DC7">
            <w:pPr>
              <w:cnfStyle w:val="100000000000" w:firstRow="1" w:lastRow="0" w:firstColumn="0" w:lastColumn="0" w:oddVBand="0" w:evenVBand="0" w:oddHBand="0" w:evenHBand="0" w:firstRowFirstColumn="0" w:firstRowLastColumn="0" w:lastRowFirstColumn="0" w:lastRowLastColumn="0"/>
            </w:pPr>
            <w:r>
              <w:t>2017–18</w:t>
            </w:r>
          </w:p>
        </w:tc>
        <w:tc>
          <w:tcPr>
            <w:tcW w:w="911" w:type="dxa"/>
          </w:tcPr>
          <w:p w:rsidR="00A25DC7" w:rsidRPr="00A25DC7" w:rsidRDefault="00A25DC7" w:rsidP="00A25DC7">
            <w:pPr>
              <w:cnfStyle w:val="100000000000" w:firstRow="1" w:lastRow="0" w:firstColumn="0" w:lastColumn="0" w:oddVBand="0" w:evenVBand="0" w:oddHBand="0" w:evenHBand="0" w:firstRowFirstColumn="0" w:firstRowLastColumn="0" w:lastRowFirstColumn="0" w:lastRowLastColumn="0"/>
            </w:pPr>
            <w:r>
              <w:t>2018–19</w:t>
            </w:r>
          </w:p>
        </w:tc>
        <w:tc>
          <w:tcPr>
            <w:tcW w:w="911" w:type="dxa"/>
          </w:tcPr>
          <w:p w:rsidR="00A25DC7" w:rsidRPr="00A25DC7" w:rsidRDefault="00A25DC7" w:rsidP="00A25DC7">
            <w:pPr>
              <w:cnfStyle w:val="100000000000" w:firstRow="1" w:lastRow="0" w:firstColumn="0" w:lastColumn="0" w:oddVBand="0" w:evenVBand="0" w:oddHBand="0" w:evenHBand="0" w:firstRowFirstColumn="0" w:firstRowLastColumn="0" w:lastRowFirstColumn="0" w:lastRowLastColumn="0"/>
            </w:pPr>
            <w:r>
              <w:t>Total</w:t>
            </w:r>
          </w:p>
        </w:tc>
      </w:tr>
      <w:tr w:rsidR="00A25DC7" w:rsidTr="00194D08">
        <w:tc>
          <w:tcPr>
            <w:cnfStyle w:val="001000000000" w:firstRow="0" w:lastRow="0" w:firstColumn="1" w:lastColumn="0" w:oddVBand="0" w:evenVBand="0" w:oddHBand="0" w:evenHBand="0" w:firstRowFirstColumn="0" w:firstRowLastColumn="0" w:lastRowFirstColumn="0" w:lastRowLastColumn="0"/>
            <w:tcW w:w="3227" w:type="dxa"/>
          </w:tcPr>
          <w:p w:rsidR="00A25DC7" w:rsidRPr="00A25DC7" w:rsidRDefault="00A25DC7" w:rsidP="00A25DC7">
            <w:r>
              <w:t>Straight-line depreciation</w:t>
            </w:r>
          </w:p>
        </w:tc>
        <w:tc>
          <w:tcPr>
            <w:tcW w:w="911" w:type="dxa"/>
          </w:tcPr>
          <w:p w:rsidR="00A25DC7" w:rsidRDefault="00EE3FFC" w:rsidP="00A25DC7">
            <w:pPr>
              <w:cnfStyle w:val="000000000000" w:firstRow="0" w:lastRow="0" w:firstColumn="0" w:lastColumn="0" w:oddVBand="0" w:evenVBand="0" w:oddHBand="0" w:evenHBand="0" w:firstRowFirstColumn="0" w:firstRowLastColumn="0" w:lastRowFirstColumn="0" w:lastRowLastColumn="0"/>
            </w:pPr>
            <w:r>
              <w:t>8.0</w:t>
            </w:r>
          </w:p>
        </w:tc>
        <w:tc>
          <w:tcPr>
            <w:tcW w:w="911" w:type="dxa"/>
          </w:tcPr>
          <w:p w:rsidR="00A25DC7" w:rsidRDefault="00EE3FFC" w:rsidP="00A25DC7">
            <w:pPr>
              <w:cnfStyle w:val="000000000000" w:firstRow="0" w:lastRow="0" w:firstColumn="0" w:lastColumn="0" w:oddVBand="0" w:evenVBand="0" w:oddHBand="0" w:evenHBand="0" w:firstRowFirstColumn="0" w:firstRowLastColumn="0" w:lastRowFirstColumn="0" w:lastRowLastColumn="0"/>
            </w:pPr>
            <w:r>
              <w:t>9.0</w:t>
            </w:r>
          </w:p>
        </w:tc>
        <w:tc>
          <w:tcPr>
            <w:tcW w:w="911" w:type="dxa"/>
          </w:tcPr>
          <w:p w:rsidR="00A25DC7" w:rsidRDefault="00EE3FFC" w:rsidP="00A25DC7">
            <w:pPr>
              <w:cnfStyle w:val="000000000000" w:firstRow="0" w:lastRow="0" w:firstColumn="0" w:lastColumn="0" w:oddVBand="0" w:evenVBand="0" w:oddHBand="0" w:evenHBand="0" w:firstRowFirstColumn="0" w:firstRowLastColumn="0" w:lastRowFirstColumn="0" w:lastRowLastColumn="0"/>
            </w:pPr>
            <w:r>
              <w:t>9.5</w:t>
            </w:r>
          </w:p>
        </w:tc>
        <w:tc>
          <w:tcPr>
            <w:tcW w:w="911" w:type="dxa"/>
          </w:tcPr>
          <w:p w:rsidR="00A25DC7" w:rsidRDefault="00EE3FFC" w:rsidP="00A25DC7">
            <w:pPr>
              <w:cnfStyle w:val="000000000000" w:firstRow="0" w:lastRow="0" w:firstColumn="0" w:lastColumn="0" w:oddVBand="0" w:evenVBand="0" w:oddHBand="0" w:evenHBand="0" w:firstRowFirstColumn="0" w:firstRowLastColumn="0" w:lastRowFirstColumn="0" w:lastRowLastColumn="0"/>
            </w:pPr>
            <w:r>
              <w:t>10.4</w:t>
            </w:r>
          </w:p>
        </w:tc>
        <w:tc>
          <w:tcPr>
            <w:tcW w:w="911" w:type="dxa"/>
          </w:tcPr>
          <w:p w:rsidR="00A25DC7" w:rsidRDefault="00EE3FFC" w:rsidP="00A25DC7">
            <w:pPr>
              <w:cnfStyle w:val="000000000000" w:firstRow="0" w:lastRow="0" w:firstColumn="0" w:lastColumn="0" w:oddVBand="0" w:evenVBand="0" w:oddHBand="0" w:evenHBand="0" w:firstRowFirstColumn="0" w:firstRowLastColumn="0" w:lastRowFirstColumn="0" w:lastRowLastColumn="0"/>
            </w:pPr>
            <w:r>
              <w:t>11.1</w:t>
            </w:r>
          </w:p>
        </w:tc>
        <w:tc>
          <w:tcPr>
            <w:tcW w:w="911" w:type="dxa"/>
          </w:tcPr>
          <w:p w:rsidR="00A25DC7" w:rsidRDefault="00EE3FFC" w:rsidP="00A25DC7">
            <w:pPr>
              <w:cnfStyle w:val="000000000000" w:firstRow="0" w:lastRow="0" w:firstColumn="0" w:lastColumn="0" w:oddVBand="0" w:evenVBand="0" w:oddHBand="0" w:evenHBand="0" w:firstRowFirstColumn="0" w:firstRowLastColumn="0" w:lastRowFirstColumn="0" w:lastRowLastColumn="0"/>
            </w:pPr>
            <w:r>
              <w:t>48.1</w:t>
            </w:r>
          </w:p>
        </w:tc>
      </w:tr>
      <w:tr w:rsidR="00A25DC7"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A25DC7" w:rsidRPr="00A25DC7" w:rsidRDefault="00A25DC7" w:rsidP="00A25DC7">
            <w:r w:rsidRPr="00194D08">
              <w:rPr>
                <w:rStyle w:val="AERtextitalic"/>
              </w:rPr>
              <w:t>Less:</w:t>
            </w:r>
            <w:r>
              <w:t xml:space="preserve"> inflation indexation on opening RAB</w:t>
            </w:r>
          </w:p>
        </w:tc>
        <w:tc>
          <w:tcPr>
            <w:tcW w:w="911" w:type="dxa"/>
          </w:tcPr>
          <w:p w:rsidR="00A25DC7" w:rsidRDefault="00EE3FFC" w:rsidP="00A25DC7">
            <w:pPr>
              <w:cnfStyle w:val="000000010000" w:firstRow="0" w:lastRow="0" w:firstColumn="0" w:lastColumn="0" w:oddVBand="0" w:evenVBand="0" w:oddHBand="0" w:evenHBand="1" w:firstRowFirstColumn="0" w:firstRowLastColumn="0" w:lastRowFirstColumn="0" w:lastRowLastColumn="0"/>
            </w:pPr>
            <w:r>
              <w:t>3.9</w:t>
            </w:r>
          </w:p>
        </w:tc>
        <w:tc>
          <w:tcPr>
            <w:tcW w:w="911" w:type="dxa"/>
          </w:tcPr>
          <w:p w:rsidR="00A25DC7" w:rsidRDefault="00EE3FFC" w:rsidP="00A25DC7">
            <w:pPr>
              <w:cnfStyle w:val="000000010000" w:firstRow="0" w:lastRow="0" w:firstColumn="0" w:lastColumn="0" w:oddVBand="0" w:evenVBand="0" w:oddHBand="0" w:evenHBand="1" w:firstRowFirstColumn="0" w:firstRowLastColumn="0" w:lastRowFirstColumn="0" w:lastRowLastColumn="0"/>
            </w:pPr>
            <w:r>
              <w:t>4.0</w:t>
            </w:r>
          </w:p>
        </w:tc>
        <w:tc>
          <w:tcPr>
            <w:tcW w:w="911" w:type="dxa"/>
          </w:tcPr>
          <w:p w:rsidR="00A25DC7" w:rsidRDefault="00EE3FFC" w:rsidP="00A25DC7">
            <w:pPr>
              <w:cnfStyle w:val="000000010000" w:firstRow="0" w:lastRow="0" w:firstColumn="0" w:lastColumn="0" w:oddVBand="0" w:evenVBand="0" w:oddHBand="0" w:evenHBand="1" w:firstRowFirstColumn="0" w:firstRowLastColumn="0" w:lastRowFirstColumn="0" w:lastRowLastColumn="0"/>
            </w:pPr>
            <w:r>
              <w:t>4.2</w:t>
            </w:r>
          </w:p>
        </w:tc>
        <w:tc>
          <w:tcPr>
            <w:tcW w:w="911" w:type="dxa"/>
          </w:tcPr>
          <w:p w:rsidR="00A25DC7" w:rsidRDefault="00EE3FFC" w:rsidP="00A25DC7">
            <w:pPr>
              <w:cnfStyle w:val="000000010000" w:firstRow="0" w:lastRow="0" w:firstColumn="0" w:lastColumn="0" w:oddVBand="0" w:evenVBand="0" w:oddHBand="0" w:evenHBand="1" w:firstRowFirstColumn="0" w:firstRowLastColumn="0" w:lastRowFirstColumn="0" w:lastRowLastColumn="0"/>
            </w:pPr>
            <w:r>
              <w:t>4.7</w:t>
            </w:r>
          </w:p>
        </w:tc>
        <w:tc>
          <w:tcPr>
            <w:tcW w:w="911" w:type="dxa"/>
          </w:tcPr>
          <w:p w:rsidR="00A25DC7" w:rsidRDefault="00EE3FFC" w:rsidP="00A25DC7">
            <w:pPr>
              <w:cnfStyle w:val="000000010000" w:firstRow="0" w:lastRow="0" w:firstColumn="0" w:lastColumn="0" w:oddVBand="0" w:evenVBand="0" w:oddHBand="0" w:evenHBand="1" w:firstRowFirstColumn="0" w:firstRowLastColumn="0" w:lastRowFirstColumn="0" w:lastRowLastColumn="0"/>
            </w:pPr>
            <w:r>
              <w:t>5.2</w:t>
            </w:r>
          </w:p>
        </w:tc>
        <w:tc>
          <w:tcPr>
            <w:tcW w:w="911" w:type="dxa"/>
          </w:tcPr>
          <w:p w:rsidR="00A25DC7" w:rsidRDefault="00EE3FFC" w:rsidP="00A25DC7">
            <w:pPr>
              <w:cnfStyle w:val="000000010000" w:firstRow="0" w:lastRow="0" w:firstColumn="0" w:lastColumn="0" w:oddVBand="0" w:evenVBand="0" w:oddHBand="0" w:evenHBand="1" w:firstRowFirstColumn="0" w:firstRowLastColumn="0" w:lastRowFirstColumn="0" w:lastRowLastColumn="0"/>
            </w:pPr>
            <w:r>
              <w:t>22.0</w:t>
            </w:r>
          </w:p>
        </w:tc>
      </w:tr>
      <w:tr w:rsidR="00A25DC7" w:rsidRPr="006A2A50" w:rsidTr="00194D08">
        <w:tc>
          <w:tcPr>
            <w:cnfStyle w:val="001000000000" w:firstRow="0" w:lastRow="0" w:firstColumn="1" w:lastColumn="0" w:oddVBand="0" w:evenVBand="0" w:oddHBand="0" w:evenHBand="0" w:firstRowFirstColumn="0" w:firstRowLastColumn="0" w:lastRowFirstColumn="0" w:lastRowLastColumn="0"/>
            <w:tcW w:w="3227" w:type="dxa"/>
          </w:tcPr>
          <w:p w:rsidR="00A25DC7" w:rsidRPr="00194D08" w:rsidRDefault="00A25DC7" w:rsidP="00A25DC7">
            <w:pPr>
              <w:rPr>
                <w:rStyle w:val="Strong"/>
              </w:rPr>
            </w:pPr>
            <w:r w:rsidRPr="00194D08">
              <w:rPr>
                <w:rStyle w:val="Strong"/>
              </w:rPr>
              <w:t>Regulatory depreciation</w:t>
            </w:r>
          </w:p>
        </w:tc>
        <w:tc>
          <w:tcPr>
            <w:tcW w:w="911" w:type="dxa"/>
          </w:tcPr>
          <w:p w:rsidR="00A25DC7" w:rsidRPr="00194D08" w:rsidRDefault="00EE3FFC" w:rsidP="00A25DC7">
            <w:pPr>
              <w:cnfStyle w:val="000000000000" w:firstRow="0" w:lastRow="0" w:firstColumn="0" w:lastColumn="0" w:oddVBand="0" w:evenVBand="0" w:oddHBand="0" w:evenHBand="0" w:firstRowFirstColumn="0" w:firstRowLastColumn="0" w:lastRowFirstColumn="0" w:lastRowLastColumn="0"/>
              <w:rPr>
                <w:rStyle w:val="Strong"/>
              </w:rPr>
            </w:pPr>
            <w:r w:rsidRPr="00194D08">
              <w:rPr>
                <w:rStyle w:val="Strong"/>
              </w:rPr>
              <w:t>4.2</w:t>
            </w:r>
          </w:p>
        </w:tc>
        <w:tc>
          <w:tcPr>
            <w:tcW w:w="911" w:type="dxa"/>
          </w:tcPr>
          <w:p w:rsidR="00A25DC7" w:rsidRPr="00194D08" w:rsidRDefault="00EE3FFC" w:rsidP="00A25DC7">
            <w:pPr>
              <w:cnfStyle w:val="000000000000" w:firstRow="0" w:lastRow="0" w:firstColumn="0" w:lastColumn="0" w:oddVBand="0" w:evenVBand="0" w:oddHBand="0" w:evenHBand="0" w:firstRowFirstColumn="0" w:firstRowLastColumn="0" w:lastRowFirstColumn="0" w:lastRowLastColumn="0"/>
              <w:rPr>
                <w:rStyle w:val="Strong"/>
              </w:rPr>
            </w:pPr>
            <w:r w:rsidRPr="00194D08">
              <w:rPr>
                <w:rStyle w:val="Strong"/>
              </w:rPr>
              <w:t>5.0</w:t>
            </w:r>
          </w:p>
        </w:tc>
        <w:tc>
          <w:tcPr>
            <w:tcW w:w="911" w:type="dxa"/>
          </w:tcPr>
          <w:p w:rsidR="00A25DC7" w:rsidRPr="00194D08" w:rsidRDefault="00EE3FFC" w:rsidP="00A25DC7">
            <w:pPr>
              <w:cnfStyle w:val="000000000000" w:firstRow="0" w:lastRow="0" w:firstColumn="0" w:lastColumn="0" w:oddVBand="0" w:evenVBand="0" w:oddHBand="0" w:evenHBand="0" w:firstRowFirstColumn="0" w:firstRowLastColumn="0" w:lastRowFirstColumn="0" w:lastRowLastColumn="0"/>
              <w:rPr>
                <w:rStyle w:val="Strong"/>
              </w:rPr>
            </w:pPr>
            <w:r w:rsidRPr="00194D08">
              <w:rPr>
                <w:rStyle w:val="Strong"/>
              </w:rPr>
              <w:t>5.3</w:t>
            </w:r>
          </w:p>
        </w:tc>
        <w:tc>
          <w:tcPr>
            <w:tcW w:w="911" w:type="dxa"/>
          </w:tcPr>
          <w:p w:rsidR="00A25DC7" w:rsidRPr="00194D08" w:rsidRDefault="00EE3FFC" w:rsidP="00A25DC7">
            <w:pPr>
              <w:cnfStyle w:val="000000000000" w:firstRow="0" w:lastRow="0" w:firstColumn="0" w:lastColumn="0" w:oddVBand="0" w:evenVBand="0" w:oddHBand="0" w:evenHBand="0" w:firstRowFirstColumn="0" w:firstRowLastColumn="0" w:lastRowFirstColumn="0" w:lastRowLastColumn="0"/>
              <w:rPr>
                <w:rStyle w:val="Strong"/>
              </w:rPr>
            </w:pPr>
            <w:r w:rsidRPr="00194D08">
              <w:rPr>
                <w:rStyle w:val="Strong"/>
              </w:rPr>
              <w:t>5.7</w:t>
            </w:r>
          </w:p>
        </w:tc>
        <w:tc>
          <w:tcPr>
            <w:tcW w:w="911" w:type="dxa"/>
          </w:tcPr>
          <w:p w:rsidR="00A25DC7" w:rsidRPr="00194D08" w:rsidRDefault="00EE3FFC" w:rsidP="00A25DC7">
            <w:pPr>
              <w:cnfStyle w:val="000000000000" w:firstRow="0" w:lastRow="0" w:firstColumn="0" w:lastColumn="0" w:oddVBand="0" w:evenVBand="0" w:oddHBand="0" w:evenHBand="0" w:firstRowFirstColumn="0" w:firstRowLastColumn="0" w:lastRowFirstColumn="0" w:lastRowLastColumn="0"/>
              <w:rPr>
                <w:rStyle w:val="Strong"/>
              </w:rPr>
            </w:pPr>
            <w:r w:rsidRPr="00194D08">
              <w:rPr>
                <w:rStyle w:val="Strong"/>
              </w:rPr>
              <w:t>5.9</w:t>
            </w:r>
          </w:p>
        </w:tc>
        <w:tc>
          <w:tcPr>
            <w:tcW w:w="911" w:type="dxa"/>
          </w:tcPr>
          <w:p w:rsidR="00A25DC7" w:rsidRPr="00194D08" w:rsidRDefault="00EE3FFC" w:rsidP="00A25DC7">
            <w:pPr>
              <w:cnfStyle w:val="000000000000" w:firstRow="0" w:lastRow="0" w:firstColumn="0" w:lastColumn="0" w:oddVBand="0" w:evenVBand="0" w:oddHBand="0" w:evenHBand="0" w:firstRowFirstColumn="0" w:firstRowLastColumn="0" w:lastRowFirstColumn="0" w:lastRowLastColumn="0"/>
              <w:rPr>
                <w:rStyle w:val="Strong"/>
              </w:rPr>
            </w:pPr>
            <w:r w:rsidRPr="00194D08">
              <w:rPr>
                <w:rStyle w:val="Strong"/>
              </w:rPr>
              <w:t>26.1</w:t>
            </w:r>
          </w:p>
        </w:tc>
      </w:tr>
    </w:tbl>
    <w:p w:rsidR="00A25DC7" w:rsidRDefault="00A25DC7" w:rsidP="00A25DC7">
      <w:pPr>
        <w:pStyle w:val="AERtablesource"/>
      </w:pPr>
      <w:r>
        <w:t>Source:</w:t>
      </w:r>
      <w:r>
        <w:tab/>
        <w:t xml:space="preserve">ActewAGL, </w:t>
      </w:r>
      <w:r w:rsidRPr="003B5018">
        <w:rPr>
          <w:rStyle w:val="AERtextitalic"/>
        </w:rPr>
        <w:t>Revised regulatory proposal</w:t>
      </w:r>
      <w:r>
        <w:t xml:space="preserve">, </w:t>
      </w:r>
      <w:r w:rsidR="003B5018">
        <w:t>January 2015</w:t>
      </w:r>
      <w:r>
        <w:t xml:space="preserve">, Attachment </w:t>
      </w:r>
      <w:r w:rsidR="003B5018">
        <w:t>H.9</w:t>
      </w:r>
      <w:r>
        <w:t>.</w:t>
      </w:r>
    </w:p>
    <w:p w:rsidR="00DE563D" w:rsidRDefault="00DE563D" w:rsidP="001754EE">
      <w:pPr>
        <w:pStyle w:val="Heading2"/>
      </w:pPr>
      <w:bookmarkStart w:id="18" w:name="_Toc403144138"/>
      <w:bookmarkStart w:id="19" w:name="_Toc413414930"/>
      <w:r w:rsidRPr="001754EE">
        <w:t>AER’s</w:t>
      </w:r>
      <w:r>
        <w:t xml:space="preserve"> assessment approach</w:t>
      </w:r>
      <w:bookmarkEnd w:id="18"/>
      <w:bookmarkEnd w:id="19"/>
    </w:p>
    <w:p w:rsidR="00CF0F0A" w:rsidRPr="00CF0F0A" w:rsidRDefault="00CF0F0A" w:rsidP="00CF0F0A">
      <w:r>
        <w:t>We did not change our assessment approach for the regulatory depreciation allowance from our draft decision. Section 5.3 of our draft decision details that approach.</w:t>
      </w:r>
      <w:r>
        <w:rPr>
          <w:rStyle w:val="FootnoteReference"/>
        </w:rPr>
        <w:footnoteReference w:id="3"/>
      </w:r>
    </w:p>
    <w:p w:rsidR="00DE563D" w:rsidRDefault="00DE563D" w:rsidP="001754EE">
      <w:pPr>
        <w:pStyle w:val="Heading2"/>
      </w:pPr>
      <w:bookmarkStart w:id="20" w:name="_Toc403144140"/>
      <w:bookmarkStart w:id="21" w:name="_Toc413414931"/>
      <w:r w:rsidRPr="001754EE">
        <w:t>Reasons</w:t>
      </w:r>
      <w:r>
        <w:t xml:space="preserve"> for </w:t>
      </w:r>
      <w:r w:rsidR="002016E7">
        <w:t>final</w:t>
      </w:r>
      <w:r>
        <w:t xml:space="preserve"> decision</w:t>
      </w:r>
      <w:bookmarkEnd w:id="20"/>
      <w:bookmarkEnd w:id="21"/>
      <w:r>
        <w:t xml:space="preserve"> </w:t>
      </w:r>
    </w:p>
    <w:p w:rsidR="002C233C" w:rsidRDefault="00EE3FFC" w:rsidP="002C233C">
      <w:r w:rsidRPr="00EE3FFC">
        <w:t xml:space="preserve">We </w:t>
      </w:r>
      <w:r w:rsidR="00377866">
        <w:t>determine</w:t>
      </w:r>
      <w:r w:rsidR="003D1F79">
        <w:t xml:space="preserve"> regulatory depreciation allowances of $</w:t>
      </w:r>
      <w:r w:rsidR="00043519">
        <w:t>158.2</w:t>
      </w:r>
      <w:r w:rsidR="003D1F79">
        <w:t xml:space="preserve"> million and $</w:t>
      </w:r>
      <w:r w:rsidR="00043519">
        <w:t>26.9</w:t>
      </w:r>
      <w:r w:rsidR="003D1F79">
        <w:t xml:space="preserve"> million ($</w:t>
      </w:r>
      <w:r w:rsidR="00B2329E">
        <w:t> </w:t>
      </w:r>
      <w:r w:rsidR="003D1F79">
        <w:t xml:space="preserve">nominal) for ActewAGL's distribution and transmission networks respectively. In </w:t>
      </w:r>
      <w:r w:rsidR="00377866">
        <w:t>determining</w:t>
      </w:r>
      <w:r w:rsidR="003D1F79">
        <w:t xml:space="preserve"> these allowances we accept ActewAGL's </w:t>
      </w:r>
      <w:r w:rsidR="00377866">
        <w:t xml:space="preserve">revised </w:t>
      </w:r>
      <w:r w:rsidR="003D1F79">
        <w:t xml:space="preserve">proposed </w:t>
      </w:r>
      <w:r w:rsidRPr="00EE3FFC">
        <w:t xml:space="preserve">standard asset lives, and the </w:t>
      </w:r>
      <w:r w:rsidR="00377866">
        <w:t xml:space="preserve">revised </w:t>
      </w:r>
      <w:r w:rsidRPr="00EE3FFC">
        <w:t xml:space="preserve">proposed remaining asset lives as at 1 July 2014 updated to reflect </w:t>
      </w:r>
      <w:r w:rsidR="003D1F79">
        <w:t xml:space="preserve">ActewAGL's actual capex for 2013–14. </w:t>
      </w:r>
      <w:r w:rsidRPr="00EE3FFC">
        <w:t xml:space="preserve">However, we </w:t>
      </w:r>
      <w:r w:rsidR="00B2329E">
        <w:t>increased</w:t>
      </w:r>
      <w:r w:rsidRPr="00EE3FFC">
        <w:t xml:space="preserve"> ActewAGL's proposed distribution and transmission forecast regulatory depreciation allowances by $</w:t>
      </w:r>
      <w:r w:rsidR="00043519">
        <w:t>3.7</w:t>
      </w:r>
      <w:r w:rsidRPr="00EE3FFC">
        <w:t xml:space="preserve"> million (or </w:t>
      </w:r>
      <w:r w:rsidR="00043519">
        <w:t>2.4</w:t>
      </w:r>
      <w:r w:rsidRPr="00EE3FFC">
        <w:t xml:space="preserve"> per cent) and $</w:t>
      </w:r>
      <w:r w:rsidR="00043519">
        <w:t>0.8</w:t>
      </w:r>
      <w:r w:rsidRPr="00EE3FFC">
        <w:t xml:space="preserve"> million (or </w:t>
      </w:r>
      <w:r w:rsidR="00043519">
        <w:t>3.2</w:t>
      </w:r>
      <w:r w:rsidRPr="00EE3FFC">
        <w:t xml:space="preserve"> per cent), respectively. Our amendments are </w:t>
      </w:r>
      <w:r w:rsidR="003D1F79">
        <w:t xml:space="preserve">mainly </w:t>
      </w:r>
      <w:r w:rsidR="00377866">
        <w:t>driven by</w:t>
      </w:r>
      <w:r w:rsidR="003D1F79">
        <w:t xml:space="preserve"> our </w:t>
      </w:r>
      <w:r w:rsidRPr="00EE3FFC">
        <w:t>determination</w:t>
      </w:r>
      <w:r w:rsidR="00377866">
        <w:t>s</w:t>
      </w:r>
      <w:r w:rsidRPr="00EE3FFC">
        <w:t xml:space="preserve"> on </w:t>
      </w:r>
      <w:r w:rsidR="00377866">
        <w:t xml:space="preserve">other components of </w:t>
      </w:r>
      <w:r w:rsidRPr="00EE3FFC">
        <w:t>ActewAGL's re</w:t>
      </w:r>
      <w:r w:rsidR="003142D2">
        <w:t xml:space="preserve">vised </w:t>
      </w:r>
      <w:r w:rsidRPr="00EE3FFC">
        <w:t>propos</w:t>
      </w:r>
      <w:r w:rsidR="00377866">
        <w:t>al—for example,</w:t>
      </w:r>
      <w:r w:rsidR="006B3138">
        <w:t xml:space="preserve"> </w:t>
      </w:r>
      <w:r w:rsidR="0039272E">
        <w:t xml:space="preserve">the forecast inflation rate (attachment 3) and </w:t>
      </w:r>
      <w:r w:rsidRPr="00EE3FFC">
        <w:t>forecast capex (attachment 6)</w:t>
      </w:r>
      <w:r w:rsidR="0039272E">
        <w:t>—</w:t>
      </w:r>
      <w:r w:rsidRPr="00EE3FFC">
        <w:t>affect</w:t>
      </w:r>
      <w:r w:rsidR="0039272E">
        <w:t>ing</w:t>
      </w:r>
      <w:r w:rsidRPr="00EE3FFC">
        <w:t xml:space="preserve"> the forecast regulatory depreciation allowance.</w:t>
      </w:r>
      <w:r w:rsidR="00B2329E" w:rsidRPr="00B2329E">
        <w:t xml:space="preserve"> </w:t>
      </w:r>
      <w:r w:rsidR="00B2329E" w:rsidRPr="00F83034">
        <w:t xml:space="preserve">In particular, the lower forecast inflation rate used in this </w:t>
      </w:r>
      <w:r w:rsidR="00B2329E">
        <w:t>final</w:t>
      </w:r>
      <w:r w:rsidR="00B2329E" w:rsidRPr="00F83034">
        <w:t xml:space="preserve"> decision means the resulting regulatory depreciation allowance (which nets out the inflation indexation on the opening RAB) is higher than proposed.</w:t>
      </w:r>
    </w:p>
    <w:p w:rsidR="007B186E" w:rsidRDefault="007D456E" w:rsidP="001754EE">
      <w:pPr>
        <w:pStyle w:val="Heading3"/>
      </w:pPr>
      <w:bookmarkStart w:id="22" w:name="_Toc413414932"/>
      <w:r w:rsidRPr="001754EE">
        <w:lastRenderedPageBreak/>
        <w:t>S</w:t>
      </w:r>
      <w:r w:rsidR="00EE3FFC">
        <w:t>tandard asset lives</w:t>
      </w:r>
      <w:bookmarkEnd w:id="22"/>
      <w:r>
        <w:t xml:space="preserve"> </w:t>
      </w:r>
    </w:p>
    <w:p w:rsidR="00EE3FFC" w:rsidRPr="00EE3FFC" w:rsidRDefault="0039272E" w:rsidP="00EE3FFC">
      <w:r>
        <w:t>Consistent with our draft decision, w</w:t>
      </w:r>
      <w:r w:rsidR="00EE3FFC" w:rsidRPr="00EE3FFC">
        <w:t>e accept ActewAGL's proposed standard asset lives for its existing asset classes</w:t>
      </w:r>
      <w:r>
        <w:t>. This is</w:t>
      </w:r>
      <w:r w:rsidR="00EE3FFC" w:rsidRPr="00EE3FFC">
        <w:t xml:space="preserve"> because they are consistent with our approved standard asset lives for the 2009–14 regulatory control period. We are satisfied these proposed standard asset lives reflect the nature of the assets over the economic lives of the asset classes.</w:t>
      </w:r>
      <w:r>
        <w:rPr>
          <w:rStyle w:val="FootnoteReference"/>
        </w:rPr>
        <w:footnoteReference w:id="4"/>
      </w:r>
      <w:r w:rsidR="00EE3FFC" w:rsidRPr="00EE3FFC">
        <w:t xml:space="preserve"> </w:t>
      </w:r>
    </w:p>
    <w:p w:rsidR="002C233C" w:rsidRDefault="003F3AEF" w:rsidP="00EE3FFC">
      <w:r>
        <w:fldChar w:fldCharType="begin"/>
      </w:r>
      <w:r>
        <w:instrText xml:space="preserve"> REF _Ref417466286 \h </w:instrText>
      </w:r>
      <w:r>
        <w:fldChar w:fldCharType="separate"/>
      </w:r>
      <w:r w:rsidR="00E61BA4">
        <w:t xml:space="preserve">Table </w:t>
      </w:r>
      <w:r w:rsidR="00E61BA4">
        <w:rPr>
          <w:noProof/>
        </w:rPr>
        <w:t>5</w:t>
      </w:r>
      <w:r w:rsidR="00E61BA4">
        <w:t>.</w:t>
      </w:r>
      <w:r w:rsidR="00E61BA4">
        <w:rPr>
          <w:noProof/>
        </w:rPr>
        <w:t>5</w:t>
      </w:r>
      <w:r>
        <w:fldChar w:fldCharType="end"/>
      </w:r>
      <w:r w:rsidR="00EE3FFC" w:rsidRPr="00EE3FFC">
        <w:t xml:space="preserve"> and </w:t>
      </w:r>
      <w:r>
        <w:fldChar w:fldCharType="begin"/>
      </w:r>
      <w:r>
        <w:instrText xml:space="preserve"> REF _Ref411608141 \h </w:instrText>
      </w:r>
      <w:r>
        <w:fldChar w:fldCharType="separate"/>
      </w:r>
      <w:r w:rsidR="00E61BA4">
        <w:t xml:space="preserve">Table </w:t>
      </w:r>
      <w:r w:rsidR="00E61BA4">
        <w:rPr>
          <w:noProof/>
        </w:rPr>
        <w:t>5</w:t>
      </w:r>
      <w:r w:rsidR="00E61BA4">
        <w:t>.</w:t>
      </w:r>
      <w:r w:rsidR="00E61BA4">
        <w:rPr>
          <w:noProof/>
        </w:rPr>
        <w:t>6</w:t>
      </w:r>
      <w:r>
        <w:fldChar w:fldCharType="end"/>
      </w:r>
      <w:r w:rsidR="005F06CB">
        <w:t xml:space="preserve"> </w:t>
      </w:r>
      <w:r w:rsidR="00EE3FFC" w:rsidRPr="00EE3FFC">
        <w:t xml:space="preserve">set out our </w:t>
      </w:r>
      <w:r w:rsidR="003B5018">
        <w:t>final</w:t>
      </w:r>
      <w:r w:rsidR="00EE3FFC" w:rsidRPr="00EE3FFC">
        <w:t xml:space="preserve"> decision on ActewAGL's standard asset lives for the 2014–19 period, for its distribution and transmission networks respectively.</w:t>
      </w:r>
    </w:p>
    <w:p w:rsidR="007B186E" w:rsidRDefault="00EE3FFC" w:rsidP="001754EE">
      <w:pPr>
        <w:pStyle w:val="Heading3"/>
      </w:pPr>
      <w:bookmarkStart w:id="23" w:name="_Toc413414933"/>
      <w:r>
        <w:t>Remaining asset lives</w:t>
      </w:r>
      <w:bookmarkEnd w:id="23"/>
      <w:r w:rsidR="007D456E">
        <w:t xml:space="preserve"> </w:t>
      </w:r>
    </w:p>
    <w:p w:rsidR="0039272E" w:rsidRDefault="00EE3FFC" w:rsidP="00EE3FFC">
      <w:r w:rsidRPr="00EE3FFC">
        <w:t xml:space="preserve">We accept ActewAGL's </w:t>
      </w:r>
      <w:r w:rsidR="0039272E">
        <w:t xml:space="preserve">revised </w:t>
      </w:r>
      <w:r w:rsidRPr="00EE3FFC">
        <w:t>proposed remaining asset lives as at 1 July 2014</w:t>
      </w:r>
      <w:r w:rsidR="0039272E">
        <w:t xml:space="preserve">, which </w:t>
      </w:r>
      <w:r w:rsidR="00DD1C14">
        <w:t>reflect the update</w:t>
      </w:r>
      <w:r w:rsidR="000702C7">
        <w:t>s made</w:t>
      </w:r>
      <w:r w:rsidR="00DD1C14">
        <w:t xml:space="preserve"> </w:t>
      </w:r>
      <w:r w:rsidR="000702C7">
        <w:t>in the RAB roll forward for</w:t>
      </w:r>
      <w:r w:rsidR="00DD1C14">
        <w:t xml:space="preserve"> </w:t>
      </w:r>
      <w:r w:rsidR="000702C7">
        <w:t xml:space="preserve">2013–14 </w:t>
      </w:r>
      <w:r w:rsidR="00DD1C14">
        <w:t xml:space="preserve">actual capex </w:t>
      </w:r>
      <w:r w:rsidR="000702C7">
        <w:t>as discussed in attachment 2</w:t>
      </w:r>
      <w:r w:rsidR="00DD1C14">
        <w:t>.</w:t>
      </w:r>
      <w:r w:rsidRPr="00EE3FFC">
        <w:t xml:space="preserve"> </w:t>
      </w:r>
    </w:p>
    <w:p w:rsidR="000702C7" w:rsidRDefault="00DD1C14" w:rsidP="000702C7">
      <w:r>
        <w:t xml:space="preserve">In </w:t>
      </w:r>
      <w:r w:rsidR="000702C7">
        <w:t>the</w:t>
      </w:r>
      <w:r>
        <w:t xml:space="preserve"> draft decision, </w:t>
      </w:r>
      <w:r w:rsidR="000702C7">
        <w:t>w</w:t>
      </w:r>
      <w:r w:rsidR="000702C7" w:rsidRPr="000702C7">
        <w:t xml:space="preserve">e noted that the remaining asset lives would be updated for the final decision because </w:t>
      </w:r>
      <w:r w:rsidR="000702C7">
        <w:t>ActewAGL'</w:t>
      </w:r>
      <w:r w:rsidR="000702C7" w:rsidRPr="000702C7">
        <w:t xml:space="preserve">s revised proposal would include revisions for 2013–14 actual capex. This is because the 2013–14 capex values are used to calculate the </w:t>
      </w:r>
      <w:r w:rsidR="000702C7">
        <w:t>remaining</w:t>
      </w:r>
      <w:r w:rsidR="000702C7" w:rsidRPr="000702C7">
        <w:t xml:space="preserve"> asset lives. </w:t>
      </w:r>
      <w:r w:rsidR="000702C7">
        <w:t>We are satisfied that the updates to the 2013–14 actual capex have been reflected in the revised proposed remaining asset lives.</w:t>
      </w:r>
    </w:p>
    <w:p w:rsidR="00E61BA4" w:rsidRDefault="000702C7" w:rsidP="00E61BA4">
      <w:r>
        <w:t>Consistent with our draft decision, we note our</w:t>
      </w:r>
      <w:r w:rsidR="003D1F79">
        <w:t xml:space="preserve"> concerns </w:t>
      </w:r>
      <w:r w:rsidR="001D2869">
        <w:t xml:space="preserve">with </w:t>
      </w:r>
      <w:r w:rsidR="001D2869" w:rsidRPr="005335F1">
        <w:t>ActewAGL</w:t>
      </w:r>
      <w:r w:rsidR="001D2869">
        <w:t>'s</w:t>
      </w:r>
      <w:r w:rsidR="001D2869" w:rsidRPr="005335F1">
        <w:t xml:space="preserve"> proposed approach</w:t>
      </w:r>
      <w:r w:rsidR="001D2869">
        <w:rPr>
          <w:rStyle w:val="FootnoteReference"/>
        </w:rPr>
        <w:footnoteReference w:id="5"/>
      </w:r>
      <w:r w:rsidR="001D2869" w:rsidRPr="005335F1">
        <w:t xml:space="preserve"> </w:t>
      </w:r>
      <w:r w:rsidR="001D2869">
        <w:t xml:space="preserve">to calculate the remaining asset lives which </w:t>
      </w:r>
      <w:r w:rsidR="001D2869" w:rsidRPr="005335F1">
        <w:t>differs from the AER's preferred weighted average remaining life approach.</w:t>
      </w:r>
      <w:r w:rsidR="001D2869">
        <w:rPr>
          <w:rStyle w:val="FootnoteReference"/>
        </w:rPr>
        <w:footnoteReference w:id="6"/>
      </w:r>
      <w:r w:rsidR="001D2869" w:rsidRPr="005335F1">
        <w:t xml:space="preserve"> </w:t>
      </w:r>
      <w:r w:rsidR="001D2869">
        <w:t>We consider ActewAGL's proposed approach tend</w:t>
      </w:r>
      <w:r w:rsidR="006C0CD1">
        <w:t>s</w:t>
      </w:r>
      <w:r w:rsidR="001D2869">
        <w:t xml:space="preserve"> to </w:t>
      </w:r>
      <w:r w:rsidR="001D2869" w:rsidRPr="004A1E82">
        <w:t>systematically underestimate the remaining asset life</w:t>
      </w:r>
      <w:r w:rsidR="001D2869">
        <w:t xml:space="preserve">. We note that </w:t>
      </w:r>
      <w:r w:rsidR="001D2869" w:rsidRPr="005335F1">
        <w:t xml:space="preserve">in ActewAGL's case the </w:t>
      </w:r>
      <w:r w:rsidR="001D2869">
        <w:t>biased effect</w:t>
      </w:r>
      <w:r w:rsidR="001D2869" w:rsidRPr="005335F1">
        <w:t xml:space="preserve"> of the proposed approach is </w:t>
      </w:r>
      <w:r w:rsidR="001D2869">
        <w:t>immaterial</w:t>
      </w:r>
      <w:r w:rsidR="001D2869" w:rsidRPr="005335F1">
        <w:t xml:space="preserve"> because most assets are concentrated in a single historical asset class </w:t>
      </w:r>
      <w:r w:rsidR="001D2869">
        <w:t xml:space="preserve">('Opening distribution assets') </w:t>
      </w:r>
      <w:r w:rsidR="001D2869" w:rsidRPr="005335F1">
        <w:t xml:space="preserve">that </w:t>
      </w:r>
      <w:r w:rsidR="001D2869">
        <w:t>does not have any</w:t>
      </w:r>
      <w:r w:rsidR="001D2869" w:rsidRPr="005335F1">
        <w:t xml:space="preserve"> capex added to it.</w:t>
      </w:r>
      <w:r w:rsidR="001D2869">
        <w:rPr>
          <w:rStyle w:val="FootnoteReference"/>
        </w:rPr>
        <w:footnoteReference w:id="7"/>
      </w:r>
      <w:r w:rsidR="001D2869" w:rsidRPr="005335F1">
        <w:t xml:space="preserve"> This asset class includes all assets prior to 1 July 2009, which will expire in about 15 years</w:t>
      </w:r>
      <w:r w:rsidR="001D2869">
        <w:t xml:space="preserve"> for regulatory depreciation purposes</w:t>
      </w:r>
      <w:r w:rsidR="00DF5E76">
        <w:t>. Because no new assets are added to this asset class, there is no issue of having to weight assets with different remaining asset lives</w:t>
      </w:r>
      <w:r w:rsidR="001D2869">
        <w:t xml:space="preserve">. However, </w:t>
      </w:r>
      <w:r w:rsidR="00787B58">
        <w:t xml:space="preserve">this situation is likely to change in future as capex </w:t>
      </w:r>
      <w:r w:rsidR="002A0D58">
        <w:t>is</w:t>
      </w:r>
      <w:r w:rsidR="00787B58">
        <w:t xml:space="preserve"> added to</w:t>
      </w:r>
      <w:r w:rsidR="00DF5E76">
        <w:t xml:space="preserve"> an expand</w:t>
      </w:r>
      <w:r w:rsidR="00A75526">
        <w:t>ed</w:t>
      </w:r>
      <w:r w:rsidR="00DF5E76">
        <w:t xml:space="preserve"> list of</w:t>
      </w:r>
      <w:r w:rsidR="00787B58">
        <w:t xml:space="preserve"> other asset classes used by ActewAGL after 1 July 2009. G</w:t>
      </w:r>
      <w:r w:rsidR="001D2869">
        <w:t xml:space="preserve">iven our concerns we will review this matter further if this approach is </w:t>
      </w:r>
      <w:r w:rsidR="006C0CD1">
        <w:t>propos</w:t>
      </w:r>
      <w:r w:rsidR="001D2869">
        <w:t xml:space="preserve">ed again at the </w:t>
      </w:r>
      <w:r w:rsidR="00DD1C14">
        <w:t>next determination.</w:t>
      </w:r>
      <w:r w:rsidR="006B3138">
        <w:t xml:space="preserve"> </w:t>
      </w:r>
      <w:r w:rsidR="00553508">
        <w:fldChar w:fldCharType="begin"/>
      </w:r>
      <w:r w:rsidR="00553508">
        <w:instrText xml:space="preserve"> REF _Ref411607622 \h </w:instrText>
      </w:r>
      <w:r w:rsidR="00553508">
        <w:fldChar w:fldCharType="separate"/>
      </w:r>
    </w:p>
    <w:p w:rsidR="004F6A0E" w:rsidRDefault="00E61BA4" w:rsidP="00C92EAE">
      <w:r>
        <w:lastRenderedPageBreak/>
        <w:t xml:space="preserve">Table </w:t>
      </w:r>
      <w:r>
        <w:rPr>
          <w:noProof/>
        </w:rPr>
        <w:t>5</w:t>
      </w:r>
      <w:r>
        <w:t>.</w:t>
      </w:r>
      <w:r>
        <w:rPr>
          <w:noProof/>
        </w:rPr>
        <w:t>5</w:t>
      </w:r>
      <w:r w:rsidR="00553508">
        <w:fldChar w:fldCharType="end"/>
      </w:r>
      <w:r w:rsidR="00C92EAE" w:rsidRPr="00C92EAE">
        <w:t xml:space="preserve"> and </w:t>
      </w:r>
      <w:r w:rsidR="00553508">
        <w:fldChar w:fldCharType="begin"/>
      </w:r>
      <w:r w:rsidR="00553508">
        <w:instrText xml:space="preserve"> REF _Ref411608141 \h </w:instrText>
      </w:r>
      <w:r w:rsidR="00553508">
        <w:fldChar w:fldCharType="separate"/>
      </w:r>
      <w:r>
        <w:t xml:space="preserve">Table </w:t>
      </w:r>
      <w:r>
        <w:rPr>
          <w:noProof/>
        </w:rPr>
        <w:t>5</w:t>
      </w:r>
      <w:r>
        <w:t>.</w:t>
      </w:r>
      <w:r>
        <w:rPr>
          <w:noProof/>
        </w:rPr>
        <w:t>6</w:t>
      </w:r>
      <w:r w:rsidR="00553508">
        <w:fldChar w:fldCharType="end"/>
      </w:r>
      <w:r w:rsidR="00C92EAE" w:rsidRPr="00C92EAE">
        <w:t xml:space="preserve"> set out our </w:t>
      </w:r>
      <w:r w:rsidR="003B5018">
        <w:t>final</w:t>
      </w:r>
      <w:r w:rsidR="00C92EAE" w:rsidRPr="00C92EAE">
        <w:t xml:space="preserve"> decision on ActewAGL's remaining asset lives for the 2014–19 period, for its distribution and transmission networks respectively.</w:t>
      </w:r>
    </w:p>
    <w:p w:rsidR="004F6A0E" w:rsidRDefault="00C92EAE" w:rsidP="00C92EAE">
      <w:pPr>
        <w:pStyle w:val="Caption"/>
      </w:pPr>
      <w:bookmarkStart w:id="24" w:name="_Ref411607622"/>
      <w:bookmarkStart w:id="25" w:name="_Ref417466286"/>
      <w:r>
        <w:t xml:space="preserve">Table </w:t>
      </w:r>
      <w:r w:rsidR="00126DF5">
        <w:fldChar w:fldCharType="begin"/>
      </w:r>
      <w:r w:rsidR="00126DF5">
        <w:instrText xml:space="preserve"> STYLEREF 1 \s </w:instrText>
      </w:r>
      <w:r w:rsidR="00126DF5">
        <w:fldChar w:fldCharType="separate"/>
      </w:r>
      <w:r w:rsidR="00E61BA4">
        <w:rPr>
          <w:noProof/>
        </w:rPr>
        <w:t>5</w:t>
      </w:r>
      <w:r w:rsidR="00126DF5">
        <w:rPr>
          <w:noProof/>
        </w:rPr>
        <w:fldChar w:fldCharType="end"/>
      </w:r>
      <w:r w:rsidR="00E61BA4">
        <w:t>.</w:t>
      </w:r>
      <w:r w:rsidR="00126DF5">
        <w:fldChar w:fldCharType="begin"/>
      </w:r>
      <w:r w:rsidR="00126DF5">
        <w:instrText xml:space="preserve"> SEQ Table \* ARABIC \s 1 </w:instrText>
      </w:r>
      <w:r w:rsidR="00126DF5">
        <w:fldChar w:fldCharType="separate"/>
      </w:r>
      <w:r w:rsidR="00E61BA4">
        <w:rPr>
          <w:noProof/>
        </w:rPr>
        <w:t>5</w:t>
      </w:r>
      <w:r w:rsidR="00126DF5">
        <w:rPr>
          <w:noProof/>
        </w:rPr>
        <w:fldChar w:fldCharType="end"/>
      </w:r>
      <w:bookmarkEnd w:id="24"/>
      <w:bookmarkEnd w:id="25"/>
      <w:r>
        <w:tab/>
        <w:t xml:space="preserve">AER's final decision on ActewAGL's standard and remaining asset lives as at 1 July 2014 (years) </w:t>
      </w:r>
      <w:r w:rsidR="000702C7">
        <w:t>–</w:t>
      </w:r>
      <w:r>
        <w:t xml:space="preserve"> distribution</w:t>
      </w:r>
    </w:p>
    <w:tbl>
      <w:tblPr>
        <w:tblStyle w:val="AERtable-numbers"/>
        <w:tblW w:w="0" w:type="auto"/>
        <w:tblLook w:val="04A0" w:firstRow="1" w:lastRow="0" w:firstColumn="1" w:lastColumn="0" w:noHBand="0" w:noVBand="1"/>
      </w:tblPr>
      <w:tblGrid>
        <w:gridCol w:w="3652"/>
        <w:gridCol w:w="1843"/>
        <w:gridCol w:w="3198"/>
      </w:tblGrid>
      <w:tr w:rsidR="00C92EAE" w:rsidTr="00194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C92EAE" w:rsidRDefault="00C92EAE" w:rsidP="002C233C">
            <w:r>
              <w:t>Asset class</w:t>
            </w:r>
          </w:p>
        </w:tc>
        <w:tc>
          <w:tcPr>
            <w:tcW w:w="1843" w:type="dxa"/>
          </w:tcPr>
          <w:p w:rsidR="00C92EAE" w:rsidRDefault="00C92EAE" w:rsidP="002C233C">
            <w:pPr>
              <w:cnfStyle w:val="100000000000" w:firstRow="1" w:lastRow="0" w:firstColumn="0" w:lastColumn="0" w:oddVBand="0" w:evenVBand="0" w:oddHBand="0" w:evenHBand="0" w:firstRowFirstColumn="0" w:firstRowLastColumn="0" w:lastRowFirstColumn="0" w:lastRowLastColumn="0"/>
            </w:pPr>
            <w:r>
              <w:t>Standard asset life</w:t>
            </w:r>
          </w:p>
        </w:tc>
        <w:tc>
          <w:tcPr>
            <w:tcW w:w="3198" w:type="dxa"/>
          </w:tcPr>
          <w:p w:rsidR="00C92EAE" w:rsidRDefault="00C92EAE" w:rsidP="002C233C">
            <w:pPr>
              <w:cnfStyle w:val="100000000000" w:firstRow="1" w:lastRow="0" w:firstColumn="0" w:lastColumn="0" w:oddVBand="0" w:evenVBand="0" w:oddHBand="0" w:evenHBand="0" w:firstRowFirstColumn="0" w:firstRowLastColumn="0" w:lastRowFirstColumn="0" w:lastRowLastColumn="0"/>
            </w:pPr>
            <w:r>
              <w:t>Remaining asset live</w:t>
            </w:r>
            <w:r w:rsidR="001C07B3">
              <w:t>s</w:t>
            </w:r>
            <w:r>
              <w:t xml:space="preserve"> as at 1 July 2014</w:t>
            </w:r>
          </w:p>
        </w:tc>
      </w:tr>
      <w:tr w:rsidR="00C92EAE" w:rsidTr="00194D08">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Opening distribution assets*</w:t>
            </w:r>
          </w:p>
        </w:tc>
        <w:tc>
          <w:tcPr>
            <w:tcW w:w="1843" w:type="dxa"/>
            <w:vAlign w:val="top"/>
          </w:tcPr>
          <w:p w:rsidR="00C92EAE" w:rsidRPr="00C92EAE" w:rsidRDefault="00C92EAE" w:rsidP="00C92EAE">
            <w:pPr>
              <w:cnfStyle w:val="000000000000" w:firstRow="0" w:lastRow="0" w:firstColumn="0" w:lastColumn="0" w:oddVBand="0" w:evenVBand="0" w:oddHBand="0" w:evenHBand="0" w:firstRowFirstColumn="0" w:firstRowLastColumn="0" w:lastRowFirstColumn="0" w:lastRowLastColumn="0"/>
            </w:pPr>
            <w:r w:rsidRPr="00C92EAE">
              <w:t>n/a</w:t>
            </w:r>
          </w:p>
        </w:tc>
        <w:tc>
          <w:tcPr>
            <w:tcW w:w="3198" w:type="dxa"/>
            <w:vAlign w:val="top"/>
          </w:tcPr>
          <w:p w:rsidR="00C92EAE" w:rsidRPr="00C92EAE" w:rsidRDefault="00C92EAE" w:rsidP="00C92EAE">
            <w:pPr>
              <w:cnfStyle w:val="000000000000" w:firstRow="0" w:lastRow="0" w:firstColumn="0" w:lastColumn="0" w:oddVBand="0" w:evenVBand="0" w:oddHBand="0" w:evenHBand="0" w:firstRowFirstColumn="0" w:firstRowLastColumn="0" w:lastRowFirstColumn="0" w:lastRowLastColumn="0"/>
            </w:pPr>
            <w:r w:rsidRPr="00C92EAE">
              <w:t>14.7</w:t>
            </w:r>
          </w:p>
        </w:tc>
      </w:tr>
      <w:tr w:rsidR="00C92EAE"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Zone substation</w:t>
            </w:r>
          </w:p>
        </w:tc>
        <w:tc>
          <w:tcPr>
            <w:tcW w:w="1843" w:type="dxa"/>
            <w:vAlign w:val="top"/>
          </w:tcPr>
          <w:p w:rsidR="00C92EAE" w:rsidRPr="00C92EAE" w:rsidRDefault="00C92EAE" w:rsidP="00C92EAE">
            <w:pPr>
              <w:cnfStyle w:val="000000010000" w:firstRow="0" w:lastRow="0" w:firstColumn="0" w:lastColumn="0" w:oddVBand="0" w:evenVBand="0" w:oddHBand="0" w:evenHBand="1" w:firstRowFirstColumn="0" w:firstRowLastColumn="0" w:lastRowFirstColumn="0" w:lastRowLastColumn="0"/>
            </w:pPr>
            <w:r w:rsidRPr="00C92EAE">
              <w:t>40.0</w:t>
            </w:r>
          </w:p>
        </w:tc>
        <w:tc>
          <w:tcPr>
            <w:tcW w:w="3198" w:type="dxa"/>
            <w:vAlign w:val="top"/>
          </w:tcPr>
          <w:p w:rsidR="00C92EAE" w:rsidRPr="00C92EAE" w:rsidRDefault="00C92EAE" w:rsidP="00C92EAE">
            <w:pPr>
              <w:cnfStyle w:val="000000010000" w:firstRow="0" w:lastRow="0" w:firstColumn="0" w:lastColumn="0" w:oddVBand="0" w:evenVBand="0" w:oddHBand="0" w:evenHBand="1" w:firstRowFirstColumn="0" w:firstRowLastColumn="0" w:lastRowFirstColumn="0" w:lastRowLastColumn="0"/>
            </w:pPr>
            <w:r w:rsidRPr="00C92EAE">
              <w:t>37.6</w:t>
            </w:r>
          </w:p>
        </w:tc>
      </w:tr>
      <w:tr w:rsidR="00C92EAE" w:rsidTr="00194D08">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Distribution substations</w:t>
            </w:r>
          </w:p>
        </w:tc>
        <w:tc>
          <w:tcPr>
            <w:tcW w:w="1843" w:type="dxa"/>
            <w:vAlign w:val="top"/>
          </w:tcPr>
          <w:p w:rsidR="00C92EAE" w:rsidRPr="00C92EAE" w:rsidRDefault="00C92EAE" w:rsidP="00C92EAE">
            <w:pPr>
              <w:cnfStyle w:val="000000000000" w:firstRow="0" w:lastRow="0" w:firstColumn="0" w:lastColumn="0" w:oddVBand="0" w:evenVBand="0" w:oddHBand="0" w:evenHBand="0" w:firstRowFirstColumn="0" w:firstRowLastColumn="0" w:lastRowFirstColumn="0" w:lastRowLastColumn="0"/>
            </w:pPr>
            <w:r w:rsidRPr="00C92EAE">
              <w:t>40.0</w:t>
            </w:r>
          </w:p>
        </w:tc>
        <w:tc>
          <w:tcPr>
            <w:tcW w:w="3198" w:type="dxa"/>
            <w:vAlign w:val="top"/>
          </w:tcPr>
          <w:p w:rsidR="00C92EAE" w:rsidRPr="00C92EAE" w:rsidRDefault="00C92EAE" w:rsidP="00C92EAE">
            <w:pPr>
              <w:cnfStyle w:val="000000000000" w:firstRow="0" w:lastRow="0" w:firstColumn="0" w:lastColumn="0" w:oddVBand="0" w:evenVBand="0" w:oddHBand="0" w:evenHBand="0" w:firstRowFirstColumn="0" w:firstRowLastColumn="0" w:lastRowFirstColumn="0" w:lastRowLastColumn="0"/>
            </w:pPr>
            <w:r w:rsidRPr="00C92EAE">
              <w:t>37.9</w:t>
            </w:r>
          </w:p>
        </w:tc>
      </w:tr>
      <w:tr w:rsidR="00C92EAE"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Distribution overhead lines</w:t>
            </w:r>
          </w:p>
        </w:tc>
        <w:tc>
          <w:tcPr>
            <w:tcW w:w="1843" w:type="dxa"/>
            <w:vAlign w:val="top"/>
          </w:tcPr>
          <w:p w:rsidR="00C92EAE" w:rsidRPr="00C92EAE" w:rsidRDefault="00C92EAE" w:rsidP="00C92EAE">
            <w:pPr>
              <w:cnfStyle w:val="000000010000" w:firstRow="0" w:lastRow="0" w:firstColumn="0" w:lastColumn="0" w:oddVBand="0" w:evenVBand="0" w:oddHBand="0" w:evenHBand="1" w:firstRowFirstColumn="0" w:firstRowLastColumn="0" w:lastRowFirstColumn="0" w:lastRowLastColumn="0"/>
            </w:pPr>
            <w:r w:rsidRPr="00C92EAE">
              <w:t>50.0</w:t>
            </w:r>
          </w:p>
        </w:tc>
        <w:tc>
          <w:tcPr>
            <w:tcW w:w="3198" w:type="dxa"/>
            <w:vAlign w:val="top"/>
          </w:tcPr>
          <w:p w:rsidR="00C92EAE" w:rsidRPr="00C92EAE" w:rsidRDefault="00C92EAE" w:rsidP="00C92EAE">
            <w:pPr>
              <w:cnfStyle w:val="000000010000" w:firstRow="0" w:lastRow="0" w:firstColumn="0" w:lastColumn="0" w:oddVBand="0" w:evenVBand="0" w:oddHBand="0" w:evenHBand="1" w:firstRowFirstColumn="0" w:firstRowLastColumn="0" w:lastRowFirstColumn="0" w:lastRowLastColumn="0"/>
            </w:pPr>
            <w:r w:rsidRPr="00C92EAE">
              <w:t>47.9</w:t>
            </w:r>
          </w:p>
        </w:tc>
      </w:tr>
      <w:tr w:rsidR="00C92EAE" w:rsidTr="00194D08">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Distribution underground lines</w:t>
            </w:r>
          </w:p>
        </w:tc>
        <w:tc>
          <w:tcPr>
            <w:tcW w:w="1843" w:type="dxa"/>
            <w:vAlign w:val="top"/>
          </w:tcPr>
          <w:p w:rsidR="00C92EAE" w:rsidRPr="00C92EAE" w:rsidRDefault="00C92EAE" w:rsidP="00C92EAE">
            <w:pPr>
              <w:cnfStyle w:val="000000000000" w:firstRow="0" w:lastRow="0" w:firstColumn="0" w:lastColumn="0" w:oddVBand="0" w:evenVBand="0" w:oddHBand="0" w:evenHBand="0" w:firstRowFirstColumn="0" w:firstRowLastColumn="0" w:lastRowFirstColumn="0" w:lastRowLastColumn="0"/>
            </w:pPr>
            <w:r w:rsidRPr="00C92EAE">
              <w:t>60.0</w:t>
            </w:r>
          </w:p>
        </w:tc>
        <w:tc>
          <w:tcPr>
            <w:tcW w:w="3198" w:type="dxa"/>
            <w:vAlign w:val="top"/>
          </w:tcPr>
          <w:p w:rsidR="00C92EAE" w:rsidRPr="00C92EAE" w:rsidRDefault="00C92EAE" w:rsidP="00C92EAE">
            <w:pPr>
              <w:cnfStyle w:val="000000000000" w:firstRow="0" w:lastRow="0" w:firstColumn="0" w:lastColumn="0" w:oddVBand="0" w:evenVBand="0" w:oddHBand="0" w:evenHBand="0" w:firstRowFirstColumn="0" w:firstRowLastColumn="0" w:lastRowFirstColumn="0" w:lastRowLastColumn="0"/>
            </w:pPr>
            <w:r w:rsidRPr="00C92EAE">
              <w:t>57.8</w:t>
            </w:r>
          </w:p>
        </w:tc>
      </w:tr>
      <w:tr w:rsidR="00C92EAE"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IT &amp; communication systems (networks)</w:t>
            </w:r>
          </w:p>
        </w:tc>
        <w:tc>
          <w:tcPr>
            <w:tcW w:w="1843" w:type="dxa"/>
            <w:vAlign w:val="top"/>
          </w:tcPr>
          <w:p w:rsidR="00C92EAE" w:rsidRPr="00C92EAE" w:rsidRDefault="00C92EAE" w:rsidP="00C92EAE">
            <w:pPr>
              <w:cnfStyle w:val="000000010000" w:firstRow="0" w:lastRow="0" w:firstColumn="0" w:lastColumn="0" w:oddVBand="0" w:evenVBand="0" w:oddHBand="0" w:evenHBand="1" w:firstRowFirstColumn="0" w:firstRowLastColumn="0" w:lastRowFirstColumn="0" w:lastRowLastColumn="0"/>
            </w:pPr>
            <w:r w:rsidRPr="00C92EAE">
              <w:t>10.0</w:t>
            </w:r>
          </w:p>
        </w:tc>
        <w:tc>
          <w:tcPr>
            <w:tcW w:w="3198" w:type="dxa"/>
            <w:vAlign w:val="top"/>
          </w:tcPr>
          <w:p w:rsidR="00C92EAE" w:rsidRPr="00C92EAE" w:rsidRDefault="00C92EAE" w:rsidP="004B1456">
            <w:pPr>
              <w:cnfStyle w:val="000000010000" w:firstRow="0" w:lastRow="0" w:firstColumn="0" w:lastColumn="0" w:oddVBand="0" w:evenVBand="0" w:oddHBand="0" w:evenHBand="1" w:firstRowFirstColumn="0" w:firstRowLastColumn="0" w:lastRowFirstColumn="0" w:lastRowLastColumn="0"/>
            </w:pPr>
            <w:r w:rsidRPr="00C92EAE">
              <w:t>9.</w:t>
            </w:r>
            <w:r w:rsidR="004B1456">
              <w:t>3</w:t>
            </w:r>
          </w:p>
        </w:tc>
      </w:tr>
      <w:tr w:rsidR="00C92EAE" w:rsidTr="00194D08">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Motor vehicles</w:t>
            </w:r>
          </w:p>
        </w:tc>
        <w:tc>
          <w:tcPr>
            <w:tcW w:w="1843" w:type="dxa"/>
            <w:vAlign w:val="top"/>
          </w:tcPr>
          <w:p w:rsidR="00C92EAE" w:rsidRPr="00C92EAE" w:rsidRDefault="00C92EAE" w:rsidP="00C92EAE">
            <w:pPr>
              <w:cnfStyle w:val="000000000000" w:firstRow="0" w:lastRow="0" w:firstColumn="0" w:lastColumn="0" w:oddVBand="0" w:evenVBand="0" w:oddHBand="0" w:evenHBand="0" w:firstRowFirstColumn="0" w:firstRowLastColumn="0" w:lastRowFirstColumn="0" w:lastRowLastColumn="0"/>
            </w:pPr>
            <w:r w:rsidRPr="00C92EAE">
              <w:t>7.0</w:t>
            </w:r>
          </w:p>
        </w:tc>
        <w:tc>
          <w:tcPr>
            <w:tcW w:w="3198" w:type="dxa"/>
            <w:vAlign w:val="top"/>
          </w:tcPr>
          <w:p w:rsidR="00C92EAE" w:rsidRPr="00C92EAE" w:rsidRDefault="00C92EAE" w:rsidP="00C92EAE">
            <w:pPr>
              <w:cnfStyle w:val="000000000000" w:firstRow="0" w:lastRow="0" w:firstColumn="0" w:lastColumn="0" w:oddVBand="0" w:evenVBand="0" w:oddHBand="0" w:evenHBand="0" w:firstRowFirstColumn="0" w:firstRowLastColumn="0" w:lastRowFirstColumn="0" w:lastRowLastColumn="0"/>
            </w:pPr>
            <w:r w:rsidRPr="00C92EAE">
              <w:t>6.2</w:t>
            </w:r>
          </w:p>
        </w:tc>
      </w:tr>
      <w:tr w:rsidR="00C92EAE"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Other non-system assets (networks)</w:t>
            </w:r>
          </w:p>
        </w:tc>
        <w:tc>
          <w:tcPr>
            <w:tcW w:w="1843" w:type="dxa"/>
            <w:vAlign w:val="top"/>
          </w:tcPr>
          <w:p w:rsidR="00C92EAE" w:rsidRPr="00C92EAE" w:rsidRDefault="00C92EAE" w:rsidP="00C92EAE">
            <w:pPr>
              <w:cnfStyle w:val="000000010000" w:firstRow="0" w:lastRow="0" w:firstColumn="0" w:lastColumn="0" w:oddVBand="0" w:evenVBand="0" w:oddHBand="0" w:evenHBand="1" w:firstRowFirstColumn="0" w:firstRowLastColumn="0" w:lastRowFirstColumn="0" w:lastRowLastColumn="0"/>
            </w:pPr>
            <w:r w:rsidRPr="00C92EAE">
              <w:t>5.0</w:t>
            </w:r>
          </w:p>
        </w:tc>
        <w:tc>
          <w:tcPr>
            <w:tcW w:w="3198" w:type="dxa"/>
            <w:vAlign w:val="top"/>
          </w:tcPr>
          <w:p w:rsidR="00C92EAE" w:rsidRPr="00C92EAE" w:rsidRDefault="00C92EAE" w:rsidP="00C92EAE">
            <w:pPr>
              <w:cnfStyle w:val="000000010000" w:firstRow="0" w:lastRow="0" w:firstColumn="0" w:lastColumn="0" w:oddVBand="0" w:evenVBand="0" w:oddHBand="0" w:evenHBand="1" w:firstRowFirstColumn="0" w:firstRowLastColumn="0" w:lastRowFirstColumn="0" w:lastRowLastColumn="0"/>
            </w:pPr>
            <w:r w:rsidRPr="00C92EAE">
              <w:t>2.8</w:t>
            </w:r>
          </w:p>
        </w:tc>
      </w:tr>
      <w:tr w:rsidR="00C92EAE" w:rsidTr="00194D08">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IT systems (corporate)</w:t>
            </w:r>
          </w:p>
        </w:tc>
        <w:tc>
          <w:tcPr>
            <w:tcW w:w="1843" w:type="dxa"/>
            <w:vAlign w:val="top"/>
          </w:tcPr>
          <w:p w:rsidR="00C92EAE" w:rsidRPr="00C92EAE" w:rsidRDefault="00C92EAE" w:rsidP="00C92EAE">
            <w:pPr>
              <w:cnfStyle w:val="000000000000" w:firstRow="0" w:lastRow="0" w:firstColumn="0" w:lastColumn="0" w:oddVBand="0" w:evenVBand="0" w:oddHBand="0" w:evenHBand="0" w:firstRowFirstColumn="0" w:firstRowLastColumn="0" w:lastRowFirstColumn="0" w:lastRowLastColumn="0"/>
            </w:pPr>
            <w:r w:rsidRPr="00C92EAE">
              <w:t>5.0</w:t>
            </w:r>
          </w:p>
        </w:tc>
        <w:tc>
          <w:tcPr>
            <w:tcW w:w="3198" w:type="dxa"/>
            <w:vAlign w:val="top"/>
          </w:tcPr>
          <w:p w:rsidR="00C92EAE" w:rsidRPr="00C92EAE" w:rsidRDefault="00C92EAE" w:rsidP="00C92EAE">
            <w:pPr>
              <w:cnfStyle w:val="000000000000" w:firstRow="0" w:lastRow="0" w:firstColumn="0" w:lastColumn="0" w:oddVBand="0" w:evenVBand="0" w:oddHBand="0" w:evenHBand="0" w:firstRowFirstColumn="0" w:firstRowLastColumn="0" w:lastRowFirstColumn="0" w:lastRowLastColumn="0"/>
            </w:pPr>
            <w:r w:rsidRPr="00C92EAE">
              <w:t>4.1</w:t>
            </w:r>
          </w:p>
        </w:tc>
      </w:tr>
      <w:tr w:rsidR="00C92EAE"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Telecommunications (corporate)</w:t>
            </w:r>
          </w:p>
        </w:tc>
        <w:tc>
          <w:tcPr>
            <w:tcW w:w="1843" w:type="dxa"/>
            <w:vAlign w:val="top"/>
          </w:tcPr>
          <w:p w:rsidR="00C92EAE" w:rsidRPr="00C92EAE" w:rsidRDefault="00C92EAE" w:rsidP="00C92EAE">
            <w:pPr>
              <w:cnfStyle w:val="000000010000" w:firstRow="0" w:lastRow="0" w:firstColumn="0" w:lastColumn="0" w:oddVBand="0" w:evenVBand="0" w:oddHBand="0" w:evenHBand="1" w:firstRowFirstColumn="0" w:firstRowLastColumn="0" w:lastRowFirstColumn="0" w:lastRowLastColumn="0"/>
            </w:pPr>
            <w:r w:rsidRPr="00C92EAE">
              <w:t>5.0</w:t>
            </w:r>
          </w:p>
        </w:tc>
        <w:tc>
          <w:tcPr>
            <w:tcW w:w="3198" w:type="dxa"/>
            <w:vAlign w:val="top"/>
          </w:tcPr>
          <w:p w:rsidR="00C92EAE" w:rsidRPr="00C92EAE" w:rsidRDefault="00C92EAE" w:rsidP="009048E4">
            <w:pPr>
              <w:cnfStyle w:val="000000010000" w:firstRow="0" w:lastRow="0" w:firstColumn="0" w:lastColumn="0" w:oddVBand="0" w:evenVBand="0" w:oddHBand="0" w:evenHBand="1" w:firstRowFirstColumn="0" w:firstRowLastColumn="0" w:lastRowFirstColumn="0" w:lastRowLastColumn="0"/>
            </w:pPr>
            <w:r w:rsidRPr="00C92EAE">
              <w:t>1.</w:t>
            </w:r>
            <w:r w:rsidR="009048E4">
              <w:t>9</w:t>
            </w:r>
          </w:p>
        </w:tc>
      </w:tr>
      <w:tr w:rsidR="00C92EAE" w:rsidTr="00194D08">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Other non-system assets (corporate)</w:t>
            </w:r>
          </w:p>
        </w:tc>
        <w:tc>
          <w:tcPr>
            <w:tcW w:w="1843" w:type="dxa"/>
            <w:vAlign w:val="top"/>
          </w:tcPr>
          <w:p w:rsidR="00C92EAE" w:rsidRPr="00C92EAE" w:rsidRDefault="00C92EAE" w:rsidP="00C92EAE">
            <w:pPr>
              <w:cnfStyle w:val="000000000000" w:firstRow="0" w:lastRow="0" w:firstColumn="0" w:lastColumn="0" w:oddVBand="0" w:evenVBand="0" w:oddHBand="0" w:evenHBand="0" w:firstRowFirstColumn="0" w:firstRowLastColumn="0" w:lastRowFirstColumn="0" w:lastRowLastColumn="0"/>
            </w:pPr>
            <w:r w:rsidRPr="00C92EAE">
              <w:t>5.0</w:t>
            </w:r>
          </w:p>
        </w:tc>
        <w:tc>
          <w:tcPr>
            <w:tcW w:w="3198" w:type="dxa"/>
            <w:vAlign w:val="top"/>
          </w:tcPr>
          <w:p w:rsidR="00C92EAE" w:rsidRPr="00C92EAE" w:rsidRDefault="00C92EAE" w:rsidP="009048E4">
            <w:pPr>
              <w:cnfStyle w:val="000000000000" w:firstRow="0" w:lastRow="0" w:firstColumn="0" w:lastColumn="0" w:oddVBand="0" w:evenVBand="0" w:oddHBand="0" w:evenHBand="0" w:firstRowFirstColumn="0" w:firstRowLastColumn="0" w:lastRowFirstColumn="0" w:lastRowLastColumn="0"/>
            </w:pPr>
            <w:r w:rsidRPr="00C92EAE">
              <w:t>2.</w:t>
            </w:r>
            <w:r w:rsidR="009048E4">
              <w:t>1</w:t>
            </w:r>
          </w:p>
        </w:tc>
      </w:tr>
      <w:tr w:rsidR="00C92EAE"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Land</w:t>
            </w:r>
          </w:p>
        </w:tc>
        <w:tc>
          <w:tcPr>
            <w:tcW w:w="1843" w:type="dxa"/>
            <w:vAlign w:val="top"/>
          </w:tcPr>
          <w:p w:rsidR="00C92EAE" w:rsidRPr="00C92EAE" w:rsidRDefault="00C92EAE" w:rsidP="00C92EAE">
            <w:pPr>
              <w:cnfStyle w:val="000000010000" w:firstRow="0" w:lastRow="0" w:firstColumn="0" w:lastColumn="0" w:oddVBand="0" w:evenVBand="0" w:oddHBand="0" w:evenHBand="1" w:firstRowFirstColumn="0" w:firstRowLastColumn="0" w:lastRowFirstColumn="0" w:lastRowLastColumn="0"/>
            </w:pPr>
            <w:r w:rsidRPr="00C92EAE">
              <w:t>n/a</w:t>
            </w:r>
          </w:p>
        </w:tc>
        <w:tc>
          <w:tcPr>
            <w:tcW w:w="3198" w:type="dxa"/>
            <w:vAlign w:val="top"/>
          </w:tcPr>
          <w:p w:rsidR="00C92EAE" w:rsidRPr="00C92EAE" w:rsidRDefault="00C92EAE" w:rsidP="00C92EAE">
            <w:pPr>
              <w:cnfStyle w:val="000000010000" w:firstRow="0" w:lastRow="0" w:firstColumn="0" w:lastColumn="0" w:oddVBand="0" w:evenVBand="0" w:oddHBand="0" w:evenHBand="1" w:firstRowFirstColumn="0" w:firstRowLastColumn="0" w:lastRowFirstColumn="0" w:lastRowLastColumn="0"/>
            </w:pPr>
            <w:r w:rsidRPr="00C92EAE">
              <w:t>n/a</w:t>
            </w:r>
          </w:p>
        </w:tc>
      </w:tr>
      <w:tr w:rsidR="00C92EAE" w:rsidTr="00194D08">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Buildings</w:t>
            </w:r>
          </w:p>
        </w:tc>
        <w:tc>
          <w:tcPr>
            <w:tcW w:w="1843" w:type="dxa"/>
            <w:vAlign w:val="top"/>
          </w:tcPr>
          <w:p w:rsidR="00C92EAE" w:rsidRPr="00C92EAE" w:rsidRDefault="00C92EAE" w:rsidP="00C92EAE">
            <w:pPr>
              <w:cnfStyle w:val="000000000000" w:firstRow="0" w:lastRow="0" w:firstColumn="0" w:lastColumn="0" w:oddVBand="0" w:evenVBand="0" w:oddHBand="0" w:evenHBand="0" w:firstRowFirstColumn="0" w:firstRowLastColumn="0" w:lastRowFirstColumn="0" w:lastRowLastColumn="0"/>
            </w:pPr>
            <w:r w:rsidRPr="00C92EAE">
              <w:t>60.0</w:t>
            </w:r>
          </w:p>
        </w:tc>
        <w:tc>
          <w:tcPr>
            <w:tcW w:w="3198" w:type="dxa"/>
            <w:vAlign w:val="top"/>
          </w:tcPr>
          <w:p w:rsidR="00C92EAE" w:rsidRPr="00C92EAE" w:rsidRDefault="00C92EAE" w:rsidP="009048E4">
            <w:pPr>
              <w:cnfStyle w:val="000000000000" w:firstRow="0" w:lastRow="0" w:firstColumn="0" w:lastColumn="0" w:oddVBand="0" w:evenVBand="0" w:oddHBand="0" w:evenHBand="0" w:firstRowFirstColumn="0" w:firstRowLastColumn="0" w:lastRowFirstColumn="0" w:lastRowLastColumn="0"/>
            </w:pPr>
            <w:r w:rsidRPr="00C92EAE">
              <w:t>57.</w:t>
            </w:r>
            <w:r w:rsidR="009048E4">
              <w:t>0</w:t>
            </w:r>
          </w:p>
        </w:tc>
      </w:tr>
      <w:tr w:rsidR="00C92EAE"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Align w:val="top"/>
          </w:tcPr>
          <w:p w:rsidR="00C92EAE" w:rsidRPr="00C92EAE" w:rsidRDefault="00C92EAE" w:rsidP="00C92EAE">
            <w:r w:rsidRPr="00C92EAE">
              <w:t>Equity raising costs</w:t>
            </w:r>
          </w:p>
        </w:tc>
        <w:tc>
          <w:tcPr>
            <w:tcW w:w="1843" w:type="dxa"/>
            <w:vAlign w:val="top"/>
          </w:tcPr>
          <w:p w:rsidR="00C92EAE" w:rsidRPr="00C92EAE" w:rsidRDefault="00C92EAE" w:rsidP="00C92EAE">
            <w:pPr>
              <w:cnfStyle w:val="000000010000" w:firstRow="0" w:lastRow="0" w:firstColumn="0" w:lastColumn="0" w:oddVBand="0" w:evenVBand="0" w:oddHBand="0" w:evenHBand="1" w:firstRowFirstColumn="0" w:firstRowLastColumn="0" w:lastRowFirstColumn="0" w:lastRowLastColumn="0"/>
            </w:pPr>
            <w:r w:rsidRPr="00C92EAE">
              <w:t>44.5</w:t>
            </w:r>
          </w:p>
        </w:tc>
        <w:tc>
          <w:tcPr>
            <w:tcW w:w="3198" w:type="dxa"/>
            <w:vAlign w:val="top"/>
          </w:tcPr>
          <w:p w:rsidR="00C92EAE" w:rsidRPr="00C92EAE" w:rsidRDefault="00C92EAE" w:rsidP="00C92EAE">
            <w:pPr>
              <w:cnfStyle w:val="000000010000" w:firstRow="0" w:lastRow="0" w:firstColumn="0" w:lastColumn="0" w:oddVBand="0" w:evenVBand="0" w:oddHBand="0" w:evenHBand="1" w:firstRowFirstColumn="0" w:firstRowLastColumn="0" w:lastRowFirstColumn="0" w:lastRowLastColumn="0"/>
            </w:pPr>
            <w:r w:rsidRPr="00C92EAE">
              <w:t>40.5</w:t>
            </w:r>
          </w:p>
        </w:tc>
      </w:tr>
    </w:tbl>
    <w:p w:rsidR="004F6A0E" w:rsidRDefault="00C92EAE" w:rsidP="00C92EAE">
      <w:pPr>
        <w:pStyle w:val="AERtablesource"/>
      </w:pPr>
      <w:r>
        <w:t>Source:</w:t>
      </w:r>
      <w:r>
        <w:tab/>
        <w:t>AER analysis.</w:t>
      </w:r>
    </w:p>
    <w:p w:rsidR="00522FE5" w:rsidRDefault="00522FE5" w:rsidP="00522FE5"/>
    <w:p w:rsidR="00522FE5" w:rsidRDefault="00522FE5" w:rsidP="00522FE5"/>
    <w:p w:rsidR="00522FE5" w:rsidRDefault="00522FE5" w:rsidP="00522FE5"/>
    <w:p w:rsidR="00522FE5" w:rsidRDefault="00522FE5" w:rsidP="00522FE5"/>
    <w:p w:rsidR="00522FE5" w:rsidRDefault="00522FE5" w:rsidP="00522FE5"/>
    <w:p w:rsidR="00522FE5" w:rsidRDefault="00522FE5" w:rsidP="00522FE5"/>
    <w:p w:rsidR="00522FE5" w:rsidRDefault="00522FE5" w:rsidP="00522FE5"/>
    <w:p w:rsidR="00522FE5" w:rsidRDefault="00522FE5" w:rsidP="00522FE5"/>
    <w:p w:rsidR="00522FE5" w:rsidRPr="00522FE5" w:rsidRDefault="00522FE5" w:rsidP="00522FE5"/>
    <w:p w:rsidR="00553508" w:rsidRPr="00553508" w:rsidRDefault="00553508" w:rsidP="00553508">
      <w:pPr>
        <w:pStyle w:val="Caption"/>
      </w:pPr>
      <w:bookmarkStart w:id="26" w:name="_Ref411608141"/>
      <w:r>
        <w:lastRenderedPageBreak/>
        <w:t xml:space="preserve">Table </w:t>
      </w:r>
      <w:r w:rsidR="00126DF5">
        <w:fldChar w:fldCharType="begin"/>
      </w:r>
      <w:r w:rsidR="00126DF5">
        <w:instrText xml:space="preserve"> STYLEREF 1 \s </w:instrText>
      </w:r>
      <w:r w:rsidR="00126DF5">
        <w:fldChar w:fldCharType="separate"/>
      </w:r>
      <w:r w:rsidR="00E61BA4">
        <w:rPr>
          <w:noProof/>
        </w:rPr>
        <w:t>5</w:t>
      </w:r>
      <w:r w:rsidR="00126DF5">
        <w:rPr>
          <w:noProof/>
        </w:rPr>
        <w:fldChar w:fldCharType="end"/>
      </w:r>
      <w:r w:rsidR="00E61BA4">
        <w:t>.</w:t>
      </w:r>
      <w:r w:rsidR="00126DF5">
        <w:fldChar w:fldCharType="begin"/>
      </w:r>
      <w:r w:rsidR="00126DF5">
        <w:instrText xml:space="preserve"> SEQ Table \* ARABIC \s 1 </w:instrText>
      </w:r>
      <w:r w:rsidR="00126DF5">
        <w:fldChar w:fldCharType="separate"/>
      </w:r>
      <w:r w:rsidR="00E61BA4">
        <w:rPr>
          <w:noProof/>
        </w:rPr>
        <w:t>6</w:t>
      </w:r>
      <w:r w:rsidR="00126DF5">
        <w:rPr>
          <w:noProof/>
        </w:rPr>
        <w:fldChar w:fldCharType="end"/>
      </w:r>
      <w:bookmarkEnd w:id="26"/>
      <w:r>
        <w:tab/>
        <w:t xml:space="preserve">AER's final decision on ActewAGL's standard and remaining asset lives as at 1 July 2014 (years) </w:t>
      </w:r>
      <w:r w:rsidR="000702C7">
        <w:t>–</w:t>
      </w:r>
      <w:r>
        <w:t xml:space="preserve"> transmission</w:t>
      </w:r>
    </w:p>
    <w:tbl>
      <w:tblPr>
        <w:tblStyle w:val="AERtable-numbers"/>
        <w:tblW w:w="0" w:type="auto"/>
        <w:tblLook w:val="04A0" w:firstRow="1" w:lastRow="0" w:firstColumn="1" w:lastColumn="0" w:noHBand="0" w:noVBand="1"/>
      </w:tblPr>
      <w:tblGrid>
        <w:gridCol w:w="3369"/>
        <w:gridCol w:w="2126"/>
        <w:gridCol w:w="3198"/>
      </w:tblGrid>
      <w:tr w:rsidR="00553508" w:rsidTr="00194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553508" w:rsidRDefault="00553508" w:rsidP="00553508">
            <w:r>
              <w:t>Asset class</w:t>
            </w:r>
          </w:p>
        </w:tc>
        <w:tc>
          <w:tcPr>
            <w:tcW w:w="2126" w:type="dxa"/>
          </w:tcPr>
          <w:p w:rsidR="00553508" w:rsidRDefault="00553508" w:rsidP="00553508">
            <w:pPr>
              <w:cnfStyle w:val="100000000000" w:firstRow="1" w:lastRow="0" w:firstColumn="0" w:lastColumn="0" w:oddVBand="0" w:evenVBand="0" w:oddHBand="0" w:evenHBand="0" w:firstRowFirstColumn="0" w:firstRowLastColumn="0" w:lastRowFirstColumn="0" w:lastRowLastColumn="0"/>
            </w:pPr>
            <w:r>
              <w:t>Standard asset life</w:t>
            </w:r>
          </w:p>
        </w:tc>
        <w:tc>
          <w:tcPr>
            <w:tcW w:w="3198" w:type="dxa"/>
          </w:tcPr>
          <w:p w:rsidR="00553508" w:rsidRPr="00553508" w:rsidRDefault="00553508" w:rsidP="00553508">
            <w:pPr>
              <w:cnfStyle w:val="100000000000" w:firstRow="1" w:lastRow="0" w:firstColumn="0" w:lastColumn="0" w:oddVBand="0" w:evenVBand="0" w:oddHBand="0" w:evenHBand="0" w:firstRowFirstColumn="0" w:firstRowLastColumn="0" w:lastRowFirstColumn="0" w:lastRowLastColumn="0"/>
            </w:pPr>
            <w:r>
              <w:t>Remaining asset live</w:t>
            </w:r>
            <w:r w:rsidR="001C07B3">
              <w:t>s</w:t>
            </w:r>
            <w:r>
              <w:t xml:space="preserve"> as at 1 July 2014</w:t>
            </w:r>
          </w:p>
        </w:tc>
      </w:tr>
      <w:tr w:rsidR="00553508" w:rsidTr="00194D08">
        <w:tc>
          <w:tcPr>
            <w:cnfStyle w:val="001000000000" w:firstRow="0" w:lastRow="0" w:firstColumn="1" w:lastColumn="0" w:oddVBand="0" w:evenVBand="0" w:oddHBand="0" w:evenHBand="0" w:firstRowFirstColumn="0" w:firstRowLastColumn="0" w:lastRowFirstColumn="0" w:lastRowLastColumn="0"/>
            <w:tcW w:w="3369" w:type="dxa"/>
            <w:vAlign w:val="top"/>
          </w:tcPr>
          <w:p w:rsidR="00553508" w:rsidRPr="00553508" w:rsidRDefault="00553508" w:rsidP="004418A5">
            <w:r w:rsidRPr="00553508">
              <w:t>Opening distribution assets*</w:t>
            </w:r>
          </w:p>
        </w:tc>
        <w:tc>
          <w:tcPr>
            <w:tcW w:w="2126" w:type="dxa"/>
            <w:vAlign w:val="top"/>
          </w:tcPr>
          <w:p w:rsidR="00553508" w:rsidRPr="00553508" w:rsidRDefault="00553508" w:rsidP="004418A5">
            <w:pPr>
              <w:cnfStyle w:val="000000000000" w:firstRow="0" w:lastRow="0" w:firstColumn="0" w:lastColumn="0" w:oddVBand="0" w:evenVBand="0" w:oddHBand="0" w:evenHBand="0" w:firstRowFirstColumn="0" w:firstRowLastColumn="0" w:lastRowFirstColumn="0" w:lastRowLastColumn="0"/>
            </w:pPr>
            <w:r w:rsidRPr="00553508">
              <w:t>n/a</w:t>
            </w:r>
          </w:p>
        </w:tc>
        <w:tc>
          <w:tcPr>
            <w:tcW w:w="3198" w:type="dxa"/>
            <w:vAlign w:val="top"/>
          </w:tcPr>
          <w:p w:rsidR="00553508" w:rsidRPr="00553508" w:rsidRDefault="00553508" w:rsidP="004418A5">
            <w:pPr>
              <w:cnfStyle w:val="000000000000" w:firstRow="0" w:lastRow="0" w:firstColumn="0" w:lastColumn="0" w:oddVBand="0" w:evenVBand="0" w:oddHBand="0" w:evenHBand="0" w:firstRowFirstColumn="0" w:firstRowLastColumn="0" w:lastRowFirstColumn="0" w:lastRowLastColumn="0"/>
            </w:pPr>
            <w:r w:rsidRPr="00553508">
              <w:t>14.7</w:t>
            </w:r>
          </w:p>
        </w:tc>
      </w:tr>
      <w:tr w:rsidR="00553508"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553508" w:rsidRPr="00553508" w:rsidRDefault="00553508" w:rsidP="004418A5">
            <w:r w:rsidRPr="00553508">
              <w:t xml:space="preserve">Sub-transmission overhead </w:t>
            </w:r>
          </w:p>
        </w:tc>
        <w:tc>
          <w:tcPr>
            <w:tcW w:w="2126" w:type="dxa"/>
            <w:vAlign w:val="top"/>
          </w:tcPr>
          <w:p w:rsidR="00553508" w:rsidRPr="00553508" w:rsidRDefault="00553508" w:rsidP="004418A5">
            <w:pPr>
              <w:cnfStyle w:val="000000010000" w:firstRow="0" w:lastRow="0" w:firstColumn="0" w:lastColumn="0" w:oddVBand="0" w:evenVBand="0" w:oddHBand="0" w:evenHBand="1" w:firstRowFirstColumn="0" w:firstRowLastColumn="0" w:lastRowFirstColumn="0" w:lastRowLastColumn="0"/>
            </w:pPr>
            <w:r w:rsidRPr="00553508">
              <w:t>40.0</w:t>
            </w:r>
          </w:p>
        </w:tc>
        <w:tc>
          <w:tcPr>
            <w:tcW w:w="3198" w:type="dxa"/>
            <w:vAlign w:val="top"/>
          </w:tcPr>
          <w:p w:rsidR="00553508" w:rsidRPr="00553508" w:rsidRDefault="00553508" w:rsidP="004418A5">
            <w:pPr>
              <w:cnfStyle w:val="000000010000" w:firstRow="0" w:lastRow="0" w:firstColumn="0" w:lastColumn="0" w:oddVBand="0" w:evenVBand="0" w:oddHBand="0" w:evenHBand="1" w:firstRowFirstColumn="0" w:firstRowLastColumn="0" w:lastRowFirstColumn="0" w:lastRowLastColumn="0"/>
            </w:pPr>
            <w:r w:rsidRPr="00553508">
              <w:t>37.5</w:t>
            </w:r>
          </w:p>
        </w:tc>
      </w:tr>
      <w:tr w:rsidR="00553508" w:rsidTr="00194D08">
        <w:tc>
          <w:tcPr>
            <w:cnfStyle w:val="001000000000" w:firstRow="0" w:lastRow="0" w:firstColumn="1" w:lastColumn="0" w:oddVBand="0" w:evenVBand="0" w:oddHBand="0" w:evenHBand="0" w:firstRowFirstColumn="0" w:firstRowLastColumn="0" w:lastRowFirstColumn="0" w:lastRowLastColumn="0"/>
            <w:tcW w:w="3369" w:type="dxa"/>
            <w:vAlign w:val="top"/>
          </w:tcPr>
          <w:p w:rsidR="00553508" w:rsidRPr="00553508" w:rsidRDefault="00553508" w:rsidP="004418A5">
            <w:r w:rsidRPr="00553508">
              <w:t xml:space="preserve">Sub-transmission underground </w:t>
            </w:r>
          </w:p>
        </w:tc>
        <w:tc>
          <w:tcPr>
            <w:tcW w:w="2126" w:type="dxa"/>
            <w:vAlign w:val="top"/>
          </w:tcPr>
          <w:p w:rsidR="00553508" w:rsidRPr="00553508" w:rsidRDefault="00553508" w:rsidP="004418A5">
            <w:pPr>
              <w:cnfStyle w:val="000000000000" w:firstRow="0" w:lastRow="0" w:firstColumn="0" w:lastColumn="0" w:oddVBand="0" w:evenVBand="0" w:oddHBand="0" w:evenHBand="0" w:firstRowFirstColumn="0" w:firstRowLastColumn="0" w:lastRowFirstColumn="0" w:lastRowLastColumn="0"/>
            </w:pPr>
            <w:r w:rsidRPr="00553508">
              <w:t>60.0</w:t>
            </w:r>
          </w:p>
        </w:tc>
        <w:tc>
          <w:tcPr>
            <w:tcW w:w="3198" w:type="dxa"/>
            <w:vAlign w:val="top"/>
          </w:tcPr>
          <w:p w:rsidR="00553508" w:rsidRPr="00553508" w:rsidRDefault="00D85C79" w:rsidP="00D85C79">
            <w:pPr>
              <w:cnfStyle w:val="000000000000" w:firstRow="0" w:lastRow="0" w:firstColumn="0" w:lastColumn="0" w:oddVBand="0" w:evenVBand="0" w:oddHBand="0" w:evenHBand="0" w:firstRowFirstColumn="0" w:firstRowLastColumn="0" w:lastRowFirstColumn="0" w:lastRowLastColumn="0"/>
            </w:pPr>
            <w:r>
              <w:t>n/a</w:t>
            </w:r>
          </w:p>
        </w:tc>
      </w:tr>
      <w:tr w:rsidR="00553508"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553508" w:rsidRPr="00553508" w:rsidRDefault="00553508" w:rsidP="004418A5">
            <w:r w:rsidRPr="00553508">
              <w:t>Zone substation</w:t>
            </w:r>
          </w:p>
        </w:tc>
        <w:tc>
          <w:tcPr>
            <w:tcW w:w="2126" w:type="dxa"/>
            <w:vAlign w:val="top"/>
          </w:tcPr>
          <w:p w:rsidR="00553508" w:rsidRPr="00553508" w:rsidRDefault="00553508" w:rsidP="004418A5">
            <w:pPr>
              <w:cnfStyle w:val="000000010000" w:firstRow="0" w:lastRow="0" w:firstColumn="0" w:lastColumn="0" w:oddVBand="0" w:evenVBand="0" w:oddHBand="0" w:evenHBand="1" w:firstRowFirstColumn="0" w:firstRowLastColumn="0" w:lastRowFirstColumn="0" w:lastRowLastColumn="0"/>
            </w:pPr>
            <w:r w:rsidRPr="00553508">
              <w:t>40.0</w:t>
            </w:r>
          </w:p>
        </w:tc>
        <w:tc>
          <w:tcPr>
            <w:tcW w:w="3198" w:type="dxa"/>
            <w:vAlign w:val="top"/>
          </w:tcPr>
          <w:p w:rsidR="00553508" w:rsidRPr="00553508" w:rsidRDefault="00553508" w:rsidP="004418A5">
            <w:pPr>
              <w:cnfStyle w:val="000000010000" w:firstRow="0" w:lastRow="0" w:firstColumn="0" w:lastColumn="0" w:oddVBand="0" w:evenVBand="0" w:oddHBand="0" w:evenHBand="1" w:firstRowFirstColumn="0" w:firstRowLastColumn="0" w:lastRowFirstColumn="0" w:lastRowLastColumn="0"/>
            </w:pPr>
            <w:r w:rsidRPr="00553508">
              <w:t>38.6</w:t>
            </w:r>
          </w:p>
        </w:tc>
      </w:tr>
      <w:tr w:rsidR="00553508" w:rsidTr="00194D08">
        <w:tc>
          <w:tcPr>
            <w:cnfStyle w:val="001000000000" w:firstRow="0" w:lastRow="0" w:firstColumn="1" w:lastColumn="0" w:oddVBand="0" w:evenVBand="0" w:oddHBand="0" w:evenHBand="0" w:firstRowFirstColumn="0" w:firstRowLastColumn="0" w:lastRowFirstColumn="0" w:lastRowLastColumn="0"/>
            <w:tcW w:w="3369" w:type="dxa"/>
            <w:vAlign w:val="top"/>
          </w:tcPr>
          <w:p w:rsidR="00553508" w:rsidRPr="00553508" w:rsidRDefault="00553508" w:rsidP="004418A5">
            <w:r w:rsidRPr="00553508">
              <w:t>IT &amp; communication systems (networks)</w:t>
            </w:r>
          </w:p>
        </w:tc>
        <w:tc>
          <w:tcPr>
            <w:tcW w:w="2126" w:type="dxa"/>
            <w:vAlign w:val="top"/>
          </w:tcPr>
          <w:p w:rsidR="00553508" w:rsidRPr="00553508" w:rsidRDefault="00553508" w:rsidP="004418A5">
            <w:pPr>
              <w:cnfStyle w:val="000000000000" w:firstRow="0" w:lastRow="0" w:firstColumn="0" w:lastColumn="0" w:oddVBand="0" w:evenVBand="0" w:oddHBand="0" w:evenHBand="0" w:firstRowFirstColumn="0" w:firstRowLastColumn="0" w:lastRowFirstColumn="0" w:lastRowLastColumn="0"/>
            </w:pPr>
            <w:r w:rsidRPr="00553508">
              <w:t>10.0</w:t>
            </w:r>
          </w:p>
        </w:tc>
        <w:tc>
          <w:tcPr>
            <w:tcW w:w="3198" w:type="dxa"/>
            <w:vAlign w:val="top"/>
          </w:tcPr>
          <w:p w:rsidR="00553508" w:rsidRPr="00553508" w:rsidRDefault="00553508" w:rsidP="004B1456">
            <w:pPr>
              <w:cnfStyle w:val="000000000000" w:firstRow="0" w:lastRow="0" w:firstColumn="0" w:lastColumn="0" w:oddVBand="0" w:evenVBand="0" w:oddHBand="0" w:evenHBand="0" w:firstRowFirstColumn="0" w:firstRowLastColumn="0" w:lastRowFirstColumn="0" w:lastRowLastColumn="0"/>
            </w:pPr>
            <w:r w:rsidRPr="00553508">
              <w:t>9.</w:t>
            </w:r>
            <w:r w:rsidR="004B1456">
              <w:t>3</w:t>
            </w:r>
          </w:p>
        </w:tc>
      </w:tr>
      <w:tr w:rsidR="00553508"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553508" w:rsidRPr="00553508" w:rsidRDefault="00553508" w:rsidP="004418A5">
            <w:r w:rsidRPr="00553508">
              <w:t>Motor vehicles</w:t>
            </w:r>
          </w:p>
        </w:tc>
        <w:tc>
          <w:tcPr>
            <w:tcW w:w="2126" w:type="dxa"/>
            <w:vAlign w:val="top"/>
          </w:tcPr>
          <w:p w:rsidR="00553508" w:rsidRPr="00553508" w:rsidRDefault="00553508" w:rsidP="004418A5">
            <w:pPr>
              <w:cnfStyle w:val="000000010000" w:firstRow="0" w:lastRow="0" w:firstColumn="0" w:lastColumn="0" w:oddVBand="0" w:evenVBand="0" w:oddHBand="0" w:evenHBand="1" w:firstRowFirstColumn="0" w:firstRowLastColumn="0" w:lastRowFirstColumn="0" w:lastRowLastColumn="0"/>
            </w:pPr>
            <w:r w:rsidRPr="00553508">
              <w:t>7.0</w:t>
            </w:r>
          </w:p>
        </w:tc>
        <w:tc>
          <w:tcPr>
            <w:tcW w:w="3198" w:type="dxa"/>
            <w:vAlign w:val="top"/>
          </w:tcPr>
          <w:p w:rsidR="00553508" w:rsidRPr="00553508" w:rsidRDefault="00553508" w:rsidP="004418A5">
            <w:pPr>
              <w:cnfStyle w:val="000000010000" w:firstRow="0" w:lastRow="0" w:firstColumn="0" w:lastColumn="0" w:oddVBand="0" w:evenVBand="0" w:oddHBand="0" w:evenHBand="1" w:firstRowFirstColumn="0" w:firstRowLastColumn="0" w:lastRowFirstColumn="0" w:lastRowLastColumn="0"/>
            </w:pPr>
            <w:r w:rsidRPr="00553508">
              <w:t>6.2</w:t>
            </w:r>
          </w:p>
        </w:tc>
      </w:tr>
      <w:tr w:rsidR="00553508" w:rsidTr="00194D08">
        <w:tc>
          <w:tcPr>
            <w:cnfStyle w:val="001000000000" w:firstRow="0" w:lastRow="0" w:firstColumn="1" w:lastColumn="0" w:oddVBand="0" w:evenVBand="0" w:oddHBand="0" w:evenHBand="0" w:firstRowFirstColumn="0" w:firstRowLastColumn="0" w:lastRowFirstColumn="0" w:lastRowLastColumn="0"/>
            <w:tcW w:w="3369" w:type="dxa"/>
            <w:vAlign w:val="top"/>
          </w:tcPr>
          <w:p w:rsidR="00553508" w:rsidRPr="00553508" w:rsidRDefault="00553508" w:rsidP="004418A5">
            <w:r w:rsidRPr="00553508">
              <w:t>Other non-system assets (networks)</w:t>
            </w:r>
          </w:p>
        </w:tc>
        <w:tc>
          <w:tcPr>
            <w:tcW w:w="2126" w:type="dxa"/>
            <w:vAlign w:val="top"/>
          </w:tcPr>
          <w:p w:rsidR="00553508" w:rsidRPr="00553508" w:rsidRDefault="00553508" w:rsidP="004418A5">
            <w:pPr>
              <w:cnfStyle w:val="000000000000" w:firstRow="0" w:lastRow="0" w:firstColumn="0" w:lastColumn="0" w:oddVBand="0" w:evenVBand="0" w:oddHBand="0" w:evenHBand="0" w:firstRowFirstColumn="0" w:firstRowLastColumn="0" w:lastRowFirstColumn="0" w:lastRowLastColumn="0"/>
            </w:pPr>
            <w:r w:rsidRPr="00553508">
              <w:t>5.0</w:t>
            </w:r>
          </w:p>
        </w:tc>
        <w:tc>
          <w:tcPr>
            <w:tcW w:w="3198" w:type="dxa"/>
            <w:vAlign w:val="top"/>
          </w:tcPr>
          <w:p w:rsidR="00553508" w:rsidRPr="00553508" w:rsidRDefault="00553508" w:rsidP="004418A5">
            <w:pPr>
              <w:cnfStyle w:val="000000000000" w:firstRow="0" w:lastRow="0" w:firstColumn="0" w:lastColumn="0" w:oddVBand="0" w:evenVBand="0" w:oddHBand="0" w:evenHBand="0" w:firstRowFirstColumn="0" w:firstRowLastColumn="0" w:lastRowFirstColumn="0" w:lastRowLastColumn="0"/>
            </w:pPr>
            <w:r w:rsidRPr="00553508">
              <w:t>2.8</w:t>
            </w:r>
          </w:p>
        </w:tc>
      </w:tr>
      <w:tr w:rsidR="00553508"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553508" w:rsidRPr="00553508" w:rsidRDefault="00553508" w:rsidP="004418A5">
            <w:r w:rsidRPr="00553508">
              <w:t>IT systems (corporate)</w:t>
            </w:r>
          </w:p>
        </w:tc>
        <w:tc>
          <w:tcPr>
            <w:tcW w:w="2126" w:type="dxa"/>
            <w:vAlign w:val="top"/>
          </w:tcPr>
          <w:p w:rsidR="00553508" w:rsidRPr="00553508" w:rsidRDefault="00553508" w:rsidP="004418A5">
            <w:pPr>
              <w:cnfStyle w:val="000000010000" w:firstRow="0" w:lastRow="0" w:firstColumn="0" w:lastColumn="0" w:oddVBand="0" w:evenVBand="0" w:oddHBand="0" w:evenHBand="1" w:firstRowFirstColumn="0" w:firstRowLastColumn="0" w:lastRowFirstColumn="0" w:lastRowLastColumn="0"/>
            </w:pPr>
            <w:r w:rsidRPr="00553508">
              <w:t>5.0</w:t>
            </w:r>
          </w:p>
        </w:tc>
        <w:tc>
          <w:tcPr>
            <w:tcW w:w="3198" w:type="dxa"/>
            <w:vAlign w:val="top"/>
          </w:tcPr>
          <w:p w:rsidR="00553508" w:rsidRPr="00553508" w:rsidRDefault="00553508" w:rsidP="004418A5">
            <w:pPr>
              <w:cnfStyle w:val="000000010000" w:firstRow="0" w:lastRow="0" w:firstColumn="0" w:lastColumn="0" w:oddVBand="0" w:evenVBand="0" w:oddHBand="0" w:evenHBand="1" w:firstRowFirstColumn="0" w:firstRowLastColumn="0" w:lastRowFirstColumn="0" w:lastRowLastColumn="0"/>
            </w:pPr>
            <w:r w:rsidRPr="00553508">
              <w:t>4.1</w:t>
            </w:r>
          </w:p>
        </w:tc>
      </w:tr>
      <w:tr w:rsidR="00553508" w:rsidTr="00194D08">
        <w:tc>
          <w:tcPr>
            <w:cnfStyle w:val="001000000000" w:firstRow="0" w:lastRow="0" w:firstColumn="1" w:lastColumn="0" w:oddVBand="0" w:evenVBand="0" w:oddHBand="0" w:evenHBand="0" w:firstRowFirstColumn="0" w:firstRowLastColumn="0" w:lastRowFirstColumn="0" w:lastRowLastColumn="0"/>
            <w:tcW w:w="3369" w:type="dxa"/>
            <w:vAlign w:val="top"/>
          </w:tcPr>
          <w:p w:rsidR="00553508" w:rsidRPr="00553508" w:rsidRDefault="00553508" w:rsidP="004418A5">
            <w:r w:rsidRPr="00553508">
              <w:t>Telecommunications (corporate)</w:t>
            </w:r>
          </w:p>
        </w:tc>
        <w:tc>
          <w:tcPr>
            <w:tcW w:w="2126" w:type="dxa"/>
            <w:vAlign w:val="top"/>
          </w:tcPr>
          <w:p w:rsidR="00553508" w:rsidRPr="00553508" w:rsidRDefault="00553508" w:rsidP="004418A5">
            <w:pPr>
              <w:cnfStyle w:val="000000000000" w:firstRow="0" w:lastRow="0" w:firstColumn="0" w:lastColumn="0" w:oddVBand="0" w:evenVBand="0" w:oddHBand="0" w:evenHBand="0" w:firstRowFirstColumn="0" w:firstRowLastColumn="0" w:lastRowFirstColumn="0" w:lastRowLastColumn="0"/>
            </w:pPr>
            <w:r w:rsidRPr="00553508">
              <w:t>5.0</w:t>
            </w:r>
          </w:p>
        </w:tc>
        <w:tc>
          <w:tcPr>
            <w:tcW w:w="3198" w:type="dxa"/>
            <w:vAlign w:val="top"/>
          </w:tcPr>
          <w:p w:rsidR="00553508" w:rsidRPr="00553508" w:rsidRDefault="00553508" w:rsidP="009048E4">
            <w:pPr>
              <w:cnfStyle w:val="000000000000" w:firstRow="0" w:lastRow="0" w:firstColumn="0" w:lastColumn="0" w:oddVBand="0" w:evenVBand="0" w:oddHBand="0" w:evenHBand="0" w:firstRowFirstColumn="0" w:firstRowLastColumn="0" w:lastRowFirstColumn="0" w:lastRowLastColumn="0"/>
            </w:pPr>
            <w:r w:rsidRPr="00553508">
              <w:t>1.</w:t>
            </w:r>
            <w:r w:rsidR="009048E4">
              <w:t>9</w:t>
            </w:r>
          </w:p>
        </w:tc>
      </w:tr>
      <w:tr w:rsidR="00553508"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553508" w:rsidRPr="00553508" w:rsidRDefault="00553508" w:rsidP="004418A5">
            <w:r w:rsidRPr="00553508">
              <w:t>Other non-system assets (corporate)</w:t>
            </w:r>
          </w:p>
        </w:tc>
        <w:tc>
          <w:tcPr>
            <w:tcW w:w="2126" w:type="dxa"/>
            <w:vAlign w:val="top"/>
          </w:tcPr>
          <w:p w:rsidR="00553508" w:rsidRPr="00553508" w:rsidRDefault="00553508" w:rsidP="004418A5">
            <w:pPr>
              <w:cnfStyle w:val="000000010000" w:firstRow="0" w:lastRow="0" w:firstColumn="0" w:lastColumn="0" w:oddVBand="0" w:evenVBand="0" w:oddHBand="0" w:evenHBand="1" w:firstRowFirstColumn="0" w:firstRowLastColumn="0" w:lastRowFirstColumn="0" w:lastRowLastColumn="0"/>
            </w:pPr>
            <w:r w:rsidRPr="00553508">
              <w:t>5.0</w:t>
            </w:r>
          </w:p>
        </w:tc>
        <w:tc>
          <w:tcPr>
            <w:tcW w:w="3198" w:type="dxa"/>
            <w:vAlign w:val="top"/>
          </w:tcPr>
          <w:p w:rsidR="00553508" w:rsidRPr="00553508" w:rsidRDefault="00553508" w:rsidP="009048E4">
            <w:pPr>
              <w:cnfStyle w:val="000000010000" w:firstRow="0" w:lastRow="0" w:firstColumn="0" w:lastColumn="0" w:oddVBand="0" w:evenVBand="0" w:oddHBand="0" w:evenHBand="1" w:firstRowFirstColumn="0" w:firstRowLastColumn="0" w:lastRowFirstColumn="0" w:lastRowLastColumn="0"/>
            </w:pPr>
            <w:r w:rsidRPr="00553508">
              <w:t>2.</w:t>
            </w:r>
            <w:r w:rsidR="009048E4">
              <w:t>1</w:t>
            </w:r>
          </w:p>
        </w:tc>
      </w:tr>
      <w:tr w:rsidR="00553508" w:rsidTr="00194D08">
        <w:tc>
          <w:tcPr>
            <w:cnfStyle w:val="001000000000" w:firstRow="0" w:lastRow="0" w:firstColumn="1" w:lastColumn="0" w:oddVBand="0" w:evenVBand="0" w:oddHBand="0" w:evenHBand="0" w:firstRowFirstColumn="0" w:firstRowLastColumn="0" w:lastRowFirstColumn="0" w:lastRowLastColumn="0"/>
            <w:tcW w:w="3369" w:type="dxa"/>
            <w:vAlign w:val="top"/>
          </w:tcPr>
          <w:p w:rsidR="00553508" w:rsidRPr="00553508" w:rsidRDefault="00553508" w:rsidP="004418A5">
            <w:r w:rsidRPr="00553508">
              <w:t>Land</w:t>
            </w:r>
          </w:p>
        </w:tc>
        <w:tc>
          <w:tcPr>
            <w:tcW w:w="2126" w:type="dxa"/>
            <w:vAlign w:val="top"/>
          </w:tcPr>
          <w:p w:rsidR="00553508" w:rsidRPr="00553508" w:rsidRDefault="00553508" w:rsidP="004418A5">
            <w:pPr>
              <w:cnfStyle w:val="000000000000" w:firstRow="0" w:lastRow="0" w:firstColumn="0" w:lastColumn="0" w:oddVBand="0" w:evenVBand="0" w:oddHBand="0" w:evenHBand="0" w:firstRowFirstColumn="0" w:firstRowLastColumn="0" w:lastRowFirstColumn="0" w:lastRowLastColumn="0"/>
            </w:pPr>
            <w:r w:rsidRPr="00553508">
              <w:t>n/a</w:t>
            </w:r>
          </w:p>
        </w:tc>
        <w:tc>
          <w:tcPr>
            <w:tcW w:w="3198" w:type="dxa"/>
            <w:vAlign w:val="top"/>
          </w:tcPr>
          <w:p w:rsidR="00553508" w:rsidRPr="00553508" w:rsidRDefault="00553508" w:rsidP="004418A5">
            <w:pPr>
              <w:cnfStyle w:val="000000000000" w:firstRow="0" w:lastRow="0" w:firstColumn="0" w:lastColumn="0" w:oddVBand="0" w:evenVBand="0" w:oddHBand="0" w:evenHBand="0" w:firstRowFirstColumn="0" w:firstRowLastColumn="0" w:lastRowFirstColumn="0" w:lastRowLastColumn="0"/>
            </w:pPr>
            <w:r w:rsidRPr="00553508">
              <w:t>n/a</w:t>
            </w:r>
          </w:p>
        </w:tc>
      </w:tr>
      <w:tr w:rsidR="00553508" w:rsidTr="00194D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top"/>
          </w:tcPr>
          <w:p w:rsidR="00553508" w:rsidRPr="00553508" w:rsidRDefault="00553508" w:rsidP="004418A5">
            <w:r w:rsidRPr="00553508">
              <w:t>Buildings</w:t>
            </w:r>
          </w:p>
        </w:tc>
        <w:tc>
          <w:tcPr>
            <w:tcW w:w="2126" w:type="dxa"/>
            <w:vAlign w:val="top"/>
          </w:tcPr>
          <w:p w:rsidR="00553508" w:rsidRPr="00553508" w:rsidRDefault="00553508" w:rsidP="004418A5">
            <w:pPr>
              <w:cnfStyle w:val="000000010000" w:firstRow="0" w:lastRow="0" w:firstColumn="0" w:lastColumn="0" w:oddVBand="0" w:evenVBand="0" w:oddHBand="0" w:evenHBand="1" w:firstRowFirstColumn="0" w:firstRowLastColumn="0" w:lastRowFirstColumn="0" w:lastRowLastColumn="0"/>
            </w:pPr>
            <w:r w:rsidRPr="00553508">
              <w:t>60.0</w:t>
            </w:r>
          </w:p>
        </w:tc>
        <w:tc>
          <w:tcPr>
            <w:tcW w:w="3198" w:type="dxa"/>
            <w:vAlign w:val="top"/>
          </w:tcPr>
          <w:p w:rsidR="00553508" w:rsidRPr="00553508" w:rsidRDefault="00553508" w:rsidP="009048E4">
            <w:pPr>
              <w:cnfStyle w:val="000000010000" w:firstRow="0" w:lastRow="0" w:firstColumn="0" w:lastColumn="0" w:oddVBand="0" w:evenVBand="0" w:oddHBand="0" w:evenHBand="1" w:firstRowFirstColumn="0" w:firstRowLastColumn="0" w:lastRowFirstColumn="0" w:lastRowLastColumn="0"/>
            </w:pPr>
            <w:r w:rsidRPr="00553508">
              <w:t>57.</w:t>
            </w:r>
            <w:r w:rsidR="009048E4">
              <w:t>0</w:t>
            </w:r>
          </w:p>
        </w:tc>
      </w:tr>
      <w:tr w:rsidR="00553508" w:rsidTr="00194D08">
        <w:tc>
          <w:tcPr>
            <w:cnfStyle w:val="001000000000" w:firstRow="0" w:lastRow="0" w:firstColumn="1" w:lastColumn="0" w:oddVBand="0" w:evenVBand="0" w:oddHBand="0" w:evenHBand="0" w:firstRowFirstColumn="0" w:firstRowLastColumn="0" w:lastRowFirstColumn="0" w:lastRowLastColumn="0"/>
            <w:tcW w:w="3369" w:type="dxa"/>
            <w:vAlign w:val="top"/>
          </w:tcPr>
          <w:p w:rsidR="00553508" w:rsidRPr="00553508" w:rsidRDefault="00553508" w:rsidP="004418A5">
            <w:r w:rsidRPr="00553508">
              <w:t>Equity raising costs</w:t>
            </w:r>
          </w:p>
        </w:tc>
        <w:tc>
          <w:tcPr>
            <w:tcW w:w="2126" w:type="dxa"/>
            <w:vAlign w:val="top"/>
          </w:tcPr>
          <w:p w:rsidR="00553508" w:rsidRPr="00553508" w:rsidRDefault="00553508" w:rsidP="004418A5">
            <w:pPr>
              <w:cnfStyle w:val="000000000000" w:firstRow="0" w:lastRow="0" w:firstColumn="0" w:lastColumn="0" w:oddVBand="0" w:evenVBand="0" w:oddHBand="0" w:evenHBand="0" w:firstRowFirstColumn="0" w:firstRowLastColumn="0" w:lastRowFirstColumn="0" w:lastRowLastColumn="0"/>
            </w:pPr>
            <w:r w:rsidRPr="00553508">
              <w:t>44.5</w:t>
            </w:r>
          </w:p>
        </w:tc>
        <w:tc>
          <w:tcPr>
            <w:tcW w:w="3198" w:type="dxa"/>
            <w:vAlign w:val="top"/>
          </w:tcPr>
          <w:p w:rsidR="00553508" w:rsidRPr="00553508" w:rsidRDefault="00553508" w:rsidP="004418A5">
            <w:pPr>
              <w:cnfStyle w:val="000000000000" w:firstRow="0" w:lastRow="0" w:firstColumn="0" w:lastColumn="0" w:oddVBand="0" w:evenVBand="0" w:oddHBand="0" w:evenHBand="0" w:firstRowFirstColumn="0" w:firstRowLastColumn="0" w:lastRowFirstColumn="0" w:lastRowLastColumn="0"/>
            </w:pPr>
            <w:r w:rsidRPr="00553508">
              <w:t>40.5</w:t>
            </w:r>
          </w:p>
        </w:tc>
      </w:tr>
    </w:tbl>
    <w:p w:rsidR="00553508" w:rsidRDefault="00553508" w:rsidP="00553508">
      <w:pPr>
        <w:pStyle w:val="AERtablesource"/>
        <w:ind w:left="0" w:firstLine="0"/>
      </w:pPr>
      <w:r>
        <w:t>Source:</w:t>
      </w:r>
      <w:r>
        <w:tab/>
        <w:t>AER analysis.</w:t>
      </w:r>
    </w:p>
    <w:sectPr w:rsidR="00553508"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CB" w:rsidRPr="00290C63" w:rsidRDefault="005F06CB" w:rsidP="00290C63">
      <w:r>
        <w:separator/>
      </w:r>
    </w:p>
    <w:p w:rsidR="005F06CB" w:rsidRDefault="005F06CB"/>
  </w:endnote>
  <w:endnote w:type="continuationSeparator" w:id="0">
    <w:p w:rsidR="005F06CB" w:rsidRPr="00290C63" w:rsidRDefault="005F06CB" w:rsidP="00290C63">
      <w:r>
        <w:continuationSeparator/>
      </w:r>
    </w:p>
    <w:p w:rsidR="005F06CB" w:rsidRDefault="005F0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CB" w:rsidRPr="00290C63" w:rsidRDefault="005F06C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F06CB" w:rsidRDefault="005F06CB"/>
  <w:p w:rsidR="005F06CB" w:rsidRDefault="005F06CB"/>
  <w:p w:rsidR="005F06CB" w:rsidRDefault="005F06CB"/>
  <w:p w:rsidR="005F06CB" w:rsidRDefault="005F06CB"/>
  <w:p w:rsidR="005F06CB" w:rsidRDefault="005F06CB"/>
  <w:p w:rsidR="005F06CB" w:rsidRDefault="005F06CB"/>
  <w:p w:rsidR="005F06CB" w:rsidRDefault="005F06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 w:val="16"/>
        <w:szCs w:val="16"/>
      </w:rPr>
    </w:sdtEndPr>
    <w:sdtContent>
      <w:p w:rsidR="005F06CB" w:rsidRDefault="005F06CB">
        <w:pPr>
          <w:pStyle w:val="Footer"/>
        </w:pPr>
        <w:r>
          <w:fldChar w:fldCharType="begin"/>
        </w:r>
        <w:r>
          <w:instrText xml:space="preserve"> PAGE   \* MERGEFORMAT </w:instrText>
        </w:r>
        <w:r>
          <w:fldChar w:fldCharType="separate"/>
        </w:r>
        <w:r w:rsidR="00126DF5">
          <w:rPr>
            <w:noProof/>
          </w:rPr>
          <w:t>5-0</w:t>
        </w:r>
        <w:r>
          <w:rPr>
            <w:noProof/>
          </w:rPr>
          <w:fldChar w:fldCharType="end"/>
        </w:r>
        <w:r>
          <w:rPr>
            <w:noProof/>
          </w:rPr>
          <w:t xml:space="preserve">         </w:t>
        </w:r>
        <w:r>
          <w:t xml:space="preserve">                                    </w:t>
        </w:r>
        <w:r>
          <w:rPr>
            <w:noProof/>
          </w:rPr>
          <w:t xml:space="preserve"> </w:t>
        </w:r>
        <w:r w:rsidRPr="003271AA">
          <w:t xml:space="preserve">Attachment 5 – Regulatory depreciation </w:t>
        </w:r>
        <w:r w:rsidRPr="00FD5E78">
          <w:rPr>
            <w:rFonts w:cs="Gautami"/>
            <w:noProof/>
            <w:sz w:val="16"/>
            <w:szCs w:val="16"/>
          </w:rPr>
          <w:t xml:space="preserve">| </w:t>
        </w:r>
        <w:r>
          <w:rPr>
            <w:sz w:val="16"/>
            <w:szCs w:val="16"/>
          </w:rPr>
          <w:t>ActewAGL</w:t>
        </w:r>
        <w:r w:rsidRPr="00FD5E78">
          <w:rPr>
            <w:sz w:val="16"/>
            <w:szCs w:val="16"/>
          </w:rPr>
          <w:t xml:space="preserve"> </w:t>
        </w:r>
        <w:r>
          <w:t>f</w:t>
        </w:r>
        <w:r w:rsidRPr="0070011E">
          <w:t xml:space="preserve">inal decision </w:t>
        </w:r>
        <w:r w:rsidRPr="00FD5E78">
          <w:rPr>
            <w:rFonts w:cs="Gautami"/>
            <w:noProof/>
            <w:sz w:val="16"/>
            <w:szCs w:val="16"/>
          </w:rPr>
          <w:t>2015–</w:t>
        </w:r>
        <w:r>
          <w:rPr>
            <w:rFonts w:cs="Gautami"/>
            <w:noProof/>
            <w:sz w:val="16"/>
            <w:szCs w:val="16"/>
          </w:rPr>
          <w:t>19</w:t>
        </w:r>
      </w:p>
    </w:sdtContent>
  </w:sdt>
  <w:p w:rsidR="005F06CB" w:rsidRDefault="005F06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CB" w:rsidRPr="00290C63" w:rsidRDefault="005F06C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F06CB" w:rsidRDefault="005F06CB">
    <w:pPr>
      <w:pStyle w:val="Footer"/>
    </w:pPr>
  </w:p>
  <w:p w:rsidR="005F06CB" w:rsidRDefault="005F06CB"/>
  <w:p w:rsidR="005F06CB" w:rsidRDefault="005F06CB"/>
  <w:p w:rsidR="005F06CB" w:rsidRDefault="005F06CB"/>
  <w:p w:rsidR="005F06CB" w:rsidRDefault="005F06CB"/>
  <w:p w:rsidR="005F06CB" w:rsidRDefault="005F06CB"/>
  <w:p w:rsidR="005F06CB" w:rsidRDefault="005F06CB"/>
  <w:p w:rsidR="005F06CB" w:rsidRDefault="005F06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CB" w:rsidRPr="00290C63" w:rsidRDefault="005F06CB" w:rsidP="00290C63">
      <w:r>
        <w:separator/>
      </w:r>
    </w:p>
    <w:p w:rsidR="005F06CB" w:rsidRDefault="005F06CB"/>
  </w:footnote>
  <w:footnote w:type="continuationSeparator" w:id="0">
    <w:p w:rsidR="005F06CB" w:rsidRPr="00290C63" w:rsidRDefault="005F06CB" w:rsidP="00290C63">
      <w:r>
        <w:continuationSeparator/>
      </w:r>
    </w:p>
    <w:p w:rsidR="005F06CB" w:rsidRDefault="005F06CB"/>
  </w:footnote>
  <w:footnote w:id="1">
    <w:p w:rsidR="005F06CB" w:rsidRDefault="005F06CB">
      <w:pPr>
        <w:pStyle w:val="FootnoteText"/>
      </w:pPr>
      <w:r>
        <w:rPr>
          <w:rStyle w:val="FootnoteReference"/>
        </w:rPr>
        <w:footnoteRef/>
      </w:r>
      <w:r>
        <w:t xml:space="preserve"> </w:t>
      </w:r>
      <w:r>
        <w:tab/>
      </w:r>
      <w:r w:rsidRPr="00740082">
        <w:t>NER, cl 6.12.1(8).</w:t>
      </w:r>
    </w:p>
  </w:footnote>
  <w:footnote w:id="2">
    <w:p w:rsidR="005F06CB" w:rsidRDefault="005F06CB">
      <w:pPr>
        <w:pStyle w:val="FootnoteText"/>
      </w:pPr>
      <w:r>
        <w:rPr>
          <w:rStyle w:val="FootnoteReference"/>
        </w:rPr>
        <w:footnoteRef/>
      </w:r>
      <w:r>
        <w:t xml:space="preserve"> </w:t>
      </w:r>
      <w:r>
        <w:tab/>
        <w:t xml:space="preserve">ActewAGL, </w:t>
      </w:r>
      <w:r w:rsidRPr="00BC7E22">
        <w:rPr>
          <w:rStyle w:val="AERtextitalic"/>
        </w:rPr>
        <w:t>Revised regulatory proposal</w:t>
      </w:r>
      <w:r>
        <w:t>, January 2015, p.411.</w:t>
      </w:r>
    </w:p>
  </w:footnote>
  <w:footnote w:id="3">
    <w:p w:rsidR="005F06CB" w:rsidRDefault="005F06CB">
      <w:pPr>
        <w:pStyle w:val="FootnoteText"/>
      </w:pPr>
      <w:r>
        <w:rPr>
          <w:rStyle w:val="FootnoteReference"/>
        </w:rPr>
        <w:footnoteRef/>
      </w:r>
      <w:r>
        <w:t xml:space="preserve"> </w:t>
      </w:r>
      <w:r>
        <w:tab/>
        <w:t xml:space="preserve">AER, </w:t>
      </w:r>
      <w:r w:rsidRPr="00CF0F0A">
        <w:rPr>
          <w:rStyle w:val="AERtextitalic"/>
        </w:rPr>
        <w:t>Draft decision - ActewAGL distribution determination, Attachment 5: Regulatory depreciation</w:t>
      </w:r>
      <w:r>
        <w:t xml:space="preserve">, November 2014, pp. 9–11. </w:t>
      </w:r>
    </w:p>
  </w:footnote>
  <w:footnote w:id="4">
    <w:p w:rsidR="005F06CB" w:rsidRDefault="005F06CB">
      <w:pPr>
        <w:pStyle w:val="FootnoteText"/>
      </w:pPr>
      <w:r>
        <w:rPr>
          <w:rStyle w:val="FootnoteReference"/>
        </w:rPr>
        <w:footnoteRef/>
      </w:r>
      <w:r>
        <w:t xml:space="preserve"> </w:t>
      </w:r>
      <w:r>
        <w:tab/>
        <w:t>NER, cl 6.5.5(b)(1).</w:t>
      </w:r>
    </w:p>
  </w:footnote>
  <w:footnote w:id="5">
    <w:p w:rsidR="005F06CB" w:rsidRDefault="005F06CB" w:rsidP="001D2869">
      <w:pPr>
        <w:pStyle w:val="FootnoteText"/>
      </w:pPr>
      <w:r>
        <w:rPr>
          <w:rStyle w:val="FootnoteReference"/>
        </w:rPr>
        <w:footnoteRef/>
      </w:r>
      <w:r>
        <w:t xml:space="preserve"> </w:t>
      </w:r>
      <w:r>
        <w:tab/>
      </w:r>
      <w:r w:rsidRPr="005335F1">
        <w:t xml:space="preserve">ActewAGL's approach uses </w:t>
      </w:r>
      <w:r>
        <w:t xml:space="preserve">depreciation from the final year of the 2009–14 regulatory control period  </w:t>
      </w:r>
      <w:r w:rsidRPr="005335F1">
        <w:t>to determine the remaining asset lives</w:t>
      </w:r>
      <w:r>
        <w:t xml:space="preserve">. The remaining asset value as at 30 June 2014 is divided by the depreciation for </w:t>
      </w:r>
      <w:r>
        <w:br/>
        <w:t>2013–14.</w:t>
      </w:r>
    </w:p>
  </w:footnote>
  <w:footnote w:id="6">
    <w:p w:rsidR="005F06CB" w:rsidRDefault="005F06CB">
      <w:pPr>
        <w:pStyle w:val="FootnoteText"/>
      </w:pPr>
      <w:r>
        <w:rPr>
          <w:rStyle w:val="FootnoteReference"/>
        </w:rPr>
        <w:footnoteRef/>
      </w:r>
      <w:r>
        <w:t xml:space="preserve"> </w:t>
      </w:r>
      <w:r>
        <w:tab/>
        <w:t xml:space="preserve">The AER's approach </w:t>
      </w:r>
      <w:r w:rsidRPr="001D2869">
        <w:t xml:space="preserve">rolls forward the remaining asset life for an asset class from the beginning of the 2009–14 regulatory control period. </w:t>
      </w:r>
      <w:r>
        <w:t>We consider this approach b</w:t>
      </w:r>
      <w:r w:rsidRPr="001D2869">
        <w:t>etter reflects the mix of assets within that asset class, when they were acquired over that period (or if they were existing assets), and the remaining value of those assets (used as a weight) at the end of the period.</w:t>
      </w:r>
    </w:p>
  </w:footnote>
  <w:footnote w:id="7">
    <w:p w:rsidR="005F06CB" w:rsidRDefault="005F06CB" w:rsidP="001D2869">
      <w:pPr>
        <w:pStyle w:val="FootnoteText"/>
      </w:pPr>
      <w:r>
        <w:rPr>
          <w:rStyle w:val="FootnoteReference"/>
        </w:rPr>
        <w:footnoteRef/>
      </w:r>
      <w:r>
        <w:t xml:space="preserve"> </w:t>
      </w:r>
      <w:r>
        <w:tab/>
        <w:t>In the 2009 determination new disaggregated asset classes were introduced from 1 July 2009. All capex incurred over the 2009–14 regulatory control period was allocated to the new disaggregated asset classes.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7">
    <w:nsid w:val="487C7731"/>
    <w:multiLevelType w:val="multilevel"/>
    <w:tmpl w:val="950A1C52"/>
    <w:numStyleLink w:val="AERHeadings"/>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9B7A16AA"/>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6DE36827"/>
    <w:multiLevelType w:val="multilevel"/>
    <w:tmpl w:val="950A1C52"/>
    <w:numStyleLink w:val="AERHeadings"/>
  </w:abstractNum>
  <w:abstractNum w:abstractNumId="3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2"/>
  </w:num>
  <w:num w:numId="14">
    <w:abstractNumId w:val="10"/>
  </w:num>
  <w:num w:numId="15">
    <w:abstractNumId w:val="13"/>
  </w:num>
  <w:num w:numId="16">
    <w:abstractNumId w:val="28"/>
  </w:num>
  <w:num w:numId="17">
    <w:abstractNumId w:val="9"/>
  </w:num>
  <w:num w:numId="18">
    <w:abstractNumId w:val="18"/>
  </w:num>
  <w:num w:numId="19">
    <w:abstractNumId w:val="29"/>
  </w:num>
  <w:num w:numId="20">
    <w:abstractNumId w:val="36"/>
  </w:num>
  <w:num w:numId="21">
    <w:abstractNumId w:val="14"/>
  </w:num>
  <w:num w:numId="22">
    <w:abstractNumId w:val="32"/>
  </w:num>
  <w:num w:numId="23">
    <w:abstractNumId w:val="30"/>
  </w:num>
  <w:num w:numId="24">
    <w:abstractNumId w:val="20"/>
  </w:num>
  <w:num w:numId="25">
    <w:abstractNumId w:val="31"/>
  </w:num>
  <w:num w:numId="26">
    <w:abstractNumId w:val="33"/>
  </w:num>
  <w:num w:numId="27">
    <w:abstractNumId w:val="21"/>
  </w:num>
  <w:num w:numId="28">
    <w:abstractNumId w:val="19"/>
  </w:num>
  <w:num w:numId="29">
    <w:abstractNumId w:val="17"/>
  </w:num>
  <w:num w:numId="30">
    <w:abstractNumId w:val="37"/>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5"/>
  </w:num>
  <w:num w:numId="37">
    <w:abstractNumId w:val="27"/>
  </w:num>
  <w:num w:numId="38">
    <w:abstractNumId w:val="23"/>
  </w:num>
  <w:num w:numId="39">
    <w:abstractNumId w:val="12"/>
  </w:num>
  <w:num w:numId="40">
    <w:abstractNumId w:val="33"/>
  </w:num>
  <w:num w:numId="41">
    <w:abstractNumId w:val="33"/>
  </w:num>
  <w:num w:numId="42">
    <w:abstractNumId w:val="25"/>
  </w:num>
  <w:num w:numId="43">
    <w:abstractNumId w:val="16"/>
  </w:num>
  <w:num w:numId="44">
    <w:abstractNumId w:val="26"/>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LZxhbb9ccqtuuKJhLU6UMFyUCfzPCF5LZzNzon93654=" w:saltValue="8vbFeSXRVin/G36qRJSHiQ==" w:algorithmName="SHA-256"/>
  <w:defaultTabStop w:val="34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976\AER15 323  AER - Final Decision ActewAGL distribution determination - Attachment 5 - Regulatory depreciation - April 2015.DOCX"/>
  </w:docVars>
  <w:rsids>
    <w:rsidRoot w:val="00961A4A"/>
    <w:rsid w:val="00021202"/>
    <w:rsid w:val="00021C2B"/>
    <w:rsid w:val="0002517F"/>
    <w:rsid w:val="0003578C"/>
    <w:rsid w:val="00043519"/>
    <w:rsid w:val="00063247"/>
    <w:rsid w:val="000702C7"/>
    <w:rsid w:val="00070F9F"/>
    <w:rsid w:val="0007137B"/>
    <w:rsid w:val="00085663"/>
    <w:rsid w:val="00085EBF"/>
    <w:rsid w:val="000877C4"/>
    <w:rsid w:val="00091B15"/>
    <w:rsid w:val="000A3020"/>
    <w:rsid w:val="000A6C7B"/>
    <w:rsid w:val="000C2B40"/>
    <w:rsid w:val="000D122C"/>
    <w:rsid w:val="000E1819"/>
    <w:rsid w:val="000E4821"/>
    <w:rsid w:val="000E6C72"/>
    <w:rsid w:val="00116EB2"/>
    <w:rsid w:val="00124609"/>
    <w:rsid w:val="00126A4C"/>
    <w:rsid w:val="00126DF5"/>
    <w:rsid w:val="0014573B"/>
    <w:rsid w:val="001573E4"/>
    <w:rsid w:val="00160756"/>
    <w:rsid w:val="0017232E"/>
    <w:rsid w:val="00174102"/>
    <w:rsid w:val="001754EE"/>
    <w:rsid w:val="00180157"/>
    <w:rsid w:val="00185CB9"/>
    <w:rsid w:val="00186F77"/>
    <w:rsid w:val="001926A4"/>
    <w:rsid w:val="00192AD5"/>
    <w:rsid w:val="00194D08"/>
    <w:rsid w:val="001B45A0"/>
    <w:rsid w:val="001C07B3"/>
    <w:rsid w:val="001D055E"/>
    <w:rsid w:val="001D2869"/>
    <w:rsid w:val="001F05A4"/>
    <w:rsid w:val="001F492E"/>
    <w:rsid w:val="001F6DA3"/>
    <w:rsid w:val="002010BC"/>
    <w:rsid w:val="002016E7"/>
    <w:rsid w:val="00202E03"/>
    <w:rsid w:val="0020492C"/>
    <w:rsid w:val="00224DB9"/>
    <w:rsid w:val="00233775"/>
    <w:rsid w:val="00251745"/>
    <w:rsid w:val="00263AC0"/>
    <w:rsid w:val="00264264"/>
    <w:rsid w:val="0026772D"/>
    <w:rsid w:val="0028189B"/>
    <w:rsid w:val="00286874"/>
    <w:rsid w:val="00290C63"/>
    <w:rsid w:val="00296B65"/>
    <w:rsid w:val="002A0D58"/>
    <w:rsid w:val="002A7DEF"/>
    <w:rsid w:val="002C0DA1"/>
    <w:rsid w:val="002C233C"/>
    <w:rsid w:val="002D72E8"/>
    <w:rsid w:val="002E7B22"/>
    <w:rsid w:val="002F7986"/>
    <w:rsid w:val="00301B40"/>
    <w:rsid w:val="003029EE"/>
    <w:rsid w:val="00305CC8"/>
    <w:rsid w:val="00307F6D"/>
    <w:rsid w:val="003142D2"/>
    <w:rsid w:val="003177A2"/>
    <w:rsid w:val="003271AA"/>
    <w:rsid w:val="003271B5"/>
    <w:rsid w:val="00327A1E"/>
    <w:rsid w:val="00331264"/>
    <w:rsid w:val="00334C8D"/>
    <w:rsid w:val="00343A18"/>
    <w:rsid w:val="003518B3"/>
    <w:rsid w:val="00377866"/>
    <w:rsid w:val="003846F1"/>
    <w:rsid w:val="0039272E"/>
    <w:rsid w:val="003B484F"/>
    <w:rsid w:val="003B5018"/>
    <w:rsid w:val="003B7FBA"/>
    <w:rsid w:val="003D1F79"/>
    <w:rsid w:val="003F174D"/>
    <w:rsid w:val="003F3AEF"/>
    <w:rsid w:val="004072AF"/>
    <w:rsid w:val="00415F31"/>
    <w:rsid w:val="00423A77"/>
    <w:rsid w:val="004418A5"/>
    <w:rsid w:val="0045777E"/>
    <w:rsid w:val="00480B4B"/>
    <w:rsid w:val="00485DC4"/>
    <w:rsid w:val="004A43D1"/>
    <w:rsid w:val="004B1456"/>
    <w:rsid w:val="004B4412"/>
    <w:rsid w:val="004C348C"/>
    <w:rsid w:val="004D55BA"/>
    <w:rsid w:val="004D5675"/>
    <w:rsid w:val="004D7879"/>
    <w:rsid w:val="004E22EC"/>
    <w:rsid w:val="004F6A0E"/>
    <w:rsid w:val="00522FE5"/>
    <w:rsid w:val="00530128"/>
    <w:rsid w:val="00532467"/>
    <w:rsid w:val="00541B94"/>
    <w:rsid w:val="00553508"/>
    <w:rsid w:val="005635AB"/>
    <w:rsid w:val="00564A4D"/>
    <w:rsid w:val="00567BA5"/>
    <w:rsid w:val="00571B35"/>
    <w:rsid w:val="00571D57"/>
    <w:rsid w:val="00577A09"/>
    <w:rsid w:val="005829C2"/>
    <w:rsid w:val="00584D8F"/>
    <w:rsid w:val="005A404D"/>
    <w:rsid w:val="005B1E3C"/>
    <w:rsid w:val="005B704A"/>
    <w:rsid w:val="005C26CC"/>
    <w:rsid w:val="005D7BA2"/>
    <w:rsid w:val="005E36C2"/>
    <w:rsid w:val="005F06CB"/>
    <w:rsid w:val="00610EF9"/>
    <w:rsid w:val="00612F4F"/>
    <w:rsid w:val="00615C6B"/>
    <w:rsid w:val="00621DCE"/>
    <w:rsid w:val="00632D6D"/>
    <w:rsid w:val="00641DE7"/>
    <w:rsid w:val="00642C3E"/>
    <w:rsid w:val="00656DDB"/>
    <w:rsid w:val="0066104A"/>
    <w:rsid w:val="00663DAD"/>
    <w:rsid w:val="00675E20"/>
    <w:rsid w:val="00676679"/>
    <w:rsid w:val="00683C89"/>
    <w:rsid w:val="006A2A50"/>
    <w:rsid w:val="006B2395"/>
    <w:rsid w:val="006B3138"/>
    <w:rsid w:val="006B4CF9"/>
    <w:rsid w:val="006B7AC8"/>
    <w:rsid w:val="006C0CD1"/>
    <w:rsid w:val="006C1736"/>
    <w:rsid w:val="006D550F"/>
    <w:rsid w:val="006E0E8D"/>
    <w:rsid w:val="0070011E"/>
    <w:rsid w:val="00701CAB"/>
    <w:rsid w:val="00707563"/>
    <w:rsid w:val="0072348C"/>
    <w:rsid w:val="00724A37"/>
    <w:rsid w:val="007303C3"/>
    <w:rsid w:val="007429BE"/>
    <w:rsid w:val="00743223"/>
    <w:rsid w:val="00746E01"/>
    <w:rsid w:val="007500E0"/>
    <w:rsid w:val="00757364"/>
    <w:rsid w:val="00757BDF"/>
    <w:rsid w:val="007609D0"/>
    <w:rsid w:val="00763E5D"/>
    <w:rsid w:val="00764D45"/>
    <w:rsid w:val="00767740"/>
    <w:rsid w:val="00771BC4"/>
    <w:rsid w:val="00777EE6"/>
    <w:rsid w:val="00782EEA"/>
    <w:rsid w:val="00787B58"/>
    <w:rsid w:val="007A442D"/>
    <w:rsid w:val="007B186E"/>
    <w:rsid w:val="007B2C72"/>
    <w:rsid w:val="007C1C53"/>
    <w:rsid w:val="007C74BB"/>
    <w:rsid w:val="007D456E"/>
    <w:rsid w:val="007E4904"/>
    <w:rsid w:val="007E4CB5"/>
    <w:rsid w:val="007F066B"/>
    <w:rsid w:val="008033C4"/>
    <w:rsid w:val="00806C88"/>
    <w:rsid w:val="0081034E"/>
    <w:rsid w:val="00817071"/>
    <w:rsid w:val="008344F6"/>
    <w:rsid w:val="0083510F"/>
    <w:rsid w:val="00851209"/>
    <w:rsid w:val="008837AC"/>
    <w:rsid w:val="008A587D"/>
    <w:rsid w:val="008A6214"/>
    <w:rsid w:val="008B35CD"/>
    <w:rsid w:val="008B5FCC"/>
    <w:rsid w:val="008C5486"/>
    <w:rsid w:val="008D1661"/>
    <w:rsid w:val="008D6800"/>
    <w:rsid w:val="008E7031"/>
    <w:rsid w:val="008E77DE"/>
    <w:rsid w:val="008F07A3"/>
    <w:rsid w:val="009001B6"/>
    <w:rsid w:val="00900E1B"/>
    <w:rsid w:val="009048E4"/>
    <w:rsid w:val="009233EE"/>
    <w:rsid w:val="0092577A"/>
    <w:rsid w:val="009460AA"/>
    <w:rsid w:val="00951978"/>
    <w:rsid w:val="00960D5C"/>
    <w:rsid w:val="00961A4A"/>
    <w:rsid w:val="009661DE"/>
    <w:rsid w:val="00983C25"/>
    <w:rsid w:val="009856B7"/>
    <w:rsid w:val="00985C86"/>
    <w:rsid w:val="009A5FC3"/>
    <w:rsid w:val="009B74B0"/>
    <w:rsid w:val="009D3906"/>
    <w:rsid w:val="009D6B46"/>
    <w:rsid w:val="009F4940"/>
    <w:rsid w:val="009F5BA1"/>
    <w:rsid w:val="00A02A88"/>
    <w:rsid w:val="00A0562E"/>
    <w:rsid w:val="00A0726D"/>
    <w:rsid w:val="00A25DC7"/>
    <w:rsid w:val="00A3100E"/>
    <w:rsid w:val="00A32FBB"/>
    <w:rsid w:val="00A339B5"/>
    <w:rsid w:val="00A428EE"/>
    <w:rsid w:val="00A4478A"/>
    <w:rsid w:val="00A44852"/>
    <w:rsid w:val="00A50502"/>
    <w:rsid w:val="00A57D04"/>
    <w:rsid w:val="00A60A26"/>
    <w:rsid w:val="00A61598"/>
    <w:rsid w:val="00A75526"/>
    <w:rsid w:val="00A84A99"/>
    <w:rsid w:val="00A84F46"/>
    <w:rsid w:val="00A871F4"/>
    <w:rsid w:val="00AC1B2C"/>
    <w:rsid w:val="00AC3264"/>
    <w:rsid w:val="00AE1BF1"/>
    <w:rsid w:val="00AF0DD2"/>
    <w:rsid w:val="00B13048"/>
    <w:rsid w:val="00B1716D"/>
    <w:rsid w:val="00B17A1D"/>
    <w:rsid w:val="00B207A0"/>
    <w:rsid w:val="00B2329E"/>
    <w:rsid w:val="00B514DD"/>
    <w:rsid w:val="00B52AF0"/>
    <w:rsid w:val="00B561BD"/>
    <w:rsid w:val="00B56E03"/>
    <w:rsid w:val="00B8080B"/>
    <w:rsid w:val="00B82223"/>
    <w:rsid w:val="00B87BA5"/>
    <w:rsid w:val="00B87C39"/>
    <w:rsid w:val="00B9562D"/>
    <w:rsid w:val="00BA4665"/>
    <w:rsid w:val="00BB2FB2"/>
    <w:rsid w:val="00BB3304"/>
    <w:rsid w:val="00BC7E22"/>
    <w:rsid w:val="00BD3446"/>
    <w:rsid w:val="00BE1F1B"/>
    <w:rsid w:val="00BE47B5"/>
    <w:rsid w:val="00C057AE"/>
    <w:rsid w:val="00C13D09"/>
    <w:rsid w:val="00C25FA6"/>
    <w:rsid w:val="00C538A9"/>
    <w:rsid w:val="00C53B5A"/>
    <w:rsid w:val="00C54F5A"/>
    <w:rsid w:val="00C569B4"/>
    <w:rsid w:val="00C67A92"/>
    <w:rsid w:val="00C84560"/>
    <w:rsid w:val="00C86679"/>
    <w:rsid w:val="00C92EAE"/>
    <w:rsid w:val="00C975E6"/>
    <w:rsid w:val="00CA489E"/>
    <w:rsid w:val="00CB0279"/>
    <w:rsid w:val="00CB666B"/>
    <w:rsid w:val="00CC7F1D"/>
    <w:rsid w:val="00CE484B"/>
    <w:rsid w:val="00CF0DEE"/>
    <w:rsid w:val="00CF0F0A"/>
    <w:rsid w:val="00D006AE"/>
    <w:rsid w:val="00D01CF0"/>
    <w:rsid w:val="00D0442A"/>
    <w:rsid w:val="00D2438C"/>
    <w:rsid w:val="00D355B8"/>
    <w:rsid w:val="00D5673B"/>
    <w:rsid w:val="00D61388"/>
    <w:rsid w:val="00D61A54"/>
    <w:rsid w:val="00D64DEA"/>
    <w:rsid w:val="00D7168E"/>
    <w:rsid w:val="00D71E57"/>
    <w:rsid w:val="00D80893"/>
    <w:rsid w:val="00D84854"/>
    <w:rsid w:val="00D85C79"/>
    <w:rsid w:val="00D92CF1"/>
    <w:rsid w:val="00D92D38"/>
    <w:rsid w:val="00D9458D"/>
    <w:rsid w:val="00D950F5"/>
    <w:rsid w:val="00DA4752"/>
    <w:rsid w:val="00DA61F3"/>
    <w:rsid w:val="00DB0F93"/>
    <w:rsid w:val="00DB1A67"/>
    <w:rsid w:val="00DB5074"/>
    <w:rsid w:val="00DC7981"/>
    <w:rsid w:val="00DD1C14"/>
    <w:rsid w:val="00DE1093"/>
    <w:rsid w:val="00DE4EFA"/>
    <w:rsid w:val="00DE5520"/>
    <w:rsid w:val="00DE563D"/>
    <w:rsid w:val="00DF5E76"/>
    <w:rsid w:val="00E04818"/>
    <w:rsid w:val="00E06442"/>
    <w:rsid w:val="00E23993"/>
    <w:rsid w:val="00E25B8C"/>
    <w:rsid w:val="00E4301A"/>
    <w:rsid w:val="00E61BA4"/>
    <w:rsid w:val="00E65C85"/>
    <w:rsid w:val="00E66199"/>
    <w:rsid w:val="00E755EC"/>
    <w:rsid w:val="00E7624D"/>
    <w:rsid w:val="00EA3D42"/>
    <w:rsid w:val="00EA6B1B"/>
    <w:rsid w:val="00EC04F1"/>
    <w:rsid w:val="00ED7323"/>
    <w:rsid w:val="00EE28F3"/>
    <w:rsid w:val="00EE3FFC"/>
    <w:rsid w:val="00EE50D1"/>
    <w:rsid w:val="00EF5110"/>
    <w:rsid w:val="00F10411"/>
    <w:rsid w:val="00F15882"/>
    <w:rsid w:val="00F171E0"/>
    <w:rsid w:val="00F20BD3"/>
    <w:rsid w:val="00F3623A"/>
    <w:rsid w:val="00F373A5"/>
    <w:rsid w:val="00F47559"/>
    <w:rsid w:val="00F64C7B"/>
    <w:rsid w:val="00F676DD"/>
    <w:rsid w:val="00F75A26"/>
    <w:rsid w:val="00F76706"/>
    <w:rsid w:val="00F83FAD"/>
    <w:rsid w:val="00F854CF"/>
    <w:rsid w:val="00F952A0"/>
    <w:rsid w:val="00F96356"/>
    <w:rsid w:val="00FA206C"/>
    <w:rsid w:val="00FA3C7F"/>
    <w:rsid w:val="00FB60FE"/>
    <w:rsid w:val="00FB74E2"/>
    <w:rsid w:val="00FC5A79"/>
    <w:rsid w:val="00FC760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1828417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E109DD43</Template>
  <TotalTime>0</TotalTime>
  <Pages>12</Pages>
  <Words>2237</Words>
  <Characters>12754</Characters>
  <Application>Microsoft Office Word</Application>
  <DocSecurity>0</DocSecurity>
  <Lines>106</Lines>
  <Paragraphs>29</Paragraphs>
  <ScaleCrop>false</ScaleCrop>
  <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2015-04-29T05:38:00Z</dcterms:created>
  <dcterms:modified xsi:type="dcterms:W3CDTF">2015-04-29T05:38:00Z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