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3178EDD" wp14:editId="29D0722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Attachment 2</w:t>
          </w:r>
          <w:r w:rsidR="00DA4752">
            <w:t xml:space="preserve"> </w:t>
          </w:r>
          <w:r w:rsidR="00415F31">
            <w:rPr>
              <w:rFonts w:cs="Arial"/>
            </w:rPr>
            <w:t>–</w:t>
          </w:r>
          <w:r w:rsidR="00DA4752">
            <w:t xml:space="preserve"> </w:t>
          </w:r>
          <w:r>
            <w:t>Regulatory asset base</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331648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70011E">
        <w:t>ActewAGL’</w:t>
      </w:r>
      <w:r w:rsidR="00415F31">
        <w:t>s</w:t>
      </w:r>
      <w:proofErr w:type="spellEnd"/>
      <w:r w:rsidR="00415F31">
        <w:t xml:space="preserve"> </w:t>
      </w:r>
      <w:r w:rsidR="00525338">
        <w:t>regulatory</w:t>
      </w:r>
      <w:r w:rsidR="00415F31">
        <w:t xml:space="preserv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4123EB" w:rsidRPr="004123EB">
        <w:t>policy</w:t>
      </w:r>
    </w:p>
    <w:p w:rsidR="00415F31" w:rsidRDefault="0070011E" w:rsidP="00415F31">
      <w:r>
        <w:t>Attachment 19 - Pricing methodology</w:t>
      </w:r>
    </w:p>
    <w:p w:rsidR="00A45F6A" w:rsidRPr="00A45F6A" w:rsidRDefault="00A45F6A" w:rsidP="00A45F6A">
      <w:r w:rsidRPr="00A45F6A">
        <w:t>Attachment 20 - Analysis of Financial Viability</w:t>
      </w:r>
    </w:p>
    <w:p w:rsidR="00DE563D" w:rsidRPr="00A72B34" w:rsidRDefault="00DE563D" w:rsidP="00DE563D">
      <w:pPr>
        <w:pStyle w:val="UnnumberedHeading"/>
        <w:numPr>
          <w:ilvl w:val="0"/>
          <w:numId w:val="24"/>
        </w:numPr>
      </w:pPr>
      <w:bookmarkStart w:id="6" w:name="_Toc403144133"/>
      <w:bookmarkStart w:id="7" w:name="_Toc41331649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D7A10"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316489" w:history="1">
            <w:r w:rsidR="001D7A10" w:rsidRPr="00B67C4E">
              <w:rPr>
                <w:rStyle w:val="Hyperlink"/>
              </w:rPr>
              <w:t>Note</w:t>
            </w:r>
            <w:r w:rsidR="001D7A10">
              <w:rPr>
                <w:webHidden/>
              </w:rPr>
              <w:tab/>
            </w:r>
            <w:r w:rsidR="001D7A10">
              <w:rPr>
                <w:webHidden/>
              </w:rPr>
              <w:fldChar w:fldCharType="begin"/>
            </w:r>
            <w:r w:rsidR="001D7A10">
              <w:rPr>
                <w:webHidden/>
              </w:rPr>
              <w:instrText xml:space="preserve"> PAGEREF _Toc413316489 \h </w:instrText>
            </w:r>
            <w:r w:rsidR="001D7A10">
              <w:rPr>
                <w:webHidden/>
              </w:rPr>
            </w:r>
            <w:r w:rsidR="001D7A10">
              <w:rPr>
                <w:webHidden/>
              </w:rPr>
              <w:fldChar w:fldCharType="separate"/>
            </w:r>
            <w:r w:rsidR="00937B4E">
              <w:rPr>
                <w:webHidden/>
              </w:rPr>
              <w:t>2-2</w:t>
            </w:r>
            <w:r w:rsidR="001D7A10">
              <w:rPr>
                <w:webHidden/>
              </w:rPr>
              <w:fldChar w:fldCharType="end"/>
            </w:r>
          </w:hyperlink>
        </w:p>
        <w:p w:rsidR="001D7A10" w:rsidRDefault="008B5586">
          <w:pPr>
            <w:pStyle w:val="TOC1"/>
            <w:rPr>
              <w:rFonts w:asciiTheme="minorHAnsi" w:eastAsiaTheme="minorEastAsia" w:hAnsiTheme="minorHAnsi"/>
              <w:b w:val="0"/>
              <w:color w:val="auto"/>
              <w:sz w:val="22"/>
              <w:lang w:val="en-AU" w:eastAsia="en-AU"/>
            </w:rPr>
          </w:pPr>
          <w:hyperlink w:anchor="_Toc413316490" w:history="1">
            <w:r w:rsidR="001D7A10" w:rsidRPr="00B67C4E">
              <w:rPr>
                <w:rStyle w:val="Hyperlink"/>
              </w:rPr>
              <w:t>Contents</w:t>
            </w:r>
            <w:r w:rsidR="001D7A10">
              <w:rPr>
                <w:webHidden/>
              </w:rPr>
              <w:tab/>
            </w:r>
            <w:r w:rsidR="001D7A10">
              <w:rPr>
                <w:webHidden/>
              </w:rPr>
              <w:fldChar w:fldCharType="begin"/>
            </w:r>
            <w:r w:rsidR="001D7A10">
              <w:rPr>
                <w:webHidden/>
              </w:rPr>
              <w:instrText xml:space="preserve"> PAGEREF _Toc413316490 \h </w:instrText>
            </w:r>
            <w:r w:rsidR="001D7A10">
              <w:rPr>
                <w:webHidden/>
              </w:rPr>
            </w:r>
            <w:r w:rsidR="001D7A10">
              <w:rPr>
                <w:webHidden/>
              </w:rPr>
              <w:fldChar w:fldCharType="separate"/>
            </w:r>
            <w:r w:rsidR="00937B4E">
              <w:rPr>
                <w:webHidden/>
              </w:rPr>
              <w:t>2-3</w:t>
            </w:r>
            <w:r w:rsidR="001D7A10">
              <w:rPr>
                <w:webHidden/>
              </w:rPr>
              <w:fldChar w:fldCharType="end"/>
            </w:r>
          </w:hyperlink>
        </w:p>
        <w:p w:rsidR="001D7A10" w:rsidRDefault="008B5586">
          <w:pPr>
            <w:pStyle w:val="TOC1"/>
            <w:rPr>
              <w:rFonts w:asciiTheme="minorHAnsi" w:eastAsiaTheme="minorEastAsia" w:hAnsiTheme="minorHAnsi"/>
              <w:b w:val="0"/>
              <w:color w:val="auto"/>
              <w:sz w:val="22"/>
              <w:lang w:val="en-AU" w:eastAsia="en-AU"/>
            </w:rPr>
          </w:pPr>
          <w:hyperlink w:anchor="_Toc413316491" w:history="1">
            <w:r w:rsidR="001D7A10" w:rsidRPr="00B67C4E">
              <w:rPr>
                <w:rStyle w:val="Hyperlink"/>
              </w:rPr>
              <w:t>Shortened forms</w:t>
            </w:r>
            <w:r w:rsidR="001D7A10">
              <w:rPr>
                <w:webHidden/>
              </w:rPr>
              <w:tab/>
            </w:r>
            <w:r w:rsidR="001D7A10">
              <w:rPr>
                <w:webHidden/>
              </w:rPr>
              <w:fldChar w:fldCharType="begin"/>
            </w:r>
            <w:r w:rsidR="001D7A10">
              <w:rPr>
                <w:webHidden/>
              </w:rPr>
              <w:instrText xml:space="preserve"> PAGEREF _Toc413316491 \h </w:instrText>
            </w:r>
            <w:r w:rsidR="001D7A10">
              <w:rPr>
                <w:webHidden/>
              </w:rPr>
            </w:r>
            <w:r w:rsidR="001D7A10">
              <w:rPr>
                <w:webHidden/>
              </w:rPr>
              <w:fldChar w:fldCharType="separate"/>
            </w:r>
            <w:r w:rsidR="00937B4E">
              <w:rPr>
                <w:webHidden/>
              </w:rPr>
              <w:t>2-4</w:t>
            </w:r>
            <w:r w:rsidR="001D7A10">
              <w:rPr>
                <w:webHidden/>
              </w:rPr>
              <w:fldChar w:fldCharType="end"/>
            </w:r>
          </w:hyperlink>
        </w:p>
        <w:p w:rsidR="001D7A10" w:rsidRDefault="008B5586">
          <w:pPr>
            <w:pStyle w:val="TOC1"/>
            <w:rPr>
              <w:rFonts w:asciiTheme="minorHAnsi" w:eastAsiaTheme="minorEastAsia" w:hAnsiTheme="minorHAnsi"/>
              <w:b w:val="0"/>
              <w:color w:val="auto"/>
              <w:sz w:val="22"/>
              <w:lang w:val="en-AU" w:eastAsia="en-AU"/>
            </w:rPr>
          </w:pPr>
          <w:hyperlink w:anchor="_Toc413316492" w:history="1">
            <w:r w:rsidR="001D7A10" w:rsidRPr="00B67C4E">
              <w:rPr>
                <w:rStyle w:val="Hyperlink"/>
              </w:rPr>
              <w:t>2</w:t>
            </w:r>
            <w:r w:rsidR="001D7A10">
              <w:rPr>
                <w:rFonts w:asciiTheme="minorHAnsi" w:eastAsiaTheme="minorEastAsia" w:hAnsiTheme="minorHAnsi"/>
                <w:b w:val="0"/>
                <w:color w:val="auto"/>
                <w:sz w:val="22"/>
                <w:lang w:val="en-AU" w:eastAsia="en-AU"/>
              </w:rPr>
              <w:tab/>
            </w:r>
            <w:r w:rsidR="001D7A10" w:rsidRPr="00B67C4E">
              <w:rPr>
                <w:rStyle w:val="Hyperlink"/>
              </w:rPr>
              <w:t>Regulatory asset base</w:t>
            </w:r>
            <w:r w:rsidR="001D7A10">
              <w:rPr>
                <w:webHidden/>
              </w:rPr>
              <w:tab/>
            </w:r>
            <w:r w:rsidR="001D7A10">
              <w:rPr>
                <w:webHidden/>
              </w:rPr>
              <w:fldChar w:fldCharType="begin"/>
            </w:r>
            <w:r w:rsidR="001D7A10">
              <w:rPr>
                <w:webHidden/>
              </w:rPr>
              <w:instrText xml:space="preserve"> PAGEREF _Toc413316492 \h </w:instrText>
            </w:r>
            <w:r w:rsidR="001D7A10">
              <w:rPr>
                <w:webHidden/>
              </w:rPr>
            </w:r>
            <w:r w:rsidR="001D7A10">
              <w:rPr>
                <w:webHidden/>
              </w:rPr>
              <w:fldChar w:fldCharType="separate"/>
            </w:r>
            <w:r w:rsidR="00937B4E">
              <w:rPr>
                <w:webHidden/>
              </w:rPr>
              <w:t>2-6</w:t>
            </w:r>
            <w:r w:rsidR="001D7A10">
              <w:rPr>
                <w:webHidden/>
              </w:rPr>
              <w:fldChar w:fldCharType="end"/>
            </w:r>
          </w:hyperlink>
        </w:p>
        <w:p w:rsidR="001D7A10" w:rsidRDefault="008B5586">
          <w:pPr>
            <w:pStyle w:val="TOC2"/>
            <w:rPr>
              <w:rFonts w:asciiTheme="minorHAnsi" w:eastAsiaTheme="minorEastAsia" w:hAnsiTheme="minorHAnsi"/>
              <w:b w:val="0"/>
              <w:color w:val="auto"/>
              <w:sz w:val="22"/>
              <w:lang w:eastAsia="en-AU"/>
            </w:rPr>
          </w:pPr>
          <w:hyperlink w:anchor="_Toc413316493" w:history="1">
            <w:r w:rsidR="001D7A10" w:rsidRPr="00B67C4E">
              <w:rPr>
                <w:rStyle w:val="Hyperlink"/>
              </w:rPr>
              <w:t>2.1</w:t>
            </w:r>
            <w:r w:rsidR="001D7A10">
              <w:rPr>
                <w:rFonts w:asciiTheme="minorHAnsi" w:eastAsiaTheme="minorEastAsia" w:hAnsiTheme="minorHAnsi"/>
                <w:b w:val="0"/>
                <w:color w:val="auto"/>
                <w:sz w:val="22"/>
                <w:lang w:eastAsia="en-AU"/>
              </w:rPr>
              <w:tab/>
            </w:r>
            <w:r w:rsidR="001D7A10" w:rsidRPr="00B67C4E">
              <w:rPr>
                <w:rStyle w:val="Hyperlink"/>
              </w:rPr>
              <w:t>Final decision</w:t>
            </w:r>
            <w:r w:rsidR="001D7A10">
              <w:rPr>
                <w:webHidden/>
              </w:rPr>
              <w:tab/>
            </w:r>
            <w:r w:rsidR="001D7A10">
              <w:rPr>
                <w:webHidden/>
              </w:rPr>
              <w:fldChar w:fldCharType="begin"/>
            </w:r>
            <w:r w:rsidR="001D7A10">
              <w:rPr>
                <w:webHidden/>
              </w:rPr>
              <w:instrText xml:space="preserve"> PAGEREF _Toc413316493 \h </w:instrText>
            </w:r>
            <w:r w:rsidR="001D7A10">
              <w:rPr>
                <w:webHidden/>
              </w:rPr>
            </w:r>
            <w:r w:rsidR="001D7A10">
              <w:rPr>
                <w:webHidden/>
              </w:rPr>
              <w:fldChar w:fldCharType="separate"/>
            </w:r>
            <w:r w:rsidR="00937B4E">
              <w:rPr>
                <w:webHidden/>
              </w:rPr>
              <w:t>2-6</w:t>
            </w:r>
            <w:r w:rsidR="001D7A10">
              <w:rPr>
                <w:webHidden/>
              </w:rPr>
              <w:fldChar w:fldCharType="end"/>
            </w:r>
          </w:hyperlink>
        </w:p>
        <w:p w:rsidR="001D7A10" w:rsidRDefault="008B5586">
          <w:pPr>
            <w:pStyle w:val="TOC2"/>
            <w:rPr>
              <w:rFonts w:asciiTheme="minorHAnsi" w:eastAsiaTheme="minorEastAsia" w:hAnsiTheme="minorHAnsi"/>
              <w:b w:val="0"/>
              <w:color w:val="auto"/>
              <w:sz w:val="22"/>
              <w:lang w:eastAsia="en-AU"/>
            </w:rPr>
          </w:pPr>
          <w:hyperlink w:anchor="_Toc413316494" w:history="1">
            <w:r w:rsidR="001D7A10" w:rsidRPr="00B67C4E">
              <w:rPr>
                <w:rStyle w:val="Hyperlink"/>
              </w:rPr>
              <w:t>2.2</w:t>
            </w:r>
            <w:r w:rsidR="001D7A10">
              <w:rPr>
                <w:rFonts w:asciiTheme="minorHAnsi" w:eastAsiaTheme="minorEastAsia" w:hAnsiTheme="minorHAnsi"/>
                <w:b w:val="0"/>
                <w:color w:val="auto"/>
                <w:sz w:val="22"/>
                <w:lang w:eastAsia="en-AU"/>
              </w:rPr>
              <w:tab/>
            </w:r>
            <w:r w:rsidR="001D7A10" w:rsidRPr="00B67C4E">
              <w:rPr>
                <w:rStyle w:val="Hyperlink"/>
              </w:rPr>
              <w:t>ActewAGL’s revised proposal</w:t>
            </w:r>
            <w:r w:rsidR="001D7A10">
              <w:rPr>
                <w:webHidden/>
              </w:rPr>
              <w:tab/>
            </w:r>
            <w:r w:rsidR="001D7A10">
              <w:rPr>
                <w:webHidden/>
              </w:rPr>
              <w:fldChar w:fldCharType="begin"/>
            </w:r>
            <w:r w:rsidR="001D7A10">
              <w:rPr>
                <w:webHidden/>
              </w:rPr>
              <w:instrText xml:space="preserve"> PAGEREF _Toc413316494 \h </w:instrText>
            </w:r>
            <w:r w:rsidR="001D7A10">
              <w:rPr>
                <w:webHidden/>
              </w:rPr>
            </w:r>
            <w:r w:rsidR="001D7A10">
              <w:rPr>
                <w:webHidden/>
              </w:rPr>
              <w:fldChar w:fldCharType="separate"/>
            </w:r>
            <w:r w:rsidR="00937B4E">
              <w:rPr>
                <w:webHidden/>
              </w:rPr>
              <w:t>2-8</w:t>
            </w:r>
            <w:r w:rsidR="001D7A10">
              <w:rPr>
                <w:webHidden/>
              </w:rPr>
              <w:fldChar w:fldCharType="end"/>
            </w:r>
          </w:hyperlink>
        </w:p>
        <w:p w:rsidR="001D7A10" w:rsidRDefault="008B5586">
          <w:pPr>
            <w:pStyle w:val="TOC2"/>
            <w:rPr>
              <w:rFonts w:asciiTheme="minorHAnsi" w:eastAsiaTheme="minorEastAsia" w:hAnsiTheme="minorHAnsi"/>
              <w:b w:val="0"/>
              <w:color w:val="auto"/>
              <w:sz w:val="22"/>
              <w:lang w:eastAsia="en-AU"/>
            </w:rPr>
          </w:pPr>
          <w:hyperlink w:anchor="_Toc413316495" w:history="1">
            <w:r w:rsidR="001D7A10" w:rsidRPr="00B67C4E">
              <w:rPr>
                <w:rStyle w:val="Hyperlink"/>
              </w:rPr>
              <w:t>2.3</w:t>
            </w:r>
            <w:r w:rsidR="001D7A10">
              <w:rPr>
                <w:rFonts w:asciiTheme="minorHAnsi" w:eastAsiaTheme="minorEastAsia" w:hAnsiTheme="minorHAnsi"/>
                <w:b w:val="0"/>
                <w:color w:val="auto"/>
                <w:sz w:val="22"/>
                <w:lang w:eastAsia="en-AU"/>
              </w:rPr>
              <w:tab/>
            </w:r>
            <w:r w:rsidR="001D7A10" w:rsidRPr="00B67C4E">
              <w:rPr>
                <w:rStyle w:val="Hyperlink"/>
              </w:rPr>
              <w:t>AER’s assessment approach</w:t>
            </w:r>
            <w:r w:rsidR="001D7A10">
              <w:rPr>
                <w:webHidden/>
              </w:rPr>
              <w:tab/>
            </w:r>
            <w:r w:rsidR="001D7A10">
              <w:rPr>
                <w:webHidden/>
              </w:rPr>
              <w:fldChar w:fldCharType="begin"/>
            </w:r>
            <w:r w:rsidR="001D7A10">
              <w:rPr>
                <w:webHidden/>
              </w:rPr>
              <w:instrText xml:space="preserve"> PAGEREF _Toc413316495 \h </w:instrText>
            </w:r>
            <w:r w:rsidR="001D7A10">
              <w:rPr>
                <w:webHidden/>
              </w:rPr>
            </w:r>
            <w:r w:rsidR="001D7A10">
              <w:rPr>
                <w:webHidden/>
              </w:rPr>
              <w:fldChar w:fldCharType="separate"/>
            </w:r>
            <w:r w:rsidR="00937B4E">
              <w:rPr>
                <w:webHidden/>
              </w:rPr>
              <w:t>2-9</w:t>
            </w:r>
            <w:r w:rsidR="001D7A10">
              <w:rPr>
                <w:webHidden/>
              </w:rPr>
              <w:fldChar w:fldCharType="end"/>
            </w:r>
          </w:hyperlink>
        </w:p>
        <w:p w:rsidR="001D7A10" w:rsidRDefault="008B5586">
          <w:pPr>
            <w:pStyle w:val="TOC2"/>
            <w:rPr>
              <w:rFonts w:asciiTheme="minorHAnsi" w:eastAsiaTheme="minorEastAsia" w:hAnsiTheme="minorHAnsi"/>
              <w:b w:val="0"/>
              <w:color w:val="auto"/>
              <w:sz w:val="22"/>
              <w:lang w:eastAsia="en-AU"/>
            </w:rPr>
          </w:pPr>
          <w:hyperlink w:anchor="_Toc413316496" w:history="1">
            <w:r w:rsidR="001D7A10" w:rsidRPr="00B67C4E">
              <w:rPr>
                <w:rStyle w:val="Hyperlink"/>
              </w:rPr>
              <w:t>2.4</w:t>
            </w:r>
            <w:r w:rsidR="001D7A10">
              <w:rPr>
                <w:rFonts w:asciiTheme="minorHAnsi" w:eastAsiaTheme="minorEastAsia" w:hAnsiTheme="minorHAnsi"/>
                <w:b w:val="0"/>
                <w:color w:val="auto"/>
                <w:sz w:val="22"/>
                <w:lang w:eastAsia="en-AU"/>
              </w:rPr>
              <w:tab/>
            </w:r>
            <w:r w:rsidR="001D7A10" w:rsidRPr="00B67C4E">
              <w:rPr>
                <w:rStyle w:val="Hyperlink"/>
              </w:rPr>
              <w:t>Reasons for final decision</w:t>
            </w:r>
            <w:r w:rsidR="001D7A10">
              <w:rPr>
                <w:webHidden/>
              </w:rPr>
              <w:tab/>
            </w:r>
            <w:r w:rsidR="001D7A10">
              <w:rPr>
                <w:webHidden/>
              </w:rPr>
              <w:fldChar w:fldCharType="begin"/>
            </w:r>
            <w:r w:rsidR="001D7A10">
              <w:rPr>
                <w:webHidden/>
              </w:rPr>
              <w:instrText xml:space="preserve"> PAGEREF _Toc413316496 \h </w:instrText>
            </w:r>
            <w:r w:rsidR="001D7A10">
              <w:rPr>
                <w:webHidden/>
              </w:rPr>
            </w:r>
            <w:r w:rsidR="001D7A10">
              <w:rPr>
                <w:webHidden/>
              </w:rPr>
              <w:fldChar w:fldCharType="separate"/>
            </w:r>
            <w:r w:rsidR="00937B4E">
              <w:rPr>
                <w:webHidden/>
              </w:rPr>
              <w:t>2-9</w:t>
            </w:r>
            <w:r w:rsidR="001D7A10">
              <w:rPr>
                <w:webHidden/>
              </w:rPr>
              <w:fldChar w:fldCharType="end"/>
            </w:r>
          </w:hyperlink>
        </w:p>
        <w:p w:rsidR="001D7A10" w:rsidRDefault="008B5586">
          <w:pPr>
            <w:pStyle w:val="TOC3"/>
            <w:rPr>
              <w:rFonts w:asciiTheme="minorHAnsi" w:eastAsiaTheme="minorEastAsia" w:hAnsiTheme="minorHAnsi"/>
              <w:lang w:eastAsia="en-AU"/>
            </w:rPr>
          </w:pPr>
          <w:hyperlink w:anchor="_Toc413316497" w:history="1">
            <w:r w:rsidR="001D7A10" w:rsidRPr="00B67C4E">
              <w:rPr>
                <w:rStyle w:val="Hyperlink"/>
              </w:rPr>
              <w:t>2.4.1</w:t>
            </w:r>
            <w:r w:rsidR="001D7A10">
              <w:rPr>
                <w:rFonts w:asciiTheme="minorHAnsi" w:eastAsiaTheme="minorEastAsia" w:hAnsiTheme="minorHAnsi"/>
                <w:lang w:eastAsia="en-AU"/>
              </w:rPr>
              <w:tab/>
            </w:r>
            <w:r w:rsidR="001D7A10" w:rsidRPr="00B67C4E">
              <w:rPr>
                <w:rStyle w:val="Hyperlink"/>
              </w:rPr>
              <w:t>Opening RAB as at 1 July 2014</w:t>
            </w:r>
            <w:r w:rsidR="001D7A10">
              <w:rPr>
                <w:webHidden/>
              </w:rPr>
              <w:tab/>
            </w:r>
            <w:r w:rsidR="001D7A10">
              <w:rPr>
                <w:webHidden/>
              </w:rPr>
              <w:fldChar w:fldCharType="begin"/>
            </w:r>
            <w:r w:rsidR="001D7A10">
              <w:rPr>
                <w:webHidden/>
              </w:rPr>
              <w:instrText xml:space="preserve"> PAGEREF _Toc413316497 \h </w:instrText>
            </w:r>
            <w:r w:rsidR="001D7A10">
              <w:rPr>
                <w:webHidden/>
              </w:rPr>
            </w:r>
            <w:r w:rsidR="001D7A10">
              <w:rPr>
                <w:webHidden/>
              </w:rPr>
              <w:fldChar w:fldCharType="separate"/>
            </w:r>
            <w:r w:rsidR="00937B4E">
              <w:rPr>
                <w:webHidden/>
              </w:rPr>
              <w:t>2-10</w:t>
            </w:r>
            <w:r w:rsidR="001D7A10">
              <w:rPr>
                <w:webHidden/>
              </w:rPr>
              <w:fldChar w:fldCharType="end"/>
            </w:r>
          </w:hyperlink>
        </w:p>
        <w:p w:rsidR="001D7A10" w:rsidRDefault="008B5586">
          <w:pPr>
            <w:pStyle w:val="TOC3"/>
            <w:rPr>
              <w:rFonts w:asciiTheme="minorHAnsi" w:eastAsiaTheme="minorEastAsia" w:hAnsiTheme="minorHAnsi"/>
              <w:lang w:eastAsia="en-AU"/>
            </w:rPr>
          </w:pPr>
          <w:hyperlink w:anchor="_Toc413316498" w:history="1">
            <w:r w:rsidR="001D7A10" w:rsidRPr="00B67C4E">
              <w:rPr>
                <w:rStyle w:val="Hyperlink"/>
              </w:rPr>
              <w:t>2.4.2</w:t>
            </w:r>
            <w:r w:rsidR="001D7A10">
              <w:rPr>
                <w:rFonts w:asciiTheme="minorHAnsi" w:eastAsiaTheme="minorEastAsia" w:hAnsiTheme="minorHAnsi"/>
                <w:lang w:eastAsia="en-AU"/>
              </w:rPr>
              <w:tab/>
            </w:r>
            <w:r w:rsidR="001D7A10" w:rsidRPr="00B67C4E">
              <w:rPr>
                <w:rStyle w:val="Hyperlink"/>
              </w:rPr>
              <w:t>Forecast closing RAB as at 30 June 2019</w:t>
            </w:r>
            <w:r w:rsidR="001D7A10">
              <w:rPr>
                <w:webHidden/>
              </w:rPr>
              <w:tab/>
            </w:r>
            <w:r w:rsidR="001D7A10">
              <w:rPr>
                <w:webHidden/>
              </w:rPr>
              <w:fldChar w:fldCharType="begin"/>
            </w:r>
            <w:r w:rsidR="001D7A10">
              <w:rPr>
                <w:webHidden/>
              </w:rPr>
              <w:instrText xml:space="preserve"> PAGEREF _Toc413316498 \h </w:instrText>
            </w:r>
            <w:r w:rsidR="001D7A10">
              <w:rPr>
                <w:webHidden/>
              </w:rPr>
            </w:r>
            <w:r w:rsidR="001D7A10">
              <w:rPr>
                <w:webHidden/>
              </w:rPr>
              <w:fldChar w:fldCharType="separate"/>
            </w:r>
            <w:r w:rsidR="00937B4E">
              <w:rPr>
                <w:webHidden/>
              </w:rPr>
              <w:t>2-10</w:t>
            </w:r>
            <w:r w:rsidR="001D7A10">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331649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F0257E">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EB7C77" w:rsidTr="00EB7C77">
        <w:tc>
          <w:tcPr>
            <w:tcW w:w="4349" w:type="dxa"/>
          </w:tcPr>
          <w:p w:rsidR="00EB7C77" w:rsidRPr="00EB7C77" w:rsidRDefault="00EB7C77" w:rsidP="00EB7C77">
            <w:pPr>
              <w:numPr>
                <w:ilvl w:val="0"/>
                <w:numId w:val="25"/>
              </w:numPr>
            </w:pPr>
            <w:r w:rsidRPr="00EB7C77">
              <w:t>AEMC</w:t>
            </w:r>
          </w:p>
        </w:tc>
        <w:tc>
          <w:tcPr>
            <w:tcW w:w="4344" w:type="dxa"/>
          </w:tcPr>
          <w:p w:rsidR="00EB7C77" w:rsidRPr="00EB7C77" w:rsidRDefault="00EB7C77" w:rsidP="00EB7C77">
            <w:pPr>
              <w:numPr>
                <w:ilvl w:val="0"/>
                <w:numId w:val="25"/>
              </w:numPr>
            </w:pPr>
            <w:r w:rsidRPr="00EB7C77">
              <w:t>Australian Energy Market Commission</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AEMO</w:t>
            </w:r>
          </w:p>
        </w:tc>
        <w:tc>
          <w:tcPr>
            <w:tcW w:w="4344" w:type="dxa"/>
          </w:tcPr>
          <w:p w:rsidR="00EB7C77" w:rsidRPr="00EB7C77" w:rsidRDefault="00EB7C77" w:rsidP="00EB7C77">
            <w:pPr>
              <w:numPr>
                <w:ilvl w:val="0"/>
                <w:numId w:val="25"/>
              </w:numPr>
            </w:pPr>
            <w:r w:rsidRPr="00EB7C77">
              <w:t>Australian Energy Market Operator</w:t>
            </w:r>
          </w:p>
        </w:tc>
      </w:tr>
      <w:tr w:rsidR="00EB7C77" w:rsidTr="00EB7C77">
        <w:tc>
          <w:tcPr>
            <w:tcW w:w="4349" w:type="dxa"/>
          </w:tcPr>
          <w:p w:rsidR="00EB7C77" w:rsidRPr="00EB7C77" w:rsidRDefault="00EB7C77" w:rsidP="00EB7C77">
            <w:pPr>
              <w:numPr>
                <w:ilvl w:val="0"/>
                <w:numId w:val="25"/>
              </w:numPr>
            </w:pPr>
            <w:r w:rsidRPr="00EB7C77">
              <w:t>AER</w:t>
            </w:r>
          </w:p>
        </w:tc>
        <w:tc>
          <w:tcPr>
            <w:tcW w:w="4344" w:type="dxa"/>
          </w:tcPr>
          <w:p w:rsidR="00EB7C77" w:rsidRPr="00EB7C77" w:rsidRDefault="00EB7C77" w:rsidP="00EB7C77">
            <w:pPr>
              <w:numPr>
                <w:ilvl w:val="0"/>
                <w:numId w:val="25"/>
              </w:numPr>
            </w:pPr>
            <w:r w:rsidRPr="00EB7C77">
              <w:t>Australian Energy Regulator</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augex</w:t>
            </w:r>
          </w:p>
        </w:tc>
        <w:tc>
          <w:tcPr>
            <w:tcW w:w="4344" w:type="dxa"/>
          </w:tcPr>
          <w:p w:rsidR="00EB7C77" w:rsidRPr="00EB7C77" w:rsidRDefault="00EB7C77" w:rsidP="00EB7C77">
            <w:pPr>
              <w:numPr>
                <w:ilvl w:val="0"/>
                <w:numId w:val="25"/>
              </w:numPr>
            </w:pPr>
            <w:r w:rsidRPr="00EB7C77">
              <w:t>augmentation expenditure</w:t>
            </w:r>
          </w:p>
        </w:tc>
      </w:tr>
      <w:tr w:rsidR="00EB7C77" w:rsidTr="00EB7C77">
        <w:tc>
          <w:tcPr>
            <w:tcW w:w="4349" w:type="dxa"/>
          </w:tcPr>
          <w:p w:rsidR="00EB7C77" w:rsidRPr="00EB7C77" w:rsidRDefault="00EB7C77" w:rsidP="00EB7C77">
            <w:pPr>
              <w:numPr>
                <w:ilvl w:val="0"/>
                <w:numId w:val="25"/>
              </w:numPr>
            </w:pPr>
            <w:r w:rsidRPr="00EB7C77">
              <w:t>capex</w:t>
            </w:r>
          </w:p>
        </w:tc>
        <w:tc>
          <w:tcPr>
            <w:tcW w:w="4344" w:type="dxa"/>
          </w:tcPr>
          <w:p w:rsidR="00EB7C77" w:rsidRPr="00EB7C77" w:rsidRDefault="00EB7C77" w:rsidP="00EB7C77">
            <w:pPr>
              <w:numPr>
                <w:ilvl w:val="0"/>
                <w:numId w:val="25"/>
              </w:numPr>
            </w:pPr>
            <w:r w:rsidRPr="00EB7C77">
              <w:t>capital expenditure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CCP</w:t>
            </w:r>
          </w:p>
        </w:tc>
        <w:tc>
          <w:tcPr>
            <w:tcW w:w="4344" w:type="dxa"/>
          </w:tcPr>
          <w:p w:rsidR="00EB7C77" w:rsidRPr="00EB7C77" w:rsidRDefault="00EB7C77" w:rsidP="00EB7C77">
            <w:pPr>
              <w:numPr>
                <w:ilvl w:val="0"/>
                <w:numId w:val="25"/>
              </w:numPr>
            </w:pPr>
            <w:r w:rsidRPr="00EB7C77">
              <w:t>Consumer Challenge Panel</w:t>
            </w:r>
          </w:p>
        </w:tc>
      </w:tr>
      <w:tr w:rsidR="00EB7C77" w:rsidTr="00EB7C77">
        <w:tc>
          <w:tcPr>
            <w:tcW w:w="4349" w:type="dxa"/>
          </w:tcPr>
          <w:p w:rsidR="00EB7C77" w:rsidRPr="00EB7C77" w:rsidRDefault="00EB7C77" w:rsidP="00EB7C77">
            <w:pPr>
              <w:numPr>
                <w:ilvl w:val="0"/>
                <w:numId w:val="25"/>
              </w:numPr>
            </w:pPr>
            <w:r w:rsidRPr="00EB7C77">
              <w:t>CESS</w:t>
            </w:r>
          </w:p>
        </w:tc>
        <w:tc>
          <w:tcPr>
            <w:tcW w:w="4344" w:type="dxa"/>
          </w:tcPr>
          <w:p w:rsidR="00EB7C77" w:rsidRPr="00EB7C77" w:rsidRDefault="00EB7C77" w:rsidP="00EB7C77">
            <w:pPr>
              <w:numPr>
                <w:ilvl w:val="0"/>
                <w:numId w:val="25"/>
              </w:numPr>
            </w:pPr>
            <w:r w:rsidRPr="00EB7C77">
              <w:t>capital expenditure sharing scheme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CPI</w:t>
            </w:r>
          </w:p>
        </w:tc>
        <w:tc>
          <w:tcPr>
            <w:tcW w:w="4344" w:type="dxa"/>
          </w:tcPr>
          <w:p w:rsidR="00EB7C77" w:rsidRPr="00EB7C77" w:rsidRDefault="00EB7C77" w:rsidP="00EB7C77">
            <w:pPr>
              <w:numPr>
                <w:ilvl w:val="0"/>
                <w:numId w:val="25"/>
              </w:numPr>
            </w:pPr>
            <w:r w:rsidRPr="00EB7C77">
              <w:t>consumer price index</w:t>
            </w:r>
          </w:p>
        </w:tc>
      </w:tr>
      <w:tr w:rsidR="00EB7C77" w:rsidTr="00EB7C77">
        <w:tc>
          <w:tcPr>
            <w:tcW w:w="4349" w:type="dxa"/>
          </w:tcPr>
          <w:p w:rsidR="00EB7C77" w:rsidRPr="00EB7C77" w:rsidRDefault="00EB7C77" w:rsidP="00EB7C77">
            <w:pPr>
              <w:numPr>
                <w:ilvl w:val="0"/>
                <w:numId w:val="25"/>
              </w:numPr>
            </w:pPr>
            <w:r w:rsidRPr="00EB7C77">
              <w:t>DRP</w:t>
            </w:r>
          </w:p>
        </w:tc>
        <w:tc>
          <w:tcPr>
            <w:tcW w:w="4344" w:type="dxa"/>
          </w:tcPr>
          <w:p w:rsidR="00EB7C77" w:rsidRPr="00EB7C77" w:rsidRDefault="00EB7C77" w:rsidP="00EB7C77">
            <w:pPr>
              <w:numPr>
                <w:ilvl w:val="0"/>
                <w:numId w:val="25"/>
              </w:numPr>
            </w:pPr>
            <w:r w:rsidRPr="00EB7C77">
              <w:t>debt risk premium</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DMIA</w:t>
            </w:r>
          </w:p>
        </w:tc>
        <w:tc>
          <w:tcPr>
            <w:tcW w:w="4344" w:type="dxa"/>
          </w:tcPr>
          <w:p w:rsidR="00EB7C77" w:rsidRPr="00EB7C77" w:rsidRDefault="00EB7C77" w:rsidP="00EB7C77">
            <w:pPr>
              <w:numPr>
                <w:ilvl w:val="0"/>
                <w:numId w:val="25"/>
              </w:numPr>
            </w:pPr>
            <w:r w:rsidRPr="00EB7C77">
              <w:t>demand management innovation allowance</w:t>
            </w:r>
          </w:p>
        </w:tc>
      </w:tr>
      <w:tr w:rsidR="00EB7C77" w:rsidTr="00EB7C77">
        <w:tc>
          <w:tcPr>
            <w:tcW w:w="4349" w:type="dxa"/>
          </w:tcPr>
          <w:p w:rsidR="00EB7C77" w:rsidRPr="00EB7C77" w:rsidRDefault="00EB7C77" w:rsidP="00EB7C77">
            <w:pPr>
              <w:numPr>
                <w:ilvl w:val="0"/>
                <w:numId w:val="25"/>
              </w:numPr>
            </w:pPr>
            <w:r w:rsidRPr="00EB7C77">
              <w:t>DMIS</w:t>
            </w:r>
          </w:p>
        </w:tc>
        <w:tc>
          <w:tcPr>
            <w:tcW w:w="4344" w:type="dxa"/>
          </w:tcPr>
          <w:p w:rsidR="00EB7C77" w:rsidRPr="00EB7C77" w:rsidRDefault="00EB7C77" w:rsidP="00EB7C77">
            <w:pPr>
              <w:numPr>
                <w:ilvl w:val="0"/>
                <w:numId w:val="25"/>
              </w:numPr>
            </w:pPr>
            <w:r w:rsidRPr="00EB7C77">
              <w:t>demand management incentive scheme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distributor</w:t>
            </w:r>
          </w:p>
        </w:tc>
        <w:tc>
          <w:tcPr>
            <w:tcW w:w="4344" w:type="dxa"/>
          </w:tcPr>
          <w:p w:rsidR="00EB7C77" w:rsidRPr="00EB7C77" w:rsidRDefault="00EB7C77" w:rsidP="00EB7C77">
            <w:pPr>
              <w:numPr>
                <w:ilvl w:val="0"/>
                <w:numId w:val="25"/>
              </w:numPr>
            </w:pPr>
            <w:r w:rsidRPr="00EB7C77">
              <w:t>distribution network service provider</w:t>
            </w:r>
          </w:p>
        </w:tc>
      </w:tr>
      <w:tr w:rsidR="00EB7C77" w:rsidTr="00EB7C77">
        <w:tc>
          <w:tcPr>
            <w:tcW w:w="4349" w:type="dxa"/>
          </w:tcPr>
          <w:p w:rsidR="00EB7C77" w:rsidRPr="00EB7C77" w:rsidRDefault="00EB7C77" w:rsidP="00EB7C77">
            <w:pPr>
              <w:numPr>
                <w:ilvl w:val="0"/>
                <w:numId w:val="25"/>
              </w:numPr>
            </w:pPr>
            <w:r w:rsidRPr="00EB7C77">
              <w:t>DUoS</w:t>
            </w:r>
          </w:p>
        </w:tc>
        <w:tc>
          <w:tcPr>
            <w:tcW w:w="4344" w:type="dxa"/>
          </w:tcPr>
          <w:p w:rsidR="00EB7C77" w:rsidRPr="00EB7C77" w:rsidRDefault="00EB7C77" w:rsidP="00EB7C77">
            <w:pPr>
              <w:numPr>
                <w:ilvl w:val="0"/>
                <w:numId w:val="25"/>
              </w:numPr>
            </w:pPr>
            <w:r w:rsidRPr="00EB7C77">
              <w:t>distribution use of system</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EBSS</w:t>
            </w:r>
          </w:p>
        </w:tc>
        <w:tc>
          <w:tcPr>
            <w:tcW w:w="4344" w:type="dxa"/>
          </w:tcPr>
          <w:p w:rsidR="00EB7C77" w:rsidRPr="00EB7C77" w:rsidRDefault="00EB7C77" w:rsidP="00EB7C77">
            <w:pPr>
              <w:numPr>
                <w:ilvl w:val="0"/>
                <w:numId w:val="25"/>
              </w:numPr>
            </w:pPr>
            <w:r w:rsidRPr="00EB7C77">
              <w:t>efficiency benefit sharing scheme</w:t>
            </w:r>
          </w:p>
        </w:tc>
      </w:tr>
      <w:tr w:rsidR="00EB7C77" w:rsidTr="00EB7C77">
        <w:tc>
          <w:tcPr>
            <w:tcW w:w="4349" w:type="dxa"/>
          </w:tcPr>
          <w:p w:rsidR="00EB7C77" w:rsidRPr="00EB7C77" w:rsidRDefault="00EB7C77" w:rsidP="00EB7C77">
            <w:pPr>
              <w:numPr>
                <w:ilvl w:val="0"/>
                <w:numId w:val="25"/>
              </w:numPr>
            </w:pPr>
            <w:r w:rsidRPr="00EB7C77">
              <w:t>ERP</w:t>
            </w:r>
          </w:p>
        </w:tc>
        <w:tc>
          <w:tcPr>
            <w:tcW w:w="4344" w:type="dxa"/>
          </w:tcPr>
          <w:p w:rsidR="00EB7C77" w:rsidRPr="00EB7C77" w:rsidRDefault="00EB7C77" w:rsidP="00EB7C77">
            <w:pPr>
              <w:numPr>
                <w:ilvl w:val="0"/>
                <w:numId w:val="25"/>
              </w:numPr>
            </w:pPr>
            <w:r w:rsidRPr="00EB7C77">
              <w:t>equity risk premium</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Expenditure Assessment Guideline</w:t>
            </w:r>
          </w:p>
        </w:tc>
        <w:tc>
          <w:tcPr>
            <w:tcW w:w="4344" w:type="dxa"/>
          </w:tcPr>
          <w:p w:rsidR="00EB7C77" w:rsidRPr="00EB7C77" w:rsidRDefault="00EB7C77" w:rsidP="00EB7C77">
            <w:pPr>
              <w:numPr>
                <w:ilvl w:val="0"/>
                <w:numId w:val="25"/>
              </w:numPr>
            </w:pPr>
            <w:r w:rsidRPr="00EB7C77">
              <w:t>expenditure forecast assessment Guideline for electricity distribution</w:t>
            </w:r>
          </w:p>
        </w:tc>
      </w:tr>
      <w:tr w:rsidR="00EB7C77" w:rsidTr="00EB7C77">
        <w:tc>
          <w:tcPr>
            <w:tcW w:w="4349" w:type="dxa"/>
          </w:tcPr>
          <w:p w:rsidR="00EB7C77" w:rsidRPr="00EB7C77" w:rsidRDefault="00EB7C77" w:rsidP="00EB7C77">
            <w:pPr>
              <w:numPr>
                <w:ilvl w:val="0"/>
                <w:numId w:val="25"/>
              </w:numPr>
            </w:pPr>
            <w:r w:rsidRPr="00EB7C77">
              <w:t>F&amp;A</w:t>
            </w:r>
          </w:p>
        </w:tc>
        <w:tc>
          <w:tcPr>
            <w:tcW w:w="4344" w:type="dxa"/>
          </w:tcPr>
          <w:p w:rsidR="00EB7C77" w:rsidRPr="00EB7C77" w:rsidRDefault="00EB7C77" w:rsidP="00EB7C77">
            <w:pPr>
              <w:numPr>
                <w:ilvl w:val="0"/>
                <w:numId w:val="25"/>
              </w:numPr>
            </w:pPr>
            <w:r w:rsidRPr="00EB7C77">
              <w:t>framework and approach</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MRP</w:t>
            </w:r>
          </w:p>
        </w:tc>
        <w:tc>
          <w:tcPr>
            <w:tcW w:w="4344" w:type="dxa"/>
          </w:tcPr>
          <w:p w:rsidR="00EB7C77" w:rsidRPr="00EB7C77" w:rsidRDefault="00EB7C77" w:rsidP="00EB7C77">
            <w:pPr>
              <w:numPr>
                <w:ilvl w:val="0"/>
                <w:numId w:val="25"/>
              </w:numPr>
            </w:pPr>
            <w:r w:rsidRPr="00EB7C77">
              <w:t>market risk premium</w:t>
            </w:r>
          </w:p>
        </w:tc>
      </w:tr>
      <w:tr w:rsidR="00EB7C77" w:rsidTr="00EB7C77">
        <w:tc>
          <w:tcPr>
            <w:tcW w:w="4349" w:type="dxa"/>
          </w:tcPr>
          <w:p w:rsidR="00EB7C77" w:rsidRPr="00EB7C77" w:rsidRDefault="00EB7C77" w:rsidP="00EB7C77">
            <w:pPr>
              <w:numPr>
                <w:ilvl w:val="0"/>
                <w:numId w:val="25"/>
              </w:numPr>
            </w:pPr>
            <w:r w:rsidRPr="00EB7C77">
              <w:t>NEL</w:t>
            </w:r>
          </w:p>
        </w:tc>
        <w:tc>
          <w:tcPr>
            <w:tcW w:w="4344" w:type="dxa"/>
          </w:tcPr>
          <w:p w:rsidR="00EB7C77" w:rsidRPr="00EB7C77" w:rsidRDefault="00EB7C77" w:rsidP="00EB7C77">
            <w:pPr>
              <w:numPr>
                <w:ilvl w:val="0"/>
                <w:numId w:val="25"/>
              </w:numPr>
            </w:pPr>
            <w:r w:rsidRPr="00EB7C77">
              <w:t>national electricity law</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NEM</w:t>
            </w:r>
          </w:p>
        </w:tc>
        <w:tc>
          <w:tcPr>
            <w:tcW w:w="4344" w:type="dxa"/>
          </w:tcPr>
          <w:p w:rsidR="00EB7C77" w:rsidRPr="00EB7C77" w:rsidRDefault="00EB7C77" w:rsidP="00EB7C77">
            <w:pPr>
              <w:numPr>
                <w:ilvl w:val="0"/>
                <w:numId w:val="25"/>
              </w:numPr>
            </w:pPr>
            <w:r w:rsidRPr="00EB7C77">
              <w:t>national electricity market</w:t>
            </w:r>
          </w:p>
        </w:tc>
      </w:tr>
      <w:tr w:rsidR="00EB7C77" w:rsidTr="00EB7C77">
        <w:tc>
          <w:tcPr>
            <w:tcW w:w="4349" w:type="dxa"/>
          </w:tcPr>
          <w:p w:rsidR="00EB7C77" w:rsidRPr="00EB7C77" w:rsidRDefault="00EB7C77" w:rsidP="00EB7C77">
            <w:pPr>
              <w:numPr>
                <w:ilvl w:val="0"/>
                <w:numId w:val="25"/>
              </w:numPr>
            </w:pPr>
            <w:r w:rsidRPr="00EB7C77">
              <w:t>NEO</w:t>
            </w:r>
          </w:p>
        </w:tc>
        <w:tc>
          <w:tcPr>
            <w:tcW w:w="4344" w:type="dxa"/>
          </w:tcPr>
          <w:p w:rsidR="00EB7C77" w:rsidRPr="00EB7C77" w:rsidRDefault="00EB7C77" w:rsidP="00EB7C77">
            <w:pPr>
              <w:numPr>
                <w:ilvl w:val="0"/>
                <w:numId w:val="25"/>
              </w:numPr>
            </w:pPr>
            <w:r w:rsidRPr="00EB7C77">
              <w:t>national electricity objective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NER</w:t>
            </w:r>
          </w:p>
        </w:tc>
        <w:tc>
          <w:tcPr>
            <w:tcW w:w="4344" w:type="dxa"/>
          </w:tcPr>
          <w:p w:rsidR="00EB7C77" w:rsidRPr="00EB7C77" w:rsidRDefault="00EB7C77" w:rsidP="00EB7C77">
            <w:pPr>
              <w:numPr>
                <w:ilvl w:val="0"/>
                <w:numId w:val="25"/>
              </w:numPr>
            </w:pPr>
            <w:r w:rsidRPr="00EB7C77">
              <w:t>national electricity rules</w:t>
            </w:r>
          </w:p>
        </w:tc>
      </w:tr>
      <w:tr w:rsidR="00EB7C77" w:rsidTr="00EB7C77">
        <w:tc>
          <w:tcPr>
            <w:tcW w:w="4349" w:type="dxa"/>
          </w:tcPr>
          <w:p w:rsidR="00EB7C77" w:rsidRPr="00EB7C77" w:rsidRDefault="00EB7C77" w:rsidP="00EB7C77">
            <w:pPr>
              <w:numPr>
                <w:ilvl w:val="0"/>
                <w:numId w:val="25"/>
              </w:numPr>
            </w:pPr>
            <w:r w:rsidRPr="00EB7C77">
              <w:t>NSP</w:t>
            </w:r>
          </w:p>
        </w:tc>
        <w:tc>
          <w:tcPr>
            <w:tcW w:w="4344" w:type="dxa"/>
          </w:tcPr>
          <w:p w:rsidR="00EB7C77" w:rsidRPr="00EB7C77" w:rsidRDefault="00EB7C77" w:rsidP="00EB7C77">
            <w:pPr>
              <w:numPr>
                <w:ilvl w:val="0"/>
                <w:numId w:val="25"/>
              </w:numPr>
            </w:pPr>
            <w:r w:rsidRPr="00EB7C77">
              <w:t>network service provider</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opex</w:t>
            </w:r>
          </w:p>
        </w:tc>
        <w:tc>
          <w:tcPr>
            <w:tcW w:w="4344" w:type="dxa"/>
          </w:tcPr>
          <w:p w:rsidR="00EB7C77" w:rsidRPr="00EB7C77" w:rsidRDefault="00EB7C77" w:rsidP="00EB7C77">
            <w:pPr>
              <w:numPr>
                <w:ilvl w:val="0"/>
                <w:numId w:val="25"/>
              </w:numPr>
            </w:pPr>
            <w:r w:rsidRPr="00EB7C77">
              <w:t>operating expenditure</w:t>
            </w:r>
          </w:p>
        </w:tc>
      </w:tr>
      <w:tr w:rsidR="00EB7C77" w:rsidTr="00EB7C77">
        <w:tc>
          <w:tcPr>
            <w:tcW w:w="4349" w:type="dxa"/>
          </w:tcPr>
          <w:p w:rsidR="00EB7C77" w:rsidRPr="00EB7C77" w:rsidRDefault="00EB7C77" w:rsidP="00EB7C77">
            <w:pPr>
              <w:numPr>
                <w:ilvl w:val="0"/>
                <w:numId w:val="25"/>
              </w:numPr>
            </w:pPr>
            <w:r w:rsidRPr="00EB7C77">
              <w:t>PPI</w:t>
            </w:r>
          </w:p>
        </w:tc>
        <w:tc>
          <w:tcPr>
            <w:tcW w:w="4344" w:type="dxa"/>
          </w:tcPr>
          <w:p w:rsidR="00EB7C77" w:rsidRPr="00EB7C77" w:rsidRDefault="00EB7C77" w:rsidP="00EB7C77">
            <w:pPr>
              <w:numPr>
                <w:ilvl w:val="0"/>
                <w:numId w:val="25"/>
              </w:numPr>
            </w:pPr>
            <w:r w:rsidRPr="00EB7C77">
              <w:t>partial performance indicators</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PTRM</w:t>
            </w:r>
          </w:p>
        </w:tc>
        <w:tc>
          <w:tcPr>
            <w:tcW w:w="4344" w:type="dxa"/>
          </w:tcPr>
          <w:p w:rsidR="00EB7C77" w:rsidRPr="00EB7C77" w:rsidRDefault="00EB7C77" w:rsidP="00EB7C77">
            <w:pPr>
              <w:numPr>
                <w:ilvl w:val="0"/>
                <w:numId w:val="25"/>
              </w:numPr>
            </w:pPr>
            <w:r w:rsidRPr="00EB7C77">
              <w:t>post-tax revenue model</w:t>
            </w:r>
          </w:p>
        </w:tc>
      </w:tr>
      <w:tr w:rsidR="00EB7C77" w:rsidTr="00EB7C77">
        <w:tc>
          <w:tcPr>
            <w:tcW w:w="4349" w:type="dxa"/>
          </w:tcPr>
          <w:p w:rsidR="00EB7C77" w:rsidRPr="00EB7C77" w:rsidRDefault="00EB7C77" w:rsidP="00EB7C77">
            <w:pPr>
              <w:numPr>
                <w:ilvl w:val="0"/>
                <w:numId w:val="25"/>
              </w:numPr>
            </w:pPr>
            <w:r w:rsidRPr="00EB7C77">
              <w:t>RAB</w:t>
            </w:r>
          </w:p>
        </w:tc>
        <w:tc>
          <w:tcPr>
            <w:tcW w:w="4344" w:type="dxa"/>
          </w:tcPr>
          <w:p w:rsidR="00EB7C77" w:rsidRPr="00EB7C77" w:rsidRDefault="00EB7C77" w:rsidP="00EB7C77">
            <w:pPr>
              <w:numPr>
                <w:ilvl w:val="0"/>
                <w:numId w:val="25"/>
              </w:numPr>
            </w:pPr>
            <w:r w:rsidRPr="00EB7C77">
              <w:t>regulatory asset base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RBA</w:t>
            </w:r>
          </w:p>
        </w:tc>
        <w:tc>
          <w:tcPr>
            <w:tcW w:w="4344" w:type="dxa"/>
          </w:tcPr>
          <w:p w:rsidR="00EB7C77" w:rsidRPr="00EB7C77" w:rsidRDefault="00EB7C77" w:rsidP="00EB7C77">
            <w:pPr>
              <w:numPr>
                <w:ilvl w:val="0"/>
                <w:numId w:val="25"/>
              </w:numPr>
            </w:pPr>
            <w:r w:rsidRPr="00EB7C77">
              <w:t>Reserve Bank of Australia</w:t>
            </w:r>
          </w:p>
        </w:tc>
      </w:tr>
      <w:tr w:rsidR="00EB7C77" w:rsidTr="00EB7C77">
        <w:tc>
          <w:tcPr>
            <w:tcW w:w="4349" w:type="dxa"/>
          </w:tcPr>
          <w:p w:rsidR="00EB7C77" w:rsidRPr="00EB7C77" w:rsidRDefault="00EB7C77" w:rsidP="00EB7C77">
            <w:pPr>
              <w:numPr>
                <w:ilvl w:val="0"/>
                <w:numId w:val="25"/>
              </w:numPr>
            </w:pPr>
            <w:r w:rsidRPr="00EB7C77">
              <w:t>repex</w:t>
            </w:r>
          </w:p>
        </w:tc>
        <w:tc>
          <w:tcPr>
            <w:tcW w:w="4344" w:type="dxa"/>
          </w:tcPr>
          <w:p w:rsidR="00EB7C77" w:rsidRPr="00EB7C77" w:rsidRDefault="00EB7C77" w:rsidP="00EB7C77">
            <w:pPr>
              <w:numPr>
                <w:ilvl w:val="0"/>
                <w:numId w:val="25"/>
              </w:numPr>
            </w:pPr>
            <w:r w:rsidRPr="00EB7C77">
              <w:t>replacement expenditure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RFM</w:t>
            </w:r>
          </w:p>
        </w:tc>
        <w:tc>
          <w:tcPr>
            <w:tcW w:w="4344" w:type="dxa"/>
          </w:tcPr>
          <w:p w:rsidR="00EB7C77" w:rsidRPr="00EB7C77" w:rsidRDefault="00EB7C77" w:rsidP="00EB7C77">
            <w:pPr>
              <w:numPr>
                <w:ilvl w:val="0"/>
                <w:numId w:val="25"/>
              </w:numPr>
            </w:pPr>
            <w:r w:rsidRPr="00EB7C77">
              <w:t>roll forward model</w:t>
            </w:r>
          </w:p>
        </w:tc>
      </w:tr>
      <w:tr w:rsidR="00EB7C77" w:rsidTr="00EB7C77">
        <w:tc>
          <w:tcPr>
            <w:tcW w:w="4349" w:type="dxa"/>
          </w:tcPr>
          <w:p w:rsidR="00EB7C77" w:rsidRPr="00EB7C77" w:rsidRDefault="00EB7C77" w:rsidP="00EB7C77">
            <w:pPr>
              <w:numPr>
                <w:ilvl w:val="0"/>
                <w:numId w:val="25"/>
              </w:numPr>
            </w:pPr>
            <w:r w:rsidRPr="00EB7C77">
              <w:lastRenderedPageBreak/>
              <w:t>RIN</w:t>
            </w:r>
          </w:p>
        </w:tc>
        <w:tc>
          <w:tcPr>
            <w:tcW w:w="4344" w:type="dxa"/>
          </w:tcPr>
          <w:p w:rsidR="00EB7C77" w:rsidRPr="00EB7C77" w:rsidRDefault="00EB7C77" w:rsidP="00EB7C77">
            <w:pPr>
              <w:numPr>
                <w:ilvl w:val="0"/>
                <w:numId w:val="25"/>
              </w:numPr>
            </w:pPr>
            <w:r w:rsidRPr="00EB7C77">
              <w:t>regulatory information notice</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RPP</w:t>
            </w:r>
          </w:p>
        </w:tc>
        <w:tc>
          <w:tcPr>
            <w:tcW w:w="4344" w:type="dxa"/>
          </w:tcPr>
          <w:p w:rsidR="00EB7C77" w:rsidRPr="00EB7C77" w:rsidRDefault="00EB7C77" w:rsidP="00EB7C77">
            <w:pPr>
              <w:numPr>
                <w:ilvl w:val="0"/>
                <w:numId w:val="25"/>
              </w:numPr>
            </w:pPr>
            <w:r w:rsidRPr="00EB7C77">
              <w:t>revenue and pricing principles</w:t>
            </w:r>
          </w:p>
        </w:tc>
      </w:tr>
      <w:tr w:rsidR="00EB7C77" w:rsidTr="00EB7C77">
        <w:tc>
          <w:tcPr>
            <w:tcW w:w="4349" w:type="dxa"/>
          </w:tcPr>
          <w:p w:rsidR="00EB7C77" w:rsidRPr="00EB7C77" w:rsidRDefault="00EB7C77" w:rsidP="00EB7C77">
            <w:pPr>
              <w:numPr>
                <w:ilvl w:val="0"/>
                <w:numId w:val="25"/>
              </w:numPr>
            </w:pPr>
            <w:r w:rsidRPr="00EB7C77">
              <w:t>SAIDI</w:t>
            </w:r>
          </w:p>
        </w:tc>
        <w:tc>
          <w:tcPr>
            <w:tcW w:w="4344" w:type="dxa"/>
          </w:tcPr>
          <w:p w:rsidR="00EB7C77" w:rsidRPr="00EB7C77" w:rsidRDefault="00EB7C77" w:rsidP="00EB7C77">
            <w:pPr>
              <w:numPr>
                <w:ilvl w:val="0"/>
                <w:numId w:val="25"/>
              </w:numPr>
            </w:pPr>
            <w:r w:rsidRPr="00EB7C77">
              <w:t>system average interruption duration index</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SAIFI</w:t>
            </w:r>
          </w:p>
        </w:tc>
        <w:tc>
          <w:tcPr>
            <w:tcW w:w="4344" w:type="dxa"/>
          </w:tcPr>
          <w:p w:rsidR="00EB7C77" w:rsidRPr="00EB7C77" w:rsidRDefault="00EB7C77" w:rsidP="00EB7C77">
            <w:pPr>
              <w:numPr>
                <w:ilvl w:val="0"/>
                <w:numId w:val="25"/>
              </w:numPr>
            </w:pPr>
            <w:r w:rsidRPr="00EB7C77">
              <w:t>system average interruption frequency index</w:t>
            </w:r>
          </w:p>
        </w:tc>
      </w:tr>
      <w:tr w:rsidR="00EB7C77" w:rsidTr="00EB7C77">
        <w:tc>
          <w:tcPr>
            <w:tcW w:w="4349" w:type="dxa"/>
          </w:tcPr>
          <w:p w:rsidR="00EB7C77" w:rsidRPr="00EB7C77" w:rsidRDefault="00EB7C77" w:rsidP="00EB7C77">
            <w:pPr>
              <w:numPr>
                <w:ilvl w:val="0"/>
                <w:numId w:val="25"/>
              </w:numPr>
            </w:pPr>
            <w:r w:rsidRPr="00EB7C77">
              <w:t>SLCAPM</w:t>
            </w:r>
          </w:p>
        </w:tc>
        <w:tc>
          <w:tcPr>
            <w:tcW w:w="4344" w:type="dxa"/>
          </w:tcPr>
          <w:p w:rsidR="00EB7C77" w:rsidRPr="00EB7C77" w:rsidRDefault="00EB7C77" w:rsidP="00EB7C77">
            <w:pPr>
              <w:numPr>
                <w:ilvl w:val="0"/>
                <w:numId w:val="25"/>
              </w:numPr>
            </w:pPr>
            <w:r w:rsidRPr="00EB7C77">
              <w:t>Sharpe-Lintner capital asset pricing model</w:t>
            </w:r>
          </w:p>
        </w:tc>
      </w:tr>
      <w:tr w:rsidR="00EB7C77" w:rsidTr="00EB7C77">
        <w:trPr>
          <w:cnfStyle w:val="000000010000" w:firstRow="0" w:lastRow="0" w:firstColumn="0" w:lastColumn="0" w:oddVBand="0" w:evenVBand="0" w:oddHBand="0" w:evenHBand="1" w:firstRowFirstColumn="0" w:firstRowLastColumn="0" w:lastRowFirstColumn="0" w:lastRowLastColumn="0"/>
        </w:trPr>
        <w:tc>
          <w:tcPr>
            <w:tcW w:w="4349" w:type="dxa"/>
          </w:tcPr>
          <w:p w:rsidR="00EB7C77" w:rsidRPr="00EB7C77" w:rsidRDefault="00EB7C77" w:rsidP="00EB7C77">
            <w:pPr>
              <w:numPr>
                <w:ilvl w:val="0"/>
                <w:numId w:val="25"/>
              </w:numPr>
            </w:pPr>
            <w:r w:rsidRPr="00EB7C77">
              <w:t>STPIS</w:t>
            </w:r>
          </w:p>
        </w:tc>
        <w:tc>
          <w:tcPr>
            <w:tcW w:w="4344" w:type="dxa"/>
          </w:tcPr>
          <w:p w:rsidR="00EB7C77" w:rsidRPr="00EB7C77" w:rsidRDefault="00EB7C77" w:rsidP="00EB7C77">
            <w:pPr>
              <w:numPr>
                <w:ilvl w:val="0"/>
                <w:numId w:val="25"/>
              </w:numPr>
            </w:pPr>
            <w:r w:rsidRPr="00EB7C77">
              <w:t>service target performance incentive scheme</w:t>
            </w:r>
          </w:p>
        </w:tc>
      </w:tr>
      <w:tr w:rsidR="00EB7C77" w:rsidTr="00EB7C77">
        <w:tc>
          <w:tcPr>
            <w:tcW w:w="4349" w:type="dxa"/>
          </w:tcPr>
          <w:p w:rsidR="00EB7C77" w:rsidRPr="00EB7C77" w:rsidRDefault="00EB7C77" w:rsidP="00EB7C77">
            <w:pPr>
              <w:numPr>
                <w:ilvl w:val="0"/>
                <w:numId w:val="25"/>
              </w:numPr>
            </w:pPr>
            <w:r w:rsidRPr="00EB7C77">
              <w:t>WACC</w:t>
            </w:r>
          </w:p>
        </w:tc>
        <w:tc>
          <w:tcPr>
            <w:tcW w:w="4344" w:type="dxa"/>
          </w:tcPr>
          <w:p w:rsidR="00EB7C77" w:rsidRPr="00EB7C77" w:rsidRDefault="00EB7C77" w:rsidP="00EB7C77">
            <w:pPr>
              <w:numPr>
                <w:ilvl w:val="0"/>
                <w:numId w:val="25"/>
              </w:numPr>
            </w:pPr>
            <w:r w:rsidRPr="00EB7C77">
              <w:t>weighted average cost of capital</w:t>
            </w:r>
          </w:p>
        </w:tc>
      </w:tr>
    </w:tbl>
    <w:p w:rsidR="00DE563D" w:rsidRPr="00436A39" w:rsidRDefault="00DE563D" w:rsidP="00DE563D">
      <w:pPr>
        <w:numPr>
          <w:ilvl w:val="0"/>
          <w:numId w:val="25"/>
        </w:numPr>
      </w:pPr>
    </w:p>
    <w:p w:rsidR="00DE563D" w:rsidRDefault="00DE563D" w:rsidP="00DE563D"/>
    <w:p w:rsidR="00DE563D" w:rsidRDefault="00A50502" w:rsidP="00A50502">
      <w:pPr>
        <w:pStyle w:val="Heading1"/>
      </w:pPr>
      <w:bookmarkStart w:id="10" w:name="_Toc413316492"/>
      <w:r>
        <w:lastRenderedPageBreak/>
        <w:t>Regulatory asset base</w:t>
      </w:r>
      <w:bookmarkEnd w:id="10"/>
    </w:p>
    <w:p w:rsidR="00DE563D" w:rsidRDefault="00154793" w:rsidP="00DE563D">
      <w:r w:rsidRPr="00154793">
        <w:t>We are required to make a decision on ActewAGL's opening regulatory asset base</w:t>
      </w:r>
      <w:r w:rsidR="001D7A10">
        <w:t>s</w:t>
      </w:r>
      <w:r w:rsidRPr="00154793">
        <w:t xml:space="preserve"> (RAB</w:t>
      </w:r>
      <w:r w:rsidR="0086139D">
        <w:t>s</w:t>
      </w:r>
      <w:r w:rsidRPr="00154793">
        <w:t>) as at 1 July 2014.</w:t>
      </w:r>
      <w:r>
        <w:rPr>
          <w:rStyle w:val="FootnoteReference"/>
        </w:rPr>
        <w:footnoteReference w:id="1"/>
      </w:r>
      <w:r w:rsidRPr="00154793">
        <w:t xml:space="preserve"> We use the RAB at the start of each regulatory year to determine the return of capital (regulatory depreciation) and return on capital building block allowances. This attachment presents our </w:t>
      </w:r>
      <w:r w:rsidR="00507508">
        <w:t>final</w:t>
      </w:r>
      <w:r w:rsidR="00507508" w:rsidRPr="00154793">
        <w:t xml:space="preserve"> </w:t>
      </w:r>
      <w:r w:rsidRPr="00154793">
        <w:t xml:space="preserve">decision on ActewAGL's opening RAB </w:t>
      </w:r>
      <w:r w:rsidR="001D7A10">
        <w:t xml:space="preserve">values </w:t>
      </w:r>
      <w:r w:rsidRPr="00154793">
        <w:t xml:space="preserve">as at 1 July 2014 and roll forward of the </w:t>
      </w:r>
      <w:r w:rsidR="001D7A10">
        <w:t xml:space="preserve">forecast </w:t>
      </w:r>
      <w:r w:rsidRPr="00154793">
        <w:t>RAB</w:t>
      </w:r>
      <w:r w:rsidR="001D7A10">
        <w:t xml:space="preserve"> values</w:t>
      </w:r>
      <w:r w:rsidRPr="00154793">
        <w:t xml:space="preserve"> over the 2014–19 period.</w:t>
      </w:r>
    </w:p>
    <w:p w:rsidR="00DE563D" w:rsidRPr="001754EE" w:rsidRDefault="00415F31" w:rsidP="001754EE">
      <w:pPr>
        <w:pStyle w:val="Heading2"/>
      </w:pPr>
      <w:bookmarkStart w:id="11" w:name="_Toc403144136"/>
      <w:bookmarkStart w:id="12" w:name="_Toc413316493"/>
      <w:r w:rsidRPr="001754EE">
        <w:t>Final</w:t>
      </w:r>
      <w:r w:rsidR="00DE563D" w:rsidRPr="001754EE">
        <w:t xml:space="preserve"> decision</w:t>
      </w:r>
      <w:bookmarkEnd w:id="11"/>
      <w:bookmarkEnd w:id="12"/>
    </w:p>
    <w:p w:rsidR="002C233C" w:rsidRDefault="00154793" w:rsidP="002C233C">
      <w:bookmarkStart w:id="13" w:name="_Toc403144137"/>
      <w:r>
        <w:t>We a</w:t>
      </w:r>
      <w:r w:rsidR="001D7A10">
        <w:t>ccept ActewAGL's revised proposed</w:t>
      </w:r>
      <w:r>
        <w:t xml:space="preserve"> opening RABs as at 1 July 2014 of $</w:t>
      </w:r>
      <w:r w:rsidR="0070282E">
        <w:t>693.5</w:t>
      </w:r>
      <w:r w:rsidR="00620DD6">
        <w:t> </w:t>
      </w:r>
      <w:r>
        <w:t>million and $</w:t>
      </w:r>
      <w:r w:rsidR="0070282E">
        <w:t>154.0</w:t>
      </w:r>
      <w:r>
        <w:t xml:space="preserve"> million ($ nominal) for </w:t>
      </w:r>
      <w:r w:rsidR="001D7A10">
        <w:t xml:space="preserve">its </w:t>
      </w:r>
      <w:r>
        <w:t>distribution and transmission networks respectively. ActewAGL</w:t>
      </w:r>
      <w:r w:rsidR="001D7A10">
        <w:t>'s revised proposal</w:t>
      </w:r>
      <w:r>
        <w:t xml:space="preserve"> a</w:t>
      </w:r>
      <w:r w:rsidR="001D7A10">
        <w:t xml:space="preserve">dopted </w:t>
      </w:r>
      <w:r>
        <w:t>our draft decision adjust</w:t>
      </w:r>
      <w:r w:rsidR="001D7A10">
        <w:t>ment to</w:t>
      </w:r>
      <w:r>
        <w:t xml:space="preserve"> the opening RABs for the remaining asset life </w:t>
      </w:r>
      <w:r w:rsidR="001D7A10">
        <w:t xml:space="preserve">input for </w:t>
      </w:r>
      <w:r>
        <w:t>the legacy asset class of '</w:t>
      </w:r>
      <w:r w:rsidR="001D7A10">
        <w:t>O</w:t>
      </w:r>
      <w:r>
        <w:t>pening distribution assets'.</w:t>
      </w:r>
      <w:r w:rsidR="0070282E">
        <w:rPr>
          <w:rStyle w:val="FootnoteReference"/>
        </w:rPr>
        <w:footnoteReference w:id="2"/>
      </w:r>
      <w:r w:rsidR="00761829">
        <w:t xml:space="preserve"> </w:t>
      </w:r>
      <w:r w:rsidR="00507508">
        <w:t>The only change to the draft decision was updating 2013–14 estimated capex with actuals consistent with the annual reporting RIN for that year.</w:t>
      </w:r>
    </w:p>
    <w:p w:rsidR="004C20D0" w:rsidRDefault="004C20D0" w:rsidP="002C233C">
      <w:r w:rsidRPr="004C20D0">
        <w:t xml:space="preserve">We note </w:t>
      </w:r>
      <w:r w:rsidR="00761829">
        <w:t>that</w:t>
      </w:r>
      <w:r w:rsidR="00B814F7">
        <w:t xml:space="preserve"> </w:t>
      </w:r>
      <w:r w:rsidRPr="004C20D0">
        <w:t>A</w:t>
      </w:r>
      <w:r>
        <w:t>ctewAGL's</w:t>
      </w:r>
      <w:r w:rsidRPr="004C20D0">
        <w:t xml:space="preserve"> </w:t>
      </w:r>
      <w:r w:rsidR="00761829">
        <w:t>revised</w:t>
      </w:r>
      <w:r w:rsidRPr="004C20D0">
        <w:t xml:space="preserve"> proposal </w:t>
      </w:r>
      <w:r w:rsidR="00761829">
        <w:t>referred to our draft decision acceptance of</w:t>
      </w:r>
      <w:r w:rsidRPr="004C20D0">
        <w:t xml:space="preserve"> the use of forecast deprecia</w:t>
      </w:r>
      <w:r w:rsidR="004F2E0B">
        <w:t xml:space="preserve">tion for establishing the RABs </w:t>
      </w:r>
      <w:r w:rsidRPr="004C20D0">
        <w:t>at the commencement of the regulatory control period from 1 July 2019.</w:t>
      </w:r>
      <w:r w:rsidR="00B814F7">
        <w:rPr>
          <w:rStyle w:val="FootnoteReference"/>
        </w:rPr>
        <w:footnoteReference w:id="3"/>
      </w:r>
      <w:r w:rsidRPr="004C20D0">
        <w:t xml:space="preserve"> We therefore </w:t>
      </w:r>
      <w:r w:rsidR="00620DD6">
        <w:t>maintain</w:t>
      </w:r>
      <w:r w:rsidRPr="004C20D0">
        <w:t xml:space="preserve"> our </w:t>
      </w:r>
      <w:r w:rsidR="00620DD6">
        <w:t>draft decision position</w:t>
      </w:r>
      <w:r w:rsidRPr="004C20D0">
        <w:t xml:space="preserve"> on this </w:t>
      </w:r>
      <w:r w:rsidR="00620DD6">
        <w:t>issue</w:t>
      </w:r>
      <w:r w:rsidRPr="004C20D0">
        <w:t xml:space="preserve"> for this final decision.</w:t>
      </w:r>
    </w:p>
    <w:p w:rsidR="00154793" w:rsidRDefault="00154793" w:rsidP="002C233C">
      <w:r>
        <w:fldChar w:fldCharType="begin"/>
      </w:r>
      <w:r>
        <w:instrText xml:space="preserve"> REF _Ref411954574 \h </w:instrText>
      </w:r>
      <w:r>
        <w:fldChar w:fldCharType="separate"/>
      </w:r>
      <w:r w:rsidR="00DA7E75">
        <w:t xml:space="preserve">Table </w:t>
      </w:r>
      <w:r w:rsidR="00DA7E75">
        <w:rPr>
          <w:noProof/>
        </w:rPr>
        <w:t>2</w:t>
      </w:r>
      <w:r w:rsidR="00DA7E75">
        <w:t>.</w:t>
      </w:r>
      <w:r w:rsidR="00DA7E75">
        <w:rPr>
          <w:noProof/>
        </w:rPr>
        <w:t>1</w:t>
      </w:r>
      <w:r>
        <w:fldChar w:fldCharType="end"/>
      </w:r>
      <w:r w:rsidRPr="00154793">
        <w:t xml:space="preserve"> and </w:t>
      </w:r>
      <w:r>
        <w:fldChar w:fldCharType="begin"/>
      </w:r>
      <w:r>
        <w:instrText xml:space="preserve"> REF _Ref411954581 \h </w:instrText>
      </w:r>
      <w:r>
        <w:fldChar w:fldCharType="separate"/>
      </w:r>
      <w:r w:rsidR="00DA7E75">
        <w:t xml:space="preserve">Table </w:t>
      </w:r>
      <w:r w:rsidR="00DA7E75">
        <w:rPr>
          <w:noProof/>
        </w:rPr>
        <w:t>2</w:t>
      </w:r>
      <w:r w:rsidR="00DA7E75">
        <w:t>.</w:t>
      </w:r>
      <w:r w:rsidR="00DA7E75">
        <w:rPr>
          <w:noProof/>
        </w:rPr>
        <w:t>2</w:t>
      </w:r>
      <w:r>
        <w:fldChar w:fldCharType="end"/>
      </w:r>
      <w:r w:rsidRPr="00154793">
        <w:t xml:space="preserve"> set out our </w:t>
      </w:r>
      <w:r w:rsidR="0070282E">
        <w:t>final</w:t>
      </w:r>
      <w:r w:rsidRPr="00154793">
        <w:t xml:space="preserve"> decision on the roll forward of the RAB values over the 2009–14 regulatory control period for ActewAGL's distribution and transmission networks respectively.</w:t>
      </w:r>
    </w:p>
    <w:p w:rsidR="00937B4E" w:rsidRPr="00154793" w:rsidRDefault="00937B4E" w:rsidP="00937B4E">
      <w:bookmarkStart w:id="14" w:name="_Ref411954574"/>
      <w:r w:rsidRPr="00154793">
        <w:t>We determine forecast closing RAB values at 30 June 2019 of $</w:t>
      </w:r>
      <w:r>
        <w:t>803.8</w:t>
      </w:r>
      <w:r w:rsidRPr="00154793">
        <w:t xml:space="preserve"> million and $</w:t>
      </w:r>
      <w:r>
        <w:t>194.8</w:t>
      </w:r>
      <w:r w:rsidRPr="00154793">
        <w:t xml:space="preserve"> million ($ nominal) for ActewAGL's distribution and transmission networks respectively. This represents a reduction from </w:t>
      </w:r>
      <w:proofErr w:type="spellStart"/>
      <w:r w:rsidRPr="00154793">
        <w:t>ActewAGL's</w:t>
      </w:r>
      <w:proofErr w:type="spellEnd"/>
      <w:r w:rsidRPr="00154793">
        <w:t xml:space="preserve"> </w:t>
      </w:r>
      <w:r>
        <w:t xml:space="preserve">revised </w:t>
      </w:r>
      <w:r w:rsidRPr="00154793">
        <w:t>proposal of $</w:t>
      </w:r>
      <w:r>
        <w:t>27.9</w:t>
      </w:r>
      <w:r w:rsidRPr="00154793">
        <w:t xml:space="preserve"> million (or </w:t>
      </w:r>
      <w:r>
        <w:t>3.4</w:t>
      </w:r>
      <w:r w:rsidRPr="00154793">
        <w:t xml:space="preserve"> per cent) and $</w:t>
      </w:r>
      <w:r>
        <w:t>19.0</w:t>
      </w:r>
      <w:r w:rsidRPr="00154793">
        <w:t xml:space="preserve"> million (or </w:t>
      </w:r>
      <w:r>
        <w:t>8.9</w:t>
      </w:r>
      <w:r w:rsidRPr="00154793">
        <w:t xml:space="preserve"> per cent) for its distribution and transmission networks respectively. Our </w:t>
      </w:r>
      <w:r>
        <w:t>final</w:t>
      </w:r>
      <w:r w:rsidRPr="00154793">
        <w:t xml:space="preserve"> decision </w:t>
      </w:r>
      <w:r>
        <w:t xml:space="preserve">on the forecast closing </w:t>
      </w:r>
      <w:r w:rsidRPr="00154793">
        <w:t>RABs reflect</w:t>
      </w:r>
      <w:r>
        <w:t>s</w:t>
      </w:r>
      <w:r w:rsidRPr="00154793">
        <w:t xml:space="preserve"> our </w:t>
      </w:r>
      <w:r>
        <w:t>adjustments</w:t>
      </w:r>
      <w:r w:rsidRPr="00154793">
        <w:t xml:space="preserve"> </w:t>
      </w:r>
      <w:r>
        <w:t>t</w:t>
      </w:r>
      <w:r w:rsidRPr="00154793">
        <w:t xml:space="preserve">o </w:t>
      </w:r>
      <w:r>
        <w:t xml:space="preserve">ActewAGL's </w:t>
      </w:r>
      <w:r w:rsidRPr="00154793">
        <w:t>forecast capex (attachment 6)</w:t>
      </w:r>
      <w:r>
        <w:t>,</w:t>
      </w:r>
      <w:r w:rsidRPr="00154793">
        <w:t xml:space="preserve"> forecast regulatory depreciation (attachment 5)</w:t>
      </w:r>
      <w:r>
        <w:t xml:space="preserve"> and the forecast inflation rate (attachment 3)</w:t>
      </w:r>
      <w:r w:rsidRPr="00154793">
        <w:t>.</w:t>
      </w:r>
    </w:p>
    <w:p w:rsidR="00937B4E" w:rsidRDefault="00937B4E" w:rsidP="00937B4E">
      <w:r>
        <w:fldChar w:fldCharType="begin"/>
      </w:r>
      <w:r>
        <w:instrText xml:space="preserve"> REF _Ref411954801 \h </w:instrText>
      </w:r>
      <w:r>
        <w:fldChar w:fldCharType="separate"/>
      </w:r>
      <w:r>
        <w:t xml:space="preserve">Table </w:t>
      </w:r>
      <w:r w:rsidRPr="00937B4E">
        <w:t>2</w:t>
      </w:r>
      <w:r>
        <w:t>.</w:t>
      </w:r>
      <w:r w:rsidRPr="00937B4E">
        <w:t>3</w:t>
      </w:r>
      <w:r>
        <w:fldChar w:fldCharType="end"/>
      </w:r>
      <w:r>
        <w:t xml:space="preserve"> and </w:t>
      </w:r>
      <w:r>
        <w:fldChar w:fldCharType="begin"/>
      </w:r>
      <w:r>
        <w:instrText xml:space="preserve"> REF _Ref411954813 \h </w:instrText>
      </w:r>
      <w:r>
        <w:fldChar w:fldCharType="separate"/>
      </w:r>
      <w:r>
        <w:t xml:space="preserve">Table </w:t>
      </w:r>
      <w:r w:rsidRPr="00937B4E">
        <w:t>2</w:t>
      </w:r>
      <w:r>
        <w:t>.</w:t>
      </w:r>
      <w:r w:rsidRPr="00937B4E">
        <w:t>4</w:t>
      </w:r>
      <w:r>
        <w:fldChar w:fldCharType="end"/>
      </w:r>
      <w:r>
        <w:t xml:space="preserve"> </w:t>
      </w:r>
      <w:r w:rsidRPr="00154793">
        <w:t xml:space="preserve">set out our </w:t>
      </w:r>
      <w:r>
        <w:t>final</w:t>
      </w:r>
      <w:r w:rsidRPr="00154793">
        <w:t xml:space="preserve"> decision on the forecast RAB values over the 2014–19 </w:t>
      </w:r>
      <w:proofErr w:type="gramStart"/>
      <w:r w:rsidRPr="00154793">
        <w:t>period</w:t>
      </w:r>
      <w:proofErr w:type="gramEnd"/>
      <w:r w:rsidRPr="00154793">
        <w:t xml:space="preserve"> for ActewAGL's distribution and transmission networks respectively.</w:t>
      </w:r>
    </w:p>
    <w:p w:rsidR="00154793" w:rsidRDefault="00154793" w:rsidP="00154793">
      <w:pPr>
        <w:pStyle w:val="Caption"/>
      </w:pPr>
      <w:proofErr w:type="gramStart"/>
      <w:r>
        <w:lastRenderedPageBreak/>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DA7E75">
        <w:fldChar w:fldCharType="begin"/>
      </w:r>
      <w:r w:rsidR="00DA7E75">
        <w:instrText xml:space="preserve"> SEQ Table \* ARABIC \s 1 </w:instrText>
      </w:r>
      <w:r w:rsidR="00DA7E75">
        <w:fldChar w:fldCharType="separate"/>
      </w:r>
      <w:r w:rsidR="00DA7E75">
        <w:rPr>
          <w:noProof/>
        </w:rPr>
        <w:t>1</w:t>
      </w:r>
      <w:r w:rsidR="00DA7E75">
        <w:rPr>
          <w:noProof/>
        </w:rPr>
        <w:fldChar w:fldCharType="end"/>
      </w:r>
      <w:bookmarkEnd w:id="14"/>
      <w:r>
        <w:tab/>
        <w:t xml:space="preserve">AER's final decision on ActewAGL's RAB for the 2009–14 regulatory control period ($ million, nominal) </w:t>
      </w:r>
      <w:r w:rsidR="00761829">
        <w:t>–</w:t>
      </w:r>
      <w:r>
        <w:t xml:space="preserve"> distribution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154793" w:rsidTr="00154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tc>
        <w:tc>
          <w:tcPr>
            <w:tcW w:w="992" w:type="dxa"/>
          </w:tcPr>
          <w:p w:rsidR="00154793" w:rsidRDefault="00154793" w:rsidP="002C233C">
            <w:pPr>
              <w:cnfStyle w:val="100000000000" w:firstRow="1" w:lastRow="0" w:firstColumn="0" w:lastColumn="0" w:oddVBand="0" w:evenVBand="0" w:oddHBand="0" w:evenHBand="0" w:firstRowFirstColumn="0" w:firstRowLastColumn="0" w:lastRowFirstColumn="0" w:lastRowLastColumn="0"/>
            </w:pPr>
            <w:r>
              <w:t>2009–10</w:t>
            </w:r>
          </w:p>
        </w:tc>
        <w:tc>
          <w:tcPr>
            <w:tcW w:w="992" w:type="dxa"/>
          </w:tcPr>
          <w:p w:rsidR="00154793" w:rsidRDefault="00154793" w:rsidP="002C233C">
            <w:pPr>
              <w:cnfStyle w:val="100000000000" w:firstRow="1" w:lastRow="0" w:firstColumn="0" w:lastColumn="0" w:oddVBand="0" w:evenVBand="0" w:oddHBand="0" w:evenHBand="0" w:firstRowFirstColumn="0" w:firstRowLastColumn="0" w:lastRowFirstColumn="0" w:lastRowLastColumn="0"/>
            </w:pPr>
            <w:r>
              <w:t>2010–11</w:t>
            </w:r>
          </w:p>
        </w:tc>
        <w:tc>
          <w:tcPr>
            <w:tcW w:w="993" w:type="dxa"/>
          </w:tcPr>
          <w:p w:rsidR="00154793" w:rsidRDefault="00154793" w:rsidP="002C233C">
            <w:pPr>
              <w:cnfStyle w:val="100000000000" w:firstRow="1" w:lastRow="0" w:firstColumn="0" w:lastColumn="0" w:oddVBand="0" w:evenVBand="0" w:oddHBand="0" w:evenHBand="0" w:firstRowFirstColumn="0" w:firstRowLastColumn="0" w:lastRowFirstColumn="0" w:lastRowLastColumn="0"/>
            </w:pPr>
            <w:r>
              <w:t>2011–12</w:t>
            </w:r>
          </w:p>
        </w:tc>
        <w:tc>
          <w:tcPr>
            <w:tcW w:w="992" w:type="dxa"/>
          </w:tcPr>
          <w:p w:rsidR="00154793" w:rsidRDefault="00154793" w:rsidP="002C233C">
            <w:pPr>
              <w:cnfStyle w:val="100000000000" w:firstRow="1" w:lastRow="0" w:firstColumn="0" w:lastColumn="0" w:oddVBand="0" w:evenVBand="0" w:oddHBand="0" w:evenHBand="0" w:firstRowFirstColumn="0" w:firstRowLastColumn="0" w:lastRowFirstColumn="0" w:lastRowLastColumn="0"/>
            </w:pPr>
            <w:r>
              <w:t>2012–13</w:t>
            </w:r>
          </w:p>
        </w:tc>
        <w:tc>
          <w:tcPr>
            <w:tcW w:w="930" w:type="dxa"/>
          </w:tcPr>
          <w:p w:rsidR="00154793" w:rsidRDefault="00154793" w:rsidP="002C233C">
            <w:pPr>
              <w:cnfStyle w:val="100000000000" w:firstRow="1" w:lastRow="0" w:firstColumn="0" w:lastColumn="0" w:oddVBand="0" w:evenVBand="0" w:oddHBand="0" w:evenHBand="0" w:firstRowFirstColumn="0" w:firstRowLastColumn="0" w:lastRowFirstColumn="0" w:lastRowLastColumn="0"/>
            </w:pPr>
            <w:r>
              <w:t>2013–14</w:t>
            </w:r>
          </w:p>
        </w:tc>
      </w:tr>
      <w:tr w:rsidR="00154793" w:rsidTr="00154793">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t>Opening RAB</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523.3</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559.6</w:t>
            </w:r>
          </w:p>
        </w:tc>
        <w:tc>
          <w:tcPr>
            <w:tcW w:w="993"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603.6</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640.9</w:t>
            </w:r>
          </w:p>
        </w:tc>
        <w:tc>
          <w:tcPr>
            <w:tcW w:w="930"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662.0</w:t>
            </w:r>
          </w:p>
        </w:tc>
      </w:tr>
      <w:tr w:rsidR="00154793" w:rsidTr="0015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t>Capital expenditure</w:t>
            </w:r>
            <w:r w:rsidRPr="00154793">
              <w:rPr>
                <w:rStyle w:val="AERsuperscript"/>
              </w:rPr>
              <w:t>a</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53.5</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57.5</w:t>
            </w:r>
          </w:p>
        </w:tc>
        <w:tc>
          <w:tcPr>
            <w:tcW w:w="993"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49.2</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45.0</w:t>
            </w:r>
          </w:p>
        </w:tc>
        <w:tc>
          <w:tcPr>
            <w:tcW w:w="930"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64.5</w:t>
            </w:r>
          </w:p>
        </w:tc>
      </w:tr>
      <w:tr w:rsidR="00154793" w:rsidTr="00154793">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t>Inflation indexation on opening RAB</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9.5</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15.9</w:t>
            </w:r>
          </w:p>
        </w:tc>
        <w:tc>
          <w:tcPr>
            <w:tcW w:w="993"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20.5</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11.3</w:t>
            </w:r>
          </w:p>
        </w:tc>
        <w:tc>
          <w:tcPr>
            <w:tcW w:w="930"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16.2</w:t>
            </w:r>
          </w:p>
        </w:tc>
      </w:tr>
      <w:tr w:rsidR="00154793" w:rsidTr="0015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rsidRPr="005B5BBC">
              <w:rPr>
                <w:rStyle w:val="AERtextitalic"/>
              </w:rPr>
              <w:t>Less:</w:t>
            </w:r>
            <w:r>
              <w:t xml:space="preserve"> straight-line depreciation</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26.7</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29.4</w:t>
            </w:r>
          </w:p>
        </w:tc>
        <w:tc>
          <w:tcPr>
            <w:tcW w:w="993"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32.3</w:t>
            </w:r>
          </w:p>
        </w:tc>
        <w:tc>
          <w:tcPr>
            <w:tcW w:w="992"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35.2</w:t>
            </w:r>
          </w:p>
        </w:tc>
        <w:tc>
          <w:tcPr>
            <w:tcW w:w="930" w:type="dxa"/>
          </w:tcPr>
          <w:p w:rsidR="00154793" w:rsidRDefault="0070282E" w:rsidP="002C233C">
            <w:pPr>
              <w:cnfStyle w:val="000000010000" w:firstRow="0" w:lastRow="0" w:firstColumn="0" w:lastColumn="0" w:oddVBand="0" w:evenVBand="0" w:oddHBand="0" w:evenHBand="1" w:firstRowFirstColumn="0" w:firstRowLastColumn="0" w:lastRowFirstColumn="0" w:lastRowLastColumn="0"/>
            </w:pPr>
            <w:r>
              <w:t>38.6</w:t>
            </w:r>
          </w:p>
        </w:tc>
      </w:tr>
      <w:tr w:rsidR="00154793" w:rsidTr="00154793">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t>Closing RAB</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559.6</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603.6</w:t>
            </w:r>
          </w:p>
        </w:tc>
        <w:tc>
          <w:tcPr>
            <w:tcW w:w="993"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640.9</w:t>
            </w:r>
          </w:p>
        </w:tc>
        <w:tc>
          <w:tcPr>
            <w:tcW w:w="992"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662.0</w:t>
            </w:r>
          </w:p>
        </w:tc>
        <w:tc>
          <w:tcPr>
            <w:tcW w:w="930" w:type="dxa"/>
          </w:tcPr>
          <w:p w:rsidR="00154793" w:rsidRDefault="0070282E" w:rsidP="002C233C">
            <w:pPr>
              <w:cnfStyle w:val="000000000000" w:firstRow="0" w:lastRow="0" w:firstColumn="0" w:lastColumn="0" w:oddVBand="0" w:evenVBand="0" w:oddHBand="0" w:evenHBand="0" w:firstRowFirstColumn="0" w:firstRowLastColumn="0" w:lastRowFirstColumn="0" w:lastRowLastColumn="0"/>
            </w:pPr>
            <w:r>
              <w:t>704.1</w:t>
            </w:r>
          </w:p>
        </w:tc>
      </w:tr>
      <w:tr w:rsidR="00154793" w:rsidTr="0015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2C233C">
            <w:r>
              <w:t>Difference between estimated and actual capex</w:t>
            </w:r>
            <w:r w:rsidR="00761829">
              <w:br/>
            </w:r>
            <w:r>
              <w:t>(1 July 2008 to 30 June 2009)</w:t>
            </w:r>
          </w:p>
        </w:tc>
        <w:tc>
          <w:tcPr>
            <w:tcW w:w="992" w:type="dxa"/>
          </w:tcPr>
          <w:p w:rsidR="00154793" w:rsidRDefault="00154793" w:rsidP="002C233C">
            <w:pPr>
              <w:cnfStyle w:val="000000010000" w:firstRow="0" w:lastRow="0" w:firstColumn="0" w:lastColumn="0" w:oddVBand="0" w:evenVBand="0" w:oddHBand="0" w:evenHBand="1" w:firstRowFirstColumn="0" w:firstRowLastColumn="0" w:lastRowFirstColumn="0" w:lastRowLastColumn="0"/>
            </w:pPr>
          </w:p>
        </w:tc>
        <w:tc>
          <w:tcPr>
            <w:tcW w:w="992" w:type="dxa"/>
          </w:tcPr>
          <w:p w:rsidR="00154793" w:rsidRDefault="00154793" w:rsidP="002C233C">
            <w:pPr>
              <w:cnfStyle w:val="000000010000" w:firstRow="0" w:lastRow="0" w:firstColumn="0" w:lastColumn="0" w:oddVBand="0" w:evenVBand="0" w:oddHBand="0" w:evenHBand="1" w:firstRowFirstColumn="0" w:firstRowLastColumn="0" w:lastRowFirstColumn="0" w:lastRowLastColumn="0"/>
            </w:pPr>
          </w:p>
        </w:tc>
        <w:tc>
          <w:tcPr>
            <w:tcW w:w="993" w:type="dxa"/>
          </w:tcPr>
          <w:p w:rsidR="00154793" w:rsidRDefault="00154793" w:rsidP="002C233C">
            <w:pPr>
              <w:cnfStyle w:val="000000010000" w:firstRow="0" w:lastRow="0" w:firstColumn="0" w:lastColumn="0" w:oddVBand="0" w:evenVBand="0" w:oddHBand="0" w:evenHBand="1" w:firstRowFirstColumn="0" w:firstRowLastColumn="0" w:lastRowFirstColumn="0" w:lastRowLastColumn="0"/>
            </w:pPr>
          </w:p>
        </w:tc>
        <w:tc>
          <w:tcPr>
            <w:tcW w:w="992" w:type="dxa"/>
          </w:tcPr>
          <w:p w:rsidR="00154793" w:rsidRDefault="00154793" w:rsidP="002C233C">
            <w:pPr>
              <w:cnfStyle w:val="000000010000" w:firstRow="0" w:lastRow="0" w:firstColumn="0" w:lastColumn="0" w:oddVBand="0" w:evenVBand="0" w:oddHBand="0" w:evenHBand="1" w:firstRowFirstColumn="0" w:firstRowLastColumn="0" w:lastRowFirstColumn="0" w:lastRowLastColumn="0"/>
            </w:pPr>
          </w:p>
        </w:tc>
        <w:tc>
          <w:tcPr>
            <w:tcW w:w="930" w:type="dxa"/>
          </w:tcPr>
          <w:p w:rsidR="00154793" w:rsidRDefault="00761829" w:rsidP="002C233C">
            <w:pPr>
              <w:cnfStyle w:val="000000010000" w:firstRow="0" w:lastRow="0" w:firstColumn="0" w:lastColumn="0" w:oddVBand="0" w:evenVBand="0" w:oddHBand="0" w:evenHBand="1" w:firstRowFirstColumn="0" w:firstRowLastColumn="0" w:lastRowFirstColumn="0" w:lastRowLastColumn="0"/>
            </w:pPr>
            <w:r>
              <w:t>–</w:t>
            </w:r>
            <w:r w:rsidR="0070282E">
              <w:t>7.0</w:t>
            </w:r>
          </w:p>
        </w:tc>
      </w:tr>
      <w:tr w:rsidR="00154793" w:rsidTr="00154793">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154793">
            <w:r>
              <w:t xml:space="preserve">Return on difference in 2008–09 capex </w:t>
            </w:r>
          </w:p>
        </w:tc>
        <w:tc>
          <w:tcPr>
            <w:tcW w:w="992" w:type="dxa"/>
          </w:tcPr>
          <w:p w:rsidR="00154793" w:rsidRDefault="00154793" w:rsidP="002C233C">
            <w:pPr>
              <w:cnfStyle w:val="000000000000" w:firstRow="0" w:lastRow="0" w:firstColumn="0" w:lastColumn="0" w:oddVBand="0" w:evenVBand="0" w:oddHBand="0" w:evenHBand="0" w:firstRowFirstColumn="0" w:firstRowLastColumn="0" w:lastRowFirstColumn="0" w:lastRowLastColumn="0"/>
            </w:pPr>
          </w:p>
        </w:tc>
        <w:tc>
          <w:tcPr>
            <w:tcW w:w="992" w:type="dxa"/>
          </w:tcPr>
          <w:p w:rsidR="00154793" w:rsidRDefault="00154793" w:rsidP="002C233C">
            <w:pPr>
              <w:cnfStyle w:val="000000000000" w:firstRow="0" w:lastRow="0" w:firstColumn="0" w:lastColumn="0" w:oddVBand="0" w:evenVBand="0" w:oddHBand="0" w:evenHBand="0" w:firstRowFirstColumn="0" w:firstRowLastColumn="0" w:lastRowFirstColumn="0" w:lastRowLastColumn="0"/>
            </w:pPr>
          </w:p>
        </w:tc>
        <w:tc>
          <w:tcPr>
            <w:tcW w:w="993" w:type="dxa"/>
          </w:tcPr>
          <w:p w:rsidR="00154793" w:rsidRDefault="00154793" w:rsidP="002C233C">
            <w:pPr>
              <w:cnfStyle w:val="000000000000" w:firstRow="0" w:lastRow="0" w:firstColumn="0" w:lastColumn="0" w:oddVBand="0" w:evenVBand="0" w:oddHBand="0" w:evenHBand="0" w:firstRowFirstColumn="0" w:firstRowLastColumn="0" w:lastRowFirstColumn="0" w:lastRowLastColumn="0"/>
            </w:pPr>
          </w:p>
        </w:tc>
        <w:tc>
          <w:tcPr>
            <w:tcW w:w="992" w:type="dxa"/>
          </w:tcPr>
          <w:p w:rsidR="00154793" w:rsidRDefault="00154793" w:rsidP="002C233C">
            <w:pPr>
              <w:cnfStyle w:val="000000000000" w:firstRow="0" w:lastRow="0" w:firstColumn="0" w:lastColumn="0" w:oddVBand="0" w:evenVBand="0" w:oddHBand="0" w:evenHBand="0" w:firstRowFirstColumn="0" w:firstRowLastColumn="0" w:lastRowFirstColumn="0" w:lastRowLastColumn="0"/>
            </w:pPr>
          </w:p>
        </w:tc>
        <w:tc>
          <w:tcPr>
            <w:tcW w:w="930" w:type="dxa"/>
          </w:tcPr>
          <w:p w:rsidR="00154793" w:rsidRDefault="00761829" w:rsidP="002C233C">
            <w:pPr>
              <w:cnfStyle w:val="000000000000" w:firstRow="0" w:lastRow="0" w:firstColumn="0" w:lastColumn="0" w:oddVBand="0" w:evenVBand="0" w:oddHBand="0" w:evenHBand="0" w:firstRowFirstColumn="0" w:firstRowLastColumn="0" w:lastRowFirstColumn="0" w:lastRowLastColumn="0"/>
            </w:pPr>
            <w:r>
              <w:t>–</w:t>
            </w:r>
            <w:r w:rsidR="0070282E">
              <w:t>3.6</w:t>
            </w:r>
          </w:p>
        </w:tc>
      </w:tr>
      <w:tr w:rsidR="00154793" w:rsidRPr="00761829" w:rsidTr="00154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Pr="00461FBE" w:rsidRDefault="00154793" w:rsidP="002C233C">
            <w:pPr>
              <w:rPr>
                <w:rStyle w:val="Strong"/>
              </w:rPr>
            </w:pPr>
            <w:r w:rsidRPr="00461FBE">
              <w:rPr>
                <w:rStyle w:val="Strong"/>
              </w:rPr>
              <w:t>Opening RAB as at 1 July 2014</w:t>
            </w:r>
          </w:p>
        </w:tc>
        <w:tc>
          <w:tcPr>
            <w:tcW w:w="992" w:type="dxa"/>
          </w:tcPr>
          <w:p w:rsidR="00154793" w:rsidRPr="00461FBE" w:rsidRDefault="00154793"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154793" w:rsidRPr="00461FBE" w:rsidRDefault="00154793"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3" w:type="dxa"/>
          </w:tcPr>
          <w:p w:rsidR="00154793" w:rsidRPr="00461FBE" w:rsidRDefault="00154793"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154793" w:rsidRPr="00461FBE" w:rsidRDefault="00154793" w:rsidP="002C233C">
            <w:pPr>
              <w:cnfStyle w:val="000000010000" w:firstRow="0" w:lastRow="0" w:firstColumn="0" w:lastColumn="0" w:oddVBand="0" w:evenVBand="0" w:oddHBand="0" w:evenHBand="1" w:firstRowFirstColumn="0" w:firstRowLastColumn="0" w:lastRowFirstColumn="0" w:lastRowLastColumn="0"/>
              <w:rPr>
                <w:rStyle w:val="Strong"/>
              </w:rPr>
            </w:pPr>
          </w:p>
        </w:tc>
        <w:tc>
          <w:tcPr>
            <w:tcW w:w="930" w:type="dxa"/>
          </w:tcPr>
          <w:p w:rsidR="00154793" w:rsidRPr="00461FBE" w:rsidRDefault="0070282E" w:rsidP="002C233C">
            <w:pPr>
              <w:cnfStyle w:val="000000010000" w:firstRow="0" w:lastRow="0" w:firstColumn="0" w:lastColumn="0" w:oddVBand="0" w:evenVBand="0" w:oddHBand="0" w:evenHBand="1" w:firstRowFirstColumn="0" w:firstRowLastColumn="0" w:lastRowFirstColumn="0" w:lastRowLastColumn="0"/>
              <w:rPr>
                <w:rStyle w:val="Strong"/>
              </w:rPr>
            </w:pPr>
            <w:r w:rsidRPr="00461FBE">
              <w:rPr>
                <w:rStyle w:val="Strong"/>
              </w:rPr>
              <w:t>693.5</w:t>
            </w:r>
          </w:p>
        </w:tc>
      </w:tr>
    </w:tbl>
    <w:p w:rsidR="00154793" w:rsidRDefault="00154793" w:rsidP="00154793">
      <w:pPr>
        <w:pStyle w:val="AERtablesource"/>
      </w:pPr>
      <w:r>
        <w:t>Source:</w:t>
      </w:r>
      <w:r>
        <w:tab/>
      </w:r>
      <w:r>
        <w:tab/>
        <w:t>AER analysis.</w:t>
      </w:r>
    </w:p>
    <w:p w:rsidR="00154793" w:rsidRDefault="00154793" w:rsidP="00154793">
      <w:pPr>
        <w:pStyle w:val="AERtablesource"/>
      </w:pPr>
      <w:r>
        <w:t>(a)</w:t>
      </w:r>
      <w:r>
        <w:tab/>
      </w:r>
      <w:r>
        <w:tab/>
        <w:t>Net of disposals</w:t>
      </w:r>
      <w:r w:rsidR="0070282E">
        <w:t xml:space="preserve"> </w:t>
      </w:r>
      <w:r w:rsidR="0070282E" w:rsidRPr="0070282E">
        <w:t>and capital contributions, and adjusted for CPI</w:t>
      </w:r>
      <w:r>
        <w:t>.</w:t>
      </w:r>
    </w:p>
    <w:p w:rsidR="00154793" w:rsidRDefault="00154793" w:rsidP="00154793">
      <w:pPr>
        <w:pStyle w:val="Caption"/>
      </w:pPr>
      <w:bookmarkStart w:id="15" w:name="_Ref411954581"/>
      <w:proofErr w:type="gramStart"/>
      <w:r>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DA7E75">
        <w:fldChar w:fldCharType="begin"/>
      </w:r>
      <w:r w:rsidR="00DA7E75">
        <w:instrText xml:space="preserve"> SEQ Table \* ARABIC \s 1 </w:instrText>
      </w:r>
      <w:r w:rsidR="00DA7E75">
        <w:fldChar w:fldCharType="separate"/>
      </w:r>
      <w:r w:rsidR="00DA7E75">
        <w:rPr>
          <w:noProof/>
        </w:rPr>
        <w:t>2</w:t>
      </w:r>
      <w:r w:rsidR="00DA7E75">
        <w:rPr>
          <w:noProof/>
        </w:rPr>
        <w:fldChar w:fldCharType="end"/>
      </w:r>
      <w:bookmarkEnd w:id="15"/>
      <w:r>
        <w:tab/>
        <w:t xml:space="preserve">AER's final decision on ActewAGL's RAB for the 2009–14 regulatory control period ($ million, nominal) </w:t>
      </w:r>
      <w:r w:rsidR="00761829">
        <w:t>–</w:t>
      </w:r>
      <w:r>
        <w:t xml:space="preserve"> transmission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154793" w:rsidTr="004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154793"/>
        </w:tc>
        <w:tc>
          <w:tcPr>
            <w:tcW w:w="992" w:type="dxa"/>
          </w:tcPr>
          <w:p w:rsidR="00154793" w:rsidRPr="00154793" w:rsidRDefault="00154793" w:rsidP="00154793">
            <w:pPr>
              <w:cnfStyle w:val="100000000000" w:firstRow="1" w:lastRow="0" w:firstColumn="0" w:lastColumn="0" w:oddVBand="0" w:evenVBand="0" w:oddHBand="0" w:evenHBand="0" w:firstRowFirstColumn="0" w:firstRowLastColumn="0" w:lastRowFirstColumn="0" w:lastRowLastColumn="0"/>
            </w:pPr>
            <w:r>
              <w:t>2009–10</w:t>
            </w:r>
          </w:p>
        </w:tc>
        <w:tc>
          <w:tcPr>
            <w:tcW w:w="992" w:type="dxa"/>
          </w:tcPr>
          <w:p w:rsidR="00154793" w:rsidRPr="00154793" w:rsidRDefault="00154793" w:rsidP="00154793">
            <w:pPr>
              <w:cnfStyle w:val="100000000000" w:firstRow="1" w:lastRow="0" w:firstColumn="0" w:lastColumn="0" w:oddVBand="0" w:evenVBand="0" w:oddHBand="0" w:evenHBand="0" w:firstRowFirstColumn="0" w:firstRowLastColumn="0" w:lastRowFirstColumn="0" w:lastRowLastColumn="0"/>
            </w:pPr>
            <w:r>
              <w:t>2010–11</w:t>
            </w:r>
          </w:p>
        </w:tc>
        <w:tc>
          <w:tcPr>
            <w:tcW w:w="993" w:type="dxa"/>
          </w:tcPr>
          <w:p w:rsidR="00154793" w:rsidRPr="00154793" w:rsidRDefault="00154793" w:rsidP="00154793">
            <w:pPr>
              <w:cnfStyle w:val="100000000000" w:firstRow="1" w:lastRow="0" w:firstColumn="0" w:lastColumn="0" w:oddVBand="0" w:evenVBand="0" w:oddHBand="0" w:evenHBand="0" w:firstRowFirstColumn="0" w:firstRowLastColumn="0" w:lastRowFirstColumn="0" w:lastRowLastColumn="0"/>
            </w:pPr>
            <w:r>
              <w:t>2011–12</w:t>
            </w:r>
          </w:p>
        </w:tc>
        <w:tc>
          <w:tcPr>
            <w:tcW w:w="992" w:type="dxa"/>
          </w:tcPr>
          <w:p w:rsidR="00154793" w:rsidRPr="00154793" w:rsidRDefault="00154793" w:rsidP="00154793">
            <w:pPr>
              <w:cnfStyle w:val="100000000000" w:firstRow="1" w:lastRow="0" w:firstColumn="0" w:lastColumn="0" w:oddVBand="0" w:evenVBand="0" w:oddHBand="0" w:evenHBand="0" w:firstRowFirstColumn="0" w:firstRowLastColumn="0" w:lastRowFirstColumn="0" w:lastRowLastColumn="0"/>
            </w:pPr>
            <w:r>
              <w:t>2012–13</w:t>
            </w:r>
          </w:p>
        </w:tc>
        <w:tc>
          <w:tcPr>
            <w:tcW w:w="930" w:type="dxa"/>
          </w:tcPr>
          <w:p w:rsidR="00154793" w:rsidRPr="00154793" w:rsidRDefault="00154793" w:rsidP="00154793">
            <w:pPr>
              <w:cnfStyle w:val="100000000000" w:firstRow="1" w:lastRow="0" w:firstColumn="0" w:lastColumn="0" w:oddVBand="0" w:evenVBand="0" w:oddHBand="0" w:evenHBand="0" w:firstRowFirstColumn="0" w:firstRowLastColumn="0" w:lastRowFirstColumn="0" w:lastRowLastColumn="0"/>
            </w:pPr>
            <w:r>
              <w:t>2013–14</w:t>
            </w:r>
          </w:p>
        </w:tc>
      </w:tr>
      <w:tr w:rsidR="00154793" w:rsidTr="004C02E8">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Opening RAB</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75.4</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86.0</w:t>
            </w:r>
          </w:p>
        </w:tc>
        <w:tc>
          <w:tcPr>
            <w:tcW w:w="993"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99.2</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117.4</w:t>
            </w:r>
          </w:p>
        </w:tc>
        <w:tc>
          <w:tcPr>
            <w:tcW w:w="930"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136.3</w:t>
            </w:r>
          </w:p>
        </w:tc>
      </w:tr>
      <w:tr w:rsidR="00154793" w:rsidTr="004C0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Capital expenditure</w:t>
            </w:r>
            <w:r w:rsidRPr="00154793">
              <w:rPr>
                <w:rStyle w:val="AERsuperscript"/>
              </w:rPr>
              <w:t>a</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13.1</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15.1</w:t>
            </w:r>
          </w:p>
        </w:tc>
        <w:tc>
          <w:tcPr>
            <w:tcW w:w="993"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19.9</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22.7</w:t>
            </w:r>
          </w:p>
        </w:tc>
        <w:tc>
          <w:tcPr>
            <w:tcW w:w="930"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20.8</w:t>
            </w:r>
          </w:p>
        </w:tc>
      </w:tr>
      <w:tr w:rsidR="00154793" w:rsidTr="004C02E8">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Inflation indexation on opening RAB</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3.9</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4.4</w:t>
            </w:r>
          </w:p>
        </w:tc>
        <w:tc>
          <w:tcPr>
            <w:tcW w:w="993"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5.0</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5.8</w:t>
            </w:r>
          </w:p>
        </w:tc>
        <w:tc>
          <w:tcPr>
            <w:tcW w:w="930"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6.8</w:t>
            </w:r>
          </w:p>
        </w:tc>
      </w:tr>
      <w:tr w:rsidR="00154793" w:rsidTr="004C0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rsidRPr="005B5BBC">
              <w:rPr>
                <w:rStyle w:val="AERtextitalic"/>
              </w:rPr>
              <w:t>Less:</w:t>
            </w:r>
            <w:r>
              <w:t xml:space="preserve"> straight-line depreciation</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1.4</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2.4</w:t>
            </w:r>
          </w:p>
        </w:tc>
        <w:tc>
          <w:tcPr>
            <w:tcW w:w="993"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3.4</w:t>
            </w:r>
          </w:p>
        </w:tc>
        <w:tc>
          <w:tcPr>
            <w:tcW w:w="992"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2.1</w:t>
            </w:r>
          </w:p>
        </w:tc>
        <w:tc>
          <w:tcPr>
            <w:tcW w:w="930"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3.3</w:t>
            </w:r>
          </w:p>
        </w:tc>
      </w:tr>
      <w:tr w:rsidR="00154793" w:rsidTr="004C02E8">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Closing RAB</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86.0</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99.2</w:t>
            </w:r>
          </w:p>
        </w:tc>
        <w:tc>
          <w:tcPr>
            <w:tcW w:w="993"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117.4</w:t>
            </w:r>
          </w:p>
        </w:tc>
        <w:tc>
          <w:tcPr>
            <w:tcW w:w="992"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136.3</w:t>
            </w:r>
          </w:p>
        </w:tc>
        <w:tc>
          <w:tcPr>
            <w:tcW w:w="930"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153.6</w:t>
            </w:r>
          </w:p>
        </w:tc>
      </w:tr>
      <w:tr w:rsidR="00154793" w:rsidTr="004C0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Difference between estimated and actual capex</w:t>
            </w:r>
            <w:r w:rsidR="00761829">
              <w:br/>
            </w:r>
            <w:r>
              <w:t>(1 July 2008 to 30 June 2009)</w:t>
            </w:r>
          </w:p>
        </w:tc>
        <w:tc>
          <w:tcPr>
            <w:tcW w:w="992" w:type="dxa"/>
          </w:tcPr>
          <w:p w:rsidR="00154793" w:rsidRDefault="00154793" w:rsidP="00154793">
            <w:pPr>
              <w:cnfStyle w:val="000000010000" w:firstRow="0" w:lastRow="0" w:firstColumn="0" w:lastColumn="0" w:oddVBand="0" w:evenVBand="0" w:oddHBand="0" w:evenHBand="1" w:firstRowFirstColumn="0" w:firstRowLastColumn="0" w:lastRowFirstColumn="0" w:lastRowLastColumn="0"/>
            </w:pPr>
          </w:p>
        </w:tc>
        <w:tc>
          <w:tcPr>
            <w:tcW w:w="992" w:type="dxa"/>
          </w:tcPr>
          <w:p w:rsidR="00154793" w:rsidRDefault="00154793" w:rsidP="00154793">
            <w:pPr>
              <w:cnfStyle w:val="000000010000" w:firstRow="0" w:lastRow="0" w:firstColumn="0" w:lastColumn="0" w:oddVBand="0" w:evenVBand="0" w:oddHBand="0" w:evenHBand="1" w:firstRowFirstColumn="0" w:firstRowLastColumn="0" w:lastRowFirstColumn="0" w:lastRowLastColumn="0"/>
            </w:pPr>
          </w:p>
        </w:tc>
        <w:tc>
          <w:tcPr>
            <w:tcW w:w="993" w:type="dxa"/>
          </w:tcPr>
          <w:p w:rsidR="00154793" w:rsidRDefault="00154793" w:rsidP="00154793">
            <w:pPr>
              <w:cnfStyle w:val="000000010000" w:firstRow="0" w:lastRow="0" w:firstColumn="0" w:lastColumn="0" w:oddVBand="0" w:evenVBand="0" w:oddHBand="0" w:evenHBand="1" w:firstRowFirstColumn="0" w:firstRowLastColumn="0" w:lastRowFirstColumn="0" w:lastRowLastColumn="0"/>
            </w:pPr>
          </w:p>
        </w:tc>
        <w:tc>
          <w:tcPr>
            <w:tcW w:w="992" w:type="dxa"/>
          </w:tcPr>
          <w:p w:rsidR="00154793" w:rsidRDefault="00154793" w:rsidP="00154793">
            <w:pPr>
              <w:cnfStyle w:val="000000010000" w:firstRow="0" w:lastRow="0" w:firstColumn="0" w:lastColumn="0" w:oddVBand="0" w:evenVBand="0" w:oddHBand="0" w:evenHBand="1" w:firstRowFirstColumn="0" w:firstRowLastColumn="0" w:lastRowFirstColumn="0" w:lastRowLastColumn="0"/>
            </w:pPr>
          </w:p>
        </w:tc>
        <w:tc>
          <w:tcPr>
            <w:tcW w:w="930" w:type="dxa"/>
          </w:tcPr>
          <w:p w:rsidR="00154793" w:rsidRDefault="0070282E" w:rsidP="00154793">
            <w:pPr>
              <w:cnfStyle w:val="000000010000" w:firstRow="0" w:lastRow="0" w:firstColumn="0" w:lastColumn="0" w:oddVBand="0" w:evenVBand="0" w:oddHBand="0" w:evenHBand="1" w:firstRowFirstColumn="0" w:firstRowLastColumn="0" w:lastRowFirstColumn="0" w:lastRowLastColumn="0"/>
            </w:pPr>
            <w:r>
              <w:t>0.2</w:t>
            </w:r>
          </w:p>
        </w:tc>
      </w:tr>
      <w:tr w:rsidR="00154793" w:rsidTr="004C02E8">
        <w:tc>
          <w:tcPr>
            <w:cnfStyle w:val="001000000000" w:firstRow="0" w:lastRow="0" w:firstColumn="1" w:lastColumn="0" w:oddVBand="0" w:evenVBand="0" w:oddHBand="0" w:evenHBand="0" w:firstRowFirstColumn="0" w:firstRowLastColumn="0" w:lastRowFirstColumn="0" w:lastRowLastColumn="0"/>
            <w:tcW w:w="3794" w:type="dxa"/>
          </w:tcPr>
          <w:p w:rsidR="00154793" w:rsidRPr="00154793" w:rsidRDefault="00154793" w:rsidP="00154793">
            <w:r>
              <w:t xml:space="preserve">Return on difference </w:t>
            </w:r>
            <w:r w:rsidRPr="00154793">
              <w:t xml:space="preserve">in 2008–09 capex </w:t>
            </w:r>
          </w:p>
        </w:tc>
        <w:tc>
          <w:tcPr>
            <w:tcW w:w="992" w:type="dxa"/>
          </w:tcPr>
          <w:p w:rsidR="00154793" w:rsidRDefault="00154793" w:rsidP="00154793">
            <w:pPr>
              <w:cnfStyle w:val="000000000000" w:firstRow="0" w:lastRow="0" w:firstColumn="0" w:lastColumn="0" w:oddVBand="0" w:evenVBand="0" w:oddHBand="0" w:evenHBand="0" w:firstRowFirstColumn="0" w:firstRowLastColumn="0" w:lastRowFirstColumn="0" w:lastRowLastColumn="0"/>
            </w:pPr>
          </w:p>
        </w:tc>
        <w:tc>
          <w:tcPr>
            <w:tcW w:w="992" w:type="dxa"/>
          </w:tcPr>
          <w:p w:rsidR="00154793" w:rsidRDefault="00154793" w:rsidP="00154793">
            <w:pPr>
              <w:cnfStyle w:val="000000000000" w:firstRow="0" w:lastRow="0" w:firstColumn="0" w:lastColumn="0" w:oddVBand="0" w:evenVBand="0" w:oddHBand="0" w:evenHBand="0" w:firstRowFirstColumn="0" w:firstRowLastColumn="0" w:lastRowFirstColumn="0" w:lastRowLastColumn="0"/>
            </w:pPr>
          </w:p>
        </w:tc>
        <w:tc>
          <w:tcPr>
            <w:tcW w:w="993" w:type="dxa"/>
          </w:tcPr>
          <w:p w:rsidR="00154793" w:rsidRDefault="00154793" w:rsidP="00154793">
            <w:pPr>
              <w:cnfStyle w:val="000000000000" w:firstRow="0" w:lastRow="0" w:firstColumn="0" w:lastColumn="0" w:oddVBand="0" w:evenVBand="0" w:oddHBand="0" w:evenHBand="0" w:firstRowFirstColumn="0" w:firstRowLastColumn="0" w:lastRowFirstColumn="0" w:lastRowLastColumn="0"/>
            </w:pPr>
          </w:p>
        </w:tc>
        <w:tc>
          <w:tcPr>
            <w:tcW w:w="992" w:type="dxa"/>
          </w:tcPr>
          <w:p w:rsidR="00154793" w:rsidRDefault="00154793" w:rsidP="00154793">
            <w:pPr>
              <w:cnfStyle w:val="000000000000" w:firstRow="0" w:lastRow="0" w:firstColumn="0" w:lastColumn="0" w:oddVBand="0" w:evenVBand="0" w:oddHBand="0" w:evenHBand="0" w:firstRowFirstColumn="0" w:firstRowLastColumn="0" w:lastRowFirstColumn="0" w:lastRowLastColumn="0"/>
            </w:pPr>
          </w:p>
        </w:tc>
        <w:tc>
          <w:tcPr>
            <w:tcW w:w="930" w:type="dxa"/>
          </w:tcPr>
          <w:p w:rsidR="00154793" w:rsidRDefault="0070282E" w:rsidP="00154793">
            <w:pPr>
              <w:cnfStyle w:val="000000000000" w:firstRow="0" w:lastRow="0" w:firstColumn="0" w:lastColumn="0" w:oddVBand="0" w:evenVBand="0" w:oddHBand="0" w:evenHBand="0" w:firstRowFirstColumn="0" w:firstRowLastColumn="0" w:lastRowFirstColumn="0" w:lastRowLastColumn="0"/>
            </w:pPr>
            <w:r>
              <w:t>0.1</w:t>
            </w:r>
          </w:p>
        </w:tc>
      </w:tr>
      <w:tr w:rsidR="00154793" w:rsidRPr="00761829" w:rsidTr="004C02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Pr="00461FBE" w:rsidRDefault="00154793" w:rsidP="00154793">
            <w:pPr>
              <w:rPr>
                <w:rStyle w:val="Strong"/>
              </w:rPr>
            </w:pPr>
            <w:r w:rsidRPr="00461FBE">
              <w:rPr>
                <w:rStyle w:val="Strong"/>
              </w:rPr>
              <w:t>Opening RAB as at 1 July 2014</w:t>
            </w:r>
          </w:p>
        </w:tc>
        <w:tc>
          <w:tcPr>
            <w:tcW w:w="992" w:type="dxa"/>
          </w:tcPr>
          <w:p w:rsidR="00154793" w:rsidRPr="00461FBE" w:rsidRDefault="00154793" w:rsidP="00154793">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154793" w:rsidRPr="00461FBE" w:rsidRDefault="00154793" w:rsidP="00154793">
            <w:pPr>
              <w:cnfStyle w:val="000000010000" w:firstRow="0" w:lastRow="0" w:firstColumn="0" w:lastColumn="0" w:oddVBand="0" w:evenVBand="0" w:oddHBand="0" w:evenHBand="1" w:firstRowFirstColumn="0" w:firstRowLastColumn="0" w:lastRowFirstColumn="0" w:lastRowLastColumn="0"/>
              <w:rPr>
                <w:rStyle w:val="Strong"/>
              </w:rPr>
            </w:pPr>
          </w:p>
        </w:tc>
        <w:tc>
          <w:tcPr>
            <w:tcW w:w="993" w:type="dxa"/>
          </w:tcPr>
          <w:p w:rsidR="00154793" w:rsidRPr="00461FBE" w:rsidRDefault="00154793" w:rsidP="00154793">
            <w:pPr>
              <w:cnfStyle w:val="000000010000" w:firstRow="0" w:lastRow="0" w:firstColumn="0" w:lastColumn="0" w:oddVBand="0" w:evenVBand="0" w:oddHBand="0" w:evenHBand="1" w:firstRowFirstColumn="0" w:firstRowLastColumn="0" w:lastRowFirstColumn="0" w:lastRowLastColumn="0"/>
              <w:rPr>
                <w:rStyle w:val="Strong"/>
              </w:rPr>
            </w:pPr>
          </w:p>
        </w:tc>
        <w:tc>
          <w:tcPr>
            <w:tcW w:w="992" w:type="dxa"/>
          </w:tcPr>
          <w:p w:rsidR="00154793" w:rsidRPr="00461FBE" w:rsidRDefault="00154793" w:rsidP="00154793">
            <w:pPr>
              <w:cnfStyle w:val="000000010000" w:firstRow="0" w:lastRow="0" w:firstColumn="0" w:lastColumn="0" w:oddVBand="0" w:evenVBand="0" w:oddHBand="0" w:evenHBand="1" w:firstRowFirstColumn="0" w:firstRowLastColumn="0" w:lastRowFirstColumn="0" w:lastRowLastColumn="0"/>
              <w:rPr>
                <w:rStyle w:val="Strong"/>
              </w:rPr>
            </w:pPr>
          </w:p>
        </w:tc>
        <w:tc>
          <w:tcPr>
            <w:tcW w:w="930" w:type="dxa"/>
          </w:tcPr>
          <w:p w:rsidR="00154793" w:rsidRPr="00461FBE" w:rsidRDefault="0070282E" w:rsidP="00154793">
            <w:pPr>
              <w:cnfStyle w:val="000000010000" w:firstRow="0" w:lastRow="0" w:firstColumn="0" w:lastColumn="0" w:oddVBand="0" w:evenVBand="0" w:oddHBand="0" w:evenHBand="1" w:firstRowFirstColumn="0" w:firstRowLastColumn="0" w:lastRowFirstColumn="0" w:lastRowLastColumn="0"/>
              <w:rPr>
                <w:rStyle w:val="Strong"/>
              </w:rPr>
            </w:pPr>
            <w:r w:rsidRPr="00461FBE">
              <w:rPr>
                <w:rStyle w:val="Strong"/>
              </w:rPr>
              <w:t>154.0</w:t>
            </w:r>
          </w:p>
        </w:tc>
      </w:tr>
    </w:tbl>
    <w:p w:rsidR="00154793" w:rsidRDefault="00154793" w:rsidP="00154793">
      <w:pPr>
        <w:pStyle w:val="AERtablesource"/>
      </w:pPr>
      <w:r>
        <w:t>Source:</w:t>
      </w:r>
      <w:r>
        <w:tab/>
        <w:t xml:space="preserve">AER analysis. </w:t>
      </w:r>
    </w:p>
    <w:p w:rsidR="00154793" w:rsidRDefault="00154793" w:rsidP="00154793">
      <w:pPr>
        <w:pStyle w:val="AERtablesource"/>
      </w:pPr>
      <w:r>
        <w:t xml:space="preserve">(a) </w:t>
      </w:r>
      <w:r>
        <w:tab/>
        <w:t>Net of disposals and capital contributions, and adjusted for CPI.</w:t>
      </w:r>
    </w:p>
    <w:p w:rsidR="00937B4E" w:rsidRDefault="00937B4E" w:rsidP="00937B4E"/>
    <w:p w:rsidR="00937B4E" w:rsidRDefault="00937B4E" w:rsidP="00937B4E"/>
    <w:p w:rsidR="00937B4E" w:rsidRPr="00937B4E" w:rsidRDefault="00937B4E" w:rsidP="00937B4E"/>
    <w:p w:rsidR="00154793" w:rsidRDefault="00154793" w:rsidP="00154793">
      <w:pPr>
        <w:pStyle w:val="Caption"/>
      </w:pPr>
      <w:bookmarkStart w:id="16" w:name="_Ref411954801"/>
      <w:proofErr w:type="gramStart"/>
      <w:r>
        <w:lastRenderedPageBreak/>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DA7E75">
        <w:fldChar w:fldCharType="begin"/>
      </w:r>
      <w:r w:rsidR="00DA7E75">
        <w:instrText xml:space="preserve"> SEQ Table \* ARABIC \s 1 </w:instrText>
      </w:r>
      <w:r w:rsidR="00DA7E75">
        <w:fldChar w:fldCharType="separate"/>
      </w:r>
      <w:r w:rsidR="00DA7E75">
        <w:rPr>
          <w:noProof/>
        </w:rPr>
        <w:t>3</w:t>
      </w:r>
      <w:r w:rsidR="00DA7E75">
        <w:rPr>
          <w:noProof/>
        </w:rPr>
        <w:fldChar w:fldCharType="end"/>
      </w:r>
      <w:bookmarkEnd w:id="16"/>
      <w:r>
        <w:tab/>
        <w:t xml:space="preserve">AER's final decision on ActewAGL's RAB for the 2014–19 period ($ million, nominal) </w:t>
      </w:r>
      <w:r w:rsidR="00761829">
        <w:t>–</w:t>
      </w:r>
      <w:r>
        <w:t xml:space="preserve"> distribution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154793" w:rsidTr="004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154793"/>
        </w:tc>
        <w:tc>
          <w:tcPr>
            <w:tcW w:w="992"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w:t>
            </w:r>
            <w:r w:rsidR="00450747">
              <w:t>14</w:t>
            </w:r>
            <w:r>
              <w:t>–1</w:t>
            </w:r>
            <w:r w:rsidR="00450747">
              <w:t>5</w:t>
            </w:r>
          </w:p>
        </w:tc>
        <w:tc>
          <w:tcPr>
            <w:tcW w:w="992" w:type="dxa"/>
          </w:tcPr>
          <w:p w:rsidR="00154793" w:rsidRPr="00154793" w:rsidRDefault="00450747" w:rsidP="00450747">
            <w:pPr>
              <w:cnfStyle w:val="100000000000" w:firstRow="1" w:lastRow="0" w:firstColumn="0" w:lastColumn="0" w:oddVBand="0" w:evenVBand="0" w:oddHBand="0" w:evenHBand="0" w:firstRowFirstColumn="0" w:firstRowLastColumn="0" w:lastRowFirstColumn="0" w:lastRowLastColumn="0"/>
            </w:pPr>
            <w:r>
              <w:t>2015–16</w:t>
            </w:r>
          </w:p>
        </w:tc>
        <w:tc>
          <w:tcPr>
            <w:tcW w:w="993" w:type="dxa"/>
          </w:tcPr>
          <w:p w:rsidR="00154793" w:rsidRPr="00154793" w:rsidRDefault="00450747" w:rsidP="00450747">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154793" w:rsidRPr="00154793" w:rsidRDefault="00450747" w:rsidP="00154793">
            <w:pPr>
              <w:cnfStyle w:val="100000000000" w:firstRow="1" w:lastRow="0" w:firstColumn="0" w:lastColumn="0" w:oddVBand="0" w:evenVBand="0" w:oddHBand="0" w:evenHBand="0" w:firstRowFirstColumn="0" w:firstRowLastColumn="0" w:lastRowFirstColumn="0" w:lastRowLastColumn="0"/>
            </w:pPr>
            <w:r>
              <w:t>2017–18</w:t>
            </w:r>
          </w:p>
        </w:tc>
        <w:tc>
          <w:tcPr>
            <w:tcW w:w="930" w:type="dxa"/>
          </w:tcPr>
          <w:p w:rsidR="00154793" w:rsidRPr="00154793" w:rsidRDefault="00450747" w:rsidP="00154793">
            <w:pPr>
              <w:cnfStyle w:val="100000000000" w:firstRow="1" w:lastRow="0" w:firstColumn="0" w:lastColumn="0" w:oddVBand="0" w:evenVBand="0" w:oddHBand="0" w:evenHBand="0" w:firstRowFirstColumn="0" w:firstRowLastColumn="0" w:lastRowFirstColumn="0" w:lastRowLastColumn="0"/>
            </w:pPr>
            <w:r>
              <w:t>2018–19</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693.5</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730.5</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751.2</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769.6</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783.7</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Capital expenditure</w:t>
            </w:r>
            <w:r w:rsidRPr="00450747">
              <w:rPr>
                <w:rStyle w:val="AERsuperscript"/>
              </w:rPr>
              <w:t>a</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64.5</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52.2</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50.4</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47.6</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53.8</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Inflation indexation on 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16.5</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17.4</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17.9</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18.3</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18.7</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rPr>
                <w:rStyle w:val="AERtextitalic"/>
              </w:rPr>
              <w:t>Less:</w:t>
            </w:r>
            <w:r w:rsidRPr="00450747">
              <w:t xml:space="preserve"> straight-line depreciation</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44.1</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48.8</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49.9</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51.9</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52.3</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23314F" w:rsidRDefault="00450747" w:rsidP="00450747">
            <w:pPr>
              <w:rPr>
                <w:rStyle w:val="Strong"/>
              </w:rPr>
            </w:pPr>
            <w:r w:rsidRPr="0023314F">
              <w:rPr>
                <w:rStyle w:val="Strong"/>
              </w:rPr>
              <w:t>Closing RAB</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730.5</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751.2</w:t>
            </w:r>
          </w:p>
        </w:tc>
        <w:tc>
          <w:tcPr>
            <w:tcW w:w="993"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769.6</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783.7</w:t>
            </w:r>
          </w:p>
        </w:tc>
        <w:tc>
          <w:tcPr>
            <w:tcW w:w="930"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803.8</w:t>
            </w:r>
          </w:p>
        </w:tc>
      </w:tr>
    </w:tbl>
    <w:p w:rsidR="00761829" w:rsidRDefault="00154793" w:rsidP="00761829">
      <w:pPr>
        <w:pStyle w:val="AERtablesource"/>
      </w:pPr>
      <w:r>
        <w:t>Source:</w:t>
      </w:r>
      <w:r>
        <w:tab/>
        <w:t>AER analysis.</w:t>
      </w:r>
      <w:r w:rsidR="00761829" w:rsidRPr="00761829">
        <w:t xml:space="preserve"> </w:t>
      </w:r>
    </w:p>
    <w:p w:rsidR="00761829" w:rsidRDefault="00761829" w:rsidP="00761829">
      <w:pPr>
        <w:pStyle w:val="AERtablesource"/>
      </w:pPr>
      <w:r>
        <w:t>(a)</w:t>
      </w:r>
      <w:r>
        <w:tab/>
        <w:t>Net of forecast disposals and capital contributions.</w:t>
      </w:r>
    </w:p>
    <w:p w:rsidR="00154793" w:rsidRPr="00154793" w:rsidRDefault="00154793" w:rsidP="00154793">
      <w:pPr>
        <w:pStyle w:val="Caption"/>
      </w:pPr>
      <w:bookmarkStart w:id="17" w:name="_Ref411954813"/>
      <w:proofErr w:type="gramStart"/>
      <w:r>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DA7E75">
        <w:fldChar w:fldCharType="begin"/>
      </w:r>
      <w:r w:rsidR="00DA7E75">
        <w:instrText xml:space="preserve"> SEQ Table \* ARABIC \s 1 </w:instrText>
      </w:r>
      <w:r w:rsidR="00DA7E75">
        <w:fldChar w:fldCharType="separate"/>
      </w:r>
      <w:r w:rsidR="00DA7E75">
        <w:rPr>
          <w:noProof/>
        </w:rPr>
        <w:t>4</w:t>
      </w:r>
      <w:r w:rsidR="00DA7E75">
        <w:rPr>
          <w:noProof/>
        </w:rPr>
        <w:fldChar w:fldCharType="end"/>
      </w:r>
      <w:bookmarkEnd w:id="17"/>
      <w:r>
        <w:tab/>
        <w:t xml:space="preserve">AER's final decision on ActewAGL's RAB for the 2014–19 period ($ million, nominal) </w:t>
      </w:r>
      <w:r w:rsidR="00761829">
        <w:t>–</w:t>
      </w:r>
      <w:r>
        <w:t xml:space="preserve"> transmission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154793" w:rsidTr="004C0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154793" w:rsidRDefault="00154793" w:rsidP="00154793"/>
        </w:tc>
        <w:tc>
          <w:tcPr>
            <w:tcW w:w="992"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w:t>
            </w:r>
            <w:r w:rsidR="00450747">
              <w:t>14</w:t>
            </w:r>
            <w:r>
              <w:t>–1</w:t>
            </w:r>
            <w:r w:rsidR="00450747">
              <w:t>5</w:t>
            </w:r>
          </w:p>
        </w:tc>
        <w:tc>
          <w:tcPr>
            <w:tcW w:w="992"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201</w:t>
            </w:r>
            <w:r w:rsidR="00450747">
              <w:t>5</w:t>
            </w:r>
            <w:r>
              <w:t>–1</w:t>
            </w:r>
            <w:r w:rsidR="00450747">
              <w:t>6</w:t>
            </w:r>
          </w:p>
        </w:tc>
        <w:tc>
          <w:tcPr>
            <w:tcW w:w="993"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201</w:t>
            </w:r>
            <w:r w:rsidR="00450747">
              <w:t>6</w:t>
            </w:r>
            <w:r>
              <w:t>–1</w:t>
            </w:r>
            <w:r w:rsidR="00450747">
              <w:t>7</w:t>
            </w:r>
          </w:p>
        </w:tc>
        <w:tc>
          <w:tcPr>
            <w:tcW w:w="992"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201</w:t>
            </w:r>
            <w:r w:rsidR="00450747">
              <w:t>7</w:t>
            </w:r>
            <w:r>
              <w:t>–1</w:t>
            </w:r>
            <w:r w:rsidR="00450747">
              <w:t>8</w:t>
            </w:r>
          </w:p>
        </w:tc>
        <w:tc>
          <w:tcPr>
            <w:tcW w:w="930" w:type="dxa"/>
          </w:tcPr>
          <w:p w:rsidR="00154793" w:rsidRPr="00154793" w:rsidRDefault="00154793" w:rsidP="00450747">
            <w:pPr>
              <w:cnfStyle w:val="100000000000" w:firstRow="1" w:lastRow="0" w:firstColumn="0" w:lastColumn="0" w:oddVBand="0" w:evenVBand="0" w:oddHBand="0" w:evenHBand="0" w:firstRowFirstColumn="0" w:firstRowLastColumn="0" w:lastRowFirstColumn="0" w:lastRowLastColumn="0"/>
            </w:pPr>
            <w:r>
              <w:t>201</w:t>
            </w:r>
            <w:r w:rsidR="00450747">
              <w:t>8</w:t>
            </w:r>
            <w:r>
              <w:t>–1</w:t>
            </w:r>
            <w:r w:rsidR="00450747">
              <w:t>9</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154.0</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160.9</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167.9</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182.4</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191.7</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Capital expenditure</w:t>
            </w:r>
            <w:r w:rsidRPr="00450747">
              <w:rPr>
                <w:rStyle w:val="AERsuperscript"/>
              </w:rPr>
              <w:t>a</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11.2</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12.2</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19.9</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15.1</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9.2</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Inflation indexation on 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3.7</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3.8</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4.0</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4.3</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4.6</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rPr>
                <w:rStyle w:val="AERtextitalic"/>
              </w:rPr>
              <w:t>Less:</w:t>
            </w:r>
            <w:r w:rsidRPr="00450747">
              <w:t xml:space="preserve"> straight-line depreciation</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8.0</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9.0</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9.4</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10.2</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10.6</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23314F" w:rsidRDefault="00450747" w:rsidP="00450747">
            <w:pPr>
              <w:rPr>
                <w:rStyle w:val="Strong"/>
              </w:rPr>
            </w:pPr>
            <w:r w:rsidRPr="0023314F">
              <w:rPr>
                <w:rStyle w:val="Strong"/>
              </w:rPr>
              <w:t>Closing RAB</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160.9</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167.9</w:t>
            </w:r>
          </w:p>
        </w:tc>
        <w:tc>
          <w:tcPr>
            <w:tcW w:w="993"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182.4</w:t>
            </w:r>
          </w:p>
        </w:tc>
        <w:tc>
          <w:tcPr>
            <w:tcW w:w="992"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191.7</w:t>
            </w:r>
          </w:p>
        </w:tc>
        <w:tc>
          <w:tcPr>
            <w:tcW w:w="930" w:type="dxa"/>
            <w:vAlign w:val="bottom"/>
          </w:tcPr>
          <w:p w:rsidR="00450747" w:rsidRPr="0023314F"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23314F">
              <w:rPr>
                <w:rStyle w:val="Strong"/>
              </w:rPr>
              <w:t>194.8</w:t>
            </w:r>
          </w:p>
        </w:tc>
      </w:tr>
    </w:tbl>
    <w:p w:rsidR="00154793" w:rsidRDefault="00154793" w:rsidP="00154793">
      <w:pPr>
        <w:pStyle w:val="AERtablesource"/>
      </w:pPr>
      <w:r>
        <w:t>Source:</w:t>
      </w:r>
      <w:r>
        <w:tab/>
        <w:t>AER analysis.</w:t>
      </w:r>
    </w:p>
    <w:p w:rsidR="00761829" w:rsidRDefault="00761829" w:rsidP="00761829">
      <w:pPr>
        <w:pStyle w:val="AERtablesource"/>
      </w:pPr>
      <w:r>
        <w:t>(a)</w:t>
      </w:r>
      <w:r>
        <w:tab/>
        <w:t>Net of forecast disposals and capital contributions.</w:t>
      </w:r>
    </w:p>
    <w:p w:rsidR="00DE563D" w:rsidRPr="001754EE" w:rsidRDefault="001F05A4" w:rsidP="001754EE">
      <w:pPr>
        <w:pStyle w:val="Heading2"/>
      </w:pPr>
      <w:bookmarkStart w:id="18" w:name="_Toc413316494"/>
      <w:r>
        <w:t>ActewAGL</w:t>
      </w:r>
      <w:r w:rsidR="00415F31" w:rsidRPr="001754EE">
        <w:t>’s revised</w:t>
      </w:r>
      <w:r w:rsidR="00DE563D" w:rsidRPr="001754EE">
        <w:t xml:space="preserve"> proposal</w:t>
      </w:r>
      <w:bookmarkEnd w:id="13"/>
      <w:bookmarkEnd w:id="18"/>
    </w:p>
    <w:p w:rsidR="004B2274" w:rsidRDefault="004B2274" w:rsidP="002C233C">
      <w:r w:rsidRPr="004B2274">
        <w:t>ActewAGL</w:t>
      </w:r>
      <w:r w:rsidR="00B814F7">
        <w:t>'s</w:t>
      </w:r>
      <w:r w:rsidRPr="004B2274">
        <w:t xml:space="preserve"> </w:t>
      </w:r>
      <w:r w:rsidR="00B814F7">
        <w:t>revised proposal submitted opening RAB values as at 1 July 2014 of $693.5 million and $154.0 million ($ nominal) for its distribution and transmission RABs respectively. ActewAGL adopted our draft decision adjustments</w:t>
      </w:r>
      <w:r w:rsidRPr="004B2274">
        <w:t xml:space="preserve"> </w:t>
      </w:r>
      <w:r w:rsidR="00B814F7">
        <w:t xml:space="preserve">to roll forward the opening RABs from 1 July 2009 to </w:t>
      </w:r>
      <w:r w:rsidR="007334FC">
        <w:t>30 June</w:t>
      </w:r>
      <w:r w:rsidR="00B814F7">
        <w:t xml:space="preserve"> 2014</w:t>
      </w:r>
      <w:r w:rsidR="00D465C1">
        <w:t>.</w:t>
      </w:r>
      <w:r w:rsidR="005D2B1A">
        <w:rPr>
          <w:rStyle w:val="FootnoteReference"/>
        </w:rPr>
        <w:footnoteReference w:id="4"/>
      </w:r>
      <w:r w:rsidR="00D465C1">
        <w:t xml:space="preserve"> </w:t>
      </w:r>
      <w:r w:rsidR="00B814F7">
        <w:t>A</w:t>
      </w:r>
      <w:r w:rsidR="00C668FA">
        <w:t>c</w:t>
      </w:r>
      <w:r w:rsidR="00B814F7">
        <w:t xml:space="preserve">tewAGL </w:t>
      </w:r>
      <w:r w:rsidR="00507508">
        <w:t xml:space="preserve">also </w:t>
      </w:r>
      <w:r w:rsidR="00B814F7">
        <w:t xml:space="preserve">updated the </w:t>
      </w:r>
      <w:r w:rsidR="00D465C1">
        <w:t xml:space="preserve">revised proposed </w:t>
      </w:r>
      <w:r w:rsidR="007334FC">
        <w:t xml:space="preserve">opening </w:t>
      </w:r>
      <w:r w:rsidR="00D465C1">
        <w:t xml:space="preserve">RABs to reflect actual capex for </w:t>
      </w:r>
      <w:r w:rsidR="00B814F7">
        <w:t>2013–14</w:t>
      </w:r>
      <w:r w:rsidR="00D465C1">
        <w:t>.</w:t>
      </w:r>
      <w:r w:rsidR="00B814F7">
        <w:t xml:space="preserve"> </w:t>
      </w:r>
    </w:p>
    <w:p w:rsidR="004B2274" w:rsidRDefault="00C668FA" w:rsidP="00C668FA">
      <w:r>
        <w:t xml:space="preserve">ActewAGL's revised proposal </w:t>
      </w:r>
      <w:r w:rsidR="0057193F">
        <w:t xml:space="preserve">submitted </w:t>
      </w:r>
      <w:r>
        <w:t>forecast closing RABs as at 30 June 2019 of $8</w:t>
      </w:r>
      <w:r w:rsidR="00450747">
        <w:t>31.7</w:t>
      </w:r>
      <w:r>
        <w:t xml:space="preserve"> million and $2</w:t>
      </w:r>
      <w:r w:rsidR="00D465C1">
        <w:t>34.1</w:t>
      </w:r>
      <w:r>
        <w:t xml:space="preserve"> million ($ nominal) for its distribution and transmission networks respectively. </w:t>
      </w:r>
      <w:r w:rsidR="004B2274" w:rsidRPr="004B2274">
        <w:t xml:space="preserve">These values reflect its </w:t>
      </w:r>
      <w:r w:rsidR="00670B84">
        <w:t>revised</w:t>
      </w:r>
      <w:r w:rsidR="004B2274" w:rsidRPr="004B2274">
        <w:t xml:space="preserve"> opening RABs, forecast capex and </w:t>
      </w:r>
      <w:r w:rsidR="00507508">
        <w:t xml:space="preserve">forecast </w:t>
      </w:r>
      <w:r w:rsidR="004B2274" w:rsidRPr="004B2274">
        <w:t xml:space="preserve">depreciation (based on forecast capex) over the 2014–19 period. </w:t>
      </w:r>
      <w:r w:rsidR="0057193F">
        <w:t>ActewAGL's</w:t>
      </w:r>
      <w:r w:rsidR="004B2274" w:rsidRPr="004B2274">
        <w:t xml:space="preserve"> projected distribution and transmission RABs over the 2014–19 </w:t>
      </w:r>
      <w:proofErr w:type="gramStart"/>
      <w:r w:rsidR="004B2274" w:rsidRPr="004B2274">
        <w:t>period</w:t>
      </w:r>
      <w:proofErr w:type="gramEnd"/>
      <w:r w:rsidR="004B2274" w:rsidRPr="004B2274">
        <w:t xml:space="preserve"> are</w:t>
      </w:r>
      <w:r w:rsidR="0057193F">
        <w:t xml:space="preserve"> respectively</w:t>
      </w:r>
      <w:r w:rsidR="004B2274" w:rsidRPr="004B2274">
        <w:t xml:space="preserve"> shown in </w:t>
      </w:r>
      <w:r w:rsidR="00670B84">
        <w:fldChar w:fldCharType="begin"/>
      </w:r>
      <w:r w:rsidR="00670B84">
        <w:instrText xml:space="preserve"> REF _Ref413240826 \h </w:instrText>
      </w:r>
      <w:r w:rsidR="00670B84">
        <w:fldChar w:fldCharType="separate"/>
      </w:r>
      <w:r w:rsidR="00DA7E75">
        <w:t xml:space="preserve">Table </w:t>
      </w:r>
      <w:r w:rsidR="00DA7E75">
        <w:rPr>
          <w:noProof/>
        </w:rPr>
        <w:t>2</w:t>
      </w:r>
      <w:r w:rsidR="00DA7E75">
        <w:t>.</w:t>
      </w:r>
      <w:r w:rsidR="00DA7E75">
        <w:rPr>
          <w:noProof/>
        </w:rPr>
        <w:t>5</w:t>
      </w:r>
      <w:r w:rsidR="00670B84">
        <w:fldChar w:fldCharType="end"/>
      </w:r>
      <w:r w:rsidR="00670B84">
        <w:t xml:space="preserve"> </w:t>
      </w:r>
      <w:r w:rsidR="004B2274" w:rsidRPr="004B2274">
        <w:t>and</w:t>
      </w:r>
      <w:r w:rsidR="00670B84">
        <w:t xml:space="preserve"> </w:t>
      </w:r>
      <w:r w:rsidR="00670B84">
        <w:fldChar w:fldCharType="begin"/>
      </w:r>
      <w:r w:rsidR="00670B84">
        <w:instrText xml:space="preserve"> REF _Ref413240837 \h </w:instrText>
      </w:r>
      <w:r w:rsidR="00670B84">
        <w:fldChar w:fldCharType="separate"/>
      </w:r>
      <w:r w:rsidR="00DA7E75">
        <w:t xml:space="preserve">Table </w:t>
      </w:r>
      <w:r w:rsidR="00DA7E75">
        <w:rPr>
          <w:noProof/>
        </w:rPr>
        <w:t>2</w:t>
      </w:r>
      <w:r w:rsidR="00DA7E75">
        <w:t>.</w:t>
      </w:r>
      <w:r w:rsidR="00DA7E75">
        <w:rPr>
          <w:noProof/>
        </w:rPr>
        <w:t>6</w:t>
      </w:r>
      <w:r w:rsidR="00670B84">
        <w:fldChar w:fldCharType="end"/>
      </w:r>
      <w:r w:rsidR="004B2274" w:rsidRPr="004B2274">
        <w:t>.</w:t>
      </w:r>
    </w:p>
    <w:p w:rsidR="005B5BBC" w:rsidRDefault="005B5BBC" w:rsidP="005B5BBC">
      <w:pPr>
        <w:pStyle w:val="Caption"/>
      </w:pPr>
      <w:bookmarkStart w:id="19" w:name="_Ref413240826"/>
      <w:proofErr w:type="gramStart"/>
      <w:r>
        <w:lastRenderedPageBreak/>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DA7E75">
        <w:fldChar w:fldCharType="begin"/>
      </w:r>
      <w:r w:rsidR="00DA7E75">
        <w:instrText xml:space="preserve"> SEQ Table \* ARABIC \s 1 </w:instrText>
      </w:r>
      <w:r w:rsidR="00DA7E75">
        <w:fldChar w:fldCharType="separate"/>
      </w:r>
      <w:r w:rsidR="00DA7E75">
        <w:rPr>
          <w:noProof/>
        </w:rPr>
        <w:t>5</w:t>
      </w:r>
      <w:r w:rsidR="00DA7E75">
        <w:rPr>
          <w:noProof/>
        </w:rPr>
        <w:fldChar w:fldCharType="end"/>
      </w:r>
      <w:bookmarkEnd w:id="19"/>
      <w:r>
        <w:tab/>
      </w:r>
      <w:proofErr w:type="spellStart"/>
      <w:r>
        <w:t>ActewAGL's</w:t>
      </w:r>
      <w:proofErr w:type="spellEnd"/>
      <w:r>
        <w:t xml:space="preserve"> proposed RAB for the 20</w:t>
      </w:r>
      <w:r w:rsidR="00D465C1">
        <w:t>14</w:t>
      </w:r>
      <w:r>
        <w:t>–1</w:t>
      </w:r>
      <w:r w:rsidR="00D465C1">
        <w:t>9</w:t>
      </w:r>
      <w:r>
        <w:t xml:space="preserve"> </w:t>
      </w:r>
      <w:r w:rsidR="00D465C1">
        <w:t>period</w:t>
      </w:r>
      <w:r>
        <w:t xml:space="preserve"> ($ million, nominal) </w:t>
      </w:r>
      <w:r w:rsidR="0057193F">
        <w:t>–</w:t>
      </w:r>
      <w:r>
        <w:t xml:space="preserve"> distribution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5B5BBC" w:rsidTr="004C2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5B5BBC" w:rsidRDefault="005B5BBC" w:rsidP="005B5BBC"/>
        </w:tc>
        <w:tc>
          <w:tcPr>
            <w:tcW w:w="992" w:type="dxa"/>
          </w:tcPr>
          <w:p w:rsidR="005B5BBC" w:rsidRPr="005B5BBC" w:rsidRDefault="005B5BBC" w:rsidP="00450747">
            <w:pPr>
              <w:cnfStyle w:val="100000000000" w:firstRow="1" w:lastRow="0" w:firstColumn="0" w:lastColumn="0" w:oddVBand="0" w:evenVBand="0" w:oddHBand="0" w:evenHBand="0" w:firstRowFirstColumn="0" w:firstRowLastColumn="0" w:lastRowFirstColumn="0" w:lastRowLastColumn="0"/>
            </w:pPr>
            <w:r>
              <w:t>20</w:t>
            </w:r>
            <w:r w:rsidR="00450747">
              <w:t>14</w:t>
            </w:r>
            <w:r>
              <w:t>–1</w:t>
            </w:r>
            <w:r w:rsidR="00450747">
              <w:t>5</w:t>
            </w:r>
          </w:p>
        </w:tc>
        <w:tc>
          <w:tcPr>
            <w:tcW w:w="992" w:type="dxa"/>
          </w:tcPr>
          <w:p w:rsidR="005B5BBC" w:rsidRPr="005B5BBC" w:rsidRDefault="005B5BBC" w:rsidP="00450747">
            <w:pPr>
              <w:cnfStyle w:val="100000000000" w:firstRow="1" w:lastRow="0" w:firstColumn="0" w:lastColumn="0" w:oddVBand="0" w:evenVBand="0" w:oddHBand="0" w:evenHBand="0" w:firstRowFirstColumn="0" w:firstRowLastColumn="0" w:lastRowFirstColumn="0" w:lastRowLastColumn="0"/>
            </w:pPr>
            <w:r>
              <w:t>201</w:t>
            </w:r>
            <w:r w:rsidR="00450747">
              <w:t>5</w:t>
            </w:r>
            <w:r>
              <w:t>–1</w:t>
            </w:r>
            <w:r w:rsidR="00450747">
              <w:t>6</w:t>
            </w:r>
          </w:p>
        </w:tc>
        <w:tc>
          <w:tcPr>
            <w:tcW w:w="993" w:type="dxa"/>
          </w:tcPr>
          <w:p w:rsidR="005B5BBC" w:rsidRPr="005B5BBC" w:rsidRDefault="005B5BBC" w:rsidP="00450747">
            <w:pPr>
              <w:cnfStyle w:val="100000000000" w:firstRow="1" w:lastRow="0" w:firstColumn="0" w:lastColumn="0" w:oddVBand="0" w:evenVBand="0" w:oddHBand="0" w:evenHBand="0" w:firstRowFirstColumn="0" w:firstRowLastColumn="0" w:lastRowFirstColumn="0" w:lastRowLastColumn="0"/>
            </w:pPr>
            <w:r>
              <w:t>201</w:t>
            </w:r>
            <w:r w:rsidR="00450747">
              <w:t>6</w:t>
            </w:r>
            <w:r>
              <w:t>–1</w:t>
            </w:r>
            <w:r w:rsidR="00450747">
              <w:t>7</w:t>
            </w:r>
          </w:p>
        </w:tc>
        <w:tc>
          <w:tcPr>
            <w:tcW w:w="992" w:type="dxa"/>
          </w:tcPr>
          <w:p w:rsidR="005B5BBC" w:rsidRPr="005B5BBC" w:rsidRDefault="005B5BBC" w:rsidP="00450747">
            <w:pPr>
              <w:cnfStyle w:val="100000000000" w:firstRow="1" w:lastRow="0" w:firstColumn="0" w:lastColumn="0" w:oddVBand="0" w:evenVBand="0" w:oddHBand="0" w:evenHBand="0" w:firstRowFirstColumn="0" w:firstRowLastColumn="0" w:lastRowFirstColumn="0" w:lastRowLastColumn="0"/>
            </w:pPr>
            <w:r>
              <w:t>201</w:t>
            </w:r>
            <w:r w:rsidR="00450747">
              <w:t>7</w:t>
            </w:r>
            <w:r>
              <w:t>–1</w:t>
            </w:r>
            <w:r w:rsidR="00450747">
              <w:t>8</w:t>
            </w:r>
          </w:p>
        </w:tc>
        <w:tc>
          <w:tcPr>
            <w:tcW w:w="930" w:type="dxa"/>
          </w:tcPr>
          <w:p w:rsidR="005B5BBC" w:rsidRPr="005B5BBC" w:rsidRDefault="005B5BBC" w:rsidP="00450747">
            <w:pPr>
              <w:cnfStyle w:val="100000000000" w:firstRow="1" w:lastRow="0" w:firstColumn="0" w:lastColumn="0" w:oddVBand="0" w:evenVBand="0" w:oddHBand="0" w:evenHBand="0" w:firstRowFirstColumn="0" w:firstRowLastColumn="0" w:lastRowFirstColumn="0" w:lastRowLastColumn="0"/>
            </w:pPr>
            <w:r>
              <w:t>201</w:t>
            </w:r>
            <w:r w:rsidR="00450747">
              <w:t>8</w:t>
            </w:r>
            <w:r>
              <w:t>–1</w:t>
            </w:r>
            <w:r w:rsidR="00450747">
              <w:t>9</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693.5</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734.0</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758.5</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782.8</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803.9</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Capital expenditure</w:t>
            </w:r>
            <w:r w:rsidRPr="00450747">
              <w:rPr>
                <w:rStyle w:val="AERsuperscript"/>
              </w:rPr>
              <w:t>a</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67.3</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55.2</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55.5</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53.9</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60.8</w:t>
            </w:r>
          </w:p>
        </w:tc>
      </w:tr>
      <w:tr w:rsidR="00450747"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t>Inflation indexation on opening RAB</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17.3</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18.4</w:t>
            </w:r>
          </w:p>
        </w:tc>
        <w:tc>
          <w:tcPr>
            <w:tcW w:w="993"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19.0</w:t>
            </w:r>
          </w:p>
        </w:tc>
        <w:tc>
          <w:tcPr>
            <w:tcW w:w="992"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19.6</w:t>
            </w:r>
          </w:p>
        </w:tc>
        <w:tc>
          <w:tcPr>
            <w:tcW w:w="930" w:type="dxa"/>
            <w:vAlign w:val="bottom"/>
          </w:tcPr>
          <w:p w:rsidR="00450747" w:rsidRPr="00450747" w:rsidRDefault="00450747" w:rsidP="00450747">
            <w:pPr>
              <w:cnfStyle w:val="000000000000" w:firstRow="0" w:lastRow="0" w:firstColumn="0" w:lastColumn="0" w:oddVBand="0" w:evenVBand="0" w:oddHBand="0" w:evenHBand="0" w:firstRowFirstColumn="0" w:firstRowLastColumn="0" w:lastRowFirstColumn="0" w:lastRowLastColumn="0"/>
            </w:pPr>
            <w:r w:rsidRPr="00450747">
              <w:t>20.1</w:t>
            </w:r>
          </w:p>
        </w:tc>
      </w:tr>
      <w:tr w:rsidR="00450747" w:rsidTr="005253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450747" w:rsidRPr="00450747" w:rsidRDefault="00450747" w:rsidP="00450747">
            <w:r w:rsidRPr="00450747">
              <w:rPr>
                <w:rStyle w:val="AERtextitalic"/>
              </w:rPr>
              <w:t>Less:</w:t>
            </w:r>
            <w:r w:rsidRPr="00450747">
              <w:t xml:space="preserve"> straight-line depreciation</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44.1</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49.0</w:t>
            </w:r>
          </w:p>
        </w:tc>
        <w:tc>
          <w:tcPr>
            <w:tcW w:w="993"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50.2</w:t>
            </w:r>
          </w:p>
        </w:tc>
        <w:tc>
          <w:tcPr>
            <w:tcW w:w="992"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52.4</w:t>
            </w:r>
          </w:p>
        </w:tc>
        <w:tc>
          <w:tcPr>
            <w:tcW w:w="930" w:type="dxa"/>
            <w:vAlign w:val="bottom"/>
          </w:tcPr>
          <w:p w:rsidR="00450747" w:rsidRPr="00450747" w:rsidRDefault="00450747" w:rsidP="00450747">
            <w:pPr>
              <w:cnfStyle w:val="000000010000" w:firstRow="0" w:lastRow="0" w:firstColumn="0" w:lastColumn="0" w:oddVBand="0" w:evenVBand="0" w:oddHBand="0" w:evenHBand="1" w:firstRowFirstColumn="0" w:firstRowLastColumn="0" w:lastRowFirstColumn="0" w:lastRowLastColumn="0"/>
            </w:pPr>
            <w:r w:rsidRPr="00450747">
              <w:t>53.1</w:t>
            </w:r>
          </w:p>
        </w:tc>
      </w:tr>
      <w:tr w:rsidR="00450747" w:rsidRPr="005F5093" w:rsidTr="00525338">
        <w:tc>
          <w:tcPr>
            <w:cnfStyle w:val="001000000000" w:firstRow="0" w:lastRow="0" w:firstColumn="1" w:lastColumn="0" w:oddVBand="0" w:evenVBand="0" w:oddHBand="0" w:evenHBand="0" w:firstRowFirstColumn="0" w:firstRowLastColumn="0" w:lastRowFirstColumn="0" w:lastRowLastColumn="0"/>
            <w:tcW w:w="3794" w:type="dxa"/>
          </w:tcPr>
          <w:p w:rsidR="00450747" w:rsidRPr="005F5093" w:rsidRDefault="00450747" w:rsidP="00450747">
            <w:pPr>
              <w:rPr>
                <w:rStyle w:val="Strong"/>
              </w:rPr>
            </w:pPr>
            <w:r w:rsidRPr="005F5093">
              <w:rPr>
                <w:rStyle w:val="Strong"/>
              </w:rPr>
              <w:t>Closing RAB</w:t>
            </w:r>
          </w:p>
        </w:tc>
        <w:tc>
          <w:tcPr>
            <w:tcW w:w="992" w:type="dxa"/>
            <w:vAlign w:val="bottom"/>
          </w:tcPr>
          <w:p w:rsidR="00450747" w:rsidRPr="005F5093"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734.0</w:t>
            </w:r>
          </w:p>
        </w:tc>
        <w:tc>
          <w:tcPr>
            <w:tcW w:w="992" w:type="dxa"/>
            <w:vAlign w:val="bottom"/>
          </w:tcPr>
          <w:p w:rsidR="00450747" w:rsidRPr="005F5093"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758.5</w:t>
            </w:r>
          </w:p>
        </w:tc>
        <w:tc>
          <w:tcPr>
            <w:tcW w:w="993" w:type="dxa"/>
            <w:vAlign w:val="bottom"/>
          </w:tcPr>
          <w:p w:rsidR="00450747" w:rsidRPr="005F5093"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782.8</w:t>
            </w:r>
          </w:p>
        </w:tc>
        <w:tc>
          <w:tcPr>
            <w:tcW w:w="992" w:type="dxa"/>
            <w:vAlign w:val="bottom"/>
          </w:tcPr>
          <w:p w:rsidR="00450747" w:rsidRPr="005F5093"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803.9</w:t>
            </w:r>
          </w:p>
        </w:tc>
        <w:tc>
          <w:tcPr>
            <w:tcW w:w="930" w:type="dxa"/>
            <w:vAlign w:val="bottom"/>
          </w:tcPr>
          <w:p w:rsidR="00450747" w:rsidRPr="005F5093" w:rsidRDefault="00450747" w:rsidP="00450747">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831.7</w:t>
            </w:r>
          </w:p>
        </w:tc>
      </w:tr>
    </w:tbl>
    <w:p w:rsidR="0057193F" w:rsidRDefault="005B5BBC" w:rsidP="0057193F">
      <w:pPr>
        <w:pStyle w:val="AERtablesource"/>
      </w:pPr>
      <w:r>
        <w:t>Source:</w:t>
      </w:r>
      <w:r>
        <w:tab/>
      </w:r>
      <w:proofErr w:type="spellStart"/>
      <w:r>
        <w:t>ActewAGL</w:t>
      </w:r>
      <w:proofErr w:type="spellEnd"/>
      <w:r>
        <w:t xml:space="preserve">, </w:t>
      </w:r>
      <w:r w:rsidR="00670B84" w:rsidRPr="00397C5A">
        <w:rPr>
          <w:rStyle w:val="AERtextitalic"/>
        </w:rPr>
        <w:t>R</w:t>
      </w:r>
      <w:r w:rsidRPr="00397C5A">
        <w:rPr>
          <w:rStyle w:val="AERtextitalic"/>
        </w:rPr>
        <w:t>egulatory proposal</w:t>
      </w:r>
      <w:r>
        <w:t>, January 2015, Attachment H</w:t>
      </w:r>
      <w:r w:rsidR="00D465C1">
        <w:t>8</w:t>
      </w:r>
      <w:r>
        <w:t>.</w:t>
      </w:r>
      <w:r w:rsidR="0057193F" w:rsidRPr="0057193F">
        <w:t xml:space="preserve"> </w:t>
      </w:r>
    </w:p>
    <w:p w:rsidR="0057193F" w:rsidRDefault="0057193F" w:rsidP="0057193F">
      <w:pPr>
        <w:pStyle w:val="AERtablesource"/>
      </w:pPr>
      <w:r>
        <w:t>(a)</w:t>
      </w:r>
      <w:r>
        <w:tab/>
        <w:t>Net of forecast disposals and capital contributions.</w:t>
      </w:r>
    </w:p>
    <w:p w:rsidR="005B5BBC" w:rsidRPr="005B5BBC" w:rsidRDefault="005B5BBC" w:rsidP="005B5BBC">
      <w:pPr>
        <w:pStyle w:val="Caption"/>
      </w:pPr>
      <w:bookmarkStart w:id="20" w:name="_Ref413240837"/>
      <w:proofErr w:type="gramStart"/>
      <w:r>
        <w:t xml:space="preserve">Table </w:t>
      </w:r>
      <w:r w:rsidR="008B5586">
        <w:fldChar w:fldCharType="begin"/>
      </w:r>
      <w:r w:rsidR="008B5586">
        <w:instrText xml:space="preserve"> STYLEREF 1 \s </w:instrText>
      </w:r>
      <w:r w:rsidR="008B5586">
        <w:fldChar w:fldCharType="separate"/>
      </w:r>
      <w:r w:rsidR="00DA7E75">
        <w:rPr>
          <w:noProof/>
        </w:rPr>
        <w:t>2</w:t>
      </w:r>
      <w:r w:rsidR="008B5586">
        <w:rPr>
          <w:noProof/>
        </w:rPr>
        <w:fldChar w:fldCharType="end"/>
      </w:r>
      <w:r w:rsidR="00DA7E75">
        <w:t>.</w:t>
      </w:r>
      <w:proofErr w:type="gramEnd"/>
      <w:r w:rsidR="008B5586">
        <w:fldChar w:fldCharType="begin"/>
      </w:r>
      <w:r w:rsidR="008B5586">
        <w:instrText xml:space="preserve"> SEQ Table \* ARABIC \s 1 </w:instrText>
      </w:r>
      <w:r w:rsidR="008B5586">
        <w:fldChar w:fldCharType="separate"/>
      </w:r>
      <w:r w:rsidR="00DA7E75">
        <w:rPr>
          <w:noProof/>
        </w:rPr>
        <w:t>6</w:t>
      </w:r>
      <w:r w:rsidR="008B5586">
        <w:rPr>
          <w:noProof/>
        </w:rPr>
        <w:fldChar w:fldCharType="end"/>
      </w:r>
      <w:bookmarkEnd w:id="20"/>
      <w:r>
        <w:tab/>
      </w:r>
      <w:proofErr w:type="spellStart"/>
      <w:r>
        <w:t>ActewAGL's</w:t>
      </w:r>
      <w:proofErr w:type="spellEnd"/>
      <w:r>
        <w:t xml:space="preserve"> proposed RAB for the 2014–19 period ($ million, nominal) </w:t>
      </w:r>
      <w:r w:rsidR="0057193F">
        <w:t>–</w:t>
      </w:r>
      <w:r>
        <w:t xml:space="preserve"> transmission</w:t>
      </w:r>
    </w:p>
    <w:tbl>
      <w:tblPr>
        <w:tblStyle w:val="AERtable-numbers"/>
        <w:tblW w:w="0" w:type="auto"/>
        <w:tblLook w:val="04A0" w:firstRow="1" w:lastRow="0" w:firstColumn="1" w:lastColumn="0" w:noHBand="0" w:noVBand="1"/>
      </w:tblPr>
      <w:tblGrid>
        <w:gridCol w:w="3794"/>
        <w:gridCol w:w="992"/>
        <w:gridCol w:w="992"/>
        <w:gridCol w:w="993"/>
        <w:gridCol w:w="992"/>
        <w:gridCol w:w="930"/>
      </w:tblGrid>
      <w:tr w:rsidR="005B5BBC" w:rsidTr="004C2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5B5BBC" w:rsidRDefault="005B5BBC" w:rsidP="005B5BBC"/>
        </w:tc>
        <w:tc>
          <w:tcPr>
            <w:tcW w:w="992" w:type="dxa"/>
          </w:tcPr>
          <w:p w:rsidR="005B5BBC" w:rsidRPr="005B5BBC" w:rsidRDefault="005B5BBC" w:rsidP="00397C5A">
            <w:pPr>
              <w:cnfStyle w:val="100000000000" w:firstRow="1" w:lastRow="0" w:firstColumn="0" w:lastColumn="0" w:oddVBand="0" w:evenVBand="0" w:oddHBand="0" w:evenHBand="0" w:firstRowFirstColumn="0" w:firstRowLastColumn="0" w:lastRowFirstColumn="0" w:lastRowLastColumn="0"/>
            </w:pPr>
            <w:r>
              <w:t>20</w:t>
            </w:r>
            <w:r w:rsidR="00397C5A">
              <w:t>14</w:t>
            </w:r>
            <w:r>
              <w:t>–1</w:t>
            </w:r>
            <w:r w:rsidR="00397C5A">
              <w:t>5</w:t>
            </w:r>
          </w:p>
        </w:tc>
        <w:tc>
          <w:tcPr>
            <w:tcW w:w="992" w:type="dxa"/>
          </w:tcPr>
          <w:p w:rsidR="005B5BBC" w:rsidRPr="005B5BBC" w:rsidRDefault="005B5BBC" w:rsidP="00397C5A">
            <w:pPr>
              <w:cnfStyle w:val="100000000000" w:firstRow="1" w:lastRow="0" w:firstColumn="0" w:lastColumn="0" w:oddVBand="0" w:evenVBand="0" w:oddHBand="0" w:evenHBand="0" w:firstRowFirstColumn="0" w:firstRowLastColumn="0" w:lastRowFirstColumn="0" w:lastRowLastColumn="0"/>
            </w:pPr>
            <w:r>
              <w:t>201</w:t>
            </w:r>
            <w:r w:rsidR="00397C5A">
              <w:t>5</w:t>
            </w:r>
            <w:r>
              <w:t>–1</w:t>
            </w:r>
            <w:r w:rsidR="00397C5A">
              <w:t>6</w:t>
            </w:r>
          </w:p>
        </w:tc>
        <w:tc>
          <w:tcPr>
            <w:tcW w:w="993" w:type="dxa"/>
          </w:tcPr>
          <w:p w:rsidR="005B5BBC" w:rsidRPr="005B5BBC" w:rsidRDefault="005B5BBC" w:rsidP="00397C5A">
            <w:pPr>
              <w:cnfStyle w:val="100000000000" w:firstRow="1" w:lastRow="0" w:firstColumn="0" w:lastColumn="0" w:oddVBand="0" w:evenVBand="0" w:oddHBand="0" w:evenHBand="0" w:firstRowFirstColumn="0" w:firstRowLastColumn="0" w:lastRowFirstColumn="0" w:lastRowLastColumn="0"/>
            </w:pPr>
            <w:r>
              <w:t>201</w:t>
            </w:r>
            <w:r w:rsidR="00397C5A">
              <w:t>6</w:t>
            </w:r>
            <w:r>
              <w:t>–1</w:t>
            </w:r>
            <w:r w:rsidR="00397C5A">
              <w:t>7</w:t>
            </w:r>
          </w:p>
        </w:tc>
        <w:tc>
          <w:tcPr>
            <w:tcW w:w="992" w:type="dxa"/>
          </w:tcPr>
          <w:p w:rsidR="005B5BBC" w:rsidRPr="005B5BBC" w:rsidRDefault="005B5BBC" w:rsidP="00397C5A">
            <w:pPr>
              <w:cnfStyle w:val="100000000000" w:firstRow="1" w:lastRow="0" w:firstColumn="0" w:lastColumn="0" w:oddVBand="0" w:evenVBand="0" w:oddHBand="0" w:evenHBand="0" w:firstRowFirstColumn="0" w:firstRowLastColumn="0" w:lastRowFirstColumn="0" w:lastRowLastColumn="0"/>
            </w:pPr>
            <w:r>
              <w:t>201</w:t>
            </w:r>
            <w:r w:rsidR="00397C5A">
              <w:t>7</w:t>
            </w:r>
            <w:r>
              <w:t>–1</w:t>
            </w:r>
            <w:r w:rsidR="00397C5A">
              <w:t>8</w:t>
            </w:r>
          </w:p>
        </w:tc>
        <w:tc>
          <w:tcPr>
            <w:tcW w:w="930" w:type="dxa"/>
          </w:tcPr>
          <w:p w:rsidR="005B5BBC" w:rsidRPr="005B5BBC" w:rsidRDefault="005B5BBC" w:rsidP="00397C5A">
            <w:pPr>
              <w:cnfStyle w:val="100000000000" w:firstRow="1" w:lastRow="0" w:firstColumn="0" w:lastColumn="0" w:oddVBand="0" w:evenVBand="0" w:oddHBand="0" w:evenHBand="0" w:firstRowFirstColumn="0" w:firstRowLastColumn="0" w:lastRowFirstColumn="0" w:lastRowLastColumn="0"/>
            </w:pPr>
            <w:r>
              <w:t>201</w:t>
            </w:r>
            <w:r w:rsidR="00397C5A">
              <w:t>8</w:t>
            </w:r>
            <w:r>
              <w:t>–1</w:t>
            </w:r>
            <w:r w:rsidR="00397C5A">
              <w:t>9</w:t>
            </w:r>
          </w:p>
        </w:tc>
      </w:tr>
      <w:tr w:rsidR="005B5BBC" w:rsidTr="004C20D0">
        <w:tc>
          <w:tcPr>
            <w:cnfStyle w:val="001000000000" w:firstRow="0" w:lastRow="0" w:firstColumn="1" w:lastColumn="0" w:oddVBand="0" w:evenVBand="0" w:oddHBand="0" w:evenHBand="0" w:firstRowFirstColumn="0" w:firstRowLastColumn="0" w:lastRowFirstColumn="0" w:lastRowLastColumn="0"/>
            <w:tcW w:w="3794" w:type="dxa"/>
          </w:tcPr>
          <w:p w:rsidR="005B5BBC" w:rsidRPr="005B5BBC" w:rsidRDefault="005B5BBC" w:rsidP="005B5BBC">
            <w:r>
              <w:t>Opening RAB</w:t>
            </w:r>
          </w:p>
        </w:tc>
        <w:tc>
          <w:tcPr>
            <w:tcW w:w="992" w:type="dxa"/>
          </w:tcPr>
          <w:p w:rsidR="005B5BBC" w:rsidRDefault="00D465C1" w:rsidP="00397C5A">
            <w:pPr>
              <w:cnfStyle w:val="000000000000" w:firstRow="0" w:lastRow="0" w:firstColumn="0" w:lastColumn="0" w:oddVBand="0" w:evenVBand="0" w:oddHBand="0" w:evenHBand="0" w:firstRowFirstColumn="0" w:firstRowLastColumn="0" w:lastRowFirstColumn="0" w:lastRowLastColumn="0"/>
            </w:pPr>
            <w:r>
              <w:t>154.</w:t>
            </w:r>
            <w:r w:rsidR="00397C5A">
              <w:t>0</w:t>
            </w:r>
          </w:p>
        </w:tc>
        <w:tc>
          <w:tcPr>
            <w:tcW w:w="992" w:type="dxa"/>
          </w:tcPr>
          <w:p w:rsidR="005B5BBC" w:rsidRDefault="00D465C1" w:rsidP="00397C5A">
            <w:pPr>
              <w:cnfStyle w:val="000000000000" w:firstRow="0" w:lastRow="0" w:firstColumn="0" w:lastColumn="0" w:oddVBand="0" w:evenVBand="0" w:oddHBand="0" w:evenHBand="0" w:firstRowFirstColumn="0" w:firstRowLastColumn="0" w:lastRowFirstColumn="0" w:lastRowLastColumn="0"/>
            </w:pPr>
            <w:r>
              <w:t>161.</w:t>
            </w:r>
            <w:r w:rsidR="00397C5A">
              <w:t>6</w:t>
            </w:r>
          </w:p>
        </w:tc>
        <w:tc>
          <w:tcPr>
            <w:tcW w:w="993" w:type="dxa"/>
          </w:tcPr>
          <w:p w:rsidR="005B5BBC" w:rsidRDefault="00D465C1" w:rsidP="00397C5A">
            <w:pPr>
              <w:cnfStyle w:val="000000000000" w:firstRow="0" w:lastRow="0" w:firstColumn="0" w:lastColumn="0" w:oddVBand="0" w:evenVBand="0" w:oddHBand="0" w:evenHBand="0" w:firstRowFirstColumn="0" w:firstRowLastColumn="0" w:lastRowFirstColumn="0" w:lastRowLastColumn="0"/>
            </w:pPr>
            <w:r>
              <w:t>1</w:t>
            </w:r>
            <w:r w:rsidR="00397C5A">
              <w:t>69.2</w:t>
            </w:r>
          </w:p>
        </w:tc>
        <w:tc>
          <w:tcPr>
            <w:tcW w:w="992" w:type="dxa"/>
          </w:tcPr>
          <w:p w:rsidR="005B5BBC" w:rsidRDefault="00397C5A" w:rsidP="00397C5A">
            <w:pPr>
              <w:cnfStyle w:val="000000000000" w:firstRow="0" w:lastRow="0" w:firstColumn="0" w:lastColumn="0" w:oddVBand="0" w:evenVBand="0" w:oddHBand="0" w:evenHBand="0" w:firstRowFirstColumn="0" w:firstRowLastColumn="0" w:lastRowFirstColumn="0" w:lastRowLastColumn="0"/>
            </w:pPr>
            <w:r>
              <w:t>188.1</w:t>
            </w:r>
          </w:p>
        </w:tc>
        <w:tc>
          <w:tcPr>
            <w:tcW w:w="930" w:type="dxa"/>
          </w:tcPr>
          <w:p w:rsidR="005B5BBC" w:rsidRDefault="00D465C1" w:rsidP="00397C5A">
            <w:pPr>
              <w:cnfStyle w:val="000000000000" w:firstRow="0" w:lastRow="0" w:firstColumn="0" w:lastColumn="0" w:oddVBand="0" w:evenVBand="0" w:oddHBand="0" w:evenHBand="0" w:firstRowFirstColumn="0" w:firstRowLastColumn="0" w:lastRowFirstColumn="0" w:lastRowLastColumn="0"/>
            </w:pPr>
            <w:r>
              <w:t>2</w:t>
            </w:r>
            <w:r w:rsidR="00397C5A">
              <w:t>07.0</w:t>
            </w:r>
          </w:p>
        </w:tc>
      </w:tr>
      <w:tr w:rsidR="005B5BBC" w:rsidTr="004C20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5B5BBC" w:rsidRPr="005B5BBC" w:rsidRDefault="005B5BBC" w:rsidP="005B5BBC">
            <w:r>
              <w:t>Capital expenditure</w:t>
            </w:r>
            <w:r w:rsidRPr="005B5BBC">
              <w:rPr>
                <w:rStyle w:val="AERsuperscript"/>
              </w:rPr>
              <w:t>a</w:t>
            </w:r>
          </w:p>
        </w:tc>
        <w:tc>
          <w:tcPr>
            <w:tcW w:w="992" w:type="dxa"/>
          </w:tcPr>
          <w:p w:rsidR="005B5BBC" w:rsidRDefault="00D465C1" w:rsidP="005B5BBC">
            <w:pPr>
              <w:cnfStyle w:val="000000010000" w:firstRow="0" w:lastRow="0" w:firstColumn="0" w:lastColumn="0" w:oddVBand="0" w:evenVBand="0" w:oddHBand="0" w:evenHBand="1" w:firstRowFirstColumn="0" w:firstRowLastColumn="0" w:lastRowFirstColumn="0" w:lastRowLastColumn="0"/>
            </w:pPr>
            <w:r>
              <w:t>11.8</w:t>
            </w:r>
          </w:p>
        </w:tc>
        <w:tc>
          <w:tcPr>
            <w:tcW w:w="992"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12.6</w:t>
            </w:r>
          </w:p>
        </w:tc>
        <w:tc>
          <w:tcPr>
            <w:tcW w:w="993"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24.2</w:t>
            </w:r>
          </w:p>
        </w:tc>
        <w:tc>
          <w:tcPr>
            <w:tcW w:w="992"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24.5</w:t>
            </w:r>
          </w:p>
        </w:tc>
        <w:tc>
          <w:tcPr>
            <w:tcW w:w="930"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12.7</w:t>
            </w:r>
          </w:p>
        </w:tc>
      </w:tr>
      <w:tr w:rsidR="005B5BBC" w:rsidTr="004C20D0">
        <w:tc>
          <w:tcPr>
            <w:cnfStyle w:val="001000000000" w:firstRow="0" w:lastRow="0" w:firstColumn="1" w:lastColumn="0" w:oddVBand="0" w:evenVBand="0" w:oddHBand="0" w:evenHBand="0" w:firstRowFirstColumn="0" w:firstRowLastColumn="0" w:lastRowFirstColumn="0" w:lastRowLastColumn="0"/>
            <w:tcW w:w="3794" w:type="dxa"/>
          </w:tcPr>
          <w:p w:rsidR="005B5BBC" w:rsidRPr="005B5BBC" w:rsidRDefault="005B5BBC" w:rsidP="005B5BBC">
            <w:r>
              <w:t>Inflation indexation on opening RAB</w:t>
            </w:r>
          </w:p>
        </w:tc>
        <w:tc>
          <w:tcPr>
            <w:tcW w:w="992" w:type="dxa"/>
          </w:tcPr>
          <w:p w:rsidR="005B5BBC" w:rsidRDefault="00D465C1" w:rsidP="005B5BBC">
            <w:pPr>
              <w:cnfStyle w:val="000000000000" w:firstRow="0" w:lastRow="0" w:firstColumn="0" w:lastColumn="0" w:oddVBand="0" w:evenVBand="0" w:oddHBand="0" w:evenHBand="0" w:firstRowFirstColumn="0" w:firstRowLastColumn="0" w:lastRowFirstColumn="0" w:lastRowLastColumn="0"/>
            </w:pPr>
            <w:r>
              <w:t>3.9</w:t>
            </w:r>
          </w:p>
        </w:tc>
        <w:tc>
          <w:tcPr>
            <w:tcW w:w="992" w:type="dxa"/>
          </w:tcPr>
          <w:p w:rsidR="005B5BBC" w:rsidRDefault="00397C5A" w:rsidP="005B5BBC">
            <w:pPr>
              <w:cnfStyle w:val="000000000000" w:firstRow="0" w:lastRow="0" w:firstColumn="0" w:lastColumn="0" w:oddVBand="0" w:evenVBand="0" w:oddHBand="0" w:evenHBand="0" w:firstRowFirstColumn="0" w:firstRowLastColumn="0" w:lastRowFirstColumn="0" w:lastRowLastColumn="0"/>
            </w:pPr>
            <w:r>
              <w:t>4.0</w:t>
            </w:r>
          </w:p>
        </w:tc>
        <w:tc>
          <w:tcPr>
            <w:tcW w:w="993" w:type="dxa"/>
          </w:tcPr>
          <w:p w:rsidR="005B5BBC" w:rsidRDefault="00397C5A" w:rsidP="005B5BBC">
            <w:pPr>
              <w:cnfStyle w:val="000000000000" w:firstRow="0" w:lastRow="0" w:firstColumn="0" w:lastColumn="0" w:oddVBand="0" w:evenVBand="0" w:oddHBand="0" w:evenHBand="0" w:firstRowFirstColumn="0" w:firstRowLastColumn="0" w:lastRowFirstColumn="0" w:lastRowLastColumn="0"/>
            </w:pPr>
            <w:r>
              <w:t>4.2</w:t>
            </w:r>
          </w:p>
        </w:tc>
        <w:tc>
          <w:tcPr>
            <w:tcW w:w="992" w:type="dxa"/>
          </w:tcPr>
          <w:p w:rsidR="005B5BBC" w:rsidRDefault="00397C5A" w:rsidP="005B5BBC">
            <w:pPr>
              <w:cnfStyle w:val="000000000000" w:firstRow="0" w:lastRow="0" w:firstColumn="0" w:lastColumn="0" w:oddVBand="0" w:evenVBand="0" w:oddHBand="0" w:evenHBand="0" w:firstRowFirstColumn="0" w:firstRowLastColumn="0" w:lastRowFirstColumn="0" w:lastRowLastColumn="0"/>
            </w:pPr>
            <w:r>
              <w:t>4.7</w:t>
            </w:r>
          </w:p>
        </w:tc>
        <w:tc>
          <w:tcPr>
            <w:tcW w:w="930" w:type="dxa"/>
          </w:tcPr>
          <w:p w:rsidR="005B5BBC" w:rsidRDefault="00397C5A" w:rsidP="005B5BBC">
            <w:pPr>
              <w:cnfStyle w:val="000000000000" w:firstRow="0" w:lastRow="0" w:firstColumn="0" w:lastColumn="0" w:oddVBand="0" w:evenVBand="0" w:oddHBand="0" w:evenHBand="0" w:firstRowFirstColumn="0" w:firstRowLastColumn="0" w:lastRowFirstColumn="0" w:lastRowLastColumn="0"/>
            </w:pPr>
            <w:r>
              <w:t>5.2</w:t>
            </w:r>
          </w:p>
        </w:tc>
      </w:tr>
      <w:tr w:rsidR="005B5BBC" w:rsidTr="004C20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5B5BBC" w:rsidRPr="005B5BBC" w:rsidRDefault="005B5BBC" w:rsidP="005B5BBC">
            <w:r w:rsidRPr="004C02E8">
              <w:rPr>
                <w:rStyle w:val="AERtextitalic"/>
              </w:rPr>
              <w:t>Less:</w:t>
            </w:r>
            <w:r w:rsidRPr="005B5BBC">
              <w:t xml:space="preserve"> straight-line depreciation</w:t>
            </w:r>
          </w:p>
        </w:tc>
        <w:tc>
          <w:tcPr>
            <w:tcW w:w="992"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8.0</w:t>
            </w:r>
          </w:p>
        </w:tc>
        <w:tc>
          <w:tcPr>
            <w:tcW w:w="992"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9.0</w:t>
            </w:r>
          </w:p>
        </w:tc>
        <w:tc>
          <w:tcPr>
            <w:tcW w:w="993"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9.5</w:t>
            </w:r>
          </w:p>
        </w:tc>
        <w:tc>
          <w:tcPr>
            <w:tcW w:w="992"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10.4</w:t>
            </w:r>
          </w:p>
        </w:tc>
        <w:tc>
          <w:tcPr>
            <w:tcW w:w="930" w:type="dxa"/>
          </w:tcPr>
          <w:p w:rsidR="005B5BBC" w:rsidRDefault="00397C5A" w:rsidP="005B5BBC">
            <w:pPr>
              <w:cnfStyle w:val="000000010000" w:firstRow="0" w:lastRow="0" w:firstColumn="0" w:lastColumn="0" w:oddVBand="0" w:evenVBand="0" w:oddHBand="0" w:evenHBand="1" w:firstRowFirstColumn="0" w:firstRowLastColumn="0" w:lastRowFirstColumn="0" w:lastRowLastColumn="0"/>
            </w:pPr>
            <w:r>
              <w:t>11.1</w:t>
            </w:r>
          </w:p>
        </w:tc>
      </w:tr>
      <w:tr w:rsidR="005B5BBC" w:rsidRPr="005F5093" w:rsidTr="004C20D0">
        <w:tc>
          <w:tcPr>
            <w:cnfStyle w:val="001000000000" w:firstRow="0" w:lastRow="0" w:firstColumn="1" w:lastColumn="0" w:oddVBand="0" w:evenVBand="0" w:oddHBand="0" w:evenHBand="0" w:firstRowFirstColumn="0" w:firstRowLastColumn="0" w:lastRowFirstColumn="0" w:lastRowLastColumn="0"/>
            <w:tcW w:w="3794" w:type="dxa"/>
          </w:tcPr>
          <w:p w:rsidR="005B5BBC" w:rsidRPr="005F5093" w:rsidRDefault="005B5BBC" w:rsidP="005B5BBC">
            <w:pPr>
              <w:rPr>
                <w:rStyle w:val="Strong"/>
              </w:rPr>
            </w:pPr>
            <w:r w:rsidRPr="005F5093">
              <w:rPr>
                <w:rStyle w:val="Strong"/>
              </w:rPr>
              <w:t>Closing RAB</w:t>
            </w:r>
          </w:p>
        </w:tc>
        <w:tc>
          <w:tcPr>
            <w:tcW w:w="992" w:type="dxa"/>
          </w:tcPr>
          <w:p w:rsidR="005B5BBC" w:rsidRPr="005F5093" w:rsidRDefault="00D465C1" w:rsidP="00397C5A">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161.</w:t>
            </w:r>
            <w:r w:rsidR="00397C5A" w:rsidRPr="005F5093">
              <w:rPr>
                <w:rStyle w:val="Strong"/>
              </w:rPr>
              <w:t>6</w:t>
            </w:r>
          </w:p>
        </w:tc>
        <w:tc>
          <w:tcPr>
            <w:tcW w:w="992" w:type="dxa"/>
          </w:tcPr>
          <w:p w:rsidR="005B5BBC" w:rsidRPr="005F5093" w:rsidRDefault="00D465C1" w:rsidP="00397C5A">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1</w:t>
            </w:r>
            <w:r w:rsidR="00397C5A" w:rsidRPr="005F5093">
              <w:rPr>
                <w:rStyle w:val="Strong"/>
              </w:rPr>
              <w:t>69.2</w:t>
            </w:r>
          </w:p>
        </w:tc>
        <w:tc>
          <w:tcPr>
            <w:tcW w:w="993" w:type="dxa"/>
          </w:tcPr>
          <w:p w:rsidR="005B5BBC" w:rsidRPr="005F5093" w:rsidRDefault="00397C5A" w:rsidP="005B5BBC">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188.1</w:t>
            </w:r>
          </w:p>
        </w:tc>
        <w:tc>
          <w:tcPr>
            <w:tcW w:w="992" w:type="dxa"/>
          </w:tcPr>
          <w:p w:rsidR="005B5BBC" w:rsidRPr="005F5093" w:rsidRDefault="00397C5A" w:rsidP="005B5BBC">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207.0</w:t>
            </w:r>
          </w:p>
        </w:tc>
        <w:tc>
          <w:tcPr>
            <w:tcW w:w="930" w:type="dxa"/>
          </w:tcPr>
          <w:p w:rsidR="005B5BBC" w:rsidRPr="005F5093" w:rsidRDefault="00397C5A" w:rsidP="005B5BBC">
            <w:pPr>
              <w:cnfStyle w:val="000000000000" w:firstRow="0" w:lastRow="0" w:firstColumn="0" w:lastColumn="0" w:oddVBand="0" w:evenVBand="0" w:oddHBand="0" w:evenHBand="0" w:firstRowFirstColumn="0" w:firstRowLastColumn="0" w:lastRowFirstColumn="0" w:lastRowLastColumn="0"/>
              <w:rPr>
                <w:rStyle w:val="Strong"/>
              </w:rPr>
            </w:pPr>
            <w:r w:rsidRPr="005F5093">
              <w:rPr>
                <w:rStyle w:val="Strong"/>
              </w:rPr>
              <w:t>213.8</w:t>
            </w:r>
          </w:p>
        </w:tc>
      </w:tr>
    </w:tbl>
    <w:p w:rsidR="0057193F" w:rsidRDefault="00670B84" w:rsidP="0057193F">
      <w:pPr>
        <w:pStyle w:val="AERtablesource"/>
      </w:pPr>
      <w:r w:rsidRPr="00670B84">
        <w:t>Source:</w:t>
      </w:r>
      <w:r w:rsidRPr="00670B84">
        <w:tab/>
      </w:r>
      <w:proofErr w:type="spellStart"/>
      <w:r w:rsidRPr="00670B84">
        <w:t>ActewAGL</w:t>
      </w:r>
      <w:proofErr w:type="spellEnd"/>
      <w:r w:rsidRPr="00670B84">
        <w:t xml:space="preserve">, </w:t>
      </w:r>
      <w:r w:rsidRPr="00397C5A">
        <w:rPr>
          <w:rStyle w:val="AERtextitalic"/>
        </w:rPr>
        <w:t>Regulatory proposal</w:t>
      </w:r>
      <w:r w:rsidRPr="00670B84">
        <w:t>, January 2015, Attachment H</w:t>
      </w:r>
      <w:r w:rsidR="00D465C1">
        <w:t>9</w:t>
      </w:r>
      <w:r w:rsidRPr="00670B84">
        <w:t>.</w:t>
      </w:r>
      <w:r w:rsidR="0057193F">
        <w:t xml:space="preserve"> </w:t>
      </w:r>
    </w:p>
    <w:p w:rsidR="005B5BBC" w:rsidRDefault="0057193F" w:rsidP="00670B84">
      <w:pPr>
        <w:pStyle w:val="AERtablesource"/>
      </w:pPr>
      <w:r>
        <w:t>(a)</w:t>
      </w:r>
      <w:r>
        <w:tab/>
        <w:t>Net of forecast disposals and capital contributions.</w:t>
      </w:r>
    </w:p>
    <w:p w:rsidR="00DE563D" w:rsidRDefault="00DE563D" w:rsidP="001754EE">
      <w:pPr>
        <w:pStyle w:val="Heading2"/>
      </w:pPr>
      <w:bookmarkStart w:id="21" w:name="_Toc403144138"/>
      <w:bookmarkStart w:id="22" w:name="_Toc413316495"/>
      <w:r w:rsidRPr="001754EE">
        <w:t>AER’s</w:t>
      </w:r>
      <w:r>
        <w:t xml:space="preserve"> assessment approach</w:t>
      </w:r>
      <w:bookmarkEnd w:id="21"/>
      <w:bookmarkEnd w:id="22"/>
    </w:p>
    <w:p w:rsidR="002C233C" w:rsidRDefault="00D465C1" w:rsidP="002C233C">
      <w:r w:rsidRPr="00D465C1">
        <w:t>We did not change our assessment approach for the RAB from our draft decision. Section 2.3 of our draft decision details that approach</w:t>
      </w:r>
      <w:r>
        <w:t>.</w:t>
      </w:r>
      <w:r>
        <w:rPr>
          <w:rStyle w:val="FootnoteReference"/>
        </w:rPr>
        <w:footnoteReference w:id="5"/>
      </w:r>
    </w:p>
    <w:p w:rsidR="00DE563D" w:rsidRDefault="00DE563D" w:rsidP="001754EE">
      <w:pPr>
        <w:pStyle w:val="Heading2"/>
      </w:pPr>
      <w:bookmarkStart w:id="23" w:name="_Toc403144140"/>
      <w:bookmarkStart w:id="24" w:name="_Toc413316496"/>
      <w:r w:rsidRPr="001754EE">
        <w:t>Reasons</w:t>
      </w:r>
      <w:r>
        <w:t xml:space="preserve"> for </w:t>
      </w:r>
      <w:r w:rsidR="002016E7">
        <w:t>final</w:t>
      </w:r>
      <w:r>
        <w:t xml:space="preserve"> decision</w:t>
      </w:r>
      <w:bookmarkEnd w:id="23"/>
      <w:bookmarkEnd w:id="24"/>
      <w:r>
        <w:t xml:space="preserve"> </w:t>
      </w:r>
    </w:p>
    <w:p w:rsidR="002036DF" w:rsidRPr="002036DF" w:rsidRDefault="002036DF" w:rsidP="002036DF">
      <w:r w:rsidRPr="002036DF">
        <w:t>We accept A</w:t>
      </w:r>
      <w:r>
        <w:t>ctewAGL'</w:t>
      </w:r>
      <w:r w:rsidRPr="002036DF">
        <w:t>s revised proposed opening distribution and transmission RABs of $</w:t>
      </w:r>
      <w:r>
        <w:t>69</w:t>
      </w:r>
      <w:r w:rsidR="00450747">
        <w:t>3.5</w:t>
      </w:r>
      <w:r w:rsidRPr="002036DF">
        <w:t xml:space="preserve"> million and $</w:t>
      </w:r>
      <w:r>
        <w:t>154.</w:t>
      </w:r>
      <w:r w:rsidR="00450747">
        <w:t>0</w:t>
      </w:r>
      <w:r w:rsidRPr="002036DF">
        <w:t xml:space="preserve"> million ($ nominal) respectively, as at 1 July 2014. </w:t>
      </w:r>
    </w:p>
    <w:p w:rsidR="00DA7E75" w:rsidRDefault="002036DF" w:rsidP="002036DF">
      <w:r w:rsidRPr="002036DF">
        <w:t>Based on these approved opening RABs we forecast A</w:t>
      </w:r>
      <w:r>
        <w:t>ctewAGL</w:t>
      </w:r>
      <w:r w:rsidRPr="002036DF">
        <w:t>'s closing distribution and transmission RAB values to be $</w:t>
      </w:r>
      <w:r w:rsidR="00450747">
        <w:t xml:space="preserve">803.8 </w:t>
      </w:r>
      <w:r w:rsidRPr="002036DF">
        <w:t>million and $</w:t>
      </w:r>
      <w:r w:rsidR="00450747">
        <w:t>194.8</w:t>
      </w:r>
      <w:r w:rsidRPr="002036DF">
        <w:t xml:space="preserve"> million ($ nominal) respectively, as at 30 June 2019. Th</w:t>
      </w:r>
      <w:r w:rsidR="0057193F">
        <w:t>e</w:t>
      </w:r>
      <w:r w:rsidRPr="002036DF">
        <w:t>s</w:t>
      </w:r>
      <w:r w:rsidR="0057193F">
        <w:t>e</w:t>
      </w:r>
      <w:r w:rsidRPr="002036DF">
        <w:t xml:space="preserve"> represent reductions of $</w:t>
      </w:r>
      <w:r w:rsidR="008C7CF7">
        <w:t>27.9</w:t>
      </w:r>
      <w:r w:rsidRPr="002036DF">
        <w:t xml:space="preserve"> million or </w:t>
      </w:r>
      <w:r w:rsidR="008C7CF7">
        <w:t>3.4</w:t>
      </w:r>
      <w:r w:rsidRPr="002036DF">
        <w:t xml:space="preserve"> </w:t>
      </w:r>
      <w:r w:rsidRPr="002036DF">
        <w:lastRenderedPageBreak/>
        <w:t>per cent and $</w:t>
      </w:r>
      <w:r w:rsidR="008C7CF7">
        <w:t>19.0</w:t>
      </w:r>
      <w:r w:rsidRPr="002036DF">
        <w:t xml:space="preserve"> million ($ nominal) or </w:t>
      </w:r>
      <w:r w:rsidR="008C7CF7">
        <w:t>8.9</w:t>
      </w:r>
      <w:r w:rsidRPr="002036DF">
        <w:t xml:space="preserve"> per cent compared to </w:t>
      </w:r>
      <w:proofErr w:type="spellStart"/>
      <w:r w:rsidRPr="002036DF">
        <w:t>A</w:t>
      </w:r>
      <w:r>
        <w:t>ctewAGL's</w:t>
      </w:r>
      <w:proofErr w:type="spellEnd"/>
      <w:r w:rsidRPr="002036DF">
        <w:t xml:space="preserve"> revised proposal respectively. The reasons for our decision are discussed below.</w:t>
      </w:r>
    </w:p>
    <w:p w:rsidR="007B186E" w:rsidRDefault="002036DF" w:rsidP="001754EE">
      <w:pPr>
        <w:pStyle w:val="Heading3"/>
      </w:pPr>
      <w:bookmarkStart w:id="25" w:name="_Toc413316497"/>
      <w:r>
        <w:t>Opening RAB as at 1 July 2014</w:t>
      </w:r>
      <w:bookmarkEnd w:id="25"/>
      <w:r w:rsidR="007D456E">
        <w:t xml:space="preserve"> </w:t>
      </w:r>
    </w:p>
    <w:p w:rsidR="002036DF" w:rsidRPr="002036DF" w:rsidRDefault="002036DF" w:rsidP="002036DF">
      <w:r w:rsidRPr="002036DF">
        <w:t>We accept A</w:t>
      </w:r>
      <w:r>
        <w:t>ctewAGL</w:t>
      </w:r>
      <w:r w:rsidRPr="002036DF">
        <w:t>'s revised proposed opening RAB values of $</w:t>
      </w:r>
      <w:r>
        <w:t>69</w:t>
      </w:r>
      <w:r w:rsidR="008C7CF7">
        <w:t>3.5</w:t>
      </w:r>
      <w:r w:rsidRPr="002036DF">
        <w:t xml:space="preserve"> million </w:t>
      </w:r>
      <w:r w:rsidR="000B74AD">
        <w:t>($</w:t>
      </w:r>
      <w:r w:rsidR="005F5093">
        <w:t> </w:t>
      </w:r>
      <w:r w:rsidR="000B74AD">
        <w:t xml:space="preserve">nominal) </w:t>
      </w:r>
      <w:r w:rsidRPr="002036DF">
        <w:t>for its distribution network and $</w:t>
      </w:r>
      <w:r>
        <w:t>154.</w:t>
      </w:r>
      <w:r w:rsidR="008C7CF7">
        <w:t>0</w:t>
      </w:r>
      <w:r w:rsidRPr="002036DF">
        <w:t xml:space="preserve"> million ($ nominal) for its transmission network, as at 1 July 2014.</w:t>
      </w:r>
    </w:p>
    <w:p w:rsidR="002036DF" w:rsidRPr="002036DF" w:rsidRDefault="002036DF" w:rsidP="002036DF">
      <w:r w:rsidRPr="002036DF">
        <w:t xml:space="preserve">In </w:t>
      </w:r>
      <w:r w:rsidR="00EC7555">
        <w:t>the</w:t>
      </w:r>
      <w:r w:rsidRPr="002036DF">
        <w:t xml:space="preserve"> draft decision, we </w:t>
      </w:r>
      <w:r w:rsidR="00066C34">
        <w:t xml:space="preserve">corrected the remaining </w:t>
      </w:r>
      <w:r w:rsidR="008F2E47">
        <w:t xml:space="preserve">asset </w:t>
      </w:r>
      <w:r w:rsidR="00066C34">
        <w:t xml:space="preserve">life </w:t>
      </w:r>
      <w:r w:rsidR="008F2E47">
        <w:t xml:space="preserve">input </w:t>
      </w:r>
      <w:r w:rsidR="00066C34">
        <w:t xml:space="preserve">of the </w:t>
      </w:r>
      <w:r w:rsidR="008F2E47">
        <w:t xml:space="preserve">'Opening distribution assets' </w:t>
      </w:r>
      <w:r w:rsidR="00066C34">
        <w:t xml:space="preserve">asset class used to </w:t>
      </w:r>
      <w:r w:rsidRPr="002036DF">
        <w:t xml:space="preserve">roll forward </w:t>
      </w:r>
      <w:r w:rsidR="00066C34" w:rsidRPr="00066C34">
        <w:t>ActewAGL's</w:t>
      </w:r>
      <w:r w:rsidRPr="002036DF">
        <w:t xml:space="preserve"> distribution and transmission RABs over the 2009–14 regulatory control period. </w:t>
      </w:r>
      <w:r w:rsidR="008F2E47">
        <w:t>We noted the roll forward of ActewAGL's RABs</w:t>
      </w:r>
      <w:r w:rsidR="008F2E47" w:rsidRPr="008914BF">
        <w:t xml:space="preserve"> include</w:t>
      </w:r>
      <w:r w:rsidR="008F2E47">
        <w:t>d</w:t>
      </w:r>
      <w:r w:rsidR="008F2E47" w:rsidRPr="008914BF">
        <w:t xml:space="preserve"> </w:t>
      </w:r>
      <w:r w:rsidRPr="002036DF">
        <w:t>estimate</w:t>
      </w:r>
      <w:r w:rsidR="008F2E47">
        <w:t>d</w:t>
      </w:r>
      <w:r w:rsidRPr="002036DF">
        <w:t xml:space="preserve"> capex </w:t>
      </w:r>
      <w:r w:rsidR="008F2E47">
        <w:t xml:space="preserve">values </w:t>
      </w:r>
      <w:r w:rsidRPr="002036DF">
        <w:t>for 2013–14</w:t>
      </w:r>
      <w:r w:rsidR="008F2E47">
        <w:t xml:space="preserve">. </w:t>
      </w:r>
      <w:r w:rsidR="008F2E47" w:rsidRPr="00516A5D">
        <w:t xml:space="preserve">We </w:t>
      </w:r>
      <w:r w:rsidR="008F2E47">
        <w:t>stated we would</w:t>
      </w:r>
      <w:r w:rsidR="008F2E47" w:rsidRPr="00516A5D">
        <w:t xml:space="preserve"> update the 2013–14 estimated capex value</w:t>
      </w:r>
      <w:r w:rsidR="008F2E47">
        <w:t>s</w:t>
      </w:r>
      <w:r w:rsidR="008F2E47" w:rsidRPr="00516A5D">
        <w:t xml:space="preserve"> with the actual value</w:t>
      </w:r>
      <w:r w:rsidR="008F2E47">
        <w:t>s</w:t>
      </w:r>
      <w:r w:rsidR="008F2E47" w:rsidRPr="00B275A9">
        <w:t xml:space="preserve"> </w:t>
      </w:r>
      <w:r w:rsidR="008F2E47" w:rsidRPr="00516A5D">
        <w:t>for the final decision</w:t>
      </w:r>
      <w:r w:rsidRPr="002036DF">
        <w:t xml:space="preserve">.  </w:t>
      </w:r>
    </w:p>
    <w:p w:rsidR="002C233C" w:rsidRDefault="002036DF" w:rsidP="002036DF">
      <w:r w:rsidRPr="002036DF">
        <w:t>A</w:t>
      </w:r>
      <w:r w:rsidR="002601B0">
        <w:t>ctewAGL</w:t>
      </w:r>
      <w:r w:rsidRPr="002036DF">
        <w:t>'s revised proposal adopted our draft decision adjustments to roll forward the opening RABs from 1 July 2009 to 1 July 2014. A</w:t>
      </w:r>
      <w:r w:rsidR="002601B0">
        <w:t>ctewAGL</w:t>
      </w:r>
      <w:r w:rsidR="00EC7555">
        <w:t xml:space="preserve"> also</w:t>
      </w:r>
      <w:r w:rsidRPr="002036DF">
        <w:t xml:space="preserve"> update</w:t>
      </w:r>
      <w:r w:rsidR="002601B0">
        <w:t>d</w:t>
      </w:r>
      <w:r w:rsidRPr="002036DF">
        <w:t xml:space="preserve"> the </w:t>
      </w:r>
      <w:r w:rsidR="002601B0">
        <w:t xml:space="preserve">estimated </w:t>
      </w:r>
      <w:r w:rsidRPr="002036DF">
        <w:t>2013–14 capex adopted in the draft decision</w:t>
      </w:r>
      <w:r w:rsidR="002601B0">
        <w:t xml:space="preserve"> to reflect actual capex for that year</w:t>
      </w:r>
      <w:r w:rsidRPr="002036DF">
        <w:t xml:space="preserve">. We </w:t>
      </w:r>
      <w:r w:rsidR="00EC7555">
        <w:t xml:space="preserve">have </w:t>
      </w:r>
      <w:r w:rsidRPr="002036DF">
        <w:t>reconciled the 2013</w:t>
      </w:r>
      <w:r w:rsidR="00EC7555">
        <w:t>–</w:t>
      </w:r>
      <w:r w:rsidRPr="002036DF">
        <w:t>14 capex in the revised proposal against A</w:t>
      </w:r>
      <w:r w:rsidR="002601B0">
        <w:t>ctewAGL'</w:t>
      </w:r>
      <w:r w:rsidRPr="002036DF">
        <w:t xml:space="preserve">s </w:t>
      </w:r>
      <w:r w:rsidR="00470214">
        <w:t xml:space="preserve">audited </w:t>
      </w:r>
      <w:r w:rsidRPr="002036DF">
        <w:t>annual RIN</w:t>
      </w:r>
      <w:r w:rsidR="00470214">
        <w:t xml:space="preserve"> for 2013–14</w:t>
      </w:r>
      <w:r w:rsidRPr="002036DF">
        <w:t>. We therefore accept the actual capex for 2013–14, and the revised propos</w:t>
      </w:r>
      <w:r w:rsidR="00470214">
        <w:t>ed</w:t>
      </w:r>
      <w:r w:rsidRPr="002036DF">
        <w:t xml:space="preserve"> opening RABs for A</w:t>
      </w:r>
      <w:r w:rsidR="002601B0">
        <w:t>ctewAGL</w:t>
      </w:r>
      <w:r w:rsidRPr="002036DF">
        <w:t>'s distribution and transmission networks.</w:t>
      </w:r>
    </w:p>
    <w:p w:rsidR="007B186E" w:rsidRDefault="002601B0" w:rsidP="001754EE">
      <w:pPr>
        <w:pStyle w:val="Heading3"/>
      </w:pPr>
      <w:bookmarkStart w:id="26" w:name="_Toc413316498"/>
      <w:r>
        <w:t>Forecast closing RAB as at 30 June 2019</w:t>
      </w:r>
      <w:bookmarkEnd w:id="26"/>
      <w:r w:rsidR="007D456E">
        <w:t xml:space="preserve"> </w:t>
      </w:r>
    </w:p>
    <w:p w:rsidR="002601B0" w:rsidRPr="002601B0" w:rsidRDefault="002601B0" w:rsidP="002601B0">
      <w:r w:rsidRPr="002601B0">
        <w:t>We forecast closing RAB values of $</w:t>
      </w:r>
      <w:r w:rsidR="008C7CF7">
        <w:t>803.8</w:t>
      </w:r>
      <w:r w:rsidRPr="002601B0">
        <w:t xml:space="preserve"> million and $</w:t>
      </w:r>
      <w:r w:rsidR="008C7CF7">
        <w:t>194.8</w:t>
      </w:r>
      <w:r w:rsidRPr="002601B0">
        <w:t xml:space="preserve"> million by 30 June 2019 for A</w:t>
      </w:r>
      <w:r>
        <w:t>ctewAGL</w:t>
      </w:r>
      <w:r w:rsidRPr="002601B0">
        <w:t>'s distribution and transmission network</w:t>
      </w:r>
      <w:r w:rsidR="00ED6E7F">
        <w:t>s</w:t>
      </w:r>
      <w:r w:rsidRPr="002601B0">
        <w:t xml:space="preserve">, respectively. </w:t>
      </w:r>
    </w:p>
    <w:p w:rsidR="002601B0" w:rsidRPr="002601B0" w:rsidRDefault="002601B0" w:rsidP="002601B0">
      <w:r w:rsidRPr="002601B0">
        <w:t>For A</w:t>
      </w:r>
      <w:r>
        <w:t>ctewAGL</w:t>
      </w:r>
      <w:r w:rsidRPr="002601B0">
        <w:t>'s distribution RAB our decision results in a reduction of $</w:t>
      </w:r>
      <w:r w:rsidR="008C7CF7">
        <w:t>27.9</w:t>
      </w:r>
      <w:r w:rsidRPr="002601B0">
        <w:t xml:space="preserve"> million </w:t>
      </w:r>
      <w:r w:rsidR="00ED6E7F" w:rsidRPr="002601B0">
        <w:t>($</w:t>
      </w:r>
      <w:r w:rsidR="00ED6E7F">
        <w:t> </w:t>
      </w:r>
      <w:r w:rsidRPr="002601B0">
        <w:t xml:space="preserve">nominal) or </w:t>
      </w:r>
      <w:r w:rsidR="008C7CF7">
        <w:t>3.4</w:t>
      </w:r>
      <w:r w:rsidRPr="002601B0">
        <w:t xml:space="preserve"> per cent compared to </w:t>
      </w:r>
      <w:proofErr w:type="spellStart"/>
      <w:r w:rsidRPr="002601B0">
        <w:t>A</w:t>
      </w:r>
      <w:r>
        <w:t>ctewAGL</w:t>
      </w:r>
      <w:r w:rsidRPr="002601B0">
        <w:t>'s</w:t>
      </w:r>
      <w:proofErr w:type="spellEnd"/>
      <w:r w:rsidRPr="002601B0">
        <w:t xml:space="preserve"> revised proposal. This reduction reflects our final decision on the inputs for determining the forecast distribution RAB in the post-tax revenue model (PTRM). To determine A</w:t>
      </w:r>
      <w:r>
        <w:t>ctewAGL</w:t>
      </w:r>
      <w:r w:rsidRPr="002601B0">
        <w:t>'s forecast distribution RAB value, we amended the following PTRM inputs:</w:t>
      </w:r>
    </w:p>
    <w:p w:rsidR="002601B0" w:rsidRPr="002601B0" w:rsidRDefault="002601B0" w:rsidP="00461FBE">
      <w:pPr>
        <w:pStyle w:val="AERbulletlistfirststyle"/>
      </w:pPr>
      <w:r w:rsidRPr="002601B0">
        <w:t>We reduced A</w:t>
      </w:r>
      <w:r>
        <w:t>ctewAGL</w:t>
      </w:r>
      <w:r w:rsidRPr="002601B0">
        <w:t>'s revised proposed forecast capex allowance by $</w:t>
      </w:r>
      <w:r w:rsidR="008C7CF7">
        <w:t>24.2</w:t>
      </w:r>
      <w:r w:rsidR="00937B4E">
        <w:t> </w:t>
      </w:r>
      <w:r w:rsidRPr="002601B0">
        <w:t xml:space="preserve">million ($ nominal) or </w:t>
      </w:r>
      <w:r w:rsidR="008C7CF7">
        <w:t>8.</w:t>
      </w:r>
      <w:r w:rsidR="00ED6E7F">
        <w:t>3</w:t>
      </w:r>
      <w:r w:rsidR="00ED6E7F" w:rsidRPr="002601B0">
        <w:t xml:space="preserve"> </w:t>
      </w:r>
      <w:r w:rsidRPr="002601B0">
        <w:t>per cent (attachment 6).</w:t>
      </w:r>
    </w:p>
    <w:p w:rsidR="002601B0" w:rsidRDefault="002601B0" w:rsidP="00461FBE">
      <w:pPr>
        <w:pStyle w:val="AERbulletlistfirststyle"/>
      </w:pPr>
      <w:r w:rsidRPr="002601B0">
        <w:t xml:space="preserve">We increased </w:t>
      </w:r>
      <w:proofErr w:type="spellStart"/>
      <w:r w:rsidRPr="002601B0">
        <w:t>A</w:t>
      </w:r>
      <w:r>
        <w:t>ctewAGL</w:t>
      </w:r>
      <w:r w:rsidRPr="002601B0">
        <w:t>'s</w:t>
      </w:r>
      <w:proofErr w:type="spellEnd"/>
      <w:r w:rsidRPr="002601B0">
        <w:t xml:space="preserve"> revised proposed forecast regulatory depreciation allowance by $</w:t>
      </w:r>
      <w:r w:rsidR="008C7CF7">
        <w:t>3.7</w:t>
      </w:r>
      <w:r w:rsidRPr="002601B0">
        <w:t xml:space="preserve"> million ($ nominal) or </w:t>
      </w:r>
      <w:r w:rsidR="008C7CF7">
        <w:t>2.4</w:t>
      </w:r>
      <w:r w:rsidRPr="002601B0">
        <w:t xml:space="preserve"> per cent (attachment 5).</w:t>
      </w:r>
    </w:p>
    <w:p w:rsidR="00CC2815" w:rsidRDefault="00CC2815" w:rsidP="00461FBE">
      <w:pPr>
        <w:pStyle w:val="AERbulletlistfirststyle"/>
      </w:pPr>
      <w:r w:rsidRPr="0064602F">
        <w:t xml:space="preserve">We reduced </w:t>
      </w:r>
      <w:r>
        <w:t>ActewAGL's</w:t>
      </w:r>
      <w:r w:rsidRPr="0064602F">
        <w:t xml:space="preserve"> </w:t>
      </w:r>
      <w:r>
        <w:t xml:space="preserve">revised </w:t>
      </w:r>
      <w:r w:rsidRPr="0064602F">
        <w:t>propos</w:t>
      </w:r>
      <w:r>
        <w:t>ed</w:t>
      </w:r>
      <w:r w:rsidRPr="0064602F">
        <w:t xml:space="preserve"> forecast </w:t>
      </w:r>
      <w:r>
        <w:t>inflation rate</w:t>
      </w:r>
      <w:r w:rsidRPr="0064602F">
        <w:t xml:space="preserve"> </w:t>
      </w:r>
      <w:r>
        <w:t xml:space="preserve">of 2.50 per cent per annum to 2.38 per cent per annum </w:t>
      </w:r>
      <w:r w:rsidRPr="0064602F">
        <w:t xml:space="preserve">(attachment </w:t>
      </w:r>
      <w:r>
        <w:t>3</w:t>
      </w:r>
      <w:r w:rsidRPr="0064602F">
        <w:t>).</w:t>
      </w:r>
    </w:p>
    <w:p w:rsidR="002601B0" w:rsidRPr="002601B0" w:rsidRDefault="002601B0" w:rsidP="002601B0">
      <w:r w:rsidRPr="002601B0">
        <w:t>For A</w:t>
      </w:r>
      <w:r>
        <w:t>ctewAGL</w:t>
      </w:r>
      <w:r w:rsidRPr="002601B0">
        <w:t>'s transmission RAB our decision results in a reduction of $</w:t>
      </w:r>
      <w:r w:rsidR="008C7CF7">
        <w:t>19.0</w:t>
      </w:r>
      <w:r w:rsidRPr="002601B0">
        <w:t xml:space="preserve"> million ($ nominal) or </w:t>
      </w:r>
      <w:r w:rsidR="008C7CF7">
        <w:t>8.9</w:t>
      </w:r>
      <w:r w:rsidRPr="002601B0">
        <w:t xml:space="preserve"> per cent compared to </w:t>
      </w:r>
      <w:proofErr w:type="spellStart"/>
      <w:r w:rsidRPr="002601B0">
        <w:t>A</w:t>
      </w:r>
      <w:r>
        <w:t>ctewAGL</w:t>
      </w:r>
      <w:r w:rsidRPr="002601B0">
        <w:t>'s</w:t>
      </w:r>
      <w:proofErr w:type="spellEnd"/>
      <w:r w:rsidR="00470214">
        <w:t xml:space="preserve"> revised</w:t>
      </w:r>
      <w:r w:rsidRPr="002601B0">
        <w:t xml:space="preserve"> proposal. This reduction reflects our final decision on the inputs for determining the forecast transmission RAB in the PTRM. To determine A</w:t>
      </w:r>
      <w:r>
        <w:t>ctewAGL</w:t>
      </w:r>
      <w:r w:rsidRPr="002601B0">
        <w:t>'s forecast transmission RAB value, we amended the following PTRM inputs:</w:t>
      </w:r>
    </w:p>
    <w:p w:rsidR="002601B0" w:rsidRPr="002601B0" w:rsidRDefault="002601B0" w:rsidP="00461FBE">
      <w:pPr>
        <w:pStyle w:val="AERbulletlistfirststyle"/>
      </w:pPr>
      <w:r w:rsidRPr="002601B0">
        <w:lastRenderedPageBreak/>
        <w:t>We reduced A</w:t>
      </w:r>
      <w:r>
        <w:t>ctewAGL</w:t>
      </w:r>
      <w:r w:rsidRPr="002601B0">
        <w:t>'s revised proposed forecast capex allowance by $</w:t>
      </w:r>
      <w:r w:rsidR="008C7CF7">
        <w:t>18.2</w:t>
      </w:r>
      <w:r w:rsidR="00937B4E">
        <w:t> </w:t>
      </w:r>
      <w:r w:rsidRPr="002601B0">
        <w:t xml:space="preserve">million ($ nominal) or </w:t>
      </w:r>
      <w:r w:rsidR="008C7CF7">
        <w:t>21.2</w:t>
      </w:r>
      <w:r w:rsidRPr="002601B0">
        <w:t xml:space="preserve"> per cent (attachment 6).</w:t>
      </w:r>
    </w:p>
    <w:p w:rsidR="002C233C" w:rsidRDefault="002601B0" w:rsidP="00461FBE">
      <w:pPr>
        <w:pStyle w:val="AERbulletlistfirststyle"/>
      </w:pPr>
      <w:r w:rsidRPr="002601B0">
        <w:t xml:space="preserve">We </w:t>
      </w:r>
      <w:r w:rsidR="00397C5A">
        <w:t>increased</w:t>
      </w:r>
      <w:r w:rsidRPr="002601B0">
        <w:t xml:space="preserve"> </w:t>
      </w:r>
      <w:proofErr w:type="spellStart"/>
      <w:r w:rsidRPr="002601B0">
        <w:t>A</w:t>
      </w:r>
      <w:r w:rsidR="00073E68">
        <w:t>ctewAGL</w:t>
      </w:r>
      <w:r w:rsidRPr="002601B0">
        <w:t>'s</w:t>
      </w:r>
      <w:proofErr w:type="spellEnd"/>
      <w:r w:rsidRPr="002601B0">
        <w:t xml:space="preserve"> revised proposed forecast regulatory depreciation allowance by $</w:t>
      </w:r>
      <w:r w:rsidR="008C7CF7">
        <w:t>0.8</w:t>
      </w:r>
      <w:r w:rsidRPr="002601B0">
        <w:t xml:space="preserve"> million or </w:t>
      </w:r>
      <w:r w:rsidR="008C7CF7">
        <w:t xml:space="preserve">3.2 </w:t>
      </w:r>
      <w:r w:rsidRPr="002601B0">
        <w:t>per cent (attachment 5).</w:t>
      </w:r>
    </w:p>
    <w:p w:rsidR="004F6A0E" w:rsidRDefault="00CC2815" w:rsidP="00CC2815">
      <w:pPr>
        <w:pStyle w:val="AERbulletlistfirststyle"/>
      </w:pPr>
      <w:r w:rsidRPr="0064602F">
        <w:t xml:space="preserve">We reduced </w:t>
      </w:r>
      <w:r>
        <w:t>ActewAGL's</w:t>
      </w:r>
      <w:r w:rsidRPr="0064602F">
        <w:t xml:space="preserve"> </w:t>
      </w:r>
      <w:r>
        <w:t xml:space="preserve">revised </w:t>
      </w:r>
      <w:r w:rsidRPr="0064602F">
        <w:t>propos</w:t>
      </w:r>
      <w:r>
        <w:t>ed</w:t>
      </w:r>
      <w:r w:rsidRPr="0064602F">
        <w:t xml:space="preserve"> forecast </w:t>
      </w:r>
      <w:r>
        <w:t>inflation rate</w:t>
      </w:r>
      <w:r w:rsidRPr="0064602F">
        <w:t xml:space="preserve"> </w:t>
      </w:r>
      <w:r>
        <w:t xml:space="preserve">of 2.50 per cent per annum to 2.38 per cent per annum </w:t>
      </w:r>
      <w:r w:rsidRPr="0064602F">
        <w:t xml:space="preserve">(attachment </w:t>
      </w:r>
      <w:r>
        <w:t>3</w:t>
      </w:r>
      <w:r w:rsidRPr="0064602F">
        <w:t>).</w:t>
      </w:r>
    </w:p>
    <w:sectPr w:rsidR="004F6A0E" w:rsidSect="00EE50D1">
      <w:footerReference w:type="even" r:id="rId11"/>
      <w:footerReference w:type="default" r:id="rId12"/>
      <w:footerReference w:type="first" r:id="rId1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93" w:rsidRPr="00290C63" w:rsidRDefault="005F5093" w:rsidP="00290C63">
      <w:r>
        <w:separator/>
      </w:r>
    </w:p>
    <w:p w:rsidR="005F5093" w:rsidRDefault="005F5093"/>
  </w:endnote>
  <w:endnote w:type="continuationSeparator" w:id="0">
    <w:p w:rsidR="005F5093" w:rsidRPr="00290C63" w:rsidRDefault="005F5093" w:rsidP="00290C63">
      <w:r>
        <w:continuationSeparator/>
      </w:r>
    </w:p>
    <w:p w:rsidR="005F5093" w:rsidRDefault="005F5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93" w:rsidRPr="00290C63" w:rsidRDefault="005F5093"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F5093" w:rsidRDefault="005F5093"/>
  <w:p w:rsidR="005F5093" w:rsidRDefault="005F5093"/>
  <w:p w:rsidR="005F5093" w:rsidRDefault="005F5093"/>
  <w:p w:rsidR="005F5093" w:rsidRDefault="005F5093"/>
  <w:p w:rsidR="005F5093" w:rsidRDefault="005F5093"/>
  <w:p w:rsidR="005F5093" w:rsidRDefault="005F5093"/>
  <w:p w:rsidR="005F5093" w:rsidRDefault="005F50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5F5093" w:rsidRDefault="005F5093">
        <w:pPr>
          <w:pStyle w:val="Footer"/>
        </w:pPr>
        <w:r>
          <w:fldChar w:fldCharType="begin"/>
        </w:r>
        <w:r>
          <w:instrText xml:space="preserve"> PAGE   \* MERGEFORMAT </w:instrText>
        </w:r>
        <w:r>
          <w:fldChar w:fldCharType="separate"/>
        </w:r>
        <w:r w:rsidR="008B5586">
          <w:rPr>
            <w:noProof/>
          </w:rPr>
          <w:t>2-1</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2</w:t>
        </w:r>
        <w:r w:rsidRPr="00FD5E78">
          <w:rPr>
            <w:noProof/>
            <w:sz w:val="16"/>
            <w:szCs w:val="16"/>
          </w:rPr>
          <w:t xml:space="preserve"> </w:t>
        </w:r>
        <w:r w:rsidRPr="00FD5E78">
          <w:rPr>
            <w:rFonts w:cs="Gautami"/>
            <w:noProof/>
            <w:sz w:val="16"/>
            <w:szCs w:val="16"/>
          </w:rPr>
          <w:t>–</w:t>
        </w:r>
        <w:r>
          <w:rPr>
            <w:rFonts w:cs="Gautami"/>
            <w:noProof/>
            <w:sz w:val="16"/>
            <w:szCs w:val="16"/>
          </w:rPr>
          <w:t xml:space="preserve"> Regulatory asset base</w:t>
        </w:r>
        <w:r w:rsidRPr="00FD5E78">
          <w:rPr>
            <w:rFonts w:cs="Gautami"/>
            <w:noProof/>
            <w:sz w:val="16"/>
            <w:szCs w:val="16"/>
          </w:rPr>
          <w:t xml:space="preserve"> | </w:t>
        </w:r>
        <w:r>
          <w:rPr>
            <w:sz w:val="16"/>
            <w:szCs w:val="16"/>
          </w:rPr>
          <w:t>ActewAGL</w:t>
        </w:r>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p>
    </w:sdtContent>
  </w:sdt>
  <w:p w:rsidR="005F5093" w:rsidRDefault="005F5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093" w:rsidRPr="00290C63" w:rsidRDefault="005F5093"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F5093" w:rsidRDefault="005F5093">
    <w:pPr>
      <w:pStyle w:val="Footer"/>
    </w:pPr>
  </w:p>
  <w:p w:rsidR="005F5093" w:rsidRDefault="005F5093"/>
  <w:p w:rsidR="005F5093" w:rsidRDefault="005F5093"/>
  <w:p w:rsidR="005F5093" w:rsidRDefault="005F5093"/>
  <w:p w:rsidR="005F5093" w:rsidRDefault="005F5093"/>
  <w:p w:rsidR="005F5093" w:rsidRDefault="005F5093"/>
  <w:p w:rsidR="005F5093" w:rsidRDefault="005F5093"/>
  <w:p w:rsidR="005F5093" w:rsidRDefault="005F50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93" w:rsidRPr="00290C63" w:rsidRDefault="005F5093" w:rsidP="00290C63">
      <w:r>
        <w:separator/>
      </w:r>
    </w:p>
    <w:p w:rsidR="005F5093" w:rsidRDefault="005F5093"/>
  </w:footnote>
  <w:footnote w:type="continuationSeparator" w:id="0">
    <w:p w:rsidR="005F5093" w:rsidRPr="00290C63" w:rsidRDefault="005F5093" w:rsidP="00290C63">
      <w:r>
        <w:continuationSeparator/>
      </w:r>
    </w:p>
    <w:p w:rsidR="005F5093" w:rsidRDefault="005F5093"/>
  </w:footnote>
  <w:footnote w:id="1">
    <w:p w:rsidR="005F5093" w:rsidRDefault="005F5093">
      <w:pPr>
        <w:pStyle w:val="FootnoteText"/>
      </w:pPr>
      <w:r>
        <w:rPr>
          <w:rStyle w:val="FootnoteReference"/>
        </w:rPr>
        <w:footnoteRef/>
      </w:r>
      <w:r>
        <w:t xml:space="preserve"> </w:t>
      </w:r>
      <w:r>
        <w:tab/>
        <w:t>NER, cl. 6.12.1(6), 6.26(b).</w:t>
      </w:r>
    </w:p>
  </w:footnote>
  <w:footnote w:id="2">
    <w:p w:rsidR="005F5093" w:rsidRDefault="005F5093">
      <w:pPr>
        <w:pStyle w:val="FootnoteText"/>
      </w:pPr>
      <w:r>
        <w:rPr>
          <w:rStyle w:val="FootnoteReference"/>
        </w:rPr>
        <w:footnoteRef/>
      </w:r>
      <w:r>
        <w:t xml:space="preserve"> </w:t>
      </w:r>
      <w:r>
        <w:tab/>
      </w:r>
      <w:proofErr w:type="spellStart"/>
      <w:r>
        <w:t>ActewAGL</w:t>
      </w:r>
      <w:proofErr w:type="spellEnd"/>
      <w:r>
        <w:t xml:space="preserve">, </w:t>
      </w:r>
      <w:r w:rsidRPr="0070282E">
        <w:rPr>
          <w:rStyle w:val="AERtextitalic"/>
        </w:rPr>
        <w:t>Revised regulatory proposal</w:t>
      </w:r>
      <w:r>
        <w:t>, January 2015, p. 407.</w:t>
      </w:r>
    </w:p>
  </w:footnote>
  <w:footnote w:id="3">
    <w:p w:rsidR="005F5093" w:rsidRDefault="005F5093">
      <w:pPr>
        <w:pStyle w:val="FootnoteText"/>
      </w:pPr>
      <w:r>
        <w:rPr>
          <w:rStyle w:val="FootnoteReference"/>
        </w:rPr>
        <w:footnoteRef/>
      </w:r>
      <w:r>
        <w:t xml:space="preserve"> </w:t>
      </w:r>
      <w:r>
        <w:tab/>
        <w:t xml:space="preserve">ActewAGL, </w:t>
      </w:r>
      <w:r w:rsidRPr="0070282E">
        <w:rPr>
          <w:rStyle w:val="AERtextitalic"/>
        </w:rPr>
        <w:t>Revised regulatory proposal</w:t>
      </w:r>
      <w:r>
        <w:t>, January 2015, p. 407.</w:t>
      </w:r>
    </w:p>
  </w:footnote>
  <w:footnote w:id="4">
    <w:p w:rsidR="005F5093" w:rsidRDefault="005F5093">
      <w:pPr>
        <w:pStyle w:val="FootnoteText"/>
      </w:pPr>
      <w:r>
        <w:rPr>
          <w:rStyle w:val="FootnoteReference"/>
        </w:rPr>
        <w:footnoteRef/>
      </w:r>
      <w:r>
        <w:t xml:space="preserve"> </w:t>
      </w:r>
      <w:r>
        <w:tab/>
        <w:t xml:space="preserve">ActewAGL, </w:t>
      </w:r>
      <w:r w:rsidRPr="0070282E">
        <w:rPr>
          <w:rStyle w:val="AERtextitalic"/>
        </w:rPr>
        <w:t>Revised regulatory proposal</w:t>
      </w:r>
      <w:r>
        <w:t>, January 2015, p. 407.</w:t>
      </w:r>
    </w:p>
  </w:footnote>
  <w:footnote w:id="5">
    <w:p w:rsidR="005F5093" w:rsidRDefault="005F5093">
      <w:pPr>
        <w:pStyle w:val="FootnoteText"/>
      </w:pPr>
      <w:r>
        <w:rPr>
          <w:rStyle w:val="FootnoteReference"/>
        </w:rPr>
        <w:footnoteRef/>
      </w:r>
      <w:r>
        <w:t xml:space="preserve"> </w:t>
      </w:r>
      <w:r>
        <w:tab/>
      </w:r>
      <w:r w:rsidRPr="00D465C1">
        <w:t xml:space="preserve">AER, </w:t>
      </w:r>
      <w:r w:rsidRPr="00D465C1">
        <w:rPr>
          <w:rStyle w:val="AERtextitalic"/>
        </w:rPr>
        <w:t>Draft decision - ActewAGL distribution determination attachment 2 - Regulatory asset base</w:t>
      </w:r>
      <w:r w:rsidRPr="00D465C1">
        <w:t xml:space="preserve">, November 2014, pp. </w:t>
      </w:r>
      <w:r>
        <w:t xml:space="preserve">11-15.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FDEA9B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xD4LbABw6Kxca4CZCtbZjIxWjgVM4JmT2MaiNeTaGc=" w:saltValue="Vib+/jWoeuRTcU7ClbRB3w==" w:algorithmName="SHA-256"/>
  <w:defaultTabStop w:val="34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60\AER15 319  AER - Final Decision ActewAGL distribution determination - Attachment 2 - Regulatory asset base - April 2015.DOCX"/>
  </w:docVars>
  <w:rsids>
    <w:rsidRoot w:val="00961A4A"/>
    <w:rsid w:val="00021202"/>
    <w:rsid w:val="00021C2B"/>
    <w:rsid w:val="0002517F"/>
    <w:rsid w:val="0003578C"/>
    <w:rsid w:val="00063247"/>
    <w:rsid w:val="00066C34"/>
    <w:rsid w:val="00070F9F"/>
    <w:rsid w:val="0007137B"/>
    <w:rsid w:val="00073E68"/>
    <w:rsid w:val="00085663"/>
    <w:rsid w:val="00085EBF"/>
    <w:rsid w:val="00091B15"/>
    <w:rsid w:val="000A3020"/>
    <w:rsid w:val="000A6C7B"/>
    <w:rsid w:val="000B74AD"/>
    <w:rsid w:val="000C2B40"/>
    <w:rsid w:val="000D122C"/>
    <w:rsid w:val="000E1819"/>
    <w:rsid w:val="000E2F36"/>
    <w:rsid w:val="000E4821"/>
    <w:rsid w:val="000E6C72"/>
    <w:rsid w:val="00116EB2"/>
    <w:rsid w:val="00124609"/>
    <w:rsid w:val="00126A4C"/>
    <w:rsid w:val="0014573B"/>
    <w:rsid w:val="00154793"/>
    <w:rsid w:val="001573E4"/>
    <w:rsid w:val="00160756"/>
    <w:rsid w:val="0017232E"/>
    <w:rsid w:val="00174102"/>
    <w:rsid w:val="001754EE"/>
    <w:rsid w:val="00180157"/>
    <w:rsid w:val="00185CB9"/>
    <w:rsid w:val="00186F77"/>
    <w:rsid w:val="001926A4"/>
    <w:rsid w:val="00192AD5"/>
    <w:rsid w:val="001A321B"/>
    <w:rsid w:val="001B45A0"/>
    <w:rsid w:val="001D055E"/>
    <w:rsid w:val="001D7A10"/>
    <w:rsid w:val="001F05A4"/>
    <w:rsid w:val="001F492E"/>
    <w:rsid w:val="001F6DA3"/>
    <w:rsid w:val="002010BC"/>
    <w:rsid w:val="002016E7"/>
    <w:rsid w:val="00202E03"/>
    <w:rsid w:val="002036DF"/>
    <w:rsid w:val="0020492C"/>
    <w:rsid w:val="00224DB9"/>
    <w:rsid w:val="0023314F"/>
    <w:rsid w:val="00233775"/>
    <w:rsid w:val="00251745"/>
    <w:rsid w:val="002601B0"/>
    <w:rsid w:val="00263AC0"/>
    <w:rsid w:val="00264264"/>
    <w:rsid w:val="0026772D"/>
    <w:rsid w:val="00286874"/>
    <w:rsid w:val="00290C63"/>
    <w:rsid w:val="0029317E"/>
    <w:rsid w:val="00296B65"/>
    <w:rsid w:val="002A7DEF"/>
    <w:rsid w:val="002C233C"/>
    <w:rsid w:val="002C6ED5"/>
    <w:rsid w:val="002D72E8"/>
    <w:rsid w:val="002E7B22"/>
    <w:rsid w:val="002F7986"/>
    <w:rsid w:val="00300345"/>
    <w:rsid w:val="00301B40"/>
    <w:rsid w:val="003029EE"/>
    <w:rsid w:val="00305CC8"/>
    <w:rsid w:val="00307F6D"/>
    <w:rsid w:val="003177A2"/>
    <w:rsid w:val="003271B5"/>
    <w:rsid w:val="00327A1E"/>
    <w:rsid w:val="00331264"/>
    <w:rsid w:val="00334C8D"/>
    <w:rsid w:val="00342DEC"/>
    <w:rsid w:val="00343A18"/>
    <w:rsid w:val="003518B3"/>
    <w:rsid w:val="00375B79"/>
    <w:rsid w:val="003846F1"/>
    <w:rsid w:val="003904B1"/>
    <w:rsid w:val="00397C5A"/>
    <w:rsid w:val="003B484F"/>
    <w:rsid w:val="003B7FBA"/>
    <w:rsid w:val="003F174D"/>
    <w:rsid w:val="004123EB"/>
    <w:rsid w:val="00415F31"/>
    <w:rsid w:val="00423A77"/>
    <w:rsid w:val="00450747"/>
    <w:rsid w:val="0045777E"/>
    <w:rsid w:val="00461FBE"/>
    <w:rsid w:val="00470214"/>
    <w:rsid w:val="00480B4B"/>
    <w:rsid w:val="00485DC4"/>
    <w:rsid w:val="004A43D1"/>
    <w:rsid w:val="004B2274"/>
    <w:rsid w:val="004B4412"/>
    <w:rsid w:val="004C02E8"/>
    <w:rsid w:val="004C20D0"/>
    <w:rsid w:val="004C348C"/>
    <w:rsid w:val="004D55BA"/>
    <w:rsid w:val="004E22EC"/>
    <w:rsid w:val="004F2E0B"/>
    <w:rsid w:val="004F6A0E"/>
    <w:rsid w:val="00502567"/>
    <w:rsid w:val="00507508"/>
    <w:rsid w:val="00525338"/>
    <w:rsid w:val="00530128"/>
    <w:rsid w:val="00532467"/>
    <w:rsid w:val="00532C30"/>
    <w:rsid w:val="00564A4D"/>
    <w:rsid w:val="00567BA5"/>
    <w:rsid w:val="0057193F"/>
    <w:rsid w:val="00571B35"/>
    <w:rsid w:val="00571D57"/>
    <w:rsid w:val="00577A09"/>
    <w:rsid w:val="005829C2"/>
    <w:rsid w:val="00584D8F"/>
    <w:rsid w:val="005A3A6D"/>
    <w:rsid w:val="005A404D"/>
    <w:rsid w:val="005B1E3C"/>
    <w:rsid w:val="005B5BBC"/>
    <w:rsid w:val="005B704A"/>
    <w:rsid w:val="005C26CC"/>
    <w:rsid w:val="005D2B1A"/>
    <w:rsid w:val="005D7BA2"/>
    <w:rsid w:val="005E36C2"/>
    <w:rsid w:val="005F5093"/>
    <w:rsid w:val="00612F4F"/>
    <w:rsid w:val="00615C6B"/>
    <w:rsid w:val="00620DD6"/>
    <w:rsid w:val="00621DCE"/>
    <w:rsid w:val="00632D6D"/>
    <w:rsid w:val="00642C3E"/>
    <w:rsid w:val="0066104A"/>
    <w:rsid w:val="00663DAD"/>
    <w:rsid w:val="00670B84"/>
    <w:rsid w:val="00675E20"/>
    <w:rsid w:val="00676679"/>
    <w:rsid w:val="00683C89"/>
    <w:rsid w:val="006B2395"/>
    <w:rsid w:val="006B4CF9"/>
    <w:rsid w:val="006B7AC8"/>
    <w:rsid w:val="006C1736"/>
    <w:rsid w:val="006D550F"/>
    <w:rsid w:val="0070011E"/>
    <w:rsid w:val="00701CAB"/>
    <w:rsid w:val="0070282E"/>
    <w:rsid w:val="00707563"/>
    <w:rsid w:val="0072348C"/>
    <w:rsid w:val="00724A37"/>
    <w:rsid w:val="007303C3"/>
    <w:rsid w:val="007334FC"/>
    <w:rsid w:val="007429BE"/>
    <w:rsid w:val="00743223"/>
    <w:rsid w:val="00746E01"/>
    <w:rsid w:val="00757364"/>
    <w:rsid w:val="00757BDF"/>
    <w:rsid w:val="007609D0"/>
    <w:rsid w:val="00761829"/>
    <w:rsid w:val="00763E5D"/>
    <w:rsid w:val="00767740"/>
    <w:rsid w:val="0077013B"/>
    <w:rsid w:val="00777EE6"/>
    <w:rsid w:val="00782EEA"/>
    <w:rsid w:val="007B186E"/>
    <w:rsid w:val="007B2C72"/>
    <w:rsid w:val="007C1C53"/>
    <w:rsid w:val="007C4063"/>
    <w:rsid w:val="007C74BB"/>
    <w:rsid w:val="007D456E"/>
    <w:rsid w:val="007E4904"/>
    <w:rsid w:val="007E4CB5"/>
    <w:rsid w:val="007F066B"/>
    <w:rsid w:val="008033C4"/>
    <w:rsid w:val="00806C88"/>
    <w:rsid w:val="0081034E"/>
    <w:rsid w:val="008105F1"/>
    <w:rsid w:val="008344F6"/>
    <w:rsid w:val="0083510F"/>
    <w:rsid w:val="00851209"/>
    <w:rsid w:val="0086139D"/>
    <w:rsid w:val="00863E6F"/>
    <w:rsid w:val="008837AC"/>
    <w:rsid w:val="008A587D"/>
    <w:rsid w:val="008B35CD"/>
    <w:rsid w:val="008B5586"/>
    <w:rsid w:val="008B5FCC"/>
    <w:rsid w:val="008C5486"/>
    <w:rsid w:val="008C7CF7"/>
    <w:rsid w:val="008D1661"/>
    <w:rsid w:val="008E7031"/>
    <w:rsid w:val="008E77DE"/>
    <w:rsid w:val="008F07A3"/>
    <w:rsid w:val="008F2E47"/>
    <w:rsid w:val="008F5F77"/>
    <w:rsid w:val="009001B6"/>
    <w:rsid w:val="00900E1B"/>
    <w:rsid w:val="009233EE"/>
    <w:rsid w:val="009363C5"/>
    <w:rsid w:val="00937B4E"/>
    <w:rsid w:val="009460AA"/>
    <w:rsid w:val="00946CED"/>
    <w:rsid w:val="00951978"/>
    <w:rsid w:val="00961A4A"/>
    <w:rsid w:val="009661DE"/>
    <w:rsid w:val="00983C25"/>
    <w:rsid w:val="009856B7"/>
    <w:rsid w:val="00985C86"/>
    <w:rsid w:val="00995812"/>
    <w:rsid w:val="009A5FC3"/>
    <w:rsid w:val="009B74B0"/>
    <w:rsid w:val="009D3906"/>
    <w:rsid w:val="009D6B46"/>
    <w:rsid w:val="009F2336"/>
    <w:rsid w:val="009F4940"/>
    <w:rsid w:val="009F5BA1"/>
    <w:rsid w:val="00A02A88"/>
    <w:rsid w:val="00A0562E"/>
    <w:rsid w:val="00A0726D"/>
    <w:rsid w:val="00A32FBB"/>
    <w:rsid w:val="00A428EE"/>
    <w:rsid w:val="00A4478A"/>
    <w:rsid w:val="00A44852"/>
    <w:rsid w:val="00A45F6A"/>
    <w:rsid w:val="00A50502"/>
    <w:rsid w:val="00A57D04"/>
    <w:rsid w:val="00A60A26"/>
    <w:rsid w:val="00A61598"/>
    <w:rsid w:val="00A84A99"/>
    <w:rsid w:val="00A84F46"/>
    <w:rsid w:val="00A871F4"/>
    <w:rsid w:val="00AC1B2C"/>
    <w:rsid w:val="00AC3264"/>
    <w:rsid w:val="00AE1BF1"/>
    <w:rsid w:val="00AF0DD2"/>
    <w:rsid w:val="00B12007"/>
    <w:rsid w:val="00B13048"/>
    <w:rsid w:val="00B1716D"/>
    <w:rsid w:val="00B17A1D"/>
    <w:rsid w:val="00B207A0"/>
    <w:rsid w:val="00B514DD"/>
    <w:rsid w:val="00B52AF0"/>
    <w:rsid w:val="00B561BD"/>
    <w:rsid w:val="00B56E03"/>
    <w:rsid w:val="00B8080B"/>
    <w:rsid w:val="00B814F7"/>
    <w:rsid w:val="00B82223"/>
    <w:rsid w:val="00B87BA5"/>
    <w:rsid w:val="00B87C39"/>
    <w:rsid w:val="00B9562D"/>
    <w:rsid w:val="00BA4665"/>
    <w:rsid w:val="00BB2FB2"/>
    <w:rsid w:val="00BB3304"/>
    <w:rsid w:val="00BD3446"/>
    <w:rsid w:val="00BE1F1B"/>
    <w:rsid w:val="00BE47B5"/>
    <w:rsid w:val="00C25FA6"/>
    <w:rsid w:val="00C538A9"/>
    <w:rsid w:val="00C53B5A"/>
    <w:rsid w:val="00C54F5A"/>
    <w:rsid w:val="00C569B4"/>
    <w:rsid w:val="00C57729"/>
    <w:rsid w:val="00C668FA"/>
    <w:rsid w:val="00C67A92"/>
    <w:rsid w:val="00C84560"/>
    <w:rsid w:val="00C86679"/>
    <w:rsid w:val="00CA489E"/>
    <w:rsid w:val="00CB0279"/>
    <w:rsid w:val="00CB666B"/>
    <w:rsid w:val="00CC2815"/>
    <w:rsid w:val="00CC7F1D"/>
    <w:rsid w:val="00CE484B"/>
    <w:rsid w:val="00D006AE"/>
    <w:rsid w:val="00D01CF0"/>
    <w:rsid w:val="00D0442A"/>
    <w:rsid w:val="00D465C1"/>
    <w:rsid w:val="00D61388"/>
    <w:rsid w:val="00D61A54"/>
    <w:rsid w:val="00D64DEA"/>
    <w:rsid w:val="00D7168E"/>
    <w:rsid w:val="00D71E57"/>
    <w:rsid w:val="00D80893"/>
    <w:rsid w:val="00D84854"/>
    <w:rsid w:val="00D92CF1"/>
    <w:rsid w:val="00D92D38"/>
    <w:rsid w:val="00D950F5"/>
    <w:rsid w:val="00DA4752"/>
    <w:rsid w:val="00DA61F3"/>
    <w:rsid w:val="00DA7E75"/>
    <w:rsid w:val="00DB0F93"/>
    <w:rsid w:val="00DB1A67"/>
    <w:rsid w:val="00DB5074"/>
    <w:rsid w:val="00DC7981"/>
    <w:rsid w:val="00DE1093"/>
    <w:rsid w:val="00DE4EFA"/>
    <w:rsid w:val="00DE5520"/>
    <w:rsid w:val="00DE563D"/>
    <w:rsid w:val="00E04818"/>
    <w:rsid w:val="00E06442"/>
    <w:rsid w:val="00E23993"/>
    <w:rsid w:val="00E25B8C"/>
    <w:rsid w:val="00E65C85"/>
    <w:rsid w:val="00E66199"/>
    <w:rsid w:val="00E755EC"/>
    <w:rsid w:val="00E7624D"/>
    <w:rsid w:val="00EA3D42"/>
    <w:rsid w:val="00EA6B1B"/>
    <w:rsid w:val="00EB7C77"/>
    <w:rsid w:val="00EC04F1"/>
    <w:rsid w:val="00EC7555"/>
    <w:rsid w:val="00ED6E7F"/>
    <w:rsid w:val="00ED7323"/>
    <w:rsid w:val="00EE28F3"/>
    <w:rsid w:val="00EE50D1"/>
    <w:rsid w:val="00EF5110"/>
    <w:rsid w:val="00F0257E"/>
    <w:rsid w:val="00F10411"/>
    <w:rsid w:val="00F15882"/>
    <w:rsid w:val="00F171E0"/>
    <w:rsid w:val="00F20BD3"/>
    <w:rsid w:val="00F373A5"/>
    <w:rsid w:val="00F45511"/>
    <w:rsid w:val="00F47559"/>
    <w:rsid w:val="00F64C7B"/>
    <w:rsid w:val="00F676DD"/>
    <w:rsid w:val="00F75A26"/>
    <w:rsid w:val="00F76706"/>
    <w:rsid w:val="00F83FAD"/>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335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60FB0B19</Template>
  <TotalTime>0</TotalTime>
  <Pages>12</Pages>
  <Words>2288</Words>
  <Characters>13046</Characters>
  <Application>Microsoft Office Word</Application>
  <DocSecurity>0</DocSecurity>
  <Lines>108</Lines>
  <Paragraphs>30</Paragraphs>
  <ScaleCrop>false</ScaleCrop>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2015-04-29T05:16:00Z</dcterms:created>
  <dcterms:modified xsi:type="dcterms:W3CDTF">2015-04-29T05:16:00Z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