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3DA0CAC" wp14:editId="2F24CFB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C715A">
            <w:t>1</w:t>
          </w:r>
          <w:r w:rsidR="00866963">
            <w:t>9</w:t>
          </w:r>
          <w:r w:rsidR="004A7241">
            <w:t xml:space="preserve"> –</w:t>
          </w:r>
          <w:r w:rsidR="00B6360F">
            <w:t xml:space="preserve"> </w:t>
          </w:r>
          <w:r w:rsidR="00866963">
            <w:t>Pricing methodology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561285"/>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70011E">
        <w:t>ActewAGL’</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517F2A" w:rsidRPr="00517F2A">
        <w:t>policy</w:t>
      </w:r>
    </w:p>
    <w:p w:rsidR="00415F31" w:rsidRDefault="0070011E" w:rsidP="00415F31">
      <w:r>
        <w:t>Attachment 19 - Pricing methodology</w:t>
      </w:r>
    </w:p>
    <w:p w:rsidR="00914B02" w:rsidRPr="00914B02" w:rsidRDefault="00914B02" w:rsidP="00914B02">
      <w:r w:rsidRPr="00914B02">
        <w:t>Attachment 20 - Analysis of Financial Viability</w:t>
      </w:r>
    </w:p>
    <w:p w:rsidR="00914B02" w:rsidRDefault="00914B02" w:rsidP="00415F31"/>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56128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167E8"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561285" w:history="1">
            <w:r w:rsidR="00E167E8" w:rsidRPr="00BE435E">
              <w:rPr>
                <w:rStyle w:val="Hyperlink"/>
              </w:rPr>
              <w:t>Note</w:t>
            </w:r>
            <w:r w:rsidR="00E167E8">
              <w:rPr>
                <w:webHidden/>
              </w:rPr>
              <w:tab/>
            </w:r>
            <w:r w:rsidR="00E167E8">
              <w:rPr>
                <w:webHidden/>
              </w:rPr>
              <w:fldChar w:fldCharType="begin"/>
            </w:r>
            <w:r w:rsidR="00E167E8">
              <w:rPr>
                <w:webHidden/>
              </w:rPr>
              <w:instrText xml:space="preserve"> PAGEREF _Toc417561285 \h </w:instrText>
            </w:r>
            <w:r w:rsidR="00E167E8">
              <w:rPr>
                <w:webHidden/>
              </w:rPr>
            </w:r>
            <w:r w:rsidR="00E167E8">
              <w:rPr>
                <w:webHidden/>
              </w:rPr>
              <w:fldChar w:fldCharType="separate"/>
            </w:r>
            <w:r w:rsidR="00E167E8">
              <w:rPr>
                <w:webHidden/>
              </w:rPr>
              <w:t>19-2</w:t>
            </w:r>
            <w:r w:rsidR="00E167E8">
              <w:rPr>
                <w:webHidden/>
              </w:rPr>
              <w:fldChar w:fldCharType="end"/>
            </w:r>
          </w:hyperlink>
        </w:p>
        <w:p w:rsidR="00E167E8" w:rsidRDefault="00317C80">
          <w:pPr>
            <w:pStyle w:val="TOC1"/>
            <w:rPr>
              <w:rFonts w:asciiTheme="minorHAnsi" w:eastAsiaTheme="minorEastAsia" w:hAnsiTheme="minorHAnsi"/>
              <w:b w:val="0"/>
              <w:color w:val="auto"/>
              <w:sz w:val="22"/>
              <w:lang w:val="en-AU" w:eastAsia="en-AU"/>
            </w:rPr>
          </w:pPr>
          <w:hyperlink w:anchor="_Toc417561286" w:history="1">
            <w:r w:rsidR="00E167E8" w:rsidRPr="00BE435E">
              <w:rPr>
                <w:rStyle w:val="Hyperlink"/>
              </w:rPr>
              <w:t>Contents</w:t>
            </w:r>
            <w:r w:rsidR="00E167E8">
              <w:rPr>
                <w:webHidden/>
              </w:rPr>
              <w:tab/>
            </w:r>
            <w:r w:rsidR="00E167E8">
              <w:rPr>
                <w:webHidden/>
              </w:rPr>
              <w:fldChar w:fldCharType="begin"/>
            </w:r>
            <w:r w:rsidR="00E167E8">
              <w:rPr>
                <w:webHidden/>
              </w:rPr>
              <w:instrText xml:space="preserve"> PAGEREF _Toc417561286 \h </w:instrText>
            </w:r>
            <w:r w:rsidR="00E167E8">
              <w:rPr>
                <w:webHidden/>
              </w:rPr>
            </w:r>
            <w:r w:rsidR="00E167E8">
              <w:rPr>
                <w:webHidden/>
              </w:rPr>
              <w:fldChar w:fldCharType="separate"/>
            </w:r>
            <w:r w:rsidR="00E167E8">
              <w:rPr>
                <w:webHidden/>
              </w:rPr>
              <w:t>19-3</w:t>
            </w:r>
            <w:r w:rsidR="00E167E8">
              <w:rPr>
                <w:webHidden/>
              </w:rPr>
              <w:fldChar w:fldCharType="end"/>
            </w:r>
          </w:hyperlink>
        </w:p>
        <w:p w:rsidR="00E167E8" w:rsidRDefault="00317C80">
          <w:pPr>
            <w:pStyle w:val="TOC1"/>
            <w:rPr>
              <w:rFonts w:asciiTheme="minorHAnsi" w:eastAsiaTheme="minorEastAsia" w:hAnsiTheme="minorHAnsi"/>
              <w:b w:val="0"/>
              <w:color w:val="auto"/>
              <w:sz w:val="22"/>
              <w:lang w:val="en-AU" w:eastAsia="en-AU"/>
            </w:rPr>
          </w:pPr>
          <w:hyperlink w:anchor="_Toc417561287" w:history="1">
            <w:r w:rsidR="00E167E8" w:rsidRPr="00BE435E">
              <w:rPr>
                <w:rStyle w:val="Hyperlink"/>
              </w:rPr>
              <w:t>Shortened forms</w:t>
            </w:r>
            <w:r w:rsidR="00E167E8">
              <w:rPr>
                <w:webHidden/>
              </w:rPr>
              <w:tab/>
            </w:r>
            <w:r w:rsidR="00E167E8">
              <w:rPr>
                <w:webHidden/>
              </w:rPr>
              <w:fldChar w:fldCharType="begin"/>
            </w:r>
            <w:r w:rsidR="00E167E8">
              <w:rPr>
                <w:webHidden/>
              </w:rPr>
              <w:instrText xml:space="preserve"> PAGEREF _Toc417561287 \h </w:instrText>
            </w:r>
            <w:r w:rsidR="00E167E8">
              <w:rPr>
                <w:webHidden/>
              </w:rPr>
            </w:r>
            <w:r w:rsidR="00E167E8">
              <w:rPr>
                <w:webHidden/>
              </w:rPr>
              <w:fldChar w:fldCharType="separate"/>
            </w:r>
            <w:r w:rsidR="00E167E8">
              <w:rPr>
                <w:webHidden/>
              </w:rPr>
              <w:t>19-4</w:t>
            </w:r>
            <w:r w:rsidR="00E167E8">
              <w:rPr>
                <w:webHidden/>
              </w:rPr>
              <w:fldChar w:fldCharType="end"/>
            </w:r>
          </w:hyperlink>
        </w:p>
        <w:p w:rsidR="00E167E8" w:rsidRDefault="00317C80">
          <w:pPr>
            <w:pStyle w:val="TOC1"/>
            <w:rPr>
              <w:rFonts w:asciiTheme="minorHAnsi" w:eastAsiaTheme="minorEastAsia" w:hAnsiTheme="minorHAnsi"/>
              <w:b w:val="0"/>
              <w:color w:val="auto"/>
              <w:sz w:val="22"/>
              <w:lang w:val="en-AU" w:eastAsia="en-AU"/>
            </w:rPr>
          </w:pPr>
          <w:hyperlink w:anchor="_Toc417561288" w:history="1">
            <w:r w:rsidR="00E167E8" w:rsidRPr="00BE435E">
              <w:rPr>
                <w:rStyle w:val="Hyperlink"/>
              </w:rPr>
              <w:t>19</w:t>
            </w:r>
            <w:r w:rsidR="00E167E8">
              <w:rPr>
                <w:rFonts w:asciiTheme="minorHAnsi" w:eastAsiaTheme="minorEastAsia" w:hAnsiTheme="minorHAnsi"/>
                <w:b w:val="0"/>
                <w:color w:val="auto"/>
                <w:sz w:val="22"/>
                <w:lang w:val="en-AU" w:eastAsia="en-AU"/>
              </w:rPr>
              <w:tab/>
            </w:r>
            <w:r w:rsidR="00E167E8" w:rsidRPr="00BE435E">
              <w:rPr>
                <w:rStyle w:val="Hyperlink"/>
              </w:rPr>
              <w:t>Pricing methodology</w:t>
            </w:r>
            <w:r w:rsidR="00E167E8">
              <w:rPr>
                <w:webHidden/>
              </w:rPr>
              <w:tab/>
            </w:r>
            <w:r w:rsidR="00E167E8">
              <w:rPr>
                <w:webHidden/>
              </w:rPr>
              <w:fldChar w:fldCharType="begin"/>
            </w:r>
            <w:r w:rsidR="00E167E8">
              <w:rPr>
                <w:webHidden/>
              </w:rPr>
              <w:instrText xml:space="preserve"> PAGEREF _Toc417561288 \h </w:instrText>
            </w:r>
            <w:r w:rsidR="00E167E8">
              <w:rPr>
                <w:webHidden/>
              </w:rPr>
            </w:r>
            <w:r w:rsidR="00E167E8">
              <w:rPr>
                <w:webHidden/>
              </w:rPr>
              <w:fldChar w:fldCharType="separate"/>
            </w:r>
            <w:r w:rsidR="00E167E8">
              <w:rPr>
                <w:webHidden/>
              </w:rPr>
              <w:t>19-6</w:t>
            </w:r>
            <w:r w:rsidR="00E167E8">
              <w:rPr>
                <w:webHidden/>
              </w:rPr>
              <w:fldChar w:fldCharType="end"/>
            </w:r>
          </w:hyperlink>
        </w:p>
        <w:p w:rsidR="00E167E8" w:rsidRDefault="00317C80">
          <w:pPr>
            <w:pStyle w:val="TOC2"/>
            <w:tabs>
              <w:tab w:val="left" w:pos="1276"/>
            </w:tabs>
            <w:rPr>
              <w:rFonts w:asciiTheme="minorHAnsi" w:eastAsiaTheme="minorEastAsia" w:hAnsiTheme="minorHAnsi"/>
              <w:b w:val="0"/>
              <w:color w:val="auto"/>
              <w:sz w:val="22"/>
              <w:lang w:eastAsia="en-AU"/>
            </w:rPr>
          </w:pPr>
          <w:hyperlink w:anchor="_Toc417561289" w:history="1">
            <w:r w:rsidR="00E167E8" w:rsidRPr="00BE435E">
              <w:rPr>
                <w:rStyle w:val="Hyperlink"/>
              </w:rPr>
              <w:t>19.1</w:t>
            </w:r>
            <w:r w:rsidR="00E167E8">
              <w:rPr>
                <w:rFonts w:asciiTheme="minorHAnsi" w:eastAsiaTheme="minorEastAsia" w:hAnsiTheme="minorHAnsi"/>
                <w:b w:val="0"/>
                <w:color w:val="auto"/>
                <w:sz w:val="22"/>
                <w:lang w:eastAsia="en-AU"/>
              </w:rPr>
              <w:tab/>
            </w:r>
            <w:r w:rsidR="00E167E8" w:rsidRPr="00BE435E">
              <w:rPr>
                <w:rStyle w:val="Hyperlink"/>
              </w:rPr>
              <w:t>Final decision</w:t>
            </w:r>
            <w:r w:rsidR="00E167E8">
              <w:rPr>
                <w:webHidden/>
              </w:rPr>
              <w:tab/>
            </w:r>
            <w:r w:rsidR="00E167E8">
              <w:rPr>
                <w:webHidden/>
              </w:rPr>
              <w:fldChar w:fldCharType="begin"/>
            </w:r>
            <w:r w:rsidR="00E167E8">
              <w:rPr>
                <w:webHidden/>
              </w:rPr>
              <w:instrText xml:space="preserve"> PAGEREF _Toc417561289 \h </w:instrText>
            </w:r>
            <w:r w:rsidR="00E167E8">
              <w:rPr>
                <w:webHidden/>
              </w:rPr>
            </w:r>
            <w:r w:rsidR="00E167E8">
              <w:rPr>
                <w:webHidden/>
              </w:rPr>
              <w:fldChar w:fldCharType="separate"/>
            </w:r>
            <w:r w:rsidR="00E167E8">
              <w:rPr>
                <w:webHidden/>
              </w:rPr>
              <w:t>19-6</w:t>
            </w:r>
            <w:r w:rsidR="00E167E8">
              <w:rPr>
                <w:webHidden/>
              </w:rPr>
              <w:fldChar w:fldCharType="end"/>
            </w:r>
          </w:hyperlink>
        </w:p>
        <w:p w:rsidR="00E167E8" w:rsidRDefault="00317C80">
          <w:pPr>
            <w:pStyle w:val="TOC2"/>
            <w:tabs>
              <w:tab w:val="left" w:pos="1276"/>
            </w:tabs>
            <w:rPr>
              <w:rFonts w:asciiTheme="minorHAnsi" w:eastAsiaTheme="minorEastAsia" w:hAnsiTheme="minorHAnsi"/>
              <w:b w:val="0"/>
              <w:color w:val="auto"/>
              <w:sz w:val="22"/>
              <w:lang w:eastAsia="en-AU"/>
            </w:rPr>
          </w:pPr>
          <w:hyperlink w:anchor="_Toc417561290" w:history="1">
            <w:r w:rsidR="00E167E8" w:rsidRPr="00BE435E">
              <w:rPr>
                <w:rStyle w:val="Hyperlink"/>
              </w:rPr>
              <w:t>19.2</w:t>
            </w:r>
            <w:r w:rsidR="00E167E8">
              <w:rPr>
                <w:rFonts w:asciiTheme="minorHAnsi" w:eastAsiaTheme="minorEastAsia" w:hAnsiTheme="minorHAnsi"/>
                <w:b w:val="0"/>
                <w:color w:val="auto"/>
                <w:sz w:val="22"/>
                <w:lang w:eastAsia="en-AU"/>
              </w:rPr>
              <w:tab/>
            </w:r>
            <w:r w:rsidR="00E167E8" w:rsidRPr="00BE435E">
              <w:rPr>
                <w:rStyle w:val="Hyperlink"/>
              </w:rPr>
              <w:t>ActewAGL’s revised proposal</w:t>
            </w:r>
            <w:r w:rsidR="00E167E8">
              <w:rPr>
                <w:webHidden/>
              </w:rPr>
              <w:tab/>
            </w:r>
            <w:r w:rsidR="00E167E8">
              <w:rPr>
                <w:webHidden/>
              </w:rPr>
              <w:fldChar w:fldCharType="begin"/>
            </w:r>
            <w:r w:rsidR="00E167E8">
              <w:rPr>
                <w:webHidden/>
              </w:rPr>
              <w:instrText xml:space="preserve"> PAGEREF _Toc417561290 \h </w:instrText>
            </w:r>
            <w:r w:rsidR="00E167E8">
              <w:rPr>
                <w:webHidden/>
              </w:rPr>
            </w:r>
            <w:r w:rsidR="00E167E8">
              <w:rPr>
                <w:webHidden/>
              </w:rPr>
              <w:fldChar w:fldCharType="separate"/>
            </w:r>
            <w:r w:rsidR="00E167E8">
              <w:rPr>
                <w:webHidden/>
              </w:rPr>
              <w:t>19-6</w:t>
            </w:r>
            <w:r w:rsidR="00E167E8">
              <w:rPr>
                <w:webHidden/>
              </w:rPr>
              <w:fldChar w:fldCharType="end"/>
            </w:r>
          </w:hyperlink>
        </w:p>
        <w:p w:rsidR="00E167E8" w:rsidRDefault="00317C80">
          <w:pPr>
            <w:pStyle w:val="TOC2"/>
            <w:tabs>
              <w:tab w:val="left" w:pos="1276"/>
            </w:tabs>
            <w:rPr>
              <w:rFonts w:asciiTheme="minorHAnsi" w:eastAsiaTheme="minorEastAsia" w:hAnsiTheme="minorHAnsi"/>
              <w:b w:val="0"/>
              <w:color w:val="auto"/>
              <w:sz w:val="22"/>
              <w:lang w:eastAsia="en-AU"/>
            </w:rPr>
          </w:pPr>
          <w:hyperlink w:anchor="_Toc417561291" w:history="1">
            <w:r w:rsidR="00E167E8" w:rsidRPr="00BE435E">
              <w:rPr>
                <w:rStyle w:val="Hyperlink"/>
              </w:rPr>
              <w:t>19.3</w:t>
            </w:r>
            <w:r w:rsidR="00E167E8">
              <w:rPr>
                <w:rFonts w:asciiTheme="minorHAnsi" w:eastAsiaTheme="minorEastAsia" w:hAnsiTheme="minorHAnsi"/>
                <w:b w:val="0"/>
                <w:color w:val="auto"/>
                <w:sz w:val="22"/>
                <w:lang w:eastAsia="en-AU"/>
              </w:rPr>
              <w:tab/>
            </w:r>
            <w:r w:rsidR="00E167E8" w:rsidRPr="00BE435E">
              <w:rPr>
                <w:rStyle w:val="Hyperlink"/>
              </w:rPr>
              <w:t>AER’s assessment approach</w:t>
            </w:r>
            <w:r w:rsidR="00E167E8">
              <w:rPr>
                <w:webHidden/>
              </w:rPr>
              <w:tab/>
            </w:r>
            <w:r w:rsidR="00E167E8">
              <w:rPr>
                <w:webHidden/>
              </w:rPr>
              <w:fldChar w:fldCharType="begin"/>
            </w:r>
            <w:r w:rsidR="00E167E8">
              <w:rPr>
                <w:webHidden/>
              </w:rPr>
              <w:instrText xml:space="preserve"> PAGEREF _Toc417561291 \h </w:instrText>
            </w:r>
            <w:r w:rsidR="00E167E8">
              <w:rPr>
                <w:webHidden/>
              </w:rPr>
            </w:r>
            <w:r w:rsidR="00E167E8">
              <w:rPr>
                <w:webHidden/>
              </w:rPr>
              <w:fldChar w:fldCharType="separate"/>
            </w:r>
            <w:r w:rsidR="00E167E8">
              <w:rPr>
                <w:webHidden/>
              </w:rPr>
              <w:t>19-7</w:t>
            </w:r>
            <w:r w:rsidR="00E167E8">
              <w:rPr>
                <w:webHidden/>
              </w:rPr>
              <w:fldChar w:fldCharType="end"/>
            </w:r>
          </w:hyperlink>
        </w:p>
        <w:p w:rsidR="00E167E8" w:rsidRDefault="00317C80">
          <w:pPr>
            <w:pStyle w:val="TOC2"/>
            <w:tabs>
              <w:tab w:val="left" w:pos="1276"/>
            </w:tabs>
            <w:rPr>
              <w:rFonts w:asciiTheme="minorHAnsi" w:eastAsiaTheme="minorEastAsia" w:hAnsiTheme="minorHAnsi"/>
              <w:b w:val="0"/>
              <w:color w:val="auto"/>
              <w:sz w:val="22"/>
              <w:lang w:eastAsia="en-AU"/>
            </w:rPr>
          </w:pPr>
          <w:hyperlink w:anchor="_Toc417561292" w:history="1">
            <w:r w:rsidR="00E167E8" w:rsidRPr="00BE435E">
              <w:rPr>
                <w:rStyle w:val="Hyperlink"/>
              </w:rPr>
              <w:t>19.4</w:t>
            </w:r>
            <w:r w:rsidR="00E167E8">
              <w:rPr>
                <w:rFonts w:asciiTheme="minorHAnsi" w:eastAsiaTheme="minorEastAsia" w:hAnsiTheme="minorHAnsi"/>
                <w:b w:val="0"/>
                <w:color w:val="auto"/>
                <w:sz w:val="22"/>
                <w:lang w:eastAsia="en-AU"/>
              </w:rPr>
              <w:tab/>
            </w:r>
            <w:r w:rsidR="00E167E8" w:rsidRPr="00BE435E">
              <w:rPr>
                <w:rStyle w:val="Hyperlink"/>
              </w:rPr>
              <w:t>Reasons for final decision</w:t>
            </w:r>
            <w:r w:rsidR="00E167E8">
              <w:rPr>
                <w:webHidden/>
              </w:rPr>
              <w:tab/>
            </w:r>
            <w:r w:rsidR="00E167E8">
              <w:rPr>
                <w:webHidden/>
              </w:rPr>
              <w:fldChar w:fldCharType="begin"/>
            </w:r>
            <w:r w:rsidR="00E167E8">
              <w:rPr>
                <w:webHidden/>
              </w:rPr>
              <w:instrText xml:space="preserve"> PAGEREF _Toc417561292 \h </w:instrText>
            </w:r>
            <w:r w:rsidR="00E167E8">
              <w:rPr>
                <w:webHidden/>
              </w:rPr>
            </w:r>
            <w:r w:rsidR="00E167E8">
              <w:rPr>
                <w:webHidden/>
              </w:rPr>
              <w:fldChar w:fldCharType="separate"/>
            </w:r>
            <w:r w:rsidR="00E167E8">
              <w:rPr>
                <w:webHidden/>
              </w:rPr>
              <w:t>19-7</w:t>
            </w:r>
            <w:r w:rsidR="00E167E8">
              <w:rPr>
                <w:webHidden/>
              </w:rPr>
              <w:fldChar w:fldCharType="end"/>
            </w:r>
          </w:hyperlink>
        </w:p>
        <w:p w:rsidR="00E167E8" w:rsidRDefault="00317C80">
          <w:pPr>
            <w:pStyle w:val="TOC3"/>
            <w:rPr>
              <w:rFonts w:asciiTheme="minorHAnsi" w:eastAsiaTheme="minorEastAsia" w:hAnsiTheme="minorHAnsi"/>
              <w:lang w:eastAsia="en-AU"/>
            </w:rPr>
          </w:pPr>
          <w:hyperlink w:anchor="_Toc417561293" w:history="1">
            <w:r w:rsidR="00E167E8" w:rsidRPr="00BE435E">
              <w:rPr>
                <w:rStyle w:val="Hyperlink"/>
              </w:rPr>
              <w:t>19.4.1</w:t>
            </w:r>
            <w:r w:rsidR="00E167E8">
              <w:rPr>
                <w:rFonts w:asciiTheme="minorHAnsi" w:eastAsiaTheme="minorEastAsia" w:hAnsiTheme="minorHAnsi"/>
                <w:lang w:eastAsia="en-AU"/>
              </w:rPr>
              <w:tab/>
            </w:r>
            <w:r w:rsidR="00E167E8" w:rsidRPr="00BE435E">
              <w:rPr>
                <w:rStyle w:val="Hyperlink"/>
              </w:rPr>
              <w:t>Assessment against the pricing principles</w:t>
            </w:r>
            <w:r w:rsidR="00E167E8">
              <w:rPr>
                <w:webHidden/>
              </w:rPr>
              <w:tab/>
            </w:r>
            <w:r w:rsidR="00E167E8">
              <w:rPr>
                <w:webHidden/>
              </w:rPr>
              <w:fldChar w:fldCharType="begin"/>
            </w:r>
            <w:r w:rsidR="00E167E8">
              <w:rPr>
                <w:webHidden/>
              </w:rPr>
              <w:instrText xml:space="preserve"> PAGEREF _Toc417561293 \h </w:instrText>
            </w:r>
            <w:r w:rsidR="00E167E8">
              <w:rPr>
                <w:webHidden/>
              </w:rPr>
            </w:r>
            <w:r w:rsidR="00E167E8">
              <w:rPr>
                <w:webHidden/>
              </w:rPr>
              <w:fldChar w:fldCharType="separate"/>
            </w:r>
            <w:r w:rsidR="00E167E8">
              <w:rPr>
                <w:webHidden/>
              </w:rPr>
              <w:t>19-8</w:t>
            </w:r>
            <w:r w:rsidR="00E167E8">
              <w:rPr>
                <w:webHidden/>
              </w:rPr>
              <w:fldChar w:fldCharType="end"/>
            </w:r>
          </w:hyperlink>
        </w:p>
        <w:p w:rsidR="00E167E8" w:rsidRDefault="00317C80">
          <w:pPr>
            <w:pStyle w:val="TOC3"/>
            <w:rPr>
              <w:rFonts w:asciiTheme="minorHAnsi" w:eastAsiaTheme="minorEastAsia" w:hAnsiTheme="minorHAnsi"/>
              <w:lang w:eastAsia="en-AU"/>
            </w:rPr>
          </w:pPr>
          <w:hyperlink w:anchor="_Toc417561294" w:history="1">
            <w:r w:rsidR="00E167E8" w:rsidRPr="00BE435E">
              <w:rPr>
                <w:rStyle w:val="Hyperlink"/>
              </w:rPr>
              <w:t>19.4.2</w:t>
            </w:r>
            <w:r w:rsidR="00E167E8">
              <w:rPr>
                <w:rFonts w:asciiTheme="minorHAnsi" w:eastAsiaTheme="minorEastAsia" w:hAnsiTheme="minorHAnsi"/>
                <w:lang w:eastAsia="en-AU"/>
              </w:rPr>
              <w:tab/>
            </w:r>
            <w:r w:rsidR="00E167E8" w:rsidRPr="00BE435E">
              <w:rPr>
                <w:rStyle w:val="Hyperlink"/>
              </w:rPr>
              <w:t>Information requirements</w:t>
            </w:r>
            <w:r w:rsidR="00E167E8">
              <w:rPr>
                <w:webHidden/>
              </w:rPr>
              <w:tab/>
            </w:r>
            <w:r w:rsidR="00E167E8">
              <w:rPr>
                <w:webHidden/>
              </w:rPr>
              <w:fldChar w:fldCharType="begin"/>
            </w:r>
            <w:r w:rsidR="00E167E8">
              <w:rPr>
                <w:webHidden/>
              </w:rPr>
              <w:instrText xml:space="preserve"> PAGEREF _Toc417561294 \h </w:instrText>
            </w:r>
            <w:r w:rsidR="00E167E8">
              <w:rPr>
                <w:webHidden/>
              </w:rPr>
            </w:r>
            <w:r w:rsidR="00E167E8">
              <w:rPr>
                <w:webHidden/>
              </w:rPr>
              <w:fldChar w:fldCharType="separate"/>
            </w:r>
            <w:r w:rsidR="00E167E8">
              <w:rPr>
                <w:webHidden/>
              </w:rPr>
              <w:t>19-10</w:t>
            </w:r>
            <w:r w:rsidR="00E167E8">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561287"/>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BD58EB">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5C3490" w:rsidTr="005C3490">
        <w:tc>
          <w:tcPr>
            <w:tcW w:w="4349" w:type="dxa"/>
          </w:tcPr>
          <w:p w:rsidR="005C3490" w:rsidRPr="005C3490" w:rsidRDefault="005C3490" w:rsidP="005C3490">
            <w:pPr>
              <w:numPr>
                <w:ilvl w:val="0"/>
                <w:numId w:val="25"/>
              </w:numPr>
            </w:pPr>
            <w:r w:rsidRPr="005C3490">
              <w:t>AEMC</w:t>
            </w:r>
          </w:p>
        </w:tc>
        <w:tc>
          <w:tcPr>
            <w:tcW w:w="4344" w:type="dxa"/>
          </w:tcPr>
          <w:p w:rsidR="005C3490" w:rsidRPr="005C3490" w:rsidRDefault="005C3490" w:rsidP="005C3490">
            <w:pPr>
              <w:numPr>
                <w:ilvl w:val="0"/>
                <w:numId w:val="25"/>
              </w:numPr>
            </w:pPr>
            <w:r w:rsidRPr="005C3490">
              <w:t>Australian Energy Market Commission</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AEMO</w:t>
            </w:r>
          </w:p>
        </w:tc>
        <w:tc>
          <w:tcPr>
            <w:tcW w:w="4344" w:type="dxa"/>
          </w:tcPr>
          <w:p w:rsidR="005C3490" w:rsidRPr="005C3490" w:rsidRDefault="005C3490" w:rsidP="005C3490">
            <w:pPr>
              <w:numPr>
                <w:ilvl w:val="0"/>
                <w:numId w:val="25"/>
              </w:numPr>
            </w:pPr>
            <w:r w:rsidRPr="005C3490">
              <w:t>Australian Energy Market Operator</w:t>
            </w:r>
          </w:p>
        </w:tc>
      </w:tr>
      <w:tr w:rsidR="005C3490" w:rsidTr="005C3490">
        <w:tc>
          <w:tcPr>
            <w:tcW w:w="4349" w:type="dxa"/>
          </w:tcPr>
          <w:p w:rsidR="005C3490" w:rsidRPr="005C3490" w:rsidRDefault="005C3490" w:rsidP="005C3490">
            <w:pPr>
              <w:numPr>
                <w:ilvl w:val="0"/>
                <w:numId w:val="25"/>
              </w:numPr>
            </w:pPr>
            <w:r w:rsidRPr="005C3490">
              <w:t>AER</w:t>
            </w:r>
          </w:p>
        </w:tc>
        <w:tc>
          <w:tcPr>
            <w:tcW w:w="4344" w:type="dxa"/>
          </w:tcPr>
          <w:p w:rsidR="005C3490" w:rsidRPr="005C3490" w:rsidRDefault="005C3490" w:rsidP="005C3490">
            <w:pPr>
              <w:numPr>
                <w:ilvl w:val="0"/>
                <w:numId w:val="25"/>
              </w:numPr>
            </w:pPr>
            <w:r w:rsidRPr="005C3490">
              <w:t>Australian Energy Regulator</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augex</w:t>
            </w:r>
          </w:p>
        </w:tc>
        <w:tc>
          <w:tcPr>
            <w:tcW w:w="4344" w:type="dxa"/>
          </w:tcPr>
          <w:p w:rsidR="005C3490" w:rsidRPr="005C3490" w:rsidRDefault="005C3490" w:rsidP="005C3490">
            <w:pPr>
              <w:numPr>
                <w:ilvl w:val="0"/>
                <w:numId w:val="25"/>
              </w:numPr>
            </w:pPr>
            <w:r w:rsidRPr="005C3490">
              <w:t>augmentation expenditure</w:t>
            </w:r>
          </w:p>
        </w:tc>
      </w:tr>
      <w:tr w:rsidR="005C3490" w:rsidTr="005C3490">
        <w:tc>
          <w:tcPr>
            <w:tcW w:w="4349" w:type="dxa"/>
          </w:tcPr>
          <w:p w:rsidR="005C3490" w:rsidRPr="005C3490" w:rsidRDefault="005C3490" w:rsidP="005C3490">
            <w:pPr>
              <w:numPr>
                <w:ilvl w:val="0"/>
                <w:numId w:val="25"/>
              </w:numPr>
            </w:pPr>
            <w:r w:rsidRPr="005C3490">
              <w:t>capex</w:t>
            </w:r>
          </w:p>
        </w:tc>
        <w:tc>
          <w:tcPr>
            <w:tcW w:w="4344" w:type="dxa"/>
          </w:tcPr>
          <w:p w:rsidR="005C3490" w:rsidRPr="005C3490" w:rsidRDefault="005C3490" w:rsidP="005C3490">
            <w:pPr>
              <w:numPr>
                <w:ilvl w:val="0"/>
                <w:numId w:val="25"/>
              </w:numPr>
            </w:pPr>
            <w:r w:rsidRPr="005C3490">
              <w:t>capital expenditure</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CCP</w:t>
            </w:r>
          </w:p>
        </w:tc>
        <w:tc>
          <w:tcPr>
            <w:tcW w:w="4344" w:type="dxa"/>
          </w:tcPr>
          <w:p w:rsidR="005C3490" w:rsidRPr="005C3490" w:rsidRDefault="005C3490" w:rsidP="005C3490">
            <w:pPr>
              <w:numPr>
                <w:ilvl w:val="0"/>
                <w:numId w:val="25"/>
              </w:numPr>
            </w:pPr>
            <w:r w:rsidRPr="005C3490">
              <w:t>Consumer Challenge Panel</w:t>
            </w:r>
          </w:p>
        </w:tc>
      </w:tr>
      <w:tr w:rsidR="005C3490" w:rsidTr="005C3490">
        <w:tc>
          <w:tcPr>
            <w:tcW w:w="4349" w:type="dxa"/>
          </w:tcPr>
          <w:p w:rsidR="005C3490" w:rsidRPr="005C3490" w:rsidRDefault="005C3490" w:rsidP="005C3490">
            <w:pPr>
              <w:numPr>
                <w:ilvl w:val="0"/>
                <w:numId w:val="25"/>
              </w:numPr>
            </w:pPr>
            <w:r w:rsidRPr="005C3490">
              <w:t>CESS</w:t>
            </w:r>
          </w:p>
        </w:tc>
        <w:tc>
          <w:tcPr>
            <w:tcW w:w="4344" w:type="dxa"/>
          </w:tcPr>
          <w:p w:rsidR="005C3490" w:rsidRPr="005C3490" w:rsidRDefault="005C3490" w:rsidP="005C3490">
            <w:pPr>
              <w:numPr>
                <w:ilvl w:val="0"/>
                <w:numId w:val="25"/>
              </w:numPr>
            </w:pPr>
            <w:r w:rsidRPr="005C3490">
              <w:t>capital expenditure sharing scheme</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CPI</w:t>
            </w:r>
          </w:p>
        </w:tc>
        <w:tc>
          <w:tcPr>
            <w:tcW w:w="4344" w:type="dxa"/>
          </w:tcPr>
          <w:p w:rsidR="005C3490" w:rsidRPr="005C3490" w:rsidRDefault="005C3490" w:rsidP="005C3490">
            <w:pPr>
              <w:numPr>
                <w:ilvl w:val="0"/>
                <w:numId w:val="25"/>
              </w:numPr>
            </w:pPr>
            <w:r w:rsidRPr="005C3490">
              <w:t>consumer price index</w:t>
            </w:r>
          </w:p>
        </w:tc>
      </w:tr>
      <w:tr w:rsidR="005C3490" w:rsidTr="005C3490">
        <w:tc>
          <w:tcPr>
            <w:tcW w:w="4349" w:type="dxa"/>
          </w:tcPr>
          <w:p w:rsidR="005C3490" w:rsidRPr="005C3490" w:rsidRDefault="005C3490" w:rsidP="005C3490">
            <w:pPr>
              <w:numPr>
                <w:ilvl w:val="0"/>
                <w:numId w:val="25"/>
              </w:numPr>
            </w:pPr>
            <w:r w:rsidRPr="005C3490">
              <w:t>DRP</w:t>
            </w:r>
          </w:p>
        </w:tc>
        <w:tc>
          <w:tcPr>
            <w:tcW w:w="4344" w:type="dxa"/>
          </w:tcPr>
          <w:p w:rsidR="005C3490" w:rsidRPr="005C3490" w:rsidRDefault="005C3490" w:rsidP="005C3490">
            <w:pPr>
              <w:numPr>
                <w:ilvl w:val="0"/>
                <w:numId w:val="25"/>
              </w:numPr>
            </w:pPr>
            <w:r w:rsidRPr="005C3490">
              <w:t>debt risk premium</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DMIA</w:t>
            </w:r>
          </w:p>
        </w:tc>
        <w:tc>
          <w:tcPr>
            <w:tcW w:w="4344" w:type="dxa"/>
          </w:tcPr>
          <w:p w:rsidR="005C3490" w:rsidRPr="005C3490" w:rsidRDefault="005C3490" w:rsidP="005C3490">
            <w:pPr>
              <w:numPr>
                <w:ilvl w:val="0"/>
                <w:numId w:val="25"/>
              </w:numPr>
            </w:pPr>
            <w:r w:rsidRPr="005C3490">
              <w:t>demand management innovation allowance</w:t>
            </w:r>
          </w:p>
        </w:tc>
      </w:tr>
      <w:tr w:rsidR="005C3490" w:rsidTr="005C3490">
        <w:tc>
          <w:tcPr>
            <w:tcW w:w="4349" w:type="dxa"/>
          </w:tcPr>
          <w:p w:rsidR="005C3490" w:rsidRPr="005C3490" w:rsidRDefault="005C3490" w:rsidP="005C3490">
            <w:pPr>
              <w:numPr>
                <w:ilvl w:val="0"/>
                <w:numId w:val="25"/>
              </w:numPr>
            </w:pPr>
            <w:r w:rsidRPr="005C3490">
              <w:t>DMIS</w:t>
            </w:r>
          </w:p>
        </w:tc>
        <w:tc>
          <w:tcPr>
            <w:tcW w:w="4344" w:type="dxa"/>
          </w:tcPr>
          <w:p w:rsidR="005C3490" w:rsidRPr="005C3490" w:rsidRDefault="005C3490" w:rsidP="005C3490">
            <w:pPr>
              <w:numPr>
                <w:ilvl w:val="0"/>
                <w:numId w:val="25"/>
              </w:numPr>
            </w:pPr>
            <w:r w:rsidRPr="005C3490">
              <w:t>demand management incentive scheme</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distributor</w:t>
            </w:r>
          </w:p>
        </w:tc>
        <w:tc>
          <w:tcPr>
            <w:tcW w:w="4344" w:type="dxa"/>
          </w:tcPr>
          <w:p w:rsidR="005C3490" w:rsidRPr="005C3490" w:rsidRDefault="005C3490" w:rsidP="005C3490">
            <w:pPr>
              <w:numPr>
                <w:ilvl w:val="0"/>
                <w:numId w:val="25"/>
              </w:numPr>
            </w:pPr>
            <w:r w:rsidRPr="005C3490">
              <w:t>distribution network service provider</w:t>
            </w:r>
          </w:p>
        </w:tc>
      </w:tr>
      <w:tr w:rsidR="005C3490" w:rsidTr="005C3490">
        <w:tc>
          <w:tcPr>
            <w:tcW w:w="4349" w:type="dxa"/>
          </w:tcPr>
          <w:p w:rsidR="005C3490" w:rsidRPr="005C3490" w:rsidRDefault="005C3490" w:rsidP="005C3490">
            <w:pPr>
              <w:numPr>
                <w:ilvl w:val="0"/>
                <w:numId w:val="25"/>
              </w:numPr>
            </w:pPr>
            <w:r w:rsidRPr="005C3490">
              <w:t>DUoS</w:t>
            </w:r>
          </w:p>
        </w:tc>
        <w:tc>
          <w:tcPr>
            <w:tcW w:w="4344" w:type="dxa"/>
          </w:tcPr>
          <w:p w:rsidR="005C3490" w:rsidRPr="005C3490" w:rsidRDefault="005C3490" w:rsidP="005C3490">
            <w:pPr>
              <w:numPr>
                <w:ilvl w:val="0"/>
                <w:numId w:val="25"/>
              </w:numPr>
            </w:pPr>
            <w:r w:rsidRPr="005C3490">
              <w:t>distribution use of system</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EBSS</w:t>
            </w:r>
          </w:p>
        </w:tc>
        <w:tc>
          <w:tcPr>
            <w:tcW w:w="4344" w:type="dxa"/>
          </w:tcPr>
          <w:p w:rsidR="005C3490" w:rsidRPr="005C3490" w:rsidRDefault="005C3490" w:rsidP="005C3490">
            <w:pPr>
              <w:numPr>
                <w:ilvl w:val="0"/>
                <w:numId w:val="25"/>
              </w:numPr>
            </w:pPr>
            <w:r w:rsidRPr="005C3490">
              <w:t>efficiency benefit sharing scheme</w:t>
            </w:r>
          </w:p>
        </w:tc>
      </w:tr>
      <w:tr w:rsidR="005C3490" w:rsidTr="005C3490">
        <w:tc>
          <w:tcPr>
            <w:tcW w:w="4349" w:type="dxa"/>
          </w:tcPr>
          <w:p w:rsidR="005C3490" w:rsidRPr="005C3490" w:rsidRDefault="005C3490" w:rsidP="005C3490">
            <w:pPr>
              <w:numPr>
                <w:ilvl w:val="0"/>
                <w:numId w:val="25"/>
              </w:numPr>
            </w:pPr>
            <w:r w:rsidRPr="005C3490">
              <w:t>ERP</w:t>
            </w:r>
          </w:p>
        </w:tc>
        <w:tc>
          <w:tcPr>
            <w:tcW w:w="4344" w:type="dxa"/>
          </w:tcPr>
          <w:p w:rsidR="005C3490" w:rsidRPr="005C3490" w:rsidRDefault="005C3490" w:rsidP="005C3490">
            <w:pPr>
              <w:numPr>
                <w:ilvl w:val="0"/>
                <w:numId w:val="25"/>
              </w:numPr>
            </w:pPr>
            <w:r w:rsidRPr="005C3490">
              <w:t>equity risk premium</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Expenditure Assessment Guideline</w:t>
            </w:r>
          </w:p>
        </w:tc>
        <w:tc>
          <w:tcPr>
            <w:tcW w:w="4344" w:type="dxa"/>
          </w:tcPr>
          <w:p w:rsidR="005C3490" w:rsidRPr="005C3490" w:rsidRDefault="005C3490" w:rsidP="005C3490">
            <w:pPr>
              <w:numPr>
                <w:ilvl w:val="0"/>
                <w:numId w:val="25"/>
              </w:numPr>
            </w:pPr>
            <w:r w:rsidRPr="005C3490">
              <w:t>expenditure forecast assessment Guideline for electricity distribution</w:t>
            </w:r>
          </w:p>
        </w:tc>
      </w:tr>
      <w:tr w:rsidR="005C3490" w:rsidTr="005C3490">
        <w:tc>
          <w:tcPr>
            <w:tcW w:w="4349" w:type="dxa"/>
          </w:tcPr>
          <w:p w:rsidR="005C3490" w:rsidRPr="005C3490" w:rsidRDefault="005C3490" w:rsidP="005C3490">
            <w:pPr>
              <w:numPr>
                <w:ilvl w:val="0"/>
                <w:numId w:val="25"/>
              </w:numPr>
            </w:pPr>
            <w:r w:rsidRPr="005C3490">
              <w:t>F&amp;A</w:t>
            </w:r>
          </w:p>
        </w:tc>
        <w:tc>
          <w:tcPr>
            <w:tcW w:w="4344" w:type="dxa"/>
          </w:tcPr>
          <w:p w:rsidR="005C3490" w:rsidRPr="005C3490" w:rsidRDefault="005C3490" w:rsidP="005C3490">
            <w:pPr>
              <w:numPr>
                <w:ilvl w:val="0"/>
                <w:numId w:val="25"/>
              </w:numPr>
            </w:pPr>
            <w:r w:rsidRPr="005C3490">
              <w:t>framework and approach</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MRP</w:t>
            </w:r>
          </w:p>
        </w:tc>
        <w:tc>
          <w:tcPr>
            <w:tcW w:w="4344" w:type="dxa"/>
          </w:tcPr>
          <w:p w:rsidR="005C3490" w:rsidRPr="005C3490" w:rsidRDefault="005C3490" w:rsidP="005C3490">
            <w:pPr>
              <w:numPr>
                <w:ilvl w:val="0"/>
                <w:numId w:val="25"/>
              </w:numPr>
            </w:pPr>
            <w:r w:rsidRPr="005C3490">
              <w:t>market risk premium</w:t>
            </w:r>
          </w:p>
        </w:tc>
      </w:tr>
      <w:tr w:rsidR="005C3490" w:rsidTr="005C3490">
        <w:tc>
          <w:tcPr>
            <w:tcW w:w="4349" w:type="dxa"/>
          </w:tcPr>
          <w:p w:rsidR="005C3490" w:rsidRPr="005C3490" w:rsidRDefault="005C3490" w:rsidP="005C3490">
            <w:pPr>
              <w:numPr>
                <w:ilvl w:val="0"/>
                <w:numId w:val="25"/>
              </w:numPr>
            </w:pPr>
            <w:r w:rsidRPr="005C3490">
              <w:t>NEL</w:t>
            </w:r>
          </w:p>
        </w:tc>
        <w:tc>
          <w:tcPr>
            <w:tcW w:w="4344" w:type="dxa"/>
          </w:tcPr>
          <w:p w:rsidR="005C3490" w:rsidRPr="005C3490" w:rsidRDefault="005C3490" w:rsidP="005C3490">
            <w:pPr>
              <w:numPr>
                <w:ilvl w:val="0"/>
                <w:numId w:val="25"/>
              </w:numPr>
            </w:pPr>
            <w:r w:rsidRPr="005C3490">
              <w:t>national electricity law</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NEM</w:t>
            </w:r>
          </w:p>
        </w:tc>
        <w:tc>
          <w:tcPr>
            <w:tcW w:w="4344" w:type="dxa"/>
          </w:tcPr>
          <w:p w:rsidR="005C3490" w:rsidRPr="005C3490" w:rsidRDefault="005C3490" w:rsidP="005C3490">
            <w:pPr>
              <w:numPr>
                <w:ilvl w:val="0"/>
                <w:numId w:val="25"/>
              </w:numPr>
            </w:pPr>
            <w:r w:rsidRPr="005C3490">
              <w:t>national electricity market</w:t>
            </w:r>
          </w:p>
        </w:tc>
      </w:tr>
      <w:tr w:rsidR="005C3490" w:rsidTr="005C3490">
        <w:tc>
          <w:tcPr>
            <w:tcW w:w="4349" w:type="dxa"/>
          </w:tcPr>
          <w:p w:rsidR="005C3490" w:rsidRPr="005C3490" w:rsidRDefault="005C3490" w:rsidP="005C3490">
            <w:pPr>
              <w:numPr>
                <w:ilvl w:val="0"/>
                <w:numId w:val="25"/>
              </w:numPr>
            </w:pPr>
            <w:r w:rsidRPr="005C3490">
              <w:t>NEO</w:t>
            </w:r>
          </w:p>
        </w:tc>
        <w:tc>
          <w:tcPr>
            <w:tcW w:w="4344" w:type="dxa"/>
          </w:tcPr>
          <w:p w:rsidR="005C3490" w:rsidRPr="005C3490" w:rsidRDefault="005C3490" w:rsidP="005C3490">
            <w:pPr>
              <w:numPr>
                <w:ilvl w:val="0"/>
                <w:numId w:val="25"/>
              </w:numPr>
            </w:pPr>
            <w:r w:rsidRPr="005C3490">
              <w:t>national electricity objective</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NER</w:t>
            </w:r>
          </w:p>
        </w:tc>
        <w:tc>
          <w:tcPr>
            <w:tcW w:w="4344" w:type="dxa"/>
          </w:tcPr>
          <w:p w:rsidR="005C3490" w:rsidRPr="005C3490" w:rsidRDefault="005C3490" w:rsidP="005C3490">
            <w:pPr>
              <w:numPr>
                <w:ilvl w:val="0"/>
                <w:numId w:val="25"/>
              </w:numPr>
            </w:pPr>
            <w:r w:rsidRPr="005C3490">
              <w:t>national electricity rules</w:t>
            </w:r>
          </w:p>
        </w:tc>
      </w:tr>
      <w:tr w:rsidR="005C3490" w:rsidTr="005C3490">
        <w:tc>
          <w:tcPr>
            <w:tcW w:w="4349" w:type="dxa"/>
          </w:tcPr>
          <w:p w:rsidR="005C3490" w:rsidRPr="005C3490" w:rsidRDefault="005C3490" w:rsidP="005C3490">
            <w:pPr>
              <w:numPr>
                <w:ilvl w:val="0"/>
                <w:numId w:val="25"/>
              </w:numPr>
            </w:pPr>
            <w:r w:rsidRPr="005C3490">
              <w:t>NSP</w:t>
            </w:r>
          </w:p>
        </w:tc>
        <w:tc>
          <w:tcPr>
            <w:tcW w:w="4344" w:type="dxa"/>
          </w:tcPr>
          <w:p w:rsidR="005C3490" w:rsidRPr="005C3490" w:rsidRDefault="005C3490" w:rsidP="005C3490">
            <w:pPr>
              <w:numPr>
                <w:ilvl w:val="0"/>
                <w:numId w:val="25"/>
              </w:numPr>
            </w:pPr>
            <w:r w:rsidRPr="005C3490">
              <w:t>network service provider</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opex</w:t>
            </w:r>
          </w:p>
        </w:tc>
        <w:tc>
          <w:tcPr>
            <w:tcW w:w="4344" w:type="dxa"/>
          </w:tcPr>
          <w:p w:rsidR="005C3490" w:rsidRPr="005C3490" w:rsidRDefault="005C3490" w:rsidP="005C3490">
            <w:pPr>
              <w:numPr>
                <w:ilvl w:val="0"/>
                <w:numId w:val="25"/>
              </w:numPr>
            </w:pPr>
            <w:r w:rsidRPr="005C3490">
              <w:t>operating expenditure</w:t>
            </w:r>
          </w:p>
        </w:tc>
      </w:tr>
      <w:tr w:rsidR="005C3490" w:rsidTr="005C3490">
        <w:tc>
          <w:tcPr>
            <w:tcW w:w="4349" w:type="dxa"/>
          </w:tcPr>
          <w:p w:rsidR="005C3490" w:rsidRPr="005C3490" w:rsidRDefault="005C3490" w:rsidP="005C3490">
            <w:pPr>
              <w:numPr>
                <w:ilvl w:val="0"/>
                <w:numId w:val="25"/>
              </w:numPr>
            </w:pPr>
            <w:r w:rsidRPr="005C3490">
              <w:t>PPI</w:t>
            </w:r>
          </w:p>
        </w:tc>
        <w:tc>
          <w:tcPr>
            <w:tcW w:w="4344" w:type="dxa"/>
          </w:tcPr>
          <w:p w:rsidR="005C3490" w:rsidRPr="005C3490" w:rsidRDefault="005C3490" w:rsidP="005C3490">
            <w:pPr>
              <w:numPr>
                <w:ilvl w:val="0"/>
                <w:numId w:val="25"/>
              </w:numPr>
            </w:pPr>
            <w:r w:rsidRPr="005C3490">
              <w:t>partial performance indicators</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PTRM</w:t>
            </w:r>
          </w:p>
        </w:tc>
        <w:tc>
          <w:tcPr>
            <w:tcW w:w="4344" w:type="dxa"/>
          </w:tcPr>
          <w:p w:rsidR="005C3490" w:rsidRPr="005C3490" w:rsidRDefault="005C3490" w:rsidP="005C3490">
            <w:pPr>
              <w:numPr>
                <w:ilvl w:val="0"/>
                <w:numId w:val="25"/>
              </w:numPr>
            </w:pPr>
            <w:r w:rsidRPr="005C3490">
              <w:t>post-tax revenue model</w:t>
            </w:r>
          </w:p>
        </w:tc>
      </w:tr>
      <w:tr w:rsidR="005C3490" w:rsidTr="005C3490">
        <w:tc>
          <w:tcPr>
            <w:tcW w:w="4349" w:type="dxa"/>
          </w:tcPr>
          <w:p w:rsidR="005C3490" w:rsidRPr="005C3490" w:rsidRDefault="005C3490" w:rsidP="005C3490">
            <w:pPr>
              <w:numPr>
                <w:ilvl w:val="0"/>
                <w:numId w:val="25"/>
              </w:numPr>
            </w:pPr>
            <w:r w:rsidRPr="005C3490">
              <w:t>RAB</w:t>
            </w:r>
          </w:p>
        </w:tc>
        <w:tc>
          <w:tcPr>
            <w:tcW w:w="4344" w:type="dxa"/>
          </w:tcPr>
          <w:p w:rsidR="005C3490" w:rsidRPr="005C3490" w:rsidRDefault="005C3490" w:rsidP="005C3490">
            <w:pPr>
              <w:numPr>
                <w:ilvl w:val="0"/>
                <w:numId w:val="25"/>
              </w:numPr>
            </w:pPr>
            <w:r w:rsidRPr="005C3490">
              <w:t>regulatory asset base</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RBA</w:t>
            </w:r>
          </w:p>
        </w:tc>
        <w:tc>
          <w:tcPr>
            <w:tcW w:w="4344" w:type="dxa"/>
          </w:tcPr>
          <w:p w:rsidR="005C3490" w:rsidRPr="005C3490" w:rsidRDefault="005C3490" w:rsidP="005C3490">
            <w:pPr>
              <w:numPr>
                <w:ilvl w:val="0"/>
                <w:numId w:val="25"/>
              </w:numPr>
            </w:pPr>
            <w:r w:rsidRPr="005C3490">
              <w:t>Reserve Bank of Australia</w:t>
            </w:r>
          </w:p>
        </w:tc>
      </w:tr>
      <w:tr w:rsidR="005C3490" w:rsidTr="005C3490">
        <w:tc>
          <w:tcPr>
            <w:tcW w:w="4349" w:type="dxa"/>
          </w:tcPr>
          <w:p w:rsidR="005C3490" w:rsidRPr="005C3490" w:rsidRDefault="005C3490" w:rsidP="005C3490">
            <w:pPr>
              <w:numPr>
                <w:ilvl w:val="0"/>
                <w:numId w:val="25"/>
              </w:numPr>
            </w:pPr>
            <w:r w:rsidRPr="005C3490">
              <w:t>repex</w:t>
            </w:r>
          </w:p>
        </w:tc>
        <w:tc>
          <w:tcPr>
            <w:tcW w:w="4344" w:type="dxa"/>
          </w:tcPr>
          <w:p w:rsidR="005C3490" w:rsidRPr="005C3490" w:rsidRDefault="005C3490" w:rsidP="005C3490">
            <w:pPr>
              <w:numPr>
                <w:ilvl w:val="0"/>
                <w:numId w:val="25"/>
              </w:numPr>
            </w:pPr>
            <w:r w:rsidRPr="005C3490">
              <w:t>replacement expenditure</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RFM</w:t>
            </w:r>
          </w:p>
        </w:tc>
        <w:tc>
          <w:tcPr>
            <w:tcW w:w="4344" w:type="dxa"/>
          </w:tcPr>
          <w:p w:rsidR="005C3490" w:rsidRPr="005C3490" w:rsidRDefault="005C3490" w:rsidP="005C3490">
            <w:pPr>
              <w:numPr>
                <w:ilvl w:val="0"/>
                <w:numId w:val="25"/>
              </w:numPr>
            </w:pPr>
            <w:r w:rsidRPr="005C3490">
              <w:t>roll forward model</w:t>
            </w:r>
          </w:p>
        </w:tc>
      </w:tr>
      <w:tr w:rsidR="005C3490" w:rsidTr="005C3490">
        <w:tc>
          <w:tcPr>
            <w:tcW w:w="4349" w:type="dxa"/>
          </w:tcPr>
          <w:p w:rsidR="005C3490" w:rsidRPr="005C3490" w:rsidRDefault="005C3490" w:rsidP="005C3490">
            <w:pPr>
              <w:numPr>
                <w:ilvl w:val="0"/>
                <w:numId w:val="25"/>
              </w:numPr>
            </w:pPr>
            <w:r w:rsidRPr="005C3490">
              <w:lastRenderedPageBreak/>
              <w:t>RIN</w:t>
            </w:r>
          </w:p>
        </w:tc>
        <w:tc>
          <w:tcPr>
            <w:tcW w:w="4344" w:type="dxa"/>
          </w:tcPr>
          <w:p w:rsidR="005C3490" w:rsidRPr="005C3490" w:rsidRDefault="005C3490" w:rsidP="005C3490">
            <w:pPr>
              <w:numPr>
                <w:ilvl w:val="0"/>
                <w:numId w:val="25"/>
              </w:numPr>
            </w:pPr>
            <w:r w:rsidRPr="005C3490">
              <w:t>regulatory information notice</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RPP</w:t>
            </w:r>
          </w:p>
        </w:tc>
        <w:tc>
          <w:tcPr>
            <w:tcW w:w="4344" w:type="dxa"/>
          </w:tcPr>
          <w:p w:rsidR="005C3490" w:rsidRPr="005C3490" w:rsidRDefault="005C3490" w:rsidP="005C3490">
            <w:pPr>
              <w:numPr>
                <w:ilvl w:val="0"/>
                <w:numId w:val="25"/>
              </w:numPr>
            </w:pPr>
            <w:r w:rsidRPr="005C3490">
              <w:t>revenue and pricing principles</w:t>
            </w:r>
          </w:p>
        </w:tc>
      </w:tr>
      <w:tr w:rsidR="005C3490" w:rsidTr="005C3490">
        <w:tc>
          <w:tcPr>
            <w:tcW w:w="4349" w:type="dxa"/>
          </w:tcPr>
          <w:p w:rsidR="005C3490" w:rsidRPr="005C3490" w:rsidRDefault="005C3490" w:rsidP="005C3490">
            <w:pPr>
              <w:numPr>
                <w:ilvl w:val="0"/>
                <w:numId w:val="25"/>
              </w:numPr>
            </w:pPr>
            <w:r w:rsidRPr="005C3490">
              <w:t>SAIDI</w:t>
            </w:r>
          </w:p>
        </w:tc>
        <w:tc>
          <w:tcPr>
            <w:tcW w:w="4344" w:type="dxa"/>
          </w:tcPr>
          <w:p w:rsidR="005C3490" w:rsidRPr="005C3490" w:rsidRDefault="005C3490" w:rsidP="005C3490">
            <w:pPr>
              <w:numPr>
                <w:ilvl w:val="0"/>
                <w:numId w:val="25"/>
              </w:numPr>
            </w:pPr>
            <w:r w:rsidRPr="005C3490">
              <w:t>system average interruption duration index</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SAIFI</w:t>
            </w:r>
          </w:p>
        </w:tc>
        <w:tc>
          <w:tcPr>
            <w:tcW w:w="4344" w:type="dxa"/>
          </w:tcPr>
          <w:p w:rsidR="005C3490" w:rsidRPr="005C3490" w:rsidRDefault="005C3490" w:rsidP="005C3490">
            <w:pPr>
              <w:numPr>
                <w:ilvl w:val="0"/>
                <w:numId w:val="25"/>
              </w:numPr>
            </w:pPr>
            <w:r w:rsidRPr="005C3490">
              <w:t>system average interruption frequency index</w:t>
            </w:r>
          </w:p>
        </w:tc>
      </w:tr>
      <w:tr w:rsidR="005C3490" w:rsidTr="005C3490">
        <w:tc>
          <w:tcPr>
            <w:tcW w:w="4349" w:type="dxa"/>
          </w:tcPr>
          <w:p w:rsidR="005C3490" w:rsidRPr="005C3490" w:rsidRDefault="005C3490" w:rsidP="005C3490">
            <w:pPr>
              <w:numPr>
                <w:ilvl w:val="0"/>
                <w:numId w:val="25"/>
              </w:numPr>
            </w:pPr>
            <w:r w:rsidRPr="005C3490">
              <w:t>SLCAPM</w:t>
            </w:r>
          </w:p>
        </w:tc>
        <w:tc>
          <w:tcPr>
            <w:tcW w:w="4344" w:type="dxa"/>
          </w:tcPr>
          <w:p w:rsidR="005C3490" w:rsidRPr="005C3490" w:rsidRDefault="005C3490" w:rsidP="005C3490">
            <w:pPr>
              <w:numPr>
                <w:ilvl w:val="0"/>
                <w:numId w:val="25"/>
              </w:numPr>
            </w:pPr>
            <w:r w:rsidRPr="005C3490">
              <w:t>Sharpe-Lintner capital asset pricing model</w:t>
            </w:r>
          </w:p>
        </w:tc>
      </w:tr>
      <w:tr w:rsidR="005C3490" w:rsidTr="005C3490">
        <w:trPr>
          <w:cnfStyle w:val="000000010000" w:firstRow="0" w:lastRow="0" w:firstColumn="0" w:lastColumn="0" w:oddVBand="0" w:evenVBand="0" w:oddHBand="0" w:evenHBand="1" w:firstRowFirstColumn="0" w:firstRowLastColumn="0" w:lastRowFirstColumn="0" w:lastRowLastColumn="0"/>
        </w:trPr>
        <w:tc>
          <w:tcPr>
            <w:tcW w:w="4349" w:type="dxa"/>
          </w:tcPr>
          <w:p w:rsidR="005C3490" w:rsidRPr="005C3490" w:rsidRDefault="005C3490" w:rsidP="005C3490">
            <w:pPr>
              <w:numPr>
                <w:ilvl w:val="0"/>
                <w:numId w:val="25"/>
              </w:numPr>
            </w:pPr>
            <w:r w:rsidRPr="005C3490">
              <w:t>STPIS</w:t>
            </w:r>
          </w:p>
        </w:tc>
        <w:tc>
          <w:tcPr>
            <w:tcW w:w="4344" w:type="dxa"/>
          </w:tcPr>
          <w:p w:rsidR="005C3490" w:rsidRPr="005C3490" w:rsidRDefault="005C3490" w:rsidP="005C3490">
            <w:pPr>
              <w:numPr>
                <w:ilvl w:val="0"/>
                <w:numId w:val="25"/>
              </w:numPr>
            </w:pPr>
            <w:r w:rsidRPr="005C3490">
              <w:t>service target performance incentive scheme</w:t>
            </w:r>
          </w:p>
        </w:tc>
      </w:tr>
      <w:tr w:rsidR="005C3490" w:rsidTr="005C3490">
        <w:tc>
          <w:tcPr>
            <w:tcW w:w="4349" w:type="dxa"/>
          </w:tcPr>
          <w:p w:rsidR="005C3490" w:rsidRPr="005C3490" w:rsidRDefault="005C3490" w:rsidP="005C3490">
            <w:pPr>
              <w:numPr>
                <w:ilvl w:val="0"/>
                <w:numId w:val="25"/>
              </w:numPr>
            </w:pPr>
            <w:r w:rsidRPr="005C3490">
              <w:t>WACC</w:t>
            </w:r>
          </w:p>
        </w:tc>
        <w:tc>
          <w:tcPr>
            <w:tcW w:w="4344" w:type="dxa"/>
          </w:tcPr>
          <w:p w:rsidR="005C3490" w:rsidRPr="005C3490" w:rsidRDefault="005C3490" w:rsidP="005C3490">
            <w:pPr>
              <w:numPr>
                <w:ilvl w:val="0"/>
                <w:numId w:val="25"/>
              </w:numPr>
            </w:pPr>
            <w:r w:rsidRPr="005C3490">
              <w:t>weighted average cost of capital</w:t>
            </w:r>
          </w:p>
        </w:tc>
      </w:tr>
    </w:tbl>
    <w:p w:rsidR="00DE563D" w:rsidRPr="00436A39" w:rsidRDefault="00DE563D" w:rsidP="00DE563D">
      <w:pPr>
        <w:numPr>
          <w:ilvl w:val="0"/>
          <w:numId w:val="25"/>
        </w:numPr>
      </w:pPr>
    </w:p>
    <w:p w:rsidR="00DE563D" w:rsidRDefault="00DE563D" w:rsidP="00DE563D"/>
    <w:p w:rsidR="00DE563D" w:rsidRDefault="00866963" w:rsidP="00866963">
      <w:pPr>
        <w:pStyle w:val="Heading1"/>
      </w:pPr>
      <w:bookmarkStart w:id="10" w:name="_Toc417561288"/>
      <w:r w:rsidRPr="00866963">
        <w:lastRenderedPageBreak/>
        <w:t>Pricing methodology</w:t>
      </w:r>
      <w:bookmarkEnd w:id="10"/>
    </w:p>
    <w:p w:rsidR="00C16AC2" w:rsidRPr="0019537E" w:rsidRDefault="00C16AC2" w:rsidP="00C16AC2">
      <w:pPr>
        <w:numPr>
          <w:ilvl w:val="0"/>
          <w:numId w:val="25"/>
        </w:numPr>
      </w:pPr>
      <w:bookmarkStart w:id="11" w:name="_Toc403144136"/>
      <w:r>
        <w:t xml:space="preserve">A </w:t>
      </w:r>
      <w:r w:rsidR="007E3C7B">
        <w:t xml:space="preserve">transmission </w:t>
      </w:r>
      <w:r>
        <w:t>pricing methodology forms part of our regulatory determination.</w:t>
      </w:r>
      <w:r>
        <w:rPr>
          <w:rStyle w:val="FootnoteReference"/>
        </w:rPr>
        <w:footnoteReference w:id="1"/>
      </w:r>
      <w:r>
        <w:t xml:space="preserve"> Its role is to answer the question ‘who should pay how much'</w:t>
      </w:r>
      <w:r>
        <w:rPr>
          <w:rStyle w:val="FootnoteReference"/>
        </w:rPr>
        <w:footnoteReference w:id="2"/>
      </w:r>
      <w:r w:rsidRPr="0019537E">
        <w:t xml:space="preserve"> in order </w:t>
      </w:r>
      <w:r>
        <w:t>for a network business to recover its costs relating to transmission services. To do this, a pricing methodology must provide a 'formula, process or approach'</w:t>
      </w:r>
      <w:r>
        <w:rPr>
          <w:rStyle w:val="FootnoteReference"/>
        </w:rPr>
        <w:footnoteReference w:id="3"/>
      </w:r>
      <w:r>
        <w:t xml:space="preserve"> that when applied:</w:t>
      </w:r>
    </w:p>
    <w:p w:rsidR="00C16AC2" w:rsidRPr="00C92657" w:rsidRDefault="00C16AC2" w:rsidP="00C16AC2">
      <w:pPr>
        <w:pStyle w:val="AERbulletlistfirststyle"/>
      </w:pPr>
      <w:r>
        <w:t>allocates the</w:t>
      </w:r>
      <w:r w:rsidRPr="00C92657">
        <w:t xml:space="preserve"> aggregate annual revenue requirement to the categories of prescribed transmission services that a network business provides and to the connection points of network users</w:t>
      </w:r>
      <w:r w:rsidRPr="00C92657">
        <w:rPr>
          <w:rStyle w:val="FootnoteReference"/>
        </w:rPr>
        <w:footnoteReference w:id="4"/>
      </w:r>
    </w:p>
    <w:p w:rsidR="00C16AC2" w:rsidRPr="00C92657" w:rsidRDefault="00C16AC2" w:rsidP="00C16AC2">
      <w:pPr>
        <w:pStyle w:val="AERbulletlistfirststyle"/>
      </w:pPr>
      <w:r>
        <w:t>determines</w:t>
      </w:r>
      <w:r w:rsidRPr="00C92657">
        <w:t xml:space="preserve"> the structure of prices that a network business may charge for each category of prescribed transmission services.</w:t>
      </w:r>
      <w:r w:rsidRPr="00C92657">
        <w:rPr>
          <w:rStyle w:val="FootnoteReference"/>
        </w:rPr>
        <w:footnoteReference w:id="5"/>
      </w:r>
      <w:r w:rsidRPr="00C92657">
        <w:t xml:space="preserve"> </w:t>
      </w:r>
    </w:p>
    <w:p w:rsidR="00C16AC2" w:rsidRDefault="00C16AC2" w:rsidP="00C16AC2">
      <w:pPr>
        <w:numPr>
          <w:ilvl w:val="0"/>
          <w:numId w:val="25"/>
        </w:numPr>
      </w:pPr>
      <w:r>
        <w:t xml:space="preserve">ActewAGL must submit a </w:t>
      </w:r>
      <w:r w:rsidR="007E3C7B">
        <w:t xml:space="preserve">transmission </w:t>
      </w:r>
      <w:r>
        <w:t>pricing methodology to us for approval because its network</w:t>
      </w:r>
      <w:r w:rsidR="00605D16">
        <w:t xml:space="preserve"> also</w:t>
      </w:r>
      <w:r>
        <w:t xml:space="preserve"> comprises </w:t>
      </w:r>
      <w:r w:rsidR="00612D73">
        <w:t xml:space="preserve">some high voltage </w:t>
      </w:r>
      <w:r>
        <w:t>assets, which are subject to the pricing arrangements for transmission standard control services.</w:t>
      </w:r>
      <w:r>
        <w:rPr>
          <w:rStyle w:val="FootnoteReference"/>
        </w:rPr>
        <w:footnoteReference w:id="6"/>
      </w:r>
      <w:r w:rsidRPr="001A7066">
        <w:t xml:space="preserve"> </w:t>
      </w:r>
    </w:p>
    <w:p w:rsidR="00C16AC2" w:rsidRPr="00127A35" w:rsidRDefault="00C16AC2" w:rsidP="00C16AC2">
      <w:pPr>
        <w:numPr>
          <w:ilvl w:val="0"/>
          <w:numId w:val="25"/>
        </w:numPr>
      </w:pPr>
      <w:r w:rsidRPr="0036075C">
        <w:t xml:space="preserve">This attachment sets out the determination on </w:t>
      </w:r>
      <w:r>
        <w:t>ActewAGL's revised pricing methodology for the 2015–19</w:t>
      </w:r>
      <w:r w:rsidRPr="0036075C">
        <w:t xml:space="preserve"> regulatory control period.</w:t>
      </w:r>
    </w:p>
    <w:p w:rsidR="00C16AC2" w:rsidRPr="001754EE" w:rsidRDefault="00C16AC2" w:rsidP="00C16AC2">
      <w:pPr>
        <w:pStyle w:val="Heading2"/>
      </w:pPr>
      <w:bookmarkStart w:id="12" w:name="_Toc415033495"/>
      <w:bookmarkStart w:id="13" w:name="_Toc417561289"/>
      <w:r w:rsidRPr="001754EE">
        <w:t>Final decision</w:t>
      </w:r>
      <w:bookmarkEnd w:id="11"/>
      <w:bookmarkEnd w:id="12"/>
      <w:bookmarkEnd w:id="13"/>
    </w:p>
    <w:p w:rsidR="00C16AC2" w:rsidRDefault="00C16AC2" w:rsidP="00C16AC2">
      <w:bookmarkStart w:id="14" w:name="_Toc403144137"/>
      <w:r>
        <w:t>Our final decision is to approve ActewAGL's revised pricing methodology for the 2015–19 regulatory control period. We did not accept its initial proposal so that Actew</w:t>
      </w:r>
      <w:r w:rsidR="00605D16">
        <w:t>AGL could engage with TransGrid, to ensure that its pricing methodology is inter–linked or consistent with that of TransGrid, which is the co–ordinating transmission network service provider for NSW. This was necessary since we amended TransGrid's proposed methodology in our draft TransGrid decision.</w:t>
      </w:r>
      <w:r>
        <w:t xml:space="preserve"> ActewAGL has undertaken that engagement with TransGrid</w:t>
      </w:r>
      <w:r w:rsidR="00605D16">
        <w:t xml:space="preserve"> and appropriate amendments have been made,</w:t>
      </w:r>
      <w:r>
        <w:t xml:space="preserve"> and therefore we approve its revised pricing methodology.  </w:t>
      </w:r>
    </w:p>
    <w:p w:rsidR="00C16AC2" w:rsidRPr="001754EE" w:rsidRDefault="00C16AC2" w:rsidP="00C16AC2">
      <w:pPr>
        <w:pStyle w:val="Heading2"/>
      </w:pPr>
      <w:bookmarkStart w:id="15" w:name="_Toc415033496"/>
      <w:bookmarkStart w:id="16" w:name="_Toc417561290"/>
      <w:r>
        <w:t>ActewAGL</w:t>
      </w:r>
      <w:r w:rsidRPr="001754EE">
        <w:t>’s revised proposal</w:t>
      </w:r>
      <w:bookmarkEnd w:id="14"/>
      <w:bookmarkEnd w:id="15"/>
      <w:bookmarkEnd w:id="16"/>
    </w:p>
    <w:p w:rsidR="00C16AC2" w:rsidRDefault="00C16AC2" w:rsidP="00C16AC2">
      <w:r>
        <w:t xml:space="preserve">ActewAGL submitted its revised pricing methodology for the 2015–19 regulatory control period in January 2015. With the exception of </w:t>
      </w:r>
      <w:r w:rsidR="00605D16">
        <w:t xml:space="preserve">some </w:t>
      </w:r>
      <w:r>
        <w:t xml:space="preserve">minor editorial changes, ActewAGL's revised pricing methodology is the same as its initial proposal, submitted to us in May 2014. </w:t>
      </w:r>
    </w:p>
    <w:p w:rsidR="00C16AC2" w:rsidRDefault="00C16AC2" w:rsidP="00C16AC2">
      <w:r>
        <w:lastRenderedPageBreak/>
        <w:t>In NSW, TransGrid is the coordinating</w:t>
      </w:r>
      <w:r w:rsidR="00605D16">
        <w:t xml:space="preserve"> transmission</w:t>
      </w:r>
      <w:r>
        <w:t xml:space="preserve"> network service provider. ActewAGL is one of </w:t>
      </w:r>
      <w:r w:rsidR="00612D73">
        <w:t>a number of</w:t>
      </w:r>
      <w:r>
        <w:t xml:space="preserve"> 'appointing providers' in the region. In these circumstances, TransGrid is responsible for performing some transmission pricing functions on ActewAGL's behalf. These functions include:</w:t>
      </w:r>
    </w:p>
    <w:p w:rsidR="00C16AC2" w:rsidRPr="000145F1" w:rsidRDefault="00C16AC2" w:rsidP="00C16AC2">
      <w:pPr>
        <w:pStyle w:val="AERbulletlistfirststyle"/>
      </w:pPr>
      <w:r w:rsidRPr="000145F1">
        <w:t>any adjustments required to be made to the locational component of the annual service revenue requirement (ASRR) as required in the NER</w:t>
      </w:r>
    </w:p>
    <w:p w:rsidR="00C16AC2" w:rsidRPr="000145F1" w:rsidRDefault="00C16AC2" w:rsidP="00C16AC2">
      <w:pPr>
        <w:pStyle w:val="AERbulletlistfirststyle"/>
      </w:pPr>
      <w:r w:rsidRPr="000145F1">
        <w:t>any adjustments required to be made to the pre–adjusted non–locational component of the ASRR as required in the NER.</w:t>
      </w:r>
    </w:p>
    <w:p w:rsidR="00C16AC2" w:rsidRPr="000145F1" w:rsidRDefault="00C16AC2" w:rsidP="00C16AC2">
      <w:pPr>
        <w:pStyle w:val="AERbulletlistfirststyle"/>
      </w:pPr>
      <w:r w:rsidRPr="000145F1">
        <w:t>allocation of the locational component of prescribed TUoS services to transmission connection points</w:t>
      </w:r>
    </w:p>
    <w:p w:rsidR="00C16AC2" w:rsidRDefault="00C16AC2" w:rsidP="00C16AC2">
      <w:pPr>
        <w:pStyle w:val="AERbulletlistfirststyle"/>
      </w:pPr>
      <w:r w:rsidRPr="000145F1">
        <w:t>establishing the structure and price for prescribed transmission services.</w:t>
      </w:r>
      <w:r>
        <w:rPr>
          <w:rStyle w:val="FootnoteReference"/>
        </w:rPr>
        <w:footnoteReference w:id="7"/>
      </w:r>
    </w:p>
    <w:p w:rsidR="00C16AC2" w:rsidRPr="00C16AC2" w:rsidRDefault="00C16AC2" w:rsidP="009431D1">
      <w:pPr>
        <w:pStyle w:val="AERbulletlistfirststyle"/>
        <w:numPr>
          <w:ilvl w:val="0"/>
          <w:numId w:val="0"/>
        </w:numPr>
      </w:pPr>
      <w:r>
        <w:t>Since these functions are performed by TransGrid, they are not addressed in</w:t>
      </w:r>
      <w:r w:rsidR="00605D16">
        <w:t xml:space="preserve"> ActewAGL's pricing methodology; however, the methodology needs to make reference to relevant aspects of TransGrid's methodology.</w:t>
      </w:r>
      <w:r>
        <w:t xml:space="preserve"> ActewAGL</w:t>
      </w:r>
      <w:r w:rsidRPr="00C16AC2">
        <w:t xml:space="preserve">'s revised proposal </w:t>
      </w:r>
      <w:r w:rsidR="00605D16">
        <w:t xml:space="preserve">now </w:t>
      </w:r>
      <w:r w:rsidRPr="00C16AC2">
        <w:t xml:space="preserve">states when TransGrid's pricing methodology should be referred to, in order to determine how its services will be priced. In that way, </w:t>
      </w:r>
      <w:r>
        <w:t>ActewAGL</w:t>
      </w:r>
      <w:r w:rsidRPr="00C16AC2">
        <w:t>'s revised pricing methodology is interlinked with the pricing arrangements which have been approved for TransGrid.</w:t>
      </w:r>
    </w:p>
    <w:p w:rsidR="00C16AC2" w:rsidRDefault="00C16AC2" w:rsidP="00C16AC2">
      <w:pPr>
        <w:pStyle w:val="Heading2"/>
      </w:pPr>
      <w:bookmarkStart w:id="17" w:name="_Toc403144138"/>
      <w:bookmarkStart w:id="18" w:name="_Toc415033497"/>
      <w:bookmarkStart w:id="19" w:name="_Toc417561291"/>
      <w:r w:rsidRPr="001754EE">
        <w:t>AER’s</w:t>
      </w:r>
      <w:r>
        <w:t xml:space="preserve"> assessment approach</w:t>
      </w:r>
      <w:bookmarkEnd w:id="17"/>
      <w:bookmarkEnd w:id="18"/>
      <w:bookmarkEnd w:id="19"/>
    </w:p>
    <w:p w:rsidR="00C16AC2" w:rsidRPr="00A42D0D" w:rsidRDefault="00C16AC2" w:rsidP="00C16AC2">
      <w:pPr>
        <w:numPr>
          <w:ilvl w:val="0"/>
          <w:numId w:val="25"/>
        </w:numPr>
      </w:pPr>
      <w:r>
        <w:t>We</w:t>
      </w:r>
      <w:r w:rsidRPr="00A42D0D">
        <w:t xml:space="preserve"> must approve a </w:t>
      </w:r>
      <w:r>
        <w:t xml:space="preserve">proposed pricing methodology </w:t>
      </w:r>
      <w:r w:rsidRPr="00A42D0D">
        <w:t xml:space="preserve">if satisfied that </w:t>
      </w:r>
      <w:r>
        <w:t>it</w:t>
      </w:r>
      <w:r w:rsidRPr="00A42D0D">
        <w:t>:</w:t>
      </w:r>
    </w:p>
    <w:p w:rsidR="00C16AC2" w:rsidRPr="00A42D0D" w:rsidRDefault="00C16AC2" w:rsidP="00C16AC2">
      <w:pPr>
        <w:pStyle w:val="AERbulletlistfirststyle"/>
      </w:pPr>
      <w:r w:rsidRPr="00A42D0D">
        <w:t xml:space="preserve">gives effect to, and complies with, the pricing principles for prescribed transmission services </w:t>
      </w:r>
    </w:p>
    <w:p w:rsidR="00C16AC2" w:rsidRPr="000B29CE" w:rsidRDefault="00C16AC2" w:rsidP="00C16AC2">
      <w:pPr>
        <w:pStyle w:val="AERbulletlistfirststyle"/>
      </w:pPr>
      <w:r w:rsidRPr="00A42D0D">
        <w:t>complies with the requirements of the pricing methodology guidelines.</w:t>
      </w:r>
      <w:r w:rsidRPr="000B29CE">
        <w:rPr>
          <w:rStyle w:val="FootnoteReference"/>
        </w:rPr>
        <w:footnoteReference w:id="8"/>
      </w:r>
      <w:r w:rsidRPr="000B29CE">
        <w:t xml:space="preserve">  </w:t>
      </w:r>
    </w:p>
    <w:p w:rsidR="00C16AC2" w:rsidRDefault="00C16AC2" w:rsidP="00C16AC2">
      <w:pPr>
        <w:pStyle w:val="Heading2"/>
      </w:pPr>
      <w:bookmarkStart w:id="20" w:name="_Toc403144140"/>
      <w:bookmarkStart w:id="21" w:name="_Ref414443155"/>
      <w:bookmarkStart w:id="22" w:name="_Toc415033498"/>
      <w:bookmarkStart w:id="23" w:name="_Toc417561292"/>
      <w:r w:rsidRPr="001754EE">
        <w:t>Reasons</w:t>
      </w:r>
      <w:r>
        <w:t xml:space="preserve"> for final decision</w:t>
      </w:r>
      <w:bookmarkEnd w:id="20"/>
      <w:bookmarkEnd w:id="21"/>
      <w:bookmarkEnd w:id="22"/>
      <w:bookmarkEnd w:id="23"/>
      <w:r>
        <w:t xml:space="preserve"> </w:t>
      </w:r>
    </w:p>
    <w:p w:rsidR="00C16AC2" w:rsidRDefault="00C16AC2" w:rsidP="00C16AC2">
      <w:r>
        <w:t>We approve ActewAGL's proposed pricing methodology. It gives effect to the pricing principles for prescribed transmission services and complies with the requirements in the pricing methodology guidelines.</w:t>
      </w:r>
    </w:p>
    <w:p w:rsidR="00C16AC2" w:rsidRDefault="00C16AC2" w:rsidP="00C16AC2">
      <w:r>
        <w:t xml:space="preserve">Our draft decision required ActewAGL to engage with TransGrid about their respective pricing methodologies. This is given we did not accept aspects of the latter's proposed methodology to which ActewAGL's was interlinked.  ActewAGL has consulted with TransGrid about the latter's revised pricing methodology. We have also assessed TransGrid's revised pricing methodology submitted in January 2015. Our final decision is to approve TransGrid's revised pricing methodology and hence it follows that we approve ActewAGL's too. </w:t>
      </w:r>
      <w:r w:rsidR="009431D1" w:rsidRPr="009431D1">
        <w:t xml:space="preserve">Our reasons are set in attachment 19 of our final decision on TransGrid's revised pricing methodology: </w:t>
      </w:r>
      <w:hyperlink r:id="rId14" w:history="1">
        <w:r w:rsidR="009431D1" w:rsidRPr="009431D1">
          <w:rPr>
            <w:rStyle w:val="Hyperlink"/>
          </w:rPr>
          <w:t>http://www.aer.gov.au/node/23137</w:t>
        </w:r>
      </w:hyperlink>
      <w:r w:rsidR="009431D1" w:rsidRPr="009431D1">
        <w:t xml:space="preserve">. </w:t>
      </w:r>
      <w:r w:rsidR="009431D1">
        <w:t xml:space="preserve"> </w:t>
      </w:r>
    </w:p>
    <w:p w:rsidR="00C16AC2" w:rsidRDefault="00C16AC2" w:rsidP="00C16AC2">
      <w:pPr>
        <w:numPr>
          <w:ilvl w:val="0"/>
          <w:numId w:val="25"/>
        </w:numPr>
      </w:pPr>
      <w:r>
        <w:lastRenderedPageBreak/>
        <w:t>It is important to clarify how ActewAGL</w:t>
      </w:r>
      <w:r w:rsidR="009431D1">
        <w:t>'s</w:t>
      </w:r>
      <w:r>
        <w:t xml:space="preserve"> and TransGrid's pricing methodologies will interact. We note that the lengths of the two businesses' regulatory control periods are different. ActewAGL's is from 1 July 2015 to 30 June 2019. TransGrid's regulatory control period has the same commencement date but ends on 30 June 2018. </w:t>
      </w:r>
    </w:p>
    <w:p w:rsidR="00C16AC2" w:rsidRDefault="00C16AC2" w:rsidP="00C16AC2">
      <w:pPr>
        <w:numPr>
          <w:ilvl w:val="0"/>
          <w:numId w:val="25"/>
        </w:numPr>
      </w:pPr>
      <w:r>
        <w:t>In this context, the NER require that ActewAGL's approved pricing methodology must apply, and cannot be amended, for the duration of its 2015–19 regulatory control period.</w:t>
      </w:r>
      <w:r>
        <w:rPr>
          <w:rStyle w:val="FootnoteReference"/>
        </w:rPr>
        <w:footnoteReference w:id="9"/>
      </w:r>
      <w:r>
        <w:t xml:space="preserve"> In our draft decision, we noted that if TransGrid submits a modified pricing methodology for its next regulatory control period (2018–19 and beyond), those modifications will not apply to ActewAGL in 2018–19.</w:t>
      </w:r>
      <w:r>
        <w:rPr>
          <w:rStyle w:val="FootnoteReference"/>
        </w:rPr>
        <w:footnoteReference w:id="10"/>
      </w:r>
      <w:r>
        <w:t xml:space="preserve"> We no longer consider this to be the case.</w:t>
      </w:r>
    </w:p>
    <w:p w:rsidR="00C16AC2" w:rsidRDefault="00C16AC2" w:rsidP="00C16AC2">
      <w:r>
        <w:t xml:space="preserve">Any modifications to TransGrid's pricing methodology in 2018–19 will, as a matter of course, apply to ActewAGL. We now consider that this outcome is consistent with the NER because ActewAGL is applying the same methodology throughout the 2015–19 regulatory control period, that is, it is adopting the pricing arrangements TransGrid has in operation. </w:t>
      </w:r>
    </w:p>
    <w:p w:rsidR="00C16AC2" w:rsidRDefault="00C16AC2" w:rsidP="00C16AC2">
      <w:pPr>
        <w:pStyle w:val="Heading3"/>
      </w:pPr>
      <w:bookmarkStart w:id="24" w:name="_Toc415033499"/>
      <w:bookmarkStart w:id="25" w:name="_Toc417543149"/>
      <w:bookmarkStart w:id="26" w:name="_Toc417561293"/>
      <w:r>
        <w:t>Assessment against the pricing principles</w:t>
      </w:r>
      <w:bookmarkEnd w:id="24"/>
      <w:bookmarkEnd w:id="25"/>
      <w:bookmarkEnd w:id="26"/>
      <w:r>
        <w:t xml:space="preserve"> </w:t>
      </w:r>
    </w:p>
    <w:p w:rsidR="00C16AC2" w:rsidRPr="0075437F" w:rsidRDefault="00C16AC2" w:rsidP="00C16AC2">
      <w:pPr>
        <w:numPr>
          <w:ilvl w:val="0"/>
          <w:numId w:val="25"/>
        </w:numPr>
      </w:pPr>
      <w:r>
        <w:t>We consider ActewAGL's</w:t>
      </w:r>
      <w:r w:rsidRPr="0075437F">
        <w:t xml:space="preserve"> </w:t>
      </w:r>
      <w:r>
        <w:t>revised</w:t>
      </w:r>
      <w:r w:rsidRPr="0075437F">
        <w:t xml:space="preserve"> pricing methodology </w:t>
      </w:r>
      <w:r>
        <w:t>accords with</w:t>
      </w:r>
      <w:r w:rsidRPr="0075437F">
        <w:t xml:space="preserve"> the requirements </w:t>
      </w:r>
      <w:r>
        <w:t xml:space="preserve">of the NER pricing principles. </w:t>
      </w:r>
      <w:r w:rsidRPr="0075437F">
        <w:t>The pricing principles are intended to provide scope for transmission businesses to develop pricing arrangements that address the circumstances in which they operate their network.</w:t>
      </w:r>
      <w:r w:rsidRPr="0075437F">
        <w:rPr>
          <w:rStyle w:val="FootnoteReference"/>
        </w:rPr>
        <w:footnoteReference w:id="11"/>
      </w:r>
      <w:r w:rsidRPr="0075437F">
        <w:t xml:space="preserve"> </w:t>
      </w:r>
    </w:p>
    <w:p w:rsidR="00C16AC2" w:rsidRPr="00B411FD" w:rsidRDefault="00C16AC2" w:rsidP="00C16AC2">
      <w:pPr>
        <w:pStyle w:val="Heading4"/>
      </w:pPr>
      <w:r w:rsidRPr="00B411FD">
        <w:t>Calculation</w:t>
      </w:r>
      <w:r>
        <w:t xml:space="preserve"> and allocation</w:t>
      </w:r>
      <w:r w:rsidRPr="00B411FD">
        <w:t xml:space="preserve"> of </w:t>
      </w:r>
      <w:r>
        <w:t>the aggregate annual revenue requirement</w:t>
      </w:r>
    </w:p>
    <w:p w:rsidR="00C16AC2" w:rsidRDefault="00C16AC2" w:rsidP="00C16AC2">
      <w:pPr>
        <w:numPr>
          <w:ilvl w:val="0"/>
          <w:numId w:val="25"/>
        </w:numPr>
      </w:pPr>
      <w:r>
        <w:t>We</w:t>
      </w:r>
      <w:r w:rsidRPr="00B411FD">
        <w:t xml:space="preserve"> assessed </w:t>
      </w:r>
      <w:r>
        <w:t>ActewAGL's</w:t>
      </w:r>
      <w:r w:rsidRPr="00B411FD">
        <w:t xml:space="preserve"> </w:t>
      </w:r>
      <w:r>
        <w:t>method for calculating and allocating its aggregate annual revenue requirement, and consider</w:t>
      </w:r>
      <w:r w:rsidRPr="00B411FD">
        <w:t xml:space="preserve"> that </w:t>
      </w:r>
      <w:r>
        <w:t>it</w:t>
      </w:r>
      <w:r w:rsidRPr="00B411FD">
        <w:t xml:space="preserve"> meets the NER requirements. </w:t>
      </w:r>
    </w:p>
    <w:p w:rsidR="00C16AC2" w:rsidRDefault="00C16AC2" w:rsidP="00C16AC2">
      <w:pPr>
        <w:numPr>
          <w:ilvl w:val="0"/>
          <w:numId w:val="25"/>
        </w:numPr>
      </w:pPr>
      <w:r>
        <w:t>The aggregate annual revenue requirement is the 'maximum allowed revenue' adjusted:</w:t>
      </w:r>
    </w:p>
    <w:p w:rsidR="00C16AC2" w:rsidRDefault="00C16AC2" w:rsidP="00C16AC2">
      <w:pPr>
        <w:pStyle w:val="AERbulletlistfirststyle"/>
      </w:pPr>
      <w:r>
        <w:t>in accordance with clause 6A.3.2 of the NER, for a number of factors such as cost pass throughs, service target performance incentive scheme outcomes and contingent projects</w:t>
      </w:r>
    </w:p>
    <w:p w:rsidR="00C16AC2" w:rsidRDefault="00C16AC2" w:rsidP="00C16AC2">
      <w:pPr>
        <w:pStyle w:val="AERbulletlistfirststyle"/>
      </w:pPr>
      <w:r>
        <w:t xml:space="preserve">by subtracting the operating and maintenance costs expected to be incurred in the provision of prescribed common transmission services </w:t>
      </w:r>
    </w:p>
    <w:p w:rsidR="00C16AC2" w:rsidRPr="00C16AC2" w:rsidRDefault="00C16AC2" w:rsidP="00C16AC2">
      <w:pPr>
        <w:pStyle w:val="AERbulletlistfirststyle"/>
      </w:pPr>
      <w:r w:rsidRPr="00C16AC2">
        <w:fldChar w:fldCharType="begin"/>
      </w:r>
      <w:r w:rsidRPr="00C16AC2">
        <w:instrText xml:space="preserve"> REF _Ref413660627 \h </w:instrText>
      </w:r>
      <w:r w:rsidRPr="00C16AC2">
        <w:fldChar w:fldCharType="separate"/>
      </w:r>
      <w:r w:rsidRPr="00C16AC2">
        <w:t>Table 19.1</w:t>
      </w:r>
      <w:r w:rsidRPr="00C16AC2">
        <w:fldChar w:fldCharType="end"/>
      </w:r>
      <w:r w:rsidRPr="00C16AC2">
        <w:t xml:space="preserve"> summarises our review of how </w:t>
      </w:r>
      <w:r>
        <w:t>ActewAGL</w:t>
      </w:r>
      <w:r w:rsidRPr="00C16AC2">
        <w:t>' proposed pricing methodology calculates and allocates the business's aggregate annual revenue requirement.</w:t>
      </w:r>
    </w:p>
    <w:p w:rsidR="00C16AC2" w:rsidRDefault="00C16AC2" w:rsidP="00C16AC2">
      <w:pPr>
        <w:pStyle w:val="Caption"/>
      </w:pPr>
      <w:bookmarkStart w:id="27" w:name="_Ref413660627"/>
      <w:r>
        <w:lastRenderedPageBreak/>
        <w:t xml:space="preserve">Table </w:t>
      </w:r>
      <w:r w:rsidRPr="00C16AC2">
        <w:fldChar w:fldCharType="begin"/>
      </w:r>
      <w:r>
        <w:instrText xml:space="preserve"> STYLEREF 1 \s </w:instrText>
      </w:r>
      <w:r w:rsidRPr="00C16AC2">
        <w:fldChar w:fldCharType="separate"/>
      </w:r>
      <w:r w:rsidRPr="00C16AC2">
        <w:t>19</w:t>
      </w:r>
      <w:r w:rsidRPr="00C16AC2">
        <w:fldChar w:fldCharType="end"/>
      </w:r>
      <w:r>
        <w:t>.</w:t>
      </w:r>
      <w:r w:rsidR="00317C80">
        <w:fldChar w:fldCharType="begin"/>
      </w:r>
      <w:r w:rsidR="00317C80">
        <w:instrText xml:space="preserve"> SEQ Table \* ARABIC \s 1 </w:instrText>
      </w:r>
      <w:r w:rsidR="00317C80">
        <w:fldChar w:fldCharType="separate"/>
      </w:r>
      <w:r w:rsidRPr="00C16AC2">
        <w:t>1</w:t>
      </w:r>
      <w:r w:rsidR="00317C80">
        <w:fldChar w:fldCharType="end"/>
      </w:r>
      <w:bookmarkEnd w:id="27"/>
      <w:r>
        <w:tab/>
        <w:t>ActewAGL's proposed calculation and allocation of the AARR against the NER requirements</w:t>
      </w:r>
    </w:p>
    <w:tbl>
      <w:tblPr>
        <w:tblStyle w:val="AERtable-text0"/>
        <w:tblW w:w="0" w:type="auto"/>
        <w:tblLook w:val="04A0" w:firstRow="1" w:lastRow="0" w:firstColumn="1" w:lastColumn="0" w:noHBand="0" w:noVBand="1"/>
      </w:tblPr>
      <w:tblGrid>
        <w:gridCol w:w="4349"/>
        <w:gridCol w:w="4344"/>
      </w:tblGrid>
      <w:tr w:rsidR="00C16AC2" w:rsidTr="00141BC5">
        <w:trPr>
          <w:cnfStyle w:val="100000000000" w:firstRow="1" w:lastRow="0" w:firstColumn="0" w:lastColumn="0" w:oddVBand="0" w:evenVBand="0" w:oddHBand="0" w:evenHBand="0" w:firstRowFirstColumn="0" w:firstRowLastColumn="0" w:lastRowFirstColumn="0" w:lastRowLastColumn="0"/>
        </w:trPr>
        <w:tc>
          <w:tcPr>
            <w:tcW w:w="4621" w:type="dxa"/>
          </w:tcPr>
          <w:p w:rsidR="00C16AC2" w:rsidRPr="00C16AC2" w:rsidRDefault="00C16AC2" w:rsidP="009431D1">
            <w:pPr>
              <w:pStyle w:val="AERbulletlistfirststyle"/>
              <w:numPr>
                <w:ilvl w:val="0"/>
                <w:numId w:val="0"/>
              </w:numPr>
              <w:ind w:left="357" w:hanging="357"/>
            </w:pPr>
            <w:r>
              <w:t>NER requirements</w:t>
            </w:r>
          </w:p>
        </w:tc>
        <w:tc>
          <w:tcPr>
            <w:tcW w:w="4621" w:type="dxa"/>
          </w:tcPr>
          <w:p w:rsidR="00C16AC2" w:rsidRPr="00C16AC2" w:rsidRDefault="00C16AC2" w:rsidP="009431D1">
            <w:pPr>
              <w:pStyle w:val="AERbulletlistfirststyle"/>
              <w:numPr>
                <w:ilvl w:val="0"/>
                <w:numId w:val="0"/>
              </w:numPr>
              <w:ind w:left="357" w:hanging="357"/>
            </w:pPr>
            <w:r>
              <w:t>Assessment</w:t>
            </w:r>
          </w:p>
        </w:tc>
      </w:tr>
      <w:tr w:rsidR="00C16AC2" w:rsidTr="00141BC5">
        <w:tc>
          <w:tcPr>
            <w:tcW w:w="4621" w:type="dxa"/>
          </w:tcPr>
          <w:p w:rsidR="00C16AC2" w:rsidRPr="00C16AC2" w:rsidRDefault="00C16AC2" w:rsidP="009431D1">
            <w:pPr>
              <w:pStyle w:val="AERbulletlistfirststyle"/>
              <w:numPr>
                <w:ilvl w:val="0"/>
                <w:numId w:val="0"/>
              </w:numPr>
            </w:pPr>
            <w:r w:rsidRPr="00A40CAF">
              <w:t>Requirement for the AARR to be calculated as defined in the NER—clause 6A.22.1</w:t>
            </w:r>
          </w:p>
        </w:tc>
        <w:tc>
          <w:tcPr>
            <w:tcW w:w="4621" w:type="dxa"/>
          </w:tcPr>
          <w:p w:rsidR="00C16AC2" w:rsidRPr="00C16AC2" w:rsidRDefault="009431D1" w:rsidP="009431D1">
            <w:pPr>
              <w:pStyle w:val="AERbulletlistfirststyle"/>
              <w:numPr>
                <w:ilvl w:val="0"/>
                <w:numId w:val="0"/>
              </w:numPr>
            </w:pPr>
            <w:r>
              <w:t>Section 3.2</w:t>
            </w:r>
            <w:r w:rsidR="00C16AC2">
              <w:t xml:space="preserve"> of ActewAGL's</w:t>
            </w:r>
            <w:r w:rsidR="00C16AC2" w:rsidRPr="00C16AC2">
              <w:t xml:space="preserve"> proposed pricing methodology complies with this requirement.</w:t>
            </w:r>
          </w:p>
        </w:tc>
      </w:tr>
      <w:tr w:rsidR="00C16AC2" w:rsidTr="00141BC5">
        <w:trPr>
          <w:cnfStyle w:val="000000010000" w:firstRow="0" w:lastRow="0" w:firstColumn="0" w:lastColumn="0" w:oddVBand="0" w:evenVBand="0" w:oddHBand="0" w:evenHBand="1" w:firstRowFirstColumn="0" w:firstRowLastColumn="0" w:lastRowFirstColumn="0" w:lastRowLastColumn="0"/>
        </w:trPr>
        <w:tc>
          <w:tcPr>
            <w:tcW w:w="4621" w:type="dxa"/>
          </w:tcPr>
          <w:p w:rsidR="00C16AC2" w:rsidRPr="00C16AC2" w:rsidRDefault="00C16AC2" w:rsidP="009431D1">
            <w:pPr>
              <w:pStyle w:val="AERbulletlistfirststyle"/>
              <w:numPr>
                <w:ilvl w:val="0"/>
                <w:numId w:val="0"/>
              </w:numPr>
            </w:pPr>
            <w:r w:rsidRPr="00A40CAF">
              <w:t>Requirement for the AARR to be allocated to each category of prescribed transmission services in accordance with attributable cost share for each such category of service—clause 6A.23.2(a)</w:t>
            </w:r>
          </w:p>
        </w:tc>
        <w:tc>
          <w:tcPr>
            <w:tcW w:w="4621" w:type="dxa"/>
          </w:tcPr>
          <w:p w:rsidR="00C16AC2" w:rsidRPr="00C16AC2" w:rsidRDefault="00C16AC2" w:rsidP="009431D1">
            <w:pPr>
              <w:pStyle w:val="AERbulletlistfirststyle"/>
              <w:numPr>
                <w:ilvl w:val="0"/>
                <w:numId w:val="0"/>
              </w:numPr>
            </w:pPr>
            <w:r>
              <w:t>Section 3.3 of ActewAGL's proposed pricing methodology complies with this requirement.</w:t>
            </w:r>
          </w:p>
        </w:tc>
      </w:tr>
      <w:tr w:rsidR="00C16AC2" w:rsidTr="00141BC5">
        <w:tc>
          <w:tcPr>
            <w:tcW w:w="4621" w:type="dxa"/>
          </w:tcPr>
          <w:p w:rsidR="00C16AC2" w:rsidRPr="00C16AC2" w:rsidRDefault="00C16AC2" w:rsidP="009431D1">
            <w:pPr>
              <w:pStyle w:val="AERbulletlistfirststyle"/>
              <w:numPr>
                <w:ilvl w:val="0"/>
                <w:numId w:val="0"/>
              </w:numPr>
            </w:pPr>
            <w:r w:rsidRPr="00A40CAF">
              <w:t>Requirement for every portion of the AARR to be allocated and for the same portion of AARR not to be allocated more than once—clause 6A.23.2(c)</w:t>
            </w:r>
          </w:p>
        </w:tc>
        <w:tc>
          <w:tcPr>
            <w:tcW w:w="4621" w:type="dxa"/>
          </w:tcPr>
          <w:p w:rsidR="00C16AC2" w:rsidRPr="00C16AC2" w:rsidRDefault="009431D1" w:rsidP="009431D1">
            <w:pPr>
              <w:pStyle w:val="AERbulletlistfirststyle"/>
              <w:numPr>
                <w:ilvl w:val="0"/>
                <w:numId w:val="0"/>
              </w:numPr>
            </w:pPr>
            <w:r>
              <w:t>Section 3.5.4 and Appendix 1</w:t>
            </w:r>
            <w:r w:rsidR="00C16AC2">
              <w:t xml:space="preserve"> of ActewAGL's proposed pricing methodology complies with this requirement.</w:t>
            </w:r>
          </w:p>
        </w:tc>
      </w:tr>
      <w:tr w:rsidR="00C16AC2" w:rsidTr="00141BC5">
        <w:trPr>
          <w:cnfStyle w:val="000000010000" w:firstRow="0" w:lastRow="0" w:firstColumn="0" w:lastColumn="0" w:oddVBand="0" w:evenVBand="0" w:oddHBand="0" w:evenHBand="1" w:firstRowFirstColumn="0" w:firstRowLastColumn="0" w:lastRowFirstColumn="0" w:lastRowLastColumn="0"/>
        </w:trPr>
        <w:tc>
          <w:tcPr>
            <w:tcW w:w="4621" w:type="dxa"/>
          </w:tcPr>
          <w:p w:rsidR="00C16AC2" w:rsidRPr="00C16AC2" w:rsidRDefault="00C16AC2" w:rsidP="009431D1">
            <w:pPr>
              <w:pStyle w:val="AERbulletlistfirststyle"/>
              <w:numPr>
                <w:ilvl w:val="0"/>
                <w:numId w:val="0"/>
              </w:numPr>
            </w:pPr>
            <w:r w:rsidRPr="00A40CAF">
              <w:t>Subject to clause 11.6.11 of the NER, 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C16AC2" w:rsidRPr="00C16AC2" w:rsidRDefault="00E43E19" w:rsidP="00E43E19">
            <w:pPr>
              <w:pStyle w:val="AERbulletlistfirststyle"/>
              <w:numPr>
                <w:ilvl w:val="0"/>
                <w:numId w:val="0"/>
              </w:numPr>
            </w:pPr>
            <w:r>
              <w:t>Section 3.3</w:t>
            </w:r>
            <w:r w:rsidR="00C16AC2">
              <w:t xml:space="preserve"> of ActewAGL's proposed pricing methodology complies with this requirement.</w:t>
            </w:r>
          </w:p>
        </w:tc>
      </w:tr>
    </w:tbl>
    <w:p w:rsidR="00C16AC2" w:rsidRPr="00460E20" w:rsidRDefault="00C16AC2" w:rsidP="00C16AC2">
      <w:pPr>
        <w:pStyle w:val="AERtablesource"/>
      </w:pPr>
      <w:r>
        <w:t xml:space="preserve">Source: </w:t>
      </w:r>
      <w:r w:rsidR="00A936B1" w:rsidRPr="00A936B1">
        <w:t xml:space="preserve">ActewAGL, </w:t>
      </w:r>
      <w:r w:rsidR="00A936B1" w:rsidRPr="00A936B1">
        <w:rPr>
          <w:rStyle w:val="AERtextitalic"/>
        </w:rPr>
        <w:t>Revised pricing methodology 2015–19</w:t>
      </w:r>
      <w:r w:rsidR="00A936B1" w:rsidRPr="00A936B1">
        <w:t>, January 2015</w:t>
      </w:r>
      <w:r w:rsidR="00A936B1">
        <w:t>.</w:t>
      </w:r>
    </w:p>
    <w:p w:rsidR="00C16AC2" w:rsidRPr="00BA2F2D" w:rsidRDefault="00C16AC2" w:rsidP="00C16AC2">
      <w:pPr>
        <w:pStyle w:val="Heading4"/>
      </w:pPr>
      <w:r w:rsidRPr="00BA2F2D">
        <w:t>Allocation of the ASRR to transmission network connection points</w:t>
      </w:r>
    </w:p>
    <w:p w:rsidR="00C16AC2" w:rsidRDefault="00C16AC2" w:rsidP="00C16AC2">
      <w:pPr>
        <w:numPr>
          <w:ilvl w:val="0"/>
          <w:numId w:val="25"/>
        </w:numPr>
      </w:pPr>
      <w:r>
        <w:t>We</w:t>
      </w:r>
      <w:r w:rsidRPr="00BA2F2D">
        <w:t xml:space="preserve"> assessed </w:t>
      </w:r>
      <w:r>
        <w:t>ActewAGL's</w:t>
      </w:r>
      <w:r w:rsidRPr="00BA2F2D">
        <w:t xml:space="preserve"> proposed pricing methodology for allocating the ASRR, and consider it meets the NER requirements.</w:t>
      </w:r>
      <w:r>
        <w:t xml:space="preserve"> The exception to this is the requirement to allocate the annual service revenue requirement (ASRR) to prescribed TUoS services.</w:t>
      </w:r>
      <w:r w:rsidRPr="00BA2F2D">
        <w:t xml:space="preserve"> </w:t>
      </w:r>
      <w:r>
        <w:fldChar w:fldCharType="begin"/>
      </w:r>
      <w:r>
        <w:instrText xml:space="preserve"> REF _Ref413660856 \h </w:instrText>
      </w:r>
      <w:r>
        <w:fldChar w:fldCharType="separate"/>
      </w:r>
      <w:r>
        <w:t xml:space="preserve">Table </w:t>
      </w:r>
      <w:r w:rsidRPr="00C16AC2">
        <w:t>19</w:t>
      </w:r>
      <w:r>
        <w:t>.</w:t>
      </w:r>
      <w:r w:rsidRPr="00C16AC2">
        <w:t>2</w:t>
      </w:r>
      <w:r>
        <w:fldChar w:fldCharType="end"/>
      </w:r>
      <w:r>
        <w:t xml:space="preserve"> </w:t>
      </w:r>
      <w:r w:rsidRPr="00BA2F2D">
        <w:t xml:space="preserve">summarises </w:t>
      </w:r>
      <w:r>
        <w:t>our</w:t>
      </w:r>
      <w:r w:rsidRPr="00BA2F2D">
        <w:t xml:space="preserve"> assessment. </w:t>
      </w:r>
    </w:p>
    <w:p w:rsidR="00C16AC2" w:rsidRPr="00BA2F2D" w:rsidRDefault="00C16AC2" w:rsidP="00C16AC2">
      <w:pPr>
        <w:pStyle w:val="Caption"/>
      </w:pPr>
      <w:bookmarkStart w:id="28" w:name="_Ref413660856"/>
      <w:r>
        <w:t xml:space="preserve">Table </w:t>
      </w:r>
      <w:r w:rsidRPr="00C16AC2">
        <w:fldChar w:fldCharType="begin"/>
      </w:r>
      <w:r>
        <w:instrText xml:space="preserve"> STYLEREF 1 \s </w:instrText>
      </w:r>
      <w:r w:rsidRPr="00C16AC2">
        <w:fldChar w:fldCharType="separate"/>
      </w:r>
      <w:r w:rsidRPr="00C16AC2">
        <w:t>19</w:t>
      </w:r>
      <w:r w:rsidRPr="00C16AC2">
        <w:fldChar w:fldCharType="end"/>
      </w:r>
      <w:r>
        <w:t>.</w:t>
      </w:r>
      <w:r w:rsidR="00317C80">
        <w:fldChar w:fldCharType="begin"/>
      </w:r>
      <w:r w:rsidR="00317C80">
        <w:instrText xml:space="preserve"> SEQ T</w:instrText>
      </w:r>
      <w:r w:rsidR="00317C80">
        <w:instrText xml:space="preserve">able \* ARABIC \s 1 </w:instrText>
      </w:r>
      <w:r w:rsidR="00317C80">
        <w:fldChar w:fldCharType="separate"/>
      </w:r>
      <w:r w:rsidRPr="00C16AC2">
        <w:t>2</w:t>
      </w:r>
      <w:r w:rsidR="00317C80">
        <w:fldChar w:fldCharType="end"/>
      </w:r>
      <w:bookmarkEnd w:id="28"/>
      <w:r>
        <w:tab/>
        <w:t>ActewAGL's proposed allocation of the ASRR against the NER requirements</w:t>
      </w:r>
    </w:p>
    <w:tbl>
      <w:tblPr>
        <w:tblStyle w:val="AERtable-text0"/>
        <w:tblW w:w="0" w:type="auto"/>
        <w:tblLook w:val="04A0" w:firstRow="1" w:lastRow="0" w:firstColumn="1" w:lastColumn="0" w:noHBand="0" w:noVBand="1"/>
      </w:tblPr>
      <w:tblGrid>
        <w:gridCol w:w="4350"/>
        <w:gridCol w:w="4343"/>
      </w:tblGrid>
      <w:tr w:rsidR="00C16AC2" w:rsidTr="00BD58EB">
        <w:trPr>
          <w:cnfStyle w:val="100000000000" w:firstRow="1" w:lastRow="0" w:firstColumn="0" w:lastColumn="0" w:oddVBand="0" w:evenVBand="0" w:oddHBand="0" w:evenHBand="0" w:firstRowFirstColumn="0" w:firstRowLastColumn="0" w:lastRowFirstColumn="0" w:lastRowLastColumn="0"/>
          <w:tblHeader/>
        </w:trPr>
        <w:tc>
          <w:tcPr>
            <w:tcW w:w="4621" w:type="dxa"/>
          </w:tcPr>
          <w:p w:rsidR="00C16AC2" w:rsidRPr="0075437F" w:rsidRDefault="00C16AC2" w:rsidP="00C16AC2">
            <w:pPr>
              <w:numPr>
                <w:ilvl w:val="0"/>
                <w:numId w:val="25"/>
              </w:numPr>
            </w:pPr>
            <w:r>
              <w:t>NER requirements</w:t>
            </w:r>
          </w:p>
        </w:tc>
        <w:tc>
          <w:tcPr>
            <w:tcW w:w="4621" w:type="dxa"/>
          </w:tcPr>
          <w:p w:rsidR="00C16AC2" w:rsidRPr="0075437F" w:rsidRDefault="00C16AC2" w:rsidP="00C16AC2">
            <w:pPr>
              <w:numPr>
                <w:ilvl w:val="0"/>
                <w:numId w:val="25"/>
              </w:numPr>
            </w:pPr>
            <w:r>
              <w:t>AER assessment</w:t>
            </w:r>
          </w:p>
        </w:tc>
      </w:tr>
      <w:tr w:rsidR="00C16AC2" w:rsidTr="00141BC5">
        <w:tc>
          <w:tcPr>
            <w:tcW w:w="4621" w:type="dxa"/>
          </w:tcPr>
          <w:p w:rsidR="00C16AC2" w:rsidRPr="0075437F" w:rsidRDefault="00C16AC2" w:rsidP="00C16AC2">
            <w:pPr>
              <w:numPr>
                <w:ilvl w:val="0"/>
                <w:numId w:val="25"/>
              </w:numPr>
            </w:pPr>
            <w:r w:rsidRPr="00CB7EEF">
              <w:t>Requirement for whole ASRR for prescribed entry services to be allocated to transmission network connection points in accordance with the attributable connection point cost share for prescribed entry services that are provided by the TNSP at that connection point—clause 6A.23.3(a)</w:t>
            </w:r>
          </w:p>
        </w:tc>
        <w:tc>
          <w:tcPr>
            <w:tcW w:w="4621" w:type="dxa"/>
          </w:tcPr>
          <w:p w:rsidR="00C16AC2" w:rsidRPr="0075437F" w:rsidRDefault="00E43E19" w:rsidP="00C16AC2">
            <w:pPr>
              <w:numPr>
                <w:ilvl w:val="0"/>
                <w:numId w:val="25"/>
              </w:numPr>
            </w:pPr>
            <w:r>
              <w:t>Section 3.3</w:t>
            </w:r>
            <w:r w:rsidR="00C16AC2">
              <w:t xml:space="preserve"> of ActewAGL's proposed pricing methodology complies with this requirement.</w:t>
            </w:r>
          </w:p>
        </w:tc>
      </w:tr>
      <w:tr w:rsidR="00C16AC2" w:rsidTr="00141BC5">
        <w:trPr>
          <w:cnfStyle w:val="000000010000" w:firstRow="0" w:lastRow="0" w:firstColumn="0" w:lastColumn="0" w:oddVBand="0" w:evenVBand="0" w:oddHBand="0" w:evenHBand="1" w:firstRowFirstColumn="0" w:firstRowLastColumn="0" w:lastRowFirstColumn="0" w:lastRowLastColumn="0"/>
        </w:trPr>
        <w:tc>
          <w:tcPr>
            <w:tcW w:w="4621" w:type="dxa"/>
          </w:tcPr>
          <w:p w:rsidR="00C16AC2" w:rsidRPr="0075437F" w:rsidRDefault="00C16AC2" w:rsidP="00C16AC2">
            <w:pPr>
              <w:numPr>
                <w:ilvl w:val="0"/>
                <w:numId w:val="25"/>
              </w:numPr>
            </w:pPr>
            <w:r w:rsidRPr="00CB7EEF">
              <w:t>Requirement for the whole ASRR prescribed exit services to be allocated to transmission network connection points in accordance with the attributable connection point cost share for prescribed exit services that are provided by the TNSP at that connection point—clause 6A.23.3(b)</w:t>
            </w:r>
          </w:p>
        </w:tc>
        <w:tc>
          <w:tcPr>
            <w:tcW w:w="4621" w:type="dxa"/>
          </w:tcPr>
          <w:p w:rsidR="00C16AC2" w:rsidRPr="0075437F" w:rsidRDefault="00E43E19" w:rsidP="00C16AC2">
            <w:pPr>
              <w:numPr>
                <w:ilvl w:val="0"/>
                <w:numId w:val="25"/>
              </w:numPr>
            </w:pPr>
            <w:r>
              <w:t>Section 3.3</w:t>
            </w:r>
            <w:r w:rsidR="00C16AC2">
              <w:t xml:space="preserve"> of ActewAGL's proposed pricing methodology complies with this requirement.</w:t>
            </w:r>
          </w:p>
        </w:tc>
      </w:tr>
      <w:tr w:rsidR="00C16AC2" w:rsidTr="00141BC5">
        <w:tc>
          <w:tcPr>
            <w:tcW w:w="4621" w:type="dxa"/>
          </w:tcPr>
          <w:p w:rsidR="00C16AC2" w:rsidRPr="00CB7EEF" w:rsidRDefault="00C16AC2" w:rsidP="00C16AC2">
            <w:pPr>
              <w:numPr>
                <w:ilvl w:val="0"/>
                <w:numId w:val="25"/>
              </w:numPr>
            </w:pPr>
            <w:r w:rsidRPr="00CB7EEF">
              <w:t>Requirement for the allocation of the ASRR for:</w:t>
            </w:r>
          </w:p>
          <w:p w:rsidR="00C16AC2" w:rsidRPr="00CB7EEF" w:rsidRDefault="00C16AC2" w:rsidP="00C16AC2">
            <w:pPr>
              <w:numPr>
                <w:ilvl w:val="0"/>
                <w:numId w:val="25"/>
              </w:numPr>
            </w:pPr>
            <w:r w:rsidRPr="00CB7EEF">
              <w:t>prescribed TUOS services</w:t>
            </w:r>
          </w:p>
          <w:p w:rsidR="00C16AC2" w:rsidRPr="00CB7EEF" w:rsidRDefault="00C16AC2" w:rsidP="00C16AC2">
            <w:pPr>
              <w:numPr>
                <w:ilvl w:val="0"/>
                <w:numId w:val="25"/>
              </w:numPr>
            </w:pPr>
            <w:r w:rsidRPr="00CB7EEF">
              <w:t>locational components</w:t>
            </w:r>
          </w:p>
          <w:p w:rsidR="00C16AC2" w:rsidRPr="00CB7EEF" w:rsidRDefault="00C16AC2" w:rsidP="00C16AC2">
            <w:pPr>
              <w:numPr>
                <w:ilvl w:val="0"/>
                <w:numId w:val="25"/>
              </w:numPr>
            </w:pPr>
            <w:r w:rsidRPr="00CB7EEF">
              <w:t>pre-adjusted non</w:t>
            </w:r>
            <w:r>
              <w:t>-</w:t>
            </w:r>
            <w:r w:rsidRPr="00CB7EEF">
              <w:t>locational components</w:t>
            </w:r>
          </w:p>
          <w:p w:rsidR="00C16AC2" w:rsidRPr="0075437F" w:rsidRDefault="00C16AC2" w:rsidP="00C16AC2">
            <w:pPr>
              <w:numPr>
                <w:ilvl w:val="0"/>
                <w:numId w:val="25"/>
              </w:numPr>
            </w:pPr>
            <w:r w:rsidRPr="00CB7EEF">
              <w:t>—clause 6A.23.3(c)</w:t>
            </w:r>
          </w:p>
        </w:tc>
        <w:tc>
          <w:tcPr>
            <w:tcW w:w="4621" w:type="dxa"/>
          </w:tcPr>
          <w:p w:rsidR="00C16AC2" w:rsidRDefault="00C16AC2" w:rsidP="00C16AC2">
            <w:pPr>
              <w:numPr>
                <w:ilvl w:val="0"/>
                <w:numId w:val="25"/>
              </w:numPr>
            </w:pPr>
            <w:r>
              <w:t>The allocation of the locational component of prescribed TUoS services will be carried out by TransGrid on the behalf of ActewAGL.</w:t>
            </w:r>
          </w:p>
          <w:p w:rsidR="00C16AC2" w:rsidRPr="0075437F" w:rsidRDefault="00C16AC2" w:rsidP="00C16AC2"/>
        </w:tc>
      </w:tr>
      <w:tr w:rsidR="00C16AC2" w:rsidTr="00141BC5">
        <w:trPr>
          <w:cnfStyle w:val="000000010000" w:firstRow="0" w:lastRow="0" w:firstColumn="0" w:lastColumn="0" w:oddVBand="0" w:evenVBand="0" w:oddHBand="0" w:evenHBand="1" w:firstRowFirstColumn="0" w:firstRowLastColumn="0" w:lastRowFirstColumn="0" w:lastRowLastColumn="0"/>
        </w:trPr>
        <w:tc>
          <w:tcPr>
            <w:tcW w:w="4621" w:type="dxa"/>
          </w:tcPr>
          <w:p w:rsidR="00C16AC2" w:rsidRPr="0075437F" w:rsidRDefault="00C16AC2" w:rsidP="00C16AC2">
            <w:pPr>
              <w:numPr>
                <w:ilvl w:val="0"/>
                <w:numId w:val="25"/>
              </w:numPr>
            </w:pPr>
            <w:r w:rsidRPr="00CB7EEF">
              <w:lastRenderedPageBreak/>
              <w:t>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C16AC2" w:rsidRPr="0075437F" w:rsidRDefault="00E43E19" w:rsidP="00C16AC2">
            <w:pPr>
              <w:numPr>
                <w:ilvl w:val="0"/>
                <w:numId w:val="25"/>
              </w:numPr>
            </w:pPr>
            <w:r>
              <w:t>Section 3.3 and Appendix 1</w:t>
            </w:r>
            <w:r w:rsidR="00C16AC2">
              <w:t xml:space="preserve"> of ActewAGL's proposed pricing methodology complies with this requirement.</w:t>
            </w:r>
          </w:p>
        </w:tc>
      </w:tr>
      <w:tr w:rsidR="00C16AC2" w:rsidTr="00141BC5">
        <w:tc>
          <w:tcPr>
            <w:tcW w:w="4621" w:type="dxa"/>
          </w:tcPr>
          <w:p w:rsidR="00C16AC2" w:rsidRPr="0075437F" w:rsidRDefault="00C16AC2" w:rsidP="00C16AC2">
            <w:pPr>
              <w:numPr>
                <w:ilvl w:val="0"/>
                <w:numId w:val="25"/>
              </w:numPr>
            </w:pPr>
            <w:r w:rsidRPr="00CB7EEF">
              <w:t>Requirement for the recovery of the ASRR for prescribed common transmission services and the operating and maintenance costs incurred in the provision of those services to be recovered through prices charged to transmission customers and network service and network service provider transmission connection points set in accordance with price structure principles set out in clause 6A.23.4—clause 6A.23.3(f)</w:t>
            </w:r>
          </w:p>
        </w:tc>
        <w:tc>
          <w:tcPr>
            <w:tcW w:w="4621" w:type="dxa"/>
          </w:tcPr>
          <w:p w:rsidR="00C16AC2" w:rsidRPr="0075437F" w:rsidRDefault="00E43E19" w:rsidP="00C16AC2">
            <w:pPr>
              <w:numPr>
                <w:ilvl w:val="0"/>
                <w:numId w:val="25"/>
              </w:numPr>
            </w:pPr>
            <w:r>
              <w:t>Appendix 1</w:t>
            </w:r>
            <w:r w:rsidR="00C16AC2">
              <w:t xml:space="preserve"> of ActewAGL's proposed pricing methodology complies with this requirement.</w:t>
            </w:r>
          </w:p>
        </w:tc>
      </w:tr>
    </w:tbl>
    <w:p w:rsidR="00C16AC2" w:rsidRPr="00B86857" w:rsidRDefault="00C16AC2" w:rsidP="00C16AC2">
      <w:pPr>
        <w:pStyle w:val="AERtablesource"/>
        <w:rPr>
          <w:rStyle w:val="Strong"/>
        </w:rPr>
      </w:pPr>
      <w:r>
        <w:t xml:space="preserve">Source: </w:t>
      </w:r>
      <w:r w:rsidR="00A936B1" w:rsidRPr="00A936B1">
        <w:t xml:space="preserve">ActewAGL, </w:t>
      </w:r>
      <w:r w:rsidR="00A936B1" w:rsidRPr="00A936B1">
        <w:rPr>
          <w:rStyle w:val="AERtextitalic"/>
        </w:rPr>
        <w:t>Revised pricing methodology 2015–19</w:t>
      </w:r>
      <w:r w:rsidR="00A936B1" w:rsidRPr="00A936B1">
        <w:t>, January 2015</w:t>
      </w:r>
      <w:r w:rsidR="00BD58EB">
        <w:t>.</w:t>
      </w:r>
    </w:p>
    <w:p w:rsidR="00C16AC2" w:rsidRDefault="00C16AC2" w:rsidP="00C16AC2">
      <w:pPr>
        <w:pStyle w:val="Heading4"/>
      </w:pPr>
      <w:r>
        <w:t>Development of price structure</w:t>
      </w:r>
    </w:p>
    <w:p w:rsidR="00C16AC2" w:rsidRDefault="00C16AC2" w:rsidP="00C16AC2">
      <w:pPr>
        <w:numPr>
          <w:ilvl w:val="0"/>
          <w:numId w:val="25"/>
        </w:numPr>
      </w:pPr>
      <w:r>
        <w:t>A pricing methodology must develop a price structure which complies with the NER.</w:t>
      </w:r>
      <w:r>
        <w:rPr>
          <w:rStyle w:val="FootnoteReference"/>
        </w:rPr>
        <w:footnoteReference w:id="12"/>
      </w:r>
      <w:r>
        <w:t xml:space="preserve"> However, ActewAGL's proposal did not set out how it will develop a price structure. TransGrid is responsible for undertaking this on its behalf for locational charges, TUoS general charges and common service charges.</w:t>
      </w:r>
      <w:r w:rsidRPr="00AE0A12">
        <w:t xml:space="preserve"> </w:t>
      </w:r>
      <w:r>
        <w:t xml:space="preserve">We are satisfied that it is appropriate for TransGrid as the co–coordinating network service provider in NSW, to develop the price structure for ActewAGL's prescribed transmission services. </w:t>
      </w:r>
    </w:p>
    <w:p w:rsidR="00C16AC2" w:rsidRDefault="00C16AC2" w:rsidP="00C16AC2">
      <w:pPr>
        <w:pStyle w:val="Heading3"/>
      </w:pPr>
      <w:bookmarkStart w:id="29" w:name="_Toc415033500"/>
      <w:bookmarkStart w:id="30" w:name="_Toc417543150"/>
      <w:bookmarkStart w:id="31" w:name="_Toc417561294"/>
      <w:r>
        <w:t>Information requirements</w:t>
      </w:r>
      <w:bookmarkEnd w:id="29"/>
      <w:bookmarkEnd w:id="30"/>
      <w:bookmarkEnd w:id="31"/>
    </w:p>
    <w:p w:rsidR="00C16AC2" w:rsidRPr="00BA2F2D" w:rsidRDefault="00C16AC2" w:rsidP="00C16AC2">
      <w:pPr>
        <w:numPr>
          <w:ilvl w:val="0"/>
          <w:numId w:val="25"/>
        </w:numPr>
        <w:rPr>
          <w:rStyle w:val="AERbody"/>
        </w:rPr>
      </w:pPr>
      <w:r w:rsidRPr="00BA2F2D">
        <w:rPr>
          <w:rStyle w:val="AERbody"/>
        </w:rPr>
        <w:t xml:space="preserve">The AER is satisfied that the </w:t>
      </w:r>
      <w:r>
        <w:rPr>
          <w:rStyle w:val="AERbody"/>
        </w:rPr>
        <w:t>revised</w:t>
      </w:r>
      <w:r w:rsidRPr="00BA2F2D">
        <w:rPr>
          <w:rStyle w:val="AERbody"/>
        </w:rPr>
        <w:t xml:space="preserve"> pricing methodology complies with the information requirements of the pricing methodology guidelines. Key features of the proposal include:</w:t>
      </w:r>
    </w:p>
    <w:p w:rsidR="00C16AC2" w:rsidRPr="00595753" w:rsidRDefault="00C16AC2" w:rsidP="00C16AC2">
      <w:pPr>
        <w:pStyle w:val="AERbulletlistfirststyle"/>
        <w:rPr>
          <w:rStyle w:val="AERbody"/>
        </w:rPr>
      </w:pPr>
      <w:r w:rsidRPr="00BA2F2D">
        <w:rPr>
          <w:rStyle w:val="AERbody"/>
        </w:rPr>
        <w:t xml:space="preserve">acknowledging that </w:t>
      </w:r>
      <w:r>
        <w:rPr>
          <w:rStyle w:val="AERbody"/>
        </w:rPr>
        <w:t>there are multiple</w:t>
      </w:r>
      <w:r w:rsidRPr="00595753">
        <w:rPr>
          <w:rStyle w:val="AERbody"/>
        </w:rPr>
        <w:t xml:space="preserve"> transmission business in its region (New South Wales)</w:t>
      </w:r>
      <w:r>
        <w:rPr>
          <w:rStyle w:val="AERbody"/>
        </w:rPr>
        <w:t xml:space="preserve"> including TransGrid, Directlink, ActewAGL, and Ausgrid</w:t>
      </w:r>
      <w:r w:rsidRPr="00595753">
        <w:rPr>
          <w:rStyle w:val="AERbody"/>
        </w:rPr>
        <w:t xml:space="preserve"> </w:t>
      </w:r>
    </w:p>
    <w:p w:rsidR="00C16AC2" w:rsidRPr="00BA2F2D" w:rsidRDefault="00C16AC2" w:rsidP="00C16AC2">
      <w:pPr>
        <w:pStyle w:val="AERbulletlistfirststyle"/>
        <w:rPr>
          <w:rStyle w:val="AERbody"/>
        </w:rPr>
      </w:pPr>
      <w:r w:rsidRPr="00BA2F2D">
        <w:rPr>
          <w:rStyle w:val="AERbody"/>
        </w:rPr>
        <w:t>using the priority ordering approach under clause 6A.23.</w:t>
      </w:r>
      <w:r>
        <w:rPr>
          <w:rStyle w:val="AERbody"/>
        </w:rPr>
        <w:t>2</w:t>
      </w:r>
      <w:r w:rsidRPr="00BA2F2D">
        <w:rPr>
          <w:rStyle w:val="AERbody"/>
        </w:rPr>
        <w:t>(d) of the NER to implement priority ordering</w:t>
      </w:r>
    </w:p>
    <w:p w:rsidR="00C16AC2" w:rsidRPr="00BA2F2D" w:rsidRDefault="00C16AC2" w:rsidP="00C16AC2">
      <w:pPr>
        <w:pStyle w:val="AERbulletlistfirststyle"/>
        <w:rPr>
          <w:rStyle w:val="AERbody"/>
        </w:rPr>
      </w:pPr>
      <w:r w:rsidRPr="00BA2F2D">
        <w:rPr>
          <w:rStyle w:val="AERbody"/>
        </w:rPr>
        <w:t>describing how asset costs that may be attributable to both prescribed entry services and prescribed exit services will be allocated at a connection point</w:t>
      </w:r>
    </w:p>
    <w:p w:rsidR="00C16AC2" w:rsidRPr="00BA2F2D" w:rsidRDefault="00C16AC2" w:rsidP="00C16AC2">
      <w:pPr>
        <w:pStyle w:val="AERbulletlistfirststyle"/>
        <w:rPr>
          <w:rStyle w:val="AERbody"/>
        </w:rPr>
      </w:pPr>
      <w:r w:rsidRPr="00BA2F2D">
        <w:rPr>
          <w:rStyle w:val="AERbody"/>
        </w:rPr>
        <w:t>describing billing arrangements as in clause 6A.27 of the NER</w:t>
      </w:r>
    </w:p>
    <w:p w:rsidR="00C16AC2" w:rsidRPr="00BA2F2D" w:rsidRDefault="00C16AC2" w:rsidP="00C16AC2">
      <w:pPr>
        <w:pStyle w:val="AERbulletlistfirststyle"/>
        <w:rPr>
          <w:rStyle w:val="AERbody"/>
        </w:rPr>
      </w:pPr>
      <w:r w:rsidRPr="00BA2F2D">
        <w:rPr>
          <w:rStyle w:val="AERbody"/>
        </w:rPr>
        <w:t>describing prudential requirements as in clause 6A.28 of the NER</w:t>
      </w:r>
    </w:p>
    <w:p w:rsidR="00C16AC2" w:rsidRPr="00BA2F2D" w:rsidRDefault="00C16AC2" w:rsidP="00C16AC2">
      <w:pPr>
        <w:pStyle w:val="AERbulletlistfirststyle"/>
        <w:rPr>
          <w:rStyle w:val="AERbody"/>
        </w:rPr>
      </w:pPr>
      <w:r w:rsidRPr="00BA2F2D">
        <w:rPr>
          <w:rStyle w:val="AERbody"/>
        </w:rPr>
        <w:t>including hypothetical examples</w:t>
      </w:r>
    </w:p>
    <w:p w:rsidR="00091B15" w:rsidRPr="00091B15" w:rsidRDefault="00C16AC2" w:rsidP="00605D16">
      <w:pPr>
        <w:pStyle w:val="AERbulletlistfirststyle"/>
      </w:pPr>
      <w:r w:rsidRPr="00BA2F2D">
        <w:rPr>
          <w:rStyle w:val="AERbody"/>
        </w:rPr>
        <w:t xml:space="preserve">describing how </w:t>
      </w:r>
      <w:r>
        <w:rPr>
          <w:rStyle w:val="AERbody"/>
        </w:rPr>
        <w:t>ActewAGL</w:t>
      </w:r>
      <w:r w:rsidRPr="00595753">
        <w:rPr>
          <w:rStyle w:val="AERbody"/>
        </w:rPr>
        <w:t xml:space="preserve"> intends to monitor and develop records of its compliance with its approved pricing methodology.</w:t>
      </w:r>
    </w:p>
    <w:sectPr w:rsidR="00091B15" w:rsidRPr="00091B1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DE563D" w:rsidRDefault="00423A77">
        <w:pPr>
          <w:pStyle w:val="Footer"/>
        </w:pPr>
        <w:r>
          <w:fldChar w:fldCharType="begin"/>
        </w:r>
        <w:r>
          <w:instrText xml:space="preserve"> PAGE   \* MERGEFORMAT </w:instrText>
        </w:r>
        <w:r>
          <w:fldChar w:fldCharType="separate"/>
        </w:r>
        <w:r w:rsidR="00317C80">
          <w:rPr>
            <w:noProof/>
          </w:rPr>
          <w:t>19-0</w:t>
        </w:r>
        <w:r>
          <w:rPr>
            <w:noProof/>
          </w:rPr>
          <w:fldChar w:fldCharType="end"/>
        </w:r>
        <w:r w:rsidR="00FD5E78">
          <w:rPr>
            <w:noProof/>
          </w:rPr>
          <w:t xml:space="preserve">          </w:t>
        </w:r>
        <w:r w:rsidR="00866963" w:rsidRPr="00866963">
          <w:rPr>
            <w:noProof/>
          </w:rPr>
          <w:t xml:space="preserve">Attachment 19 – Pricing methodology </w:t>
        </w:r>
        <w:r w:rsidR="00DE563D" w:rsidRPr="00FD5E78">
          <w:rPr>
            <w:rFonts w:cs="Gautami"/>
            <w:noProof/>
            <w:sz w:val="16"/>
            <w:szCs w:val="16"/>
          </w:rPr>
          <w:t xml:space="preserve">| </w:t>
        </w:r>
        <w:r w:rsidR="0070011E">
          <w:rPr>
            <w:sz w:val="16"/>
            <w:szCs w:val="16"/>
          </w:rPr>
          <w:t>ActewAGL</w:t>
        </w:r>
        <w:r w:rsidR="002016E7" w:rsidRPr="00FD5E78">
          <w:rPr>
            <w:sz w:val="16"/>
            <w:szCs w:val="16"/>
          </w:rPr>
          <w:t xml:space="preserve"> </w:t>
        </w:r>
        <w:r w:rsidR="00344908">
          <w:rPr>
            <w:sz w:val="16"/>
            <w:szCs w:val="16"/>
          </w:rPr>
          <w:t>final decision</w:t>
        </w:r>
        <w:r w:rsidR="006833B3">
          <w:t xml:space="preserve"> </w:t>
        </w:r>
        <w:r w:rsidR="006833B3" w:rsidRPr="006833B3">
          <w:t>2015–19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C16AC2" w:rsidRDefault="00C16AC2" w:rsidP="00C16AC2">
      <w:pPr>
        <w:pStyle w:val="FootnoteText"/>
      </w:pPr>
      <w:r>
        <w:rPr>
          <w:rStyle w:val="FootnoteReference"/>
        </w:rPr>
        <w:footnoteRef/>
      </w:r>
      <w:r>
        <w:t xml:space="preserve"> </w:t>
      </w:r>
      <w:r>
        <w:tab/>
        <w:t>NER, cl. 6A.2.2(4).</w:t>
      </w:r>
    </w:p>
  </w:footnote>
  <w:footnote w:id="2">
    <w:p w:rsidR="00C16AC2" w:rsidRDefault="00C16AC2" w:rsidP="00C16AC2">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3">
    <w:p w:rsidR="00C16AC2" w:rsidRDefault="00C16AC2" w:rsidP="00C16AC2">
      <w:pPr>
        <w:pStyle w:val="FootnoteText"/>
      </w:pPr>
      <w:r>
        <w:rPr>
          <w:rStyle w:val="FootnoteReference"/>
        </w:rPr>
        <w:footnoteRef/>
      </w:r>
      <w:r>
        <w:t xml:space="preserve"> </w:t>
      </w:r>
      <w:r>
        <w:tab/>
        <w:t>NER, cl. 6A.24.1(b).</w:t>
      </w:r>
    </w:p>
  </w:footnote>
  <w:footnote w:id="4">
    <w:p w:rsidR="00C16AC2" w:rsidRDefault="00C16AC2" w:rsidP="00C16AC2">
      <w:pPr>
        <w:pStyle w:val="FootnoteText"/>
      </w:pPr>
      <w:r>
        <w:rPr>
          <w:rStyle w:val="FootnoteReference"/>
        </w:rPr>
        <w:footnoteRef/>
      </w:r>
      <w:r>
        <w:t xml:space="preserve"> </w:t>
      </w:r>
      <w:r>
        <w:tab/>
        <w:t>NER, cl. 6A.24.1(b)(1).</w:t>
      </w:r>
    </w:p>
  </w:footnote>
  <w:footnote w:id="5">
    <w:p w:rsidR="00C16AC2" w:rsidRDefault="00C16AC2" w:rsidP="00C16AC2">
      <w:pPr>
        <w:pStyle w:val="FootnoteText"/>
      </w:pPr>
      <w:r>
        <w:rPr>
          <w:rStyle w:val="FootnoteReference"/>
        </w:rPr>
        <w:footnoteRef/>
      </w:r>
      <w:r>
        <w:t xml:space="preserve"> </w:t>
      </w:r>
      <w:r>
        <w:tab/>
        <w:t>NER, cl. 6A.24.1(b)(2).</w:t>
      </w:r>
    </w:p>
  </w:footnote>
  <w:footnote w:id="6">
    <w:p w:rsidR="00C16AC2" w:rsidRDefault="00C16AC2" w:rsidP="00C16AC2">
      <w:pPr>
        <w:pStyle w:val="FootnoteText"/>
      </w:pPr>
      <w:r>
        <w:rPr>
          <w:rStyle w:val="FootnoteReference"/>
        </w:rPr>
        <w:footnoteRef/>
      </w:r>
      <w:r>
        <w:t xml:space="preserve"> </w:t>
      </w:r>
      <w:r>
        <w:tab/>
        <w:t xml:space="preserve">ActewAGL, </w:t>
      </w:r>
      <w:r w:rsidRPr="009431D1">
        <w:rPr>
          <w:rStyle w:val="AERtextitalic"/>
        </w:rPr>
        <w:t>Revised pricing methodology 2015–19</w:t>
      </w:r>
      <w:r>
        <w:t>, January 2015, p. i.</w:t>
      </w:r>
    </w:p>
  </w:footnote>
  <w:footnote w:id="7">
    <w:p w:rsidR="00C16AC2" w:rsidRDefault="00C16AC2" w:rsidP="00C16AC2">
      <w:pPr>
        <w:pStyle w:val="FootnoteText"/>
      </w:pPr>
      <w:r>
        <w:rPr>
          <w:rStyle w:val="FootnoteReference"/>
        </w:rPr>
        <w:footnoteRef/>
      </w:r>
      <w:r>
        <w:t xml:space="preserve"> </w:t>
      </w:r>
      <w:r>
        <w:tab/>
      </w:r>
      <w:r w:rsidR="009431D1">
        <w:t xml:space="preserve">ActewAGL, </w:t>
      </w:r>
      <w:r w:rsidR="009431D1" w:rsidRPr="009431D1">
        <w:rPr>
          <w:rStyle w:val="AERtextitalic"/>
        </w:rPr>
        <w:t>Revised pricing methodology 2015–19</w:t>
      </w:r>
      <w:r w:rsidR="009431D1">
        <w:t>, January 2015, p. 5.</w:t>
      </w:r>
    </w:p>
  </w:footnote>
  <w:footnote w:id="8">
    <w:p w:rsidR="00C16AC2" w:rsidRDefault="00C16AC2" w:rsidP="00C16AC2">
      <w:pPr>
        <w:pStyle w:val="FootnoteText"/>
      </w:pPr>
      <w:r>
        <w:rPr>
          <w:rStyle w:val="FootnoteReference"/>
        </w:rPr>
        <w:footnoteRef/>
      </w:r>
      <w:r>
        <w:t xml:space="preserve"> </w:t>
      </w:r>
      <w:r>
        <w:tab/>
        <w:t>NER, cl. 6A.24.1(c).</w:t>
      </w:r>
    </w:p>
  </w:footnote>
  <w:footnote w:id="9">
    <w:p w:rsidR="00C16AC2" w:rsidRDefault="00C16AC2" w:rsidP="00C16AC2">
      <w:pPr>
        <w:pStyle w:val="FootnoteText"/>
      </w:pPr>
      <w:r>
        <w:rPr>
          <w:rStyle w:val="FootnoteReference"/>
        </w:rPr>
        <w:footnoteRef/>
      </w:r>
      <w:r>
        <w:t xml:space="preserve"> </w:t>
      </w:r>
      <w:r>
        <w:tab/>
        <w:t>NER, cl. 6A.24.1(e) and (f).</w:t>
      </w:r>
    </w:p>
  </w:footnote>
  <w:footnote w:id="10">
    <w:p w:rsidR="00C16AC2" w:rsidRDefault="00C16AC2" w:rsidP="00C16AC2">
      <w:pPr>
        <w:pStyle w:val="FootnoteText"/>
      </w:pPr>
      <w:r>
        <w:rPr>
          <w:rStyle w:val="FootnoteReference"/>
        </w:rPr>
        <w:footnoteRef/>
      </w:r>
      <w:r>
        <w:t xml:space="preserve"> </w:t>
      </w:r>
      <w:r>
        <w:tab/>
      </w:r>
      <w:r w:rsidR="009431D1" w:rsidRPr="009431D1">
        <w:t xml:space="preserve">AER, </w:t>
      </w:r>
      <w:r w:rsidR="009431D1" w:rsidRPr="009431D1">
        <w:rPr>
          <w:rStyle w:val="AERtextitalic"/>
        </w:rPr>
        <w:t>Draft decision: ActewAGL distribution determination 2014–15 and 2015–19</w:t>
      </w:r>
      <w:r w:rsidR="009431D1" w:rsidRPr="009431D1">
        <w:t>, November 2014, p. 19–</w:t>
      </w:r>
      <w:r w:rsidR="009431D1">
        <w:t>8</w:t>
      </w:r>
      <w:r w:rsidR="009431D1" w:rsidRPr="009431D1">
        <w:t>.</w:t>
      </w:r>
    </w:p>
  </w:footnote>
  <w:footnote w:id="11">
    <w:p w:rsidR="00C16AC2" w:rsidRDefault="00C16AC2" w:rsidP="00C16AC2">
      <w:pPr>
        <w:pStyle w:val="FootnoteText"/>
      </w:pPr>
      <w:r>
        <w:rPr>
          <w:rStyle w:val="FootnoteReference"/>
        </w:rPr>
        <w:footnoteRef/>
      </w:r>
      <w:r>
        <w:t xml:space="preserve"> </w:t>
      </w:r>
      <w:r>
        <w:tab/>
      </w:r>
      <w:r w:rsidRPr="00B411FD">
        <w:t xml:space="preserve">AEMC, </w:t>
      </w:r>
      <w:r w:rsidRPr="00B411FD">
        <w:rPr>
          <w:rStyle w:val="AERtextitalic"/>
        </w:rPr>
        <w:t>Rule Determination: National Electricity Amendment (Pricing of Prescribed Transmission Services) Rule 2006 No 22</w:t>
      </w:r>
      <w:r w:rsidRPr="00B411FD">
        <w:t>, 21 December 2006, pp. 27–8.</w:t>
      </w:r>
    </w:p>
  </w:footnote>
  <w:footnote w:id="12">
    <w:p w:rsidR="00C16AC2" w:rsidRDefault="00C16AC2" w:rsidP="00C16AC2">
      <w:pPr>
        <w:pStyle w:val="FootnoteText"/>
      </w:pPr>
      <w:r>
        <w:rPr>
          <w:rStyle w:val="FootnoteReference"/>
        </w:rPr>
        <w:footnoteRef/>
      </w:r>
      <w:r>
        <w:t xml:space="preserve"> </w:t>
      </w:r>
      <w:r>
        <w:tab/>
        <w:t>NER, cl. 6A.23.4.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2F2E83AC"/>
    <w:lvl w:ilvl="0">
      <w:start w:val="1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CYaxImrH325mZiFVaiNmUt0tjhDoModTq/aS23fKhE=" w:saltValue="LulIEfzJ4o0nsMiY+deJFA==" w:algorithmName="SHA-256"/>
  <w:defaultTabStop w:val="34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032\AER15 338  AER - Final Decision ActewAGL distribution determination - Attachment 19 – Pricing methodology - April 2015.DOCX"/>
  </w:docVars>
  <w:rsids>
    <w:rsidRoot w:val="00961A4A"/>
    <w:rsid w:val="00004C40"/>
    <w:rsid w:val="00021202"/>
    <w:rsid w:val="00021C2B"/>
    <w:rsid w:val="0002517F"/>
    <w:rsid w:val="0003578C"/>
    <w:rsid w:val="00063247"/>
    <w:rsid w:val="00070F9F"/>
    <w:rsid w:val="0007137B"/>
    <w:rsid w:val="00085663"/>
    <w:rsid w:val="00085EBF"/>
    <w:rsid w:val="00091B15"/>
    <w:rsid w:val="000A3020"/>
    <w:rsid w:val="000A6C7B"/>
    <w:rsid w:val="000C2B40"/>
    <w:rsid w:val="000D122C"/>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9599C"/>
    <w:rsid w:val="001B45A0"/>
    <w:rsid w:val="001D055E"/>
    <w:rsid w:val="001F05A4"/>
    <w:rsid w:val="001F492E"/>
    <w:rsid w:val="001F6DA3"/>
    <w:rsid w:val="002010BC"/>
    <w:rsid w:val="002016E7"/>
    <w:rsid w:val="00202E03"/>
    <w:rsid w:val="0020492C"/>
    <w:rsid w:val="00224DB9"/>
    <w:rsid w:val="00233775"/>
    <w:rsid w:val="00251745"/>
    <w:rsid w:val="00257E97"/>
    <w:rsid w:val="00263AC0"/>
    <w:rsid w:val="00264264"/>
    <w:rsid w:val="0026772D"/>
    <w:rsid w:val="00286874"/>
    <w:rsid w:val="00290C63"/>
    <w:rsid w:val="00296B65"/>
    <w:rsid w:val="002A7DEF"/>
    <w:rsid w:val="002C233C"/>
    <w:rsid w:val="002C715A"/>
    <w:rsid w:val="002D72E8"/>
    <w:rsid w:val="002E7B22"/>
    <w:rsid w:val="002F7986"/>
    <w:rsid w:val="00301B40"/>
    <w:rsid w:val="003029EE"/>
    <w:rsid w:val="00305CC8"/>
    <w:rsid w:val="00307F6D"/>
    <w:rsid w:val="003177A2"/>
    <w:rsid w:val="00317C80"/>
    <w:rsid w:val="003271AA"/>
    <w:rsid w:val="003271B5"/>
    <w:rsid w:val="00327A1E"/>
    <w:rsid w:val="00331264"/>
    <w:rsid w:val="00334C8D"/>
    <w:rsid w:val="00343A18"/>
    <w:rsid w:val="00344908"/>
    <w:rsid w:val="003518B3"/>
    <w:rsid w:val="003846F1"/>
    <w:rsid w:val="0039299A"/>
    <w:rsid w:val="003B484F"/>
    <w:rsid w:val="003B7FBA"/>
    <w:rsid w:val="003F174D"/>
    <w:rsid w:val="00415F31"/>
    <w:rsid w:val="0042319E"/>
    <w:rsid w:val="00423A77"/>
    <w:rsid w:val="0045777E"/>
    <w:rsid w:val="00480B4B"/>
    <w:rsid w:val="00485DC4"/>
    <w:rsid w:val="004A43D1"/>
    <w:rsid w:val="004A7241"/>
    <w:rsid w:val="004B4412"/>
    <w:rsid w:val="004C348C"/>
    <w:rsid w:val="004C3C24"/>
    <w:rsid w:val="004D55BA"/>
    <w:rsid w:val="004E22EC"/>
    <w:rsid w:val="004F6A0E"/>
    <w:rsid w:val="00517F2A"/>
    <w:rsid w:val="00530128"/>
    <w:rsid w:val="00532467"/>
    <w:rsid w:val="00564A4D"/>
    <w:rsid w:val="00567BA5"/>
    <w:rsid w:val="00571B35"/>
    <w:rsid w:val="00571D57"/>
    <w:rsid w:val="00577A09"/>
    <w:rsid w:val="005819E2"/>
    <w:rsid w:val="005829C2"/>
    <w:rsid w:val="00584D8F"/>
    <w:rsid w:val="005A404D"/>
    <w:rsid w:val="005B1E3C"/>
    <w:rsid w:val="005B704A"/>
    <w:rsid w:val="005C26CC"/>
    <w:rsid w:val="005C3490"/>
    <w:rsid w:val="005D7BA2"/>
    <w:rsid w:val="005E36C2"/>
    <w:rsid w:val="00605D16"/>
    <w:rsid w:val="00610EF9"/>
    <w:rsid w:val="00612D73"/>
    <w:rsid w:val="00612F4F"/>
    <w:rsid w:val="00615C6B"/>
    <w:rsid w:val="00621DCE"/>
    <w:rsid w:val="00632D6D"/>
    <w:rsid w:val="00642C3E"/>
    <w:rsid w:val="0066104A"/>
    <w:rsid w:val="00663DAD"/>
    <w:rsid w:val="00675E20"/>
    <w:rsid w:val="00676679"/>
    <w:rsid w:val="006833B3"/>
    <w:rsid w:val="00683C89"/>
    <w:rsid w:val="006A19E8"/>
    <w:rsid w:val="006B2395"/>
    <w:rsid w:val="006B4CF9"/>
    <w:rsid w:val="006B7AC8"/>
    <w:rsid w:val="006C1736"/>
    <w:rsid w:val="006D550F"/>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67E2A"/>
    <w:rsid w:val="00777EE6"/>
    <w:rsid w:val="00782EEA"/>
    <w:rsid w:val="007B186E"/>
    <w:rsid w:val="007B2C72"/>
    <w:rsid w:val="007C1C53"/>
    <w:rsid w:val="007C74BB"/>
    <w:rsid w:val="007D456E"/>
    <w:rsid w:val="007E3C7B"/>
    <w:rsid w:val="007E4904"/>
    <w:rsid w:val="007E4CB5"/>
    <w:rsid w:val="007F066B"/>
    <w:rsid w:val="008033C4"/>
    <w:rsid w:val="00806C88"/>
    <w:rsid w:val="0081034E"/>
    <w:rsid w:val="008344F6"/>
    <w:rsid w:val="0083510F"/>
    <w:rsid w:val="00851209"/>
    <w:rsid w:val="00866963"/>
    <w:rsid w:val="008837AC"/>
    <w:rsid w:val="008875E1"/>
    <w:rsid w:val="008A587D"/>
    <w:rsid w:val="008B35CD"/>
    <w:rsid w:val="008B5FCC"/>
    <w:rsid w:val="008C5486"/>
    <w:rsid w:val="008D1661"/>
    <w:rsid w:val="008D4A9B"/>
    <w:rsid w:val="008D6800"/>
    <w:rsid w:val="008E7031"/>
    <w:rsid w:val="008E77DE"/>
    <w:rsid w:val="008F07A3"/>
    <w:rsid w:val="009001B6"/>
    <w:rsid w:val="00900E1B"/>
    <w:rsid w:val="00914B02"/>
    <w:rsid w:val="009233EE"/>
    <w:rsid w:val="00940391"/>
    <w:rsid w:val="009431D1"/>
    <w:rsid w:val="009460AA"/>
    <w:rsid w:val="00951978"/>
    <w:rsid w:val="00960D5C"/>
    <w:rsid w:val="00961A4A"/>
    <w:rsid w:val="009661DE"/>
    <w:rsid w:val="00983C25"/>
    <w:rsid w:val="009856B7"/>
    <w:rsid w:val="00985C86"/>
    <w:rsid w:val="009A5FC3"/>
    <w:rsid w:val="009B5668"/>
    <w:rsid w:val="009B74B0"/>
    <w:rsid w:val="009D3906"/>
    <w:rsid w:val="009D6B46"/>
    <w:rsid w:val="009F4940"/>
    <w:rsid w:val="009F5BA1"/>
    <w:rsid w:val="00A02A88"/>
    <w:rsid w:val="00A0338D"/>
    <w:rsid w:val="00A0562E"/>
    <w:rsid w:val="00A0726D"/>
    <w:rsid w:val="00A32FBB"/>
    <w:rsid w:val="00A428EE"/>
    <w:rsid w:val="00A4478A"/>
    <w:rsid w:val="00A44852"/>
    <w:rsid w:val="00A50502"/>
    <w:rsid w:val="00A57D04"/>
    <w:rsid w:val="00A60A26"/>
    <w:rsid w:val="00A61598"/>
    <w:rsid w:val="00A84A99"/>
    <w:rsid w:val="00A84F46"/>
    <w:rsid w:val="00A871F4"/>
    <w:rsid w:val="00A936B1"/>
    <w:rsid w:val="00AC1B2C"/>
    <w:rsid w:val="00AC3264"/>
    <w:rsid w:val="00AE1BF1"/>
    <w:rsid w:val="00AF0DD2"/>
    <w:rsid w:val="00B13048"/>
    <w:rsid w:val="00B1716D"/>
    <w:rsid w:val="00B17A1D"/>
    <w:rsid w:val="00B207A0"/>
    <w:rsid w:val="00B514DD"/>
    <w:rsid w:val="00B52AF0"/>
    <w:rsid w:val="00B561BD"/>
    <w:rsid w:val="00B56E03"/>
    <w:rsid w:val="00B6360F"/>
    <w:rsid w:val="00B8080B"/>
    <w:rsid w:val="00B82223"/>
    <w:rsid w:val="00B87BA5"/>
    <w:rsid w:val="00B87C39"/>
    <w:rsid w:val="00B9562D"/>
    <w:rsid w:val="00BA4665"/>
    <w:rsid w:val="00BA69AB"/>
    <w:rsid w:val="00BB2FB2"/>
    <w:rsid w:val="00BB3304"/>
    <w:rsid w:val="00BD3446"/>
    <w:rsid w:val="00BD58EB"/>
    <w:rsid w:val="00BE1F1B"/>
    <w:rsid w:val="00BE47B5"/>
    <w:rsid w:val="00BE4EE5"/>
    <w:rsid w:val="00C16AC2"/>
    <w:rsid w:val="00C25FA6"/>
    <w:rsid w:val="00C538A9"/>
    <w:rsid w:val="00C53B5A"/>
    <w:rsid w:val="00C54F5A"/>
    <w:rsid w:val="00C569B4"/>
    <w:rsid w:val="00C67A92"/>
    <w:rsid w:val="00C84560"/>
    <w:rsid w:val="00C86679"/>
    <w:rsid w:val="00CA489E"/>
    <w:rsid w:val="00CB0279"/>
    <w:rsid w:val="00CB2E59"/>
    <w:rsid w:val="00CB666B"/>
    <w:rsid w:val="00CC7F1D"/>
    <w:rsid w:val="00CE484B"/>
    <w:rsid w:val="00CF0DEE"/>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167E8"/>
    <w:rsid w:val="00E23993"/>
    <w:rsid w:val="00E25B8C"/>
    <w:rsid w:val="00E43E19"/>
    <w:rsid w:val="00E65C85"/>
    <w:rsid w:val="00E66199"/>
    <w:rsid w:val="00E755EC"/>
    <w:rsid w:val="00E7624D"/>
    <w:rsid w:val="00EA3D42"/>
    <w:rsid w:val="00EA6B1B"/>
    <w:rsid w:val="00EC04F1"/>
    <w:rsid w:val="00ED7323"/>
    <w:rsid w:val="00EE28F3"/>
    <w:rsid w:val="00EE50D1"/>
    <w:rsid w:val="00EF5110"/>
    <w:rsid w:val="00F10411"/>
    <w:rsid w:val="00F15882"/>
    <w:rsid w:val="00F171E0"/>
    <w:rsid w:val="00F20BD3"/>
    <w:rsid w:val="00F373A5"/>
    <w:rsid w:val="00F47559"/>
    <w:rsid w:val="00F64C7B"/>
    <w:rsid w:val="00F676DD"/>
    <w:rsid w:val="00F75A26"/>
    <w:rsid w:val="00F76706"/>
    <w:rsid w:val="00F83FAD"/>
    <w:rsid w:val="00F85A5F"/>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20003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node/23137"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181AF199</Template>
  <TotalTime>0</TotalTime>
  <Pages>11</Pages>
  <Words>2473</Words>
  <Characters>14098</Characters>
  <Application>Microsoft Office Word</Application>
  <DocSecurity>0</DocSecurity>
  <Lines>117</Lines>
  <Paragraphs>33</Paragraphs>
  <ScaleCrop>false</ScaleCrop>
  <Company/>
  <LinksUpToDate>false</LinksUpToDate>
  <CharactersWithSpaces>16538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2015-04-29T05:45:00Z</dcterms:created>
  <dcterms:modified xsi:type="dcterms:W3CDTF">2015-04-29T05:45:00Z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