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1C9AABF" wp14:editId="10A8524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C715A">
            <w:t>1</w:t>
          </w:r>
          <w:r w:rsidR="00BE4EE5">
            <w:t>6</w:t>
          </w:r>
          <w:r w:rsidR="004A7241">
            <w:t xml:space="preserve"> –</w:t>
          </w:r>
          <w:r w:rsidR="00B6360F">
            <w:t xml:space="preserve"> </w:t>
          </w:r>
          <w:r w:rsidR="00BE4EE5">
            <w:t>Alternative control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8D1774" w:rsidRDefault="000A6C7B" w:rsidP="0084368C">
      <w:pPr>
        <w:pStyle w:val="AERbulletlistfirststyle"/>
        <w:ind w:left="357" w:hanging="357"/>
        <w:rPr>
          <w:sz w:val="20"/>
          <w:szCs w:val="20"/>
        </w:rPr>
      </w:pPr>
      <w:r w:rsidRPr="0084368C">
        <w:rPr>
          <w:sz w:val="20"/>
          <w:szCs w:val="20"/>
        </w:rPr>
        <w:t xml:space="preserve">the </w:t>
      </w:r>
      <w:r w:rsidRPr="008D1774">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846BF9">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9055FC">
      <w:pPr>
        <w:pStyle w:val="UnnumberedHeading"/>
        <w:numPr>
          <w:ilvl w:val="0"/>
          <w:numId w:val="23"/>
        </w:numPr>
      </w:pPr>
      <w:bookmarkStart w:id="5" w:name="_Toc418078025"/>
      <w:r>
        <w:lastRenderedPageBreak/>
        <w:t>N</w:t>
      </w:r>
      <w:r w:rsidR="008F07A3">
        <w:t>ote</w:t>
      </w:r>
      <w:bookmarkEnd w:id="1"/>
      <w:bookmarkEnd w:id="2"/>
      <w:bookmarkEnd w:id="3"/>
      <w:bookmarkEnd w:id="4"/>
      <w:bookmarkEnd w:id="5"/>
    </w:p>
    <w:p w:rsidR="00415F31" w:rsidRDefault="00415F31" w:rsidP="009055FC">
      <w:pPr>
        <w:numPr>
          <w:ilvl w:val="0"/>
          <w:numId w:val="24"/>
        </w:numPr>
        <w:spacing w:before="0" w:after="240" w:line="288" w:lineRule="auto"/>
        <w:jc w:val="both"/>
      </w:pPr>
    </w:p>
    <w:p w:rsidR="00415F31" w:rsidRDefault="008F07A3" w:rsidP="009055FC">
      <w:pPr>
        <w:numPr>
          <w:ilvl w:val="0"/>
          <w:numId w:val="24"/>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9055FC">
      <w:pPr>
        <w:numPr>
          <w:ilvl w:val="0"/>
          <w:numId w:val="24"/>
        </w:numPr>
        <w:spacing w:before="0" w:after="240" w:line="288" w:lineRule="auto"/>
        <w:jc w:val="both"/>
      </w:pPr>
      <w:r>
        <w:t>The final decision includes the following documents:</w:t>
      </w:r>
    </w:p>
    <w:p w:rsidR="00415F31" w:rsidRDefault="00415F31" w:rsidP="009055F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6324AD" w:rsidRPr="006324AD">
        <w:t>policy</w:t>
      </w:r>
    </w:p>
    <w:p w:rsidR="00415F31" w:rsidRDefault="0070011E" w:rsidP="00415F31">
      <w:r>
        <w:t>Attachment 19 - Pricing methodology</w:t>
      </w:r>
    </w:p>
    <w:p w:rsidR="008D1774" w:rsidRDefault="008D1774" w:rsidP="00415F31">
      <w:r>
        <w:t>Attachment 20 - Financeability</w:t>
      </w:r>
    </w:p>
    <w:p w:rsidR="008F07A3" w:rsidRPr="008F07A3" w:rsidRDefault="008F07A3" w:rsidP="009055FC">
      <w:pPr>
        <w:numPr>
          <w:ilvl w:val="0"/>
          <w:numId w:val="24"/>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9055FC">
      <w:pPr>
        <w:pStyle w:val="UnnumberedHeading"/>
        <w:numPr>
          <w:ilvl w:val="0"/>
          <w:numId w:val="23"/>
        </w:numPr>
      </w:pPr>
      <w:bookmarkStart w:id="6" w:name="_Toc403144133"/>
      <w:bookmarkStart w:id="7" w:name="_Toc41807802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704F5" w:rsidRDefault="008D177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18078025" w:history="1">
            <w:r w:rsidR="004704F5" w:rsidRPr="001057E9">
              <w:rPr>
                <w:rStyle w:val="Hyperlink"/>
              </w:rPr>
              <w:t>Note</w:t>
            </w:r>
            <w:r w:rsidR="004704F5">
              <w:rPr>
                <w:webHidden/>
              </w:rPr>
              <w:tab/>
            </w:r>
            <w:r w:rsidR="004704F5">
              <w:rPr>
                <w:webHidden/>
              </w:rPr>
              <w:fldChar w:fldCharType="begin"/>
            </w:r>
            <w:r w:rsidR="004704F5">
              <w:rPr>
                <w:webHidden/>
              </w:rPr>
              <w:instrText xml:space="preserve"> PAGEREF _Toc418078025 \h </w:instrText>
            </w:r>
            <w:r w:rsidR="004704F5">
              <w:rPr>
                <w:webHidden/>
              </w:rPr>
            </w:r>
            <w:r w:rsidR="004704F5">
              <w:rPr>
                <w:webHidden/>
              </w:rPr>
              <w:fldChar w:fldCharType="separate"/>
            </w:r>
            <w:r w:rsidR="004704F5">
              <w:rPr>
                <w:webHidden/>
              </w:rPr>
              <w:t>16-2</w:t>
            </w:r>
            <w:r w:rsidR="004704F5">
              <w:rPr>
                <w:webHidden/>
              </w:rPr>
              <w:fldChar w:fldCharType="end"/>
            </w:r>
          </w:hyperlink>
        </w:p>
        <w:p w:rsidR="004704F5" w:rsidRDefault="000D189C">
          <w:pPr>
            <w:pStyle w:val="TOC1"/>
            <w:rPr>
              <w:rFonts w:asciiTheme="minorHAnsi" w:eastAsiaTheme="minorEastAsia" w:hAnsiTheme="minorHAnsi"/>
              <w:b w:val="0"/>
              <w:color w:val="auto"/>
              <w:sz w:val="22"/>
              <w:lang w:val="en-AU" w:eastAsia="en-AU"/>
            </w:rPr>
          </w:pPr>
          <w:hyperlink w:anchor="_Toc418078026" w:history="1">
            <w:r w:rsidR="004704F5" w:rsidRPr="001057E9">
              <w:rPr>
                <w:rStyle w:val="Hyperlink"/>
              </w:rPr>
              <w:t>Contents</w:t>
            </w:r>
            <w:r w:rsidR="004704F5">
              <w:rPr>
                <w:webHidden/>
              </w:rPr>
              <w:tab/>
            </w:r>
            <w:r w:rsidR="004704F5">
              <w:rPr>
                <w:webHidden/>
              </w:rPr>
              <w:fldChar w:fldCharType="begin"/>
            </w:r>
            <w:r w:rsidR="004704F5">
              <w:rPr>
                <w:webHidden/>
              </w:rPr>
              <w:instrText xml:space="preserve"> PAGEREF _Toc418078026 \h </w:instrText>
            </w:r>
            <w:r w:rsidR="004704F5">
              <w:rPr>
                <w:webHidden/>
              </w:rPr>
            </w:r>
            <w:r w:rsidR="004704F5">
              <w:rPr>
                <w:webHidden/>
              </w:rPr>
              <w:fldChar w:fldCharType="separate"/>
            </w:r>
            <w:r w:rsidR="004704F5">
              <w:rPr>
                <w:webHidden/>
              </w:rPr>
              <w:t>16-3</w:t>
            </w:r>
            <w:r w:rsidR="004704F5">
              <w:rPr>
                <w:webHidden/>
              </w:rPr>
              <w:fldChar w:fldCharType="end"/>
            </w:r>
          </w:hyperlink>
        </w:p>
        <w:p w:rsidR="004704F5" w:rsidRDefault="000D189C">
          <w:pPr>
            <w:pStyle w:val="TOC1"/>
            <w:rPr>
              <w:rFonts w:asciiTheme="minorHAnsi" w:eastAsiaTheme="minorEastAsia" w:hAnsiTheme="minorHAnsi"/>
              <w:b w:val="0"/>
              <w:color w:val="auto"/>
              <w:sz w:val="22"/>
              <w:lang w:val="en-AU" w:eastAsia="en-AU"/>
            </w:rPr>
          </w:pPr>
          <w:hyperlink w:anchor="_Toc418078027" w:history="1">
            <w:r w:rsidR="004704F5" w:rsidRPr="001057E9">
              <w:rPr>
                <w:rStyle w:val="Hyperlink"/>
              </w:rPr>
              <w:t>Shortened forms</w:t>
            </w:r>
            <w:r w:rsidR="004704F5">
              <w:rPr>
                <w:webHidden/>
              </w:rPr>
              <w:tab/>
            </w:r>
            <w:r w:rsidR="004704F5">
              <w:rPr>
                <w:webHidden/>
              </w:rPr>
              <w:fldChar w:fldCharType="begin"/>
            </w:r>
            <w:r w:rsidR="004704F5">
              <w:rPr>
                <w:webHidden/>
              </w:rPr>
              <w:instrText xml:space="preserve"> PAGEREF _Toc418078027 \h </w:instrText>
            </w:r>
            <w:r w:rsidR="004704F5">
              <w:rPr>
                <w:webHidden/>
              </w:rPr>
            </w:r>
            <w:r w:rsidR="004704F5">
              <w:rPr>
                <w:webHidden/>
              </w:rPr>
              <w:fldChar w:fldCharType="separate"/>
            </w:r>
            <w:r w:rsidR="004704F5">
              <w:rPr>
                <w:webHidden/>
              </w:rPr>
              <w:t>16-4</w:t>
            </w:r>
            <w:r w:rsidR="004704F5">
              <w:rPr>
                <w:webHidden/>
              </w:rPr>
              <w:fldChar w:fldCharType="end"/>
            </w:r>
          </w:hyperlink>
        </w:p>
        <w:p w:rsidR="004704F5" w:rsidRDefault="000D189C">
          <w:pPr>
            <w:pStyle w:val="TOC1"/>
            <w:rPr>
              <w:rFonts w:asciiTheme="minorHAnsi" w:eastAsiaTheme="minorEastAsia" w:hAnsiTheme="minorHAnsi"/>
              <w:b w:val="0"/>
              <w:color w:val="auto"/>
              <w:sz w:val="22"/>
              <w:lang w:val="en-AU" w:eastAsia="en-AU"/>
            </w:rPr>
          </w:pPr>
          <w:hyperlink w:anchor="_Toc418078028" w:history="1">
            <w:r w:rsidR="004704F5" w:rsidRPr="001057E9">
              <w:rPr>
                <w:rStyle w:val="Hyperlink"/>
              </w:rPr>
              <w:t>16</w:t>
            </w:r>
            <w:r w:rsidR="004704F5">
              <w:rPr>
                <w:rFonts w:asciiTheme="minorHAnsi" w:eastAsiaTheme="minorEastAsia" w:hAnsiTheme="minorHAnsi"/>
                <w:b w:val="0"/>
                <w:color w:val="auto"/>
                <w:sz w:val="22"/>
                <w:lang w:val="en-AU" w:eastAsia="en-AU"/>
              </w:rPr>
              <w:tab/>
            </w:r>
            <w:r w:rsidR="004704F5" w:rsidRPr="001057E9">
              <w:rPr>
                <w:rStyle w:val="Hyperlink"/>
              </w:rPr>
              <w:t>Alternative control services</w:t>
            </w:r>
            <w:r w:rsidR="004704F5">
              <w:rPr>
                <w:webHidden/>
              </w:rPr>
              <w:tab/>
            </w:r>
            <w:r w:rsidR="004704F5">
              <w:rPr>
                <w:webHidden/>
              </w:rPr>
              <w:fldChar w:fldCharType="begin"/>
            </w:r>
            <w:r w:rsidR="004704F5">
              <w:rPr>
                <w:webHidden/>
              </w:rPr>
              <w:instrText xml:space="preserve"> PAGEREF _Toc418078028 \h </w:instrText>
            </w:r>
            <w:r w:rsidR="004704F5">
              <w:rPr>
                <w:webHidden/>
              </w:rPr>
            </w:r>
            <w:r w:rsidR="004704F5">
              <w:rPr>
                <w:webHidden/>
              </w:rPr>
              <w:fldChar w:fldCharType="separate"/>
            </w:r>
            <w:r w:rsidR="004704F5">
              <w:rPr>
                <w:webHidden/>
              </w:rPr>
              <w:t>16-6</w:t>
            </w:r>
            <w:r w:rsidR="004704F5">
              <w:rPr>
                <w:webHidden/>
              </w:rPr>
              <w:fldChar w:fldCharType="end"/>
            </w:r>
          </w:hyperlink>
        </w:p>
        <w:p w:rsidR="004704F5" w:rsidRDefault="000D189C">
          <w:pPr>
            <w:pStyle w:val="TOC2"/>
            <w:tabs>
              <w:tab w:val="left" w:pos="1276"/>
            </w:tabs>
            <w:rPr>
              <w:rFonts w:asciiTheme="minorHAnsi" w:eastAsiaTheme="minorEastAsia" w:hAnsiTheme="minorHAnsi"/>
              <w:b w:val="0"/>
              <w:color w:val="auto"/>
              <w:sz w:val="22"/>
              <w:lang w:eastAsia="en-AU"/>
            </w:rPr>
          </w:pPr>
          <w:hyperlink w:anchor="_Toc418078029" w:history="1">
            <w:r w:rsidR="004704F5" w:rsidRPr="001057E9">
              <w:rPr>
                <w:rStyle w:val="Hyperlink"/>
              </w:rPr>
              <w:t>16.1</w:t>
            </w:r>
            <w:r w:rsidR="004704F5">
              <w:rPr>
                <w:rFonts w:asciiTheme="minorHAnsi" w:eastAsiaTheme="minorEastAsia" w:hAnsiTheme="minorHAnsi"/>
                <w:b w:val="0"/>
                <w:color w:val="auto"/>
                <w:sz w:val="22"/>
                <w:lang w:eastAsia="en-AU"/>
              </w:rPr>
              <w:tab/>
            </w:r>
            <w:r w:rsidR="004704F5" w:rsidRPr="001057E9">
              <w:rPr>
                <w:rStyle w:val="Hyperlink"/>
              </w:rPr>
              <w:t>Ancillary network services</w:t>
            </w:r>
            <w:r w:rsidR="004704F5">
              <w:rPr>
                <w:webHidden/>
              </w:rPr>
              <w:tab/>
            </w:r>
            <w:r w:rsidR="004704F5">
              <w:rPr>
                <w:webHidden/>
              </w:rPr>
              <w:fldChar w:fldCharType="begin"/>
            </w:r>
            <w:r w:rsidR="004704F5">
              <w:rPr>
                <w:webHidden/>
              </w:rPr>
              <w:instrText xml:space="preserve"> PAGEREF _Toc418078029 \h </w:instrText>
            </w:r>
            <w:r w:rsidR="004704F5">
              <w:rPr>
                <w:webHidden/>
              </w:rPr>
            </w:r>
            <w:r w:rsidR="004704F5">
              <w:rPr>
                <w:webHidden/>
              </w:rPr>
              <w:fldChar w:fldCharType="separate"/>
            </w:r>
            <w:r w:rsidR="004704F5">
              <w:rPr>
                <w:webHidden/>
              </w:rPr>
              <w:t>16-6</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0" w:history="1">
            <w:r w:rsidR="004704F5" w:rsidRPr="001057E9">
              <w:rPr>
                <w:rStyle w:val="Hyperlink"/>
              </w:rPr>
              <w:t>16.1.1</w:t>
            </w:r>
            <w:r w:rsidR="004704F5">
              <w:rPr>
                <w:rFonts w:asciiTheme="minorHAnsi" w:eastAsiaTheme="minorEastAsia" w:hAnsiTheme="minorHAnsi"/>
                <w:lang w:eastAsia="en-AU"/>
              </w:rPr>
              <w:tab/>
            </w:r>
            <w:r w:rsidR="004704F5" w:rsidRPr="001057E9">
              <w:rPr>
                <w:rStyle w:val="Hyperlink"/>
              </w:rPr>
              <w:t>Final decision</w:t>
            </w:r>
            <w:r w:rsidR="004704F5">
              <w:rPr>
                <w:webHidden/>
              </w:rPr>
              <w:tab/>
            </w:r>
            <w:r w:rsidR="004704F5">
              <w:rPr>
                <w:webHidden/>
              </w:rPr>
              <w:fldChar w:fldCharType="begin"/>
            </w:r>
            <w:r w:rsidR="004704F5">
              <w:rPr>
                <w:webHidden/>
              </w:rPr>
              <w:instrText xml:space="preserve"> PAGEREF _Toc418078030 \h </w:instrText>
            </w:r>
            <w:r w:rsidR="004704F5">
              <w:rPr>
                <w:webHidden/>
              </w:rPr>
            </w:r>
            <w:r w:rsidR="004704F5">
              <w:rPr>
                <w:webHidden/>
              </w:rPr>
              <w:fldChar w:fldCharType="separate"/>
            </w:r>
            <w:r w:rsidR="004704F5">
              <w:rPr>
                <w:webHidden/>
              </w:rPr>
              <w:t>16-6</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1" w:history="1">
            <w:r w:rsidR="004704F5" w:rsidRPr="001057E9">
              <w:rPr>
                <w:rStyle w:val="Hyperlink"/>
              </w:rPr>
              <w:t>16.1.2</w:t>
            </w:r>
            <w:r w:rsidR="004704F5">
              <w:rPr>
                <w:rFonts w:asciiTheme="minorHAnsi" w:eastAsiaTheme="minorEastAsia" w:hAnsiTheme="minorHAnsi"/>
                <w:lang w:eastAsia="en-AU"/>
              </w:rPr>
              <w:tab/>
            </w:r>
            <w:r w:rsidR="004704F5" w:rsidRPr="001057E9">
              <w:rPr>
                <w:rStyle w:val="Hyperlink"/>
              </w:rPr>
              <w:t>ActewAGL’s revised proposal</w:t>
            </w:r>
            <w:r w:rsidR="004704F5">
              <w:rPr>
                <w:webHidden/>
              </w:rPr>
              <w:tab/>
            </w:r>
            <w:r w:rsidR="004704F5">
              <w:rPr>
                <w:webHidden/>
              </w:rPr>
              <w:fldChar w:fldCharType="begin"/>
            </w:r>
            <w:r w:rsidR="004704F5">
              <w:rPr>
                <w:webHidden/>
              </w:rPr>
              <w:instrText xml:space="preserve"> PAGEREF _Toc418078031 \h </w:instrText>
            </w:r>
            <w:r w:rsidR="004704F5">
              <w:rPr>
                <w:webHidden/>
              </w:rPr>
            </w:r>
            <w:r w:rsidR="004704F5">
              <w:rPr>
                <w:webHidden/>
              </w:rPr>
              <w:fldChar w:fldCharType="separate"/>
            </w:r>
            <w:r w:rsidR="004704F5">
              <w:rPr>
                <w:webHidden/>
              </w:rPr>
              <w:t>16-10</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2" w:history="1">
            <w:r w:rsidR="004704F5" w:rsidRPr="001057E9">
              <w:rPr>
                <w:rStyle w:val="Hyperlink"/>
              </w:rPr>
              <w:t>16.1.3</w:t>
            </w:r>
            <w:r w:rsidR="004704F5">
              <w:rPr>
                <w:rFonts w:asciiTheme="minorHAnsi" w:eastAsiaTheme="minorEastAsia" w:hAnsiTheme="minorHAnsi"/>
                <w:lang w:eastAsia="en-AU"/>
              </w:rPr>
              <w:tab/>
            </w:r>
            <w:r w:rsidR="004704F5" w:rsidRPr="001057E9">
              <w:rPr>
                <w:rStyle w:val="Hyperlink"/>
              </w:rPr>
              <w:t>Assessment approach</w:t>
            </w:r>
            <w:r w:rsidR="004704F5">
              <w:rPr>
                <w:webHidden/>
              </w:rPr>
              <w:tab/>
            </w:r>
            <w:r w:rsidR="004704F5">
              <w:rPr>
                <w:webHidden/>
              </w:rPr>
              <w:fldChar w:fldCharType="begin"/>
            </w:r>
            <w:r w:rsidR="004704F5">
              <w:rPr>
                <w:webHidden/>
              </w:rPr>
              <w:instrText xml:space="preserve"> PAGEREF _Toc418078032 \h </w:instrText>
            </w:r>
            <w:r w:rsidR="004704F5">
              <w:rPr>
                <w:webHidden/>
              </w:rPr>
            </w:r>
            <w:r w:rsidR="004704F5">
              <w:rPr>
                <w:webHidden/>
              </w:rPr>
              <w:fldChar w:fldCharType="separate"/>
            </w:r>
            <w:r w:rsidR="004704F5">
              <w:rPr>
                <w:webHidden/>
              </w:rPr>
              <w:t>16-11</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3" w:history="1">
            <w:r w:rsidR="004704F5" w:rsidRPr="001057E9">
              <w:rPr>
                <w:rStyle w:val="Hyperlink"/>
              </w:rPr>
              <w:t>16.1.4</w:t>
            </w:r>
            <w:r w:rsidR="004704F5">
              <w:rPr>
                <w:rFonts w:asciiTheme="minorHAnsi" w:eastAsiaTheme="minorEastAsia" w:hAnsiTheme="minorHAnsi"/>
                <w:lang w:eastAsia="en-AU"/>
              </w:rPr>
              <w:tab/>
            </w:r>
            <w:r w:rsidR="004704F5" w:rsidRPr="001057E9">
              <w:rPr>
                <w:rStyle w:val="Hyperlink"/>
              </w:rPr>
              <w:t>Reasons for final decision</w:t>
            </w:r>
            <w:r w:rsidR="004704F5">
              <w:rPr>
                <w:webHidden/>
              </w:rPr>
              <w:tab/>
            </w:r>
            <w:r w:rsidR="004704F5">
              <w:rPr>
                <w:webHidden/>
              </w:rPr>
              <w:fldChar w:fldCharType="begin"/>
            </w:r>
            <w:r w:rsidR="004704F5">
              <w:rPr>
                <w:webHidden/>
              </w:rPr>
              <w:instrText xml:space="preserve"> PAGEREF _Toc418078033 \h </w:instrText>
            </w:r>
            <w:r w:rsidR="004704F5">
              <w:rPr>
                <w:webHidden/>
              </w:rPr>
            </w:r>
            <w:r w:rsidR="004704F5">
              <w:rPr>
                <w:webHidden/>
              </w:rPr>
              <w:fldChar w:fldCharType="separate"/>
            </w:r>
            <w:r w:rsidR="004704F5">
              <w:rPr>
                <w:webHidden/>
              </w:rPr>
              <w:t>16-12</w:t>
            </w:r>
            <w:r w:rsidR="004704F5">
              <w:rPr>
                <w:webHidden/>
              </w:rPr>
              <w:fldChar w:fldCharType="end"/>
            </w:r>
          </w:hyperlink>
        </w:p>
        <w:p w:rsidR="004704F5" w:rsidRDefault="000D189C">
          <w:pPr>
            <w:pStyle w:val="TOC2"/>
            <w:tabs>
              <w:tab w:val="left" w:pos="1276"/>
            </w:tabs>
            <w:rPr>
              <w:rFonts w:asciiTheme="minorHAnsi" w:eastAsiaTheme="minorEastAsia" w:hAnsiTheme="minorHAnsi"/>
              <w:b w:val="0"/>
              <w:color w:val="auto"/>
              <w:sz w:val="22"/>
              <w:lang w:eastAsia="en-AU"/>
            </w:rPr>
          </w:pPr>
          <w:hyperlink w:anchor="_Toc418078034" w:history="1">
            <w:r w:rsidR="004704F5" w:rsidRPr="001057E9">
              <w:rPr>
                <w:rStyle w:val="Hyperlink"/>
              </w:rPr>
              <w:t>16.2</w:t>
            </w:r>
            <w:r w:rsidR="004704F5">
              <w:rPr>
                <w:rFonts w:asciiTheme="minorHAnsi" w:eastAsiaTheme="minorEastAsia" w:hAnsiTheme="minorHAnsi"/>
                <w:b w:val="0"/>
                <w:color w:val="auto"/>
                <w:sz w:val="22"/>
                <w:lang w:eastAsia="en-AU"/>
              </w:rPr>
              <w:tab/>
            </w:r>
            <w:r w:rsidR="004704F5" w:rsidRPr="001057E9">
              <w:rPr>
                <w:rStyle w:val="Hyperlink"/>
              </w:rPr>
              <w:t>Metering</w:t>
            </w:r>
            <w:r w:rsidR="004704F5">
              <w:rPr>
                <w:webHidden/>
              </w:rPr>
              <w:tab/>
            </w:r>
            <w:r w:rsidR="004704F5">
              <w:rPr>
                <w:webHidden/>
              </w:rPr>
              <w:fldChar w:fldCharType="begin"/>
            </w:r>
            <w:r w:rsidR="004704F5">
              <w:rPr>
                <w:webHidden/>
              </w:rPr>
              <w:instrText xml:space="preserve"> PAGEREF _Toc418078034 \h </w:instrText>
            </w:r>
            <w:r w:rsidR="004704F5">
              <w:rPr>
                <w:webHidden/>
              </w:rPr>
            </w:r>
            <w:r w:rsidR="004704F5">
              <w:rPr>
                <w:webHidden/>
              </w:rPr>
              <w:fldChar w:fldCharType="separate"/>
            </w:r>
            <w:r w:rsidR="004704F5">
              <w:rPr>
                <w:webHidden/>
              </w:rPr>
              <w:t>16-20</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5" w:history="1">
            <w:r w:rsidR="004704F5" w:rsidRPr="001057E9">
              <w:rPr>
                <w:rStyle w:val="Hyperlink"/>
              </w:rPr>
              <w:t>16.2.1</w:t>
            </w:r>
            <w:r w:rsidR="004704F5">
              <w:rPr>
                <w:rFonts w:asciiTheme="minorHAnsi" w:eastAsiaTheme="minorEastAsia" w:hAnsiTheme="minorHAnsi"/>
                <w:lang w:eastAsia="en-AU"/>
              </w:rPr>
              <w:tab/>
            </w:r>
            <w:r w:rsidR="004704F5" w:rsidRPr="001057E9">
              <w:rPr>
                <w:rStyle w:val="Hyperlink"/>
              </w:rPr>
              <w:t>Final decision</w:t>
            </w:r>
            <w:r w:rsidR="004704F5">
              <w:rPr>
                <w:webHidden/>
              </w:rPr>
              <w:tab/>
            </w:r>
            <w:r w:rsidR="004704F5">
              <w:rPr>
                <w:webHidden/>
              </w:rPr>
              <w:fldChar w:fldCharType="begin"/>
            </w:r>
            <w:r w:rsidR="004704F5">
              <w:rPr>
                <w:webHidden/>
              </w:rPr>
              <w:instrText xml:space="preserve"> PAGEREF _Toc418078035 \h </w:instrText>
            </w:r>
            <w:r w:rsidR="004704F5">
              <w:rPr>
                <w:webHidden/>
              </w:rPr>
            </w:r>
            <w:r w:rsidR="004704F5">
              <w:rPr>
                <w:webHidden/>
              </w:rPr>
              <w:fldChar w:fldCharType="separate"/>
            </w:r>
            <w:r w:rsidR="004704F5">
              <w:rPr>
                <w:webHidden/>
              </w:rPr>
              <w:t>16-22</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6" w:history="1">
            <w:r w:rsidR="004704F5" w:rsidRPr="001057E9">
              <w:rPr>
                <w:rStyle w:val="Hyperlink"/>
              </w:rPr>
              <w:t>16.2.2</w:t>
            </w:r>
            <w:r w:rsidR="004704F5">
              <w:rPr>
                <w:rFonts w:asciiTheme="minorHAnsi" w:eastAsiaTheme="minorEastAsia" w:hAnsiTheme="minorHAnsi"/>
                <w:lang w:eastAsia="en-AU"/>
              </w:rPr>
              <w:tab/>
            </w:r>
            <w:r w:rsidR="004704F5" w:rsidRPr="001057E9">
              <w:rPr>
                <w:rStyle w:val="Hyperlink"/>
              </w:rPr>
              <w:t>ActewAGL's revised proposal</w:t>
            </w:r>
            <w:r w:rsidR="004704F5">
              <w:rPr>
                <w:webHidden/>
              </w:rPr>
              <w:tab/>
            </w:r>
            <w:r w:rsidR="004704F5">
              <w:rPr>
                <w:webHidden/>
              </w:rPr>
              <w:fldChar w:fldCharType="begin"/>
            </w:r>
            <w:r w:rsidR="004704F5">
              <w:rPr>
                <w:webHidden/>
              </w:rPr>
              <w:instrText xml:space="preserve"> PAGEREF _Toc418078036 \h </w:instrText>
            </w:r>
            <w:r w:rsidR="004704F5">
              <w:rPr>
                <w:webHidden/>
              </w:rPr>
            </w:r>
            <w:r w:rsidR="004704F5">
              <w:rPr>
                <w:webHidden/>
              </w:rPr>
              <w:fldChar w:fldCharType="separate"/>
            </w:r>
            <w:r w:rsidR="004704F5">
              <w:rPr>
                <w:webHidden/>
              </w:rPr>
              <w:t>16-27</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7" w:history="1">
            <w:r w:rsidR="004704F5" w:rsidRPr="001057E9">
              <w:rPr>
                <w:rStyle w:val="Hyperlink"/>
              </w:rPr>
              <w:t>16.2.3</w:t>
            </w:r>
            <w:r w:rsidR="004704F5">
              <w:rPr>
                <w:rFonts w:asciiTheme="minorHAnsi" w:eastAsiaTheme="minorEastAsia" w:hAnsiTheme="minorHAnsi"/>
                <w:lang w:eastAsia="en-AU"/>
              </w:rPr>
              <w:tab/>
            </w:r>
            <w:r w:rsidR="004704F5" w:rsidRPr="001057E9">
              <w:rPr>
                <w:rStyle w:val="Hyperlink"/>
              </w:rPr>
              <w:t>Assessment approach</w:t>
            </w:r>
            <w:r w:rsidR="004704F5">
              <w:rPr>
                <w:webHidden/>
              </w:rPr>
              <w:tab/>
            </w:r>
            <w:r w:rsidR="004704F5">
              <w:rPr>
                <w:webHidden/>
              </w:rPr>
              <w:fldChar w:fldCharType="begin"/>
            </w:r>
            <w:r w:rsidR="004704F5">
              <w:rPr>
                <w:webHidden/>
              </w:rPr>
              <w:instrText xml:space="preserve"> PAGEREF _Toc418078037 \h </w:instrText>
            </w:r>
            <w:r w:rsidR="004704F5">
              <w:rPr>
                <w:webHidden/>
              </w:rPr>
            </w:r>
            <w:r w:rsidR="004704F5">
              <w:rPr>
                <w:webHidden/>
              </w:rPr>
              <w:fldChar w:fldCharType="separate"/>
            </w:r>
            <w:r w:rsidR="004704F5">
              <w:rPr>
                <w:webHidden/>
              </w:rPr>
              <w:t>16-30</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38" w:history="1">
            <w:r w:rsidR="004704F5" w:rsidRPr="001057E9">
              <w:rPr>
                <w:rStyle w:val="Hyperlink"/>
              </w:rPr>
              <w:t>16.2.4</w:t>
            </w:r>
            <w:r w:rsidR="004704F5">
              <w:rPr>
                <w:rFonts w:asciiTheme="minorHAnsi" w:eastAsiaTheme="minorEastAsia" w:hAnsiTheme="minorHAnsi"/>
                <w:lang w:eastAsia="en-AU"/>
              </w:rPr>
              <w:tab/>
            </w:r>
            <w:r w:rsidR="004704F5" w:rsidRPr="001057E9">
              <w:rPr>
                <w:rStyle w:val="Hyperlink"/>
              </w:rPr>
              <w:t>Reasons for final decision</w:t>
            </w:r>
            <w:r w:rsidR="004704F5">
              <w:rPr>
                <w:webHidden/>
              </w:rPr>
              <w:tab/>
            </w:r>
            <w:r w:rsidR="004704F5">
              <w:rPr>
                <w:webHidden/>
              </w:rPr>
              <w:fldChar w:fldCharType="begin"/>
            </w:r>
            <w:r w:rsidR="004704F5">
              <w:rPr>
                <w:webHidden/>
              </w:rPr>
              <w:instrText xml:space="preserve"> PAGEREF _Toc418078038 \h </w:instrText>
            </w:r>
            <w:r w:rsidR="004704F5">
              <w:rPr>
                <w:webHidden/>
              </w:rPr>
            </w:r>
            <w:r w:rsidR="004704F5">
              <w:rPr>
                <w:webHidden/>
              </w:rPr>
              <w:fldChar w:fldCharType="separate"/>
            </w:r>
            <w:r w:rsidR="004704F5">
              <w:rPr>
                <w:webHidden/>
              </w:rPr>
              <w:t>16-35</w:t>
            </w:r>
            <w:r w:rsidR="004704F5">
              <w:rPr>
                <w:webHidden/>
              </w:rPr>
              <w:fldChar w:fldCharType="end"/>
            </w:r>
          </w:hyperlink>
        </w:p>
        <w:p w:rsidR="004704F5" w:rsidRDefault="000D189C">
          <w:pPr>
            <w:pStyle w:val="TOC1"/>
            <w:rPr>
              <w:rFonts w:asciiTheme="minorHAnsi" w:eastAsiaTheme="minorEastAsia" w:hAnsiTheme="minorHAnsi"/>
              <w:b w:val="0"/>
              <w:color w:val="auto"/>
              <w:sz w:val="22"/>
              <w:lang w:val="en-AU" w:eastAsia="en-AU"/>
            </w:rPr>
          </w:pPr>
          <w:hyperlink w:anchor="_Toc418078039" w:history="1">
            <w:r w:rsidR="004704F5" w:rsidRPr="001057E9">
              <w:rPr>
                <w:rStyle w:val="Hyperlink"/>
              </w:rPr>
              <w:t>A</w:t>
            </w:r>
            <w:r w:rsidR="004704F5">
              <w:rPr>
                <w:rFonts w:asciiTheme="minorHAnsi" w:eastAsiaTheme="minorEastAsia" w:hAnsiTheme="minorHAnsi"/>
                <w:b w:val="0"/>
                <w:color w:val="auto"/>
                <w:sz w:val="22"/>
                <w:lang w:val="en-AU" w:eastAsia="en-AU"/>
              </w:rPr>
              <w:tab/>
            </w:r>
            <w:r w:rsidR="004704F5" w:rsidRPr="001057E9">
              <w:rPr>
                <w:rStyle w:val="Hyperlink"/>
              </w:rPr>
              <w:t>Appendix</w:t>
            </w:r>
            <w:r w:rsidR="004704F5">
              <w:rPr>
                <w:webHidden/>
              </w:rPr>
              <w:tab/>
            </w:r>
            <w:r w:rsidR="004704F5">
              <w:rPr>
                <w:webHidden/>
              </w:rPr>
              <w:fldChar w:fldCharType="begin"/>
            </w:r>
            <w:r w:rsidR="004704F5">
              <w:rPr>
                <w:webHidden/>
              </w:rPr>
              <w:instrText xml:space="preserve"> PAGEREF _Toc418078039 \h </w:instrText>
            </w:r>
            <w:r w:rsidR="004704F5">
              <w:rPr>
                <w:webHidden/>
              </w:rPr>
            </w:r>
            <w:r w:rsidR="004704F5">
              <w:rPr>
                <w:webHidden/>
              </w:rPr>
              <w:fldChar w:fldCharType="separate"/>
            </w:r>
            <w:r w:rsidR="004704F5">
              <w:rPr>
                <w:webHidden/>
              </w:rPr>
              <w:t>16-56</w:t>
            </w:r>
            <w:r w:rsidR="004704F5">
              <w:rPr>
                <w:webHidden/>
              </w:rPr>
              <w:fldChar w:fldCharType="end"/>
            </w:r>
          </w:hyperlink>
        </w:p>
        <w:p w:rsidR="004704F5" w:rsidRDefault="000D189C">
          <w:pPr>
            <w:pStyle w:val="TOC2"/>
            <w:rPr>
              <w:rFonts w:asciiTheme="minorHAnsi" w:eastAsiaTheme="minorEastAsia" w:hAnsiTheme="minorHAnsi"/>
              <w:b w:val="0"/>
              <w:color w:val="auto"/>
              <w:sz w:val="22"/>
              <w:lang w:eastAsia="en-AU"/>
            </w:rPr>
          </w:pPr>
          <w:hyperlink w:anchor="_Toc418078040" w:history="1">
            <w:r w:rsidR="004704F5" w:rsidRPr="001057E9">
              <w:rPr>
                <w:rStyle w:val="Hyperlink"/>
              </w:rPr>
              <w:t>A.1</w:t>
            </w:r>
            <w:r w:rsidR="004704F5">
              <w:rPr>
                <w:rFonts w:asciiTheme="minorHAnsi" w:eastAsiaTheme="minorEastAsia" w:hAnsiTheme="minorHAnsi"/>
                <w:b w:val="0"/>
                <w:color w:val="auto"/>
                <w:sz w:val="22"/>
                <w:lang w:eastAsia="en-AU"/>
              </w:rPr>
              <w:tab/>
            </w:r>
            <w:r w:rsidR="004704F5" w:rsidRPr="001057E9">
              <w:rPr>
                <w:rStyle w:val="Hyperlink"/>
              </w:rPr>
              <w:t>Final Decision charges for alternative control services</w:t>
            </w:r>
            <w:r w:rsidR="004704F5">
              <w:rPr>
                <w:webHidden/>
              </w:rPr>
              <w:tab/>
            </w:r>
            <w:r w:rsidR="004704F5">
              <w:rPr>
                <w:webHidden/>
              </w:rPr>
              <w:fldChar w:fldCharType="begin"/>
            </w:r>
            <w:r w:rsidR="004704F5">
              <w:rPr>
                <w:webHidden/>
              </w:rPr>
              <w:instrText xml:space="preserve"> PAGEREF _Toc418078040 \h </w:instrText>
            </w:r>
            <w:r w:rsidR="004704F5">
              <w:rPr>
                <w:webHidden/>
              </w:rPr>
            </w:r>
            <w:r w:rsidR="004704F5">
              <w:rPr>
                <w:webHidden/>
              </w:rPr>
              <w:fldChar w:fldCharType="separate"/>
            </w:r>
            <w:r w:rsidR="004704F5">
              <w:rPr>
                <w:webHidden/>
              </w:rPr>
              <w:t>16-56</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41" w:history="1">
            <w:r w:rsidR="004704F5" w:rsidRPr="001057E9">
              <w:rPr>
                <w:rStyle w:val="Hyperlink"/>
              </w:rPr>
              <w:t>A.1.1</w:t>
            </w:r>
            <w:r w:rsidR="004704F5">
              <w:rPr>
                <w:rFonts w:asciiTheme="minorHAnsi" w:eastAsiaTheme="minorEastAsia" w:hAnsiTheme="minorHAnsi"/>
                <w:lang w:eastAsia="en-AU"/>
              </w:rPr>
              <w:tab/>
            </w:r>
            <w:r w:rsidR="004704F5" w:rsidRPr="001057E9">
              <w:rPr>
                <w:rStyle w:val="Hyperlink"/>
              </w:rPr>
              <w:t>Ancillary network service charges</w:t>
            </w:r>
            <w:r w:rsidR="004704F5">
              <w:rPr>
                <w:webHidden/>
              </w:rPr>
              <w:tab/>
            </w:r>
            <w:r w:rsidR="004704F5">
              <w:rPr>
                <w:webHidden/>
              </w:rPr>
              <w:fldChar w:fldCharType="begin"/>
            </w:r>
            <w:r w:rsidR="004704F5">
              <w:rPr>
                <w:webHidden/>
              </w:rPr>
              <w:instrText xml:space="preserve"> PAGEREF _Toc418078041 \h </w:instrText>
            </w:r>
            <w:r w:rsidR="004704F5">
              <w:rPr>
                <w:webHidden/>
              </w:rPr>
            </w:r>
            <w:r w:rsidR="004704F5">
              <w:rPr>
                <w:webHidden/>
              </w:rPr>
              <w:fldChar w:fldCharType="separate"/>
            </w:r>
            <w:r w:rsidR="004704F5">
              <w:rPr>
                <w:webHidden/>
              </w:rPr>
              <w:t>16-56</w:t>
            </w:r>
            <w:r w:rsidR="004704F5">
              <w:rPr>
                <w:webHidden/>
              </w:rPr>
              <w:fldChar w:fldCharType="end"/>
            </w:r>
          </w:hyperlink>
        </w:p>
        <w:p w:rsidR="004704F5" w:rsidRDefault="000D189C">
          <w:pPr>
            <w:pStyle w:val="TOC3"/>
            <w:rPr>
              <w:rFonts w:asciiTheme="minorHAnsi" w:eastAsiaTheme="minorEastAsia" w:hAnsiTheme="minorHAnsi"/>
              <w:lang w:eastAsia="en-AU"/>
            </w:rPr>
          </w:pPr>
          <w:hyperlink w:anchor="_Toc418078042" w:history="1">
            <w:r w:rsidR="004704F5" w:rsidRPr="001057E9">
              <w:rPr>
                <w:rStyle w:val="Hyperlink"/>
              </w:rPr>
              <w:t>A.1.2</w:t>
            </w:r>
            <w:r w:rsidR="004704F5">
              <w:rPr>
                <w:rFonts w:asciiTheme="minorHAnsi" w:eastAsiaTheme="minorEastAsia" w:hAnsiTheme="minorHAnsi"/>
                <w:lang w:eastAsia="en-AU"/>
              </w:rPr>
              <w:tab/>
            </w:r>
            <w:r w:rsidR="004704F5" w:rsidRPr="001057E9">
              <w:rPr>
                <w:rStyle w:val="Hyperlink"/>
              </w:rPr>
              <w:t>Metering</w:t>
            </w:r>
            <w:r w:rsidR="004704F5">
              <w:rPr>
                <w:webHidden/>
              </w:rPr>
              <w:tab/>
            </w:r>
            <w:r w:rsidR="004704F5">
              <w:rPr>
                <w:webHidden/>
              </w:rPr>
              <w:fldChar w:fldCharType="begin"/>
            </w:r>
            <w:r w:rsidR="004704F5">
              <w:rPr>
                <w:webHidden/>
              </w:rPr>
              <w:instrText xml:space="preserve"> PAGEREF _Toc418078042 \h </w:instrText>
            </w:r>
            <w:r w:rsidR="004704F5">
              <w:rPr>
                <w:webHidden/>
              </w:rPr>
            </w:r>
            <w:r w:rsidR="004704F5">
              <w:rPr>
                <w:webHidden/>
              </w:rPr>
              <w:fldChar w:fldCharType="separate"/>
            </w:r>
            <w:r w:rsidR="004704F5">
              <w:rPr>
                <w:webHidden/>
              </w:rPr>
              <w:t>16-61</w:t>
            </w:r>
            <w:r w:rsidR="004704F5">
              <w:rPr>
                <w:webHidden/>
              </w:rPr>
              <w:fldChar w:fldCharType="end"/>
            </w:r>
          </w:hyperlink>
        </w:p>
        <w:p w:rsidR="00DE563D" w:rsidRDefault="008D1774" w:rsidP="008D1774">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9055FC">
      <w:pPr>
        <w:pStyle w:val="UnnumberedHeading"/>
        <w:numPr>
          <w:ilvl w:val="0"/>
          <w:numId w:val="23"/>
        </w:numPr>
      </w:pPr>
      <w:bookmarkStart w:id="8" w:name="_Toc404700925"/>
      <w:bookmarkStart w:id="9" w:name="_Toc418078027"/>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84368C">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9055FC">
            <w:pPr>
              <w:numPr>
                <w:ilvl w:val="0"/>
                <w:numId w:val="24"/>
              </w:numPr>
            </w:pPr>
            <w:r>
              <w:t>Shortened form</w:t>
            </w:r>
          </w:p>
        </w:tc>
        <w:tc>
          <w:tcPr>
            <w:tcW w:w="4344" w:type="dxa"/>
          </w:tcPr>
          <w:p w:rsidR="001F05A4" w:rsidRDefault="001F05A4" w:rsidP="009055FC">
            <w:pPr>
              <w:numPr>
                <w:ilvl w:val="0"/>
                <w:numId w:val="24"/>
              </w:numPr>
            </w:pPr>
            <w:r>
              <w:t>Extended form</w:t>
            </w:r>
          </w:p>
        </w:tc>
      </w:tr>
      <w:tr w:rsidR="007A032C" w:rsidTr="007A032C">
        <w:tc>
          <w:tcPr>
            <w:tcW w:w="4349" w:type="dxa"/>
          </w:tcPr>
          <w:p w:rsidR="007A032C" w:rsidRPr="007A032C" w:rsidRDefault="007A032C" w:rsidP="009055FC">
            <w:pPr>
              <w:numPr>
                <w:ilvl w:val="0"/>
                <w:numId w:val="24"/>
              </w:numPr>
            </w:pPr>
            <w:r w:rsidRPr="007A032C">
              <w:t>AEMC</w:t>
            </w:r>
          </w:p>
        </w:tc>
        <w:tc>
          <w:tcPr>
            <w:tcW w:w="4344" w:type="dxa"/>
          </w:tcPr>
          <w:p w:rsidR="007A032C" w:rsidRPr="007A032C" w:rsidRDefault="007A032C" w:rsidP="009055FC">
            <w:pPr>
              <w:numPr>
                <w:ilvl w:val="0"/>
                <w:numId w:val="24"/>
              </w:numPr>
            </w:pPr>
            <w:r w:rsidRPr="007A032C">
              <w:t>Australian Energy Market Commission</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AEMO</w:t>
            </w:r>
          </w:p>
        </w:tc>
        <w:tc>
          <w:tcPr>
            <w:tcW w:w="4344" w:type="dxa"/>
          </w:tcPr>
          <w:p w:rsidR="007A032C" w:rsidRPr="007A032C" w:rsidRDefault="007A032C" w:rsidP="009055FC">
            <w:pPr>
              <w:numPr>
                <w:ilvl w:val="0"/>
                <w:numId w:val="24"/>
              </w:numPr>
            </w:pPr>
            <w:r w:rsidRPr="007A032C">
              <w:t>Australian Energy Market Operator</w:t>
            </w:r>
          </w:p>
        </w:tc>
      </w:tr>
      <w:tr w:rsidR="007A032C" w:rsidTr="007A032C">
        <w:tc>
          <w:tcPr>
            <w:tcW w:w="4349" w:type="dxa"/>
          </w:tcPr>
          <w:p w:rsidR="007A032C" w:rsidRPr="007A032C" w:rsidRDefault="007A032C" w:rsidP="009055FC">
            <w:pPr>
              <w:numPr>
                <w:ilvl w:val="0"/>
                <w:numId w:val="24"/>
              </w:numPr>
            </w:pPr>
            <w:r w:rsidRPr="007A032C">
              <w:t>AER</w:t>
            </w:r>
          </w:p>
        </w:tc>
        <w:tc>
          <w:tcPr>
            <w:tcW w:w="4344" w:type="dxa"/>
          </w:tcPr>
          <w:p w:rsidR="007A032C" w:rsidRPr="007A032C" w:rsidRDefault="007A032C" w:rsidP="009055FC">
            <w:pPr>
              <w:numPr>
                <w:ilvl w:val="0"/>
                <w:numId w:val="24"/>
              </w:numPr>
            </w:pPr>
            <w:r w:rsidRPr="007A032C">
              <w:t>Australian Energy Regulator</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augex</w:t>
            </w:r>
          </w:p>
        </w:tc>
        <w:tc>
          <w:tcPr>
            <w:tcW w:w="4344" w:type="dxa"/>
          </w:tcPr>
          <w:p w:rsidR="007A032C" w:rsidRPr="007A032C" w:rsidRDefault="007A032C" w:rsidP="009055FC">
            <w:pPr>
              <w:numPr>
                <w:ilvl w:val="0"/>
                <w:numId w:val="24"/>
              </w:numPr>
            </w:pPr>
            <w:r w:rsidRPr="007A032C">
              <w:t>augmentation expenditure</w:t>
            </w:r>
          </w:p>
        </w:tc>
      </w:tr>
      <w:tr w:rsidR="007A032C" w:rsidTr="007A032C">
        <w:tc>
          <w:tcPr>
            <w:tcW w:w="4349" w:type="dxa"/>
          </w:tcPr>
          <w:p w:rsidR="007A032C" w:rsidRPr="007A032C" w:rsidRDefault="007A032C" w:rsidP="009055FC">
            <w:pPr>
              <w:numPr>
                <w:ilvl w:val="0"/>
                <w:numId w:val="24"/>
              </w:numPr>
            </w:pPr>
            <w:r w:rsidRPr="007A032C">
              <w:t>capex</w:t>
            </w:r>
          </w:p>
        </w:tc>
        <w:tc>
          <w:tcPr>
            <w:tcW w:w="4344" w:type="dxa"/>
          </w:tcPr>
          <w:p w:rsidR="007A032C" w:rsidRPr="007A032C" w:rsidRDefault="007A032C" w:rsidP="009055FC">
            <w:pPr>
              <w:numPr>
                <w:ilvl w:val="0"/>
                <w:numId w:val="24"/>
              </w:numPr>
            </w:pPr>
            <w:r w:rsidRPr="007A032C">
              <w:t>capital expenditure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CCP</w:t>
            </w:r>
          </w:p>
        </w:tc>
        <w:tc>
          <w:tcPr>
            <w:tcW w:w="4344" w:type="dxa"/>
          </w:tcPr>
          <w:p w:rsidR="007A032C" w:rsidRPr="007A032C" w:rsidRDefault="007A032C" w:rsidP="009055FC">
            <w:pPr>
              <w:numPr>
                <w:ilvl w:val="0"/>
                <w:numId w:val="24"/>
              </w:numPr>
            </w:pPr>
            <w:r w:rsidRPr="007A032C">
              <w:t>Consumer Challenge Panel</w:t>
            </w:r>
          </w:p>
        </w:tc>
      </w:tr>
      <w:tr w:rsidR="007A032C" w:rsidTr="007A032C">
        <w:tc>
          <w:tcPr>
            <w:tcW w:w="4349" w:type="dxa"/>
          </w:tcPr>
          <w:p w:rsidR="007A032C" w:rsidRPr="007A032C" w:rsidRDefault="007A032C" w:rsidP="009055FC">
            <w:pPr>
              <w:numPr>
                <w:ilvl w:val="0"/>
                <w:numId w:val="24"/>
              </w:numPr>
            </w:pPr>
            <w:r w:rsidRPr="007A032C">
              <w:t>CESS</w:t>
            </w:r>
          </w:p>
        </w:tc>
        <w:tc>
          <w:tcPr>
            <w:tcW w:w="4344" w:type="dxa"/>
          </w:tcPr>
          <w:p w:rsidR="007A032C" w:rsidRPr="007A032C" w:rsidRDefault="007A032C" w:rsidP="009055FC">
            <w:pPr>
              <w:numPr>
                <w:ilvl w:val="0"/>
                <w:numId w:val="24"/>
              </w:numPr>
            </w:pPr>
            <w:r w:rsidRPr="007A032C">
              <w:t>capital expenditure sharing scheme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CPI</w:t>
            </w:r>
          </w:p>
        </w:tc>
        <w:tc>
          <w:tcPr>
            <w:tcW w:w="4344" w:type="dxa"/>
          </w:tcPr>
          <w:p w:rsidR="007A032C" w:rsidRPr="007A032C" w:rsidRDefault="007A032C" w:rsidP="009055FC">
            <w:pPr>
              <w:numPr>
                <w:ilvl w:val="0"/>
                <w:numId w:val="24"/>
              </w:numPr>
            </w:pPr>
            <w:r w:rsidRPr="007A032C">
              <w:t>consumer price index</w:t>
            </w:r>
          </w:p>
        </w:tc>
      </w:tr>
      <w:tr w:rsidR="007A032C" w:rsidTr="007A032C">
        <w:tc>
          <w:tcPr>
            <w:tcW w:w="4349" w:type="dxa"/>
          </w:tcPr>
          <w:p w:rsidR="007A032C" w:rsidRPr="007A032C" w:rsidRDefault="007A032C" w:rsidP="009055FC">
            <w:pPr>
              <w:numPr>
                <w:ilvl w:val="0"/>
                <w:numId w:val="24"/>
              </w:numPr>
            </w:pPr>
            <w:r w:rsidRPr="007A032C">
              <w:t>DRP</w:t>
            </w:r>
          </w:p>
        </w:tc>
        <w:tc>
          <w:tcPr>
            <w:tcW w:w="4344" w:type="dxa"/>
          </w:tcPr>
          <w:p w:rsidR="007A032C" w:rsidRPr="007A032C" w:rsidRDefault="007A032C" w:rsidP="009055FC">
            <w:pPr>
              <w:numPr>
                <w:ilvl w:val="0"/>
                <w:numId w:val="24"/>
              </w:numPr>
            </w:pPr>
            <w:r w:rsidRPr="007A032C">
              <w:t>debt risk premium</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DMIA</w:t>
            </w:r>
          </w:p>
        </w:tc>
        <w:tc>
          <w:tcPr>
            <w:tcW w:w="4344" w:type="dxa"/>
          </w:tcPr>
          <w:p w:rsidR="007A032C" w:rsidRPr="007A032C" w:rsidRDefault="007A032C" w:rsidP="009055FC">
            <w:pPr>
              <w:numPr>
                <w:ilvl w:val="0"/>
                <w:numId w:val="24"/>
              </w:numPr>
            </w:pPr>
            <w:r w:rsidRPr="007A032C">
              <w:t>demand management innovation allowance</w:t>
            </w:r>
          </w:p>
        </w:tc>
      </w:tr>
      <w:tr w:rsidR="007A032C" w:rsidTr="007A032C">
        <w:tc>
          <w:tcPr>
            <w:tcW w:w="4349" w:type="dxa"/>
          </w:tcPr>
          <w:p w:rsidR="007A032C" w:rsidRPr="007A032C" w:rsidRDefault="007A032C" w:rsidP="009055FC">
            <w:pPr>
              <w:numPr>
                <w:ilvl w:val="0"/>
                <w:numId w:val="24"/>
              </w:numPr>
            </w:pPr>
            <w:r w:rsidRPr="007A032C">
              <w:t>DMIS</w:t>
            </w:r>
          </w:p>
        </w:tc>
        <w:tc>
          <w:tcPr>
            <w:tcW w:w="4344" w:type="dxa"/>
          </w:tcPr>
          <w:p w:rsidR="007A032C" w:rsidRPr="007A032C" w:rsidRDefault="007A032C" w:rsidP="009055FC">
            <w:pPr>
              <w:numPr>
                <w:ilvl w:val="0"/>
                <w:numId w:val="24"/>
              </w:numPr>
            </w:pPr>
            <w:r w:rsidRPr="007A032C">
              <w:t>demand management incentive scheme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distributor</w:t>
            </w:r>
          </w:p>
        </w:tc>
        <w:tc>
          <w:tcPr>
            <w:tcW w:w="4344" w:type="dxa"/>
          </w:tcPr>
          <w:p w:rsidR="007A032C" w:rsidRPr="007A032C" w:rsidRDefault="007A032C" w:rsidP="009055FC">
            <w:pPr>
              <w:numPr>
                <w:ilvl w:val="0"/>
                <w:numId w:val="24"/>
              </w:numPr>
            </w:pPr>
            <w:r w:rsidRPr="007A032C">
              <w:t>distribution network service provider</w:t>
            </w:r>
          </w:p>
        </w:tc>
      </w:tr>
      <w:tr w:rsidR="007A032C" w:rsidTr="007A032C">
        <w:tc>
          <w:tcPr>
            <w:tcW w:w="4349" w:type="dxa"/>
          </w:tcPr>
          <w:p w:rsidR="007A032C" w:rsidRPr="007A032C" w:rsidRDefault="007A032C" w:rsidP="009055FC">
            <w:pPr>
              <w:numPr>
                <w:ilvl w:val="0"/>
                <w:numId w:val="24"/>
              </w:numPr>
            </w:pPr>
            <w:r w:rsidRPr="007A032C">
              <w:t>DUoS</w:t>
            </w:r>
          </w:p>
        </w:tc>
        <w:tc>
          <w:tcPr>
            <w:tcW w:w="4344" w:type="dxa"/>
          </w:tcPr>
          <w:p w:rsidR="007A032C" w:rsidRPr="007A032C" w:rsidRDefault="007A032C" w:rsidP="009055FC">
            <w:pPr>
              <w:numPr>
                <w:ilvl w:val="0"/>
                <w:numId w:val="24"/>
              </w:numPr>
            </w:pPr>
            <w:r w:rsidRPr="007A032C">
              <w:t>distribution use of system</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EBSS</w:t>
            </w:r>
          </w:p>
        </w:tc>
        <w:tc>
          <w:tcPr>
            <w:tcW w:w="4344" w:type="dxa"/>
          </w:tcPr>
          <w:p w:rsidR="007A032C" w:rsidRPr="007A032C" w:rsidRDefault="007A032C" w:rsidP="009055FC">
            <w:pPr>
              <w:numPr>
                <w:ilvl w:val="0"/>
                <w:numId w:val="24"/>
              </w:numPr>
            </w:pPr>
            <w:r w:rsidRPr="007A032C">
              <w:t>efficiency benefit sharing scheme</w:t>
            </w:r>
          </w:p>
        </w:tc>
      </w:tr>
      <w:tr w:rsidR="007A032C" w:rsidTr="007A032C">
        <w:tc>
          <w:tcPr>
            <w:tcW w:w="4349" w:type="dxa"/>
          </w:tcPr>
          <w:p w:rsidR="007A032C" w:rsidRPr="007A032C" w:rsidRDefault="007A032C" w:rsidP="009055FC">
            <w:pPr>
              <w:numPr>
                <w:ilvl w:val="0"/>
                <w:numId w:val="24"/>
              </w:numPr>
            </w:pPr>
            <w:r w:rsidRPr="007A032C">
              <w:t>ERP</w:t>
            </w:r>
          </w:p>
        </w:tc>
        <w:tc>
          <w:tcPr>
            <w:tcW w:w="4344" w:type="dxa"/>
          </w:tcPr>
          <w:p w:rsidR="007A032C" w:rsidRPr="007A032C" w:rsidRDefault="007A032C" w:rsidP="009055FC">
            <w:pPr>
              <w:numPr>
                <w:ilvl w:val="0"/>
                <w:numId w:val="24"/>
              </w:numPr>
            </w:pPr>
            <w:r w:rsidRPr="007A032C">
              <w:t>equity risk premium</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Expenditure Assessment Guideline</w:t>
            </w:r>
          </w:p>
        </w:tc>
        <w:tc>
          <w:tcPr>
            <w:tcW w:w="4344" w:type="dxa"/>
          </w:tcPr>
          <w:p w:rsidR="007A032C" w:rsidRPr="007A032C" w:rsidRDefault="007A032C" w:rsidP="009055FC">
            <w:pPr>
              <w:numPr>
                <w:ilvl w:val="0"/>
                <w:numId w:val="24"/>
              </w:numPr>
            </w:pPr>
            <w:r w:rsidRPr="007A032C">
              <w:t>expenditure forecast assessment Guideline for electricity distribution</w:t>
            </w:r>
          </w:p>
        </w:tc>
      </w:tr>
      <w:tr w:rsidR="007A032C" w:rsidTr="007A032C">
        <w:tc>
          <w:tcPr>
            <w:tcW w:w="4349" w:type="dxa"/>
          </w:tcPr>
          <w:p w:rsidR="007A032C" w:rsidRPr="007A032C" w:rsidRDefault="007A032C" w:rsidP="009055FC">
            <w:pPr>
              <w:numPr>
                <w:ilvl w:val="0"/>
                <w:numId w:val="24"/>
              </w:numPr>
            </w:pPr>
            <w:r w:rsidRPr="007A032C">
              <w:t>F&amp;A</w:t>
            </w:r>
          </w:p>
        </w:tc>
        <w:tc>
          <w:tcPr>
            <w:tcW w:w="4344" w:type="dxa"/>
          </w:tcPr>
          <w:p w:rsidR="007A032C" w:rsidRPr="007A032C" w:rsidRDefault="007A032C" w:rsidP="009055FC">
            <w:pPr>
              <w:numPr>
                <w:ilvl w:val="0"/>
                <w:numId w:val="24"/>
              </w:numPr>
            </w:pPr>
            <w:r w:rsidRPr="007A032C">
              <w:t>framework and approach</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MRP</w:t>
            </w:r>
          </w:p>
        </w:tc>
        <w:tc>
          <w:tcPr>
            <w:tcW w:w="4344" w:type="dxa"/>
          </w:tcPr>
          <w:p w:rsidR="007A032C" w:rsidRPr="007A032C" w:rsidRDefault="007A032C" w:rsidP="009055FC">
            <w:pPr>
              <w:numPr>
                <w:ilvl w:val="0"/>
                <w:numId w:val="24"/>
              </w:numPr>
            </w:pPr>
            <w:r w:rsidRPr="007A032C">
              <w:t>market risk premium</w:t>
            </w:r>
          </w:p>
        </w:tc>
      </w:tr>
      <w:tr w:rsidR="007A032C" w:rsidTr="007A032C">
        <w:tc>
          <w:tcPr>
            <w:tcW w:w="4349" w:type="dxa"/>
          </w:tcPr>
          <w:p w:rsidR="007A032C" w:rsidRPr="007A032C" w:rsidRDefault="007A032C" w:rsidP="009055FC">
            <w:pPr>
              <w:numPr>
                <w:ilvl w:val="0"/>
                <w:numId w:val="24"/>
              </w:numPr>
            </w:pPr>
            <w:r w:rsidRPr="007A032C">
              <w:t>NEL</w:t>
            </w:r>
          </w:p>
        </w:tc>
        <w:tc>
          <w:tcPr>
            <w:tcW w:w="4344" w:type="dxa"/>
          </w:tcPr>
          <w:p w:rsidR="007A032C" w:rsidRPr="007A032C" w:rsidRDefault="007A032C" w:rsidP="009055FC">
            <w:pPr>
              <w:numPr>
                <w:ilvl w:val="0"/>
                <w:numId w:val="24"/>
              </w:numPr>
            </w:pPr>
            <w:r w:rsidRPr="007A032C">
              <w:t>national electricity law</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NEM</w:t>
            </w:r>
          </w:p>
        </w:tc>
        <w:tc>
          <w:tcPr>
            <w:tcW w:w="4344" w:type="dxa"/>
          </w:tcPr>
          <w:p w:rsidR="007A032C" w:rsidRPr="007A032C" w:rsidRDefault="007A032C" w:rsidP="009055FC">
            <w:pPr>
              <w:numPr>
                <w:ilvl w:val="0"/>
                <w:numId w:val="24"/>
              </w:numPr>
            </w:pPr>
            <w:r w:rsidRPr="007A032C">
              <w:t>national electricity market</w:t>
            </w:r>
          </w:p>
        </w:tc>
      </w:tr>
      <w:tr w:rsidR="007A032C" w:rsidTr="007A032C">
        <w:tc>
          <w:tcPr>
            <w:tcW w:w="4349" w:type="dxa"/>
          </w:tcPr>
          <w:p w:rsidR="007A032C" w:rsidRPr="007A032C" w:rsidRDefault="007A032C" w:rsidP="009055FC">
            <w:pPr>
              <w:numPr>
                <w:ilvl w:val="0"/>
                <w:numId w:val="24"/>
              </w:numPr>
            </w:pPr>
            <w:r w:rsidRPr="007A032C">
              <w:t>NEO</w:t>
            </w:r>
          </w:p>
        </w:tc>
        <w:tc>
          <w:tcPr>
            <w:tcW w:w="4344" w:type="dxa"/>
          </w:tcPr>
          <w:p w:rsidR="007A032C" w:rsidRPr="007A032C" w:rsidRDefault="007A032C" w:rsidP="009055FC">
            <w:pPr>
              <w:numPr>
                <w:ilvl w:val="0"/>
                <w:numId w:val="24"/>
              </w:numPr>
            </w:pPr>
            <w:r w:rsidRPr="007A032C">
              <w:t>national electricity objective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NER</w:t>
            </w:r>
          </w:p>
        </w:tc>
        <w:tc>
          <w:tcPr>
            <w:tcW w:w="4344" w:type="dxa"/>
          </w:tcPr>
          <w:p w:rsidR="007A032C" w:rsidRPr="007A032C" w:rsidRDefault="007A032C" w:rsidP="009055FC">
            <w:pPr>
              <w:numPr>
                <w:ilvl w:val="0"/>
                <w:numId w:val="24"/>
              </w:numPr>
            </w:pPr>
            <w:r w:rsidRPr="007A032C">
              <w:t>national electricity rules</w:t>
            </w:r>
          </w:p>
        </w:tc>
      </w:tr>
      <w:tr w:rsidR="007A032C" w:rsidTr="007A032C">
        <w:tc>
          <w:tcPr>
            <w:tcW w:w="4349" w:type="dxa"/>
          </w:tcPr>
          <w:p w:rsidR="007A032C" w:rsidRPr="007A032C" w:rsidRDefault="007A032C" w:rsidP="009055FC">
            <w:pPr>
              <w:numPr>
                <w:ilvl w:val="0"/>
                <w:numId w:val="24"/>
              </w:numPr>
            </w:pPr>
            <w:r w:rsidRPr="007A032C">
              <w:t>NSP</w:t>
            </w:r>
          </w:p>
        </w:tc>
        <w:tc>
          <w:tcPr>
            <w:tcW w:w="4344" w:type="dxa"/>
          </w:tcPr>
          <w:p w:rsidR="007A032C" w:rsidRPr="007A032C" w:rsidRDefault="007A032C" w:rsidP="009055FC">
            <w:pPr>
              <w:numPr>
                <w:ilvl w:val="0"/>
                <w:numId w:val="24"/>
              </w:numPr>
            </w:pPr>
            <w:r w:rsidRPr="007A032C">
              <w:t>network service provider</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opex</w:t>
            </w:r>
          </w:p>
        </w:tc>
        <w:tc>
          <w:tcPr>
            <w:tcW w:w="4344" w:type="dxa"/>
          </w:tcPr>
          <w:p w:rsidR="007A032C" w:rsidRPr="007A032C" w:rsidRDefault="007A032C" w:rsidP="009055FC">
            <w:pPr>
              <w:numPr>
                <w:ilvl w:val="0"/>
                <w:numId w:val="24"/>
              </w:numPr>
            </w:pPr>
            <w:r w:rsidRPr="007A032C">
              <w:t>operating expenditure</w:t>
            </w:r>
          </w:p>
        </w:tc>
      </w:tr>
      <w:tr w:rsidR="007A032C" w:rsidTr="007A032C">
        <w:tc>
          <w:tcPr>
            <w:tcW w:w="4349" w:type="dxa"/>
          </w:tcPr>
          <w:p w:rsidR="007A032C" w:rsidRPr="007A032C" w:rsidRDefault="007A032C" w:rsidP="009055FC">
            <w:pPr>
              <w:numPr>
                <w:ilvl w:val="0"/>
                <w:numId w:val="24"/>
              </w:numPr>
            </w:pPr>
            <w:r w:rsidRPr="007A032C">
              <w:t>PPI</w:t>
            </w:r>
          </w:p>
        </w:tc>
        <w:tc>
          <w:tcPr>
            <w:tcW w:w="4344" w:type="dxa"/>
          </w:tcPr>
          <w:p w:rsidR="007A032C" w:rsidRPr="007A032C" w:rsidRDefault="007A032C" w:rsidP="009055FC">
            <w:pPr>
              <w:numPr>
                <w:ilvl w:val="0"/>
                <w:numId w:val="24"/>
              </w:numPr>
            </w:pPr>
            <w:r w:rsidRPr="007A032C">
              <w:t>partial performance indicators</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PTRM</w:t>
            </w:r>
          </w:p>
        </w:tc>
        <w:tc>
          <w:tcPr>
            <w:tcW w:w="4344" w:type="dxa"/>
          </w:tcPr>
          <w:p w:rsidR="007A032C" w:rsidRPr="007A032C" w:rsidRDefault="007A032C" w:rsidP="009055FC">
            <w:pPr>
              <w:numPr>
                <w:ilvl w:val="0"/>
                <w:numId w:val="24"/>
              </w:numPr>
            </w:pPr>
            <w:r w:rsidRPr="007A032C">
              <w:t>post-tax revenue model</w:t>
            </w:r>
          </w:p>
        </w:tc>
      </w:tr>
      <w:tr w:rsidR="007A032C" w:rsidTr="007A032C">
        <w:tc>
          <w:tcPr>
            <w:tcW w:w="4349" w:type="dxa"/>
          </w:tcPr>
          <w:p w:rsidR="007A032C" w:rsidRPr="007A032C" w:rsidRDefault="007A032C" w:rsidP="009055FC">
            <w:pPr>
              <w:numPr>
                <w:ilvl w:val="0"/>
                <w:numId w:val="24"/>
              </w:numPr>
            </w:pPr>
            <w:r w:rsidRPr="007A032C">
              <w:t>RAB</w:t>
            </w:r>
          </w:p>
        </w:tc>
        <w:tc>
          <w:tcPr>
            <w:tcW w:w="4344" w:type="dxa"/>
          </w:tcPr>
          <w:p w:rsidR="007A032C" w:rsidRPr="007A032C" w:rsidRDefault="007A032C" w:rsidP="009055FC">
            <w:pPr>
              <w:numPr>
                <w:ilvl w:val="0"/>
                <w:numId w:val="24"/>
              </w:numPr>
            </w:pPr>
            <w:r w:rsidRPr="007A032C">
              <w:t>regulatory asset base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RBA</w:t>
            </w:r>
          </w:p>
        </w:tc>
        <w:tc>
          <w:tcPr>
            <w:tcW w:w="4344" w:type="dxa"/>
          </w:tcPr>
          <w:p w:rsidR="007A032C" w:rsidRPr="007A032C" w:rsidRDefault="007A032C" w:rsidP="009055FC">
            <w:pPr>
              <w:numPr>
                <w:ilvl w:val="0"/>
                <w:numId w:val="24"/>
              </w:numPr>
            </w:pPr>
            <w:r w:rsidRPr="007A032C">
              <w:t>Reserve Bank of Australia</w:t>
            </w:r>
          </w:p>
        </w:tc>
      </w:tr>
      <w:tr w:rsidR="007A032C" w:rsidTr="007A032C">
        <w:tc>
          <w:tcPr>
            <w:tcW w:w="4349" w:type="dxa"/>
          </w:tcPr>
          <w:p w:rsidR="007A032C" w:rsidRPr="007A032C" w:rsidRDefault="007A032C" w:rsidP="009055FC">
            <w:pPr>
              <w:numPr>
                <w:ilvl w:val="0"/>
                <w:numId w:val="24"/>
              </w:numPr>
            </w:pPr>
            <w:r w:rsidRPr="007A032C">
              <w:t>repex</w:t>
            </w:r>
          </w:p>
        </w:tc>
        <w:tc>
          <w:tcPr>
            <w:tcW w:w="4344" w:type="dxa"/>
          </w:tcPr>
          <w:p w:rsidR="007A032C" w:rsidRPr="007A032C" w:rsidRDefault="007A032C" w:rsidP="009055FC">
            <w:pPr>
              <w:numPr>
                <w:ilvl w:val="0"/>
                <w:numId w:val="24"/>
              </w:numPr>
            </w:pPr>
            <w:r w:rsidRPr="007A032C">
              <w:t>replacement expenditure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RFM</w:t>
            </w:r>
          </w:p>
        </w:tc>
        <w:tc>
          <w:tcPr>
            <w:tcW w:w="4344" w:type="dxa"/>
          </w:tcPr>
          <w:p w:rsidR="007A032C" w:rsidRPr="007A032C" w:rsidRDefault="007A032C" w:rsidP="009055FC">
            <w:pPr>
              <w:numPr>
                <w:ilvl w:val="0"/>
                <w:numId w:val="24"/>
              </w:numPr>
            </w:pPr>
            <w:r w:rsidRPr="007A032C">
              <w:t>roll forward model</w:t>
            </w:r>
          </w:p>
        </w:tc>
      </w:tr>
      <w:tr w:rsidR="007A032C" w:rsidTr="007A032C">
        <w:tc>
          <w:tcPr>
            <w:tcW w:w="4349" w:type="dxa"/>
          </w:tcPr>
          <w:p w:rsidR="007A032C" w:rsidRPr="007A032C" w:rsidRDefault="007A032C" w:rsidP="009055FC">
            <w:pPr>
              <w:numPr>
                <w:ilvl w:val="0"/>
                <w:numId w:val="24"/>
              </w:numPr>
            </w:pPr>
            <w:r w:rsidRPr="007A032C">
              <w:lastRenderedPageBreak/>
              <w:t>RIN</w:t>
            </w:r>
          </w:p>
        </w:tc>
        <w:tc>
          <w:tcPr>
            <w:tcW w:w="4344" w:type="dxa"/>
          </w:tcPr>
          <w:p w:rsidR="007A032C" w:rsidRPr="007A032C" w:rsidRDefault="007A032C" w:rsidP="009055FC">
            <w:pPr>
              <w:numPr>
                <w:ilvl w:val="0"/>
                <w:numId w:val="24"/>
              </w:numPr>
            </w:pPr>
            <w:r w:rsidRPr="007A032C">
              <w:t>regulatory information notice</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RPP</w:t>
            </w:r>
          </w:p>
        </w:tc>
        <w:tc>
          <w:tcPr>
            <w:tcW w:w="4344" w:type="dxa"/>
          </w:tcPr>
          <w:p w:rsidR="007A032C" w:rsidRPr="007A032C" w:rsidRDefault="007A032C" w:rsidP="009055FC">
            <w:pPr>
              <w:numPr>
                <w:ilvl w:val="0"/>
                <w:numId w:val="24"/>
              </w:numPr>
            </w:pPr>
            <w:r w:rsidRPr="007A032C">
              <w:t>revenue and pricing principles</w:t>
            </w:r>
          </w:p>
        </w:tc>
      </w:tr>
      <w:tr w:rsidR="007A032C" w:rsidTr="007A032C">
        <w:tc>
          <w:tcPr>
            <w:tcW w:w="4349" w:type="dxa"/>
          </w:tcPr>
          <w:p w:rsidR="007A032C" w:rsidRPr="007A032C" w:rsidRDefault="007A032C" w:rsidP="009055FC">
            <w:pPr>
              <w:numPr>
                <w:ilvl w:val="0"/>
                <w:numId w:val="24"/>
              </w:numPr>
            </w:pPr>
            <w:r w:rsidRPr="007A032C">
              <w:t>SAIDI</w:t>
            </w:r>
          </w:p>
        </w:tc>
        <w:tc>
          <w:tcPr>
            <w:tcW w:w="4344" w:type="dxa"/>
          </w:tcPr>
          <w:p w:rsidR="007A032C" w:rsidRPr="007A032C" w:rsidRDefault="007A032C" w:rsidP="009055FC">
            <w:pPr>
              <w:numPr>
                <w:ilvl w:val="0"/>
                <w:numId w:val="24"/>
              </w:numPr>
            </w:pPr>
            <w:r w:rsidRPr="007A032C">
              <w:t>system average interruption duration index</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SAIFI</w:t>
            </w:r>
          </w:p>
        </w:tc>
        <w:tc>
          <w:tcPr>
            <w:tcW w:w="4344" w:type="dxa"/>
          </w:tcPr>
          <w:p w:rsidR="007A032C" w:rsidRPr="007A032C" w:rsidRDefault="007A032C" w:rsidP="009055FC">
            <w:pPr>
              <w:numPr>
                <w:ilvl w:val="0"/>
                <w:numId w:val="24"/>
              </w:numPr>
            </w:pPr>
            <w:r w:rsidRPr="007A032C">
              <w:t>system average interruption frequency index</w:t>
            </w:r>
          </w:p>
        </w:tc>
      </w:tr>
      <w:tr w:rsidR="007A032C" w:rsidTr="007A032C">
        <w:tc>
          <w:tcPr>
            <w:tcW w:w="4349" w:type="dxa"/>
          </w:tcPr>
          <w:p w:rsidR="007A032C" w:rsidRPr="007A032C" w:rsidRDefault="007A032C" w:rsidP="009055FC">
            <w:pPr>
              <w:numPr>
                <w:ilvl w:val="0"/>
                <w:numId w:val="24"/>
              </w:numPr>
            </w:pPr>
            <w:r w:rsidRPr="007A032C">
              <w:t>SLCAPM</w:t>
            </w:r>
          </w:p>
        </w:tc>
        <w:tc>
          <w:tcPr>
            <w:tcW w:w="4344" w:type="dxa"/>
          </w:tcPr>
          <w:p w:rsidR="007A032C" w:rsidRPr="007A032C" w:rsidRDefault="007A032C" w:rsidP="009055FC">
            <w:pPr>
              <w:numPr>
                <w:ilvl w:val="0"/>
                <w:numId w:val="24"/>
              </w:numPr>
            </w:pPr>
            <w:r w:rsidRPr="007A032C">
              <w:t>Sharpe-Lintner capital asset pricing model</w:t>
            </w:r>
          </w:p>
        </w:tc>
      </w:tr>
      <w:tr w:rsidR="007A032C" w:rsidTr="007A032C">
        <w:trPr>
          <w:cnfStyle w:val="000000010000" w:firstRow="0" w:lastRow="0" w:firstColumn="0" w:lastColumn="0" w:oddVBand="0" w:evenVBand="0" w:oddHBand="0" w:evenHBand="1" w:firstRowFirstColumn="0" w:firstRowLastColumn="0" w:lastRowFirstColumn="0" w:lastRowLastColumn="0"/>
        </w:trPr>
        <w:tc>
          <w:tcPr>
            <w:tcW w:w="4349" w:type="dxa"/>
          </w:tcPr>
          <w:p w:rsidR="007A032C" w:rsidRPr="007A032C" w:rsidRDefault="007A032C" w:rsidP="009055FC">
            <w:pPr>
              <w:numPr>
                <w:ilvl w:val="0"/>
                <w:numId w:val="24"/>
              </w:numPr>
            </w:pPr>
            <w:r w:rsidRPr="007A032C">
              <w:t>STPIS</w:t>
            </w:r>
          </w:p>
        </w:tc>
        <w:tc>
          <w:tcPr>
            <w:tcW w:w="4344" w:type="dxa"/>
          </w:tcPr>
          <w:p w:rsidR="007A032C" w:rsidRPr="007A032C" w:rsidRDefault="007A032C" w:rsidP="009055FC">
            <w:pPr>
              <w:numPr>
                <w:ilvl w:val="0"/>
                <w:numId w:val="24"/>
              </w:numPr>
            </w:pPr>
            <w:r w:rsidRPr="007A032C">
              <w:t>service target performance incentive scheme</w:t>
            </w:r>
          </w:p>
        </w:tc>
      </w:tr>
      <w:tr w:rsidR="007A032C" w:rsidTr="007A032C">
        <w:tc>
          <w:tcPr>
            <w:tcW w:w="4349" w:type="dxa"/>
          </w:tcPr>
          <w:p w:rsidR="007A032C" w:rsidRPr="007A032C" w:rsidRDefault="007A032C" w:rsidP="009055FC">
            <w:pPr>
              <w:numPr>
                <w:ilvl w:val="0"/>
                <w:numId w:val="24"/>
              </w:numPr>
            </w:pPr>
            <w:r w:rsidRPr="007A032C">
              <w:t>WACC</w:t>
            </w:r>
          </w:p>
        </w:tc>
        <w:tc>
          <w:tcPr>
            <w:tcW w:w="4344" w:type="dxa"/>
          </w:tcPr>
          <w:p w:rsidR="007A032C" w:rsidRPr="007A032C" w:rsidRDefault="007A032C" w:rsidP="009055FC">
            <w:pPr>
              <w:numPr>
                <w:ilvl w:val="0"/>
                <w:numId w:val="24"/>
              </w:numPr>
            </w:pPr>
            <w:r w:rsidRPr="007A032C">
              <w:t>weighted average cost of capital</w:t>
            </w:r>
          </w:p>
        </w:tc>
      </w:tr>
    </w:tbl>
    <w:p w:rsidR="00DE563D" w:rsidRDefault="00DE563D" w:rsidP="0061657B"/>
    <w:p w:rsidR="0061657B" w:rsidRDefault="0061657B" w:rsidP="0061657B"/>
    <w:p w:rsidR="0061657B" w:rsidRDefault="0061657B" w:rsidP="0061657B"/>
    <w:p w:rsidR="0061657B" w:rsidRDefault="0061657B" w:rsidP="0061657B"/>
    <w:p w:rsidR="0061657B" w:rsidRDefault="0061657B" w:rsidP="0061657B"/>
    <w:p w:rsidR="0061657B" w:rsidRDefault="0061657B" w:rsidP="0061657B"/>
    <w:p w:rsidR="0061657B" w:rsidRPr="00436A39" w:rsidRDefault="0061657B" w:rsidP="0061657B"/>
    <w:p w:rsidR="00DE563D" w:rsidRDefault="00DE563D" w:rsidP="00DE563D"/>
    <w:p w:rsidR="00DE563D" w:rsidRDefault="00BE4EE5" w:rsidP="00BE4EE5">
      <w:pPr>
        <w:pStyle w:val="Heading1"/>
      </w:pPr>
      <w:bookmarkStart w:id="10" w:name="_Toc418078028"/>
      <w:r w:rsidRPr="00BE4EE5">
        <w:lastRenderedPageBreak/>
        <w:t>Alternative control services</w:t>
      </w:r>
      <w:bookmarkEnd w:id="10"/>
    </w:p>
    <w:p w:rsidR="00CF77BF" w:rsidRDefault="00CF77BF" w:rsidP="00CF77BF">
      <w:bookmarkStart w:id="11" w:name="_Toc403144136"/>
      <w:bookmarkStart w:id="12" w:name="_Toc417927185"/>
      <w:r>
        <w:t>Alternative control services are those that are provided by distributors to specific customers. They do not form part of the distribution use of system revenue allowance provide by us to each distributor. Rather, distributors recover the costs of providing alternative control services through a selection of fees, most of which are charged on a ‘user pays’ basis.</w:t>
      </w:r>
    </w:p>
    <w:p w:rsidR="00CF77BF" w:rsidRDefault="00CF77BF" w:rsidP="00CF77BF">
      <w:r>
        <w:t>This section describes the AER’s determination on the charges that distributors can levy customers for the provision of ancillary network services and metering.</w:t>
      </w:r>
    </w:p>
    <w:p w:rsidR="00CF5FD6" w:rsidRDefault="00CF5FD6" w:rsidP="00CF5FD6">
      <w:pPr>
        <w:pStyle w:val="Heading2"/>
      </w:pPr>
      <w:bookmarkStart w:id="13" w:name="_Toc418078029"/>
      <w:bookmarkEnd w:id="11"/>
      <w:bookmarkEnd w:id="12"/>
      <w:r w:rsidRPr="00CF5FD6">
        <w:t>Ancillary network services</w:t>
      </w:r>
      <w:bookmarkEnd w:id="13"/>
    </w:p>
    <w:p w:rsidR="009F7242" w:rsidRDefault="009F7242" w:rsidP="009F7242">
      <w:r>
        <w:t>Ancillary network services are non-routine services provided to individual customers on an 'as needs' basis</w:t>
      </w:r>
      <w:r w:rsidR="008D1774">
        <w:t>. They</w:t>
      </w:r>
      <w:r>
        <w:t xml:space="preserve"> comprise less than four per cent of ActewAGL's total revenue requirement.</w:t>
      </w:r>
    </w:p>
    <w:p w:rsidR="009F7242" w:rsidRPr="00267CB2" w:rsidRDefault="009F7242" w:rsidP="00267CB2">
      <w:r w:rsidRPr="00267CB2">
        <w:t>In the 2009</w:t>
      </w:r>
      <w:r w:rsidRPr="00267CB2">
        <w:softHyphen/>
        <w:t xml:space="preserve">–14 regulatory control period, </w:t>
      </w:r>
      <w:r w:rsidR="008D1774">
        <w:t xml:space="preserve">we classified </w:t>
      </w:r>
      <w:r w:rsidRPr="00267CB2">
        <w:t>ancillary network services as standard control services</w:t>
      </w:r>
      <w:r w:rsidR="0001589F" w:rsidRPr="00267CB2">
        <w:t xml:space="preserve">. ActewAGL named them </w:t>
      </w:r>
      <w:r w:rsidRPr="00267CB2">
        <w:t xml:space="preserve">'miscellaneous' services and 'monopoly' services. The fees and labour rates for these services were originally set by the jurisdictional regulator and the fees indexed </w:t>
      </w:r>
      <w:r w:rsidR="002C4118">
        <w:t xml:space="preserve">only </w:t>
      </w:r>
      <w:r w:rsidRPr="00267CB2">
        <w:t>by inflation. This is the first time these fees have been reviewed in detail.</w:t>
      </w:r>
    </w:p>
    <w:p w:rsidR="009F7242" w:rsidRDefault="009F7242" w:rsidP="009F7242">
      <w:r>
        <w:t xml:space="preserve">For the avoidance of doubt, this </w:t>
      </w:r>
      <w:r w:rsidR="002C4118">
        <w:t>final</w:t>
      </w:r>
      <w:r>
        <w:t xml:space="preserve"> decision considers ancillary network services to be fee based services. That is, a fee has been determined based on the cost of providing the service (labour rates) and the average time taken to perform </w:t>
      </w:r>
      <w:r w:rsidR="002C4118">
        <w:t>it</w:t>
      </w:r>
      <w:r>
        <w:t xml:space="preserve">. </w:t>
      </w:r>
      <w:r w:rsidR="002C4118">
        <w:t>T</w:t>
      </w:r>
      <w:r>
        <w:t>he fee is fixed—it applies irrespective of the actual time taken on site to perform the service.</w:t>
      </w:r>
    </w:p>
    <w:p w:rsidR="009F7242" w:rsidRPr="009F7242" w:rsidRDefault="009F7242" w:rsidP="009F7242">
      <w:r>
        <w:t xml:space="preserve">By </w:t>
      </w:r>
      <w:r w:rsidR="00916864">
        <w:t>contrast</w:t>
      </w:r>
      <w:r>
        <w:t>, quoted services are those which are once off and specific to a particular customer's request. The cost of this service will depend on the actual time taken to perform the service.</w:t>
      </w:r>
      <w:r w:rsidR="00811829" w:rsidRPr="000F6CBF">
        <w:rPr>
          <w:rStyle w:val="FootnoteReference"/>
        </w:rPr>
        <w:footnoteReference w:id="1"/>
      </w:r>
      <w:r>
        <w:t xml:space="preserve"> </w:t>
      </w:r>
    </w:p>
    <w:p w:rsidR="00CF5FD6" w:rsidRPr="00CF5FD6" w:rsidRDefault="00CF5FD6" w:rsidP="00CF5FD6">
      <w:pPr>
        <w:pStyle w:val="Heading3"/>
      </w:pPr>
      <w:bookmarkStart w:id="14" w:name="_Toc418078030"/>
      <w:r w:rsidRPr="00CF5FD6">
        <w:t>Final decision</w:t>
      </w:r>
      <w:bookmarkEnd w:id="14"/>
    </w:p>
    <w:p w:rsidR="002C4118" w:rsidRDefault="002C4118" w:rsidP="00CF5FD6">
      <w:r>
        <w:t>For the most part we have approve</w:t>
      </w:r>
      <w:r w:rsidR="008D1774">
        <w:t>d</w:t>
      </w:r>
      <w:r>
        <w:t xml:space="preserve"> ActewAGL's revised proposed 2015</w:t>
      </w:r>
      <w:r w:rsidRPr="002C4118">
        <w:t>–</w:t>
      </w:r>
      <w:r>
        <w:t>16 charges for fee based ancillary network services</w:t>
      </w:r>
      <w:r w:rsidR="008D1774">
        <w:t>,</w:t>
      </w:r>
      <w:r>
        <w:t xml:space="preserve"> because</w:t>
      </w:r>
      <w:r w:rsidRPr="005569EC">
        <w:t xml:space="preserve"> the proposed </w:t>
      </w:r>
      <w:r>
        <w:t>service charges</w:t>
      </w:r>
      <w:r w:rsidRPr="002C4118">
        <w:t xml:space="preserve"> </w:t>
      </w:r>
      <w:r w:rsidRPr="00F32530">
        <w:t>reflect efficient costs</w:t>
      </w:r>
      <w:r>
        <w:t>.</w:t>
      </w:r>
    </w:p>
    <w:p w:rsidR="00F32530" w:rsidRDefault="00F32530" w:rsidP="00CF5FD6">
      <w:r>
        <w:t>We rejected only one of ActewAGL's revised proposed labour rates (office support service delivery) for ancillary network services. Consequently, we rejected ActewAGL's revised proposed 2015–16 fees for the following three services:</w:t>
      </w:r>
    </w:p>
    <w:p w:rsidR="00F32530" w:rsidRDefault="00F32530" w:rsidP="007B0799">
      <w:pPr>
        <w:pStyle w:val="AERbulletlistfirststyle"/>
      </w:pPr>
      <w:r>
        <w:t>meter test (CT/VT)—business hours</w:t>
      </w:r>
    </w:p>
    <w:p w:rsidR="00F32530" w:rsidRDefault="00F32530" w:rsidP="007B0799">
      <w:pPr>
        <w:pStyle w:val="AERbulletlistfirststyle"/>
      </w:pPr>
      <w:r>
        <w:lastRenderedPageBreak/>
        <w:t>special meter read</w:t>
      </w:r>
    </w:p>
    <w:p w:rsidR="00F32530" w:rsidRDefault="00F32530" w:rsidP="007B0799">
      <w:pPr>
        <w:pStyle w:val="AERbulletlistfirststyle"/>
      </w:pPr>
      <w:r>
        <w:t>metering transfer admin fee (transfer to another metering provider</w:t>
      </w:r>
      <w:r w:rsidR="002C4118">
        <w:t>)</w:t>
      </w:r>
      <w:r>
        <w:t>.</w:t>
      </w:r>
    </w:p>
    <w:p w:rsidR="00DB56E5" w:rsidRPr="00DB56E5" w:rsidRDefault="00DB56E5" w:rsidP="00DB56E5">
      <w:r w:rsidRPr="00DB56E5">
        <w:t>We do not approve ActewAGL's labour rates for fee based and quoted ancillary network services. Our final decision for maximum labour rates (including on costs, but not overheads) is set out</w:t>
      </w:r>
      <w:r w:rsidR="00F71308">
        <w:t xml:space="preserve"> in </w:t>
      </w:r>
      <w:r w:rsidR="00F71308">
        <w:fldChar w:fldCharType="begin"/>
      </w:r>
      <w:r w:rsidR="00F71308">
        <w:instrText xml:space="preserve"> REF _Ref414807600 \h </w:instrText>
      </w:r>
      <w:r w:rsidR="00F71308">
        <w:fldChar w:fldCharType="separate"/>
      </w:r>
      <w:r w:rsidR="004704F5">
        <w:t xml:space="preserve">Table </w:t>
      </w:r>
      <w:r w:rsidR="004704F5">
        <w:rPr>
          <w:noProof/>
        </w:rPr>
        <w:t>16</w:t>
      </w:r>
      <w:r w:rsidR="004704F5">
        <w:t>.</w:t>
      </w:r>
      <w:r w:rsidR="004704F5">
        <w:rPr>
          <w:noProof/>
        </w:rPr>
        <w:t>1</w:t>
      </w:r>
      <w:r w:rsidR="00F71308">
        <w:fldChar w:fldCharType="end"/>
      </w:r>
      <w:r w:rsidRPr="00DB56E5">
        <w:t>.</w:t>
      </w:r>
    </w:p>
    <w:p w:rsidR="002C4118" w:rsidRDefault="002C4118" w:rsidP="007B0799">
      <w:r>
        <w:t xml:space="preserve">Because we do not approve the escalation </w:t>
      </w:r>
      <w:r w:rsidR="00DB56E5">
        <w:t xml:space="preserve">to labour rates </w:t>
      </w:r>
      <w:r>
        <w:t>applied by ActewAGL's revised regulator</w:t>
      </w:r>
      <w:r w:rsidR="008D1774">
        <w:t>y</w:t>
      </w:r>
      <w:r>
        <w:t xml:space="preserve"> proposal—substituting it instead with those in in </w:t>
      </w:r>
      <w:r>
        <w:fldChar w:fldCharType="begin"/>
      </w:r>
      <w:r>
        <w:instrText xml:space="preserve"> REF _Ref414807600 \h </w:instrText>
      </w:r>
      <w:r>
        <w:fldChar w:fldCharType="separate"/>
      </w:r>
      <w:r w:rsidR="004704F5">
        <w:t xml:space="preserve">Table </w:t>
      </w:r>
      <w:r w:rsidR="004704F5">
        <w:rPr>
          <w:noProof/>
        </w:rPr>
        <w:t>16</w:t>
      </w:r>
      <w:r w:rsidR="004704F5">
        <w:t>.</w:t>
      </w:r>
      <w:r w:rsidR="004704F5">
        <w:rPr>
          <w:noProof/>
        </w:rPr>
        <w:t>1</w:t>
      </w:r>
      <w:r>
        <w:fldChar w:fldCharType="end"/>
      </w:r>
      <w:r>
        <w:t xml:space="preserve">—we consequently do not approve any proposed fees for the remaining years of the regulatory control period. </w:t>
      </w:r>
      <w:r w:rsidR="003C5DFD">
        <w:t>Our final decision on l</w:t>
      </w:r>
      <w:r>
        <w:t xml:space="preserve">abour escalation is set out in </w:t>
      </w:r>
      <w:r w:rsidR="003C5DFD">
        <w:t xml:space="preserve">Attachment </w:t>
      </w:r>
      <w:r w:rsidR="0084368C">
        <w:t>7</w:t>
      </w:r>
      <w:r w:rsidR="003C5DFD">
        <w:t xml:space="preserve"> (operating expenditure)</w:t>
      </w:r>
      <w:r>
        <w:t>.</w:t>
      </w:r>
    </w:p>
    <w:p w:rsidR="007545B4" w:rsidRDefault="007545B4" w:rsidP="007545B4">
      <w:pPr>
        <w:pStyle w:val="Caption"/>
      </w:pPr>
      <w:bookmarkStart w:id="15" w:name="_Ref414807600"/>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w:t>
      </w:r>
      <w:r w:rsidR="000D189C">
        <w:rPr>
          <w:noProof/>
        </w:rPr>
        <w:fldChar w:fldCharType="end"/>
      </w:r>
      <w:bookmarkEnd w:id="15"/>
      <w:r>
        <w:t xml:space="preserve">: </w:t>
      </w:r>
      <w:r w:rsidR="00375CD1">
        <w:t xml:space="preserve">Final decision </w:t>
      </w:r>
      <w:r>
        <w:t>labour escalation factor (percentage)</w:t>
      </w:r>
      <w:r>
        <w:tab/>
      </w:r>
    </w:p>
    <w:tbl>
      <w:tblPr>
        <w:tblStyle w:val="AERtable-numbers"/>
        <w:tblW w:w="5000" w:type="pct"/>
        <w:tblLook w:val="04A0" w:firstRow="1" w:lastRow="0" w:firstColumn="1" w:lastColumn="0" w:noHBand="0" w:noVBand="1"/>
      </w:tblPr>
      <w:tblGrid>
        <w:gridCol w:w="3081"/>
        <w:gridCol w:w="1692"/>
        <w:gridCol w:w="1307"/>
        <w:gridCol w:w="1307"/>
        <w:gridCol w:w="1306"/>
      </w:tblGrid>
      <w:tr w:rsidR="007545B4" w:rsidRPr="007545B4" w:rsidTr="008C57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7545B4" w:rsidRPr="007545B4" w:rsidRDefault="007545B4"/>
        </w:tc>
        <w:tc>
          <w:tcPr>
            <w:tcW w:w="973" w:type="pct"/>
            <w:noWrap/>
            <w:hideMark/>
          </w:tcPr>
          <w:p w:rsidR="007545B4" w:rsidRPr="007545B4" w:rsidRDefault="007545B4">
            <w:pPr>
              <w:cnfStyle w:val="100000000000" w:firstRow="1" w:lastRow="0" w:firstColumn="0" w:lastColumn="0" w:oddVBand="0" w:evenVBand="0" w:oddHBand="0" w:evenHBand="0" w:firstRowFirstColumn="0" w:firstRowLastColumn="0" w:lastRowFirstColumn="0" w:lastRowLastColumn="0"/>
            </w:pPr>
            <w:r w:rsidRPr="007545B4">
              <w:t>2015–16</w:t>
            </w:r>
          </w:p>
        </w:tc>
        <w:tc>
          <w:tcPr>
            <w:tcW w:w="752" w:type="pct"/>
            <w:noWrap/>
            <w:hideMark/>
          </w:tcPr>
          <w:p w:rsidR="007545B4" w:rsidRPr="007545B4" w:rsidRDefault="007545B4">
            <w:pPr>
              <w:cnfStyle w:val="100000000000" w:firstRow="1" w:lastRow="0" w:firstColumn="0" w:lastColumn="0" w:oddVBand="0" w:evenVBand="0" w:oddHBand="0" w:evenHBand="0" w:firstRowFirstColumn="0" w:firstRowLastColumn="0" w:lastRowFirstColumn="0" w:lastRowLastColumn="0"/>
            </w:pPr>
            <w:r w:rsidRPr="007545B4">
              <w:t>2016–17</w:t>
            </w:r>
          </w:p>
        </w:tc>
        <w:tc>
          <w:tcPr>
            <w:tcW w:w="752" w:type="pct"/>
            <w:noWrap/>
            <w:hideMark/>
          </w:tcPr>
          <w:p w:rsidR="007545B4" w:rsidRPr="007545B4" w:rsidRDefault="007545B4">
            <w:pPr>
              <w:cnfStyle w:val="100000000000" w:firstRow="1" w:lastRow="0" w:firstColumn="0" w:lastColumn="0" w:oddVBand="0" w:evenVBand="0" w:oddHBand="0" w:evenHBand="0" w:firstRowFirstColumn="0" w:firstRowLastColumn="0" w:lastRowFirstColumn="0" w:lastRowLastColumn="0"/>
            </w:pPr>
            <w:r w:rsidRPr="007545B4">
              <w:t>2017–18</w:t>
            </w:r>
          </w:p>
        </w:tc>
        <w:tc>
          <w:tcPr>
            <w:tcW w:w="752" w:type="pct"/>
            <w:noWrap/>
            <w:hideMark/>
          </w:tcPr>
          <w:p w:rsidR="007545B4" w:rsidRPr="007545B4" w:rsidRDefault="007545B4">
            <w:pPr>
              <w:cnfStyle w:val="100000000000" w:firstRow="1" w:lastRow="0" w:firstColumn="0" w:lastColumn="0" w:oddVBand="0" w:evenVBand="0" w:oddHBand="0" w:evenHBand="0" w:firstRowFirstColumn="0" w:firstRowLastColumn="0" w:lastRowFirstColumn="0" w:lastRowLastColumn="0"/>
            </w:pPr>
            <w:r w:rsidRPr="007545B4">
              <w:t>2018–19</w:t>
            </w:r>
          </w:p>
        </w:tc>
      </w:tr>
      <w:tr w:rsidR="007545B4" w:rsidRPr="007545B4" w:rsidTr="008C57C6">
        <w:trPr>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7545B4" w:rsidRPr="007545B4" w:rsidRDefault="007545B4">
            <w:r w:rsidRPr="007545B4">
              <w:t>labour escalation factor</w:t>
            </w:r>
          </w:p>
        </w:tc>
        <w:tc>
          <w:tcPr>
            <w:tcW w:w="973" w:type="pct"/>
            <w:noWrap/>
            <w:hideMark/>
          </w:tcPr>
          <w:p w:rsidR="007545B4" w:rsidRPr="007545B4" w:rsidRDefault="00D46E68" w:rsidP="00051324">
            <w:pPr>
              <w:cnfStyle w:val="000000000000" w:firstRow="0" w:lastRow="0" w:firstColumn="0" w:lastColumn="0" w:oddVBand="0" w:evenVBand="0" w:oddHBand="0" w:evenHBand="0" w:firstRowFirstColumn="0" w:firstRowLastColumn="0" w:lastRowFirstColumn="0" w:lastRowLastColumn="0"/>
            </w:pPr>
            <w:r>
              <w:t>–</w:t>
            </w:r>
            <w:r w:rsidR="00051324">
              <w:t>0.76</w:t>
            </w:r>
          </w:p>
        </w:tc>
        <w:tc>
          <w:tcPr>
            <w:tcW w:w="752" w:type="pct"/>
            <w:noWrap/>
            <w:hideMark/>
          </w:tcPr>
          <w:p w:rsidR="007545B4" w:rsidRPr="007545B4" w:rsidRDefault="00D46E68" w:rsidP="00051324">
            <w:pPr>
              <w:cnfStyle w:val="000000000000" w:firstRow="0" w:lastRow="0" w:firstColumn="0" w:lastColumn="0" w:oddVBand="0" w:evenVBand="0" w:oddHBand="0" w:evenHBand="0" w:firstRowFirstColumn="0" w:firstRowLastColumn="0" w:lastRowFirstColumn="0" w:lastRowLastColumn="0"/>
            </w:pPr>
            <w:r>
              <w:t>–</w:t>
            </w:r>
            <w:r w:rsidR="00051324">
              <w:t>1.13</w:t>
            </w:r>
          </w:p>
        </w:tc>
        <w:tc>
          <w:tcPr>
            <w:tcW w:w="752" w:type="pct"/>
            <w:noWrap/>
            <w:hideMark/>
          </w:tcPr>
          <w:p w:rsidR="007545B4" w:rsidRPr="007545B4" w:rsidRDefault="00D46E68" w:rsidP="00051324">
            <w:pPr>
              <w:cnfStyle w:val="000000000000" w:firstRow="0" w:lastRow="0" w:firstColumn="0" w:lastColumn="0" w:oddVBand="0" w:evenVBand="0" w:oddHBand="0" w:evenHBand="0" w:firstRowFirstColumn="0" w:firstRowLastColumn="0" w:lastRowFirstColumn="0" w:lastRowLastColumn="0"/>
            </w:pPr>
            <w:r>
              <w:t>–</w:t>
            </w:r>
            <w:r w:rsidR="00051324">
              <w:t>1.22</w:t>
            </w:r>
          </w:p>
        </w:tc>
        <w:tc>
          <w:tcPr>
            <w:tcW w:w="752" w:type="pct"/>
            <w:noWrap/>
            <w:hideMark/>
          </w:tcPr>
          <w:p w:rsidR="007545B4" w:rsidRPr="007545B4" w:rsidRDefault="00D46E68">
            <w:pPr>
              <w:cnfStyle w:val="000000000000" w:firstRow="0" w:lastRow="0" w:firstColumn="0" w:lastColumn="0" w:oddVBand="0" w:evenVBand="0" w:oddHBand="0" w:evenHBand="0" w:firstRowFirstColumn="0" w:firstRowLastColumn="0" w:lastRowFirstColumn="0" w:lastRowLastColumn="0"/>
            </w:pPr>
            <w:r>
              <w:t>–</w:t>
            </w:r>
            <w:r w:rsidR="00051324">
              <w:t>1.22</w:t>
            </w:r>
          </w:p>
        </w:tc>
      </w:tr>
    </w:tbl>
    <w:p w:rsidR="008C57C6" w:rsidRPr="008C57C6" w:rsidRDefault="008C57C6" w:rsidP="008C57C6">
      <w:pPr>
        <w:pStyle w:val="AERtablesource"/>
        <w:rPr>
          <w:rStyle w:val="CommentReference"/>
        </w:rPr>
      </w:pPr>
      <w:r w:rsidRPr="008C57C6">
        <w:t xml:space="preserve">Source: </w:t>
      </w:r>
      <w:r w:rsidRPr="008C57C6">
        <w:tab/>
        <w:t xml:space="preserve">AER analysis. </w:t>
      </w:r>
    </w:p>
    <w:p w:rsidR="008C57C6" w:rsidRPr="0048035F" w:rsidRDefault="008C57C6" w:rsidP="008C57C6">
      <w:pPr>
        <w:pStyle w:val="AERtablesource"/>
      </w:pPr>
      <w:r w:rsidRPr="008C57C6">
        <w:rPr>
          <w:rStyle w:val="CommentReference"/>
        </w:rPr>
        <w:t>Note:</w:t>
      </w:r>
      <w:r w:rsidRPr="008C57C6">
        <w:rPr>
          <w:rStyle w:val="CommentReference"/>
        </w:rPr>
        <w:tab/>
      </w:r>
      <w:r>
        <w:t>The exceptions single phase, single element manually read interval meter; single phase two element meter and three phase meter. All these have an X</w:t>
      </w:r>
      <w:r w:rsidRPr="008C57C6">
        <w:t xml:space="preserve"> factor of zero. </w:t>
      </w:r>
      <w:r w:rsidRPr="008C57C6">
        <w:rPr>
          <w:rStyle w:val="CommentReference"/>
        </w:rPr>
        <w:t>To be clear, labour escalators themselves are positive for each year of the regulatory control period. However, the labour escalators in this table are operating as de</w:t>
      </w:r>
      <w:r w:rsidR="008D1774">
        <w:rPr>
          <w:rStyle w:val="CommentReference"/>
        </w:rPr>
        <w:t xml:space="preserve"> </w:t>
      </w:r>
      <w:r w:rsidRPr="008C57C6">
        <w:rPr>
          <w:rStyle w:val="CommentReference"/>
        </w:rPr>
        <w:t xml:space="preserve">facto X factors. Therefore, they are negative. </w:t>
      </w:r>
    </w:p>
    <w:p w:rsidR="000362AB" w:rsidRDefault="00BB5F0E" w:rsidP="00CF5FD6">
      <w:r>
        <w:t xml:space="preserve">Appendix </w:t>
      </w:r>
      <w:r>
        <w:fldChar w:fldCharType="begin"/>
      </w:r>
      <w:r>
        <w:instrText xml:space="preserve"> REF _Ref417480898 \r \h </w:instrText>
      </w:r>
      <w:r>
        <w:fldChar w:fldCharType="separate"/>
      </w:r>
      <w:r w:rsidR="004704F5">
        <w:t>A.1.1</w:t>
      </w:r>
      <w:r>
        <w:fldChar w:fldCharType="end"/>
      </w:r>
      <w:r w:rsidR="000362AB">
        <w:t xml:space="preserve"> sets out our final decision for maximum </w:t>
      </w:r>
      <w:r w:rsidR="00DB56E5">
        <w:t>charges to apply for</w:t>
      </w:r>
      <w:r w:rsidR="000362AB">
        <w:t xml:space="preserve"> ancillary network services</w:t>
      </w:r>
      <w:r>
        <w:t>.</w:t>
      </w:r>
    </w:p>
    <w:p w:rsidR="0048035F" w:rsidRPr="00585AF9" w:rsidRDefault="0048035F" w:rsidP="00B40A4B">
      <w:pPr>
        <w:pStyle w:val="HeadingBoldBlue"/>
      </w:pPr>
      <w:r w:rsidRPr="00585AF9">
        <w:t>Form of control</w:t>
      </w:r>
      <w:r w:rsidR="008866E7">
        <w:t>—f</w:t>
      </w:r>
      <w:r w:rsidRPr="00585AF9">
        <w:t>ee based services</w:t>
      </w:r>
    </w:p>
    <w:p w:rsidR="0048035F" w:rsidRPr="0048035F" w:rsidRDefault="0048035F" w:rsidP="0048035F">
      <w:pPr>
        <w:rPr>
          <w:rStyle w:val="AERbody"/>
        </w:rPr>
      </w:pPr>
      <w:r w:rsidRPr="0048035F">
        <w:rPr>
          <w:rStyle w:val="AERbody"/>
        </w:rPr>
        <w:t xml:space="preserve">We apply a price cap </w:t>
      </w:r>
      <w:r w:rsidR="00975569">
        <w:rPr>
          <w:rStyle w:val="AERbody"/>
        </w:rPr>
        <w:t>as</w:t>
      </w:r>
      <w:r w:rsidR="00975569" w:rsidRPr="0048035F">
        <w:rPr>
          <w:rStyle w:val="AERbody"/>
        </w:rPr>
        <w:t xml:space="preserve"> </w:t>
      </w:r>
      <w:r w:rsidRPr="0048035F">
        <w:rPr>
          <w:rStyle w:val="AERbody"/>
        </w:rPr>
        <w:t xml:space="preserve">the form of control </w:t>
      </w:r>
      <w:r w:rsidR="00975569">
        <w:rPr>
          <w:rStyle w:val="AERbody"/>
        </w:rPr>
        <w:t>for</w:t>
      </w:r>
      <w:r w:rsidR="00975569" w:rsidRPr="0048035F">
        <w:rPr>
          <w:rStyle w:val="AERbody"/>
        </w:rPr>
        <w:t xml:space="preserve"> </w:t>
      </w:r>
      <w:r w:rsidRPr="0048035F">
        <w:rPr>
          <w:rStyle w:val="AERbody"/>
        </w:rPr>
        <w:t>fee based services.</w:t>
      </w:r>
      <w:r w:rsidR="00B852A8">
        <w:rPr>
          <w:rStyle w:val="FootnoteReference"/>
        </w:rPr>
        <w:footnoteReference w:id="2"/>
      </w:r>
      <w:r w:rsidRPr="0048035F">
        <w:rPr>
          <w:rStyle w:val="AERbody"/>
        </w:rPr>
        <w:t xml:space="preserve"> Under this form of control a schedule of prices is set for the first year. For the following years</w:t>
      </w:r>
      <w:r w:rsidR="00975569">
        <w:rPr>
          <w:rStyle w:val="AERbody"/>
        </w:rPr>
        <w:t>,</w:t>
      </w:r>
      <w:r w:rsidRPr="0048035F">
        <w:rPr>
          <w:rStyle w:val="AERbody"/>
        </w:rPr>
        <w:t xml:space="preserve"> the previous year's prices are adjusted by CPI and an X factor. Our </w:t>
      </w:r>
      <w:r w:rsidR="00483983">
        <w:rPr>
          <w:rStyle w:val="AERbody"/>
        </w:rPr>
        <w:t>final</w:t>
      </w:r>
      <w:r w:rsidRPr="0048035F">
        <w:rPr>
          <w:rStyle w:val="AERbody"/>
        </w:rPr>
        <w:t xml:space="preserve"> decision X factors are set out in appendix A.1. </w:t>
      </w:r>
    </w:p>
    <w:p w:rsidR="0048035F" w:rsidRDefault="0048035F" w:rsidP="0048035F">
      <w:pPr>
        <w:rPr>
          <w:rStyle w:val="AERbody"/>
        </w:rPr>
      </w:pPr>
      <w:r w:rsidRPr="0048035F">
        <w:rPr>
          <w:rStyle w:val="AERbody"/>
        </w:rPr>
        <w:t xml:space="preserve">Mathematically, the form of control for fee based ancillary network services is: </w:t>
      </w:r>
    </w:p>
    <w:p w:rsidR="004704F5" w:rsidRDefault="004704F5">
      <w:pPr>
        <w:spacing w:line="240" w:lineRule="auto"/>
        <w:rPr>
          <w:b/>
          <w:bCs/>
          <w:color w:val="076A92" w:themeColor="text1"/>
          <w:sz w:val="24"/>
          <w:szCs w:val="18"/>
        </w:rPr>
      </w:pPr>
      <w:bookmarkStart w:id="16" w:name="_Ref417373072"/>
      <w:r>
        <w:br w:type="page"/>
      </w:r>
    </w:p>
    <w:p w:rsidR="00F22A2E" w:rsidRPr="0048035F" w:rsidRDefault="00F22A2E" w:rsidP="007B0799">
      <w:pPr>
        <w:pStyle w:val="Caption"/>
        <w:rPr>
          <w:rStyle w:val="AERbody"/>
        </w:rPr>
      </w:pPr>
      <w:r>
        <w:lastRenderedPageBreak/>
        <w:t xml:space="preserve">Figure </w:t>
      </w:r>
      <w:fldSimple w:instr=" STYLEREF 1 \s ">
        <w:r w:rsidR="004704F5">
          <w:rPr>
            <w:noProof/>
          </w:rPr>
          <w:t>16</w:t>
        </w:r>
      </w:fldSimple>
      <w:r>
        <w:t>.</w:t>
      </w:r>
      <w:r w:rsidR="000D189C">
        <w:fldChar w:fldCharType="begin"/>
      </w:r>
      <w:r w:rsidR="000D189C">
        <w:instrText xml:space="preserve"> SEQ Figure \* ARABIC \s 1 </w:instrText>
      </w:r>
      <w:r w:rsidR="000D189C">
        <w:fldChar w:fldCharType="separate"/>
      </w:r>
      <w:r w:rsidR="004704F5">
        <w:rPr>
          <w:noProof/>
        </w:rPr>
        <w:t>1</w:t>
      </w:r>
      <w:r w:rsidR="000D189C">
        <w:rPr>
          <w:noProof/>
        </w:rPr>
        <w:fldChar w:fldCharType="end"/>
      </w:r>
      <w:bookmarkEnd w:id="16"/>
      <w:r>
        <w:tab/>
        <w:t>Fee based ancillary network services formula</w:t>
      </w:r>
    </w:p>
    <w:p w:rsidR="0048035F" w:rsidRPr="0048035F" w:rsidRDefault="000D189C" w:rsidP="0048035F">
      <w:pPr>
        <w:rPr>
          <w:rStyle w:val="AERbody"/>
        </w:rPr>
      </w:pPr>
      <m:oMath>
        <m:sSubSup>
          <m:sSubSupPr>
            <m:ctrlPr>
              <w:rPr>
                <w:rStyle w:val="AERbody"/>
                <w:rFonts w:ascii="Cambria Math" w:hAnsi="Cambria Math"/>
              </w:rPr>
            </m:ctrlPr>
          </m:sSubSupPr>
          <m:e>
            <m:acc>
              <m:accPr>
                <m:chr m:val="̅"/>
                <m:ctrlPr>
                  <w:rPr>
                    <w:rStyle w:val="AERbody"/>
                    <w:rFonts w:ascii="Cambria Math" w:hAnsi="Cambria Math"/>
                  </w:rPr>
                </m:ctrlPr>
              </m:accPr>
              <m:e>
                <m:r>
                  <w:rPr>
                    <w:rStyle w:val="AERbody"/>
                    <w:rFonts w:ascii="Cambria Math" w:hAnsi="Cambria Math"/>
                  </w:rPr>
                  <m:t>p</m:t>
                </m:r>
              </m:e>
            </m:acc>
          </m:e>
          <m:sub>
            <m:r>
              <w:rPr>
                <w:rStyle w:val="AERbody"/>
                <w:rFonts w:ascii="Cambria Math" w:hAnsi="Cambria Math"/>
              </w:rPr>
              <m:t>i</m:t>
            </m:r>
          </m:sub>
          <m:sup>
            <m:r>
              <w:rPr>
                <w:rStyle w:val="AERbody"/>
                <w:rFonts w:ascii="Cambria Math" w:hAnsi="Cambria Math"/>
              </w:rPr>
              <m:t>t</m:t>
            </m:r>
          </m:sup>
        </m:sSubSup>
        <m:r>
          <w:rPr>
            <w:rStyle w:val="AERbody"/>
            <w:rFonts w:ascii="Cambria Math" w:hAnsi="Cambria Math"/>
          </w:rPr>
          <m:t>≥</m:t>
        </m:r>
        <m:sSubSup>
          <m:sSubSupPr>
            <m:ctrlPr>
              <w:rPr>
                <w:rStyle w:val="AERbody"/>
                <w:rFonts w:ascii="Cambria Math" w:hAnsi="Cambria Math"/>
              </w:rPr>
            </m:ctrlPr>
          </m:sSubSupPr>
          <m:e>
            <m:r>
              <w:rPr>
                <w:rStyle w:val="AERbody"/>
                <w:rFonts w:ascii="Cambria Math" w:hAnsi="Cambria Math"/>
              </w:rPr>
              <m:t>p</m:t>
            </m:r>
          </m:e>
          <m:sub>
            <m:r>
              <w:rPr>
                <w:rStyle w:val="AERbody"/>
                <w:rFonts w:ascii="Cambria Math" w:hAnsi="Cambria Math"/>
              </w:rPr>
              <m:t>i</m:t>
            </m:r>
          </m:sub>
          <m:sup>
            <m:r>
              <w:rPr>
                <w:rStyle w:val="AERbody"/>
                <w:rFonts w:ascii="Cambria Math" w:hAnsi="Cambria Math"/>
              </w:rPr>
              <m:t>t</m:t>
            </m:r>
          </m:sup>
        </m:sSubSup>
      </m:oMath>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035F">
        <w:rPr>
          <w:rStyle w:val="AERbody"/>
        </w:rPr>
        <w:tab/>
      </w:r>
      <w:r w:rsidR="00483983">
        <w:rPr>
          <w:rStyle w:val="AERbody"/>
        </w:rPr>
        <w:t xml:space="preserve">                       </w:t>
      </w:r>
      <w:r w:rsidR="0048035F" w:rsidRPr="0048035F">
        <w:t xml:space="preserve">i=1,...,n and t=1,..,4, </w:t>
      </w:r>
    </w:p>
    <w:p w:rsidR="0048035F" w:rsidRDefault="000D189C" w:rsidP="0048035F">
      <w:pPr>
        <w:rPr>
          <w:rStyle w:val="AERbody"/>
        </w:rPr>
      </w:pPr>
      <m:oMath>
        <m:sSubSup>
          <m:sSubSupPr>
            <m:ctrlPr>
              <w:rPr>
                <w:rStyle w:val="AERbody"/>
                <w:rFonts w:ascii="Cambria Math" w:hAnsi="Cambria Math"/>
              </w:rPr>
            </m:ctrlPr>
          </m:sSubSupPr>
          <m:e>
            <m:acc>
              <m:accPr>
                <m:chr m:val="̅"/>
                <m:ctrlPr>
                  <w:rPr>
                    <w:rStyle w:val="AERbody"/>
                    <w:rFonts w:ascii="Cambria Math" w:hAnsi="Cambria Math"/>
                  </w:rPr>
                </m:ctrlPr>
              </m:accPr>
              <m:e>
                <m:r>
                  <w:rPr>
                    <w:rStyle w:val="AERbody"/>
                    <w:rFonts w:ascii="Cambria Math" w:hAnsi="Cambria Math"/>
                  </w:rPr>
                  <m:t>p</m:t>
                </m:r>
              </m:e>
            </m:acc>
          </m:e>
          <m:sub>
            <m:r>
              <w:rPr>
                <w:rStyle w:val="AERbody"/>
                <w:rFonts w:ascii="Cambria Math" w:hAnsi="Cambria Math"/>
              </w:rPr>
              <m:t>i</m:t>
            </m:r>
          </m:sub>
          <m:sup>
            <m:r>
              <w:rPr>
                <w:rStyle w:val="AERbody"/>
                <w:rFonts w:ascii="Cambria Math" w:hAnsi="Cambria Math"/>
              </w:rPr>
              <m:t>t</m:t>
            </m:r>
          </m:sup>
        </m:sSubSup>
        <m:r>
          <m:rPr>
            <m:sty m:val="p"/>
          </m:rPr>
          <w:rPr>
            <w:rStyle w:val="AERbody"/>
            <w:rFonts w:ascii="Cambria Math" w:hAnsi="Cambria Math"/>
          </w:rPr>
          <m:t>=</m:t>
        </m:r>
        <m:sSubSup>
          <m:sSubSupPr>
            <m:ctrlPr>
              <w:rPr>
                <w:rStyle w:val="AERbody"/>
                <w:rFonts w:ascii="Cambria Math" w:hAnsi="Cambria Math"/>
              </w:rPr>
            </m:ctrlPr>
          </m:sSubSupPr>
          <m:e>
            <m:acc>
              <m:accPr>
                <m:chr m:val="̅"/>
                <m:ctrlPr>
                  <w:rPr>
                    <w:rStyle w:val="AERbody"/>
                    <w:rFonts w:ascii="Cambria Math" w:hAnsi="Cambria Math"/>
                    <w:i/>
                    <w:iCs/>
                  </w:rPr>
                </m:ctrlPr>
              </m:accPr>
              <m:e>
                <m:r>
                  <w:rPr>
                    <w:rStyle w:val="AERbody"/>
                    <w:rFonts w:ascii="Cambria Math" w:hAnsi="Cambria Math"/>
                  </w:rPr>
                  <m:t>p</m:t>
                </m:r>
              </m:e>
            </m:acc>
          </m:e>
          <m:sub>
            <m:r>
              <w:rPr>
                <w:rStyle w:val="AERbody"/>
                <w:rFonts w:ascii="Cambria Math" w:hAnsi="Cambria Math"/>
              </w:rPr>
              <m:t>i</m:t>
            </m:r>
          </m:sub>
          <m:sup>
            <m:r>
              <w:rPr>
                <w:rStyle w:val="AERbody"/>
                <w:rFonts w:ascii="Cambria Math" w:hAnsi="Cambria Math"/>
              </w:rPr>
              <m:t>t</m:t>
            </m:r>
            <m:r>
              <m:rPr>
                <m:sty m:val="p"/>
              </m:rPr>
              <w:rPr>
                <w:rStyle w:val="AERbody"/>
                <w:rFonts w:ascii="Cambria Math" w:hAnsi="Cambria Math"/>
              </w:rPr>
              <m:t>-1</m:t>
            </m:r>
          </m:sup>
        </m:sSubSup>
        <m:d>
          <m:dPr>
            <m:ctrlPr>
              <w:rPr>
                <w:rStyle w:val="AERbody"/>
                <w:rFonts w:ascii="Cambria Math" w:hAnsi="Cambria Math"/>
              </w:rPr>
            </m:ctrlPr>
          </m:dPr>
          <m:e>
            <m:r>
              <m:rPr>
                <m:sty m:val="p"/>
              </m:rPr>
              <w:rPr>
                <w:rStyle w:val="AERbody"/>
                <w:rFonts w:ascii="Cambria Math" w:hAnsi="Cambria Math"/>
              </w:rPr>
              <m:t>1+</m:t>
            </m:r>
            <m:sSub>
              <m:sSubPr>
                <m:ctrlPr>
                  <w:rPr>
                    <w:rStyle w:val="AERbody"/>
                    <w:rFonts w:ascii="Cambria Math" w:hAnsi="Cambria Math"/>
                  </w:rPr>
                </m:ctrlPr>
              </m:sSubPr>
              <m:e>
                <m:r>
                  <w:rPr>
                    <w:rStyle w:val="AERbody"/>
                    <w:rFonts w:ascii="Cambria Math" w:hAnsi="Cambria Math"/>
                  </w:rPr>
                  <m:t>∆CPI</m:t>
                </m:r>
              </m:e>
              <m:sub>
                <m:r>
                  <w:rPr>
                    <w:rStyle w:val="AERbody"/>
                    <w:rFonts w:ascii="Cambria Math" w:hAnsi="Cambria Math"/>
                  </w:rPr>
                  <m:t>t</m:t>
                </m:r>
              </m:sub>
            </m:sSub>
          </m:e>
        </m:d>
        <m:d>
          <m:dPr>
            <m:ctrlPr>
              <w:rPr>
                <w:rStyle w:val="AERbody"/>
                <w:rFonts w:ascii="Cambria Math" w:hAnsi="Cambria Math"/>
              </w:rPr>
            </m:ctrlPr>
          </m:dPr>
          <m:e>
            <m:r>
              <m:rPr>
                <m:sty m:val="p"/>
              </m:rPr>
              <w:rPr>
                <w:rStyle w:val="AERbody"/>
                <w:rFonts w:ascii="Cambria Math" w:hAnsi="Cambria Math"/>
              </w:rPr>
              <m:t>1-</m:t>
            </m:r>
            <m:sSubSup>
              <m:sSubSupPr>
                <m:ctrlPr>
                  <w:rPr>
                    <w:rStyle w:val="AERbody"/>
                    <w:rFonts w:ascii="Cambria Math" w:hAnsi="Cambria Math"/>
                  </w:rPr>
                </m:ctrlPr>
              </m:sSubSupPr>
              <m:e>
                <m:r>
                  <w:rPr>
                    <w:rStyle w:val="AERbody"/>
                    <w:rFonts w:ascii="Cambria Math" w:hAnsi="Cambria Math"/>
                  </w:rPr>
                  <m:t>X</m:t>
                </m:r>
              </m:e>
              <m:sub>
                <m:r>
                  <w:rPr>
                    <w:rStyle w:val="AERbody"/>
                    <w:rFonts w:ascii="Cambria Math" w:hAnsi="Cambria Math"/>
                  </w:rPr>
                  <m:t>i</m:t>
                </m:r>
              </m:sub>
              <m:sup>
                <m:r>
                  <w:rPr>
                    <w:rStyle w:val="AERbody"/>
                    <w:rFonts w:ascii="Cambria Math" w:hAnsi="Cambria Math"/>
                  </w:rPr>
                  <m:t>t</m:t>
                </m:r>
              </m:sup>
            </m:sSubSup>
          </m:e>
        </m:d>
      </m:oMath>
      <w:r w:rsidR="0048035F">
        <w:rPr>
          <w:rStyle w:val="AERbody"/>
        </w:rPr>
        <w:tab/>
      </w:r>
    </w:p>
    <w:p w:rsidR="0048035F" w:rsidRPr="0048035F" w:rsidRDefault="0048035F" w:rsidP="0084368C">
      <w:pPr>
        <w:keepNext/>
        <w:rPr>
          <w:rStyle w:val="AERbody"/>
        </w:rPr>
      </w:pPr>
      <w:r w:rsidRPr="0048035F">
        <w:rPr>
          <w:rStyle w:val="AERbody"/>
        </w:rPr>
        <w:t xml:space="preserve">Where: </w:t>
      </w:r>
    </w:p>
    <w:p w:rsidR="0048035F" w:rsidRPr="0048035F" w:rsidRDefault="000D189C" w:rsidP="009E11AE">
      <w:pPr>
        <w:keepNext/>
        <w:rPr>
          <w:rStyle w:val="AERbody"/>
        </w:rPr>
      </w:pPr>
      <m:oMath>
        <m:sSubSup>
          <m:sSubSupPr>
            <m:ctrlPr>
              <w:rPr>
                <w:rStyle w:val="AERbody"/>
                <w:rFonts w:ascii="Cambria Math" w:hAnsi="Cambria Math"/>
              </w:rPr>
            </m:ctrlPr>
          </m:sSubSupPr>
          <m:e>
            <m:acc>
              <m:accPr>
                <m:chr m:val="̅"/>
                <m:ctrlPr>
                  <w:rPr>
                    <w:rStyle w:val="AERbody"/>
                    <w:rFonts w:ascii="Cambria Math" w:hAnsi="Cambria Math"/>
                  </w:rPr>
                </m:ctrlPr>
              </m:accPr>
              <m:e>
                <m:r>
                  <w:rPr>
                    <w:rStyle w:val="AERbody"/>
                    <w:rFonts w:ascii="Cambria Math" w:hAnsi="Cambria Math"/>
                  </w:rPr>
                  <m:t>p</m:t>
                </m:r>
              </m:e>
            </m:acc>
          </m:e>
          <m:sub>
            <m:r>
              <w:rPr>
                <w:rStyle w:val="AERbody"/>
                <w:rFonts w:ascii="Cambria Math" w:hAnsi="Cambria Math"/>
              </w:rPr>
              <m:t>i</m:t>
            </m:r>
          </m:sub>
          <m:sup>
            <m:r>
              <w:rPr>
                <w:rStyle w:val="AERbody"/>
                <w:rFonts w:ascii="Cambria Math" w:hAnsi="Cambria Math"/>
              </w:rPr>
              <m:t>t</m:t>
            </m:r>
          </m:sup>
        </m:sSubSup>
      </m:oMath>
      <w:r w:rsidR="00483983">
        <w:rPr>
          <w:rStyle w:val="AERbody"/>
        </w:rPr>
        <w:tab/>
      </w:r>
      <w:r w:rsidR="00483983">
        <w:rPr>
          <w:rStyle w:val="AERbody"/>
        </w:rPr>
        <w:tab/>
      </w:r>
      <w:r w:rsidR="0048035F" w:rsidRPr="0048035F">
        <w:rPr>
          <w:rStyle w:val="AERbody"/>
        </w:rPr>
        <w:t>is the cap on the price of service i in year t</w:t>
      </w:r>
      <w:r w:rsidR="0048035F">
        <w:rPr>
          <w:rStyle w:val="AERbody"/>
        </w:rPr>
        <w:t>.</w:t>
      </w:r>
      <w:r w:rsidR="00E15AD0">
        <w:rPr>
          <w:rStyle w:val="AERbody"/>
        </w:rPr>
        <w:t xml:space="preserve"> </w:t>
      </w:r>
      <w:r w:rsidR="00842311">
        <w:rPr>
          <w:rStyle w:val="AERbody"/>
        </w:rPr>
        <w:t xml:space="preserve">For 2015–16, this is the price as determined in </w:t>
      </w:r>
      <w:r w:rsidR="00BB5F0E">
        <w:rPr>
          <w:rStyle w:val="AERbody"/>
        </w:rPr>
        <w:fldChar w:fldCharType="begin"/>
      </w:r>
      <w:r w:rsidR="00BB5F0E">
        <w:rPr>
          <w:rStyle w:val="AERbody"/>
        </w:rPr>
        <w:instrText xml:space="preserve"> REF _Ref417559899 \h </w:instrText>
      </w:r>
      <w:r w:rsidR="00BB5F0E">
        <w:rPr>
          <w:rStyle w:val="AERbody"/>
        </w:rPr>
      </w:r>
      <w:r w:rsidR="00BB5F0E">
        <w:rPr>
          <w:rStyle w:val="AERbody"/>
        </w:rPr>
        <w:fldChar w:fldCharType="separate"/>
      </w:r>
      <w:r w:rsidR="004704F5">
        <w:t xml:space="preserve">Table </w:t>
      </w:r>
      <w:r w:rsidR="004704F5">
        <w:rPr>
          <w:noProof/>
        </w:rPr>
        <w:t>16</w:t>
      </w:r>
      <w:r w:rsidR="004704F5">
        <w:t>.</w:t>
      </w:r>
      <w:r w:rsidR="004704F5">
        <w:rPr>
          <w:noProof/>
        </w:rPr>
        <w:t>17</w:t>
      </w:r>
      <w:r w:rsidR="00BB5F0E">
        <w:rPr>
          <w:rStyle w:val="AERbody"/>
        </w:rPr>
        <w:fldChar w:fldCharType="end"/>
      </w:r>
      <w:r w:rsidR="00842311">
        <w:rPr>
          <w:rStyle w:val="AERbody"/>
        </w:rPr>
        <w:t xml:space="preserve"> escalated by (1 + </w:t>
      </w:r>
      <w:r w:rsidR="00BB5F0E" w:rsidRPr="00E15AD0">
        <w:t>∆</w:t>
      </w:r>
      <w:r w:rsidR="00842311">
        <w:rPr>
          <w:rStyle w:val="AERbody"/>
        </w:rPr>
        <w:t>CPI)</w:t>
      </w:r>
    </w:p>
    <w:p w:rsidR="0048035F" w:rsidRDefault="000D189C" w:rsidP="0048035F">
      <w:pPr>
        <w:rPr>
          <w:rStyle w:val="AERbody"/>
        </w:rPr>
      </w:pPr>
      <m:oMath>
        <m:sSubSup>
          <m:sSubSupPr>
            <m:ctrlPr>
              <w:rPr>
                <w:rStyle w:val="AERbody"/>
                <w:rFonts w:ascii="Cambria Math" w:hAnsi="Cambria Math"/>
              </w:rPr>
            </m:ctrlPr>
          </m:sSubSupPr>
          <m:e>
            <m:r>
              <w:rPr>
                <w:rStyle w:val="AERbody"/>
                <w:rFonts w:ascii="Cambria Math" w:hAnsi="Cambria Math"/>
              </w:rPr>
              <m:t>p</m:t>
            </m:r>
          </m:e>
          <m:sub>
            <m:r>
              <w:rPr>
                <w:rStyle w:val="AERbody"/>
                <w:rFonts w:ascii="Cambria Math" w:hAnsi="Cambria Math"/>
              </w:rPr>
              <m:t>i</m:t>
            </m:r>
          </m:sub>
          <m:sup>
            <m:r>
              <w:rPr>
                <w:rStyle w:val="AERbody"/>
                <w:rFonts w:ascii="Cambria Math" w:hAnsi="Cambria Math"/>
              </w:rPr>
              <m:t>t</m:t>
            </m:r>
          </m:sup>
        </m:sSubSup>
        <m:r>
          <w:rPr>
            <w:rStyle w:val="AERbody"/>
            <w:rFonts w:ascii="Cambria Math" w:hAnsi="Cambria Math"/>
          </w:rPr>
          <m:t xml:space="preserve"> </m:t>
        </m:r>
      </m:oMath>
      <w:r w:rsidR="00483983">
        <w:rPr>
          <w:rStyle w:val="AERbody"/>
        </w:rPr>
        <w:tab/>
      </w:r>
      <w:r w:rsidR="00483983">
        <w:rPr>
          <w:rStyle w:val="AERbody"/>
        </w:rPr>
        <w:tab/>
      </w:r>
      <w:r w:rsidR="0048035F" w:rsidRPr="0048035F">
        <w:rPr>
          <w:rStyle w:val="AERbody"/>
        </w:rPr>
        <w:t>is th</w:t>
      </w:r>
      <w:r w:rsidR="0048035F">
        <w:rPr>
          <w:rStyle w:val="AERbody"/>
        </w:rPr>
        <w:t>e price of service i in year t.</w:t>
      </w:r>
    </w:p>
    <w:p w:rsidR="00E15AD0" w:rsidRDefault="00E15AD0" w:rsidP="00E15AD0">
      <w:pPr>
        <w:rPr>
          <w:rStyle w:val="AERbody"/>
        </w:rPr>
      </w:pPr>
      <w:r w:rsidRPr="0076192A">
        <w:object w:dxaOrig="5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pt;height:40.85pt" o:ole="">
            <v:imagedata r:id="rId14" o:title=""/>
          </v:shape>
          <o:OLEObject Type="Embed" ProgID="Equation.3" ShapeID="_x0000_i1025" DrawAspect="Content" ObjectID="_1491827414" r:id="rId15"/>
        </w:object>
      </w:r>
    </w:p>
    <w:p w:rsidR="0048035F" w:rsidRPr="0048035F" w:rsidRDefault="00E15AD0" w:rsidP="009055FC">
      <w:pPr>
        <w:pStyle w:val="ListParagraph"/>
        <w:numPr>
          <w:ilvl w:val="0"/>
          <w:numId w:val="24"/>
        </w:numPr>
      </w:pPr>
      <m:oMath>
        <m:r>
          <w:rPr>
            <w:rFonts w:ascii="Cambria Math" w:hAnsi="Cambria Math"/>
          </w:rPr>
          <m:t>CPI</m:t>
        </m:r>
      </m:oMath>
      <w:r w:rsidRPr="0076192A">
        <w:tab/>
        <w:t>means the all groups index number for the weighted average of eight capital cities as published by the ABS, or if the ABS does not or ceases to publish the index, then CPI will mean an index which the AER considers is the best estimate of the index.</w:t>
      </w:r>
      <w:r w:rsidR="0048035F" w:rsidRPr="0048035F">
        <w:t xml:space="preserve"> </w:t>
      </w:r>
    </w:p>
    <w:p w:rsidR="005569EC" w:rsidRPr="005569EC" w:rsidRDefault="000D189C" w:rsidP="005569EC">
      <m:oMath>
        <m:sSubSup>
          <m:sSubSupPr>
            <m:ctrlPr>
              <w:rPr>
                <w:rStyle w:val="AERbody"/>
                <w:rFonts w:ascii="Cambria Math" w:hAnsi="Cambria Math"/>
              </w:rPr>
            </m:ctrlPr>
          </m:sSubSupPr>
          <m:e>
            <m:r>
              <w:rPr>
                <w:rStyle w:val="AERbody"/>
                <w:rFonts w:ascii="Cambria Math" w:hAnsi="Cambria Math"/>
              </w:rPr>
              <m:t>X</m:t>
            </m:r>
          </m:e>
          <m:sub>
            <m:r>
              <w:rPr>
                <w:rStyle w:val="AERbody"/>
                <w:rFonts w:ascii="Cambria Math" w:hAnsi="Cambria Math"/>
              </w:rPr>
              <m:t>i</m:t>
            </m:r>
          </m:sub>
          <m:sup>
            <m:r>
              <w:rPr>
                <w:rStyle w:val="AERbody"/>
                <w:rFonts w:ascii="Cambria Math" w:hAnsi="Cambria Math"/>
              </w:rPr>
              <m:t>t</m:t>
            </m:r>
          </m:sup>
        </m:sSubSup>
      </m:oMath>
      <w:r w:rsidR="00483983">
        <w:rPr>
          <w:rStyle w:val="AERbody"/>
        </w:rPr>
        <w:tab/>
      </w:r>
      <w:r w:rsidR="00483983">
        <w:rPr>
          <w:rStyle w:val="AERbody"/>
        </w:rPr>
        <w:tab/>
      </w:r>
      <w:r w:rsidR="0048035F" w:rsidRPr="0048035F">
        <w:t xml:space="preserve">is the X-factor for service i in year t </w:t>
      </w:r>
      <w:r w:rsidR="005569EC" w:rsidRPr="005569EC">
        <w:t>in the regulatory control period, as</w:t>
      </w:r>
      <w:r w:rsidR="00975569">
        <w:t xml:space="preserve"> set out in </w:t>
      </w:r>
      <w:r w:rsidR="005569EC" w:rsidRPr="005569EC">
        <w:t xml:space="preserve"> </w:t>
      </w:r>
      <w:r w:rsidR="005569EC" w:rsidRPr="005569EC">
        <w:fldChar w:fldCharType="begin"/>
      </w:r>
      <w:r w:rsidR="005569EC" w:rsidRPr="005569EC">
        <w:instrText xml:space="preserve"> REF  _Ref410636364 \* Lower \h </w:instrText>
      </w:r>
      <w:r w:rsidR="005569EC" w:rsidRPr="005569EC">
        <w:fldChar w:fldCharType="separate"/>
      </w:r>
      <w:r w:rsidR="004704F5" w:rsidRPr="005569EC">
        <w:t xml:space="preserve">table </w:t>
      </w:r>
      <w:r w:rsidR="004704F5">
        <w:rPr>
          <w:noProof/>
        </w:rPr>
        <w:t>16</w:t>
      </w:r>
      <w:r w:rsidR="004704F5">
        <w:t>.</w:t>
      </w:r>
      <w:r w:rsidR="004704F5">
        <w:rPr>
          <w:noProof/>
        </w:rPr>
        <w:t>2</w:t>
      </w:r>
      <w:r w:rsidR="005569EC" w:rsidRPr="005569EC">
        <w:fldChar w:fldCharType="end"/>
      </w:r>
      <w:r w:rsidR="00975569">
        <w:t>:</w:t>
      </w:r>
    </w:p>
    <w:p w:rsidR="0048035F" w:rsidRDefault="0048035F" w:rsidP="009055FC">
      <w:pPr>
        <w:pStyle w:val="ListParagraph"/>
        <w:numPr>
          <w:ilvl w:val="0"/>
          <w:numId w:val="24"/>
        </w:numPr>
      </w:pPr>
    </w:p>
    <w:p w:rsidR="005569EC" w:rsidRPr="005569EC" w:rsidRDefault="005569EC" w:rsidP="009055FC">
      <w:pPr>
        <w:pStyle w:val="Caption"/>
        <w:numPr>
          <w:ilvl w:val="0"/>
          <w:numId w:val="24"/>
        </w:numPr>
      </w:pPr>
      <w:bookmarkStart w:id="17" w:name="_Ref410636364"/>
      <w:r w:rsidRPr="005569EC">
        <w:t xml:space="preserve">Table </w:t>
      </w:r>
      <w:fldSimple w:instr=" STYLEREF 1 \s ">
        <w:r w:rsidR="004704F5">
          <w:rPr>
            <w:noProof/>
          </w:rPr>
          <w:t>16</w:t>
        </w:r>
      </w:fldSimple>
      <w:r w:rsidR="00572635">
        <w:t>.</w:t>
      </w:r>
      <w:fldSimple w:instr=" SEQ Table \* ARABIC \s 1 ">
        <w:r w:rsidR="004704F5">
          <w:rPr>
            <w:noProof/>
          </w:rPr>
          <w:t>2</w:t>
        </w:r>
      </w:fldSimple>
      <w:bookmarkEnd w:id="17"/>
      <w:r w:rsidRPr="005569EC">
        <w:tab/>
        <w:t>AER final decision on X factors for each year of the 2015–19 period</w:t>
      </w:r>
    </w:p>
    <w:tbl>
      <w:tblPr>
        <w:tblStyle w:val="AERtable-numbers"/>
        <w:tblW w:w="0" w:type="auto"/>
        <w:tblLook w:val="04A0" w:firstRow="1" w:lastRow="0" w:firstColumn="1" w:lastColumn="0" w:noHBand="0" w:noVBand="1"/>
      </w:tblPr>
      <w:tblGrid>
        <w:gridCol w:w="1738"/>
        <w:gridCol w:w="1738"/>
        <w:gridCol w:w="1739"/>
        <w:gridCol w:w="1739"/>
        <w:gridCol w:w="1739"/>
      </w:tblGrid>
      <w:tr w:rsidR="005569EC" w:rsidTr="00556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nil"/>
              <w:left w:val="nil"/>
              <w:bottom w:val="nil"/>
              <w:right w:val="nil"/>
            </w:tcBorders>
          </w:tcPr>
          <w:p w:rsidR="005569EC" w:rsidRPr="005569EC" w:rsidRDefault="005569EC" w:rsidP="005569EC"/>
        </w:tc>
        <w:tc>
          <w:tcPr>
            <w:tcW w:w="1738"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2015–16</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2016–17</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2017–18</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2018–19</w:t>
            </w:r>
          </w:p>
        </w:tc>
      </w:tr>
      <w:tr w:rsidR="005569EC" w:rsidTr="005569EC">
        <w:tc>
          <w:tcPr>
            <w:cnfStyle w:val="001000000000" w:firstRow="0" w:lastRow="0" w:firstColumn="1" w:lastColumn="0" w:oddVBand="0" w:evenVBand="0" w:oddHBand="0" w:evenHBand="0" w:firstRowFirstColumn="0" w:firstRowLastColumn="0" w:lastRowFirstColumn="0" w:lastRowLastColumn="0"/>
            <w:tcW w:w="1738" w:type="dxa"/>
            <w:tcBorders>
              <w:top w:val="nil"/>
              <w:left w:val="nil"/>
              <w:bottom w:val="single" w:sz="4" w:space="0" w:color="365F91"/>
              <w:right w:val="nil"/>
            </w:tcBorders>
            <w:hideMark/>
          </w:tcPr>
          <w:p w:rsidR="005569EC" w:rsidRPr="005569EC" w:rsidRDefault="005569EC" w:rsidP="005569EC">
            <w:r w:rsidRPr="005569EC">
              <w:t>X factor</w:t>
            </w:r>
          </w:p>
        </w:tc>
        <w:tc>
          <w:tcPr>
            <w:tcW w:w="1738"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w:t>
            </w:r>
            <w:r>
              <w:t>0</w:t>
            </w:r>
            <w:r w:rsidRPr="005569EC">
              <w:t>.</w:t>
            </w:r>
            <w:r>
              <w:t>76</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w:t>
            </w:r>
            <w:r>
              <w:t>13</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w:t>
            </w:r>
            <w:r>
              <w:t>22</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w:t>
            </w:r>
            <w:r>
              <w:t>22</w:t>
            </w:r>
          </w:p>
        </w:tc>
      </w:tr>
    </w:tbl>
    <w:p w:rsidR="008C57C6" w:rsidRPr="008C57C6" w:rsidRDefault="008C57C6" w:rsidP="008C57C6">
      <w:pPr>
        <w:pStyle w:val="AERtablesource"/>
        <w:rPr>
          <w:rStyle w:val="CommentReference"/>
        </w:rPr>
      </w:pPr>
      <w:r w:rsidRPr="008C57C6">
        <w:t xml:space="preserve">Source: </w:t>
      </w:r>
      <w:r w:rsidRPr="008C57C6">
        <w:tab/>
        <w:t xml:space="preserve">AER analysis. </w:t>
      </w:r>
    </w:p>
    <w:p w:rsidR="005569EC" w:rsidRPr="0048035F" w:rsidRDefault="008C57C6" w:rsidP="008C57C6">
      <w:pPr>
        <w:pStyle w:val="AERtablesource"/>
      </w:pPr>
      <w:r w:rsidRPr="008C57C6">
        <w:rPr>
          <w:rStyle w:val="CommentReference"/>
        </w:rPr>
        <w:t>Note:</w:t>
      </w:r>
      <w:r w:rsidRPr="008C57C6">
        <w:rPr>
          <w:rStyle w:val="CommentReference"/>
        </w:rPr>
        <w:tab/>
      </w:r>
      <w:r>
        <w:t>The exceptions single phase, single element manually read interval meter; single phase two element meter and three phase meter. All these have an X</w:t>
      </w:r>
      <w:r w:rsidRPr="008C57C6">
        <w:t xml:space="preserve"> factor of zero. </w:t>
      </w:r>
      <w:r w:rsidRPr="008C57C6">
        <w:rPr>
          <w:rStyle w:val="CommentReference"/>
        </w:rPr>
        <w:t>To be clear, labour escalators themselves are positive for each year of the regulatory control period. However, the labour escalators in this table are operating as de</w:t>
      </w:r>
      <w:r w:rsidR="00975569">
        <w:rPr>
          <w:rStyle w:val="CommentReference"/>
        </w:rPr>
        <w:t xml:space="preserve"> </w:t>
      </w:r>
      <w:r w:rsidRPr="008C57C6">
        <w:rPr>
          <w:rStyle w:val="CommentReference"/>
        </w:rPr>
        <w:t xml:space="preserve">facto X factors. Therefore, they are negative. </w:t>
      </w:r>
    </w:p>
    <w:p w:rsidR="0048035F" w:rsidRPr="0048035F" w:rsidRDefault="000D189C" w:rsidP="009055FC">
      <w:pPr>
        <w:pStyle w:val="ListParagraph"/>
        <w:numPr>
          <w:ilvl w:val="0"/>
          <w:numId w:val="24"/>
        </w:numPr>
      </w:pPr>
      <m:oMath>
        <m:sSubSup>
          <m:sSubSupPr>
            <m:ctrlPr>
              <w:rPr>
                <w:rStyle w:val="AERbody"/>
                <w:rFonts w:ascii="Cambria Math" w:hAnsi="Cambria Math"/>
              </w:rPr>
            </m:ctrlPr>
          </m:sSubSupPr>
          <m:e>
            <m:acc>
              <m:accPr>
                <m:chr m:val="̅"/>
                <m:ctrlPr>
                  <w:rPr>
                    <w:rStyle w:val="AERbody"/>
                    <w:rFonts w:ascii="Cambria Math" w:hAnsi="Cambria Math"/>
                  </w:rPr>
                </m:ctrlPr>
              </m:accPr>
              <m:e>
                <m:r>
                  <w:rPr>
                    <w:rStyle w:val="AERbody"/>
                    <w:rFonts w:ascii="Cambria Math" w:hAnsi="Cambria Math"/>
                  </w:rPr>
                  <m:t>p</m:t>
                </m:r>
              </m:e>
            </m:acc>
          </m:e>
          <m:sub>
            <m:r>
              <w:rPr>
                <w:rStyle w:val="AERbody"/>
                <w:rFonts w:ascii="Cambria Math" w:hAnsi="Cambria Math"/>
              </w:rPr>
              <m:t>i</m:t>
            </m:r>
          </m:sub>
          <m:sup>
            <m:r>
              <w:rPr>
                <w:rStyle w:val="AERbody"/>
                <w:rFonts w:ascii="Cambria Math" w:hAnsi="Cambria Math"/>
              </w:rPr>
              <m:t>t</m:t>
            </m:r>
          </m:sup>
        </m:sSubSup>
      </m:oMath>
      <w:r w:rsidR="00483983">
        <w:rPr>
          <w:rStyle w:val="AERbody"/>
        </w:rPr>
        <w:tab/>
      </w:r>
      <w:r w:rsidR="00483983">
        <w:rPr>
          <w:rStyle w:val="AERbody"/>
        </w:rPr>
        <w:tab/>
      </w:r>
      <w:r w:rsidR="0048035F" w:rsidRPr="0048035F">
        <w:t>is the cap on the price of service i in the first year of the subsequent regulatory control period. To be</w:t>
      </w:r>
      <w:r w:rsidR="00483983">
        <w:t xml:space="preserve"> decided in the final decision.</w:t>
      </w:r>
    </w:p>
    <w:p w:rsidR="004704F5" w:rsidRDefault="004704F5">
      <w:pPr>
        <w:spacing w:line="240" w:lineRule="auto"/>
        <w:rPr>
          <w:rFonts w:eastAsiaTheme="majorEastAsia" w:cstheme="majorBidi"/>
          <w:b/>
          <w:bCs/>
          <w:color w:val="70635A" w:themeColor="text2"/>
          <w:sz w:val="28"/>
        </w:rPr>
      </w:pPr>
      <w:r>
        <w:br w:type="page"/>
      </w:r>
    </w:p>
    <w:p w:rsidR="00483983" w:rsidRPr="00483983" w:rsidRDefault="00483983" w:rsidP="009055FC">
      <w:pPr>
        <w:pStyle w:val="HeadingBoldBlue"/>
        <w:numPr>
          <w:ilvl w:val="0"/>
          <w:numId w:val="24"/>
        </w:numPr>
      </w:pPr>
      <w:r w:rsidRPr="00585AF9">
        <w:lastRenderedPageBreak/>
        <w:t>Form of control</w:t>
      </w:r>
      <w:r w:rsidR="008866E7">
        <w:t>—</w:t>
      </w:r>
      <w:r w:rsidRPr="00585AF9">
        <w:t>quoted services</w:t>
      </w:r>
    </w:p>
    <w:p w:rsidR="00DC30A6" w:rsidRDefault="00DC30A6" w:rsidP="00F9188F">
      <w:r w:rsidRPr="00DC30A6">
        <w:t xml:space="preserve">ActewAGL proposes to set prices on a quoted basis for those ancillary services where the service is not typical or standard, or the scope of the service is specific </w:t>
      </w:r>
      <w:r>
        <w:t>to particular customers’ needs.</w:t>
      </w:r>
      <w:r>
        <w:rPr>
          <w:rStyle w:val="FootnoteReference"/>
        </w:rPr>
        <w:footnoteReference w:id="3"/>
      </w:r>
    </w:p>
    <w:p w:rsidR="00DC30A6" w:rsidRDefault="00F9188F" w:rsidP="00F9188F">
      <w:r w:rsidRPr="00F9188F">
        <w:t>We approve ActewAGL's proposed form of control for quoted services</w:t>
      </w:r>
      <w:r w:rsidR="0071414F">
        <w:t>.</w:t>
      </w:r>
      <w:r w:rsidR="0071414F">
        <w:rPr>
          <w:rStyle w:val="FootnoteReference"/>
        </w:rPr>
        <w:footnoteReference w:id="4"/>
      </w:r>
      <w:r w:rsidR="0071414F">
        <w:t xml:space="preserve"> </w:t>
      </w:r>
      <w:r w:rsidR="00DC30A6" w:rsidRPr="00DC30A6">
        <w:t xml:space="preserve">ActewAGL proposes to set prices for quoted services using the formula: </w:t>
      </w:r>
    </w:p>
    <w:p w:rsidR="00F22A2E" w:rsidRDefault="00F22A2E" w:rsidP="007B0799">
      <w:pPr>
        <w:pStyle w:val="Caption"/>
      </w:pPr>
      <w:bookmarkStart w:id="18" w:name="_Ref417487054"/>
      <w:r>
        <w:t xml:space="preserve">Figure </w:t>
      </w:r>
      <w:fldSimple w:instr=" STYLEREF 1 \s ">
        <w:r w:rsidR="004704F5">
          <w:rPr>
            <w:noProof/>
          </w:rPr>
          <w:t>16</w:t>
        </w:r>
      </w:fldSimple>
      <w:r>
        <w:t>.</w:t>
      </w:r>
      <w:r w:rsidR="000D189C">
        <w:fldChar w:fldCharType="begin"/>
      </w:r>
      <w:r w:rsidR="000D189C">
        <w:instrText xml:space="preserve"> SEQ Figure \* ARABIC \s 1 </w:instrText>
      </w:r>
      <w:r w:rsidR="000D189C">
        <w:fldChar w:fldCharType="separate"/>
      </w:r>
      <w:r w:rsidR="004704F5">
        <w:rPr>
          <w:noProof/>
        </w:rPr>
        <w:t>2</w:t>
      </w:r>
      <w:r w:rsidR="000D189C">
        <w:rPr>
          <w:noProof/>
        </w:rPr>
        <w:fldChar w:fldCharType="end"/>
      </w:r>
      <w:bookmarkEnd w:id="18"/>
      <w:r>
        <w:tab/>
        <w:t>Quoted services formula</w:t>
      </w:r>
    </w:p>
    <w:p w:rsidR="00F9188F" w:rsidRPr="00F9188F" w:rsidRDefault="00B852A8" w:rsidP="00F9188F">
      <m:oMathPara>
        <m:oMath>
          <m:r>
            <w:rPr>
              <w:rFonts w:ascii="Cambria Math" w:hAnsi="Cambria Math"/>
            </w:rPr>
            <m:t>Price=Labour+Contractor Services+Materials+Other Costs+Risk Margin</m:t>
          </m:r>
        </m:oMath>
      </m:oMathPara>
    </w:p>
    <w:p w:rsidR="00DC30A6" w:rsidRPr="00DC30A6" w:rsidRDefault="00F9188F" w:rsidP="00DC30A6">
      <w:r w:rsidRPr="00F9188F">
        <w:t xml:space="preserve">Where: </w:t>
      </w:r>
    </w:p>
    <w:p w:rsidR="00DC30A6" w:rsidRDefault="00DC30A6" w:rsidP="00DC30A6">
      <m:oMath>
        <m:r>
          <w:rPr>
            <w:rFonts w:ascii="Cambria Math" w:hAnsi="Cambria Math"/>
          </w:rPr>
          <m:t>Labour</m:t>
        </m:r>
      </m:oMath>
      <w:r w:rsidRPr="00DC30A6">
        <w:t xml:space="preserve"> (</w:t>
      </w:r>
      <w:r w:rsidR="008E5148">
        <w:t>i</w:t>
      </w:r>
      <w:r w:rsidR="008E5148" w:rsidRPr="00DC30A6">
        <w:t>ncluding</w:t>
      </w:r>
      <w:r>
        <w:t xml:space="preserve"> on costs and overheads) </w:t>
      </w:r>
      <w:r w:rsidRPr="00DC30A6">
        <w:t xml:space="preserve">consists of all labour costs directly incurred in the provision of the service which may include but is not limited to labour on costs, fleet on costs and overheads and other associated delivery costs including overheads. The labour cost for each service is dependent on the skill level and experience of the employee/s, time of day/week in which the service is undertaken, travel time, number of hours, number of site visits and crew size </w:t>
      </w:r>
      <w:r w:rsidR="003A7200">
        <w:t>required to perform the service.</w:t>
      </w:r>
      <w:r w:rsidR="003A7200" w:rsidRPr="003A7200">
        <w:t xml:space="preserve"> Labour is escalated annually by (1-X</w:t>
      </w:r>
      <w:r w:rsidR="003A7200" w:rsidRPr="003A7200">
        <w:rPr>
          <w:rStyle w:val="AERsubscript"/>
        </w:rPr>
        <w:t>t</w:t>
      </w:r>
      <w:r w:rsidR="003A7200" w:rsidRPr="003A7200">
        <w:t>)(1+</w:t>
      </w:r>
      <w:r w:rsidR="00E15AD0">
        <w:rPr>
          <w:rFonts w:cs="Arial"/>
        </w:rPr>
        <w:t>∆</w:t>
      </w:r>
      <w:r w:rsidR="003A7200" w:rsidRPr="003A7200">
        <w:t>CPI</w:t>
      </w:r>
      <w:r w:rsidR="003A7200" w:rsidRPr="003A7200">
        <w:rPr>
          <w:rStyle w:val="AERsubscript"/>
        </w:rPr>
        <w:t>t</w:t>
      </w:r>
      <w:r w:rsidR="003A7200" w:rsidRPr="003A7200">
        <w:t>)</w:t>
      </w:r>
      <w:r w:rsidR="003A7200">
        <w:t>.</w:t>
      </w:r>
      <w:r w:rsidR="00F22A2E">
        <w:rPr>
          <w:rStyle w:val="FootnoteReference"/>
        </w:rPr>
        <w:footnoteReference w:id="5"/>
      </w:r>
      <w:r w:rsidR="003A7200" w:rsidRPr="003A7200">
        <w:rPr>
          <w:rStyle w:val="AERsubscript"/>
        </w:rPr>
        <w:t xml:space="preserve">  </w:t>
      </w:r>
      <w:r w:rsidRPr="00DC30A6">
        <w:t xml:space="preserve"> </w:t>
      </w:r>
      <w:r w:rsidR="005569EC">
        <w:t xml:space="preserve"> </w:t>
      </w:r>
    </w:p>
    <w:p w:rsidR="005569EC" w:rsidRPr="005569EC" w:rsidRDefault="005569EC" w:rsidP="005569EC">
      <w:r w:rsidRPr="005569EC">
        <w:fldChar w:fldCharType="begin"/>
      </w:r>
      <w:r w:rsidRPr="005569EC">
        <w:instrText xml:space="preserve"> REF _Ref410638599 \h </w:instrText>
      </w:r>
      <w:r w:rsidRPr="005569EC">
        <w:fldChar w:fldCharType="separate"/>
      </w:r>
      <w:r w:rsidR="004704F5" w:rsidRPr="005569EC">
        <w:t xml:space="preserve">Table </w:t>
      </w:r>
      <w:r w:rsidR="004704F5">
        <w:rPr>
          <w:noProof/>
        </w:rPr>
        <w:t>16</w:t>
      </w:r>
      <w:r w:rsidR="004704F5">
        <w:t>.</w:t>
      </w:r>
      <w:r w:rsidR="004704F5">
        <w:rPr>
          <w:noProof/>
        </w:rPr>
        <w:t>3</w:t>
      </w:r>
      <w:r w:rsidRPr="005569EC">
        <w:fldChar w:fldCharType="end"/>
      </w:r>
      <w:r w:rsidRPr="005569EC">
        <w:t xml:space="preserve"> sets out the escalation rates for each year that can apply to the labour rates.</w:t>
      </w:r>
      <w:r w:rsidRPr="005569EC">
        <w:rPr>
          <w:rStyle w:val="FootnoteReference"/>
        </w:rPr>
        <w:footnoteReference w:id="6"/>
      </w:r>
    </w:p>
    <w:p w:rsidR="005569EC" w:rsidRPr="005569EC" w:rsidRDefault="005569EC" w:rsidP="005569EC">
      <w:pPr>
        <w:pStyle w:val="Caption"/>
      </w:pPr>
      <w:bookmarkStart w:id="19" w:name="_Ref410638599"/>
      <w:r w:rsidRPr="005569EC">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3</w:t>
      </w:r>
      <w:r w:rsidR="000D189C">
        <w:rPr>
          <w:noProof/>
        </w:rPr>
        <w:fldChar w:fldCharType="end"/>
      </w:r>
      <w:bookmarkEnd w:id="19"/>
      <w:r w:rsidRPr="005569EC">
        <w:tab/>
        <w:t>AER final decision on labour escalation factor to apply to maximum labour charge out rates for quoted services</w:t>
      </w:r>
    </w:p>
    <w:tbl>
      <w:tblPr>
        <w:tblStyle w:val="AERtable-numbers"/>
        <w:tblW w:w="0" w:type="auto"/>
        <w:tblLook w:val="04A0" w:firstRow="1" w:lastRow="0" w:firstColumn="1" w:lastColumn="0" w:noHBand="0" w:noVBand="1"/>
      </w:tblPr>
      <w:tblGrid>
        <w:gridCol w:w="1738"/>
        <w:gridCol w:w="1738"/>
        <w:gridCol w:w="1739"/>
        <w:gridCol w:w="1739"/>
        <w:gridCol w:w="1739"/>
      </w:tblGrid>
      <w:tr w:rsidR="005569EC" w:rsidTr="008E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Borders>
              <w:top w:val="nil"/>
              <w:left w:val="nil"/>
              <w:bottom w:val="nil"/>
              <w:right w:val="nil"/>
            </w:tcBorders>
          </w:tcPr>
          <w:p w:rsidR="005569EC" w:rsidRPr="005569EC" w:rsidRDefault="005569EC" w:rsidP="005569EC"/>
        </w:tc>
        <w:tc>
          <w:tcPr>
            <w:tcW w:w="1738"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2015–16</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2016–17</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2017–18</w:t>
            </w:r>
          </w:p>
        </w:tc>
        <w:tc>
          <w:tcPr>
            <w:tcW w:w="1739" w:type="dxa"/>
            <w:tcBorders>
              <w:top w:val="nil"/>
              <w:left w:val="nil"/>
              <w:bottom w:val="nil"/>
              <w:right w:val="nil"/>
            </w:tcBorders>
            <w:hideMark/>
          </w:tcPr>
          <w:p w:rsidR="005569EC" w:rsidRPr="005569EC" w:rsidRDefault="005569EC" w:rsidP="005569EC">
            <w:pPr>
              <w:cnfStyle w:val="100000000000" w:firstRow="1" w:lastRow="0" w:firstColumn="0" w:lastColumn="0" w:oddVBand="0" w:evenVBand="0" w:oddHBand="0" w:evenHBand="0" w:firstRowFirstColumn="0" w:firstRowLastColumn="0" w:lastRowFirstColumn="0" w:lastRowLastColumn="0"/>
            </w:pPr>
            <w:r w:rsidRPr="005569EC">
              <w:t>2018–19</w:t>
            </w:r>
          </w:p>
        </w:tc>
      </w:tr>
      <w:tr w:rsidR="005569EC" w:rsidTr="008E0101">
        <w:tc>
          <w:tcPr>
            <w:cnfStyle w:val="001000000000" w:firstRow="0" w:lastRow="0" w:firstColumn="1" w:lastColumn="0" w:oddVBand="0" w:evenVBand="0" w:oddHBand="0" w:evenHBand="0" w:firstRowFirstColumn="0" w:firstRowLastColumn="0" w:lastRowFirstColumn="0" w:lastRowLastColumn="0"/>
            <w:tcW w:w="1738" w:type="dxa"/>
            <w:tcBorders>
              <w:top w:val="nil"/>
              <w:left w:val="nil"/>
              <w:bottom w:val="single" w:sz="4" w:space="0" w:color="365F91"/>
              <w:right w:val="nil"/>
            </w:tcBorders>
            <w:hideMark/>
          </w:tcPr>
          <w:p w:rsidR="005569EC" w:rsidRPr="005569EC" w:rsidRDefault="005569EC" w:rsidP="005569EC">
            <w:r w:rsidRPr="005569EC">
              <w:t>X factor</w:t>
            </w:r>
          </w:p>
        </w:tc>
        <w:tc>
          <w:tcPr>
            <w:tcW w:w="1738"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–0.76</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–1.13</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–1.22</w:t>
            </w:r>
          </w:p>
        </w:tc>
        <w:tc>
          <w:tcPr>
            <w:tcW w:w="1739" w:type="dxa"/>
            <w:tcBorders>
              <w:top w:val="nil"/>
              <w:left w:val="nil"/>
              <w:bottom w:val="single" w:sz="4" w:space="0" w:color="365F91"/>
              <w:right w:val="nil"/>
            </w:tcBorders>
            <w:hideMark/>
          </w:tcPr>
          <w:p w:rsidR="005569EC" w:rsidRPr="005569EC" w:rsidRDefault="005569EC" w:rsidP="005569EC">
            <w:pPr>
              <w:cnfStyle w:val="000000000000" w:firstRow="0" w:lastRow="0" w:firstColumn="0" w:lastColumn="0" w:oddVBand="0" w:evenVBand="0" w:oddHBand="0" w:evenHBand="0" w:firstRowFirstColumn="0" w:firstRowLastColumn="0" w:lastRowFirstColumn="0" w:lastRowLastColumn="0"/>
            </w:pPr>
            <w:r w:rsidRPr="005569EC">
              <w:t>–1.22</w:t>
            </w:r>
          </w:p>
        </w:tc>
      </w:tr>
    </w:tbl>
    <w:p w:rsidR="008C57C6" w:rsidRPr="008C57C6" w:rsidRDefault="008C57C6" w:rsidP="008C57C6">
      <w:pPr>
        <w:pStyle w:val="AERtablesource"/>
        <w:rPr>
          <w:rStyle w:val="CommentReference"/>
        </w:rPr>
      </w:pPr>
      <w:r w:rsidRPr="008C57C6">
        <w:t xml:space="preserve">Source: </w:t>
      </w:r>
      <w:r w:rsidRPr="008C57C6">
        <w:tab/>
        <w:t xml:space="preserve">AER analysis. </w:t>
      </w:r>
    </w:p>
    <w:p w:rsidR="008C57C6" w:rsidRPr="0048035F" w:rsidRDefault="008C57C6" w:rsidP="008C57C6">
      <w:pPr>
        <w:pStyle w:val="AERtablesource"/>
      </w:pPr>
      <w:r w:rsidRPr="008C57C6">
        <w:rPr>
          <w:rStyle w:val="CommentReference"/>
        </w:rPr>
        <w:t>Note:</w:t>
      </w:r>
      <w:r w:rsidRPr="008C57C6">
        <w:rPr>
          <w:rStyle w:val="CommentReference"/>
        </w:rPr>
        <w:tab/>
      </w:r>
      <w:r>
        <w:t>The exceptions single phase, single element manually read interval meter; single phase two element meter and three phase meter. All these have an X</w:t>
      </w:r>
      <w:r w:rsidRPr="008C57C6">
        <w:t xml:space="preserve"> factor of zero. </w:t>
      </w:r>
      <w:r w:rsidRPr="008C57C6">
        <w:rPr>
          <w:rStyle w:val="CommentReference"/>
        </w:rPr>
        <w:t>To be clear, labour escalators themselves are positive for each year of the regulatory control period. However, the labour escalators in this table are operating as de</w:t>
      </w:r>
      <w:r w:rsidR="00975569">
        <w:rPr>
          <w:rStyle w:val="CommentReference"/>
        </w:rPr>
        <w:t xml:space="preserve"> </w:t>
      </w:r>
      <w:r w:rsidRPr="008C57C6">
        <w:rPr>
          <w:rStyle w:val="CommentReference"/>
        </w:rPr>
        <w:t xml:space="preserve">facto X factors. Therefore, they are negative. </w:t>
      </w:r>
    </w:p>
    <w:p w:rsidR="00DC30A6" w:rsidRPr="00DC30A6" w:rsidRDefault="00DC30A6" w:rsidP="00DC30A6">
      <m:oMath>
        <m:r>
          <w:rPr>
            <w:rFonts w:ascii="Cambria Math" w:hAnsi="Cambria Math"/>
          </w:rPr>
          <m:t>Contractor Services</m:t>
        </m:r>
      </m:oMath>
      <w:r w:rsidRPr="00DC30A6">
        <w:t xml:space="preserve"> </w:t>
      </w:r>
      <w:r>
        <w:t xml:space="preserve">(including overheads) </w:t>
      </w:r>
      <w:r w:rsidRPr="00DC30A6">
        <w:t xml:space="preserve">reflects all costs associated with the use of external labour in the provision of the service, including overheads and any direct costs incurred as part of performing the service. The contracted services charge applies the </w:t>
      </w:r>
      <w:r w:rsidRPr="00DC30A6">
        <w:lastRenderedPageBreak/>
        <w:t>rates under existing contractual arrangements. Direct costs incurred as part of performing the service, for example permits for road closures or footpath access, are passed on to the customer</w:t>
      </w:r>
      <w:r w:rsidR="003A7200">
        <w:t>.</w:t>
      </w:r>
      <w:r w:rsidR="003A7200" w:rsidRPr="003A7200">
        <w:t xml:space="preserve"> Contractor services are escalated annually by </w:t>
      </w:r>
      <w:r w:rsidR="00E15AD0" w:rsidRPr="00E15AD0">
        <w:t>∆</w:t>
      </w:r>
      <w:r w:rsidR="00E15AD0" w:rsidRPr="007E6E04">
        <w:t>CPI</w:t>
      </w:r>
      <w:r w:rsidR="003A7200">
        <w:t>.</w:t>
      </w:r>
      <w:r w:rsidRPr="00DC30A6">
        <w:t xml:space="preserve"> </w:t>
      </w:r>
    </w:p>
    <w:p w:rsidR="00DC30A6" w:rsidRPr="00DC30A6" w:rsidRDefault="00DC30A6" w:rsidP="00DC30A6">
      <m:oMath>
        <m:r>
          <w:rPr>
            <w:rFonts w:ascii="Cambria Math" w:hAnsi="Cambria Math"/>
          </w:rPr>
          <m:t>Materials</m:t>
        </m:r>
      </m:oMath>
      <w:r>
        <w:t xml:space="preserve"> (including overheads) </w:t>
      </w:r>
      <w:r w:rsidRPr="00DC30A6">
        <w:t>reflects the cost of materials directly incurred in the provision of the service, material storage and logistics on costs and overheads</w:t>
      </w:r>
      <w:r w:rsidR="003A7200">
        <w:t>.</w:t>
      </w:r>
      <w:r w:rsidR="003A7200" w:rsidRPr="003A7200">
        <w:t xml:space="preserve"> Materials are escalated annually </w:t>
      </w:r>
      <w:r w:rsidR="00E15AD0" w:rsidRPr="00E15AD0">
        <w:t>∆</w:t>
      </w:r>
      <w:r w:rsidR="00E15AD0" w:rsidRPr="007E6E04">
        <w:t>CPI</w:t>
      </w:r>
      <w:r w:rsidR="003A7200">
        <w:t>.</w:t>
      </w:r>
      <w:r w:rsidRPr="00DC30A6">
        <w:t xml:space="preserve"> </w:t>
      </w:r>
    </w:p>
    <w:p w:rsidR="00DC30A6" w:rsidRPr="00DC30A6" w:rsidRDefault="00DC30A6" w:rsidP="00DC30A6">
      <m:oMath>
        <m:r>
          <w:rPr>
            <w:rFonts w:ascii="Cambria Math" w:hAnsi="Cambria Math"/>
          </w:rPr>
          <m:t>Other Costs</m:t>
        </m:r>
      </m:oMath>
      <w:r>
        <w:t xml:space="preserve"> </w:t>
      </w:r>
      <w:r w:rsidRPr="00DC30A6">
        <w:t>consists of costs that arise due to special requirements of the job or services provided at above the least cost technically acceptable standard. This term is consistent with ActewAGL’s approved Connection Policy, under which the customer pays the full costs of special requirements or above standard services</w:t>
      </w:r>
      <w:r>
        <w:t>.</w:t>
      </w:r>
      <w:r>
        <w:rPr>
          <w:rStyle w:val="FootnoteReference"/>
        </w:rPr>
        <w:footnoteReference w:id="7"/>
      </w:r>
    </w:p>
    <w:p w:rsidR="00DC30A6" w:rsidRPr="00DC30A6" w:rsidRDefault="00DC30A6" w:rsidP="00DC30A6">
      <m:oMath>
        <m:r>
          <w:rPr>
            <w:rFonts w:ascii="Cambria Math" w:hAnsi="Cambria Math"/>
          </w:rPr>
          <m:t>Risk Margin</m:t>
        </m:r>
      </m:oMath>
      <w:r w:rsidRPr="00DC30A6">
        <w:t xml:space="preserve"> </w:t>
      </w:r>
      <w:r>
        <w:t xml:space="preserve">is the </w:t>
      </w:r>
      <w:r w:rsidRPr="00DC30A6">
        <w:t>margin agreed with the customer to reflect the risks associated with the project. This will generally only apply to large scale projects, such as relocation or removal of major network assets at the request of a customer. The application of this margin represents a continuation of the approach that has applied under the ACT Capital Contributions Code, whereby a “reasonable profit margin” can be charged for relocations, removals and redevelopments.</w:t>
      </w:r>
      <w:r>
        <w:rPr>
          <w:rStyle w:val="FootnoteReference"/>
        </w:rPr>
        <w:footnoteReference w:id="8"/>
      </w:r>
      <w:r w:rsidRPr="00DC30A6">
        <w:t xml:space="preserve"> </w:t>
      </w:r>
    </w:p>
    <w:p w:rsidR="00CF5FD6" w:rsidRPr="00CF5FD6" w:rsidRDefault="00CF5FD6" w:rsidP="00CF5FD6">
      <w:pPr>
        <w:pStyle w:val="Heading3"/>
      </w:pPr>
      <w:bookmarkStart w:id="20" w:name="_Toc418078031"/>
      <w:r w:rsidRPr="00CF5FD6">
        <w:t>ActewAGL’s revised proposal</w:t>
      </w:r>
      <w:bookmarkEnd w:id="20"/>
    </w:p>
    <w:p w:rsidR="00CF5FD6" w:rsidRPr="00CF5FD6" w:rsidRDefault="00CF5FD6" w:rsidP="000C4BE8">
      <w:pPr>
        <w:pStyle w:val="AERbulletlistfirststyle"/>
        <w:numPr>
          <w:ilvl w:val="0"/>
          <w:numId w:val="0"/>
        </w:numPr>
      </w:pPr>
      <w:r w:rsidRPr="00CF5FD6">
        <w:t>ActewAGL propose</w:t>
      </w:r>
      <w:r w:rsidR="00B2185A">
        <w:t>d</w:t>
      </w:r>
      <w:r w:rsidRPr="00CF5FD6">
        <w:t xml:space="preserve"> that we should approve the </w:t>
      </w:r>
      <w:r w:rsidR="00AD00D9">
        <w:t xml:space="preserve">labour </w:t>
      </w:r>
      <w:r w:rsidRPr="00CF5FD6">
        <w:t>rates for office support delivery and senior technical officer set out in its initial regulatory proposal.</w:t>
      </w:r>
      <w:r w:rsidRPr="00CF5FD6">
        <w:rPr>
          <w:rStyle w:val="FootnoteReference"/>
        </w:rPr>
        <w:footnoteReference w:id="9"/>
      </w:r>
      <w:r w:rsidRPr="00CF5FD6">
        <w:t xml:space="preserve"> Our consultant, Marsden Jacob</w:t>
      </w:r>
      <w:r w:rsidR="00DB56E5">
        <w:t xml:space="preserve"> Associates</w:t>
      </w:r>
      <w:r w:rsidRPr="00CF5FD6">
        <w:t xml:space="preserve">, calculated benchmark rates which we </w:t>
      </w:r>
      <w:r w:rsidR="00DB56E5">
        <w:t>included</w:t>
      </w:r>
      <w:r w:rsidR="00F35C00">
        <w:t xml:space="preserve"> in our draft decision</w:t>
      </w:r>
      <w:r w:rsidRPr="00CF5FD6">
        <w:t>. ActewAGL submit</w:t>
      </w:r>
      <w:r w:rsidR="00AD00D9">
        <w:t>ted</w:t>
      </w:r>
      <w:r w:rsidRPr="00CF5FD6">
        <w:t xml:space="preserve"> that the draft decision does not explain the methodology adopted by Marsden Jacob.</w:t>
      </w:r>
      <w:r w:rsidRPr="00CF5FD6">
        <w:rPr>
          <w:rStyle w:val="FootnoteReference"/>
        </w:rPr>
        <w:footnoteReference w:id="10"/>
      </w:r>
      <w:r w:rsidRPr="00CF5FD6">
        <w:t xml:space="preserve"> </w:t>
      </w:r>
    </w:p>
    <w:p w:rsidR="008866E7" w:rsidRPr="00CF5FD6" w:rsidRDefault="00CF5FD6" w:rsidP="007B0799">
      <w:r w:rsidRPr="00CF5FD6">
        <w:t xml:space="preserve">ActewAGL </w:t>
      </w:r>
      <w:r w:rsidR="00AD00D9">
        <w:t>submitted</w:t>
      </w:r>
      <w:r w:rsidRPr="00CF5FD6">
        <w:t xml:space="preserve"> that its proposed labour rates for ancillary network services are efficient. ActewAGL has updated these labour rates using its revised labour </w:t>
      </w:r>
      <w:r w:rsidR="00DB56E5">
        <w:t>price</w:t>
      </w:r>
      <w:r w:rsidRPr="00CF5FD6">
        <w:t xml:space="preserve"> escalators</w:t>
      </w:r>
      <w:r w:rsidR="00BB5F0E" w:rsidRPr="007B0799">
        <w:t xml:space="preserve"> </w:t>
      </w:r>
      <w:r w:rsidR="00F43265">
        <w:t>(</w:t>
      </w:r>
      <w:r w:rsidR="003C5DFD">
        <w:t xml:space="preserve">Attachment </w:t>
      </w:r>
      <w:r w:rsidR="00F43265">
        <w:t>7)</w:t>
      </w:r>
      <w:r w:rsidR="00BB5F0E" w:rsidRPr="007B0799">
        <w:t>.</w:t>
      </w:r>
      <w:r w:rsidRPr="007B0799">
        <w:t xml:space="preserve"> </w:t>
      </w:r>
      <w:r w:rsidRPr="00CF5FD6">
        <w:t xml:space="preserve">ActewAGL's revised proposed labour rates are shown in </w:t>
      </w:r>
      <w:r w:rsidRPr="00CF5FD6">
        <w:fldChar w:fldCharType="begin"/>
      </w:r>
      <w:r w:rsidRPr="00CF5FD6">
        <w:instrText xml:space="preserve"> REF _Ref411262807 \h </w:instrText>
      </w:r>
      <w:r w:rsidRPr="00CF5FD6">
        <w:fldChar w:fldCharType="separate"/>
      </w:r>
      <w:r w:rsidR="004704F5" w:rsidRPr="00CF5FD6">
        <w:t xml:space="preserve">Table </w:t>
      </w:r>
      <w:r w:rsidR="004704F5">
        <w:rPr>
          <w:noProof/>
        </w:rPr>
        <w:t>16</w:t>
      </w:r>
      <w:r w:rsidR="004704F5">
        <w:t>.</w:t>
      </w:r>
      <w:r w:rsidR="004704F5">
        <w:rPr>
          <w:noProof/>
        </w:rPr>
        <w:t>4</w:t>
      </w:r>
      <w:r w:rsidRPr="00CF5FD6">
        <w:fldChar w:fldCharType="end"/>
      </w:r>
      <w:r w:rsidRPr="00CF5FD6">
        <w:t>.</w:t>
      </w:r>
    </w:p>
    <w:p w:rsidR="00AD00D9" w:rsidRDefault="00CF5FD6" w:rsidP="006E1299">
      <w:pPr>
        <w:pStyle w:val="Caption"/>
      </w:pPr>
      <w:bookmarkStart w:id="21" w:name="_Ref411262807"/>
      <w:r w:rsidRPr="00CF5FD6">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4</w:t>
      </w:r>
      <w:r w:rsidR="000D189C">
        <w:rPr>
          <w:noProof/>
        </w:rPr>
        <w:fldChar w:fldCharType="end"/>
      </w:r>
      <w:bookmarkEnd w:id="21"/>
      <w:r w:rsidRPr="00CF5FD6">
        <w:t>: Proposed labour rates</w:t>
      </w:r>
      <w:r w:rsidR="002C02A8">
        <w:t xml:space="preserve"> (including on costs)</w:t>
      </w:r>
      <w:r w:rsidRPr="00CF5FD6">
        <w:t xml:space="preserve"> for fee based and quoted services (</w:t>
      </w:r>
      <w:r w:rsidR="00066F62">
        <w:t xml:space="preserve">$ per hour, </w:t>
      </w:r>
      <w:r w:rsidRPr="00CF5FD6">
        <w:t>$2014–15)</w:t>
      </w:r>
    </w:p>
    <w:tbl>
      <w:tblPr>
        <w:tblStyle w:val="AERtable-numbers"/>
        <w:tblW w:w="0" w:type="auto"/>
        <w:tblLook w:val="04A0" w:firstRow="1" w:lastRow="0" w:firstColumn="1" w:lastColumn="0" w:noHBand="0" w:noVBand="1"/>
      </w:tblPr>
      <w:tblGrid>
        <w:gridCol w:w="4283"/>
        <w:gridCol w:w="882"/>
        <w:gridCol w:w="882"/>
        <w:gridCol w:w="882"/>
        <w:gridCol w:w="882"/>
        <w:gridCol w:w="882"/>
      </w:tblGrid>
      <w:tr w:rsidR="006E1299" w:rsidRPr="00F91441" w:rsidTr="0084368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F91441">
            <w:r w:rsidRPr="00F91441">
              <w:t>Classification</w:t>
            </w:r>
          </w:p>
        </w:tc>
        <w:tc>
          <w:tcPr>
            <w:tcW w:w="960" w:type="dxa"/>
            <w:noWrap/>
            <w:hideMark/>
          </w:tcPr>
          <w:p w:rsidR="006E1299" w:rsidRPr="00662C26" w:rsidRDefault="006E1299" w:rsidP="00662C26">
            <w:pPr>
              <w:cnfStyle w:val="100000000000" w:firstRow="1" w:lastRow="0" w:firstColumn="0" w:lastColumn="0" w:oddVBand="0" w:evenVBand="0" w:oddHBand="0" w:evenHBand="0" w:firstRowFirstColumn="0" w:firstRowLastColumn="0" w:lastRowFirstColumn="0" w:lastRowLastColumn="0"/>
            </w:pPr>
            <w:r w:rsidRPr="00662C26">
              <w:t>2014–15</w:t>
            </w:r>
          </w:p>
        </w:tc>
        <w:tc>
          <w:tcPr>
            <w:tcW w:w="960" w:type="dxa"/>
            <w:noWrap/>
            <w:hideMark/>
          </w:tcPr>
          <w:p w:rsidR="006E1299" w:rsidRPr="00662C26" w:rsidRDefault="006E1299" w:rsidP="00662C26">
            <w:pPr>
              <w:cnfStyle w:val="100000000000" w:firstRow="1" w:lastRow="0" w:firstColumn="0" w:lastColumn="0" w:oddVBand="0" w:evenVBand="0" w:oddHBand="0" w:evenHBand="0" w:firstRowFirstColumn="0" w:firstRowLastColumn="0" w:lastRowFirstColumn="0" w:lastRowLastColumn="0"/>
            </w:pPr>
            <w:r w:rsidRPr="00662C26">
              <w:t>2015–16</w:t>
            </w:r>
          </w:p>
        </w:tc>
        <w:tc>
          <w:tcPr>
            <w:tcW w:w="960" w:type="dxa"/>
            <w:noWrap/>
            <w:hideMark/>
          </w:tcPr>
          <w:p w:rsidR="006E1299" w:rsidRPr="00073233" w:rsidRDefault="006E1299" w:rsidP="00662C26">
            <w:pPr>
              <w:cnfStyle w:val="100000000000" w:firstRow="1" w:lastRow="0" w:firstColumn="0" w:lastColumn="0" w:oddVBand="0" w:evenVBand="0" w:oddHBand="0" w:evenHBand="0" w:firstRowFirstColumn="0" w:firstRowLastColumn="0" w:lastRowFirstColumn="0" w:lastRowLastColumn="0"/>
            </w:pPr>
            <w:r w:rsidRPr="00073233">
              <w:t>2016–17</w:t>
            </w:r>
          </w:p>
        </w:tc>
        <w:tc>
          <w:tcPr>
            <w:tcW w:w="960" w:type="dxa"/>
            <w:noWrap/>
            <w:hideMark/>
          </w:tcPr>
          <w:p w:rsidR="006E1299" w:rsidRPr="00073233" w:rsidRDefault="006E1299" w:rsidP="00073233">
            <w:pPr>
              <w:cnfStyle w:val="100000000000" w:firstRow="1" w:lastRow="0" w:firstColumn="0" w:lastColumn="0" w:oddVBand="0" w:evenVBand="0" w:oddHBand="0" w:evenHBand="0" w:firstRowFirstColumn="0" w:firstRowLastColumn="0" w:lastRowFirstColumn="0" w:lastRowLastColumn="0"/>
            </w:pPr>
            <w:r w:rsidRPr="00073233">
              <w:t>2017–18</w:t>
            </w:r>
          </w:p>
        </w:tc>
        <w:tc>
          <w:tcPr>
            <w:tcW w:w="960" w:type="dxa"/>
            <w:noWrap/>
            <w:hideMark/>
          </w:tcPr>
          <w:p w:rsidR="006E1299" w:rsidRPr="00073233" w:rsidRDefault="006E1299" w:rsidP="00073233">
            <w:pPr>
              <w:cnfStyle w:val="100000000000" w:firstRow="1" w:lastRow="0" w:firstColumn="0" w:lastColumn="0" w:oddVBand="0" w:evenVBand="0" w:oddHBand="0" w:evenHBand="0" w:firstRowFirstColumn="0" w:firstRowLastColumn="0" w:lastRowFirstColumn="0" w:lastRowLastColumn="0"/>
            </w:pPr>
            <w:r w:rsidRPr="00073233">
              <w:t>2018–19</w:t>
            </w:r>
          </w:p>
        </w:tc>
      </w:tr>
      <w:tr w:rsidR="006E1299" w:rsidRPr="00F91441" w:rsidTr="0084368C">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t>Electrical worker</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85.11</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86.24</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87.73</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89.05</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90.36</w:t>
            </w:r>
          </w:p>
        </w:tc>
      </w:tr>
      <w:tr w:rsidR="006E1299" w:rsidRPr="00F91441" w:rsidTr="008436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t>Electrical worker—labourer</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69.52</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70.44</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71.65</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72.74</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73.8</w:t>
            </w:r>
          </w:p>
        </w:tc>
      </w:tr>
      <w:tr w:rsidR="006E1299" w:rsidRPr="00F91441" w:rsidTr="0084368C">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lastRenderedPageBreak/>
              <w:t>Electrical apprentice</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63.88</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64.73</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65.85</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66.84</w:t>
            </w:r>
          </w:p>
        </w:tc>
        <w:tc>
          <w:tcPr>
            <w:tcW w:w="960" w:type="dxa"/>
            <w:noWrap/>
            <w:hideMark/>
          </w:tcPr>
          <w:p w:rsidR="006E1299" w:rsidRPr="007C3BA8" w:rsidRDefault="006E1299" w:rsidP="0084368C">
            <w:pPr>
              <w:cnfStyle w:val="000000000000" w:firstRow="0" w:lastRow="0" w:firstColumn="0" w:lastColumn="0" w:oddVBand="0" w:evenVBand="0" w:oddHBand="0" w:evenHBand="0" w:firstRowFirstColumn="0" w:firstRowLastColumn="0" w:lastRowFirstColumn="0" w:lastRowLastColumn="0"/>
            </w:pPr>
            <w:r w:rsidRPr="007C3BA8">
              <w:t>67.82</w:t>
            </w:r>
          </w:p>
        </w:tc>
      </w:tr>
      <w:tr w:rsidR="006E1299" w:rsidRPr="00F91441" w:rsidTr="008436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t>Office support service delivery</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81.31</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82.39</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83.81</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85.08</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86.32</w:t>
            </w:r>
          </w:p>
        </w:tc>
      </w:tr>
      <w:tr w:rsidR="006E1299" w:rsidRPr="00F91441" w:rsidTr="0084368C">
        <w:trPr>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t>Project officer design section</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100.22</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101.56</w:t>
            </w:r>
          </w:p>
        </w:tc>
        <w:tc>
          <w:tcPr>
            <w:tcW w:w="960" w:type="dxa"/>
            <w:noWrap/>
            <w:hideMark/>
          </w:tcPr>
          <w:p w:rsidR="006E1299" w:rsidRPr="00662C26" w:rsidRDefault="006E1299" w:rsidP="0084368C">
            <w:pPr>
              <w:cnfStyle w:val="000000000000" w:firstRow="0" w:lastRow="0" w:firstColumn="0" w:lastColumn="0" w:oddVBand="0" w:evenVBand="0" w:oddHBand="0" w:evenHBand="0" w:firstRowFirstColumn="0" w:firstRowLastColumn="0" w:lastRowFirstColumn="0" w:lastRowLastColumn="0"/>
            </w:pPr>
            <w:r w:rsidRPr="00662C26">
              <w:t>103.31</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104.87</w:t>
            </w:r>
          </w:p>
        </w:tc>
        <w:tc>
          <w:tcPr>
            <w:tcW w:w="960" w:type="dxa"/>
            <w:noWrap/>
            <w:hideMark/>
          </w:tcPr>
          <w:p w:rsidR="006E1299" w:rsidRPr="00073233" w:rsidRDefault="006E1299" w:rsidP="0084368C">
            <w:pPr>
              <w:cnfStyle w:val="000000000000" w:firstRow="0" w:lastRow="0" w:firstColumn="0" w:lastColumn="0" w:oddVBand="0" w:evenVBand="0" w:oddHBand="0" w:evenHBand="0" w:firstRowFirstColumn="0" w:firstRowLastColumn="0" w:lastRowFirstColumn="0" w:lastRowLastColumn="0"/>
            </w:pPr>
            <w:r w:rsidRPr="00073233">
              <w:t>106.41</w:t>
            </w:r>
          </w:p>
        </w:tc>
      </w:tr>
      <w:tr w:rsidR="006E1299" w:rsidRPr="00F91441" w:rsidTr="008436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0" w:type="dxa"/>
            <w:noWrap/>
            <w:hideMark/>
          </w:tcPr>
          <w:p w:rsidR="006E1299" w:rsidRPr="00F91441" w:rsidRDefault="006E1299" w:rsidP="0084368C">
            <w:r w:rsidRPr="00F91441">
              <w:t>Senior technical officer / Engineer design section</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137.72</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139.56</w:t>
            </w:r>
          </w:p>
        </w:tc>
        <w:tc>
          <w:tcPr>
            <w:tcW w:w="960" w:type="dxa"/>
            <w:noWrap/>
            <w:hideMark/>
          </w:tcPr>
          <w:p w:rsidR="006E1299" w:rsidRPr="00662C26" w:rsidRDefault="006E1299" w:rsidP="0084368C">
            <w:pPr>
              <w:cnfStyle w:val="000000010000" w:firstRow="0" w:lastRow="0" w:firstColumn="0" w:lastColumn="0" w:oddVBand="0" w:evenVBand="0" w:oddHBand="0" w:evenHBand="1" w:firstRowFirstColumn="0" w:firstRowLastColumn="0" w:lastRowFirstColumn="0" w:lastRowLastColumn="0"/>
            </w:pPr>
            <w:r w:rsidRPr="00662C26">
              <w:t>141.96</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144.11</w:t>
            </w:r>
          </w:p>
        </w:tc>
        <w:tc>
          <w:tcPr>
            <w:tcW w:w="960" w:type="dxa"/>
            <w:noWrap/>
            <w:hideMark/>
          </w:tcPr>
          <w:p w:rsidR="006E1299" w:rsidRPr="00073233" w:rsidRDefault="006E1299" w:rsidP="0084368C">
            <w:pPr>
              <w:cnfStyle w:val="000000010000" w:firstRow="0" w:lastRow="0" w:firstColumn="0" w:lastColumn="0" w:oddVBand="0" w:evenVBand="0" w:oddHBand="0" w:evenHBand="1" w:firstRowFirstColumn="0" w:firstRowLastColumn="0" w:lastRowFirstColumn="0" w:lastRowLastColumn="0"/>
            </w:pPr>
            <w:r w:rsidRPr="00073233">
              <w:t>146.22</w:t>
            </w:r>
          </w:p>
        </w:tc>
      </w:tr>
    </w:tbl>
    <w:p w:rsidR="00CF5FD6" w:rsidRDefault="00987FF1" w:rsidP="00987FF1">
      <w:pPr>
        <w:pStyle w:val="AERtablesource"/>
      </w:pPr>
      <w:r>
        <w:t xml:space="preserve">Source: ActewAGL, </w:t>
      </w:r>
      <w:r w:rsidRPr="00987FF1">
        <w:rPr>
          <w:rStyle w:val="AERtextitalic"/>
        </w:rPr>
        <w:t>Revised regulatory proposal</w:t>
      </w:r>
      <w:r>
        <w:t>, January 2015, p.679.</w:t>
      </w:r>
    </w:p>
    <w:p w:rsidR="008866E7" w:rsidRPr="00CF5FD6" w:rsidRDefault="008866E7" w:rsidP="000C4BE8">
      <w:pPr>
        <w:pStyle w:val="AERbulletlistfirststyle"/>
        <w:numPr>
          <w:ilvl w:val="0"/>
          <w:numId w:val="0"/>
        </w:numPr>
      </w:pPr>
      <w:r w:rsidRPr="00CF5FD6">
        <w:t xml:space="preserve">ActewAGL </w:t>
      </w:r>
      <w:r>
        <w:t>also submitted</w:t>
      </w:r>
      <w:r w:rsidRPr="00CF5FD6">
        <w:t xml:space="preserve"> that</w:t>
      </w:r>
      <w:r>
        <w:t xml:space="preserve"> because of our draft decision, it was no longer </w:t>
      </w:r>
      <w:r w:rsidR="00DB56E5">
        <w:t xml:space="preserve">possible </w:t>
      </w:r>
      <w:r>
        <w:t xml:space="preserve">for it to charge a fee for </w:t>
      </w:r>
      <w:r w:rsidRPr="00CF5FD6">
        <w:t>'new underground service connection—greenfield and greenfield metering only' services</w:t>
      </w:r>
      <w:r w:rsidR="00DB56E5">
        <w:t>.</w:t>
      </w:r>
      <w:r w:rsidRPr="00CF5FD6">
        <w:t xml:space="preserve"> </w:t>
      </w:r>
      <w:r>
        <w:t>It submitted that imposing</w:t>
      </w:r>
      <w:r w:rsidR="00DB56E5">
        <w:t xml:space="preserve"> a fee for this type </w:t>
      </w:r>
      <w:r>
        <w:t>o</w:t>
      </w:r>
      <w:r w:rsidR="00DB56E5">
        <w:t>f</w:t>
      </w:r>
      <w:r>
        <w:t xml:space="preserve"> service</w:t>
      </w:r>
      <w:r w:rsidRPr="00CF5FD6">
        <w:t xml:space="preserve"> would be inconsistent with its connection policy.</w:t>
      </w:r>
      <w:r w:rsidRPr="00CF5FD6">
        <w:rPr>
          <w:rStyle w:val="FootnoteReference"/>
        </w:rPr>
        <w:footnoteReference w:id="11"/>
      </w:r>
      <w:r w:rsidRPr="00CF5FD6">
        <w:t xml:space="preserve"> </w:t>
      </w:r>
      <w:r>
        <w:t xml:space="preserve">Therefore, </w:t>
      </w:r>
      <w:r w:rsidRPr="00CF5FD6">
        <w:t>ActewAGL propose</w:t>
      </w:r>
      <w:r>
        <w:t>d</w:t>
      </w:r>
      <w:r w:rsidRPr="00CF5FD6">
        <w:t xml:space="preserve"> to remove the following ancillary network service charges:</w:t>
      </w:r>
    </w:p>
    <w:p w:rsidR="008866E7" w:rsidRPr="00CF5FD6" w:rsidRDefault="008866E7" w:rsidP="000C4BE8">
      <w:pPr>
        <w:pStyle w:val="AERbulletlistfirststyle"/>
      </w:pPr>
      <w:r w:rsidRPr="00CF5FD6">
        <w:t>New underground service connection—greenfield cable only</w:t>
      </w:r>
    </w:p>
    <w:p w:rsidR="008866E7" w:rsidRPr="00CF5FD6" w:rsidRDefault="008866E7" w:rsidP="000C4BE8">
      <w:pPr>
        <w:pStyle w:val="AERbulletlistfirststyle"/>
      </w:pPr>
      <w:r w:rsidRPr="00CF5FD6">
        <w:t>New underground service connection—greenfield metering only</w:t>
      </w:r>
    </w:p>
    <w:p w:rsidR="00CF5FD6" w:rsidRPr="00CF5FD6" w:rsidRDefault="00CF5FD6" w:rsidP="00CF5FD6">
      <w:pPr>
        <w:pStyle w:val="Heading3"/>
      </w:pPr>
      <w:bookmarkStart w:id="22" w:name="_Ref416122671"/>
      <w:bookmarkStart w:id="23" w:name="_Toc418078032"/>
      <w:r w:rsidRPr="00CF5FD6">
        <w:t>Assessment approach</w:t>
      </w:r>
      <w:bookmarkEnd w:id="22"/>
      <w:bookmarkEnd w:id="23"/>
    </w:p>
    <w:p w:rsidR="001B6D7A" w:rsidRDefault="001B6D7A" w:rsidP="001B6D7A">
      <w:r>
        <w:t>This final decision continues to adopt the</w:t>
      </w:r>
      <w:r w:rsidRPr="00EF37CD">
        <w:t xml:space="preserve"> draft </w:t>
      </w:r>
      <w:r>
        <w:t>decision</w:t>
      </w:r>
      <w:r w:rsidRPr="00EF37CD">
        <w:t xml:space="preserve"> approach</w:t>
      </w:r>
      <w:r>
        <w:t xml:space="preserve"> of focussing </w:t>
      </w:r>
      <w:r w:rsidRPr="00EF37CD">
        <w:t>on the key inputs in determining prices for ancillary network services.</w:t>
      </w:r>
      <w:r>
        <w:t xml:space="preserve"> </w:t>
      </w:r>
      <w:r w:rsidRPr="00EF37CD">
        <w:t>We considered:</w:t>
      </w:r>
    </w:p>
    <w:p w:rsidR="004B7177" w:rsidRDefault="004B7177" w:rsidP="004B7177">
      <w:pPr>
        <w:pStyle w:val="AERbulletlistfirststyle"/>
      </w:pPr>
      <w:r>
        <w:t>ActewAGL's revised proposal.</w:t>
      </w:r>
      <w:r w:rsidR="006D4052">
        <w:rPr>
          <w:rStyle w:val="FootnoteReference"/>
        </w:rPr>
        <w:footnoteReference w:id="12"/>
      </w:r>
    </w:p>
    <w:p w:rsidR="007939D2" w:rsidRDefault="007564DA" w:rsidP="0078010E">
      <w:pPr>
        <w:pStyle w:val="AERbulletlistfirststyle"/>
      </w:pPr>
      <w:r>
        <w:t xml:space="preserve">Marsden Jacob's analysis of </w:t>
      </w:r>
      <w:r w:rsidRPr="007564DA">
        <w:t xml:space="preserve">ancillary network services, including recommended maximum </w:t>
      </w:r>
      <w:r w:rsidR="00F35C00">
        <w:t xml:space="preserve">total </w:t>
      </w:r>
      <w:r w:rsidRPr="007564DA">
        <w:t>labour rates</w:t>
      </w:r>
      <w:r w:rsidR="00FD75F4">
        <w:t xml:space="preserve"> for </w:t>
      </w:r>
      <w:r w:rsidR="001C6BB1">
        <w:t>NSW</w:t>
      </w:r>
      <w:r w:rsidR="00D359CD">
        <w:t xml:space="preserve"> and the ACT</w:t>
      </w:r>
      <w:r w:rsidR="004B7177">
        <w:t>.</w:t>
      </w:r>
    </w:p>
    <w:p w:rsidR="001B6D7A" w:rsidRDefault="001B6D7A" w:rsidP="001B6D7A">
      <w:r>
        <w:t>As with the draft decision, we consider labour is the key input</w:t>
      </w:r>
      <w:r w:rsidRPr="00C10437">
        <w:t xml:space="preserve"> in determining an efficient level of fees for ancillary network services</w:t>
      </w:r>
      <w:r>
        <w:t xml:space="preserve">. We focused on </w:t>
      </w:r>
      <w:r w:rsidRPr="005C155A">
        <w:t xml:space="preserve">comparing </w:t>
      </w:r>
      <w:r>
        <w:t xml:space="preserve">ActewAGL's proposed total labour rates against maximum total labour rates </w:t>
      </w:r>
      <w:r w:rsidR="00FD75F4">
        <w:t xml:space="preserve">for </w:t>
      </w:r>
      <w:r w:rsidR="001C6BB1">
        <w:t>NSW</w:t>
      </w:r>
      <w:r w:rsidR="00FD75F4">
        <w:t xml:space="preserve"> </w:t>
      </w:r>
      <w:r>
        <w:t>that Marsden Jacob developed.</w:t>
      </w:r>
      <w:r w:rsidRPr="00C10437">
        <w:t xml:space="preserve"> </w:t>
      </w:r>
      <w:r>
        <w:t>In this final decision, 't</w:t>
      </w:r>
      <w:r w:rsidRPr="00207E1E">
        <w:t>otal</w:t>
      </w:r>
      <w:r>
        <w:t xml:space="preserve"> labour rates' comprise raw labour rates, on-costs, and</w:t>
      </w:r>
      <w:r w:rsidRPr="00C10437">
        <w:t xml:space="preserve"> </w:t>
      </w:r>
      <w:r>
        <w:t xml:space="preserve">overheads. </w:t>
      </w:r>
    </w:p>
    <w:p w:rsidR="00FD75F4" w:rsidRDefault="001B6D7A" w:rsidP="000C4BE8">
      <w:pPr>
        <w:pStyle w:val="AERbulletlistfirststyle"/>
        <w:numPr>
          <w:ilvl w:val="0"/>
          <w:numId w:val="0"/>
        </w:numPr>
      </w:pPr>
      <w:r>
        <w:t>Our final decision maximum total labour rates apply the following labour components</w:t>
      </w:r>
      <w:r w:rsidRPr="00C10437">
        <w:t xml:space="preserve"> </w:t>
      </w:r>
      <w:r>
        <w:t>to arrive at a maximum total labour rat</w:t>
      </w:r>
      <w:r w:rsidR="00DB56E5">
        <w:t>e (for particular labour types):</w:t>
      </w:r>
      <w:r w:rsidRPr="00C10437">
        <w:t xml:space="preserve"> </w:t>
      </w:r>
    </w:p>
    <w:p w:rsidR="007939D2" w:rsidRDefault="007939D2" w:rsidP="00FD75F4">
      <w:pPr>
        <w:pStyle w:val="AERbulletlistfirststyle"/>
      </w:pPr>
      <w:r>
        <w:t>a maximum raw labour rate,</w:t>
      </w:r>
    </w:p>
    <w:p w:rsidR="007939D2" w:rsidRDefault="007939D2" w:rsidP="007939D2">
      <w:pPr>
        <w:pStyle w:val="AERbulletlistfirststyle"/>
      </w:pPr>
      <w:r>
        <w:t>a maximum on cost rate, and</w:t>
      </w:r>
    </w:p>
    <w:p w:rsidR="007939D2" w:rsidRDefault="007939D2" w:rsidP="007939D2">
      <w:pPr>
        <w:pStyle w:val="AERbulletlistfirststyle"/>
      </w:pPr>
      <w:r>
        <w:t>a maximum overhead rate</w:t>
      </w:r>
    </w:p>
    <w:p w:rsidR="007939D2" w:rsidRDefault="007939D2" w:rsidP="007939D2">
      <w:pPr>
        <w:pStyle w:val="AERbulletlistfirststyle"/>
        <w:numPr>
          <w:ilvl w:val="0"/>
          <w:numId w:val="0"/>
        </w:numPr>
      </w:pPr>
      <w:r>
        <w:t>to arrive at a maximum total labour rate (for that labour type).</w:t>
      </w:r>
    </w:p>
    <w:p w:rsidR="00FD75F4" w:rsidRDefault="001B6D7A" w:rsidP="00FD75F4">
      <w:r w:rsidRPr="004F1509">
        <w:t xml:space="preserve">As we explain in more detail in section </w:t>
      </w:r>
      <w:r>
        <w:fldChar w:fldCharType="begin"/>
      </w:r>
      <w:r>
        <w:instrText xml:space="preserve"> REF _Ref416120538 \r \h </w:instrText>
      </w:r>
      <w:r>
        <w:fldChar w:fldCharType="separate"/>
      </w:r>
      <w:r w:rsidR="004704F5">
        <w:t>16.1.4</w:t>
      </w:r>
      <w:r>
        <w:fldChar w:fldCharType="end"/>
      </w:r>
      <w:r w:rsidRPr="004F1509">
        <w:t xml:space="preserve">, </w:t>
      </w:r>
      <w:r>
        <w:t xml:space="preserve">Marsden Jacob obtained ranges (that is, minimum rates and maximum rates) for each of these components. Marsden Jacob </w:t>
      </w:r>
      <w:r>
        <w:lastRenderedPageBreak/>
        <w:t>then applied the maximum from these ranges to derive the maximum total labour rate.</w:t>
      </w:r>
      <w:r>
        <w:rPr>
          <w:rStyle w:val="FootnoteReference"/>
        </w:rPr>
        <w:footnoteReference w:id="13"/>
      </w:r>
      <w:r w:rsidR="00FD75F4">
        <w:t xml:space="preserve"> We consider that using Marsden Jacob's recommended maximum labour rates to determine appropriate fees for services will provide ActewAGL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sidR="00FD75F4">
        <w:rPr>
          <w:rStyle w:val="FootnoteReference"/>
        </w:rPr>
        <w:footnoteReference w:id="14"/>
      </w:r>
    </w:p>
    <w:p w:rsidR="001B6D7A" w:rsidRDefault="001B6D7A" w:rsidP="001B6D7A">
      <w:r>
        <w:t xml:space="preserve">Where ActewAGL's proposed total labour rates exceeded the maximum total labour rates we regarded as efficient, we applied our maximum total labour rates to determine ancillary network services charges. Equally, we adopted ActewAGL's proposed total labour rates where they sat below </w:t>
      </w:r>
      <w:r w:rsidR="00FD75F4">
        <w:t xml:space="preserve">Marsden Jacob's </w:t>
      </w:r>
      <w:r>
        <w:t xml:space="preserve">maximum total labour rates.  </w:t>
      </w:r>
    </w:p>
    <w:p w:rsidR="001B6D7A" w:rsidRDefault="001B6D7A" w:rsidP="001B6D7A">
      <w:r>
        <w:t>A</w:t>
      </w:r>
      <w:r w:rsidRPr="00C10437">
        <w:t>s a further check</w:t>
      </w:r>
      <w:r>
        <w:t xml:space="preserve"> of our analysis, we</w:t>
      </w:r>
      <w:r w:rsidRPr="00C10437">
        <w:t xml:space="preserve"> also compared components of</w:t>
      </w:r>
      <w:r>
        <w:t xml:space="preserve"> ActewAGL's </w:t>
      </w:r>
      <w:r w:rsidRPr="00C10437">
        <w:t xml:space="preserve">proposed labour </w:t>
      </w:r>
      <w:r>
        <w:t>costs</w:t>
      </w:r>
      <w:r w:rsidRPr="00C10437">
        <w:t xml:space="preserve"> with those</w:t>
      </w:r>
      <w:r>
        <w:t xml:space="preserve"> of the </w:t>
      </w:r>
      <w:r w:rsidRPr="00C10437">
        <w:t>Victorian distributors</w:t>
      </w:r>
      <w:r>
        <w:t>.</w:t>
      </w:r>
      <w:r w:rsidRPr="00C10437">
        <w:t xml:space="preserve"> </w:t>
      </w:r>
      <w:r w:rsidR="00FD75F4">
        <w:t xml:space="preserve">We consider </w:t>
      </w:r>
      <w:r w:rsidR="008E5148">
        <w:t xml:space="preserve">the latter's costs are </w:t>
      </w:r>
      <w:r w:rsidR="00FD75F4">
        <w:t>closer to efficient levels.</w:t>
      </w:r>
      <w:r w:rsidR="00FD75F4">
        <w:rPr>
          <w:rStyle w:val="FootnoteReference"/>
        </w:rPr>
        <w:footnoteReference w:id="15"/>
      </w:r>
    </w:p>
    <w:p w:rsidR="001B6D7A" w:rsidRPr="00EF37CD" w:rsidRDefault="001B6D7A" w:rsidP="001B6D7A">
      <w:r w:rsidRPr="00EF37CD">
        <w:t xml:space="preserve">In </w:t>
      </w:r>
      <w:r>
        <w:t>coming to conclusions</w:t>
      </w:r>
      <w:r w:rsidRPr="00EF37CD">
        <w:t xml:space="preserve"> </w:t>
      </w:r>
      <w:r>
        <w:t xml:space="preserve">about the </w:t>
      </w:r>
      <w:r w:rsidRPr="00EF37CD">
        <w:t>fees for</w:t>
      </w:r>
      <w:r>
        <w:t xml:space="preserve"> </w:t>
      </w:r>
      <w:r w:rsidR="006A2978">
        <w:t xml:space="preserve">ActewAGL's </w:t>
      </w:r>
      <w:r w:rsidRPr="00EF37CD">
        <w:t xml:space="preserve">most frequently requested ancillary network services, </w:t>
      </w:r>
      <w:r w:rsidR="00811829" w:rsidRPr="00EF37CD">
        <w:t xml:space="preserve">we also </w:t>
      </w:r>
      <w:r w:rsidR="00811829">
        <w:t xml:space="preserve">assessed </w:t>
      </w:r>
      <w:r w:rsidR="00811829" w:rsidRPr="00EF37CD">
        <w:t>the times taken to perform the service</w:t>
      </w:r>
      <w:r w:rsidRPr="00EF37CD">
        <w:t>.</w:t>
      </w:r>
      <w:r w:rsidR="006A2978">
        <w:t xml:space="preserve"> </w:t>
      </w:r>
    </w:p>
    <w:p w:rsidR="00CF5FD6" w:rsidRPr="00CF5FD6" w:rsidRDefault="00CF5FD6" w:rsidP="00CF5FD6">
      <w:pPr>
        <w:pStyle w:val="Heading3"/>
      </w:pPr>
      <w:bookmarkStart w:id="24" w:name="_Ref416120538"/>
      <w:bookmarkStart w:id="25" w:name="_Toc418078033"/>
      <w:r w:rsidRPr="00CF5FD6">
        <w:t xml:space="preserve">Reasons for </w:t>
      </w:r>
      <w:r w:rsidR="00662C26">
        <w:t>final</w:t>
      </w:r>
      <w:r w:rsidR="00662C26" w:rsidRPr="00CF5FD6">
        <w:t xml:space="preserve"> </w:t>
      </w:r>
      <w:r w:rsidRPr="00CF5FD6">
        <w:t>decision</w:t>
      </w:r>
      <w:bookmarkEnd w:id="24"/>
      <w:bookmarkEnd w:id="25"/>
    </w:p>
    <w:p w:rsidR="00CE5372" w:rsidRDefault="00AF1DB8" w:rsidP="00AF1DB8">
      <w:r>
        <w:t xml:space="preserve">We do not approve ActewAGL's revised proposed fees for ancillary network services. </w:t>
      </w:r>
      <w:r w:rsidR="00662C26">
        <w:t>The p</w:t>
      </w:r>
      <w:r>
        <w:t xml:space="preserve">roposed fees exceed those </w:t>
      </w:r>
      <w:r w:rsidRPr="00B26808">
        <w:t xml:space="preserve">based on </w:t>
      </w:r>
      <w:r w:rsidRPr="003933A3">
        <w:t xml:space="preserve">maximum total labour rates for </w:t>
      </w:r>
      <w:r>
        <w:t>ActewAGL</w:t>
      </w:r>
      <w:r w:rsidRPr="003933A3">
        <w:t>'s labour types which we consider efficient</w:t>
      </w:r>
      <w:r w:rsidRPr="00B26808">
        <w:t xml:space="preserve"> for providing these services.</w:t>
      </w:r>
      <w:r>
        <w:t xml:space="preserve"> </w:t>
      </w:r>
      <w:r w:rsidR="009F58C4" w:rsidRPr="009F58C4">
        <w:t>As we set out in section</w:t>
      </w:r>
      <w:r w:rsidR="009F58C4">
        <w:t xml:space="preserve"> </w:t>
      </w:r>
      <w:r w:rsidR="009F58C4">
        <w:fldChar w:fldCharType="begin"/>
      </w:r>
      <w:r w:rsidR="009F58C4">
        <w:instrText xml:space="preserve"> REF _Ref416122671 \r \h </w:instrText>
      </w:r>
      <w:r w:rsidR="009F58C4">
        <w:fldChar w:fldCharType="separate"/>
      </w:r>
      <w:r w:rsidR="004704F5">
        <w:t>16.1.3</w:t>
      </w:r>
      <w:r w:rsidR="009F58C4">
        <w:fldChar w:fldCharType="end"/>
      </w:r>
      <w:r w:rsidR="009F58C4" w:rsidRPr="009F58C4">
        <w:t xml:space="preserve">, we compared </w:t>
      </w:r>
      <w:r w:rsidR="009F58C4">
        <w:t>ActewAGL's</w:t>
      </w:r>
      <w:r w:rsidR="009F58C4" w:rsidRPr="009F58C4">
        <w:t xml:space="preserve"> total labour rates against Marsden Jacob's maximum (rather than, for example, average) total labour rates. We note ancillary network services comprise a relatively small portion of ActewAGL's revenue. This is because a relatively small number of ActewAGL's customers request ancillary network services in any given regulatory year. Hence</w:t>
      </w:r>
      <w:r w:rsidR="009F58C4">
        <w:t>,</w:t>
      </w:r>
      <w:r w:rsidR="009F58C4" w:rsidRPr="009F58C4">
        <w:t xml:space="preserve"> we consider it prudent to use maximum total labour rates as an input to derive prices for ancillary network services. Maximum total labour rates act as 'ceilings' on the rates we consider ActewAGL should pay for the various labour types. Where </w:t>
      </w:r>
      <w:r w:rsidR="009F58C4">
        <w:t>ActewAGL</w:t>
      </w:r>
      <w:r w:rsidR="009F58C4" w:rsidRPr="009F58C4">
        <w:t xml:space="preserve"> reveals rates lower than the maximum total labour rates, we consider those lower rates should be the inputs for deriving ancillary network services prices</w:t>
      </w:r>
      <w:r w:rsidR="009F58C4">
        <w:t>.</w:t>
      </w:r>
      <w:r w:rsidR="005F6F2F">
        <w:t xml:space="preserve"> </w:t>
      </w:r>
      <w:r w:rsidR="009F58C4">
        <w:t xml:space="preserve">We </w:t>
      </w:r>
      <w:r>
        <w:t>consider this ensures</w:t>
      </w:r>
      <w:r w:rsidRPr="003933A3">
        <w:t xml:space="preserve"> the distribution business </w:t>
      </w:r>
      <w:r>
        <w:t xml:space="preserve">has </w:t>
      </w:r>
      <w:r w:rsidRPr="003933A3">
        <w:t>a reasonable opportunity to recover at least its efficient costs</w:t>
      </w:r>
      <w:r w:rsidR="00FD75F4">
        <w:t xml:space="preserve">, </w:t>
      </w:r>
      <w:r w:rsidR="005F6F2F">
        <w:t>including</w:t>
      </w:r>
      <w:r w:rsidR="00FD75F4">
        <w:t xml:space="preserve"> a return commensurate with the regulatory and commercial risks in providing the services.</w:t>
      </w:r>
      <w:r w:rsidR="009F58C4">
        <w:t xml:space="preserve">  </w:t>
      </w:r>
    </w:p>
    <w:p w:rsidR="0078010E" w:rsidRDefault="00AF1DB8" w:rsidP="001B13E5">
      <w:r>
        <w:t xml:space="preserve">Our </w:t>
      </w:r>
      <w:r w:rsidRPr="009D2DD4">
        <w:t>assessment</w:t>
      </w:r>
      <w:r>
        <w:t xml:space="preserve"> focussed</w:t>
      </w:r>
      <w:r w:rsidRPr="0009733F">
        <w:t xml:space="preserve"> on the inputs</w:t>
      </w:r>
      <w:r>
        <w:t xml:space="preserve"> to the methods ActewAGL used to derive its fees for ancillary network services. In particular</w:t>
      </w:r>
      <w:r w:rsidRPr="009D2DD4">
        <w:t xml:space="preserve">, </w:t>
      </w:r>
      <w:r w:rsidRPr="0009733F">
        <w:t>labour is the major input to</w:t>
      </w:r>
      <w:r>
        <w:t xml:space="preserve"> </w:t>
      </w:r>
      <w:r w:rsidR="00A06BBF">
        <w:t>its</w:t>
      </w:r>
      <w:r w:rsidR="00A06BBF" w:rsidRPr="0009733F">
        <w:t xml:space="preserve"> </w:t>
      </w:r>
      <w:r w:rsidRPr="0009733F">
        <w:t>proposed ancillary network services fees</w:t>
      </w:r>
      <w:r w:rsidRPr="009D2DD4">
        <w:t xml:space="preserve">. </w:t>
      </w:r>
      <w:r>
        <w:t xml:space="preserve">We found proposed labour rates were </w:t>
      </w:r>
      <w:r>
        <w:lastRenderedPageBreak/>
        <w:t>inefficient. Hence, we adjusted ActewAGL's total labour rates where they exceeded the maximum total labour rat</w:t>
      </w:r>
      <w:r w:rsidR="00D124D6">
        <w:t>es that Marsden Jacob developed</w:t>
      </w:r>
      <w:r w:rsidR="00FD75F4">
        <w:t xml:space="preserve"> and recommended</w:t>
      </w:r>
      <w:r w:rsidR="008E5148">
        <w:t xml:space="preserve"> </w:t>
      </w:r>
      <w:r>
        <w:t xml:space="preserve">(see section </w:t>
      </w:r>
      <w:r>
        <w:fldChar w:fldCharType="begin"/>
      </w:r>
      <w:r>
        <w:instrText xml:space="preserve"> REF _Ref416122671 \r \h </w:instrText>
      </w:r>
      <w:r>
        <w:fldChar w:fldCharType="separate"/>
      </w:r>
      <w:r w:rsidR="004704F5">
        <w:t>16.1.3</w:t>
      </w:r>
      <w:r>
        <w:fldChar w:fldCharType="end"/>
      </w:r>
      <w:r>
        <w:t>).</w:t>
      </w:r>
    </w:p>
    <w:p w:rsidR="002F27F9" w:rsidRPr="002F27F9" w:rsidRDefault="002F27F9" w:rsidP="001B13E5">
      <w:r w:rsidRPr="002F27F9">
        <w:t xml:space="preserve">Each of the NSW and ACT distributors used </w:t>
      </w:r>
      <w:r w:rsidRPr="001B13E5">
        <w:t>different labour category names and descriptions. However, Marsden Jacob found that the types of labour used to deliver ancillary network services fell into one of five categories</w:t>
      </w:r>
      <w:r w:rsidRPr="002F27F9">
        <w:t>:</w:t>
      </w:r>
      <w:r w:rsidR="00AF1DB8">
        <w:t xml:space="preserve"> </w:t>
      </w:r>
    </w:p>
    <w:p w:rsidR="002F27F9" w:rsidRPr="002F27F9" w:rsidRDefault="002F27F9" w:rsidP="002F27F9">
      <w:pPr>
        <w:pStyle w:val="AERbulletlistfirststyle"/>
      </w:pPr>
      <w:r w:rsidRPr="002F27F9">
        <w:t>administration</w:t>
      </w:r>
    </w:p>
    <w:p w:rsidR="002F27F9" w:rsidRPr="002F27F9" w:rsidRDefault="002F27F9" w:rsidP="002F27F9">
      <w:pPr>
        <w:pStyle w:val="AERbulletlistfirststyle"/>
      </w:pPr>
      <w:r w:rsidRPr="002F27F9">
        <w:t>technical services</w:t>
      </w:r>
    </w:p>
    <w:p w:rsidR="002F27F9" w:rsidRPr="002F27F9" w:rsidRDefault="002F27F9" w:rsidP="002F27F9">
      <w:pPr>
        <w:pStyle w:val="AERbulletlistfirststyle"/>
      </w:pPr>
      <w:r w:rsidRPr="002F27F9">
        <w:t>engineers</w:t>
      </w:r>
    </w:p>
    <w:p w:rsidR="002F27F9" w:rsidRPr="002F27F9" w:rsidRDefault="002F27F9" w:rsidP="002F27F9">
      <w:pPr>
        <w:pStyle w:val="AERbulletlistfirststyle"/>
      </w:pPr>
      <w:r w:rsidRPr="002F27F9">
        <w:t>field workers, and</w:t>
      </w:r>
    </w:p>
    <w:p w:rsidR="00F71308" w:rsidRDefault="002F27F9" w:rsidP="001B13E5">
      <w:pPr>
        <w:pStyle w:val="AERbulletlistfirststyle"/>
      </w:pPr>
      <w:r w:rsidRPr="002F27F9">
        <w:t>senior engineers.</w:t>
      </w:r>
      <w:r w:rsidR="00EB7D72">
        <w:rPr>
          <w:rStyle w:val="FootnoteReference"/>
        </w:rPr>
        <w:footnoteReference w:id="16"/>
      </w:r>
    </w:p>
    <w:p w:rsidR="007666CB" w:rsidRDefault="00F71308" w:rsidP="00F71308">
      <w:pPr>
        <w:pStyle w:val="AERbulletlistfirststyle"/>
        <w:numPr>
          <w:ilvl w:val="0"/>
          <w:numId w:val="0"/>
        </w:numPr>
      </w:pPr>
      <w:r>
        <w:fldChar w:fldCharType="begin"/>
      </w:r>
      <w:r>
        <w:instrText xml:space="preserve"> REF _Ref417981845 \h </w:instrText>
      </w:r>
      <w:r>
        <w:fldChar w:fldCharType="separate"/>
      </w:r>
      <w:r w:rsidR="004704F5">
        <w:t xml:space="preserve">Table </w:t>
      </w:r>
      <w:r w:rsidR="004704F5">
        <w:rPr>
          <w:noProof/>
        </w:rPr>
        <w:t>16</w:t>
      </w:r>
      <w:r w:rsidR="004704F5">
        <w:t>.</w:t>
      </w:r>
      <w:r w:rsidR="004704F5">
        <w:rPr>
          <w:noProof/>
        </w:rPr>
        <w:t>5</w:t>
      </w:r>
      <w:r>
        <w:fldChar w:fldCharType="end"/>
      </w:r>
      <w:r>
        <w:t xml:space="preserve"> </w:t>
      </w:r>
      <w:r w:rsidR="002F27F9" w:rsidRPr="002F27F9">
        <w:t xml:space="preserve">shows the maximum total labour </w:t>
      </w:r>
      <w:r w:rsidR="002F27F9" w:rsidRPr="001B13E5">
        <w:t xml:space="preserve">rates </w:t>
      </w:r>
      <w:r w:rsidR="00073233">
        <w:t xml:space="preserve">developed by </w:t>
      </w:r>
      <w:r w:rsidR="002F27F9" w:rsidRPr="001B13E5">
        <w:t>Marsden Jacob</w:t>
      </w:r>
      <w:r w:rsidR="00073233">
        <w:t xml:space="preserve"> and adopted by us</w:t>
      </w:r>
      <w:r w:rsidR="002F27F9" w:rsidRPr="001B13E5">
        <w:t>. We consider these total maximum recommended labour rates should be used to assess ActewAGL’s proposed charges for ancillary network services.</w:t>
      </w:r>
    </w:p>
    <w:p w:rsidR="00834517" w:rsidRDefault="002F27F9" w:rsidP="001B13E5">
      <w:r w:rsidRPr="001B13E5">
        <w:t>Marsden Jacob devel</w:t>
      </w:r>
      <w:r w:rsidR="008E5148">
        <w:t xml:space="preserve">oped raw </w:t>
      </w:r>
      <w:r w:rsidRPr="001B13E5">
        <w:t xml:space="preserve">maximum recommended labour rates </w:t>
      </w:r>
      <w:r w:rsidR="00073233">
        <w:t>(that is, excluding on-</w:t>
      </w:r>
      <w:r w:rsidR="00073233" w:rsidRPr="001B13E5">
        <w:t xml:space="preserve">costs and overheads) </w:t>
      </w:r>
      <w:r w:rsidRPr="001B13E5">
        <w:t xml:space="preserve">for each of these labour categories. </w:t>
      </w:r>
      <w:r w:rsidR="00846BF9">
        <w:t>It</w:t>
      </w:r>
      <w:r w:rsidR="00846BF9" w:rsidRPr="001B13E5">
        <w:t xml:space="preserve"> </w:t>
      </w:r>
      <w:r w:rsidRPr="001B13E5">
        <w:t xml:space="preserve">assessed raw labour rates, overheads </w:t>
      </w:r>
      <w:r w:rsidR="008E5148">
        <w:t>and on-</w:t>
      </w:r>
      <w:r w:rsidRPr="001B13E5">
        <w:t>costs (see</w:t>
      </w:r>
      <w:r w:rsidR="00834517" w:rsidRPr="001B13E5">
        <w:t xml:space="preserve"> </w:t>
      </w:r>
      <w:r w:rsidR="004704F5">
        <w:fldChar w:fldCharType="begin"/>
      </w:r>
      <w:r w:rsidR="004704F5">
        <w:instrText xml:space="preserve"> REF _Ref416120538 \r \h </w:instrText>
      </w:r>
      <w:r w:rsidR="004704F5">
        <w:fldChar w:fldCharType="separate"/>
      </w:r>
      <w:r w:rsidR="004704F5">
        <w:t>16.1.4</w:t>
      </w:r>
      <w:r w:rsidR="004704F5">
        <w:fldChar w:fldCharType="end"/>
      </w:r>
      <w:r w:rsidRPr="001B13E5">
        <w:t xml:space="preserve">) separately and </w:t>
      </w:r>
      <w:r w:rsidR="00834517" w:rsidRPr="001B13E5">
        <w:t>derived maximum rates for each component. Marsden Jacob then</w:t>
      </w:r>
      <w:r w:rsidR="00834517" w:rsidRPr="0009733F">
        <w:t xml:space="preserve"> applied these maximum rates to produce the maximum total labour rates</w:t>
      </w:r>
      <w:r w:rsidR="00834517" w:rsidRPr="009D2DD4">
        <w:t>.</w:t>
      </w:r>
    </w:p>
    <w:p w:rsidR="00834517" w:rsidRPr="00E40FCD" w:rsidRDefault="00834517" w:rsidP="00834517">
      <w:r w:rsidRPr="00E40FCD">
        <w:t xml:space="preserve">We </w:t>
      </w:r>
      <w:r w:rsidRPr="0009733F">
        <w:t xml:space="preserve">used these maximum total labour rates to determine whether </w:t>
      </w:r>
      <w:r w:rsidR="0035041C">
        <w:t>ActewAGL</w:t>
      </w:r>
      <w:r w:rsidRPr="0009733F">
        <w:t>'s proposed fees for ancillary network services reflect the underlying cost of an efficient labour rate</w:t>
      </w:r>
      <w:r w:rsidRPr="00E40FCD">
        <w:t xml:space="preserve">. We consider this to be a </w:t>
      </w:r>
      <w:r w:rsidRPr="0009733F">
        <w:t>prudent</w:t>
      </w:r>
      <w:r w:rsidRPr="00E40FCD">
        <w:t xml:space="preserve"> approach. It </w:t>
      </w:r>
      <w:r w:rsidRPr="0009733F">
        <w:t>provides the distribution business with a reasonable opportunity to recover at least its efficient costs</w:t>
      </w:r>
      <w:r w:rsidRPr="00E40FCD">
        <w:t xml:space="preserve">. We consider </w:t>
      </w:r>
      <w:r w:rsidRPr="0009733F">
        <w:t>fees based on labour rates higher than the maximum total labour rates would be inefficient</w:t>
      </w:r>
      <w:r>
        <w:t>.</w:t>
      </w:r>
      <w:r w:rsidRPr="00E40FCD">
        <w:t xml:space="preserve"> </w:t>
      </w:r>
    </w:p>
    <w:p w:rsidR="008410C3" w:rsidRDefault="008410C3" w:rsidP="008410C3">
      <w:pPr>
        <w:pStyle w:val="Caption"/>
      </w:pPr>
      <w:bookmarkStart w:id="26" w:name="_Ref417981845"/>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5</w:t>
      </w:r>
      <w:r w:rsidR="000D189C">
        <w:rPr>
          <w:noProof/>
        </w:rPr>
        <w:fldChar w:fldCharType="end"/>
      </w:r>
      <w:bookmarkEnd w:id="26"/>
      <w:r>
        <w:t xml:space="preserve">: </w:t>
      </w:r>
      <w:r w:rsidR="00073233">
        <w:t>Final decision on</w:t>
      </w:r>
      <w:r w:rsidR="00073233" w:rsidRPr="00EC2F70">
        <w:t xml:space="preserve"> </w:t>
      </w:r>
      <w:r w:rsidR="00EC2F70" w:rsidRPr="00EC2F70">
        <w:t>maximum allowable labour rates (including on costs and overheads) ($2014–15)</w:t>
      </w:r>
    </w:p>
    <w:tbl>
      <w:tblPr>
        <w:tblStyle w:val="AERtable-numbers"/>
        <w:tblW w:w="5000" w:type="pct"/>
        <w:tblLook w:val="04A0" w:firstRow="1" w:lastRow="0" w:firstColumn="1" w:lastColumn="0" w:noHBand="0" w:noVBand="1"/>
      </w:tblPr>
      <w:tblGrid>
        <w:gridCol w:w="2626"/>
        <w:gridCol w:w="2764"/>
        <w:gridCol w:w="3303"/>
      </w:tblGrid>
      <w:tr w:rsidR="008410C3" w:rsidRPr="00073233" w:rsidTr="004704F5">
        <w:trPr>
          <w:cnfStyle w:val="100000000000" w:firstRow="1" w:lastRow="0" w:firstColumn="0" w:lastColumn="0" w:oddVBand="0" w:evenVBand="0" w:oddHBand="0" w:evenHBand="0" w:firstRowFirstColumn="0" w:firstRowLastColumn="0" w:lastRowFirstColumn="0" w:lastRowLastColumn="0"/>
          <w:trHeight w:val="776"/>
          <w:tblHeader/>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073233">
            <w:r w:rsidRPr="00073233">
              <w:t>Labour classification</w:t>
            </w:r>
          </w:p>
        </w:tc>
        <w:tc>
          <w:tcPr>
            <w:tcW w:w="1590" w:type="pct"/>
            <w:hideMark/>
          </w:tcPr>
          <w:p w:rsidR="008410C3" w:rsidRPr="00073233" w:rsidRDefault="008410C3" w:rsidP="0084368C">
            <w:pPr>
              <w:cnfStyle w:val="100000000000" w:firstRow="1" w:lastRow="0" w:firstColumn="0" w:lastColumn="0" w:oddVBand="0" w:evenVBand="0" w:oddHBand="0" w:evenHBand="0" w:firstRowFirstColumn="0" w:firstRowLastColumn="0" w:lastRowFirstColumn="0" w:lastRowLastColumn="0"/>
            </w:pPr>
            <w:r w:rsidRPr="00073233">
              <w:t>Corresponding Marsden Jacob labour category</w:t>
            </w:r>
          </w:p>
        </w:tc>
        <w:tc>
          <w:tcPr>
            <w:tcW w:w="1900" w:type="pct"/>
            <w:hideMark/>
          </w:tcPr>
          <w:p w:rsidR="008410C3" w:rsidRPr="00827BDA" w:rsidRDefault="008410C3" w:rsidP="0084368C">
            <w:pPr>
              <w:cnfStyle w:val="100000000000" w:firstRow="1" w:lastRow="0" w:firstColumn="0" w:lastColumn="0" w:oddVBand="0" w:evenVBand="0" w:oddHBand="0" w:evenHBand="0" w:firstRowFirstColumn="0" w:firstRowLastColumn="0" w:lastRowFirstColumn="0" w:lastRowLastColumn="0"/>
            </w:pPr>
            <w:r w:rsidRPr="00073233">
              <w:t>AER maximum allowable 2015</w:t>
            </w:r>
            <w:r w:rsidR="00C04520" w:rsidRPr="00073233">
              <w:t>–</w:t>
            </w:r>
            <w:r w:rsidRPr="00073233">
              <w:t>16 hourly</w:t>
            </w:r>
            <w:r w:rsidR="00AF392B" w:rsidRPr="00073233">
              <w:t xml:space="preserve"> total</w:t>
            </w:r>
            <w:r w:rsidRPr="00073233">
              <w:t xml:space="preserve"> labour rates ($2014</w:t>
            </w:r>
            <w:r w:rsidR="00C04520" w:rsidRPr="007C3BA8">
              <w:t>–</w:t>
            </w:r>
            <w:r w:rsidRPr="00827BDA">
              <w:t>15)</w:t>
            </w:r>
          </w:p>
        </w:tc>
      </w:tr>
      <w:tr w:rsidR="008410C3" w:rsidRPr="00073233" w:rsidTr="008410C3">
        <w:trPr>
          <w:trHeight w:val="300"/>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t>Electrical worker</w:t>
            </w:r>
          </w:p>
        </w:tc>
        <w:tc>
          <w:tcPr>
            <w:tcW w:w="159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technical</w:t>
            </w:r>
          </w:p>
        </w:tc>
        <w:tc>
          <w:tcPr>
            <w:tcW w:w="190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142.81</w:t>
            </w:r>
          </w:p>
        </w:tc>
      </w:tr>
      <w:tr w:rsidR="008410C3" w:rsidRPr="00073233" w:rsidTr="008410C3">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t>Electrical worker</w:t>
            </w:r>
            <w:r w:rsidR="00C04520" w:rsidRPr="00073233">
              <w:t>—</w:t>
            </w:r>
            <w:r w:rsidRPr="00073233">
              <w:t>labourer</w:t>
            </w:r>
          </w:p>
        </w:tc>
        <w:tc>
          <w:tcPr>
            <w:tcW w:w="159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field worker</w:t>
            </w:r>
          </w:p>
        </w:tc>
        <w:tc>
          <w:tcPr>
            <w:tcW w:w="190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133.79</w:t>
            </w:r>
          </w:p>
        </w:tc>
      </w:tr>
      <w:tr w:rsidR="008410C3" w:rsidRPr="00073233" w:rsidTr="008410C3">
        <w:trPr>
          <w:trHeight w:val="300"/>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t>Electrical apprentice</w:t>
            </w:r>
          </w:p>
        </w:tc>
        <w:tc>
          <w:tcPr>
            <w:tcW w:w="159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field worker</w:t>
            </w:r>
          </w:p>
        </w:tc>
        <w:tc>
          <w:tcPr>
            <w:tcW w:w="190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133.79</w:t>
            </w:r>
          </w:p>
        </w:tc>
      </w:tr>
      <w:tr w:rsidR="008410C3" w:rsidRPr="00073233" w:rsidTr="008410C3">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lastRenderedPageBreak/>
              <w:t>Office support service delivery</w:t>
            </w:r>
          </w:p>
        </w:tc>
        <w:tc>
          <w:tcPr>
            <w:tcW w:w="159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administration</w:t>
            </w:r>
          </w:p>
        </w:tc>
        <w:tc>
          <w:tcPr>
            <w:tcW w:w="190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89.06</w:t>
            </w:r>
          </w:p>
        </w:tc>
      </w:tr>
      <w:tr w:rsidR="008410C3" w:rsidRPr="00073233" w:rsidTr="008410C3">
        <w:trPr>
          <w:trHeight w:val="600"/>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t>Project officer design section</w:t>
            </w:r>
          </w:p>
        </w:tc>
        <w:tc>
          <w:tcPr>
            <w:tcW w:w="159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engineer</w:t>
            </w:r>
          </w:p>
        </w:tc>
        <w:tc>
          <w:tcPr>
            <w:tcW w:w="1900" w:type="pct"/>
            <w:noWrap/>
            <w:hideMark/>
          </w:tcPr>
          <w:p w:rsidR="008410C3" w:rsidRPr="00073233" w:rsidRDefault="008410C3" w:rsidP="0084368C">
            <w:pPr>
              <w:cnfStyle w:val="000000000000" w:firstRow="0" w:lastRow="0" w:firstColumn="0" w:lastColumn="0" w:oddVBand="0" w:evenVBand="0" w:oddHBand="0" w:evenHBand="0" w:firstRowFirstColumn="0" w:firstRowLastColumn="0" w:lastRowFirstColumn="0" w:lastRowLastColumn="0"/>
            </w:pPr>
            <w:r w:rsidRPr="00073233">
              <w:t>177.52</w:t>
            </w:r>
          </w:p>
        </w:tc>
      </w:tr>
      <w:tr w:rsidR="008410C3" w:rsidRPr="00073233" w:rsidTr="008410C3">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510" w:type="pct"/>
            <w:hideMark/>
          </w:tcPr>
          <w:p w:rsidR="008410C3" w:rsidRPr="00073233" w:rsidRDefault="008410C3" w:rsidP="0084368C">
            <w:r w:rsidRPr="00073233">
              <w:t>Senior technical officer / Engineer design section</w:t>
            </w:r>
          </w:p>
        </w:tc>
        <w:tc>
          <w:tcPr>
            <w:tcW w:w="159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senior engineer</w:t>
            </w:r>
          </w:p>
        </w:tc>
        <w:tc>
          <w:tcPr>
            <w:tcW w:w="1900" w:type="pct"/>
            <w:noWrap/>
            <w:hideMark/>
          </w:tcPr>
          <w:p w:rsidR="008410C3" w:rsidRPr="00073233" w:rsidRDefault="008410C3" w:rsidP="0084368C">
            <w:pPr>
              <w:cnfStyle w:val="000000010000" w:firstRow="0" w:lastRow="0" w:firstColumn="0" w:lastColumn="0" w:oddVBand="0" w:evenVBand="0" w:oddHBand="0" w:evenHBand="1" w:firstRowFirstColumn="0" w:firstRowLastColumn="0" w:lastRowFirstColumn="0" w:lastRowLastColumn="0"/>
            </w:pPr>
            <w:r w:rsidRPr="00073233">
              <w:t>210.96</w:t>
            </w:r>
          </w:p>
        </w:tc>
      </w:tr>
    </w:tbl>
    <w:p w:rsidR="00EC2F70" w:rsidRPr="00073233" w:rsidRDefault="00EC2F70" w:rsidP="00073233">
      <w:pPr>
        <w:pStyle w:val="AERtablesource"/>
      </w:pPr>
      <w:r w:rsidRPr="00073233">
        <w:t>Source:</w:t>
      </w:r>
      <w:r w:rsidRPr="00073233">
        <w:tab/>
        <w:t xml:space="preserve">Marsden Jacob Associates, </w:t>
      </w:r>
      <w:r w:rsidRPr="00073233">
        <w:rPr>
          <w:rStyle w:val="AERtextitalic"/>
        </w:rPr>
        <w:t>Final: Provision of advice in relation to Alternative Control Services – Public version: Advice prepared for the Australian Energy Regulator</w:t>
      </w:r>
      <w:r w:rsidRPr="00073233">
        <w:t>, 20 October 2014, pp. 6 and 24</w:t>
      </w:r>
      <w:r w:rsidRPr="00A06BBF">
        <w:rPr>
          <w:rStyle w:val="AERbody"/>
          <w:sz w:val="16"/>
        </w:rPr>
        <w:t>.</w:t>
      </w:r>
      <w:r w:rsidRPr="00073233">
        <w:t xml:space="preserve"> </w:t>
      </w:r>
    </w:p>
    <w:p w:rsidR="00EC2F70" w:rsidRPr="00EC2F70" w:rsidRDefault="00EC2F70" w:rsidP="00EC2F70">
      <w:pPr>
        <w:pStyle w:val="AERtablesource"/>
      </w:pPr>
      <w:r w:rsidRPr="00EC2F70">
        <w:t>Note:</w:t>
      </w:r>
      <w:r w:rsidRPr="00EC2F70">
        <w:tab/>
      </w:r>
      <w:r>
        <w:t>Ausgrid</w:t>
      </w:r>
      <w:r w:rsidRPr="00EC2F70">
        <w:t xml:space="preserve"> claimed confidentiality on its total labour rates.</w:t>
      </w:r>
    </w:p>
    <w:p w:rsidR="002F27F9" w:rsidRPr="00826438" w:rsidRDefault="002F27F9" w:rsidP="00826438">
      <w:r w:rsidRPr="00826438">
        <w:t>Marsden Jacob also reviewed the times taken to perform ActewAGL's most frequently requested ancillary network services. Times taken to perform the seven most frequently requested ancillary network services were within benchmark times for these services. For the detailed review, refer to the Marsden Jacob report.</w:t>
      </w:r>
      <w:r w:rsidR="00073233">
        <w:rPr>
          <w:rStyle w:val="FootnoteReference"/>
        </w:rPr>
        <w:footnoteReference w:id="17"/>
      </w:r>
    </w:p>
    <w:p w:rsidR="002F27F9" w:rsidRPr="002F27F9" w:rsidRDefault="002F27F9" w:rsidP="002F27F9">
      <w:pPr>
        <w:pStyle w:val="AERbulletlistfirststyle"/>
      </w:pPr>
      <w:r w:rsidRPr="002F27F9">
        <w:t>special meter read</w:t>
      </w:r>
    </w:p>
    <w:p w:rsidR="002F27F9" w:rsidRPr="002F27F9" w:rsidRDefault="002F27F9" w:rsidP="002F27F9">
      <w:pPr>
        <w:pStyle w:val="AERbulletlistfirststyle"/>
      </w:pPr>
      <w:r w:rsidRPr="002F27F9">
        <w:t>meter test</w:t>
      </w:r>
    </w:p>
    <w:p w:rsidR="002F27F9" w:rsidRPr="002F27F9" w:rsidRDefault="002F27F9" w:rsidP="002F27F9">
      <w:pPr>
        <w:pStyle w:val="AERbulletlistfirststyle"/>
      </w:pPr>
      <w:r w:rsidRPr="002F27F9">
        <w:t>supply of conveyancing information (desk inquiry)</w:t>
      </w:r>
    </w:p>
    <w:p w:rsidR="002F27F9" w:rsidRPr="002F27F9" w:rsidRDefault="002F27F9" w:rsidP="002F27F9">
      <w:pPr>
        <w:pStyle w:val="AERbulletlistfirststyle"/>
      </w:pPr>
      <w:r w:rsidRPr="002F27F9">
        <w:t>disconnection site visit</w:t>
      </w:r>
    </w:p>
    <w:p w:rsidR="002F27F9" w:rsidRPr="002F27F9" w:rsidRDefault="002F27F9" w:rsidP="002F27F9">
      <w:pPr>
        <w:pStyle w:val="AERbulletlistfirststyle"/>
      </w:pPr>
      <w:r w:rsidRPr="002F27F9">
        <w:t>disconnection at pole top / pillar box</w:t>
      </w:r>
    </w:p>
    <w:p w:rsidR="002F27F9" w:rsidRPr="002F27F9" w:rsidRDefault="002F27F9" w:rsidP="002F27F9">
      <w:pPr>
        <w:pStyle w:val="AERbulletlistfirststyle"/>
      </w:pPr>
      <w:r w:rsidRPr="002F27F9">
        <w:t>reconnections.</w:t>
      </w:r>
    </w:p>
    <w:p w:rsidR="002F27F9" w:rsidRPr="002F27F9" w:rsidRDefault="00AF1DB8" w:rsidP="00B3156D">
      <w:r w:rsidRPr="00AF1DB8">
        <w:t xml:space="preserve">By adopting our final decision </w:t>
      </w:r>
      <w:r w:rsidRPr="00826438">
        <w:t>labour escalation rates</w:t>
      </w:r>
      <w:r w:rsidR="0084368C">
        <w:t xml:space="preserve"> </w:t>
      </w:r>
      <w:r w:rsidR="0084368C" w:rsidRPr="00B3156D">
        <w:t>(</w:t>
      </w:r>
      <w:r w:rsidR="003C5DFD">
        <w:t xml:space="preserve">Attachment </w:t>
      </w:r>
      <w:r w:rsidR="0084368C">
        <w:t>7, appendix B has further details</w:t>
      </w:r>
      <w:r w:rsidR="0084368C" w:rsidRPr="00B3156D">
        <w:t>)</w:t>
      </w:r>
      <w:r w:rsidR="0084368C">
        <w:t xml:space="preserve"> in</w:t>
      </w:r>
      <w:r w:rsidRPr="00826438">
        <w:t xml:space="preserve"> </w:t>
      </w:r>
      <w:r w:rsidR="00842311">
        <w:fldChar w:fldCharType="begin"/>
      </w:r>
      <w:r w:rsidR="00842311">
        <w:instrText xml:space="preserve"> REF _Ref414807600 \h </w:instrText>
      </w:r>
      <w:r w:rsidR="00842311">
        <w:fldChar w:fldCharType="separate"/>
      </w:r>
      <w:r w:rsidR="004704F5">
        <w:t xml:space="preserve">Table </w:t>
      </w:r>
      <w:r w:rsidR="004704F5">
        <w:rPr>
          <w:noProof/>
        </w:rPr>
        <w:t>16</w:t>
      </w:r>
      <w:r w:rsidR="004704F5">
        <w:t>.</w:t>
      </w:r>
      <w:r w:rsidR="004704F5">
        <w:rPr>
          <w:noProof/>
        </w:rPr>
        <w:t>1</w:t>
      </w:r>
      <w:r w:rsidR="00842311">
        <w:fldChar w:fldCharType="end"/>
      </w:r>
      <w:r w:rsidRPr="00AF1DB8">
        <w:t xml:space="preserve">, we have made associated changes to </w:t>
      </w:r>
      <w:r w:rsidRPr="00826438">
        <w:t>the X factors</w:t>
      </w:r>
      <w:r w:rsidR="008E5148">
        <w:t xml:space="preserve"> that will apply to ActewAGL's services during the 2015–</w:t>
      </w:r>
      <w:r w:rsidR="00073233">
        <w:t>19</w:t>
      </w:r>
      <w:r w:rsidR="008E5148">
        <w:t xml:space="preserve"> regulatory control period</w:t>
      </w:r>
      <w:r w:rsidRPr="00826438">
        <w:t>.</w:t>
      </w:r>
      <w:r w:rsidR="008E5148" w:rsidRPr="002F27F9">
        <w:t xml:space="preserve"> </w:t>
      </w:r>
      <w:r w:rsidR="00842311">
        <w:t xml:space="preserve"> </w:t>
      </w:r>
    </w:p>
    <w:p w:rsidR="004F0ED3" w:rsidRDefault="00C17815" w:rsidP="004704F5">
      <w:pPr>
        <w:pStyle w:val="HeadingBoldBlue"/>
      </w:pPr>
      <w:bookmarkStart w:id="27" w:name="_Ref416123321"/>
      <w:r>
        <w:t>Raw labour rates</w:t>
      </w:r>
      <w:bookmarkEnd w:id="27"/>
    </w:p>
    <w:p w:rsidR="002F2A53" w:rsidRDefault="002F2A53" w:rsidP="002F2A53">
      <w:r w:rsidRPr="002F2A53">
        <w:t xml:space="preserve">In developing maximum raw labour rates (that is, excluding on-costs and overheads), Marsden Jacob examined Hays 2014 salary data. The Hays 2014 salary reports draw on information from 2,500 companies across Australia and New Zealand. Australian distributors in the Hays data (who gave permission to be named) were ActewAGL, Jemena, and </w:t>
      </w:r>
      <w:r w:rsidR="00073233" w:rsidRPr="002F2A53">
        <w:t>Citipower</w:t>
      </w:r>
      <w:r w:rsidRPr="002F2A53">
        <w:t>.</w:t>
      </w:r>
      <w:r w:rsidRPr="002F2A53">
        <w:rPr>
          <w:rStyle w:val="FootnoteReference"/>
        </w:rPr>
        <w:footnoteReference w:id="18"/>
      </w:r>
      <w:r w:rsidRPr="002F2A53">
        <w:t xml:space="preserve"> The Hays rates draw from a wide pool of labour which </w:t>
      </w:r>
      <w:r w:rsidR="008E5148" w:rsidRPr="002F2A53">
        <w:lastRenderedPageBreak/>
        <w:t xml:space="preserve">ActewAGL </w:t>
      </w:r>
      <w:r w:rsidRPr="002F2A53">
        <w:t xml:space="preserve">would likely have access to. We </w:t>
      </w:r>
      <w:r w:rsidR="00FD75F4">
        <w:t xml:space="preserve">therefore </w:t>
      </w:r>
      <w:r w:rsidRPr="002F2A53">
        <w:t>consider these rates provide a good representation of the competitive market rate</w:t>
      </w:r>
      <w:r w:rsidR="00FD75F4">
        <w:t xml:space="preserve"> for appropriate categories of labour</w:t>
      </w:r>
      <w:r w:rsidRPr="002F2A53">
        <w:t>.</w:t>
      </w:r>
      <w:r w:rsidR="00797854">
        <w:t xml:space="preserve"> </w:t>
      </w:r>
      <w:r w:rsidR="00FD75F4">
        <w:t xml:space="preserve"> </w:t>
      </w:r>
    </w:p>
    <w:p w:rsidR="00A26BF1" w:rsidRDefault="00A26BF1" w:rsidP="002F2A53">
      <w:r>
        <w:t>In its revised proposal, ActewAGL maintained that its proposed labour rates are efficient.</w:t>
      </w:r>
      <w:r>
        <w:rPr>
          <w:rStyle w:val="FootnoteReference"/>
        </w:rPr>
        <w:footnoteReference w:id="19"/>
      </w:r>
    </w:p>
    <w:p w:rsidR="00FD75F4" w:rsidRDefault="00FD75F4" w:rsidP="00FD75F4">
      <w:r>
        <w:t>AGL</w:t>
      </w:r>
      <w:r w:rsidR="008E5148">
        <w:t>'s</w:t>
      </w:r>
      <w:r>
        <w:t xml:space="preserve"> submission queried</w:t>
      </w:r>
      <w:r w:rsidRPr="00C84DE4">
        <w:t xml:space="preserve"> whether </w:t>
      </w:r>
      <w:r w:rsidR="00877E3A">
        <w:t>the NSW distributors' proposed</w:t>
      </w:r>
      <w:r w:rsidR="00877E3A" w:rsidRPr="00C84DE4">
        <w:t xml:space="preserve"> </w:t>
      </w:r>
      <w:r w:rsidRPr="00C84DE4">
        <w:t xml:space="preserve">labour rates are efficient or even a current reflection of the NSW labour market. </w:t>
      </w:r>
      <w:r>
        <w:t>It submitted that the NSW distributors provided</w:t>
      </w:r>
      <w:r w:rsidRPr="00C84DE4">
        <w:t xml:space="preserve"> no justification as to why local market conditions require much higher labour rates than other states</w:t>
      </w:r>
      <w:r>
        <w:t>.</w:t>
      </w:r>
      <w:r w:rsidRPr="00C84DE4">
        <w:t xml:space="preserve"> </w:t>
      </w:r>
      <w:r>
        <w:t xml:space="preserve">AGL supported our comparison of </w:t>
      </w:r>
      <w:r w:rsidRPr="00C84DE4">
        <w:t xml:space="preserve">labour rates and on-costs against other states </w:t>
      </w:r>
      <w:r>
        <w:t>as an</w:t>
      </w:r>
      <w:r w:rsidRPr="00C84DE4">
        <w:t xml:space="preserve"> appropriate</w:t>
      </w:r>
      <w:r>
        <w:t xml:space="preserve"> means of evaluation and analysis</w:t>
      </w:r>
      <w:r w:rsidRPr="00C84DE4">
        <w:t>.</w:t>
      </w:r>
      <w:r>
        <w:rPr>
          <w:rStyle w:val="FootnoteReference"/>
        </w:rPr>
        <w:footnoteReference w:id="20"/>
      </w:r>
      <w:r w:rsidR="00A26BF1">
        <w:t xml:space="preserve"> </w:t>
      </w:r>
    </w:p>
    <w:p w:rsidR="00FD75F4" w:rsidRDefault="00FD75F4" w:rsidP="00FD75F4">
      <w:r>
        <w:t xml:space="preserve">This echoes the Energy Users Association of Australia's </w:t>
      </w:r>
      <w:r w:rsidR="00073233">
        <w:t xml:space="preserve">(EUAA) </w:t>
      </w:r>
      <w:r>
        <w:t>submission not to allow the NSW distributors to effectively treat their negotiated labour rates in enterprise bargaining agreements as 'pass throughs'.</w:t>
      </w:r>
      <w:r>
        <w:rPr>
          <w:rStyle w:val="FootnoteReference"/>
        </w:rPr>
        <w:footnoteReference w:id="21"/>
      </w:r>
      <w:r>
        <w:t xml:space="preserve"> </w:t>
      </w:r>
    </w:p>
    <w:p w:rsidR="00A26BF1" w:rsidRDefault="00A26BF1" w:rsidP="00FD75F4">
      <w:r>
        <w:t xml:space="preserve">We consider that AGL and the </w:t>
      </w:r>
      <w:r w:rsidR="00073233">
        <w:t>EUAA</w:t>
      </w:r>
      <w:r>
        <w:t>'s submissions on the NSW distributors</w:t>
      </w:r>
      <w:r w:rsidR="00073233">
        <w:t>’</w:t>
      </w:r>
      <w:r>
        <w:t xml:space="preserve"> proposals apply equally to ActewAGL.</w:t>
      </w:r>
    </w:p>
    <w:p w:rsidR="00FD75F4" w:rsidRDefault="00FD75F4" w:rsidP="00FD75F4">
      <w:r>
        <w:t>We do not assume that a wage deal struck through an enterprise bargaining agreement is automatically efficient. If the service provider expected us to use the costs revealed through its enterprise bargaining agreement as the starting point for determining total labour expenditure, it would not have an effective incentive for cost control, or for the efficient provision of services and the efficient use of the distribution system.</w:t>
      </w:r>
      <w:r>
        <w:rPr>
          <w:rStyle w:val="FootnoteReference"/>
        </w:rPr>
        <w:footnoteReference w:id="22"/>
      </w:r>
      <w:r>
        <w:t xml:space="preserve"> Effectively, that would make such expenditures akin to cost of service regulation, rather than the NER's emphasis on incentive regulation.</w:t>
      </w:r>
    </w:p>
    <w:p w:rsidR="00632368" w:rsidRPr="002F2A53" w:rsidRDefault="005F6F2F" w:rsidP="002F2A53">
      <w:r>
        <w:t>As d</w:t>
      </w:r>
      <w:r w:rsidR="00632368">
        <w:t>iscussed below, Marsden Jacob developed its recommendations using labour types and their respective rates that are available in a competitive labour market.</w:t>
      </w:r>
    </w:p>
    <w:p w:rsidR="00632368" w:rsidRDefault="00632368" w:rsidP="00632368">
      <w:r w:rsidRPr="00395B1A">
        <w:t>Marsden Jacob review</w:t>
      </w:r>
      <w:r>
        <w:t>ed</w:t>
      </w:r>
      <w:r w:rsidRPr="00395B1A">
        <w:t xml:space="preserve"> salary information from all Australian cities. However, Marsden Jacob only </w:t>
      </w:r>
      <w:r w:rsidRPr="00792D1F">
        <w:t>used</w:t>
      </w:r>
      <w:r>
        <w:t xml:space="preserve"> </w:t>
      </w:r>
      <w:r w:rsidR="001C6BB1">
        <w:t xml:space="preserve">NSW </w:t>
      </w:r>
      <w:r>
        <w:t>salary data</w:t>
      </w:r>
      <w:r w:rsidRPr="00792D1F">
        <w:t xml:space="preserve"> </w:t>
      </w:r>
      <w:r w:rsidRPr="00395B1A">
        <w:t xml:space="preserve">to develop </w:t>
      </w:r>
      <w:r>
        <w:t>its</w:t>
      </w:r>
      <w:r w:rsidRPr="00FA4FD9">
        <w:t xml:space="preserve"> </w:t>
      </w:r>
      <w:r w:rsidRPr="0009733F">
        <w:t>recommended maximum raw labour rates</w:t>
      </w:r>
      <w:r>
        <w:t xml:space="preserve"> in respect of the NSW and ACT distributors</w:t>
      </w:r>
      <w:r w:rsidRPr="00FA4FD9">
        <w:t>.</w:t>
      </w:r>
      <w:r>
        <w:rPr>
          <w:rStyle w:val="FootnoteReference"/>
        </w:rPr>
        <w:footnoteReference w:id="23"/>
      </w:r>
      <w:r w:rsidRPr="00395B1A">
        <w:t xml:space="preserve"> </w:t>
      </w:r>
      <w:r>
        <w:t xml:space="preserve">Marsden Jacob compared labour rates </w:t>
      </w:r>
      <w:r w:rsidRPr="00B87258">
        <w:t xml:space="preserve">it developed using </w:t>
      </w:r>
      <w:r>
        <w:t xml:space="preserve">the Hays </w:t>
      </w:r>
      <w:r w:rsidR="001C6BB1">
        <w:t xml:space="preserve">NSW </w:t>
      </w:r>
      <w:r w:rsidRPr="00B87258">
        <w:t xml:space="preserve">data against the Hays </w:t>
      </w:r>
      <w:r w:rsidR="00382D7F">
        <w:t>Victoria</w:t>
      </w:r>
      <w:r w:rsidR="00382D7F" w:rsidRPr="00B87258">
        <w:t xml:space="preserve"> </w:t>
      </w:r>
      <w:r w:rsidRPr="00B87258">
        <w:t>data. Marsden Jacob did this</w:t>
      </w:r>
      <w:r>
        <w:t xml:space="preserve"> as a cross-check</w:t>
      </w:r>
      <w:r w:rsidRPr="00B87258">
        <w:t xml:space="preserve"> to test the reasonableness of its </w:t>
      </w:r>
      <w:r>
        <w:t>recommended labour rates</w:t>
      </w:r>
      <w:r w:rsidRPr="00B87258">
        <w:t xml:space="preserve">. Marsden Jacob found its </w:t>
      </w:r>
      <w:r>
        <w:t xml:space="preserve">recommended labour rates </w:t>
      </w:r>
      <w:r w:rsidRPr="00B87258">
        <w:t xml:space="preserve">did not differ significantly from the </w:t>
      </w:r>
      <w:r>
        <w:t xml:space="preserve">Hays </w:t>
      </w:r>
      <w:r w:rsidR="00382D7F">
        <w:t>Victoria</w:t>
      </w:r>
      <w:r w:rsidR="00382D7F" w:rsidRPr="00B87258">
        <w:t xml:space="preserve"> </w:t>
      </w:r>
      <w:r>
        <w:t xml:space="preserve">raw labour rate </w:t>
      </w:r>
      <w:r w:rsidRPr="00B87258">
        <w:t>data.</w:t>
      </w:r>
    </w:p>
    <w:p w:rsidR="00632368" w:rsidRDefault="00632368" w:rsidP="00632368">
      <w:r>
        <w:lastRenderedPageBreak/>
        <w:t xml:space="preserve">In its report, Marsden Jacob also included raw labour rates across the five labour categories for </w:t>
      </w:r>
      <w:r w:rsidR="00382D7F">
        <w:t xml:space="preserve">Queensland </w:t>
      </w:r>
      <w:r>
        <w:t>and Auckland. Marsden Jacob included this data for illustration purposes</w:t>
      </w:r>
      <w:r w:rsidRPr="00041D34">
        <w:t>—</w:t>
      </w:r>
      <w:r>
        <w:t xml:space="preserve">labour rates in each category did not vary significantly across these locations. The differences observed probably captured differences between locations including economic conditions, labour laws and population. For these reasons, we consider the </w:t>
      </w:r>
      <w:r w:rsidR="001C6BB1">
        <w:t xml:space="preserve">NSW </w:t>
      </w:r>
      <w:r w:rsidRPr="00BC24A4">
        <w:t xml:space="preserve">rates </w:t>
      </w:r>
      <w:r w:rsidRPr="0009733F">
        <w:t>alone were acceptable to develop maximum recommended labour rates for ancillary network service charges for the NSW and ACT distributors</w:t>
      </w:r>
      <w:r w:rsidRPr="00BC24A4">
        <w:t>.</w:t>
      </w:r>
      <w:r>
        <w:t xml:space="preserve"> </w:t>
      </w:r>
    </w:p>
    <w:p w:rsidR="002F2A53" w:rsidRPr="002F2A53" w:rsidRDefault="002F2A53" w:rsidP="002F2A53">
      <w:r w:rsidRPr="002F2A53">
        <w:t>Marsden Jacob used job titles from Hays’ energy specific salary guide to develop maximum recommended labour rates.</w:t>
      </w:r>
      <w:r w:rsidRPr="002F2A53">
        <w:rPr>
          <w:rStyle w:val="FootnoteReference"/>
        </w:rPr>
        <w:footnoteReference w:id="24"/>
      </w:r>
      <w:r w:rsidRPr="002F2A53">
        <w:t xml:space="preserve"> Marsden Jacob supplemented this with data from the Hays office support salary guide.</w:t>
      </w:r>
      <w:r w:rsidRPr="002F2A53">
        <w:rPr>
          <w:rStyle w:val="FootnoteReference"/>
        </w:rPr>
        <w:footnoteReference w:id="25"/>
      </w:r>
      <w:r w:rsidRPr="002F2A53">
        <w:t xml:space="preserve"> This ensured that the ‘administration’ category was sufficiently covered. </w:t>
      </w:r>
    </w:p>
    <w:p w:rsidR="0042641C" w:rsidRPr="0042641C" w:rsidRDefault="0042641C" w:rsidP="0042641C">
      <w:r w:rsidRPr="0042641C">
        <w:t>Marsden Jacob analysed 66 different job titles; Marsden Jacob used 36 of these in developing rates for the five labour categories.</w:t>
      </w:r>
      <w:r w:rsidRPr="0042641C">
        <w:rPr>
          <w:rStyle w:val="FootnoteReference"/>
        </w:rPr>
        <w:footnoteReference w:id="26"/>
      </w:r>
      <w:r w:rsidRPr="0042641C">
        <w:t xml:space="preserve"> These 36 labour job titles involved tasks which clearly fell into either the 'administration', 'technical specialist', 'engineer', 'field worker',</w:t>
      </w:r>
      <w:r w:rsidR="00CB13CF">
        <w:t xml:space="preserve"> </w:t>
      </w:r>
      <w:r w:rsidRPr="0042641C">
        <w:t xml:space="preserve">or 'senior engineer' labour categories. Marsden Jacob excluded job titles that were not relevant to electricity distributors such as 'wind farm engineer'. </w:t>
      </w:r>
      <w:r w:rsidRPr="0042641C">
        <w:fldChar w:fldCharType="begin"/>
      </w:r>
      <w:r w:rsidRPr="0042641C">
        <w:instrText xml:space="preserve"> REF _Ref414026998 \h </w:instrText>
      </w:r>
      <w:r w:rsidRPr="0042641C">
        <w:fldChar w:fldCharType="separate"/>
      </w:r>
      <w:r w:rsidR="004704F5" w:rsidRPr="0042641C">
        <w:t xml:space="preserve">Table </w:t>
      </w:r>
      <w:r w:rsidR="004704F5">
        <w:rPr>
          <w:noProof/>
        </w:rPr>
        <w:t>16</w:t>
      </w:r>
      <w:r w:rsidR="004704F5">
        <w:t>.</w:t>
      </w:r>
      <w:r w:rsidR="004704F5">
        <w:rPr>
          <w:noProof/>
        </w:rPr>
        <w:t>6</w:t>
      </w:r>
      <w:r w:rsidRPr="0042641C">
        <w:fldChar w:fldCharType="end"/>
      </w:r>
      <w:r w:rsidRPr="0042641C">
        <w:t xml:space="preserve"> shows the 36 job titles Marsden Jacob used to develop recommended maximum labour rates for each of the five labour categories. We consider these 36 job titles provide Marsden Jacob with a sample of labour rates available in a </w:t>
      </w:r>
      <w:r w:rsidR="002F2A53">
        <w:t>competitive</w:t>
      </w:r>
      <w:r w:rsidRPr="0042641C">
        <w:t xml:space="preserve"> labour market. </w:t>
      </w:r>
      <w:r w:rsidR="002F2A53">
        <w:t xml:space="preserve"> </w:t>
      </w:r>
    </w:p>
    <w:p w:rsidR="0042641C" w:rsidRPr="0042641C" w:rsidRDefault="0042641C" w:rsidP="0042641C">
      <w:pPr>
        <w:pStyle w:val="Caption"/>
      </w:pPr>
      <w:bookmarkStart w:id="28" w:name="_Ref414026998"/>
      <w:r w:rsidRPr="0042641C">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6</w:t>
      </w:r>
      <w:r w:rsidR="000D189C">
        <w:rPr>
          <w:noProof/>
        </w:rPr>
        <w:fldChar w:fldCharType="end"/>
      </w:r>
      <w:bookmarkEnd w:id="28"/>
      <w:r w:rsidRPr="0042641C">
        <w:t>: Job titles Marsden Jacob used to develop benchmark labour rates</w:t>
      </w:r>
    </w:p>
    <w:tbl>
      <w:tblPr>
        <w:tblStyle w:val="AERtable-text0"/>
        <w:tblW w:w="0" w:type="auto"/>
        <w:tblLook w:val="04A0" w:firstRow="1" w:lastRow="0" w:firstColumn="1" w:lastColumn="0" w:noHBand="0" w:noVBand="1"/>
      </w:tblPr>
      <w:tblGrid>
        <w:gridCol w:w="1920"/>
        <w:gridCol w:w="1420"/>
        <w:gridCol w:w="5200"/>
      </w:tblGrid>
      <w:tr w:rsidR="0042641C" w:rsidRPr="00D138DA" w:rsidTr="0084368C">
        <w:trPr>
          <w:cnfStyle w:val="100000000000" w:firstRow="1" w:lastRow="0" w:firstColumn="0" w:lastColumn="0" w:oddVBand="0" w:evenVBand="0" w:oddHBand="0" w:evenHBand="0" w:firstRowFirstColumn="0" w:firstRowLastColumn="0" w:lastRowFirstColumn="0" w:lastRowLastColumn="0"/>
          <w:trHeight w:val="300"/>
          <w:tblHeader/>
        </w:trPr>
        <w:tc>
          <w:tcPr>
            <w:tcW w:w="1920" w:type="dxa"/>
            <w:noWrap/>
            <w:hideMark/>
          </w:tcPr>
          <w:p w:rsidR="0042641C" w:rsidRPr="0042641C" w:rsidRDefault="0042641C" w:rsidP="0042641C">
            <w:r w:rsidRPr="0042641C">
              <w:t>Labour category</w:t>
            </w:r>
          </w:p>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Job title</w:t>
            </w:r>
          </w:p>
        </w:tc>
      </w:tr>
      <w:tr w:rsidR="0042641C" w:rsidRPr="00D138DA" w:rsidTr="00F35C00">
        <w:trPr>
          <w:trHeight w:val="300"/>
        </w:trPr>
        <w:tc>
          <w:tcPr>
            <w:tcW w:w="1920" w:type="dxa"/>
            <w:noWrap/>
            <w:hideMark/>
          </w:tcPr>
          <w:p w:rsidR="0042641C" w:rsidRPr="0042641C" w:rsidRDefault="0042641C" w:rsidP="0042641C">
            <w:r w:rsidRPr="0042641C">
              <w:t>Admin</w:t>
            </w:r>
          </w:p>
        </w:tc>
        <w:tc>
          <w:tcPr>
            <w:tcW w:w="1420" w:type="dxa"/>
            <w:noWrap/>
            <w:hideMark/>
          </w:tcPr>
          <w:p w:rsidR="0042641C" w:rsidRPr="0042641C" w:rsidRDefault="0042641C" w:rsidP="0042641C">
            <w:r w:rsidRPr="0042641C">
              <w:t>14 data points</w:t>
            </w:r>
          </w:p>
        </w:tc>
        <w:tc>
          <w:tcPr>
            <w:tcW w:w="5200" w:type="dxa"/>
            <w:noWrap/>
            <w:hideMark/>
          </w:tcPr>
          <w:p w:rsidR="0042641C" w:rsidRPr="0042641C" w:rsidRDefault="0042641C" w:rsidP="0042641C">
            <w:r w:rsidRPr="0042641C">
              <w:t>Project secretary / Administrator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r w:rsidRPr="0042641C">
              <w:t>(7 job titles)</w:t>
            </w:r>
          </w:p>
        </w:tc>
        <w:tc>
          <w:tcPr>
            <w:tcW w:w="5200" w:type="dxa"/>
            <w:noWrap/>
            <w:hideMark/>
          </w:tcPr>
          <w:p w:rsidR="0042641C" w:rsidRPr="0042641C" w:rsidRDefault="0042641C" w:rsidP="0042641C">
            <w:r w:rsidRPr="0042641C">
              <w:t>Client liaison (residential)</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Data entry operator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Records officer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Administration assistant (12+ months experience)</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Project administration assistant (3+ years</w:t>
            </w:r>
            <w:r w:rsidR="00CB13CF">
              <w:t>’</w:t>
            </w:r>
            <w:r w:rsidRPr="0042641C">
              <w:t xml:space="preserve"> experience)</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Project coordinator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r w:rsidRPr="0042641C">
              <w:t>Technical specialist</w:t>
            </w:r>
          </w:p>
        </w:tc>
        <w:tc>
          <w:tcPr>
            <w:tcW w:w="1420" w:type="dxa"/>
            <w:noWrap/>
            <w:hideMark/>
          </w:tcPr>
          <w:p w:rsidR="0042641C" w:rsidRPr="0042641C" w:rsidRDefault="0042641C" w:rsidP="0042641C">
            <w:r w:rsidRPr="0042641C">
              <w:t>22 data points</w:t>
            </w:r>
          </w:p>
        </w:tc>
        <w:tc>
          <w:tcPr>
            <w:tcW w:w="5200" w:type="dxa"/>
            <w:noWrap/>
            <w:hideMark/>
          </w:tcPr>
          <w:p w:rsidR="0042641C" w:rsidRPr="0042641C" w:rsidRDefault="0042641C" w:rsidP="0042641C">
            <w:r w:rsidRPr="0042641C">
              <w:t>Technician</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r w:rsidRPr="0042641C">
              <w:t>(11 job titles)</w:t>
            </w:r>
          </w:p>
        </w:tc>
        <w:tc>
          <w:tcPr>
            <w:tcW w:w="5200" w:type="dxa"/>
            <w:noWrap/>
            <w:hideMark/>
          </w:tcPr>
          <w:p w:rsidR="0042641C" w:rsidRPr="0042641C" w:rsidRDefault="0042641C" w:rsidP="0042641C">
            <w:r w:rsidRPr="0042641C">
              <w:t>Control room operator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Control room manager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E&amp;I technician</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Protection technician</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Generator technician</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Operator / manager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Site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Planner / scheduler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OHS supervisor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OHS manager</w:t>
            </w:r>
          </w:p>
        </w:tc>
      </w:tr>
      <w:tr w:rsidR="0042641C" w:rsidRPr="00D138DA" w:rsidTr="00F35C00">
        <w:trPr>
          <w:trHeight w:val="300"/>
        </w:trPr>
        <w:tc>
          <w:tcPr>
            <w:tcW w:w="1920" w:type="dxa"/>
            <w:noWrap/>
            <w:hideMark/>
          </w:tcPr>
          <w:p w:rsidR="0042641C" w:rsidRPr="0042641C" w:rsidRDefault="0042641C" w:rsidP="0042641C">
            <w:r w:rsidRPr="0042641C">
              <w:t>Engineer</w:t>
            </w:r>
          </w:p>
        </w:tc>
        <w:tc>
          <w:tcPr>
            <w:tcW w:w="1420" w:type="dxa"/>
            <w:noWrap/>
            <w:hideMark/>
          </w:tcPr>
          <w:p w:rsidR="0042641C" w:rsidRPr="0042641C" w:rsidRDefault="0042641C" w:rsidP="0042641C">
            <w:r w:rsidRPr="0042641C">
              <w:t>14 data points</w:t>
            </w:r>
          </w:p>
        </w:tc>
        <w:tc>
          <w:tcPr>
            <w:tcW w:w="5200" w:type="dxa"/>
            <w:noWrap/>
            <w:hideMark/>
          </w:tcPr>
          <w:p w:rsidR="0042641C" w:rsidRPr="0042641C" w:rsidRDefault="0042641C" w:rsidP="0042641C">
            <w:r w:rsidRPr="0042641C">
              <w:t>Design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r w:rsidRPr="0042641C">
              <w:t>(7 job titles)</w:t>
            </w:r>
          </w:p>
        </w:tc>
        <w:tc>
          <w:tcPr>
            <w:tcW w:w="5200" w:type="dxa"/>
            <w:noWrap/>
            <w:hideMark/>
          </w:tcPr>
          <w:p w:rsidR="0042641C" w:rsidRPr="0042641C" w:rsidRDefault="0042641C" w:rsidP="0042641C">
            <w:r w:rsidRPr="0042641C">
              <w:t>Project engineer (EPCM)</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Power systems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Protection engineer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Transmission line design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Asset engineer (3 to 7 years)</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Project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r w:rsidRPr="0042641C">
              <w:t>Field worker</w:t>
            </w:r>
          </w:p>
        </w:tc>
        <w:tc>
          <w:tcPr>
            <w:tcW w:w="1420" w:type="dxa"/>
            <w:noWrap/>
            <w:hideMark/>
          </w:tcPr>
          <w:p w:rsidR="0042641C" w:rsidRPr="0042641C" w:rsidRDefault="0042641C" w:rsidP="0042641C">
            <w:r w:rsidRPr="0042641C">
              <w:t>14 data points</w:t>
            </w:r>
          </w:p>
        </w:tc>
        <w:tc>
          <w:tcPr>
            <w:tcW w:w="5200" w:type="dxa"/>
            <w:noWrap/>
            <w:hideMark/>
          </w:tcPr>
          <w:p w:rsidR="0042641C" w:rsidRPr="0042641C" w:rsidRDefault="0042641C" w:rsidP="0042641C">
            <w:r w:rsidRPr="0042641C">
              <w:t>Leading hand</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r w:rsidRPr="0042641C">
              <w:t>(7 job titles)</w:t>
            </w:r>
          </w:p>
        </w:tc>
        <w:tc>
          <w:tcPr>
            <w:tcW w:w="5200" w:type="dxa"/>
            <w:noWrap/>
            <w:hideMark/>
          </w:tcPr>
          <w:p w:rsidR="0042641C" w:rsidRPr="0042641C" w:rsidRDefault="0042641C" w:rsidP="0042641C">
            <w:r w:rsidRPr="0042641C">
              <w:t>Electrician</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Mechanical fitter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Line worker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G&amp;B linesworker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Cable jointer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Cable layer</w:t>
            </w:r>
          </w:p>
        </w:tc>
      </w:tr>
      <w:tr w:rsidR="0042641C" w:rsidRPr="00D138DA" w:rsidTr="00F35C00">
        <w:trPr>
          <w:trHeight w:val="300"/>
        </w:trPr>
        <w:tc>
          <w:tcPr>
            <w:tcW w:w="1920" w:type="dxa"/>
            <w:noWrap/>
            <w:hideMark/>
          </w:tcPr>
          <w:p w:rsidR="0042641C" w:rsidRPr="0042641C" w:rsidRDefault="0042641C" w:rsidP="0042641C">
            <w:r w:rsidRPr="0042641C">
              <w:t>Senior engineer</w:t>
            </w:r>
          </w:p>
        </w:tc>
        <w:tc>
          <w:tcPr>
            <w:tcW w:w="1420" w:type="dxa"/>
            <w:noWrap/>
            <w:hideMark/>
          </w:tcPr>
          <w:p w:rsidR="0042641C" w:rsidRPr="0042641C" w:rsidRDefault="0042641C" w:rsidP="0042641C">
            <w:r w:rsidRPr="0042641C">
              <w:t>8 data points</w:t>
            </w:r>
          </w:p>
        </w:tc>
        <w:tc>
          <w:tcPr>
            <w:tcW w:w="5200" w:type="dxa"/>
            <w:noWrap/>
            <w:hideMark/>
          </w:tcPr>
          <w:p w:rsidR="0042641C" w:rsidRPr="0042641C" w:rsidRDefault="0042641C" w:rsidP="0042641C">
            <w:r w:rsidRPr="0042641C">
              <w:t>Senior design engineer</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r w:rsidRPr="0042641C">
              <w:t>(4 job titles)</w:t>
            </w:r>
          </w:p>
        </w:tc>
        <w:tc>
          <w:tcPr>
            <w:tcW w:w="5200" w:type="dxa"/>
            <w:noWrap/>
            <w:hideMark/>
          </w:tcPr>
          <w:p w:rsidR="0042641C" w:rsidRPr="0042641C" w:rsidRDefault="0042641C" w:rsidP="0042641C">
            <w:r w:rsidRPr="0042641C">
              <w:t>Principal design engineer</w:t>
            </w:r>
          </w:p>
        </w:tc>
      </w:tr>
      <w:tr w:rsidR="0042641C" w:rsidRPr="00D138DA" w:rsidTr="00F35C00">
        <w:trPr>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Senior project engineer (EPCM)</w:t>
            </w:r>
          </w:p>
        </w:tc>
      </w:tr>
      <w:tr w:rsidR="0042641C" w:rsidRPr="00D138DA" w:rsidTr="00F35C00">
        <w:trPr>
          <w:cnfStyle w:val="000000010000" w:firstRow="0" w:lastRow="0" w:firstColumn="0" w:lastColumn="0" w:oddVBand="0" w:evenVBand="0" w:oddHBand="0" w:evenHBand="1" w:firstRowFirstColumn="0" w:firstRowLastColumn="0" w:lastRowFirstColumn="0" w:lastRowLastColumn="0"/>
          <w:trHeight w:val="300"/>
        </w:trPr>
        <w:tc>
          <w:tcPr>
            <w:tcW w:w="1920" w:type="dxa"/>
            <w:noWrap/>
            <w:hideMark/>
          </w:tcPr>
          <w:p w:rsidR="0042641C" w:rsidRPr="0042641C" w:rsidRDefault="0042641C" w:rsidP="0042641C"/>
        </w:tc>
        <w:tc>
          <w:tcPr>
            <w:tcW w:w="1420" w:type="dxa"/>
            <w:noWrap/>
            <w:hideMark/>
          </w:tcPr>
          <w:p w:rsidR="0042641C" w:rsidRPr="0042641C" w:rsidRDefault="0042641C" w:rsidP="0042641C"/>
        </w:tc>
        <w:tc>
          <w:tcPr>
            <w:tcW w:w="5200" w:type="dxa"/>
            <w:noWrap/>
            <w:hideMark/>
          </w:tcPr>
          <w:p w:rsidR="0042641C" w:rsidRPr="0042641C" w:rsidRDefault="0042641C" w:rsidP="0042641C">
            <w:r w:rsidRPr="0042641C">
              <w:t>Commissioning Engineer</w:t>
            </w:r>
          </w:p>
        </w:tc>
      </w:tr>
    </w:tbl>
    <w:p w:rsidR="0042641C" w:rsidRPr="0042641C" w:rsidRDefault="0042641C" w:rsidP="0042641C">
      <w:pPr>
        <w:pStyle w:val="Source"/>
      </w:pPr>
      <w:r w:rsidRPr="0042641C">
        <w:t>Source: Marsden Jacob Analysis</w:t>
      </w:r>
    </w:p>
    <w:p w:rsidR="0042641C" w:rsidRPr="0042641C" w:rsidRDefault="0042641C" w:rsidP="0042641C">
      <w:r w:rsidRPr="0042641C">
        <w:t xml:space="preserve">Marsden Jacob considered the range of data provided for each labour category across the various job titles. In doing this, </w:t>
      </w:r>
      <w:r w:rsidR="00632368">
        <w:t>it</w:t>
      </w:r>
      <w:r w:rsidRPr="0042641C">
        <w:t xml:space="preserve"> derived salary ranges for each labour category by:</w:t>
      </w:r>
    </w:p>
    <w:p w:rsidR="0042641C" w:rsidRPr="0042641C" w:rsidRDefault="0042641C" w:rsidP="003E4F07">
      <w:pPr>
        <w:pStyle w:val="AERbulletlistfirststyle"/>
      </w:pPr>
      <w:r w:rsidRPr="0042641C">
        <w:t>identifying the lowest salary from all job titles in the labour category</w:t>
      </w:r>
    </w:p>
    <w:p w:rsidR="0042641C" w:rsidRPr="0042641C" w:rsidRDefault="0042641C" w:rsidP="0042641C">
      <w:pPr>
        <w:pStyle w:val="AERbulletlistfirststyle"/>
      </w:pPr>
      <w:r w:rsidRPr="0042641C">
        <w:t>identifying the highest salary from all job titles in the labour category</w:t>
      </w:r>
      <w:r w:rsidR="00931C89">
        <w:t>.</w:t>
      </w:r>
    </w:p>
    <w:p w:rsidR="0042641C" w:rsidRPr="0042641C" w:rsidRDefault="0042641C" w:rsidP="0042641C">
      <w:r w:rsidRPr="0042641C">
        <w:lastRenderedPageBreak/>
        <w:t xml:space="preserve">We consider this range represents the full pool of labour (and raw labour rates) that </w:t>
      </w:r>
      <w:r>
        <w:t>ActewAGL</w:t>
      </w:r>
      <w:r w:rsidRPr="0042641C">
        <w:t xml:space="preserve"> would have access to</w:t>
      </w:r>
      <w:r w:rsidR="00632368">
        <w:t xml:space="preserve"> in a competitive labour market</w:t>
      </w:r>
      <w:r w:rsidRPr="0042641C">
        <w:t xml:space="preserve">. </w:t>
      </w:r>
      <w:r w:rsidR="00632368" w:rsidRPr="0009733F">
        <w:t>Marsden Jacob recommended using the maximum raw labour rate for each labour catego</w:t>
      </w:r>
      <w:r w:rsidR="00632368" w:rsidRPr="007C605D">
        <w:t>ry</w:t>
      </w:r>
      <w:r w:rsidR="00632368">
        <w:t xml:space="preserve"> to develop its maximum total labour rate.</w:t>
      </w:r>
      <w:r w:rsidR="00632368">
        <w:rPr>
          <w:rStyle w:val="FootnoteReference"/>
        </w:rPr>
        <w:footnoteReference w:id="27"/>
      </w:r>
      <w:r w:rsidR="00632368">
        <w:t xml:space="preserve"> We consider this to be a prudent approach. </w:t>
      </w:r>
      <w:r w:rsidR="00632368" w:rsidRPr="00F762AA">
        <w:t xml:space="preserve">It </w:t>
      </w:r>
      <w:r w:rsidR="00632368" w:rsidRPr="002F0772">
        <w:t xml:space="preserve">provides the distribution business with a reasonable opportunity to recover at least its efficient </w:t>
      </w:r>
      <w:r w:rsidR="0014728F" w:rsidRPr="002F0772">
        <w:t>costs</w:t>
      </w:r>
      <w:r w:rsidR="0014728F">
        <w:t>, while promoting the efficient provision of services</w:t>
      </w:r>
      <w:r w:rsidR="00632368" w:rsidRPr="00012CED">
        <w:t>.</w:t>
      </w:r>
      <w:r w:rsidR="00632368">
        <w:t xml:space="preserve">    </w:t>
      </w:r>
    </w:p>
    <w:p w:rsidR="00966061" w:rsidRDefault="00966061" w:rsidP="00CB13CF">
      <w:pPr>
        <w:pStyle w:val="Caption"/>
      </w:pPr>
      <w:bookmarkStart w:id="29" w:name="_Ref414991790"/>
      <w:r>
        <w:t xml:space="preserve">Table </w:t>
      </w:r>
      <w:fldSimple w:instr=" STYLEREF 1 \s ">
        <w:r w:rsidR="004704F5">
          <w:rPr>
            <w:noProof/>
          </w:rPr>
          <w:t>16</w:t>
        </w:r>
      </w:fldSimple>
      <w:r w:rsidR="00572635">
        <w:t>.</w:t>
      </w:r>
      <w:r w:rsidR="000D189C">
        <w:fldChar w:fldCharType="begin"/>
      </w:r>
      <w:r w:rsidR="000D189C">
        <w:instrText xml:space="preserve"> SEQ Table \* ARA</w:instrText>
      </w:r>
      <w:r w:rsidR="000D189C">
        <w:instrText xml:space="preserve">BIC \s 1 </w:instrText>
      </w:r>
      <w:r w:rsidR="000D189C">
        <w:fldChar w:fldCharType="separate"/>
      </w:r>
      <w:r w:rsidR="004704F5">
        <w:rPr>
          <w:noProof/>
        </w:rPr>
        <w:t>7</w:t>
      </w:r>
      <w:r w:rsidR="000D189C">
        <w:rPr>
          <w:noProof/>
        </w:rPr>
        <w:fldChar w:fldCharType="end"/>
      </w:r>
      <w:bookmarkEnd w:id="29"/>
      <w:r>
        <w:t>: final decision maximum raw labour rates</w:t>
      </w:r>
    </w:p>
    <w:tbl>
      <w:tblPr>
        <w:tblStyle w:val="AERtable-text0"/>
        <w:tblW w:w="5000" w:type="pct"/>
        <w:tblLook w:val="04A0" w:firstRow="1" w:lastRow="0" w:firstColumn="1" w:lastColumn="0" w:noHBand="0" w:noVBand="1"/>
      </w:tblPr>
      <w:tblGrid>
        <w:gridCol w:w="2149"/>
        <w:gridCol w:w="3076"/>
        <w:gridCol w:w="3468"/>
      </w:tblGrid>
      <w:tr w:rsidR="00632AB0" w:rsidRPr="00CB13CF" w:rsidTr="00966061">
        <w:trPr>
          <w:cnfStyle w:val="100000000000" w:firstRow="1" w:lastRow="0" w:firstColumn="0" w:lastColumn="0" w:oddVBand="0" w:evenVBand="0" w:oddHBand="0" w:evenHBand="0" w:firstRowFirstColumn="0" w:firstRowLastColumn="0" w:lastRowFirstColumn="0" w:lastRowLastColumn="0"/>
          <w:trHeight w:val="300"/>
        </w:trPr>
        <w:tc>
          <w:tcPr>
            <w:tcW w:w="1342" w:type="pct"/>
            <w:noWrap/>
            <w:hideMark/>
          </w:tcPr>
          <w:p w:rsidR="00C75466" w:rsidRPr="00CB13CF" w:rsidRDefault="00C75466" w:rsidP="0084368C">
            <w:pPr>
              <w:keepNext/>
            </w:pPr>
            <w:r w:rsidRPr="00CB13CF">
              <w:t>Marsden Jacob labour category</w:t>
            </w:r>
          </w:p>
        </w:tc>
        <w:tc>
          <w:tcPr>
            <w:tcW w:w="1926" w:type="pct"/>
            <w:noWrap/>
            <w:hideMark/>
          </w:tcPr>
          <w:p w:rsidR="00C75466" w:rsidRPr="003652A0" w:rsidRDefault="00C75466" w:rsidP="0084368C">
            <w:pPr>
              <w:keepNext/>
            </w:pPr>
            <w:r w:rsidRPr="003652A0">
              <w:t>Corresponding ActewAGL labour categories</w:t>
            </w:r>
          </w:p>
        </w:tc>
        <w:tc>
          <w:tcPr>
            <w:tcW w:w="1732" w:type="pct"/>
            <w:noWrap/>
            <w:hideMark/>
          </w:tcPr>
          <w:p w:rsidR="00C75466" w:rsidRPr="00A06BBF" w:rsidRDefault="00C75466" w:rsidP="0084368C">
            <w:pPr>
              <w:keepNext/>
            </w:pPr>
            <w:r w:rsidRPr="007C3BA8">
              <w:t>AER maximum raw labour rate</w:t>
            </w:r>
            <w:r w:rsidR="00632AB0" w:rsidRPr="00827BDA">
              <w:t xml:space="preserve"> (</w:t>
            </w:r>
            <w:r w:rsidR="00066F62" w:rsidRPr="00846BF9">
              <w:t xml:space="preserve">$ per hour, </w:t>
            </w:r>
            <w:r w:rsidR="00632AB0" w:rsidRPr="00846BF9">
              <w:t>$2014–15)</w:t>
            </w:r>
          </w:p>
        </w:tc>
      </w:tr>
      <w:tr w:rsidR="00632AB0" w:rsidRPr="00CB13CF" w:rsidTr="00966061">
        <w:trPr>
          <w:trHeight w:val="300"/>
        </w:trPr>
        <w:tc>
          <w:tcPr>
            <w:tcW w:w="1342" w:type="pct"/>
            <w:noWrap/>
            <w:hideMark/>
          </w:tcPr>
          <w:p w:rsidR="00C75466" w:rsidRPr="00CB13CF" w:rsidRDefault="00C75466" w:rsidP="0084368C">
            <w:pPr>
              <w:keepNext/>
            </w:pPr>
            <w:r w:rsidRPr="00CB13CF">
              <w:t>Admin</w:t>
            </w:r>
          </w:p>
        </w:tc>
        <w:tc>
          <w:tcPr>
            <w:tcW w:w="1926" w:type="pct"/>
            <w:noWrap/>
            <w:hideMark/>
          </w:tcPr>
          <w:p w:rsidR="00C75466" w:rsidRPr="00CB13CF" w:rsidRDefault="00C75466" w:rsidP="0084368C">
            <w:pPr>
              <w:keepNext/>
            </w:pPr>
            <w:r w:rsidRPr="00CB13CF">
              <w:t>Office support service delivery</w:t>
            </w:r>
          </w:p>
        </w:tc>
        <w:tc>
          <w:tcPr>
            <w:tcW w:w="1732" w:type="pct"/>
            <w:noWrap/>
            <w:hideMark/>
          </w:tcPr>
          <w:p w:rsidR="00C75466" w:rsidRPr="003652A0" w:rsidRDefault="00C75466" w:rsidP="0084368C">
            <w:pPr>
              <w:keepNext/>
              <w:jc w:val="right"/>
            </w:pPr>
            <w:r w:rsidRPr="00CB13CF">
              <w:t>39</w:t>
            </w:r>
          </w:p>
        </w:tc>
      </w:tr>
      <w:tr w:rsidR="00632AB0" w:rsidRPr="00CB13CF" w:rsidTr="00966061">
        <w:trPr>
          <w:cnfStyle w:val="000000010000" w:firstRow="0" w:lastRow="0" w:firstColumn="0" w:lastColumn="0" w:oddVBand="0" w:evenVBand="0" w:oddHBand="0" w:evenHBand="1" w:firstRowFirstColumn="0" w:firstRowLastColumn="0" w:lastRowFirstColumn="0" w:lastRowLastColumn="0"/>
          <w:trHeight w:val="300"/>
        </w:trPr>
        <w:tc>
          <w:tcPr>
            <w:tcW w:w="1342" w:type="pct"/>
            <w:noWrap/>
            <w:hideMark/>
          </w:tcPr>
          <w:p w:rsidR="00C75466" w:rsidRPr="00CB13CF" w:rsidRDefault="00C75466" w:rsidP="0084368C">
            <w:r w:rsidRPr="00CB13CF">
              <w:t>Technical</w:t>
            </w:r>
          </w:p>
        </w:tc>
        <w:tc>
          <w:tcPr>
            <w:tcW w:w="1926" w:type="pct"/>
            <w:noWrap/>
            <w:hideMark/>
          </w:tcPr>
          <w:p w:rsidR="00C75466" w:rsidRPr="00CB13CF" w:rsidRDefault="00C75466" w:rsidP="0084368C">
            <w:r w:rsidRPr="00CB13CF">
              <w:t>Electrical worker</w:t>
            </w:r>
          </w:p>
        </w:tc>
        <w:tc>
          <w:tcPr>
            <w:tcW w:w="1732" w:type="pct"/>
            <w:noWrap/>
            <w:hideMark/>
          </w:tcPr>
          <w:p w:rsidR="00C75466" w:rsidRPr="007C3BA8" w:rsidRDefault="00C75466" w:rsidP="0084368C">
            <w:pPr>
              <w:jc w:val="right"/>
            </w:pPr>
            <w:r w:rsidRPr="003652A0">
              <w:t>59</w:t>
            </w:r>
          </w:p>
        </w:tc>
      </w:tr>
      <w:tr w:rsidR="00632AB0" w:rsidRPr="00CB13CF" w:rsidTr="00966061">
        <w:trPr>
          <w:trHeight w:val="300"/>
        </w:trPr>
        <w:tc>
          <w:tcPr>
            <w:tcW w:w="1342" w:type="pct"/>
            <w:noWrap/>
            <w:hideMark/>
          </w:tcPr>
          <w:p w:rsidR="00C75466" w:rsidRPr="00CB13CF" w:rsidRDefault="00C75466" w:rsidP="0084368C">
            <w:r w:rsidRPr="00CB13CF">
              <w:t>Engineer</w:t>
            </w:r>
          </w:p>
        </w:tc>
        <w:tc>
          <w:tcPr>
            <w:tcW w:w="1926" w:type="pct"/>
            <w:noWrap/>
            <w:hideMark/>
          </w:tcPr>
          <w:p w:rsidR="00C75466" w:rsidRPr="003652A0" w:rsidRDefault="00C75466" w:rsidP="0084368C">
            <w:r w:rsidRPr="00CB13CF">
              <w:t>Proje</w:t>
            </w:r>
            <w:r w:rsidRPr="003652A0">
              <w:t>ct officer design section</w:t>
            </w:r>
          </w:p>
        </w:tc>
        <w:tc>
          <w:tcPr>
            <w:tcW w:w="1732" w:type="pct"/>
            <w:noWrap/>
            <w:hideMark/>
          </w:tcPr>
          <w:p w:rsidR="00C75466" w:rsidRPr="00827BDA" w:rsidRDefault="00C75466" w:rsidP="0084368C">
            <w:pPr>
              <w:jc w:val="right"/>
            </w:pPr>
            <w:r w:rsidRPr="007C3BA8">
              <w:t>69</w:t>
            </w:r>
          </w:p>
        </w:tc>
      </w:tr>
      <w:tr w:rsidR="00632AB0" w:rsidRPr="00CB13CF" w:rsidTr="00966061">
        <w:trPr>
          <w:cnfStyle w:val="000000010000" w:firstRow="0" w:lastRow="0" w:firstColumn="0" w:lastColumn="0" w:oddVBand="0" w:evenVBand="0" w:oddHBand="0" w:evenHBand="1" w:firstRowFirstColumn="0" w:firstRowLastColumn="0" w:lastRowFirstColumn="0" w:lastRowLastColumn="0"/>
          <w:trHeight w:val="300"/>
        </w:trPr>
        <w:tc>
          <w:tcPr>
            <w:tcW w:w="1342" w:type="pct"/>
            <w:noWrap/>
            <w:hideMark/>
          </w:tcPr>
          <w:p w:rsidR="00C75466" w:rsidRPr="00CB13CF" w:rsidRDefault="00C75466" w:rsidP="0084368C">
            <w:r w:rsidRPr="00CB13CF">
              <w:t>Field worker</w:t>
            </w:r>
          </w:p>
        </w:tc>
        <w:tc>
          <w:tcPr>
            <w:tcW w:w="1926" w:type="pct"/>
            <w:noWrap/>
            <w:hideMark/>
          </w:tcPr>
          <w:p w:rsidR="00C75466" w:rsidRPr="00827BDA" w:rsidRDefault="00C75466" w:rsidP="0084368C">
            <w:r w:rsidRPr="003652A0">
              <w:t xml:space="preserve">Electrical worker - labourer, </w:t>
            </w:r>
            <w:r w:rsidR="00632AB0" w:rsidRPr="007C3BA8">
              <w:t xml:space="preserve">&amp; </w:t>
            </w:r>
            <w:r w:rsidRPr="00827BDA">
              <w:t>electrical apprentice</w:t>
            </w:r>
          </w:p>
        </w:tc>
        <w:tc>
          <w:tcPr>
            <w:tcW w:w="1732" w:type="pct"/>
            <w:noWrap/>
            <w:hideMark/>
          </w:tcPr>
          <w:p w:rsidR="00C75466" w:rsidRPr="00846BF9" w:rsidRDefault="00C75466" w:rsidP="0084368C">
            <w:pPr>
              <w:jc w:val="right"/>
            </w:pPr>
            <w:r w:rsidRPr="00846BF9">
              <w:t>47</w:t>
            </w:r>
          </w:p>
        </w:tc>
      </w:tr>
      <w:tr w:rsidR="00632AB0" w:rsidRPr="00CB13CF" w:rsidTr="00931C89">
        <w:trPr>
          <w:trHeight w:val="87"/>
        </w:trPr>
        <w:tc>
          <w:tcPr>
            <w:tcW w:w="1342" w:type="pct"/>
            <w:noWrap/>
            <w:hideMark/>
          </w:tcPr>
          <w:p w:rsidR="00C75466" w:rsidRPr="00CB13CF" w:rsidRDefault="00C75466" w:rsidP="0084368C">
            <w:r w:rsidRPr="00CB13CF">
              <w:t>Senior engineer</w:t>
            </w:r>
          </w:p>
        </w:tc>
        <w:tc>
          <w:tcPr>
            <w:tcW w:w="1926" w:type="pct"/>
            <w:noWrap/>
            <w:hideMark/>
          </w:tcPr>
          <w:p w:rsidR="00C75466" w:rsidRPr="003652A0" w:rsidRDefault="00C75466" w:rsidP="0084368C">
            <w:r w:rsidRPr="003652A0">
              <w:t>Senior technical officer / engineer design section</w:t>
            </w:r>
          </w:p>
        </w:tc>
        <w:tc>
          <w:tcPr>
            <w:tcW w:w="1732" w:type="pct"/>
            <w:noWrap/>
            <w:hideMark/>
          </w:tcPr>
          <w:p w:rsidR="00C75466" w:rsidRPr="00827BDA" w:rsidRDefault="00C75466" w:rsidP="0084368C">
            <w:pPr>
              <w:jc w:val="right"/>
            </w:pPr>
            <w:r w:rsidRPr="007C3BA8">
              <w:t>82</w:t>
            </w:r>
          </w:p>
        </w:tc>
      </w:tr>
    </w:tbl>
    <w:p w:rsidR="00632368" w:rsidRDefault="00632368" w:rsidP="00632368">
      <w:pPr>
        <w:pStyle w:val="AERtablesource"/>
      </w:pPr>
      <w:r w:rsidRPr="00956D3F">
        <w:t>Source</w:t>
      </w:r>
      <w:r>
        <w:t>:</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p w:rsidR="00C17815" w:rsidRDefault="008E5148" w:rsidP="004704F5">
      <w:pPr>
        <w:pStyle w:val="HeadingBoldBlue"/>
      </w:pPr>
      <w:bookmarkStart w:id="30" w:name="_Ref416123340"/>
      <w:r>
        <w:t>On-</w:t>
      </w:r>
      <w:r w:rsidR="00C17815">
        <w:t>costs</w:t>
      </w:r>
      <w:bookmarkEnd w:id="30"/>
    </w:p>
    <w:p w:rsidR="00004CF8" w:rsidRPr="00004CF8" w:rsidRDefault="00004CF8" w:rsidP="00826438">
      <w:r w:rsidRPr="00004CF8">
        <w:t xml:space="preserve">Marsden </w:t>
      </w:r>
      <w:r w:rsidRPr="00826438">
        <w:t>Jacob recommended a maximum on cost rate of 52.23 per cent.</w:t>
      </w:r>
      <w:r w:rsidRPr="00004CF8">
        <w:t xml:space="preserve"> Marsden Jacob developed a 'bottom up' estimate of on costs for the NSW and ACT distributors. Marsden Jacob did this for each of these businesses with reference to the following factors: </w:t>
      </w:r>
    </w:p>
    <w:p w:rsidR="00004CF8" w:rsidRPr="00004CF8" w:rsidRDefault="00004CF8" w:rsidP="00004CF8">
      <w:pPr>
        <w:pStyle w:val="AERbulletlistfirststyle"/>
      </w:pPr>
      <w:r w:rsidRPr="00004CF8">
        <w:t>the superannuation levels included in each distributor's enterprise bargaining agreement</w:t>
      </w:r>
    </w:p>
    <w:p w:rsidR="00004CF8" w:rsidRPr="00004CF8" w:rsidRDefault="00004CF8" w:rsidP="00004CF8">
      <w:pPr>
        <w:pStyle w:val="AERbulletlistfirststyle"/>
      </w:pPr>
      <w:r w:rsidRPr="00004CF8">
        <w:t>a conservative estimate of workers compensation premium</w:t>
      </w:r>
    </w:p>
    <w:p w:rsidR="00004CF8" w:rsidRPr="00004CF8" w:rsidRDefault="00004CF8" w:rsidP="00004CF8">
      <w:pPr>
        <w:pStyle w:val="AERbulletlistfirststyle"/>
      </w:pPr>
      <w:r w:rsidRPr="00004CF8">
        <w:t>standard payroll tax rates in NSW and the ACT</w:t>
      </w:r>
    </w:p>
    <w:p w:rsidR="00004CF8" w:rsidRPr="00004CF8" w:rsidRDefault="00004CF8" w:rsidP="00004CF8">
      <w:pPr>
        <w:pStyle w:val="AERbulletlistfirststyle"/>
      </w:pPr>
      <w:r w:rsidRPr="00004CF8">
        <w:t>annual leave loading of 17.5 per cent loading on four weeks annual leave, which equates to 1.35 per cent of total salary</w:t>
      </w:r>
    </w:p>
    <w:p w:rsidR="00004CF8" w:rsidRPr="00004CF8" w:rsidRDefault="00004CF8" w:rsidP="00004CF8">
      <w:pPr>
        <w:pStyle w:val="AERbulletlistfirststyle"/>
      </w:pPr>
      <w:r w:rsidRPr="00004CF8">
        <w:t>a conservative long service leave allowance based on three months leave for every ten years of service, equating to 2.5 per cent per year</w:t>
      </w:r>
    </w:p>
    <w:p w:rsidR="002E08A8" w:rsidRDefault="00004CF8" w:rsidP="002E08A8">
      <w:pPr>
        <w:pStyle w:val="AERbulletlistfirststyle"/>
      </w:pPr>
      <w:r w:rsidRPr="00004CF8">
        <w:t xml:space="preserve">an assumed rate of 18.18 per cent standard leave (including annual leave, sick leave, and public holidays) for all businesses. </w:t>
      </w:r>
    </w:p>
    <w:p w:rsidR="00C04520" w:rsidRDefault="002E08A8" w:rsidP="002E08A8">
      <w:r>
        <w:lastRenderedPageBreak/>
        <w:t>Based on these factors</w:t>
      </w:r>
      <w:r w:rsidRPr="007C605D">
        <w:t xml:space="preserve">, </w:t>
      </w:r>
      <w:r w:rsidRPr="0009733F">
        <w:t>Marsden Jacob calculated a maximum on cost rate for the ACT and NSW businesses of 52.23 per cent</w:t>
      </w:r>
      <w:r w:rsidRPr="007C605D">
        <w:t>.</w:t>
      </w:r>
      <w:r>
        <w:rPr>
          <w:rStyle w:val="FootnoteReference"/>
        </w:rPr>
        <w:footnoteReference w:id="28"/>
      </w:r>
      <w:r>
        <w:t xml:space="preserve"> It then used this maximum on cost rate to derive its maximum total labour rates. We consider </w:t>
      </w:r>
      <w:r w:rsidRPr="00F27BCC">
        <w:t>this to be a prudent approach</w:t>
      </w:r>
      <w:r w:rsidR="0014728F">
        <w:t xml:space="preserve"> that is consistent with the revenue and pricing principles</w:t>
      </w:r>
      <w:r w:rsidRPr="00F27BCC">
        <w:t xml:space="preserve">. </w:t>
      </w:r>
      <w:r w:rsidR="0014728F">
        <w:t xml:space="preserve"> </w:t>
      </w:r>
      <w:r>
        <w:t xml:space="preserve"> </w:t>
      </w:r>
    </w:p>
    <w:p w:rsidR="004F0ED3" w:rsidRDefault="00C17815" w:rsidP="004704F5">
      <w:pPr>
        <w:pStyle w:val="HeadingBoldBlue"/>
      </w:pPr>
      <w:bookmarkStart w:id="31" w:name="_Ref416123377"/>
      <w:r>
        <w:t>Overheads</w:t>
      </w:r>
      <w:bookmarkEnd w:id="31"/>
      <w:r w:rsidR="0014728F">
        <w:t xml:space="preserve"> </w:t>
      </w:r>
    </w:p>
    <w:p w:rsidR="00D954EB" w:rsidRDefault="00D954EB" w:rsidP="003C5DFD">
      <w:pPr>
        <w:keepNext/>
      </w:pPr>
      <w:r w:rsidRPr="00D64A08">
        <w:t xml:space="preserve">Marsden Jacob </w:t>
      </w:r>
      <w:r>
        <w:t xml:space="preserve">applied </w:t>
      </w:r>
      <w:r w:rsidRPr="0038458F">
        <w:t xml:space="preserve">the </w:t>
      </w:r>
      <w:r w:rsidRPr="0009733F">
        <w:t xml:space="preserve">maximum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4704F5">
        <w:t xml:space="preserve">table </w:t>
      </w:r>
      <w:r w:rsidR="004704F5">
        <w:rPr>
          <w:noProof/>
        </w:rPr>
        <w:t>16</w:t>
      </w:r>
      <w:r w:rsidR="004704F5">
        <w:t>.</w:t>
      </w:r>
      <w:r w:rsidR="004704F5">
        <w:rPr>
          <w:noProof/>
        </w:rPr>
        <w:t>8</w:t>
      </w:r>
      <w:r>
        <w:rPr>
          <w:rStyle w:val="AERtexthighlight"/>
        </w:rPr>
        <w:fldChar w:fldCharType="end"/>
      </w:r>
      <w:r w:rsidRPr="0009733F">
        <w:t xml:space="preserve"> to derive its total labour rates</w:t>
      </w:r>
      <w:r w:rsidRPr="0038458F">
        <w:t>.</w:t>
      </w:r>
      <w:r w:rsidRPr="00D64A08">
        <w:rPr>
          <w:rStyle w:val="FootnoteReference"/>
        </w:rPr>
        <w:footnoteReference w:id="29"/>
      </w:r>
      <w:r>
        <w:t xml:space="preserve"> </w:t>
      </w:r>
      <w:r w:rsidRPr="00D64A08">
        <w:t>In recommending th</w:t>
      </w:r>
      <w:r>
        <w:t>ese maximum</w:t>
      </w:r>
      <w:r w:rsidRPr="00D64A08">
        <w:t xml:space="preserve"> </w:t>
      </w:r>
      <w:r w:rsidRPr="0009733F">
        <w:t>overhead rates</w:t>
      </w:r>
      <w:r w:rsidRPr="0038458F">
        <w:t>,</w:t>
      </w:r>
      <w:r w:rsidRPr="00D64A08">
        <w:t xml:space="preserve"> Marsden Jacob compared the overhead rates the NSW and ACT distributors proposed (in their original regulatory proposals). Marsden Jacob found that Ausgrid and Endeavour Energy’s overhead rates were</w:t>
      </w:r>
      <w:r>
        <w:t xml:space="preserve"> significantly higher than those of Essential Energy, and ActewAGL. They were also significantly higher than </w:t>
      </w:r>
      <w:r w:rsidRPr="00D64A08">
        <w:t xml:space="preserve">the Victorian </w:t>
      </w:r>
      <w:r>
        <w:t>distributors' overhead rates</w:t>
      </w:r>
      <w:r w:rsidRPr="00D64A08">
        <w:t>.</w:t>
      </w:r>
      <w:r>
        <w:rPr>
          <w:rStyle w:val="FootnoteReference"/>
        </w:rPr>
        <w:footnoteReference w:id="30"/>
      </w:r>
      <w:r>
        <w:t xml:space="preserve"> </w:t>
      </w:r>
      <w:r w:rsidRPr="0038458F">
        <w:t>Mars</w:t>
      </w:r>
      <w:r w:rsidRPr="0009733F">
        <w:t>den Jacob therefore recommended maximum overhead rates based on the maximum of only ActewAGL and Essential Energy’s proposed overhead rates</w:t>
      </w:r>
      <w:r w:rsidRPr="0038458F">
        <w:t>.</w:t>
      </w:r>
      <w:r w:rsidRPr="00D64A08">
        <w:t xml:space="preserve"> </w:t>
      </w:r>
      <w:r>
        <w:t>Marsden Jacob's maximum overhead rates are also higher than the rates proposed by the Queensland distributors.</w:t>
      </w:r>
      <w:r w:rsidR="00601F91">
        <w:rPr>
          <w:rStyle w:val="FootnoteReference"/>
        </w:rPr>
        <w:footnoteReference w:id="31"/>
      </w:r>
      <w:r>
        <w:t xml:space="preserve"> </w:t>
      </w:r>
      <w:r w:rsidR="00E31709">
        <w:t xml:space="preserve">This adds further support to using Marsden Jacobs' maximum overhead rates to calculate maximum total labour rates. </w:t>
      </w:r>
      <w:r>
        <w:t xml:space="preserve">We therefore consider that Marsden Jacob's total labour rates, which use the overhead rates in </w:t>
      </w:r>
      <w:r>
        <w:rPr>
          <w:rStyle w:val="AERtexthighlight"/>
        </w:rPr>
        <w:fldChar w:fldCharType="begin"/>
      </w:r>
      <w:r>
        <w:rPr>
          <w:rStyle w:val="AERtexthighlight"/>
        </w:rPr>
        <w:instrText xml:space="preserve"> REF  _Ref415492091 \* Lower \h </w:instrText>
      </w:r>
      <w:r>
        <w:rPr>
          <w:rStyle w:val="AERtexthighlight"/>
        </w:rPr>
      </w:r>
      <w:r>
        <w:rPr>
          <w:rStyle w:val="AERtexthighlight"/>
        </w:rPr>
        <w:fldChar w:fldCharType="separate"/>
      </w:r>
      <w:r w:rsidR="004704F5">
        <w:t xml:space="preserve">table </w:t>
      </w:r>
      <w:r w:rsidR="004704F5">
        <w:rPr>
          <w:noProof/>
        </w:rPr>
        <w:t>16</w:t>
      </w:r>
      <w:r w:rsidR="004704F5">
        <w:t>.</w:t>
      </w:r>
      <w:r w:rsidR="004704F5">
        <w:rPr>
          <w:noProof/>
        </w:rPr>
        <w:t>8</w:t>
      </w:r>
      <w:r>
        <w:rPr>
          <w:rStyle w:val="AERtexthighlight"/>
        </w:rPr>
        <w:fldChar w:fldCharType="end"/>
      </w:r>
      <w:r w:rsidRPr="002F0772">
        <w:t xml:space="preserve"> as</w:t>
      </w:r>
      <w:r>
        <w:t xml:space="preserve"> inputs, are prudent</w:t>
      </w:r>
      <w:r w:rsidR="00E31709">
        <w:t xml:space="preserve"> and appropriately reflect the revenue and pricing principles. </w:t>
      </w:r>
    </w:p>
    <w:p w:rsidR="00D954EB" w:rsidRPr="00DA3398" w:rsidRDefault="00D954EB" w:rsidP="00D954EB">
      <w:pPr>
        <w:pStyle w:val="Caption"/>
      </w:pPr>
      <w:bookmarkStart w:id="32" w:name="_Ref415492091"/>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8</w:t>
      </w:r>
      <w:r w:rsidR="000D189C">
        <w:rPr>
          <w:noProof/>
        </w:rPr>
        <w:fldChar w:fldCharType="end"/>
      </w:r>
      <w:bookmarkEnd w:id="32"/>
      <w:r>
        <w:tab/>
        <w:t>Maximum overhead rates</w:t>
      </w:r>
    </w:p>
    <w:tbl>
      <w:tblPr>
        <w:tblStyle w:val="AERtable-numbers"/>
        <w:tblW w:w="0" w:type="auto"/>
        <w:tblLook w:val="04A0" w:firstRow="1" w:lastRow="0" w:firstColumn="1" w:lastColumn="0" w:noHBand="0" w:noVBand="1"/>
      </w:tblPr>
      <w:tblGrid>
        <w:gridCol w:w="4346"/>
        <w:gridCol w:w="4347"/>
      </w:tblGrid>
      <w:tr w:rsidR="00D954EB" w:rsidRPr="00DA3398" w:rsidTr="00B40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Labour type</w:t>
            </w:r>
          </w:p>
        </w:tc>
        <w:tc>
          <w:tcPr>
            <w:tcW w:w="4347" w:type="dxa"/>
          </w:tcPr>
          <w:p w:rsidR="00D954EB" w:rsidRPr="00D954EB" w:rsidRDefault="00D954EB" w:rsidP="00D954EB">
            <w:pPr>
              <w:cnfStyle w:val="100000000000" w:firstRow="1" w:lastRow="0" w:firstColumn="0" w:lastColumn="0" w:oddVBand="0" w:evenVBand="0" w:oddHBand="0" w:evenHBand="0" w:firstRowFirstColumn="0" w:firstRowLastColumn="0" w:lastRowFirstColumn="0" w:lastRowLastColumn="0"/>
            </w:pPr>
            <w:r w:rsidRPr="00DA3398">
              <w:t>Maximum overhead rates</w:t>
            </w:r>
            <w:r w:rsidRPr="00D954EB">
              <w:t xml:space="preserve"> (per cent)</w:t>
            </w:r>
          </w:p>
        </w:tc>
      </w:tr>
      <w:tr w:rsidR="00D954EB" w:rsidRPr="00DA3398" w:rsidTr="00B40A4B">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Administration</w:t>
            </w:r>
          </w:p>
        </w:tc>
        <w:tc>
          <w:tcPr>
            <w:tcW w:w="4347" w:type="dxa"/>
          </w:tcPr>
          <w:p w:rsidR="00D954EB" w:rsidRPr="00D954EB" w:rsidRDefault="00601F91" w:rsidP="00D954EB">
            <w:pPr>
              <w:cnfStyle w:val="000000000000" w:firstRow="0" w:lastRow="0" w:firstColumn="0" w:lastColumn="0" w:oddVBand="0" w:evenVBand="0" w:oddHBand="0" w:evenHBand="0" w:firstRowFirstColumn="0" w:firstRowLastColumn="0" w:lastRowFirstColumn="0" w:lastRowLastColumn="0"/>
            </w:pPr>
            <w:r>
              <w:t>50</w:t>
            </w:r>
          </w:p>
        </w:tc>
      </w:tr>
      <w:tr w:rsidR="00D954EB" w:rsidRPr="00DA3398" w:rsidTr="00B40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Technical specialist</w:t>
            </w:r>
          </w:p>
        </w:tc>
        <w:tc>
          <w:tcPr>
            <w:tcW w:w="4347" w:type="dxa"/>
          </w:tcPr>
          <w:p w:rsidR="00D954EB" w:rsidRPr="00D954EB" w:rsidRDefault="00D954EB" w:rsidP="00D954EB">
            <w:pPr>
              <w:cnfStyle w:val="000000010000" w:firstRow="0" w:lastRow="0" w:firstColumn="0" w:lastColumn="0" w:oddVBand="0" w:evenVBand="0" w:oddHBand="0" w:evenHBand="1" w:firstRowFirstColumn="0" w:firstRowLastColumn="0" w:lastRowFirstColumn="0" w:lastRowLastColumn="0"/>
            </w:pPr>
            <w:r w:rsidRPr="00DA3398">
              <w:t>59</w:t>
            </w:r>
          </w:p>
        </w:tc>
      </w:tr>
      <w:tr w:rsidR="00D954EB" w:rsidRPr="00DA3398" w:rsidTr="00B40A4B">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Engineer</w:t>
            </w:r>
          </w:p>
        </w:tc>
        <w:tc>
          <w:tcPr>
            <w:tcW w:w="4347" w:type="dxa"/>
          </w:tcPr>
          <w:p w:rsidR="00D954EB" w:rsidRPr="00D954EB" w:rsidRDefault="00D954EB" w:rsidP="00D954EB">
            <w:pPr>
              <w:cnfStyle w:val="000000000000" w:firstRow="0" w:lastRow="0" w:firstColumn="0" w:lastColumn="0" w:oddVBand="0" w:evenVBand="0" w:oddHBand="0" w:evenHBand="0" w:firstRowFirstColumn="0" w:firstRowLastColumn="0" w:lastRowFirstColumn="0" w:lastRowLastColumn="0"/>
            </w:pPr>
            <w:r w:rsidRPr="00DA3398">
              <w:t>69</w:t>
            </w:r>
          </w:p>
        </w:tc>
      </w:tr>
      <w:tr w:rsidR="00D954EB" w:rsidRPr="00DA3398" w:rsidTr="00B40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Field Worker</w:t>
            </w:r>
          </w:p>
        </w:tc>
        <w:tc>
          <w:tcPr>
            <w:tcW w:w="4347" w:type="dxa"/>
          </w:tcPr>
          <w:p w:rsidR="00D954EB" w:rsidRPr="00D954EB" w:rsidRDefault="00601F91" w:rsidP="00601F91">
            <w:pPr>
              <w:cnfStyle w:val="000000010000" w:firstRow="0" w:lastRow="0" w:firstColumn="0" w:lastColumn="0" w:oddVBand="0" w:evenVBand="0" w:oddHBand="0" w:evenHBand="1" w:firstRowFirstColumn="0" w:firstRowLastColumn="0" w:lastRowFirstColumn="0" w:lastRowLastColumn="0"/>
            </w:pPr>
            <w:r>
              <w:t>87</w:t>
            </w:r>
          </w:p>
        </w:tc>
      </w:tr>
      <w:tr w:rsidR="00D954EB" w:rsidRPr="00DA3398" w:rsidTr="00B40A4B">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rsidRPr="00DA3398">
              <w:t>Senior Engineer</w:t>
            </w:r>
          </w:p>
        </w:tc>
        <w:tc>
          <w:tcPr>
            <w:tcW w:w="4347" w:type="dxa"/>
          </w:tcPr>
          <w:p w:rsidR="00D954EB" w:rsidRPr="00D954EB" w:rsidRDefault="00D954EB" w:rsidP="00601F91">
            <w:pPr>
              <w:cnfStyle w:val="000000000000" w:firstRow="0" w:lastRow="0" w:firstColumn="0" w:lastColumn="0" w:oddVBand="0" w:evenVBand="0" w:oddHBand="0" w:evenHBand="0" w:firstRowFirstColumn="0" w:firstRowLastColumn="0" w:lastRowFirstColumn="0" w:lastRowLastColumn="0"/>
            </w:pPr>
            <w:r w:rsidRPr="00DA3398">
              <w:t>69</w:t>
            </w:r>
          </w:p>
        </w:tc>
      </w:tr>
      <w:tr w:rsidR="00D954EB" w:rsidRPr="00DA3398" w:rsidTr="00B40A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954EB" w:rsidRPr="00D954EB" w:rsidRDefault="00D954EB" w:rsidP="00D954EB">
            <w:r>
              <w:t>Average overheads</w:t>
            </w:r>
          </w:p>
        </w:tc>
        <w:tc>
          <w:tcPr>
            <w:tcW w:w="4347" w:type="dxa"/>
          </w:tcPr>
          <w:p w:rsidR="00D954EB" w:rsidRPr="00D954EB" w:rsidRDefault="00D954EB" w:rsidP="00601F91">
            <w:pPr>
              <w:cnfStyle w:val="000000010000" w:firstRow="0" w:lastRow="0" w:firstColumn="0" w:lastColumn="0" w:oddVBand="0" w:evenVBand="0" w:oddHBand="0" w:evenHBand="1" w:firstRowFirstColumn="0" w:firstRowLastColumn="0" w:lastRowFirstColumn="0" w:lastRowLastColumn="0"/>
            </w:pPr>
            <w:r>
              <w:t>65</w:t>
            </w:r>
          </w:p>
        </w:tc>
      </w:tr>
    </w:tbl>
    <w:p w:rsidR="00D954EB" w:rsidRDefault="00D954EB" w:rsidP="00D954EB">
      <w:pPr>
        <w:pStyle w:val="AERtablesource"/>
      </w:pPr>
      <w:r>
        <w:t>Source:</w:t>
      </w:r>
      <w:r>
        <w:tab/>
      </w:r>
      <w:r w:rsidRPr="0038458F">
        <w:t xml:space="preserve">Marsden Jacob Associates, </w:t>
      </w:r>
      <w:r w:rsidRPr="0009733F">
        <w:rPr>
          <w:rStyle w:val="AERtextitalic"/>
        </w:rPr>
        <w:t>Final: Provision of advice in relation to Alternative Control Services – Public version: Advice prepared for the Australian Energy Regulator</w:t>
      </w:r>
      <w:r>
        <w:t>, 20 October 2014, p. 5</w:t>
      </w:r>
      <w:r w:rsidRPr="0038458F">
        <w:t>.</w:t>
      </w:r>
    </w:p>
    <w:p w:rsidR="00D954EB" w:rsidRPr="00D64A08" w:rsidRDefault="00D954EB" w:rsidP="00D954EB">
      <w:r w:rsidRPr="00D64A08">
        <w:lastRenderedPageBreak/>
        <w:t xml:space="preserve">In </w:t>
      </w:r>
      <w:r>
        <w:t>its discussion of maximum overhead rates</w:t>
      </w:r>
      <w:r w:rsidRPr="00D64A08">
        <w:t xml:space="preserve">, Marsden Jacob </w:t>
      </w:r>
      <w:r>
        <w:t>noted</w:t>
      </w:r>
      <w:r w:rsidRPr="00D64A08">
        <w:t>:</w:t>
      </w:r>
    </w:p>
    <w:p w:rsidR="00D954EB" w:rsidRPr="00D64A08" w:rsidRDefault="00D954EB" w:rsidP="00D954EB">
      <w:pPr>
        <w:pStyle w:val="AERbulletlistfirststyle"/>
      </w:pPr>
      <w:r w:rsidRPr="00D64A08">
        <w:t>the nature of the difference</w:t>
      </w:r>
      <w:r>
        <w:t>s in overhead rates</w:t>
      </w:r>
      <w:r w:rsidRPr="00D64A08">
        <w:t xml:space="preserve"> may be due to</w:t>
      </w:r>
      <w:r>
        <w:t xml:space="preserve"> differences in </w:t>
      </w:r>
      <w:r w:rsidRPr="00D64A08">
        <w:t xml:space="preserve">cost allocation </w:t>
      </w:r>
      <w:r>
        <w:t>methods</w:t>
      </w:r>
    </w:p>
    <w:p w:rsidR="00931C89" w:rsidRDefault="00D954EB" w:rsidP="00D954EB">
      <w:pPr>
        <w:pStyle w:val="AERbulletlistfirststyle"/>
      </w:pPr>
      <w:r w:rsidRPr="00D64A08">
        <w:t>capping the overhead rate may have unintended consequences for the broader cost allocation methodology</w:t>
      </w:r>
    </w:p>
    <w:p w:rsidR="00931C89" w:rsidRDefault="00D954EB" w:rsidP="00D954EB">
      <w:pPr>
        <w:pStyle w:val="AERbulletlistfirststyle"/>
      </w:pPr>
      <w:r>
        <w:t xml:space="preserve">we should test </w:t>
      </w:r>
      <w:r w:rsidRPr="00D64A08">
        <w:t xml:space="preserve">the method of addressing overhead allocation </w:t>
      </w:r>
      <w:r>
        <w:t xml:space="preserve">vis a vis </w:t>
      </w:r>
      <w:r w:rsidRPr="00D64A08">
        <w:t xml:space="preserve"> the cost allocation method.</w:t>
      </w:r>
      <w:r w:rsidRPr="00D64A08">
        <w:rPr>
          <w:rStyle w:val="FootnoteReference"/>
        </w:rPr>
        <w:footnoteReference w:id="32"/>
      </w:r>
      <w:r w:rsidR="00931C89">
        <w:t xml:space="preserve"> </w:t>
      </w:r>
      <w:r w:rsidR="00E233E9">
        <w:t xml:space="preserve"> </w:t>
      </w:r>
    </w:p>
    <w:p w:rsidR="00E31709" w:rsidRPr="00E31709" w:rsidRDefault="00E31709" w:rsidP="00E31709">
      <w:pPr>
        <w:pStyle w:val="AERbulletlistfirststyle"/>
        <w:numPr>
          <w:ilvl w:val="0"/>
          <w:numId w:val="0"/>
        </w:numPr>
      </w:pPr>
      <w:r w:rsidRPr="00E31709">
        <w:t xml:space="preserve">We reviewed the objectives of our cost allocation guideline. The cost allocation method sets out the principles and policies for attributing costs to, or allocating costs between, the categories of distribution services a distributor provides. Hence, in approving a distributor’s cost allocation method, we approve the methodology it uses to allocate costs. This does not equate to approving the costs. The approval of actual costs is subject to applicable requirements set out in the </w:t>
      </w:r>
      <w:r w:rsidR="00CB13CF">
        <w:t>NER</w:t>
      </w:r>
      <w:r w:rsidRPr="00E31709">
        <w:t>.</w:t>
      </w:r>
      <w:r w:rsidRPr="00E31709">
        <w:rPr>
          <w:rStyle w:val="FootnoteReference"/>
        </w:rPr>
        <w:footnoteReference w:id="33"/>
      </w:r>
      <w:r w:rsidRPr="00E31709">
        <w:t xml:space="preserve"> Proper application of the cost allocation method does not indicate whether the distributor's expenditure, including overheads, is at efficient levels or otherwise reflects the requirements of the NER, having regard to the revenue and pricing principles and the national electricity objective.</w:t>
      </w:r>
      <w:r w:rsidRPr="00E31709">
        <w:rPr>
          <w:rStyle w:val="FootnoteReference"/>
        </w:rPr>
        <w:footnoteReference w:id="34"/>
      </w:r>
      <w:r w:rsidRPr="00E31709">
        <w:t xml:space="preserve"> By extension, proper application of the cost allocation method does not indicate whether the resulting overhead rates represent efficient levels.</w:t>
      </w:r>
    </w:p>
    <w:p w:rsidR="004F0ED3" w:rsidRDefault="001E6CEB" w:rsidP="004704F5">
      <w:pPr>
        <w:pStyle w:val="HeadingBoldBlue"/>
      </w:pPr>
      <w:r>
        <w:t>ActewAGL proposal</w:t>
      </w:r>
      <w:r>
        <w:rPr>
          <w:rFonts w:cs="Arial"/>
        </w:rPr>
        <w:t>—</w:t>
      </w:r>
      <w:r>
        <w:t xml:space="preserve">labour escalators, revenue </w:t>
      </w:r>
      <w:r w:rsidR="00084DE8">
        <w:t xml:space="preserve">recovery </w:t>
      </w:r>
      <w:r>
        <w:t>&amp; X factors</w:t>
      </w:r>
    </w:p>
    <w:p w:rsidR="00AA2F17" w:rsidRDefault="00AA2F17" w:rsidP="00826438">
      <w:pPr>
        <w:pStyle w:val="AERbulletlistfirststyle"/>
        <w:numPr>
          <w:ilvl w:val="0"/>
          <w:numId w:val="0"/>
        </w:numPr>
      </w:pPr>
      <w:r>
        <w:t>In its revised regulatory proposal, ActewAGL:</w:t>
      </w:r>
    </w:p>
    <w:p w:rsidR="00AA2F17" w:rsidRDefault="00CB13CF" w:rsidP="001D3BB7">
      <w:pPr>
        <w:pStyle w:val="AERbulletlistfirststyle"/>
      </w:pPr>
      <w:r>
        <w:t xml:space="preserve">made </w:t>
      </w:r>
      <w:r w:rsidR="00AA2F17">
        <w:t>submissions about alternative revenue recovery options, depending on the outcome of final decision on standard control revenues.</w:t>
      </w:r>
      <w:r w:rsidR="00AA2F17" w:rsidRPr="00AA2F17">
        <w:rPr>
          <w:rStyle w:val="FootnoteReference"/>
        </w:rPr>
        <w:footnoteReference w:id="35"/>
      </w:r>
    </w:p>
    <w:p w:rsidR="00AA2F17" w:rsidRDefault="00CB13CF" w:rsidP="001D3BB7">
      <w:pPr>
        <w:pStyle w:val="AERbulletlistfirststyle"/>
      </w:pPr>
      <w:r>
        <w:t xml:space="preserve">proposed </w:t>
      </w:r>
      <w:r w:rsidR="00AA2F17">
        <w:t>a set of X factors for fee based ancillary network services.</w:t>
      </w:r>
      <w:r w:rsidR="00AA2F17" w:rsidRPr="00AA2F17">
        <w:rPr>
          <w:rStyle w:val="FootnoteReference"/>
        </w:rPr>
        <w:footnoteReference w:id="36"/>
      </w:r>
    </w:p>
    <w:p w:rsidR="00AA2F17" w:rsidRDefault="00CB13CF" w:rsidP="001D3BB7">
      <w:pPr>
        <w:pStyle w:val="AERbulletlistfirststyle"/>
      </w:pPr>
      <w:r>
        <w:t xml:space="preserve">proposed </w:t>
      </w:r>
      <w:r w:rsidR="00AA2F17">
        <w:t>2015</w:t>
      </w:r>
      <w:r w:rsidR="00AA2F17">
        <w:softHyphen/>
        <w:t>–16 charges for fee based ancillary network services.</w:t>
      </w:r>
      <w:r w:rsidR="00AA2F17" w:rsidRPr="00AA2F17">
        <w:rPr>
          <w:rStyle w:val="FootnoteReference"/>
        </w:rPr>
        <w:footnoteReference w:id="37"/>
      </w:r>
    </w:p>
    <w:p w:rsidR="00AA2F17" w:rsidRDefault="00AA2F17" w:rsidP="00AA2F17">
      <w:pPr>
        <w:pStyle w:val="AERbulletlistfirststyle"/>
        <w:numPr>
          <w:ilvl w:val="0"/>
          <w:numId w:val="0"/>
        </w:numPr>
      </w:pPr>
      <w:r>
        <w:t xml:space="preserve">We consider that each ancillary network service should be priced by reference to its efficient costs—there should not be any cross-subsidies. We used maximum efficient labour rates to arrive at efficient </w:t>
      </w:r>
      <w:r w:rsidR="001D3BB7">
        <w:t>2015–16</w:t>
      </w:r>
      <w:r>
        <w:t xml:space="preserve"> prices for ActewAGL's fee based ancillary network services. We then used our final decision labou</w:t>
      </w:r>
      <w:r w:rsidR="00F93B54">
        <w:t xml:space="preserve">r escalators </w:t>
      </w:r>
      <w:r>
        <w:t>to derive X factors that will result in ActewAGL recovering an efficient level of costs over the regulatory control period.</w:t>
      </w:r>
    </w:p>
    <w:p w:rsidR="009055FC" w:rsidRDefault="009055FC" w:rsidP="009055FC">
      <w:pPr>
        <w:pStyle w:val="Heading2"/>
      </w:pPr>
      <w:bookmarkStart w:id="33" w:name="_Toc417811071"/>
      <w:bookmarkStart w:id="34" w:name="_Toc418078034"/>
      <w:r>
        <w:lastRenderedPageBreak/>
        <w:t>Metering</w:t>
      </w:r>
      <w:bookmarkEnd w:id="33"/>
      <w:bookmarkEnd w:id="34"/>
      <w:r>
        <w:t xml:space="preserve"> </w:t>
      </w:r>
    </w:p>
    <w:p w:rsidR="009055FC" w:rsidRPr="00233B73" w:rsidRDefault="009055FC" w:rsidP="009055FC">
      <w:bookmarkStart w:id="35" w:name="_Ref416013691"/>
      <w:bookmarkStart w:id="36" w:name="_Ref416013697"/>
      <w:r w:rsidRPr="00233B73">
        <w:t xml:space="preserve">Our final decision on </w:t>
      </w:r>
      <w:r>
        <w:t>ActewAGL's</w:t>
      </w:r>
      <w:r w:rsidRPr="00233B73">
        <w:t xml:space="preserve"> metering proposal is made in the context of ongoing policy reform. We based our assessment on the </w:t>
      </w:r>
      <w:r>
        <w:t>NER</w:t>
      </w:r>
      <w:r w:rsidRPr="00233B73">
        <w:t xml:space="preserve"> in place at the time of this final decision, but have had regard to the likelihood of policy refo</w:t>
      </w:r>
      <w:r>
        <w:t>rm in the future through</w:t>
      </w:r>
      <w:r w:rsidRPr="00233B73">
        <w:t xml:space="preserve"> rule changes that will apply during this regulatory period.</w:t>
      </w:r>
    </w:p>
    <w:p w:rsidR="009055FC" w:rsidRPr="00233B73" w:rsidRDefault="009055FC" w:rsidP="009055FC">
      <w:r w:rsidRPr="00233B73">
        <w:t>Currently, competition in metering is limited to large customers in the national electricity market while regulated distributors have the sole responsibility to provide small customers with metering services.</w:t>
      </w:r>
      <w:r>
        <w:rPr>
          <w:rStyle w:val="FootnoteReference"/>
        </w:rPr>
        <w:footnoteReference w:id="38"/>
      </w:r>
    </w:p>
    <w:p w:rsidR="009055FC" w:rsidRPr="00233B73" w:rsidRDefault="009055FC" w:rsidP="009055FC">
      <w:r w:rsidRPr="00233B73">
        <w:t>The Australian Energy Market Commission</w:t>
      </w:r>
      <w:r>
        <w:t xml:space="preserve"> (AEMC)</w:t>
      </w:r>
      <w:r w:rsidRPr="00233B73">
        <w:t xml:space="preserve">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w:t>
      </w:r>
    </w:p>
    <w:p w:rsidR="009055FC" w:rsidRPr="00233B73" w:rsidRDefault="009055FC" w:rsidP="009055FC">
      <w:r w:rsidRPr="00233B73">
        <w:t xml:space="preserve">The AEMC published its draft rule on 26 March 2015. It </w:t>
      </w:r>
      <w:r w:rsidR="00877E3A">
        <w:t>states</w:t>
      </w:r>
      <w:r w:rsidR="00877E3A" w:rsidRPr="00233B73">
        <w:t xml:space="preserve"> </w:t>
      </w:r>
      <w:r w:rsidRPr="00233B73">
        <w:t>that the AER should determine 'the arrangements for a DNSP to recover the residual costs of its regulated metering service</w:t>
      </w:r>
      <w:r>
        <w:t xml:space="preserve"> </w:t>
      </w:r>
      <w:r w:rsidRPr="00233B73">
        <w:t>in accordance with the existing regulatory framework'</w:t>
      </w:r>
      <w:r>
        <w:t>.</w:t>
      </w:r>
      <w:r>
        <w:rPr>
          <w:rStyle w:val="FootnoteReference"/>
        </w:rPr>
        <w:footnoteReference w:id="39"/>
      </w:r>
      <w:r w:rsidRPr="00233B73">
        <w:t xml:space="preserve"> Other key features of the draft rule change include:</w:t>
      </w:r>
    </w:p>
    <w:p w:rsidR="009055FC" w:rsidRPr="00233B73" w:rsidRDefault="009055FC" w:rsidP="009055FC">
      <w:pPr>
        <w:pStyle w:val="AERbulletlistfirststyle"/>
      </w:pPr>
      <w:r w:rsidRPr="00233B73">
        <w:t>the transfer of the role and responsibilities of the existing 'Responsible Person' to a new type of Registered Participant called a Metering Coordinator</w:t>
      </w:r>
    </w:p>
    <w:p w:rsidR="009055FC" w:rsidRPr="00233B73" w:rsidRDefault="009055FC" w:rsidP="009055FC">
      <w:pPr>
        <w:pStyle w:val="AERbulletlistfirststyle"/>
      </w:pPr>
      <w:r w:rsidRPr="00233B73">
        <w:t>allowing any person to become a Metering Coordinator, subject to meeting the registration requirements</w:t>
      </w:r>
    </w:p>
    <w:p w:rsidR="009055FC" w:rsidRPr="00233B73" w:rsidRDefault="009055FC" w:rsidP="009055FC">
      <w:pPr>
        <w:pStyle w:val="AERbulletlistfirststyle"/>
      </w:pPr>
      <w:r w:rsidRPr="00233B73">
        <w:t>permitting a large customer to appoint its own Metering Coordinator</w:t>
      </w:r>
    </w:p>
    <w:p w:rsidR="009055FC" w:rsidRPr="00233B73" w:rsidRDefault="009055FC" w:rsidP="009055FC">
      <w:pPr>
        <w:pStyle w:val="AERbulletlistfirststyle"/>
      </w:pPr>
      <w:r w:rsidRPr="00233B73">
        <w:t>requiring a retailer to appoint the Metering Coordinator, except where a large customer has appointed its own Metering Coordinator.</w:t>
      </w:r>
      <w:r>
        <w:rPr>
          <w:rStyle w:val="FootnoteReference"/>
        </w:rPr>
        <w:footnoteReference w:id="40"/>
      </w:r>
      <w:r w:rsidRPr="00233B73">
        <w:t xml:space="preserve">   </w:t>
      </w:r>
    </w:p>
    <w:p w:rsidR="009055FC" w:rsidRPr="00233B73" w:rsidRDefault="009055FC" w:rsidP="009055FC">
      <w:r w:rsidRPr="00233B73">
        <w:t>Our final decision takes the AEMC’s draft rule into account and establishes a regulatory framework for the 2015-19 regulatory period which will be robust enough to handle the transition to competition once the rule change takes effect from 1 July 2017.</w:t>
      </w:r>
      <w:r>
        <w:rPr>
          <w:rStyle w:val="FootnoteReference"/>
        </w:rPr>
        <w:footnoteReference w:id="41"/>
      </w:r>
      <w:r w:rsidRPr="00233B73">
        <w:t xml:space="preserve"> This involves having transparent standalone prices for all new or upgraded meter connections and annual charges.</w:t>
      </w:r>
    </w:p>
    <w:p w:rsidR="009055FC" w:rsidRPr="00233B73" w:rsidRDefault="009055FC" w:rsidP="009055FC">
      <w:r w:rsidRPr="00233B73">
        <w:t xml:space="preserve">The key issue in the lead up to competition is how to recover the residual metering capital costs that arises when metering customers begin to switch to competitive metering providers. Rather than an upfront exit fee which would create a regulatory </w:t>
      </w:r>
      <w:r w:rsidRPr="00233B73">
        <w:lastRenderedPageBreak/>
        <w:t xml:space="preserve">barrier to competitive entry, our final decision is that switching customers continue to pay the capital cost component of the regulated annual metering service charge. </w:t>
      </w:r>
    </w:p>
    <w:p w:rsidR="009055FC" w:rsidRDefault="009055FC" w:rsidP="0084368C">
      <w:pPr>
        <w:pStyle w:val="Heading3"/>
        <w:keepNext/>
      </w:pPr>
      <w:bookmarkStart w:id="37" w:name="_Toc417811072"/>
      <w:bookmarkStart w:id="38" w:name="_Toc418078035"/>
      <w:bookmarkStart w:id="39" w:name="_Ref418078501"/>
      <w:r>
        <w:t>Final decision</w:t>
      </w:r>
      <w:bookmarkEnd w:id="35"/>
      <w:bookmarkEnd w:id="36"/>
      <w:bookmarkEnd w:id="37"/>
      <w:bookmarkEnd w:id="38"/>
      <w:bookmarkEnd w:id="39"/>
    </w:p>
    <w:p w:rsidR="009055FC" w:rsidRDefault="009055FC" w:rsidP="004704F5">
      <w:pPr>
        <w:pStyle w:val="HeadingBoldBlue"/>
      </w:pPr>
      <w:r>
        <w:t>Structure of metering charges</w:t>
      </w:r>
    </w:p>
    <w:p w:rsidR="009055FC" w:rsidRPr="00C172D3" w:rsidRDefault="009055FC" w:rsidP="0084368C">
      <w:pPr>
        <w:keepNext/>
        <w:numPr>
          <w:ilvl w:val="0"/>
          <w:numId w:val="24"/>
        </w:numPr>
      </w:pPr>
      <w:r w:rsidRPr="00C172D3">
        <w:t xml:space="preserve">We </w:t>
      </w:r>
      <w:r w:rsidR="004B6691">
        <w:t>have classified</w:t>
      </w:r>
      <w:r w:rsidR="004B6691" w:rsidRPr="00C172D3">
        <w:t xml:space="preserve"> </w:t>
      </w:r>
      <w:r w:rsidRPr="00C172D3">
        <w:t>type 5 and 6 metering services as alternative control services. The control mechanism for alternative control metering services will be caps on the prices of individual services.</w:t>
      </w:r>
    </w:p>
    <w:p w:rsidR="009055FC" w:rsidRPr="00C172D3" w:rsidRDefault="009055FC" w:rsidP="009055FC">
      <w:pPr>
        <w:rPr>
          <w:rStyle w:val="AERbody"/>
        </w:rPr>
      </w:pPr>
      <w:r w:rsidRPr="00C172D3">
        <w:rPr>
          <w:rStyle w:val="AERbody"/>
        </w:rPr>
        <w:t>Our final decision approves two types of metering service charges:</w:t>
      </w:r>
    </w:p>
    <w:p w:rsidR="009055FC" w:rsidRPr="00C172D3" w:rsidRDefault="009055FC" w:rsidP="009055FC">
      <w:pPr>
        <w:pStyle w:val="AERbulletlistfirststyle"/>
        <w:rPr>
          <w:rStyle w:val="AERbody"/>
        </w:rPr>
      </w:pPr>
      <w:r w:rsidRPr="00C172D3">
        <w:rPr>
          <w:rStyle w:val="AERbody"/>
        </w:rPr>
        <w:t>Upfront capital charge (for all new and upgraded meters installed from 1 July 2015)</w:t>
      </w:r>
    </w:p>
    <w:p w:rsidR="009055FC" w:rsidRPr="00C172D3" w:rsidRDefault="009055FC" w:rsidP="009055FC">
      <w:pPr>
        <w:pStyle w:val="AERbulletlistfirststyle"/>
        <w:rPr>
          <w:rStyle w:val="AERbody"/>
        </w:rPr>
      </w:pPr>
      <w:r w:rsidRPr="00C172D3">
        <w:rPr>
          <w:rStyle w:val="AERbody"/>
        </w:rPr>
        <w:t>Annual charge comprising of two components:</w:t>
      </w:r>
    </w:p>
    <w:p w:rsidR="009055FC" w:rsidRPr="00C172D3" w:rsidRDefault="009055FC" w:rsidP="009055FC">
      <w:pPr>
        <w:pStyle w:val="AERbulletlistsecondstyle"/>
        <w:rPr>
          <w:rStyle w:val="AERbody"/>
        </w:rPr>
      </w:pPr>
      <w:r w:rsidRPr="00C172D3">
        <w:rPr>
          <w:rStyle w:val="AERbody"/>
        </w:rPr>
        <w:t>capital —metering asset base (MAB) recovery</w:t>
      </w:r>
    </w:p>
    <w:p w:rsidR="009055FC" w:rsidRPr="00C172D3" w:rsidRDefault="009055FC" w:rsidP="009055FC">
      <w:pPr>
        <w:pStyle w:val="AERbulletlistsecondstyle"/>
        <w:rPr>
          <w:rStyle w:val="AERbody"/>
        </w:rPr>
      </w:pPr>
      <w:r w:rsidRPr="00C172D3">
        <w:rPr>
          <w:rStyle w:val="AERbody"/>
        </w:rPr>
        <w:t>non-capital</w:t>
      </w:r>
      <w:r>
        <w:rPr>
          <w:rStyle w:val="AERbody"/>
        </w:rPr>
        <w:t xml:space="preserve"> </w:t>
      </w:r>
      <w:r w:rsidRPr="00C172D3">
        <w:rPr>
          <w:rStyle w:val="AERbody"/>
        </w:rPr>
        <w:t>—operating expenditure</w:t>
      </w:r>
      <w:r w:rsidR="00A06BBF">
        <w:rPr>
          <w:rStyle w:val="AERbody"/>
        </w:rPr>
        <w:t xml:space="preserve"> (opex)</w:t>
      </w:r>
      <w:r w:rsidRPr="00C172D3">
        <w:rPr>
          <w:rStyle w:val="AERbody"/>
        </w:rPr>
        <w:t xml:space="preserve"> and tax.</w:t>
      </w:r>
    </w:p>
    <w:p w:rsidR="009055FC" w:rsidRPr="00C172D3" w:rsidRDefault="009055FC" w:rsidP="009055FC">
      <w:pPr>
        <w:rPr>
          <w:rStyle w:val="AERbody"/>
        </w:rPr>
      </w:pPr>
      <w:r w:rsidRPr="00C172D3">
        <w:rPr>
          <w:rStyle w:val="AERbody"/>
        </w:rPr>
        <w:t>We have not approved a meter transfer fee relating to administrative costs associated with metering customers who switch to a competitive metering provider.</w:t>
      </w:r>
    </w:p>
    <w:p w:rsidR="009055FC" w:rsidRPr="00C172D3" w:rsidRDefault="009055FC" w:rsidP="009055FC">
      <w:pPr>
        <w:rPr>
          <w:rStyle w:val="AERbody"/>
        </w:rPr>
      </w:pPr>
      <w:r>
        <w:rPr>
          <w:rStyle w:val="AERbody"/>
        </w:rPr>
        <w:fldChar w:fldCharType="begin"/>
      </w:r>
      <w:r>
        <w:rPr>
          <w:rStyle w:val="AERbody"/>
        </w:rPr>
        <w:instrText xml:space="preserve"> REF _Ref417738951 \h </w:instrText>
      </w:r>
      <w:r>
        <w:rPr>
          <w:rStyle w:val="AERbody"/>
        </w:rPr>
      </w:r>
      <w:r>
        <w:rPr>
          <w:rStyle w:val="AERbody"/>
        </w:rPr>
        <w:fldChar w:fldCharType="separate"/>
      </w:r>
      <w:r w:rsidR="004704F5">
        <w:t xml:space="preserve">Figure </w:t>
      </w:r>
      <w:r w:rsidR="004704F5">
        <w:rPr>
          <w:noProof/>
        </w:rPr>
        <w:t>16</w:t>
      </w:r>
      <w:r w:rsidR="004704F5" w:rsidRPr="009055FC">
        <w:t>.</w:t>
      </w:r>
      <w:r w:rsidR="004704F5">
        <w:rPr>
          <w:noProof/>
        </w:rPr>
        <w:t>3</w:t>
      </w:r>
      <w:r>
        <w:rPr>
          <w:rStyle w:val="AERbody"/>
        </w:rPr>
        <w:fldChar w:fldCharType="end"/>
      </w:r>
      <w:r>
        <w:rPr>
          <w:rStyle w:val="AERbody"/>
        </w:rPr>
        <w:t xml:space="preserve"> </w:t>
      </w:r>
      <w:r w:rsidRPr="00C172D3">
        <w:rPr>
          <w:rStyle w:val="AERbody"/>
        </w:rPr>
        <w:t xml:space="preserve">depicts how the two regulated annual charge components relate to different metering customers. </w:t>
      </w:r>
    </w:p>
    <w:p w:rsidR="009055FC" w:rsidRPr="009055FC" w:rsidRDefault="009055FC" w:rsidP="009055FC">
      <w:pPr>
        <w:pStyle w:val="Caption"/>
      </w:pPr>
      <w:bookmarkStart w:id="40" w:name="_Ref417738951"/>
      <w:r>
        <w:lastRenderedPageBreak/>
        <w:t xml:space="preserve">Figure </w:t>
      </w:r>
      <w:fldSimple w:instr=" STYLEREF 1 \s ">
        <w:r w:rsidR="004704F5">
          <w:rPr>
            <w:noProof/>
          </w:rPr>
          <w:t>16</w:t>
        </w:r>
      </w:fldSimple>
      <w:r w:rsidRPr="009055FC">
        <w:t>.</w:t>
      </w:r>
      <w:r w:rsidR="000D189C">
        <w:fldChar w:fldCharType="begin"/>
      </w:r>
      <w:r w:rsidR="000D189C">
        <w:instrText xml:space="preserve"> SEQ Figure \* ARABIC \s 1 </w:instrText>
      </w:r>
      <w:r w:rsidR="000D189C">
        <w:fldChar w:fldCharType="separate"/>
      </w:r>
      <w:r w:rsidR="004704F5">
        <w:rPr>
          <w:noProof/>
        </w:rPr>
        <w:t>3</w:t>
      </w:r>
      <w:r w:rsidR="000D189C">
        <w:rPr>
          <w:noProof/>
        </w:rPr>
        <w:fldChar w:fldCharType="end"/>
      </w:r>
      <w:bookmarkEnd w:id="40"/>
      <w:r w:rsidRPr="009055FC">
        <w:t xml:space="preserve"> – Final decision – Applicable regulated metering charges</w:t>
      </w:r>
    </w:p>
    <w:p w:rsidR="009055FC" w:rsidRPr="0084368C" w:rsidRDefault="009055FC" w:rsidP="009055FC">
      <w:pPr>
        <w:pStyle w:val="AERtablesource"/>
      </w:pPr>
      <w:r w:rsidRPr="009055FC">
        <w:rPr>
          <w:noProof/>
          <w:lang w:eastAsia="en-AU"/>
        </w:rPr>
        <w:drawing>
          <wp:inline distT="0" distB="0" distL="0" distR="0" wp14:anchorId="6C59F86C" wp14:editId="529C426A">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84368C">
        <w:t>Source: AER analysis.</w:t>
      </w:r>
    </w:p>
    <w:p w:rsidR="009055FC" w:rsidRPr="00C172D3" w:rsidRDefault="009055FC" w:rsidP="009055FC">
      <w:pPr>
        <w:pStyle w:val="AERtablesource"/>
      </w:pPr>
      <w:r w:rsidRPr="00C172D3">
        <w:tab/>
        <w:t xml:space="preserve">This diagram shows regulated annual charges only. In addition, customers who switch may incur charges for their competitive advanced metering service. Any such charges are not subject to AER oversight and are not shown in the diagram above. </w:t>
      </w:r>
    </w:p>
    <w:p w:rsidR="009055FC" w:rsidRPr="00C172D3" w:rsidRDefault="009055FC" w:rsidP="009055FC">
      <w:pPr>
        <w:rPr>
          <w:rStyle w:val="Strong"/>
        </w:rPr>
      </w:pPr>
      <w:r w:rsidRPr="00C172D3">
        <w:rPr>
          <w:rStyle w:val="Strong"/>
        </w:rPr>
        <w:t xml:space="preserve">Existing connections (before 30 June 2015) </w:t>
      </w:r>
    </w:p>
    <w:p w:rsidR="009055FC" w:rsidRPr="00C172D3" w:rsidRDefault="009055FC" w:rsidP="009055FC">
      <w:pPr>
        <w:rPr>
          <w:rStyle w:val="AERbody"/>
        </w:rPr>
      </w:pPr>
      <w:r w:rsidRPr="00C172D3">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9055FC" w:rsidRPr="00C172D3" w:rsidRDefault="009055FC" w:rsidP="009055FC">
      <w:pPr>
        <w:rPr>
          <w:rStyle w:val="AERbody"/>
        </w:rPr>
      </w:pPr>
      <w:r w:rsidRPr="00C172D3">
        <w:rPr>
          <w:rStyle w:val="AERbody"/>
        </w:rPr>
        <w:t>If a customer with an existing regulated metering connection on their premises receives a regulated type 5 or 6 metering service, they pay the following charges:</w:t>
      </w:r>
    </w:p>
    <w:p w:rsidR="009055FC" w:rsidRPr="00C172D3" w:rsidRDefault="009055FC" w:rsidP="009055FC">
      <w:pPr>
        <w:pStyle w:val="AERbulletlistfirststyle"/>
        <w:rPr>
          <w:rStyle w:val="AERbody"/>
        </w:rPr>
      </w:pPr>
      <w:r w:rsidRPr="00C172D3">
        <w:rPr>
          <w:rStyle w:val="AERbody"/>
        </w:rPr>
        <w:t>Capital (MAB recovery</w:t>
      </w:r>
      <w:r w:rsidRPr="00C172D3">
        <w:rPr>
          <w:rStyle w:val="FootnoteReference"/>
        </w:rPr>
        <w:footnoteReference w:id="42"/>
      </w:r>
      <w:r w:rsidRPr="00C172D3">
        <w:rPr>
          <w:rStyle w:val="AERbody"/>
        </w:rPr>
        <w:t>) component of regulated annual metering charge</w:t>
      </w:r>
    </w:p>
    <w:p w:rsidR="009055FC" w:rsidRPr="00C172D3" w:rsidRDefault="009055FC" w:rsidP="009055FC">
      <w:pPr>
        <w:pStyle w:val="AERbulletlistfirststyle"/>
        <w:rPr>
          <w:rStyle w:val="AERbody"/>
        </w:rPr>
      </w:pPr>
      <w:r w:rsidRPr="00C172D3">
        <w:rPr>
          <w:rStyle w:val="AERbody"/>
        </w:rPr>
        <w:t>Non-capital (opex and tax) component of the regulated annual metering charge</w:t>
      </w:r>
      <w:r>
        <w:rPr>
          <w:rStyle w:val="AERbody"/>
        </w:rPr>
        <w:t>.</w:t>
      </w:r>
    </w:p>
    <w:p w:rsidR="009055FC" w:rsidRPr="00C172D3" w:rsidRDefault="009055FC" w:rsidP="009055FC">
      <w:pPr>
        <w:rPr>
          <w:rStyle w:val="AERbody"/>
        </w:rPr>
      </w:pPr>
      <w:r w:rsidRPr="00C172D3">
        <w:rPr>
          <w:rStyle w:val="AERbody"/>
        </w:rPr>
        <w:lastRenderedPageBreak/>
        <w:t>If a customer with an existing regulated metering connection on their premises chooses to switch to a competitive advanced metering service (and no longer receives a regulated type 5 or 6 metering service) they stop paying the non-capital component of the regulated annual metering charge. They will pay the following charges:</w:t>
      </w:r>
    </w:p>
    <w:p w:rsidR="009055FC" w:rsidRPr="00C172D3" w:rsidRDefault="009055FC" w:rsidP="009055FC">
      <w:pPr>
        <w:pStyle w:val="AERbulletlistfirststyle"/>
        <w:rPr>
          <w:rStyle w:val="AERbody"/>
        </w:rPr>
      </w:pPr>
      <w:r w:rsidRPr="00C172D3">
        <w:rPr>
          <w:rStyle w:val="AERbody"/>
        </w:rPr>
        <w:t>Capital component of the r</w:t>
      </w:r>
      <w:r>
        <w:rPr>
          <w:rStyle w:val="AERbody"/>
        </w:rPr>
        <w:t>egulated annual metering charge</w:t>
      </w:r>
    </w:p>
    <w:p w:rsidR="009055FC" w:rsidRPr="00C172D3" w:rsidRDefault="009055FC" w:rsidP="009055FC">
      <w:pPr>
        <w:pStyle w:val="AERbulletlistfirststyle"/>
        <w:rPr>
          <w:rStyle w:val="AERbody"/>
        </w:rPr>
      </w:pPr>
      <w:r w:rsidRPr="00C172D3">
        <w:rPr>
          <w:rStyle w:val="AERbody"/>
        </w:rPr>
        <w:t xml:space="preserve">This charge recovers the MAB from all customers with existing connections (from before 30 June 2015) on their premises, whether or not they subsequently switch from their existing regulated meter to an advanced meter. As a result, the diminishing number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w:t>
      </w:r>
      <w:r w:rsidR="00E8121B">
        <w:rPr>
          <w:rStyle w:val="AERbody"/>
        </w:rPr>
        <w:t>MAB</w:t>
      </w:r>
      <w:r w:rsidRPr="00C172D3">
        <w:rPr>
          <w:rStyle w:val="AERbody"/>
        </w:rPr>
        <w:t xml:space="preserve"> is relatively small because it is paid through ongoing annual charges r</w:t>
      </w:r>
      <w:r>
        <w:rPr>
          <w:rStyle w:val="AERbody"/>
        </w:rPr>
        <w:t>ather than an upfront exit fee</w:t>
      </w:r>
    </w:p>
    <w:p w:rsidR="009055FC" w:rsidRPr="00C172D3" w:rsidRDefault="009055FC" w:rsidP="009055FC">
      <w:pPr>
        <w:pStyle w:val="AERbulletlistfirststyle"/>
        <w:rPr>
          <w:rStyle w:val="AERbody"/>
        </w:rPr>
      </w:pPr>
      <w:r w:rsidRPr="00C172D3">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_Ref417738951 \h </w:instrText>
      </w:r>
      <w:r>
        <w:rPr>
          <w:rStyle w:val="AERbody"/>
        </w:rPr>
      </w:r>
      <w:r>
        <w:rPr>
          <w:rStyle w:val="AERbody"/>
        </w:rPr>
        <w:fldChar w:fldCharType="separate"/>
      </w:r>
      <w:r w:rsidR="004704F5">
        <w:t xml:space="preserve">Figure </w:t>
      </w:r>
      <w:r w:rsidR="004704F5">
        <w:rPr>
          <w:noProof/>
        </w:rPr>
        <w:t>16</w:t>
      </w:r>
      <w:r w:rsidR="004704F5" w:rsidRPr="009055FC">
        <w:t>.</w:t>
      </w:r>
      <w:r w:rsidR="004704F5">
        <w:rPr>
          <w:noProof/>
        </w:rPr>
        <w:t>3</w:t>
      </w:r>
      <w:r>
        <w:rPr>
          <w:rStyle w:val="AERbody"/>
        </w:rPr>
        <w:fldChar w:fldCharType="end"/>
      </w:r>
      <w:r w:rsidRPr="00C172D3">
        <w:rPr>
          <w:rStyle w:val="AERbody"/>
        </w:rPr>
        <w:t>.</w:t>
      </w:r>
    </w:p>
    <w:p w:rsidR="009055FC" w:rsidRPr="00C172D3" w:rsidRDefault="009055FC" w:rsidP="009055FC">
      <w:pPr>
        <w:rPr>
          <w:rStyle w:val="AERbody"/>
        </w:rPr>
      </w:pPr>
      <w:r w:rsidRPr="00C172D3">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9055FC" w:rsidRPr="00C172D3" w:rsidRDefault="009055FC" w:rsidP="0084368C">
      <w:pPr>
        <w:keepNext/>
        <w:rPr>
          <w:rStyle w:val="Strong"/>
          <w:rFonts w:cs="Times New Roman"/>
        </w:rPr>
      </w:pPr>
      <w:r w:rsidRPr="00C172D3">
        <w:rPr>
          <w:rStyle w:val="Strong"/>
        </w:rPr>
        <w:t>New connections (after 1 July 2015)</w:t>
      </w:r>
    </w:p>
    <w:p w:rsidR="009055FC" w:rsidRPr="00C172D3" w:rsidRDefault="009055FC" w:rsidP="0084368C">
      <w:pPr>
        <w:keepNext/>
        <w:rPr>
          <w:rStyle w:val="AERbody"/>
          <w:rFonts w:cs="Times New Roman"/>
        </w:rPr>
      </w:pPr>
      <w:r w:rsidRPr="00C172D3">
        <w:rPr>
          <w:rStyle w:val="AERbody"/>
        </w:rPr>
        <w:t xml:space="preserve">For regulated new meter connections installed after 1 July 2015, the capital costs will be paid upfront by the customer. As such, no capital expenditure </w:t>
      </w:r>
      <w:r w:rsidR="00A06BBF">
        <w:rPr>
          <w:rStyle w:val="AERbody"/>
        </w:rPr>
        <w:t xml:space="preserve">(capex) </w:t>
      </w:r>
      <w:r w:rsidRPr="00C172D3">
        <w:rPr>
          <w:rStyle w:val="AERbody"/>
        </w:rPr>
        <w:t xml:space="preserve">related to new meter connections installed after this date will be added to the </w:t>
      </w:r>
      <w:r w:rsidR="00E8121B">
        <w:rPr>
          <w:rStyle w:val="AERbody"/>
        </w:rPr>
        <w:t>MAB</w:t>
      </w:r>
      <w:r w:rsidRPr="00C172D3">
        <w:rPr>
          <w:rStyle w:val="AERbody"/>
        </w:rPr>
        <w:t xml:space="preserve">. </w:t>
      </w:r>
    </w:p>
    <w:p w:rsidR="009055FC" w:rsidRPr="00C172D3" w:rsidRDefault="009055FC" w:rsidP="009055FC">
      <w:pPr>
        <w:rPr>
          <w:rStyle w:val="AERbody"/>
        </w:rPr>
      </w:pPr>
      <w:r w:rsidRPr="00C172D3">
        <w:rPr>
          <w:rStyle w:val="AERbody"/>
        </w:rPr>
        <w:t>If a customer has a new regulated metering connection that was installed on their premises after 1 July 2015 and receives a regulated type 5 or 6 metering service, they pay the following charges:</w:t>
      </w:r>
    </w:p>
    <w:p w:rsidR="009055FC" w:rsidRPr="00C172D3" w:rsidRDefault="009055FC" w:rsidP="009055FC">
      <w:pPr>
        <w:pStyle w:val="AERbulletlistfirststyle"/>
        <w:rPr>
          <w:rStyle w:val="AERbody"/>
        </w:rPr>
      </w:pPr>
      <w:r w:rsidRPr="00C172D3">
        <w:rPr>
          <w:rStyle w:val="AERbody"/>
        </w:rPr>
        <w:t>Non-capital component of the r</w:t>
      </w:r>
      <w:r>
        <w:rPr>
          <w:rStyle w:val="AERbody"/>
        </w:rPr>
        <w:t>egulated annual metering charge</w:t>
      </w:r>
    </w:p>
    <w:p w:rsidR="009055FC" w:rsidRPr="00C172D3" w:rsidRDefault="009055FC" w:rsidP="009055FC">
      <w:pPr>
        <w:pStyle w:val="AERbulletlistfirststyle"/>
        <w:rPr>
          <w:rStyle w:val="AERbody"/>
        </w:rPr>
      </w:pPr>
      <w:r w:rsidRPr="00C172D3">
        <w:rPr>
          <w:rStyle w:val="AERbody"/>
        </w:rPr>
        <w:t xml:space="preserve">As they have already paid for their capital component upfront, the only costs relating to their regulated metering service left to be recovered through annual charges are the non-capital costs.  </w:t>
      </w:r>
    </w:p>
    <w:p w:rsidR="009055FC" w:rsidRPr="00C172D3" w:rsidRDefault="009055FC" w:rsidP="009055FC">
      <w:pPr>
        <w:rPr>
          <w:rStyle w:val="AERbody"/>
        </w:rPr>
      </w:pPr>
      <w:r w:rsidRPr="00C172D3">
        <w:rPr>
          <w:rStyle w:val="AERbody"/>
        </w:rPr>
        <w:t>If a customer has a new regulated metering connection on their premises and wants to switch to a competitive advanced metering service (and no longer receives a regulated type 5 or 6 metering service), they stop paying all regulated annual metering charges. They will pay the following charges:</w:t>
      </w:r>
    </w:p>
    <w:p w:rsidR="009055FC" w:rsidRPr="00C172D3" w:rsidRDefault="009055FC" w:rsidP="009055FC">
      <w:pPr>
        <w:pStyle w:val="AERbulletlistfirststyle"/>
        <w:rPr>
          <w:rStyle w:val="AERbody"/>
        </w:rPr>
      </w:pPr>
      <w:r w:rsidRPr="00C172D3">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_Ref417738951 \h </w:instrText>
      </w:r>
      <w:r>
        <w:rPr>
          <w:rStyle w:val="AERbody"/>
        </w:rPr>
      </w:r>
      <w:r>
        <w:rPr>
          <w:rStyle w:val="AERbody"/>
        </w:rPr>
        <w:fldChar w:fldCharType="separate"/>
      </w:r>
      <w:r w:rsidR="004704F5">
        <w:t xml:space="preserve">Figure </w:t>
      </w:r>
      <w:r w:rsidR="004704F5">
        <w:rPr>
          <w:noProof/>
        </w:rPr>
        <w:t>16</w:t>
      </w:r>
      <w:r w:rsidR="004704F5" w:rsidRPr="009055FC">
        <w:t>.</w:t>
      </w:r>
      <w:r w:rsidR="004704F5">
        <w:rPr>
          <w:noProof/>
        </w:rPr>
        <w:t>3</w:t>
      </w:r>
      <w:r>
        <w:rPr>
          <w:rStyle w:val="AERbody"/>
        </w:rPr>
        <w:fldChar w:fldCharType="end"/>
      </w:r>
      <w:r w:rsidRPr="00C172D3">
        <w:rPr>
          <w:rStyle w:val="AERbody"/>
        </w:rPr>
        <w:t>.</w:t>
      </w:r>
    </w:p>
    <w:p w:rsidR="009055FC" w:rsidRPr="009055FC" w:rsidRDefault="009055FC" w:rsidP="004704F5">
      <w:pPr>
        <w:pStyle w:val="HeadingBoldBlue"/>
        <w:rPr>
          <w:rStyle w:val="Strong"/>
        </w:rPr>
      </w:pPr>
      <w:r w:rsidRPr="009055FC">
        <w:rPr>
          <w:rStyle w:val="Strong"/>
        </w:rPr>
        <w:lastRenderedPageBreak/>
        <w:t>Annual metering service charge</w:t>
      </w:r>
      <w:r>
        <w:rPr>
          <w:rStyle w:val="Strong"/>
        </w:rPr>
        <w:t>s</w:t>
      </w:r>
      <w:r w:rsidRPr="009055FC">
        <w:rPr>
          <w:rStyle w:val="Strong"/>
        </w:rPr>
        <w:t xml:space="preserve"> </w:t>
      </w:r>
    </w:p>
    <w:p w:rsidR="009055FC" w:rsidRPr="00FC1FB4" w:rsidRDefault="009055FC" w:rsidP="009055FC">
      <w:r w:rsidRPr="00FC1FB4">
        <w:t xml:space="preserve">We generally accept </w:t>
      </w:r>
      <w:r>
        <w:t>ActewAGL's</w:t>
      </w:r>
      <w:r w:rsidRPr="00FC1FB4">
        <w:t xml:space="preserve"> building block approach as the basis for establishing annual metering charges</w:t>
      </w:r>
      <w:r>
        <w:t>. With respect to each building block, our final decision is:</w:t>
      </w:r>
    </w:p>
    <w:p w:rsidR="009055FC" w:rsidRPr="000778DD" w:rsidRDefault="009055FC" w:rsidP="009055FC">
      <w:pPr>
        <w:pStyle w:val="AERbulletlistfirststyle"/>
      </w:pPr>
      <w:r>
        <w:t xml:space="preserve">Opening </w:t>
      </w:r>
      <w:r w:rsidR="00E8121B">
        <w:t>MAB</w:t>
      </w:r>
    </w:p>
    <w:p w:rsidR="009055FC" w:rsidRPr="009055FC" w:rsidRDefault="009055FC" w:rsidP="009055FC">
      <w:pPr>
        <w:pStyle w:val="AERbulletlistfirststyle"/>
        <w:numPr>
          <w:ilvl w:val="0"/>
          <w:numId w:val="0"/>
        </w:numPr>
        <w:ind w:left="357"/>
      </w:pPr>
      <w:r>
        <w:t xml:space="preserve">We </w:t>
      </w:r>
      <w:r w:rsidRPr="009055FC">
        <w:t>maintain our draft decision</w:t>
      </w:r>
      <w:r w:rsidRPr="009055FC">
        <w:rPr>
          <w:rStyle w:val="FootnoteReference"/>
        </w:rPr>
        <w:footnoteReference w:id="43"/>
      </w:r>
      <w:r w:rsidRPr="009055FC">
        <w:t xml:space="preserve"> to accept ActewAGL's proposed opening MAB as at 1 July 2014 of $50.04 million ($ nominal).</w:t>
      </w:r>
      <w:r w:rsidRPr="009055FC">
        <w:rPr>
          <w:rStyle w:val="FootnoteReference"/>
        </w:rPr>
        <w:footnoteReference w:id="44"/>
      </w:r>
      <w:r w:rsidRPr="009055FC">
        <w:t xml:space="preserve"> </w:t>
      </w:r>
    </w:p>
    <w:p w:rsidR="009055FC" w:rsidRDefault="009055FC" w:rsidP="009055FC">
      <w:pPr>
        <w:pStyle w:val="AERbulletlistfirststyle"/>
      </w:pPr>
      <w:r>
        <w:t>Depreciation</w:t>
      </w:r>
    </w:p>
    <w:p w:rsidR="009055FC" w:rsidRPr="009055FC" w:rsidRDefault="009055FC" w:rsidP="009055FC">
      <w:pPr>
        <w:pStyle w:val="AERbulletlistfirststyle"/>
        <w:numPr>
          <w:ilvl w:val="0"/>
          <w:numId w:val="0"/>
        </w:numPr>
        <w:ind w:left="357"/>
      </w:pPr>
      <w:r>
        <w:t>We do not accept ActewAGL's revised proposal to apply accelerated</w:t>
      </w:r>
      <w:r w:rsidRPr="009055FC">
        <w:t xml:space="preserve"> depreciation to the assets in its MAB over a nine year period.</w:t>
      </w:r>
      <w:r w:rsidRPr="009055FC">
        <w:rPr>
          <w:rStyle w:val="FootnoteReference"/>
        </w:rPr>
        <w:footnoteReference w:id="45"/>
      </w:r>
      <w:r w:rsidRPr="009055FC">
        <w:t xml:space="preserve"> Instead we uphold our draft decision for a standard asset life of 15 years and that forecast, as opposed to actual, depreciation will apply to ActewAGL's </w:t>
      </w:r>
      <w:r w:rsidR="00E8121B">
        <w:t>MAB</w:t>
      </w:r>
      <w:r w:rsidRPr="009055FC">
        <w:t>.</w:t>
      </w:r>
      <w:r w:rsidRPr="009055FC">
        <w:rPr>
          <w:rStyle w:val="FootnoteReference"/>
        </w:rPr>
        <w:footnoteReference w:id="46"/>
      </w:r>
      <w:r w:rsidRPr="009055FC">
        <w:t xml:space="preserve">  </w:t>
      </w:r>
    </w:p>
    <w:p w:rsidR="009055FC" w:rsidRDefault="009055FC" w:rsidP="0084368C">
      <w:pPr>
        <w:pStyle w:val="AERbulletlistfirststyle"/>
        <w:keepNext/>
      </w:pPr>
      <w:r>
        <w:t>Forecast capex</w:t>
      </w:r>
    </w:p>
    <w:p w:rsidR="009055FC" w:rsidRPr="009055FC" w:rsidRDefault="009055FC" w:rsidP="0084368C">
      <w:pPr>
        <w:pStyle w:val="AERbulletlistfirststyle"/>
        <w:keepNext/>
        <w:numPr>
          <w:ilvl w:val="0"/>
          <w:numId w:val="0"/>
        </w:numPr>
        <w:ind w:left="357"/>
      </w:pPr>
      <w:r w:rsidRPr="00FC1FB4">
        <w:t xml:space="preserve">We accept </w:t>
      </w:r>
      <w:r w:rsidRPr="009055FC">
        <w:t>ActewAGL's revised capex building block of $13.0 million ($2014–15). It incorporates a change in capitalisation policy for new or upgraded connections, which our draft decision included.</w:t>
      </w:r>
      <w:r w:rsidRPr="009055FC">
        <w:rPr>
          <w:rStyle w:val="FootnoteReference"/>
        </w:rPr>
        <w:footnoteReference w:id="47"/>
      </w:r>
      <w:r w:rsidRPr="009055FC">
        <w:t xml:space="preserve"> The revised amount ($13.0 million) is a reduction from ActewAGL initially proposed $33.2 million ($2014–15).</w:t>
      </w:r>
      <w:r w:rsidRPr="009055FC">
        <w:rPr>
          <w:rStyle w:val="FootnoteReference"/>
        </w:rPr>
        <w:footnoteReference w:id="48"/>
      </w:r>
      <w:r w:rsidRPr="009055FC">
        <w:t xml:space="preserve">  </w:t>
      </w:r>
    </w:p>
    <w:p w:rsidR="009055FC" w:rsidRDefault="009055FC" w:rsidP="009055FC">
      <w:pPr>
        <w:pStyle w:val="AERbulletlistfirststyle"/>
      </w:pPr>
      <w:r>
        <w:t>Forecast opex</w:t>
      </w:r>
    </w:p>
    <w:p w:rsidR="009055FC" w:rsidRPr="009055FC" w:rsidRDefault="009055FC" w:rsidP="009055FC">
      <w:pPr>
        <w:pStyle w:val="AERbulletlistfirststyle"/>
        <w:numPr>
          <w:ilvl w:val="0"/>
          <w:numId w:val="0"/>
        </w:numPr>
        <w:ind w:left="357"/>
      </w:pPr>
      <w:r w:rsidRPr="00BE103D">
        <w:t xml:space="preserve">In assessing the metering </w:t>
      </w:r>
      <w:r w:rsidRPr="009055FC">
        <w:t>opex building block, we used a base-step-trend approach to developing an alternative forecast.  Our cost assessment led us to approve $11.1 million in opex</w:t>
      </w:r>
      <w:r w:rsidRPr="009055FC">
        <w:rPr>
          <w:rStyle w:val="FootnoteReference"/>
        </w:rPr>
        <w:footnoteReference w:id="49"/>
      </w:r>
      <w:r w:rsidRPr="009055FC">
        <w:t xml:space="preserve"> for annual metering services in place of the proposed $16.1 million ($2014-15). </w:t>
      </w:r>
    </w:p>
    <w:p w:rsidR="009055FC" w:rsidRPr="009055FC" w:rsidRDefault="009055FC" w:rsidP="009055FC">
      <w:pPr>
        <w:pStyle w:val="AERbulletlistfirststyle"/>
        <w:numPr>
          <w:ilvl w:val="0"/>
          <w:numId w:val="0"/>
        </w:numPr>
        <w:ind w:left="357"/>
      </w:pPr>
      <w:r w:rsidRPr="00FC1FB4">
        <w:t xml:space="preserve">Based on our cost assessment of the individual building blocks we </w:t>
      </w:r>
      <w:r w:rsidRPr="009055FC">
        <w:t xml:space="preserve">do not accept ActewAGL's proposed price caps for annual metering charges. Our substitute price caps are set out in Appendix </w:t>
      </w:r>
      <w:r w:rsidR="004B6691">
        <w:rPr>
          <w:rStyle w:val="AERbody"/>
        </w:rPr>
        <w:fldChar w:fldCharType="begin"/>
      </w:r>
      <w:r w:rsidR="004B6691">
        <w:rPr>
          <w:rStyle w:val="AERbody"/>
        </w:rPr>
        <w:instrText xml:space="preserve"> REF _Ref418008858 \r \h </w:instrText>
      </w:r>
      <w:r w:rsidR="004B6691">
        <w:rPr>
          <w:rStyle w:val="AERbody"/>
        </w:rPr>
      </w:r>
      <w:r w:rsidR="004B6691">
        <w:rPr>
          <w:rStyle w:val="AERbody"/>
        </w:rPr>
        <w:fldChar w:fldCharType="separate"/>
      </w:r>
      <w:r w:rsidR="004704F5">
        <w:rPr>
          <w:rStyle w:val="AERbody"/>
        </w:rPr>
        <w:t>A</w:t>
      </w:r>
      <w:r w:rsidR="004B6691">
        <w:rPr>
          <w:rStyle w:val="AERbody"/>
        </w:rPr>
        <w:fldChar w:fldCharType="end"/>
      </w:r>
      <w:r w:rsidRPr="009055FC">
        <w:t>.</w:t>
      </w:r>
    </w:p>
    <w:p w:rsidR="009055FC" w:rsidRPr="003B7B05" w:rsidRDefault="009055FC" w:rsidP="004704F5">
      <w:pPr>
        <w:pStyle w:val="HeadingBoldBlue"/>
      </w:pPr>
      <w:r w:rsidRPr="003B7B05">
        <w:t>Upfront capital charges</w:t>
      </w:r>
    </w:p>
    <w:p w:rsidR="009055FC" w:rsidRPr="003B7B05" w:rsidRDefault="009055FC" w:rsidP="009055FC">
      <w:pPr>
        <w:numPr>
          <w:ilvl w:val="0"/>
          <w:numId w:val="24"/>
        </w:numPr>
      </w:pPr>
      <w:r>
        <w:t>We</w:t>
      </w:r>
      <w:r w:rsidRPr="003B7B05">
        <w:t xml:space="preserve"> accept </w:t>
      </w:r>
      <w:r>
        <w:t>ActewAGL's</w:t>
      </w:r>
      <w:r w:rsidRPr="003B7B05">
        <w:t xml:space="preserve"> proposed price caps for new</w:t>
      </w:r>
      <w:r>
        <w:t xml:space="preserve"> or </w:t>
      </w:r>
      <w:r w:rsidRPr="003B7B05">
        <w:t>upgraded connections, which from 1 July 2015 will be recovered as an upfront charge to customers.</w:t>
      </w:r>
      <w:r>
        <w:t xml:space="preserve"> The charges we have accepted are set out in Appendix </w:t>
      </w:r>
      <w:r w:rsidR="004B6691">
        <w:fldChar w:fldCharType="begin"/>
      </w:r>
      <w:r w:rsidR="004B6691">
        <w:instrText xml:space="preserve"> REF _Ref418008892 \r \h </w:instrText>
      </w:r>
      <w:r w:rsidR="004B6691">
        <w:fldChar w:fldCharType="separate"/>
      </w:r>
      <w:r w:rsidR="004704F5">
        <w:t>A</w:t>
      </w:r>
      <w:r w:rsidR="004B6691">
        <w:fldChar w:fldCharType="end"/>
      </w:r>
      <w:r>
        <w:t>.</w:t>
      </w:r>
    </w:p>
    <w:p w:rsidR="004704F5" w:rsidRDefault="004704F5">
      <w:pPr>
        <w:spacing w:line="240" w:lineRule="auto"/>
        <w:rPr>
          <w:rStyle w:val="Strong"/>
          <w:rFonts w:eastAsiaTheme="majorEastAsia" w:cstheme="majorBidi"/>
          <w:b w:val="0"/>
          <w:bCs w:val="0"/>
          <w:color w:val="70635A" w:themeColor="text2"/>
          <w:sz w:val="28"/>
        </w:rPr>
      </w:pPr>
      <w:r>
        <w:rPr>
          <w:rStyle w:val="Strong"/>
        </w:rPr>
        <w:br w:type="page"/>
      </w:r>
    </w:p>
    <w:p w:rsidR="009055FC" w:rsidRPr="009055FC" w:rsidRDefault="009055FC" w:rsidP="004704F5">
      <w:pPr>
        <w:pStyle w:val="HeadingBoldBlue"/>
        <w:rPr>
          <w:rStyle w:val="Strong"/>
        </w:rPr>
      </w:pPr>
      <w:r w:rsidRPr="009055FC">
        <w:rPr>
          <w:rStyle w:val="Strong"/>
        </w:rPr>
        <w:lastRenderedPageBreak/>
        <w:t>Meter exit fee</w:t>
      </w:r>
    </w:p>
    <w:p w:rsidR="009055FC" w:rsidRPr="008C7AFD" w:rsidRDefault="009055FC" w:rsidP="009055FC">
      <w:r>
        <w:t>We do not approve a meter exit fee to recover the residual value of meters associated with customers switching to competitive metering providers. Nor do we accept an exit fee to recover administration cost</w:t>
      </w:r>
      <w:r w:rsidR="004B6691">
        <w:t>s</w:t>
      </w:r>
      <w:r>
        <w:t xml:space="preserve">. </w:t>
      </w:r>
    </w:p>
    <w:p w:rsidR="009055FC" w:rsidRPr="00FA2951" w:rsidRDefault="009055FC" w:rsidP="004704F5">
      <w:pPr>
        <w:pStyle w:val="HeadingBoldBlue"/>
      </w:pPr>
      <w:bookmarkStart w:id="41" w:name="_Ref417561190"/>
      <w:r>
        <w:t>C</w:t>
      </w:r>
      <w:r w:rsidRPr="00FA2951">
        <w:t>ontrol mechanism</w:t>
      </w:r>
      <w:bookmarkEnd w:id="41"/>
    </w:p>
    <w:p w:rsidR="009055FC" w:rsidRDefault="009055FC" w:rsidP="009055FC">
      <w:r w:rsidRPr="003944FE">
        <w:t xml:space="preserve">Our </w:t>
      </w:r>
      <w:r>
        <w:t xml:space="preserve">final decision is to apply </w:t>
      </w:r>
      <w:r w:rsidRPr="003944FE">
        <w:t>price cap</w:t>
      </w:r>
      <w:r>
        <w:t>s</w:t>
      </w:r>
      <w:r w:rsidRPr="003944FE">
        <w:t xml:space="preserve"> </w:t>
      </w:r>
      <w:r>
        <w:t>for individual type 5 and 6</w:t>
      </w:r>
      <w:r w:rsidRPr="003944FE">
        <w:t xml:space="preserve"> </w:t>
      </w:r>
      <w:r>
        <w:t>metering</w:t>
      </w:r>
      <w:r w:rsidRPr="003944FE">
        <w:t xml:space="preserve"> services</w:t>
      </w:r>
      <w:r>
        <w:t xml:space="preserve"> as the form of control</w:t>
      </w:r>
      <w:r w:rsidRPr="003944FE">
        <w:t xml:space="preserve">. </w:t>
      </w:r>
      <w:r>
        <w:t xml:space="preserve">This means </w:t>
      </w:r>
      <w:r w:rsidRPr="003944FE">
        <w:t>a schedule of prices is set for the first year. For the following year's the previous year’s</w:t>
      </w:r>
      <w:r>
        <w:t xml:space="preserve"> </w:t>
      </w:r>
      <w:r w:rsidRPr="003944FE">
        <w:t xml:space="preserve">prices are adjusted by CPI and an X factor. </w:t>
      </w:r>
      <w:r>
        <w:t>The control mechanism formula is set out below:</w:t>
      </w:r>
    </w:p>
    <w:p w:rsidR="009055FC" w:rsidRDefault="009055FC" w:rsidP="009055FC">
      <w:pPr>
        <w:numPr>
          <w:ilvl w:val="0"/>
          <w:numId w:val="24"/>
        </w:numPr>
      </w:pPr>
      <w:r w:rsidRPr="001762C7">
        <w:object w:dxaOrig="760" w:dyaOrig="380">
          <v:shape id="_x0000_i1026" type="#_x0000_t75" style="width:37.6pt;height:18.25pt" o:ole="">
            <v:imagedata r:id="rId17" o:title=""/>
          </v:shape>
          <o:OLEObject Type="Embed" ProgID="Equation.3" ShapeID="_x0000_i1026" DrawAspect="Content" ObjectID="_1491827415" r:id="rId18"/>
        </w:object>
      </w:r>
      <w:r>
        <w:tab/>
      </w:r>
      <w:r>
        <w:tab/>
      </w:r>
      <w:r>
        <w:tab/>
      </w:r>
      <w:r>
        <w:tab/>
      </w:r>
      <w:r>
        <w:tab/>
      </w:r>
      <w:r>
        <w:tab/>
      </w:r>
      <w:r>
        <w:tab/>
      </w:r>
      <w:r>
        <w:tab/>
        <w:t>i=1,...,n and t=1,2,3,4</w:t>
      </w:r>
    </w:p>
    <w:p w:rsidR="009055FC" w:rsidRDefault="009055FC" w:rsidP="009055FC">
      <w:pPr>
        <w:numPr>
          <w:ilvl w:val="0"/>
          <w:numId w:val="24"/>
        </w:numPr>
      </w:pPr>
      <w:r w:rsidRPr="009055FC">
        <w:object w:dxaOrig="2780" w:dyaOrig="380">
          <v:shape id="_x0000_i1027" type="#_x0000_t75" style="width:138.65pt;height:18.25pt" o:ole="">
            <v:imagedata r:id="rId19" o:title=""/>
          </v:shape>
          <o:OLEObject Type="Embed" ProgID="Equation.3" ShapeID="_x0000_i1027" DrawAspect="Content" ObjectID="_1491827416" r:id="rId20"/>
        </w:object>
      </w:r>
    </w:p>
    <w:p w:rsidR="009055FC" w:rsidRPr="00AA7FCC" w:rsidRDefault="009055FC" w:rsidP="009055FC">
      <w:pPr>
        <w:numPr>
          <w:ilvl w:val="0"/>
          <w:numId w:val="24"/>
        </w:numPr>
      </w:pPr>
      <w:r w:rsidRPr="00AA7FCC">
        <w:t>Where:</w:t>
      </w:r>
    </w:p>
    <w:p w:rsidR="009055FC" w:rsidRDefault="009055FC" w:rsidP="009055FC">
      <w:pPr>
        <w:numPr>
          <w:ilvl w:val="0"/>
          <w:numId w:val="24"/>
        </w:numPr>
      </w:pPr>
      <w:r w:rsidRPr="00AA7FCC">
        <w:object w:dxaOrig="279" w:dyaOrig="380">
          <v:shape id="_x0000_i1028" type="#_x0000_t75" style="width:13.95pt;height:18.25pt" o:ole="">
            <v:imagedata r:id="rId21" o:title=""/>
          </v:shape>
          <o:OLEObject Type="Embed" ProgID="Equation.3" ShapeID="_x0000_i1028" DrawAspect="Content" ObjectID="_1491827417" r:id="rId22"/>
        </w:object>
      </w:r>
      <w:r w:rsidRPr="00AA7FCC">
        <w:t>is the cap on the price of service i in year t.</w:t>
      </w:r>
      <w:r>
        <w:t xml:space="preserve"> However, for 2015–16 this is the price as determined in Appendix A.</w:t>
      </w:r>
    </w:p>
    <w:p w:rsidR="009055FC" w:rsidRDefault="009055FC" w:rsidP="009055FC">
      <w:pPr>
        <w:numPr>
          <w:ilvl w:val="0"/>
          <w:numId w:val="24"/>
        </w:numPr>
      </w:pPr>
      <w:r w:rsidRPr="00AA7FCC">
        <w:object w:dxaOrig="279" w:dyaOrig="380">
          <v:shape id="_x0000_i1029" type="#_x0000_t75" style="width:13.95pt;height:18.25pt" o:ole="">
            <v:imagedata r:id="rId23" o:title=""/>
          </v:shape>
          <o:OLEObject Type="Embed" ProgID="Equation.3" ShapeID="_x0000_i1029" DrawAspect="Content" ObjectID="_1491827418" r:id="rId24"/>
        </w:object>
      </w:r>
      <w:r w:rsidRPr="00AA7FCC">
        <w:t xml:space="preserve">is the price of service i in year </w:t>
      </w:r>
      <w:r w:rsidRPr="00EF5867">
        <w:rPr>
          <w:rStyle w:val="AERtextitalic"/>
        </w:rPr>
        <w:t>t</w:t>
      </w:r>
      <w:r w:rsidRPr="00AA7FCC">
        <w:t>.</w:t>
      </w:r>
    </w:p>
    <w:p w:rsidR="009055FC" w:rsidRDefault="009055FC" w:rsidP="009055FC">
      <w:pPr>
        <w:numPr>
          <w:ilvl w:val="0"/>
          <w:numId w:val="24"/>
        </w:numPr>
        <w:rPr>
          <w:rStyle w:val="AERbody"/>
        </w:rPr>
      </w:pPr>
      <w:r w:rsidRPr="009B24F6">
        <w:rPr>
          <w:rStyle w:val="AERbody"/>
        </w:rPr>
        <w:object w:dxaOrig="5720" w:dyaOrig="740">
          <v:shape id="_x0000_i1030" type="#_x0000_t75" style="width:291.2pt;height:37.6pt" o:ole="">
            <v:imagedata r:id="rId14" o:title=""/>
          </v:shape>
          <o:OLEObject Type="Embed" ProgID="Equation.3" ShapeID="_x0000_i1030" DrawAspect="Content" ObjectID="_1491827419" r:id="rId25"/>
        </w:object>
      </w:r>
    </w:p>
    <w:p w:rsidR="009055FC" w:rsidRPr="008B5EC7" w:rsidRDefault="009055FC" w:rsidP="009055FC">
      <w:pPr>
        <w:numPr>
          <w:ilvl w:val="0"/>
          <w:numId w:val="24"/>
        </w:numPr>
        <w:rPr>
          <w:rStyle w:val="AERbody"/>
        </w:rPr>
      </w:pPr>
      <w:r w:rsidRPr="008B5EC7">
        <w:rPr>
          <w:rStyle w:val="AERbody"/>
        </w:rPr>
        <w:object w:dxaOrig="560" w:dyaOrig="400">
          <v:shape id="_x0000_i1031" type="#_x0000_t75" style="width:26.85pt;height:19.35pt" o:ole="">
            <v:imagedata r:id="rId26" o:title=""/>
          </v:shape>
          <o:OLEObject Type="Embed" ProgID="Equation.3" ShapeID="_x0000_i1031" DrawAspect="Content" ObjectID="_1491827420" r:id="rId27"/>
        </w:object>
      </w:r>
      <w:r w:rsidRPr="008B5EC7">
        <w:rPr>
          <w:rStyle w:val="AERbody"/>
        </w:rPr>
        <w:tab/>
        <w:t>means the all groups index number for the weighted average of eight capital cities as published by the ABS, or if the ABS does not or ceases to publish the index, then CPI will mean an index which the AER considers is the best estimate of the index.</w:t>
      </w:r>
    </w:p>
    <w:p w:rsidR="009055FC" w:rsidRDefault="009055FC" w:rsidP="009055FC">
      <w:pPr>
        <w:numPr>
          <w:ilvl w:val="0"/>
          <w:numId w:val="24"/>
        </w:numPr>
      </w:pPr>
      <w:r w:rsidRPr="002B6AC8">
        <w:object w:dxaOrig="340" w:dyaOrig="380">
          <v:shape id="_x0000_i1032" type="#_x0000_t75" style="width:18.25pt;height:18.25pt" o:ole="">
            <v:imagedata r:id="rId28" o:title=""/>
          </v:shape>
          <o:OLEObject Type="Embed" ProgID="Equation.3" ShapeID="_x0000_i1032" DrawAspect="Content" ObjectID="_1491827421" r:id="rId29"/>
        </w:object>
      </w:r>
      <w:r>
        <w:t>x is:</w:t>
      </w:r>
    </w:p>
    <w:p w:rsidR="009055FC" w:rsidRPr="009055FC" w:rsidRDefault="009055FC" w:rsidP="009E11AE">
      <w:pPr>
        <w:pStyle w:val="AERbulletlistsecondstyle"/>
      </w:pPr>
      <w:r>
        <w:t>for the annual metering charge</w:t>
      </w:r>
      <w:r w:rsidRPr="009055FC">
        <w:t xml:space="preserve">s the factors set out in </w:t>
      </w:r>
      <w:r w:rsidRPr="009055FC">
        <w:fldChar w:fldCharType="begin"/>
      </w:r>
      <w:r w:rsidRPr="009055FC">
        <w:instrText xml:space="preserve"> REF _Ref417566890 \h </w:instrText>
      </w:r>
      <w:r>
        <w:instrText xml:space="preserve"> \* MERGEFORMAT </w:instrText>
      </w:r>
      <w:r w:rsidRPr="009055FC">
        <w:fldChar w:fldCharType="separate"/>
      </w:r>
      <w:r w:rsidR="004704F5">
        <w:t xml:space="preserve">Table </w:t>
      </w:r>
      <w:r w:rsidR="004704F5">
        <w:rPr>
          <w:noProof/>
        </w:rPr>
        <w:t>16.9</w:t>
      </w:r>
      <w:r w:rsidRPr="009055FC">
        <w:fldChar w:fldCharType="end"/>
      </w:r>
    </w:p>
    <w:p w:rsidR="009055FC" w:rsidRPr="009055FC" w:rsidRDefault="009055FC" w:rsidP="009E11AE">
      <w:pPr>
        <w:pStyle w:val="AERbulletlistsecondstyle"/>
      </w:pPr>
      <w:r>
        <w:t>for the upfront capital charge</w:t>
      </w:r>
      <w:r w:rsidRPr="009055FC">
        <w:t xml:space="preserve">s the factors set out in </w:t>
      </w:r>
      <w:r w:rsidRPr="009055FC">
        <w:fldChar w:fldCharType="begin"/>
      </w:r>
      <w:r w:rsidRPr="009055FC">
        <w:instrText xml:space="preserve"> REF _Ref417566897 \h </w:instrText>
      </w:r>
      <w:r>
        <w:instrText xml:space="preserve"> \* MERGEFORMAT </w:instrText>
      </w:r>
      <w:r w:rsidRPr="009055FC">
        <w:fldChar w:fldCharType="separate"/>
      </w:r>
      <w:r w:rsidR="004704F5">
        <w:t xml:space="preserve">Table </w:t>
      </w:r>
      <w:r w:rsidR="004704F5">
        <w:rPr>
          <w:noProof/>
        </w:rPr>
        <w:t>16.10</w:t>
      </w:r>
      <w:r w:rsidRPr="009055FC">
        <w:fldChar w:fldCharType="end"/>
      </w:r>
      <w:r w:rsidRPr="009055FC">
        <w:t>.</w:t>
      </w:r>
    </w:p>
    <w:p w:rsidR="009055FC" w:rsidRDefault="009055FC" w:rsidP="009055FC">
      <w:pPr>
        <w:pStyle w:val="Caption"/>
      </w:pPr>
      <w:bookmarkStart w:id="42" w:name="_Ref417566890"/>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9</w:t>
      </w:r>
      <w:r w:rsidR="000D189C">
        <w:rPr>
          <w:noProof/>
        </w:rPr>
        <w:fldChar w:fldCharType="end"/>
      </w:r>
      <w:bookmarkEnd w:id="42"/>
      <w:r>
        <w:t xml:space="preserve"> – Approved X–Factors for annual metering charges (per cent)</w:t>
      </w:r>
    </w:p>
    <w:tbl>
      <w:tblPr>
        <w:tblStyle w:val="AERtable-numbers"/>
        <w:tblW w:w="5000" w:type="pct"/>
        <w:tblLook w:val="04A0" w:firstRow="1" w:lastRow="0" w:firstColumn="1" w:lastColumn="0" w:noHBand="0" w:noVBand="1"/>
      </w:tblPr>
      <w:tblGrid>
        <w:gridCol w:w="2173"/>
        <w:gridCol w:w="2174"/>
        <w:gridCol w:w="2173"/>
        <w:gridCol w:w="2173"/>
      </w:tblGrid>
      <w:tr w:rsidR="009055FC" w:rsidRPr="00F65BC1" w:rsidTr="0084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9055FC" w:rsidRPr="00E52C0B" w:rsidRDefault="009055FC" w:rsidP="009055FC"/>
        </w:tc>
        <w:tc>
          <w:tcPr>
            <w:tcW w:w="1250" w:type="pct"/>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2016–17</w:t>
            </w:r>
          </w:p>
        </w:tc>
        <w:tc>
          <w:tcPr>
            <w:tcW w:w="1250" w:type="pct"/>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2017–18</w:t>
            </w:r>
          </w:p>
        </w:tc>
        <w:tc>
          <w:tcPr>
            <w:tcW w:w="1250" w:type="pct"/>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2018–19</w:t>
            </w:r>
          </w:p>
        </w:tc>
      </w:tr>
      <w:tr w:rsidR="009055FC" w:rsidRPr="00F65BC1" w:rsidTr="0084368C">
        <w:tc>
          <w:tcPr>
            <w:cnfStyle w:val="001000000000" w:firstRow="0" w:lastRow="0" w:firstColumn="1" w:lastColumn="0" w:oddVBand="0" w:evenVBand="0" w:oddHBand="0" w:evenHBand="0" w:firstRowFirstColumn="0" w:firstRowLastColumn="0" w:lastRowFirstColumn="0" w:lastRowLastColumn="0"/>
            <w:tcW w:w="1249" w:type="pct"/>
          </w:tcPr>
          <w:p w:rsidR="009055FC" w:rsidRPr="009055FC" w:rsidRDefault="009055FC" w:rsidP="009055FC">
            <w:r w:rsidRPr="00E52C0B">
              <w:t>X factor</w:t>
            </w:r>
          </w:p>
        </w:tc>
        <w:tc>
          <w:tcPr>
            <w:tcW w:w="1250" w:type="pct"/>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0.0</w:t>
            </w:r>
          </w:p>
        </w:tc>
        <w:tc>
          <w:tcPr>
            <w:tcW w:w="1250" w:type="pct"/>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0.0</w:t>
            </w:r>
          </w:p>
        </w:tc>
        <w:tc>
          <w:tcPr>
            <w:tcW w:w="1250" w:type="pct"/>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0.0</w:t>
            </w:r>
          </w:p>
        </w:tc>
      </w:tr>
    </w:tbl>
    <w:p w:rsidR="009055FC" w:rsidRPr="00E52C0B" w:rsidRDefault="009055FC" w:rsidP="009055FC">
      <w:pPr>
        <w:pStyle w:val="AERtablesource"/>
      </w:pPr>
      <w:r>
        <w:t>Source:</w:t>
      </w:r>
      <w:r>
        <w:tab/>
        <w:t>AER analysis</w:t>
      </w:r>
      <w:r w:rsidR="004704F5">
        <w:t>.</w:t>
      </w:r>
    </w:p>
    <w:p w:rsidR="009055FC" w:rsidRDefault="009055FC" w:rsidP="009055FC">
      <w:pPr>
        <w:pStyle w:val="Caption"/>
      </w:pPr>
      <w:bookmarkStart w:id="43" w:name="_Ref417566897"/>
      <w:r>
        <w:lastRenderedPageBreak/>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10</w:t>
      </w:r>
      <w:r w:rsidR="000D189C">
        <w:rPr>
          <w:noProof/>
        </w:rPr>
        <w:fldChar w:fldCharType="end"/>
      </w:r>
      <w:bookmarkEnd w:id="43"/>
      <w:r>
        <w:t xml:space="preserve"> – Approved X–Factors for the upfront capital charges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9055FC" w:rsidRPr="00F65BC1" w:rsidTr="008D1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055FC" w:rsidRPr="00E52C0B" w:rsidRDefault="009055FC" w:rsidP="009055FC"/>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2015–16</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2016–17</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2017–18</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E52C0B">
              <w:t>2018–19</w:t>
            </w:r>
          </w:p>
        </w:tc>
      </w:tr>
      <w:tr w:rsidR="009055FC" w:rsidTr="008D1774">
        <w:tc>
          <w:tcPr>
            <w:cnfStyle w:val="001000000000" w:firstRow="0" w:lastRow="0" w:firstColumn="1" w:lastColumn="0" w:oddVBand="0" w:evenVBand="0" w:oddHBand="0" w:evenHBand="0" w:firstRowFirstColumn="0" w:firstRowLastColumn="0" w:lastRowFirstColumn="0" w:lastRowLastColumn="0"/>
            <w:tcW w:w="1738" w:type="dxa"/>
          </w:tcPr>
          <w:p w:rsidR="009055FC" w:rsidRPr="009055FC" w:rsidRDefault="009055FC" w:rsidP="009055FC">
            <w:r w:rsidRPr="00E52C0B">
              <w:t>X factor</w:t>
            </w:r>
          </w:p>
        </w:tc>
        <w:tc>
          <w:tcPr>
            <w:tcW w:w="1739" w:type="dxa"/>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–0.45</w:t>
            </w:r>
          </w:p>
        </w:tc>
        <w:tc>
          <w:tcPr>
            <w:tcW w:w="1739" w:type="dxa"/>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–0.68</w:t>
            </w:r>
          </w:p>
        </w:tc>
        <w:tc>
          <w:tcPr>
            <w:tcW w:w="1739" w:type="dxa"/>
            <w:vAlign w:val="bottom"/>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–0.73</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rsidRPr="00E52C0B">
              <w:t>–0.73</w:t>
            </w:r>
          </w:p>
        </w:tc>
      </w:tr>
    </w:tbl>
    <w:p w:rsidR="009055FC" w:rsidRPr="009055FC" w:rsidRDefault="009055FC" w:rsidP="009055FC">
      <w:pPr>
        <w:pStyle w:val="AERtablesource"/>
      </w:pPr>
      <w:r>
        <w:t>Source:</w:t>
      </w:r>
      <w:r>
        <w:tab/>
        <w:t>AER analysis</w:t>
      </w:r>
      <w:r w:rsidR="004704F5">
        <w:t>.</w:t>
      </w:r>
    </w:p>
    <w:p w:rsidR="009055FC" w:rsidRPr="009055FC" w:rsidRDefault="009055FC" w:rsidP="009055FC">
      <w:pPr>
        <w:rPr>
          <w:rStyle w:val="Strong"/>
        </w:rPr>
      </w:pPr>
      <w:r>
        <w:t xml:space="preserve">We will check for compliance with the control mechanism during the annual pricing process. To be compliant, ActewAGL must annually adjust individual price caps in accordance with the control mechanism formula shown above. Further, ActewAGL must show that individual prices are less than or equal to the approved price cap for that individual service through providing a copy of </w:t>
      </w:r>
      <w:r w:rsidR="00A06BBF">
        <w:t xml:space="preserve">its </w:t>
      </w:r>
      <w:r>
        <w:t xml:space="preserve">published price list for that year.  </w:t>
      </w:r>
    </w:p>
    <w:p w:rsidR="009055FC" w:rsidRDefault="009055FC" w:rsidP="0084368C">
      <w:pPr>
        <w:pStyle w:val="Heading3"/>
        <w:keepNext/>
      </w:pPr>
      <w:bookmarkStart w:id="44" w:name="_Toc417811073"/>
      <w:bookmarkStart w:id="45" w:name="_Toc418078036"/>
      <w:bookmarkStart w:id="46" w:name="_Ref418078397"/>
      <w:bookmarkStart w:id="47" w:name="_Ref418078448"/>
      <w:r>
        <w:t>ActewAGL's revised proposal</w:t>
      </w:r>
      <w:bookmarkEnd w:id="44"/>
      <w:bookmarkEnd w:id="45"/>
      <w:bookmarkEnd w:id="46"/>
      <w:bookmarkEnd w:id="47"/>
    </w:p>
    <w:p w:rsidR="009055FC" w:rsidRDefault="009055FC" w:rsidP="0084368C">
      <w:pPr>
        <w:keepNext/>
      </w:pPr>
      <w:r>
        <w:t>In January 2014, ActewAGL</w:t>
      </w:r>
      <w:r w:rsidRPr="00FC1FB4">
        <w:t xml:space="preserve"> submitted its revised metering proposal for the 2015–19 regulatory control period. It accepted the service classification and control mechanism outlined in our draft decision.</w:t>
      </w:r>
      <w:r>
        <w:rPr>
          <w:rStyle w:val="FootnoteReference"/>
        </w:rPr>
        <w:footnoteReference w:id="50"/>
      </w:r>
      <w:r>
        <w:t xml:space="preserve"> That is, ActewAGL</w:t>
      </w:r>
      <w:r w:rsidRPr="00FC1FB4">
        <w:t xml:space="preserve"> </w:t>
      </w:r>
      <w:r>
        <w:t>accepted our classification of metering</w:t>
      </w:r>
      <w:r w:rsidRPr="00FC1FB4">
        <w:t xml:space="preserve"> services as alternative control services and proposed price caps on individual </w:t>
      </w:r>
      <w:r>
        <w:t xml:space="preserve">metering </w:t>
      </w:r>
      <w:r w:rsidRPr="00FC1FB4">
        <w:t>services.</w:t>
      </w:r>
      <w:r>
        <w:rPr>
          <w:rStyle w:val="FootnoteReference"/>
        </w:rPr>
        <w:footnoteReference w:id="51"/>
      </w:r>
      <w:r>
        <w:t xml:space="preserve"> </w:t>
      </w:r>
    </w:p>
    <w:p w:rsidR="009055FC" w:rsidRDefault="009055FC" w:rsidP="004704F5">
      <w:pPr>
        <w:pStyle w:val="HeadingBoldBlue"/>
      </w:pPr>
      <w:r>
        <w:t>Structure of metering charges</w:t>
      </w:r>
    </w:p>
    <w:p w:rsidR="009055FC" w:rsidRDefault="009055FC" w:rsidP="009055FC">
      <w:pPr>
        <w:pStyle w:val="Caption"/>
      </w:pPr>
      <w:r>
        <w:t xml:space="preserve">Figure </w:t>
      </w:r>
      <w:r w:rsidRPr="009055FC">
        <w:fldChar w:fldCharType="begin"/>
      </w:r>
      <w:r>
        <w:instrText xml:space="preserve"> STYLEREF 1 \s </w:instrText>
      </w:r>
      <w:r w:rsidRPr="009055FC">
        <w:fldChar w:fldCharType="separate"/>
      </w:r>
      <w:r w:rsidR="004704F5">
        <w:rPr>
          <w:noProof/>
        </w:rPr>
        <w:t>16</w:t>
      </w:r>
      <w:r w:rsidRPr="009055FC">
        <w:fldChar w:fldCharType="end"/>
      </w:r>
      <w:r>
        <w:t>.</w:t>
      </w:r>
      <w:r w:rsidR="000D189C">
        <w:fldChar w:fldCharType="begin"/>
      </w:r>
      <w:r w:rsidR="000D189C">
        <w:instrText xml:space="preserve"> SEQ Figure \* ARABIC \s 1 </w:instrText>
      </w:r>
      <w:r w:rsidR="000D189C">
        <w:fldChar w:fldCharType="separate"/>
      </w:r>
      <w:r w:rsidR="004704F5">
        <w:rPr>
          <w:noProof/>
        </w:rPr>
        <w:t>4</w:t>
      </w:r>
      <w:r w:rsidR="000D189C">
        <w:rPr>
          <w:noProof/>
        </w:rPr>
        <w:fldChar w:fldCharType="end"/>
      </w:r>
      <w:r>
        <w:t xml:space="preserve"> – Revised proposal – structure of metering charges</w:t>
      </w:r>
    </w:p>
    <w:p w:rsidR="009055FC" w:rsidRDefault="009055FC" w:rsidP="009055FC">
      <w:r w:rsidRPr="009055FC">
        <w:rPr>
          <w:noProof/>
          <w:lang w:eastAsia="en-AU"/>
        </w:rPr>
        <w:drawing>
          <wp:inline distT="0" distB="0" distL="0" distR="0" wp14:anchorId="4FACCE06" wp14:editId="33689D23">
            <wp:extent cx="5372100" cy="2129756"/>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5883" cy="2131256"/>
                    </a:xfrm>
                    <a:prstGeom prst="rect">
                      <a:avLst/>
                    </a:prstGeom>
                    <a:noFill/>
                  </pic:spPr>
                </pic:pic>
              </a:graphicData>
            </a:graphic>
          </wp:inline>
        </w:drawing>
      </w:r>
    </w:p>
    <w:p w:rsidR="009055FC" w:rsidRDefault="009055FC" w:rsidP="009055FC"/>
    <w:p w:rsidR="009055FC" w:rsidRDefault="009055FC" w:rsidP="009055FC">
      <w:pPr>
        <w:pStyle w:val="AERtablesource"/>
      </w:pPr>
      <w:r>
        <w:t>Source:</w:t>
      </w:r>
      <w:r>
        <w:tab/>
        <w:t>AER analysis</w:t>
      </w:r>
      <w:r w:rsidR="004704F5">
        <w:t>.</w:t>
      </w:r>
    </w:p>
    <w:p w:rsidR="009055FC" w:rsidRDefault="009055FC" w:rsidP="009055FC">
      <w:r>
        <w:lastRenderedPageBreak/>
        <w:t>ActewAGL accepts our draft decision to charge for new or upgraded connections upfront and to establish separate annual charges for new existing customers.</w:t>
      </w:r>
      <w:r>
        <w:rPr>
          <w:rStyle w:val="FootnoteReference"/>
        </w:rPr>
        <w:footnoteReference w:id="52"/>
      </w:r>
      <w:r>
        <w:t xml:space="preserve">  </w:t>
      </w:r>
    </w:p>
    <w:p w:rsidR="009055FC" w:rsidRDefault="009055FC" w:rsidP="009055FC">
      <w:r>
        <w:t>However, it did not accept our draft decision to recover residual metering capital costs through standard control services, and maintains its initial position to charge a meter exit fee to recover residual metering capital costs and administration costs.</w:t>
      </w:r>
      <w:r>
        <w:rPr>
          <w:rStyle w:val="FootnoteReference"/>
        </w:rPr>
        <w:footnoteReference w:id="53"/>
      </w:r>
      <w:r>
        <w:t xml:space="preserve">  </w:t>
      </w:r>
    </w:p>
    <w:p w:rsidR="009055FC" w:rsidRPr="00C936E8" w:rsidRDefault="009055FC" w:rsidP="009055FC">
      <w:r>
        <w:t xml:space="preserve">ActewAGL's revised proposal position on exit fees is discussed further in </w:t>
      </w:r>
      <w:r w:rsidR="004704F5">
        <w:fldChar w:fldCharType="begin"/>
      </w:r>
      <w:r w:rsidR="004704F5">
        <w:instrText xml:space="preserve"> REF _Ref418078397 \r \h </w:instrText>
      </w:r>
      <w:r w:rsidR="004704F5">
        <w:fldChar w:fldCharType="separate"/>
      </w:r>
      <w:r w:rsidR="004704F5">
        <w:t>16.2.2</w:t>
      </w:r>
      <w:r w:rsidR="004704F5">
        <w:fldChar w:fldCharType="end"/>
      </w:r>
      <w:r>
        <w:t>.</w:t>
      </w:r>
    </w:p>
    <w:p w:rsidR="009055FC" w:rsidRDefault="009055FC" w:rsidP="004704F5">
      <w:pPr>
        <w:pStyle w:val="HeadingBoldBlue"/>
      </w:pPr>
      <w:r w:rsidRPr="002B2506">
        <w:t>Annual metering services</w:t>
      </w:r>
    </w:p>
    <w:p w:rsidR="009055FC" w:rsidRDefault="009055FC" w:rsidP="009055FC">
      <w:r w:rsidRPr="002B2506">
        <w:t xml:space="preserve">For each tariff class, </w:t>
      </w:r>
      <w:r>
        <w:t>ActewAGL</w:t>
      </w:r>
      <w:r w:rsidRPr="002B2506">
        <w:t xml:space="preserve"> proposed a price cap for annual metering services. The costs that constitute the annual metering service charges </w:t>
      </w:r>
      <w:r>
        <w:t xml:space="preserve">were built up </w:t>
      </w:r>
      <w:r w:rsidRPr="002B2506">
        <w:t xml:space="preserve">by applying a 'building block' approach. This involved forecasting the revenue requirement for each of </w:t>
      </w:r>
      <w:r>
        <w:t>ActewAGL's</w:t>
      </w:r>
      <w:r w:rsidRPr="002B2506">
        <w:t xml:space="preserve"> metering cost categories and then translating this into price caps</w:t>
      </w:r>
      <w:r>
        <w:t xml:space="preserve">. </w:t>
      </w:r>
      <w:r>
        <w:fldChar w:fldCharType="begin"/>
      </w:r>
      <w:r>
        <w:instrText xml:space="preserve"> REF _Ref413081219 \h </w:instrText>
      </w:r>
      <w:r>
        <w:fldChar w:fldCharType="separate"/>
      </w:r>
      <w:r w:rsidR="004704F5">
        <w:t xml:space="preserve">Table </w:t>
      </w:r>
      <w:r w:rsidR="004704F5">
        <w:rPr>
          <w:noProof/>
        </w:rPr>
        <w:t>16</w:t>
      </w:r>
      <w:r w:rsidR="004704F5">
        <w:t>.</w:t>
      </w:r>
      <w:r w:rsidR="004704F5">
        <w:rPr>
          <w:noProof/>
        </w:rPr>
        <w:t>11</w:t>
      </w:r>
      <w:r>
        <w:fldChar w:fldCharType="end"/>
      </w:r>
      <w:r>
        <w:t xml:space="preserve"> </w:t>
      </w:r>
      <w:r w:rsidRPr="002B2506">
        <w:t xml:space="preserve">sets out </w:t>
      </w:r>
      <w:r>
        <w:t>ActewAGL's</w:t>
      </w:r>
      <w:r w:rsidRPr="002B2506">
        <w:t xml:space="preserve"> proposed metering building block requirement. </w:t>
      </w:r>
      <w:r>
        <w:fldChar w:fldCharType="begin"/>
      </w:r>
      <w:r>
        <w:instrText xml:space="preserve"> REF _Ref413081227 \h </w:instrText>
      </w:r>
      <w:r>
        <w:fldChar w:fldCharType="separate"/>
      </w:r>
      <w:r w:rsidR="004704F5">
        <w:t xml:space="preserve">Table </w:t>
      </w:r>
      <w:r w:rsidR="004704F5">
        <w:rPr>
          <w:noProof/>
        </w:rPr>
        <w:t>16</w:t>
      </w:r>
      <w:r w:rsidR="004704F5">
        <w:t>.</w:t>
      </w:r>
      <w:r w:rsidR="004704F5">
        <w:rPr>
          <w:noProof/>
        </w:rPr>
        <w:t>12</w:t>
      </w:r>
      <w:r>
        <w:fldChar w:fldCharType="end"/>
      </w:r>
      <w:r>
        <w:t xml:space="preserve"> </w:t>
      </w:r>
      <w:r w:rsidRPr="002B2506">
        <w:t xml:space="preserve">shows the proposed annual charges for metering services that recover the total proposed revenue. </w:t>
      </w:r>
    </w:p>
    <w:p w:rsidR="009055FC" w:rsidRPr="009055FC" w:rsidRDefault="009055FC" w:rsidP="009055FC">
      <w:pPr>
        <w:pStyle w:val="Caption"/>
        <w:rPr>
          <w:rStyle w:val="Bold"/>
        </w:rPr>
      </w:pPr>
      <w:bookmarkStart w:id="48" w:name="_Ref413081219"/>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11</w:t>
      </w:r>
      <w:r w:rsidR="000D189C">
        <w:rPr>
          <w:noProof/>
        </w:rPr>
        <w:fldChar w:fldCharType="end"/>
      </w:r>
      <w:bookmarkEnd w:id="48"/>
      <w:r>
        <w:t xml:space="preserve"> – ActewAGL</w:t>
      </w:r>
      <w:r w:rsidR="004B6691">
        <w:t>’s</w:t>
      </w:r>
      <w:r>
        <w:t xml:space="preserve"> proposed metering building block revenue requirement ($ million, nominal)</w:t>
      </w:r>
    </w:p>
    <w:tbl>
      <w:tblPr>
        <w:tblStyle w:val="AERtable-numbers"/>
        <w:tblW w:w="0" w:type="auto"/>
        <w:tblLook w:val="04A0" w:firstRow="1" w:lastRow="0" w:firstColumn="1" w:lastColumn="0" w:noHBand="0" w:noVBand="1"/>
      </w:tblPr>
      <w:tblGrid>
        <w:gridCol w:w="2377"/>
        <w:gridCol w:w="1264"/>
        <w:gridCol w:w="1264"/>
        <w:gridCol w:w="1264"/>
        <w:gridCol w:w="1264"/>
        <w:gridCol w:w="1260"/>
      </w:tblGrid>
      <w:tr w:rsidR="009055FC" w:rsidRPr="002B2506" w:rsidTr="008D1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055FC" w:rsidRPr="002B2506" w:rsidRDefault="009055FC" w:rsidP="009055FC"/>
        </w:tc>
        <w:tc>
          <w:tcPr>
            <w:tcW w:w="13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2B2506">
              <w:t>2014–15</w:t>
            </w:r>
          </w:p>
        </w:tc>
        <w:tc>
          <w:tcPr>
            <w:tcW w:w="13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2B2506">
              <w:t>2015–16</w:t>
            </w:r>
          </w:p>
        </w:tc>
        <w:tc>
          <w:tcPr>
            <w:tcW w:w="13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2B2506">
              <w:t>2016–17</w:t>
            </w:r>
          </w:p>
        </w:tc>
        <w:tc>
          <w:tcPr>
            <w:tcW w:w="13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2B2506">
              <w:t>2017–18</w:t>
            </w:r>
          </w:p>
        </w:tc>
        <w:tc>
          <w:tcPr>
            <w:tcW w:w="13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2B2506">
              <w:t>2018</w:t>
            </w:r>
            <w:r w:rsidRPr="002B2506">
              <w:softHyphen/>
              <w:t>–19</w:t>
            </w:r>
          </w:p>
        </w:tc>
      </w:tr>
      <w:tr w:rsidR="009055FC" w:rsidRPr="002B2506" w:rsidTr="008D1774">
        <w:tc>
          <w:tcPr>
            <w:cnfStyle w:val="001000000000" w:firstRow="0" w:lastRow="0" w:firstColumn="1" w:lastColumn="0" w:oddVBand="0" w:evenVBand="0" w:oddHBand="0" w:evenHBand="0" w:firstRowFirstColumn="0" w:firstRowLastColumn="0" w:lastRowFirstColumn="0" w:lastRowLastColumn="0"/>
            <w:tcW w:w="2547" w:type="dxa"/>
          </w:tcPr>
          <w:p w:rsidR="009055FC" w:rsidRPr="009055FC" w:rsidRDefault="009055FC" w:rsidP="009055FC">
            <w:r w:rsidRPr="002B2506">
              <w:t>Return on capital</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4.4</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4.6</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4.3</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3.9</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3.5</w:t>
            </w:r>
          </w:p>
        </w:tc>
      </w:tr>
      <w:tr w:rsidR="009055FC" w:rsidRPr="002B2506" w:rsidTr="008D1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055FC" w:rsidRPr="009055FC" w:rsidRDefault="009055FC" w:rsidP="009055FC">
            <w:r w:rsidRPr="002B2506">
              <w:t>Return of capital</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4.5</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5.4</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5.9</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6.5</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7.2</w:t>
            </w:r>
          </w:p>
        </w:tc>
      </w:tr>
      <w:tr w:rsidR="009055FC" w:rsidRPr="002B2506" w:rsidTr="008D1774">
        <w:tc>
          <w:tcPr>
            <w:cnfStyle w:val="001000000000" w:firstRow="0" w:lastRow="0" w:firstColumn="1" w:lastColumn="0" w:oddVBand="0" w:evenVBand="0" w:oddHBand="0" w:evenHBand="0" w:firstRowFirstColumn="0" w:firstRowLastColumn="0" w:lastRowFirstColumn="0" w:lastRowLastColumn="0"/>
            <w:tcW w:w="2547" w:type="dxa"/>
          </w:tcPr>
          <w:p w:rsidR="009055FC" w:rsidRPr="009055FC" w:rsidRDefault="009055FC" w:rsidP="009055FC">
            <w:r>
              <w:t>Opex</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3.0</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3.2</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3.3</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3.5</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4.3</w:t>
            </w:r>
          </w:p>
        </w:tc>
      </w:tr>
      <w:tr w:rsidR="009055FC" w:rsidRPr="002B2506" w:rsidTr="008D17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9055FC" w:rsidRPr="009055FC" w:rsidRDefault="009055FC" w:rsidP="009055FC">
            <w:r w:rsidRPr="002B2506">
              <w:t xml:space="preserve">Benchmark </w:t>
            </w:r>
            <w:r w:rsidRPr="009055FC">
              <w:t>tax liability</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1.0</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1.0</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1.1</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1.1</w:t>
            </w:r>
          </w:p>
        </w:tc>
        <w:tc>
          <w:tcPr>
            <w:tcW w:w="13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1.1</w:t>
            </w:r>
          </w:p>
        </w:tc>
      </w:tr>
      <w:tr w:rsidR="009055FC" w:rsidRPr="002B2506" w:rsidTr="008D1774">
        <w:tc>
          <w:tcPr>
            <w:cnfStyle w:val="001000000000" w:firstRow="0" w:lastRow="0" w:firstColumn="1" w:lastColumn="0" w:oddVBand="0" w:evenVBand="0" w:oddHBand="0" w:evenHBand="0" w:firstRowFirstColumn="0" w:firstRowLastColumn="0" w:lastRowFirstColumn="0" w:lastRowLastColumn="0"/>
            <w:tcW w:w="2547" w:type="dxa"/>
          </w:tcPr>
          <w:p w:rsidR="009055FC" w:rsidRPr="009055FC" w:rsidRDefault="009055FC" w:rsidP="009055FC">
            <w:r w:rsidRPr="002B2506">
              <w:t>Total</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12.8</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14.2</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14.5</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15.0</w:t>
            </w:r>
          </w:p>
        </w:tc>
        <w:tc>
          <w:tcPr>
            <w:tcW w:w="13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16.1</w:t>
            </w:r>
          </w:p>
        </w:tc>
      </w:tr>
    </w:tbl>
    <w:p w:rsidR="009055FC" w:rsidRPr="002B2506" w:rsidRDefault="009055FC" w:rsidP="009055FC">
      <w:pPr>
        <w:pStyle w:val="Source"/>
      </w:pPr>
      <w:bookmarkStart w:id="49" w:name="_Ref399428660"/>
      <w:r w:rsidRPr="002B2506">
        <w:t xml:space="preserve">Source: </w:t>
      </w:r>
      <w:r w:rsidRPr="002B2506">
        <w:tab/>
      </w:r>
      <w:r>
        <w:t xml:space="preserve">ActewAGL, </w:t>
      </w:r>
      <w:r w:rsidRPr="00831E3A">
        <w:rPr>
          <w:rStyle w:val="AERtextitalic"/>
        </w:rPr>
        <w:t>Revised regulatory proposal 2015–19</w:t>
      </w:r>
      <w:r>
        <w:t>, January 2015, p. 663.</w:t>
      </w:r>
    </w:p>
    <w:p w:rsidR="009055FC" w:rsidRPr="00534FD2" w:rsidRDefault="009055FC" w:rsidP="009055FC">
      <w:pPr>
        <w:pStyle w:val="Caption"/>
      </w:pPr>
      <w:bookmarkStart w:id="50" w:name="_Ref413081227"/>
      <w:bookmarkEnd w:id="49"/>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12</w:t>
      </w:r>
      <w:r w:rsidR="000D189C">
        <w:rPr>
          <w:noProof/>
        </w:rPr>
        <w:fldChar w:fldCharType="end"/>
      </w:r>
      <w:bookmarkEnd w:id="50"/>
      <w:r>
        <w:t xml:space="preserve"> – ActewAGL's proposed prices for annual metering services ($ annual, 2014–15)</w:t>
      </w:r>
    </w:p>
    <w:tbl>
      <w:tblPr>
        <w:tblStyle w:val="AERtable-numbers"/>
        <w:tblW w:w="0" w:type="auto"/>
        <w:tblLook w:val="04A0" w:firstRow="1" w:lastRow="0" w:firstColumn="1" w:lastColumn="0" w:noHBand="0" w:noVBand="1"/>
      </w:tblPr>
      <w:tblGrid>
        <w:gridCol w:w="5070"/>
        <w:gridCol w:w="1953"/>
        <w:gridCol w:w="1670"/>
      </w:tblGrid>
      <w:tr w:rsidR="009055FC" w:rsidTr="004704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r>
              <w:t>Tariff class</w:t>
            </w:r>
          </w:p>
        </w:tc>
        <w:tc>
          <w:tcPr>
            <w:tcW w:w="1953"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Price</w:t>
            </w:r>
            <w:r w:rsidRPr="009055FC">
              <w:t xml:space="preserve"> per NMI</w:t>
            </w:r>
          </w:p>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Existing customers</w:t>
            </w:r>
          </w:p>
        </w:tc>
        <w:tc>
          <w:tcPr>
            <w:tcW w:w="1670"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Price</w:t>
            </w:r>
            <w:r w:rsidRPr="009055FC">
              <w:t xml:space="preserve"> per NMI</w:t>
            </w:r>
          </w:p>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New customers</w:t>
            </w:r>
          </w:p>
        </w:tc>
      </w:tr>
      <w:tr w:rsidR="009055FC" w:rsidTr="0084368C">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pPr>
              <w:rPr>
                <w:rStyle w:val="Strong"/>
              </w:rPr>
            </w:pPr>
            <w:r w:rsidRPr="00534FD2">
              <w:rPr>
                <w:rStyle w:val="Strong"/>
              </w:rPr>
              <w:t>Quarterly basic</w:t>
            </w:r>
          </w:p>
          <w:p w:rsidR="009055FC" w:rsidRPr="009055FC" w:rsidRDefault="009055FC" w:rsidP="009055FC">
            <w:r>
              <w:t>Accumulation and time–of–use</w:t>
            </w:r>
          </w:p>
        </w:tc>
        <w:tc>
          <w:tcPr>
            <w:tcW w:w="1953"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80.34</w:t>
            </w:r>
          </w:p>
        </w:tc>
        <w:tc>
          <w:tcPr>
            <w:tcW w:w="1670"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24.35</w:t>
            </w:r>
          </w:p>
        </w:tc>
      </w:tr>
      <w:tr w:rsidR="009055FC" w:rsidTr="00843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pPr>
              <w:rPr>
                <w:rStyle w:val="Strong"/>
              </w:rPr>
            </w:pPr>
            <w:r w:rsidRPr="00534FD2">
              <w:rPr>
                <w:rStyle w:val="Strong"/>
              </w:rPr>
              <w:t>Monthly basic</w:t>
            </w:r>
          </w:p>
          <w:p w:rsidR="009055FC" w:rsidRPr="009055FC" w:rsidRDefault="009055FC" w:rsidP="009055FC">
            <w:r>
              <w:t>Accumulation and time–of–use</w:t>
            </w:r>
          </w:p>
        </w:tc>
        <w:tc>
          <w:tcPr>
            <w:tcW w:w="1953"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116.80</w:t>
            </w:r>
          </w:p>
        </w:tc>
        <w:tc>
          <w:tcPr>
            <w:tcW w:w="1670"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60.81</w:t>
            </w:r>
          </w:p>
        </w:tc>
      </w:tr>
      <w:tr w:rsidR="009055FC" w:rsidTr="0084368C">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pPr>
              <w:rPr>
                <w:rStyle w:val="Strong"/>
              </w:rPr>
            </w:pPr>
            <w:r w:rsidRPr="00534FD2">
              <w:rPr>
                <w:rStyle w:val="Strong"/>
              </w:rPr>
              <w:lastRenderedPageBreak/>
              <w:t>Time–of–use metering rate</w:t>
            </w:r>
          </w:p>
          <w:p w:rsidR="009055FC" w:rsidRPr="009055FC" w:rsidRDefault="009055FC" w:rsidP="009055FC">
            <w:r>
              <w:t>Time–of–use</w:t>
            </w:r>
            <w:r w:rsidRPr="009055FC">
              <w:t xml:space="preserve"> meters read monthly</w:t>
            </w:r>
          </w:p>
        </w:tc>
        <w:tc>
          <w:tcPr>
            <w:tcW w:w="1953"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116.80</w:t>
            </w:r>
          </w:p>
        </w:tc>
        <w:tc>
          <w:tcPr>
            <w:tcW w:w="1670"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60.81</w:t>
            </w:r>
          </w:p>
        </w:tc>
      </w:tr>
      <w:tr w:rsidR="009055FC" w:rsidTr="00843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pPr>
              <w:rPr>
                <w:rStyle w:val="Strong"/>
              </w:rPr>
            </w:pPr>
            <w:r w:rsidRPr="00534FD2">
              <w:rPr>
                <w:rStyle w:val="Strong"/>
              </w:rPr>
              <w:t>Monthly manually read interval metering rate</w:t>
            </w:r>
          </w:p>
          <w:p w:rsidR="009055FC" w:rsidRPr="009055FC" w:rsidRDefault="009055FC" w:rsidP="009055FC">
            <w:r>
              <w:t>Interval meters recording at either 15– or 30–minute intervals, read manually and processed monthly</w:t>
            </w:r>
          </w:p>
        </w:tc>
        <w:tc>
          <w:tcPr>
            <w:tcW w:w="1953"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719.05</w:t>
            </w:r>
          </w:p>
        </w:tc>
        <w:tc>
          <w:tcPr>
            <w:tcW w:w="1670"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660.65</w:t>
            </w:r>
          </w:p>
        </w:tc>
      </w:tr>
      <w:tr w:rsidR="009055FC" w:rsidTr="0084368C">
        <w:tc>
          <w:tcPr>
            <w:cnfStyle w:val="001000000000" w:firstRow="0" w:lastRow="0" w:firstColumn="1" w:lastColumn="0" w:oddVBand="0" w:evenVBand="0" w:oddHBand="0" w:evenHBand="0" w:firstRowFirstColumn="0" w:firstRowLastColumn="0" w:lastRowFirstColumn="0" w:lastRowLastColumn="0"/>
            <w:tcW w:w="5070" w:type="dxa"/>
          </w:tcPr>
          <w:p w:rsidR="009055FC" w:rsidRPr="009055FC" w:rsidRDefault="009055FC" w:rsidP="009055FC">
            <w:pPr>
              <w:rPr>
                <w:rStyle w:val="Strong"/>
              </w:rPr>
            </w:pPr>
            <w:r>
              <w:rPr>
                <w:rStyle w:val="Strong"/>
              </w:rPr>
              <w:t>Quarterly</w:t>
            </w:r>
            <w:r w:rsidRPr="009055FC">
              <w:rPr>
                <w:rStyle w:val="Strong"/>
              </w:rPr>
              <w:t xml:space="preserve"> manually read interval metering rate</w:t>
            </w:r>
          </w:p>
          <w:p w:rsidR="009055FC" w:rsidRPr="009055FC" w:rsidRDefault="009055FC" w:rsidP="009055FC">
            <w:r>
              <w:t xml:space="preserve">Interval </w:t>
            </w:r>
            <w:r w:rsidRPr="009055FC">
              <w:t>meters recording at either 15– or 30–minute intervals, read manually and processed quarterly</w:t>
            </w:r>
          </w:p>
        </w:tc>
        <w:tc>
          <w:tcPr>
            <w:tcW w:w="1953"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22</w:t>
            </w:r>
            <w:r w:rsidRPr="009055FC">
              <w:t>7.76</w:t>
            </w:r>
          </w:p>
        </w:tc>
        <w:tc>
          <w:tcPr>
            <w:tcW w:w="1670"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171.77</w:t>
            </w:r>
          </w:p>
        </w:tc>
      </w:tr>
    </w:tbl>
    <w:p w:rsidR="009055FC" w:rsidRPr="002B2506" w:rsidRDefault="009055FC" w:rsidP="009055FC">
      <w:pPr>
        <w:pStyle w:val="Source"/>
      </w:pPr>
      <w:r w:rsidRPr="002B2506">
        <w:t xml:space="preserve">Source: </w:t>
      </w:r>
      <w:r w:rsidRPr="002B2506">
        <w:tab/>
      </w:r>
      <w:r>
        <w:t xml:space="preserve">ActewAGL, </w:t>
      </w:r>
      <w:r w:rsidRPr="00831E3A">
        <w:rPr>
          <w:rStyle w:val="AERtextitalic"/>
        </w:rPr>
        <w:t>Revised regulatory proposal 2015–19</w:t>
      </w:r>
      <w:r>
        <w:t>, January 2015, p. 665–6.</w:t>
      </w:r>
    </w:p>
    <w:p w:rsidR="009055FC" w:rsidRDefault="009055FC" w:rsidP="004704F5">
      <w:pPr>
        <w:pStyle w:val="HeadingBoldBlue"/>
      </w:pPr>
      <w:bookmarkStart w:id="51" w:name="_Ref417741629"/>
      <w:bookmarkStart w:id="52" w:name="_Ref399337934"/>
      <w:r>
        <w:t>Meter exit fee</w:t>
      </w:r>
      <w:bookmarkEnd w:id="51"/>
    </w:p>
    <w:p w:rsidR="009055FC" w:rsidRDefault="009055FC" w:rsidP="009055FC">
      <w:r w:rsidRPr="00822F9E">
        <w:t>ActewAGL</w:t>
      </w:r>
      <w:r>
        <w:t xml:space="preserve"> considered that our draft decision to classify the recovery of residual type 5 or type 6 meter capital costs as a discrete, additional standard control service to smear recovery through network tariffs from the general customer base is legally impermissible.</w:t>
      </w:r>
      <w:r>
        <w:rPr>
          <w:rStyle w:val="FootnoteReference"/>
        </w:rPr>
        <w:footnoteReference w:id="54"/>
      </w:r>
      <w:r>
        <w:t xml:space="preserve"> </w:t>
      </w:r>
      <w:r w:rsidR="00934713">
        <w:t xml:space="preserve">It </w:t>
      </w:r>
      <w:r>
        <w:t>gave the following reasons:</w:t>
      </w:r>
    </w:p>
    <w:p w:rsidR="009055FC" w:rsidRDefault="009055FC" w:rsidP="009055FC">
      <w:pPr>
        <w:pStyle w:val="AERbulletlistfirststyle"/>
      </w:pPr>
      <w:r>
        <w:t>The AER can only classify a service, not a category of cost</w:t>
      </w:r>
    </w:p>
    <w:p w:rsidR="009055FC" w:rsidRDefault="009055FC" w:rsidP="009055FC">
      <w:pPr>
        <w:pStyle w:val="AERbulletlistfirststyle"/>
      </w:pPr>
      <w:r>
        <w:t>The NER prohibits the inclusion of assets into the RAB for standard control services that are not used to provide standard control services</w:t>
      </w:r>
    </w:p>
    <w:p w:rsidR="009055FC" w:rsidRDefault="009055FC" w:rsidP="009055FC">
      <w:pPr>
        <w:pStyle w:val="AERbulletlistfirststyle"/>
      </w:pPr>
      <w:r>
        <w:t>The NER does not permit additions to the RAB for standard control services during the regulatory control period.</w:t>
      </w:r>
    </w:p>
    <w:p w:rsidR="009055FC" w:rsidRDefault="009055FC" w:rsidP="009055FC">
      <w:r>
        <w:t xml:space="preserve">In addition to </w:t>
      </w:r>
      <w:r w:rsidR="00934713">
        <w:t xml:space="preserve">its </w:t>
      </w:r>
      <w:r>
        <w:t>legal concerns ActewAGL had other objections</w:t>
      </w:r>
      <w:r w:rsidR="00934713">
        <w:t>,</w:t>
      </w:r>
      <w:r>
        <w:t xml:space="preserve"> including that our draft decision does not reconcile with policy views expressed by SCER (now the COAG Energy Council) and any depart</w:t>
      </w:r>
      <w:r w:rsidR="00934713">
        <w:t>ure</w:t>
      </w:r>
      <w:r>
        <w:t xml:space="preserve"> from those policy views should be a policy decision made by the AEMC.</w:t>
      </w:r>
      <w:r>
        <w:rPr>
          <w:rStyle w:val="FootnoteReference"/>
        </w:rPr>
        <w:footnoteReference w:id="55"/>
      </w:r>
      <w:r>
        <w:t xml:space="preserve"> </w:t>
      </w:r>
    </w:p>
    <w:p w:rsidR="009055FC" w:rsidRPr="00822F9E" w:rsidRDefault="009055FC" w:rsidP="009055FC">
      <w:r>
        <w:t xml:space="preserve">In its revised proposal, ActewAGL maintained its position that a meter exit fee should apply when customers switch, to </w:t>
      </w:r>
      <w:r w:rsidRPr="00822F9E">
        <w:t>recover</w:t>
      </w:r>
      <w:r>
        <w:t xml:space="preserve"> residual metering capital costs and administration costs </w:t>
      </w:r>
      <w:r w:rsidRPr="00822F9E">
        <w:t>involved in the administration of c</w:t>
      </w:r>
      <w:r>
        <w:t>ustomer transfers from its data</w:t>
      </w:r>
      <w:r w:rsidRPr="00822F9E">
        <w:t>base to those of competing providers</w:t>
      </w:r>
      <w:r>
        <w:t>.</w:t>
      </w:r>
      <w:r>
        <w:rPr>
          <w:rStyle w:val="FootnoteReference"/>
        </w:rPr>
        <w:footnoteReference w:id="56"/>
      </w:r>
      <w:r w:rsidRPr="00822F9E" w:rsidDel="00682C61">
        <w:t xml:space="preserve"> </w:t>
      </w:r>
    </w:p>
    <w:p w:rsidR="009055FC" w:rsidRPr="00FA2951" w:rsidRDefault="009055FC" w:rsidP="004704F5">
      <w:pPr>
        <w:pStyle w:val="HeadingBoldBlue"/>
      </w:pPr>
      <w:bookmarkStart w:id="53" w:name="_Ref416704015"/>
      <w:r w:rsidRPr="00FA2951">
        <w:t>Upfront capital charge</w:t>
      </w:r>
      <w:bookmarkEnd w:id="53"/>
    </w:p>
    <w:p w:rsidR="009055FC" w:rsidRDefault="009055FC" w:rsidP="009055FC">
      <w:r>
        <w:t>ActewAGL's</w:t>
      </w:r>
      <w:r w:rsidRPr="003B7B05">
        <w:t xml:space="preserve"> treatment of new or upgraded connections in its revised regulatory proposal is </w:t>
      </w:r>
      <w:r>
        <w:t>different to</w:t>
      </w:r>
      <w:r w:rsidRPr="003B7B05">
        <w:t xml:space="preserve"> its initial proposal. </w:t>
      </w:r>
      <w:r>
        <w:t xml:space="preserve">Initially ActewAGL proposed to include the capital cost recovery of new or upgraded connections in its annual metering charge. In </w:t>
      </w:r>
      <w:r>
        <w:lastRenderedPageBreak/>
        <w:t>its revised proposal, however, ActewAGL applie</w:t>
      </w:r>
      <w:r w:rsidR="00934713">
        <w:t>d</w:t>
      </w:r>
      <w:r>
        <w:t xml:space="preserve"> our draft decision such that it now seeks to establish upfront capital charges for new or upgraded connections from 1 July 2015.</w:t>
      </w:r>
      <w:r>
        <w:rPr>
          <w:rStyle w:val="FootnoteReference"/>
        </w:rPr>
        <w:footnoteReference w:id="57"/>
      </w:r>
      <w:r>
        <w:t xml:space="preserve"> </w:t>
      </w:r>
    </w:p>
    <w:p w:rsidR="009055FC" w:rsidRPr="003B7B05" w:rsidRDefault="009055FC" w:rsidP="009055FC">
      <w:r>
        <w:t xml:space="preserve">The proposal for upfront charges for new or upgraded connections is consistent with our draft decision. We maintain our position in the draft decision that such charges should improve cost visibility and facilitate comparisons by consumers in the lead up to competition in metering. </w:t>
      </w:r>
      <w:r w:rsidRPr="003B7B05">
        <w:t>This is by shifting how the capital costs for new and upgraded meters are recovered, from the annual metering services charge where costs are smeared across all customers, to an upfront</w:t>
      </w:r>
      <w:r>
        <w:t xml:space="preserve"> and direct</w:t>
      </w:r>
      <w:r w:rsidRPr="003B7B05">
        <w:t xml:space="preserve"> payment which new entrants to the market can compete </w:t>
      </w:r>
      <w:r>
        <w:t>against</w:t>
      </w:r>
      <w:r w:rsidRPr="003B7B05">
        <w:t xml:space="preserve"> on price.</w:t>
      </w:r>
      <w:r>
        <w:rPr>
          <w:rStyle w:val="FootnoteReference"/>
        </w:rPr>
        <w:footnoteReference w:id="58"/>
      </w:r>
    </w:p>
    <w:p w:rsidR="009055FC" w:rsidRPr="003B7B05" w:rsidRDefault="009055FC" w:rsidP="009055FC">
      <w:r w:rsidRPr="003B7B05">
        <w:fldChar w:fldCharType="begin"/>
      </w:r>
      <w:r w:rsidRPr="003B7B05">
        <w:instrText xml:space="preserve"> REF _Ref413081334 \h </w:instrText>
      </w:r>
      <w:r w:rsidRPr="003B7B05">
        <w:fldChar w:fldCharType="separate"/>
      </w:r>
      <w:r w:rsidR="004704F5" w:rsidRPr="003B7B05">
        <w:t xml:space="preserve">Table </w:t>
      </w:r>
      <w:r w:rsidR="004704F5">
        <w:rPr>
          <w:noProof/>
        </w:rPr>
        <w:t>16</w:t>
      </w:r>
      <w:r w:rsidR="004704F5">
        <w:t>.</w:t>
      </w:r>
      <w:r w:rsidR="004704F5">
        <w:rPr>
          <w:noProof/>
        </w:rPr>
        <w:t>13</w:t>
      </w:r>
      <w:r w:rsidRPr="003B7B05">
        <w:fldChar w:fldCharType="end"/>
      </w:r>
      <w:r w:rsidRPr="003B7B05">
        <w:t xml:space="preserve"> sets out </w:t>
      </w:r>
      <w:r>
        <w:t>ActewAGL's</w:t>
      </w:r>
      <w:r w:rsidRPr="003B7B05">
        <w:t xml:space="preserve"> proposed </w:t>
      </w:r>
      <w:r>
        <w:t xml:space="preserve">upfront </w:t>
      </w:r>
      <w:r w:rsidRPr="003B7B05">
        <w:t xml:space="preserve">charges for new </w:t>
      </w:r>
      <w:r>
        <w:t>or</w:t>
      </w:r>
      <w:r w:rsidRPr="003B7B05">
        <w:t xml:space="preserve"> upgraded meters. </w:t>
      </w:r>
      <w:r>
        <w:t>The proposed charges for installing a meter are also included.</w:t>
      </w:r>
    </w:p>
    <w:p w:rsidR="009055FC" w:rsidRPr="003B7B05" w:rsidRDefault="009055FC" w:rsidP="009055FC">
      <w:pPr>
        <w:pStyle w:val="Caption"/>
      </w:pPr>
      <w:bookmarkStart w:id="54" w:name="_Ref413081334"/>
      <w:r w:rsidRPr="003B7B05">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13</w:t>
      </w:r>
      <w:r w:rsidR="000D189C">
        <w:rPr>
          <w:noProof/>
        </w:rPr>
        <w:fldChar w:fldCharType="end"/>
      </w:r>
      <w:bookmarkEnd w:id="54"/>
      <w:r w:rsidRPr="003B7B05">
        <w:t xml:space="preserve"> </w:t>
      </w:r>
      <w:r>
        <w:t>– ActewAGL</w:t>
      </w:r>
      <w:r w:rsidRPr="003B7B05">
        <w:t xml:space="preserve"> averaged proposed new or upgraded meter prices in the 2015–19 regulatory control period ($2014–15)</w:t>
      </w:r>
    </w:p>
    <w:tbl>
      <w:tblPr>
        <w:tblStyle w:val="AERtable-numbers"/>
        <w:tblW w:w="0" w:type="auto"/>
        <w:tblLook w:val="04A0" w:firstRow="1" w:lastRow="0" w:firstColumn="1" w:lastColumn="0" w:noHBand="0" w:noVBand="1"/>
      </w:tblPr>
      <w:tblGrid>
        <w:gridCol w:w="5122"/>
        <w:gridCol w:w="3452"/>
      </w:tblGrid>
      <w:tr w:rsidR="009055FC" w:rsidRPr="002B2506" w:rsidTr="008D1774">
        <w:trPr>
          <w:cnfStyle w:val="100000000000" w:firstRow="1" w:lastRow="0" w:firstColumn="0" w:lastColumn="0" w:oddVBand="0" w:evenVBand="0" w:oddHBand="0"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rsidRPr="003B7B05">
              <w:t>Meter description</w:t>
            </w:r>
            <w:r w:rsidRPr="009055FC">
              <w:t>/activity</w:t>
            </w:r>
          </w:p>
        </w:tc>
        <w:tc>
          <w:tcPr>
            <w:tcW w:w="3452" w:type="dxa"/>
          </w:tcPr>
          <w:p w:rsidR="009055FC" w:rsidRPr="003B7B05" w:rsidRDefault="009055FC" w:rsidP="009055FC">
            <w:pPr>
              <w:cnfStyle w:val="100000000000" w:firstRow="1" w:lastRow="0" w:firstColumn="0" w:lastColumn="0" w:oddVBand="0" w:evenVBand="0" w:oddHBand="0" w:evenHBand="0" w:firstRowFirstColumn="0" w:firstRowLastColumn="0" w:lastRowFirstColumn="0" w:lastRowLastColumn="0"/>
            </w:pPr>
          </w:p>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Upfront charge</w:t>
            </w:r>
          </w:p>
          <w:p w:rsidR="009055FC" w:rsidRPr="003B7B05" w:rsidRDefault="009055FC" w:rsidP="009055FC">
            <w:pPr>
              <w:cnfStyle w:val="100000000000" w:firstRow="1" w:lastRow="0" w:firstColumn="0" w:lastColumn="0" w:oddVBand="0" w:evenVBand="0" w:oddHBand="0" w:evenHBand="0" w:firstRowFirstColumn="0" w:firstRowLastColumn="0" w:lastRowFirstColumn="0" w:lastRowLastColumn="0"/>
            </w:pPr>
          </w:p>
        </w:tc>
      </w:tr>
      <w:tr w:rsidR="009055FC" w:rsidRPr="002B2506" w:rsidTr="008D1774">
        <w:trPr>
          <w:trHeight w:val="417"/>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Install meter (excludes cost of meter)</w:t>
            </w:r>
          </w:p>
        </w:tc>
        <w:tc>
          <w:tcPr>
            <w:tcW w:w="3452"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359.54</w:t>
            </w:r>
          </w:p>
        </w:tc>
      </w:tr>
      <w:tr w:rsidR="009055FC" w:rsidRPr="002B2506" w:rsidTr="008D1774">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Install subsequent meter – same location and visit (excludes meter)</w:t>
            </w:r>
          </w:p>
        </w:tc>
        <w:tc>
          <w:tcPr>
            <w:tcW w:w="3452"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179.77</w:t>
            </w:r>
          </w:p>
        </w:tc>
      </w:tr>
      <w:tr w:rsidR="009055FC" w:rsidRPr="002B2506" w:rsidTr="008D1774">
        <w:trPr>
          <w:trHeight w:val="417"/>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 xml:space="preserve">Install / replace meter – micro </w:t>
            </w:r>
            <w:r w:rsidRPr="009055FC">
              <w:t>renewable energy installation (excludes meter)</w:t>
            </w:r>
          </w:p>
        </w:tc>
        <w:tc>
          <w:tcPr>
            <w:tcW w:w="3452"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359.54</w:t>
            </w:r>
          </w:p>
        </w:tc>
      </w:tr>
      <w:tr w:rsidR="009055FC" w:rsidRPr="002B2506" w:rsidTr="008D1774">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Single phase, single element manually read interval meter</w:t>
            </w:r>
          </w:p>
        </w:tc>
        <w:tc>
          <w:tcPr>
            <w:tcW w:w="3452"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129.22</w:t>
            </w:r>
          </w:p>
        </w:tc>
      </w:tr>
      <w:tr w:rsidR="009055FC" w:rsidRPr="002B2506" w:rsidTr="008D1774">
        <w:trPr>
          <w:trHeight w:val="417"/>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Single phase, two element meter</w:t>
            </w:r>
          </w:p>
        </w:tc>
        <w:tc>
          <w:tcPr>
            <w:tcW w:w="3452"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234.85</w:t>
            </w:r>
          </w:p>
        </w:tc>
      </w:tr>
      <w:tr w:rsidR="009055FC" w:rsidRPr="002B2506" w:rsidTr="008D1774">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122" w:type="dxa"/>
          </w:tcPr>
          <w:p w:rsidR="009055FC" w:rsidRPr="009055FC" w:rsidRDefault="009055FC" w:rsidP="009055FC">
            <w:r>
              <w:t>Three phase meter</w:t>
            </w:r>
          </w:p>
        </w:tc>
        <w:tc>
          <w:tcPr>
            <w:tcW w:w="3452"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356.16</w:t>
            </w:r>
          </w:p>
        </w:tc>
      </w:tr>
    </w:tbl>
    <w:p w:rsidR="009055FC" w:rsidRDefault="009055FC" w:rsidP="009055FC">
      <w:pPr>
        <w:pStyle w:val="Source"/>
      </w:pPr>
      <w:r w:rsidRPr="003B7B05">
        <w:t>Source:</w:t>
      </w:r>
      <w:r w:rsidRPr="003B7B05">
        <w:tab/>
        <w:t xml:space="preserve"> </w:t>
      </w:r>
      <w:r>
        <w:t xml:space="preserve">ActewAGL, </w:t>
      </w:r>
      <w:r w:rsidRPr="00831E3A">
        <w:rPr>
          <w:rStyle w:val="AERtextitalic"/>
        </w:rPr>
        <w:t>Revised regulatory proposal 2015–19</w:t>
      </w:r>
      <w:r>
        <w:t>, January 2015, p. 660.</w:t>
      </w:r>
    </w:p>
    <w:p w:rsidR="009055FC" w:rsidRDefault="009055FC" w:rsidP="004704F5">
      <w:pPr>
        <w:pStyle w:val="HeadingBoldBlue"/>
      </w:pPr>
      <w:r>
        <w:t>Control mechanism</w:t>
      </w:r>
    </w:p>
    <w:p w:rsidR="009055FC" w:rsidRPr="00D60D02" w:rsidRDefault="009055FC" w:rsidP="009055FC">
      <w:r>
        <w:t>ActewAGL noted that our draft decision did not make a</w:t>
      </w:r>
      <w:r w:rsidRPr="00AB576A">
        <w:t xml:space="preserve"> constituent decision on how compliance with the control mechanism for metering services is to be demonstrated</w:t>
      </w:r>
      <w:r>
        <w:t>.</w:t>
      </w:r>
      <w:r>
        <w:rPr>
          <w:rStyle w:val="FootnoteReference"/>
        </w:rPr>
        <w:footnoteReference w:id="59"/>
      </w:r>
    </w:p>
    <w:p w:rsidR="004704F5" w:rsidRDefault="004704F5">
      <w:pPr>
        <w:spacing w:line="240" w:lineRule="auto"/>
        <w:rPr>
          <w:rFonts w:eastAsiaTheme="majorEastAsia" w:cstheme="majorBidi"/>
          <w:b/>
          <w:bCs/>
          <w:color w:val="70635A" w:themeColor="text2"/>
          <w:sz w:val="28"/>
        </w:rPr>
      </w:pPr>
      <w:bookmarkStart w:id="55" w:name="_Toc417566983"/>
      <w:bookmarkStart w:id="56" w:name="_Toc417566986"/>
      <w:bookmarkStart w:id="57" w:name="_Toc417566987"/>
      <w:bookmarkStart w:id="58" w:name="_Toc417566990"/>
      <w:bookmarkStart w:id="59" w:name="_Toc416868350"/>
      <w:bookmarkStart w:id="60" w:name="_Toc417811074"/>
      <w:bookmarkStart w:id="61" w:name="_Toc418078037"/>
      <w:bookmarkEnd w:id="52"/>
      <w:bookmarkEnd w:id="55"/>
      <w:bookmarkEnd w:id="56"/>
      <w:bookmarkEnd w:id="57"/>
      <w:bookmarkEnd w:id="58"/>
      <w:bookmarkEnd w:id="59"/>
      <w:r>
        <w:br w:type="page"/>
      </w:r>
    </w:p>
    <w:p w:rsidR="009055FC" w:rsidRDefault="009055FC" w:rsidP="009055FC">
      <w:pPr>
        <w:pStyle w:val="Heading3"/>
      </w:pPr>
      <w:r>
        <w:lastRenderedPageBreak/>
        <w:t>Assessment approach</w:t>
      </w:r>
      <w:bookmarkEnd w:id="60"/>
      <w:bookmarkEnd w:id="61"/>
    </w:p>
    <w:p w:rsidR="009055FC" w:rsidRDefault="009055FC" w:rsidP="009055FC">
      <w:r>
        <w:t>ActewAGL proposed price caps on three categories of metering services.</w:t>
      </w:r>
      <w:r>
        <w:rPr>
          <w:rStyle w:val="FootnoteReference"/>
        </w:rPr>
        <w:footnoteReference w:id="60"/>
      </w:r>
      <w:r>
        <w:t xml:space="preserve"> These are annual metering services, upfront capital charges for new or upgraded connections, and a meter exit fee. </w:t>
      </w:r>
    </w:p>
    <w:p w:rsidR="009055FC" w:rsidRDefault="009055FC" w:rsidP="004704F5">
      <w:pPr>
        <w:pStyle w:val="HeadingBoldBlue"/>
      </w:pPr>
      <w:r>
        <w:t>Structure of metering charges</w:t>
      </w:r>
    </w:p>
    <w:p w:rsidR="009055FC" w:rsidRDefault="009055FC" w:rsidP="009055FC">
      <w:pPr>
        <w:rPr>
          <w:rStyle w:val="Strong"/>
        </w:rPr>
      </w:pPr>
      <w:r>
        <w:rPr>
          <w:rStyle w:val="Strong"/>
        </w:rPr>
        <w:t>AEMC Draft Rule Change</w:t>
      </w:r>
    </w:p>
    <w:p w:rsidR="009055FC" w:rsidRDefault="00934713" w:rsidP="009055FC">
      <w:r>
        <w:rPr>
          <w:rStyle w:val="AERbody"/>
        </w:rPr>
        <w:t xml:space="preserve">The </w:t>
      </w:r>
      <w:r w:rsidR="009055FC">
        <w:rPr>
          <w:rStyle w:val="AERbody"/>
        </w:rPr>
        <w:t>AEMC's draft rule change does not specify a method, but considered that the AER should determine how distributors recover residual capital costs of its regulated metering service</w:t>
      </w:r>
      <w:r w:rsidR="009055FC" w:rsidRPr="006624CF">
        <w:t xml:space="preserve"> in accordance with the existing regulatory framework.</w:t>
      </w:r>
      <w:r w:rsidR="009055FC">
        <w:rPr>
          <w:rStyle w:val="FootnoteReference"/>
        </w:rPr>
        <w:footnoteReference w:id="61"/>
      </w:r>
      <w:r w:rsidR="009055FC">
        <w:t xml:space="preserve"> </w:t>
      </w:r>
    </w:p>
    <w:p w:rsidR="009055FC" w:rsidRDefault="009055FC" w:rsidP="009055FC">
      <w:pPr>
        <w:rPr>
          <w:rStyle w:val="Strong"/>
        </w:rPr>
      </w:pPr>
      <w:r>
        <w:rPr>
          <w:rStyle w:val="Strong"/>
        </w:rPr>
        <w:t>National Electricity Law</w:t>
      </w:r>
    </w:p>
    <w:p w:rsidR="009055FC" w:rsidRPr="00503897" w:rsidRDefault="009055FC" w:rsidP="009055FC">
      <w:pPr>
        <w:rPr>
          <w:rStyle w:val="AERbody"/>
        </w:rPr>
      </w:pPr>
      <w:r>
        <w:rPr>
          <w:rStyle w:val="AERbody"/>
        </w:rPr>
        <w:t>W</w:t>
      </w:r>
      <w:r w:rsidRPr="00503897">
        <w:rPr>
          <w:rStyle w:val="AERbody"/>
        </w:rPr>
        <w:t xml:space="preserve">e had regard to the </w:t>
      </w:r>
      <w:r>
        <w:rPr>
          <w:rStyle w:val="AERbody"/>
        </w:rPr>
        <w:t xml:space="preserve">national electricity objective and the </w:t>
      </w:r>
      <w:r w:rsidRPr="00503897">
        <w:rPr>
          <w:rStyle w:val="AERbody"/>
        </w:rPr>
        <w:t>revenue and pricing principles which include providing a distribution business with a reasonable opportunity to recover at least its efficient costs.</w:t>
      </w:r>
      <w:r w:rsidRPr="00503897">
        <w:rPr>
          <w:rStyle w:val="AERsuperscript"/>
        </w:rPr>
        <w:footnoteReference w:id="62"/>
      </w:r>
      <w:r w:rsidRPr="00503897">
        <w:rPr>
          <w:rStyle w:val="AERsuperscript"/>
        </w:rPr>
        <w:t xml:space="preserve"> </w:t>
      </w:r>
    </w:p>
    <w:p w:rsidR="009055FC" w:rsidRDefault="009055FC" w:rsidP="009055FC">
      <w:pPr>
        <w:rPr>
          <w:rStyle w:val="Strong"/>
        </w:rPr>
      </w:pPr>
      <w:r>
        <w:rPr>
          <w:rStyle w:val="Strong"/>
        </w:rPr>
        <w:t>National Electricity Rules</w:t>
      </w:r>
    </w:p>
    <w:p w:rsidR="009055FC" w:rsidRDefault="009055FC" w:rsidP="009055FC">
      <w:r>
        <w:t xml:space="preserve">We had regard to the distribution pricing principles set out in </w:t>
      </w:r>
      <w:r w:rsidR="00934713">
        <w:t xml:space="preserve">clause </w:t>
      </w:r>
      <w:r>
        <w:t xml:space="preserve">6.18.5 </w:t>
      </w:r>
      <w:r w:rsidR="00934713">
        <w:t xml:space="preserve">of the NER, </w:t>
      </w:r>
      <w:r>
        <w:t xml:space="preserve">which include the requirement that revenue recovered should be between </w:t>
      </w:r>
      <w:r w:rsidR="00934713">
        <w:t xml:space="preserve">the </w:t>
      </w:r>
      <w:r>
        <w:t xml:space="preserve">standalone and avoidable cost of serving that customer group. </w:t>
      </w:r>
    </w:p>
    <w:p w:rsidR="009055FC" w:rsidRDefault="009055FC" w:rsidP="009055FC">
      <w:r>
        <w:t>In determining the appropriate structure of metering charges we have made decisions on the classification of the service and the control mechanism. The classification and control mechanism to recover metering capital costs that risk becoming stranded if a customer switches was not explicitly considered in our Stage 1 Framework and Approach.</w:t>
      </w:r>
      <w:r>
        <w:rPr>
          <w:rStyle w:val="FootnoteReference"/>
        </w:rPr>
        <w:footnoteReference w:id="63"/>
      </w:r>
      <w:r>
        <w:t xml:space="preserve"> Our final decision classification and control mechanism has been made with regard to the factors set out in clauses 6.2.2(c) and 6.2.5(c) of the NER. We had particular regard to:</w:t>
      </w:r>
    </w:p>
    <w:p w:rsidR="009055FC" w:rsidRPr="003C7FAA" w:rsidRDefault="009055FC" w:rsidP="009055FC">
      <w:pPr>
        <w:pStyle w:val="AERbulletlistfirststyle"/>
      </w:pPr>
      <w:r>
        <w:t>how the classification/control mechanism may influence the potential for compe</w:t>
      </w:r>
      <w:r w:rsidRPr="003C7FAA">
        <w:t>tition in unregulated metering</w:t>
      </w:r>
    </w:p>
    <w:p w:rsidR="009055FC" w:rsidRPr="003C7FAA" w:rsidRDefault="009055FC" w:rsidP="009055FC">
      <w:pPr>
        <w:pStyle w:val="AERbulletlistfirststyle"/>
      </w:pPr>
      <w:r>
        <w:t>a method that provides administrative simplicity for customers, ActewAGL</w:t>
      </w:r>
      <w:r w:rsidRPr="003C7FAA">
        <w:t xml:space="preserve"> and the AER where possible </w:t>
      </w:r>
    </w:p>
    <w:p w:rsidR="009055FC" w:rsidRDefault="009055FC" w:rsidP="009055FC">
      <w:pPr>
        <w:pStyle w:val="AERbulletlistfirststyle"/>
      </w:pPr>
      <w:r>
        <w:lastRenderedPageBreak/>
        <w:t>t</w:t>
      </w:r>
      <w:r w:rsidRPr="003C7FAA">
        <w:t>he extent to which costs can be directly attributable to individual customers in order to minimise cross subsidies.</w:t>
      </w:r>
    </w:p>
    <w:p w:rsidR="009055FC" w:rsidRDefault="009055FC" w:rsidP="009055FC">
      <w:pPr>
        <w:rPr>
          <w:rStyle w:val="AERbody"/>
        </w:rPr>
      </w:pPr>
      <w:r>
        <w:rPr>
          <w:rStyle w:val="AERbody"/>
        </w:rPr>
        <w:t>We also have a preference for a nationally consistent approach.  Our approach to the classification of services is discussed in Attachment 13.</w:t>
      </w:r>
    </w:p>
    <w:p w:rsidR="009055FC" w:rsidRDefault="009055FC" w:rsidP="004704F5">
      <w:pPr>
        <w:pStyle w:val="HeadingBoldBlue"/>
      </w:pPr>
      <w:r>
        <w:t>Annual metering service charges</w:t>
      </w:r>
    </w:p>
    <w:p w:rsidR="009055FC" w:rsidRPr="00056BE6" w:rsidRDefault="009055FC" w:rsidP="009055FC">
      <w:r w:rsidRPr="00056BE6">
        <w:t xml:space="preserve">We assessed </w:t>
      </w:r>
      <w:r>
        <w:t>ActewAGL's</w:t>
      </w:r>
      <w:r w:rsidRPr="00056BE6">
        <w:t xml:space="preserve"> proposed </w:t>
      </w:r>
      <w:r>
        <w:t>opening MAB, depreciation, capex and opex components associated with the annual metering service</w:t>
      </w:r>
      <w:r w:rsidRPr="00056BE6">
        <w:t xml:space="preserve">. </w:t>
      </w:r>
    </w:p>
    <w:p w:rsidR="009055FC" w:rsidRPr="009055FC" w:rsidRDefault="009055FC" w:rsidP="0084368C">
      <w:pPr>
        <w:pStyle w:val="HeadingOrange"/>
      </w:pPr>
      <w:r>
        <w:t>Opening m</w:t>
      </w:r>
      <w:r w:rsidRPr="009055FC">
        <w:t>etering asset base</w:t>
      </w:r>
    </w:p>
    <w:p w:rsidR="009055FC" w:rsidRDefault="009055FC" w:rsidP="009055FC">
      <w:r w:rsidRPr="00EF59F0">
        <w:t xml:space="preserve">In assessing </w:t>
      </w:r>
      <w:r>
        <w:t>ActewAGL's</w:t>
      </w:r>
      <w:r w:rsidRPr="00EF59F0">
        <w:t xml:space="preserve"> proposed opening </w:t>
      </w:r>
      <w:r w:rsidR="00934713">
        <w:t>MAB</w:t>
      </w:r>
      <w:r w:rsidRPr="00EF59F0">
        <w:t xml:space="preserve">, we reviewed how </w:t>
      </w:r>
      <w:r>
        <w:t>ActewAGL</w:t>
      </w:r>
      <w:r w:rsidRPr="00EF59F0">
        <w:t xml:space="preserve"> had separated its proposed opening </w:t>
      </w:r>
      <w:r>
        <w:t>MAB</w:t>
      </w:r>
      <w:r w:rsidRPr="00EF59F0">
        <w:t xml:space="preserve"> as at 1 July 2014, from the </w:t>
      </w:r>
      <w:r>
        <w:t>regulatory asset base (RAB)</w:t>
      </w:r>
      <w:r w:rsidRPr="00EF59F0">
        <w:t xml:space="preserve"> for standard control services.</w:t>
      </w:r>
    </w:p>
    <w:p w:rsidR="009055FC" w:rsidRPr="009055FC" w:rsidRDefault="009055FC" w:rsidP="0084368C">
      <w:pPr>
        <w:pStyle w:val="HeadingOrange"/>
      </w:pPr>
      <w:r>
        <w:t>Depreciation</w:t>
      </w:r>
    </w:p>
    <w:p w:rsidR="009055FC" w:rsidRPr="00482790" w:rsidRDefault="009055FC" w:rsidP="009055FC">
      <w:r>
        <w:t>With respect to depreciation, we</w:t>
      </w:r>
      <w:r w:rsidRPr="00EF59F0">
        <w:t xml:space="preserve"> considered the remaining asset </w:t>
      </w:r>
      <w:r>
        <w:t>lives ActewAGL</w:t>
      </w:r>
      <w:r w:rsidRPr="00EF59F0">
        <w:t xml:space="preserve"> proposed and had regard to the opening of co</w:t>
      </w:r>
      <w:r>
        <w:t>mpetition to metering services.</w:t>
      </w:r>
    </w:p>
    <w:p w:rsidR="009055FC" w:rsidRPr="009055FC" w:rsidRDefault="009055FC" w:rsidP="0084368C">
      <w:pPr>
        <w:pStyle w:val="HeadingOrange"/>
        <w:keepNext/>
      </w:pPr>
      <w:r>
        <w:t xml:space="preserve">Forecast </w:t>
      </w:r>
      <w:r w:rsidRPr="009055FC">
        <w:t xml:space="preserve">capex </w:t>
      </w:r>
    </w:p>
    <w:p w:rsidR="009055FC" w:rsidRDefault="009055FC" w:rsidP="00934713">
      <w:pPr>
        <w:keepNext/>
      </w:pPr>
      <w:r>
        <w:t xml:space="preserve">Our approach to assessing the revised proposal on </w:t>
      </w:r>
      <w:r w:rsidRPr="00056BE6">
        <w:t xml:space="preserve">forecast </w:t>
      </w:r>
      <w:r>
        <w:t>capex</w:t>
      </w:r>
      <w:r w:rsidRPr="00056BE6">
        <w:t xml:space="preserve"> </w:t>
      </w:r>
      <w:r>
        <w:t>was consistent with our draft decision. We reviewed the following:</w:t>
      </w:r>
    </w:p>
    <w:p w:rsidR="009055FC" w:rsidRDefault="009055FC" w:rsidP="009055FC">
      <w:pPr>
        <w:pStyle w:val="AERbulletlistfirststyle"/>
      </w:pPr>
      <w:r>
        <w:t xml:space="preserve">the </w:t>
      </w:r>
      <w:r w:rsidRPr="00056BE6">
        <w:t>proposed 'material' and 'non–material' unit costs</w:t>
      </w:r>
      <w:r>
        <w:rPr>
          <w:rStyle w:val="FootnoteReference"/>
        </w:rPr>
        <w:footnoteReference w:id="64"/>
      </w:r>
      <w:r w:rsidRPr="00056BE6">
        <w:t xml:space="preserve"> </w:t>
      </w:r>
    </w:p>
    <w:p w:rsidR="009055FC" w:rsidRDefault="009055FC" w:rsidP="009055FC">
      <w:pPr>
        <w:pStyle w:val="AERbulletlistfirststyle"/>
      </w:pPr>
      <w:r w:rsidRPr="00056BE6">
        <w:t xml:space="preserve">the forecast volume of reactive and proactive replacements. </w:t>
      </w:r>
    </w:p>
    <w:p w:rsidR="009055FC" w:rsidRPr="00056BE6" w:rsidRDefault="009055FC" w:rsidP="009055FC">
      <w:pPr>
        <w:numPr>
          <w:ilvl w:val="0"/>
          <w:numId w:val="24"/>
        </w:numPr>
      </w:pPr>
      <w:r>
        <w:t>Further, f</w:t>
      </w:r>
      <w:r w:rsidRPr="00056BE6">
        <w:t xml:space="preserve">rom 1 July 2015, </w:t>
      </w:r>
      <w:r>
        <w:t>ActewAGL's</w:t>
      </w:r>
      <w:r w:rsidRPr="00056BE6">
        <w:t xml:space="preserve"> customers will incur an upfront payment recovering the capital cost of meters installed at ‘new or upgraded connections’. The commencement date for the upfront payment (1 July 2015) is the earliest available under the NER. Th</w:t>
      </w:r>
      <w:r>
        <w:t>is</w:t>
      </w:r>
      <w:r w:rsidRPr="00056BE6">
        <w:t xml:space="preserve"> provide</w:t>
      </w:r>
      <w:r>
        <w:t>s</w:t>
      </w:r>
      <w:r w:rsidRPr="00056BE6">
        <w:t xml:space="preserve"> that the existing cost allocation approach leading up to placeholder year must be retained in 2014–15.</w:t>
      </w:r>
      <w:r>
        <w:rPr>
          <w:rStyle w:val="FootnoteReference"/>
        </w:rPr>
        <w:footnoteReference w:id="65"/>
      </w:r>
      <w:r>
        <w:t xml:space="preserve"> </w:t>
      </w:r>
      <w:r w:rsidRPr="00056BE6">
        <w:t xml:space="preserve">In the case of new or upgraded connections, the capital cost of the meters must be recovered under the general network charge for standard control services. However from 1 July 2015, </w:t>
      </w:r>
      <w:r>
        <w:t>ActewAGL</w:t>
      </w:r>
      <w:r w:rsidRPr="00056BE6">
        <w:t xml:space="preserve"> proposed to change its capital contribution policy so that such costs are recovered directly from customers.</w:t>
      </w:r>
      <w:r>
        <w:rPr>
          <w:rStyle w:val="FootnoteReference"/>
        </w:rPr>
        <w:footnoteReference w:id="66"/>
      </w:r>
      <w:r w:rsidRPr="00056BE6">
        <w:t xml:space="preserve">   </w:t>
      </w:r>
    </w:p>
    <w:p w:rsidR="009055FC" w:rsidRDefault="009055FC" w:rsidP="009055FC">
      <w:pPr>
        <w:numPr>
          <w:ilvl w:val="0"/>
          <w:numId w:val="24"/>
        </w:numPr>
      </w:pPr>
      <w:r w:rsidRPr="00056BE6">
        <w:t xml:space="preserve">New or upgraded connections in 2014-15 formed part of our assessment of </w:t>
      </w:r>
      <w:r>
        <w:t>ActewAGL's</w:t>
      </w:r>
      <w:r w:rsidRPr="00056BE6">
        <w:t xml:space="preserve"> proposed </w:t>
      </w:r>
      <w:r>
        <w:t>capex</w:t>
      </w:r>
      <w:r w:rsidRPr="00056BE6">
        <w:t xml:space="preserve"> building block for annual metering services. However</w:t>
      </w:r>
      <w:r w:rsidR="00934713">
        <w:t>,</w:t>
      </w:r>
      <w:r w:rsidRPr="00056BE6">
        <w:t xml:space="preserve"> the ‘true–up’ of any differences between the capital costs </w:t>
      </w:r>
      <w:r>
        <w:t>ActewAGL</w:t>
      </w:r>
      <w:r w:rsidRPr="00056BE6">
        <w:t xml:space="preserve"> recovered in the </w:t>
      </w:r>
      <w:r w:rsidRPr="00056BE6">
        <w:lastRenderedPageBreak/>
        <w:t>2014–15 placeholder year with our assessment of what we consider to be prudent and efficient will actually be recovered under the general network service charge.</w:t>
      </w:r>
    </w:p>
    <w:p w:rsidR="009055FC" w:rsidRPr="009055FC" w:rsidRDefault="009055FC" w:rsidP="0084368C">
      <w:pPr>
        <w:pStyle w:val="HeadingOrange"/>
      </w:pPr>
      <w:r>
        <w:t xml:space="preserve">Forecast </w:t>
      </w:r>
      <w:r w:rsidRPr="009055FC">
        <w:t>opex</w:t>
      </w:r>
    </w:p>
    <w:p w:rsidR="009055FC" w:rsidRPr="009055FC" w:rsidRDefault="009055FC" w:rsidP="009055FC">
      <w:pPr>
        <w:pStyle w:val="AERbulletlistfirststyle"/>
        <w:numPr>
          <w:ilvl w:val="0"/>
          <w:numId w:val="0"/>
        </w:numPr>
      </w:pPr>
      <w:r w:rsidRPr="000515CD">
        <w:t xml:space="preserve">We applied the same approach to assessing </w:t>
      </w:r>
      <w:r w:rsidRPr="009055FC">
        <w:t xml:space="preserve">ActewAGL's proposed opex, as in our draft decision. </w:t>
      </w:r>
    </w:p>
    <w:p w:rsidR="009055FC" w:rsidRPr="009055FC" w:rsidRDefault="009055FC" w:rsidP="009055FC">
      <w:pPr>
        <w:pStyle w:val="AERbulletlistfirststyle"/>
        <w:numPr>
          <w:ilvl w:val="0"/>
          <w:numId w:val="0"/>
        </w:numPr>
      </w:pPr>
      <w:r w:rsidRPr="000515CD">
        <w:t>Opex refers to the operating, maintenance and other non–capital costs, including labour, incurred in the provision of metering services.</w:t>
      </w:r>
    </w:p>
    <w:p w:rsidR="009055FC" w:rsidRPr="009055FC" w:rsidRDefault="009055FC" w:rsidP="009055FC">
      <w:pPr>
        <w:pStyle w:val="AERbulletlistfirststyle"/>
        <w:numPr>
          <w:ilvl w:val="0"/>
          <w:numId w:val="0"/>
        </w:numPr>
      </w:pPr>
      <w:r w:rsidRPr="000515CD">
        <w:t xml:space="preserve">After determining </w:t>
      </w:r>
      <w:r w:rsidRPr="009055FC">
        <w:t xml:space="preserve">ActewAGL's efficient base opex, and accounting for any (positive or negative) step changes, we trended forward that amount over the 2015–19 regulatory control period. This is known as the ‘base, step and trend’ approach. </w:t>
      </w:r>
    </w:p>
    <w:p w:rsidR="009055FC" w:rsidRPr="009055FC" w:rsidRDefault="009055FC" w:rsidP="009055FC">
      <w:pPr>
        <w:pStyle w:val="Heading6"/>
        <w:numPr>
          <w:ilvl w:val="0"/>
          <w:numId w:val="0"/>
        </w:numPr>
      </w:pPr>
      <w:r>
        <w:t>Base</w:t>
      </w:r>
    </w:p>
    <w:p w:rsidR="009055FC" w:rsidRPr="00A14F75" w:rsidRDefault="009055FC" w:rsidP="009055FC">
      <w:pPr>
        <w:numPr>
          <w:ilvl w:val="0"/>
          <w:numId w:val="24"/>
        </w:numPr>
      </w:pPr>
      <w:r w:rsidRPr="00A14F75">
        <w:t xml:space="preserve">As opex is largely recurrent in nature, we considered </w:t>
      </w:r>
      <w:r>
        <w:t>ActewAGL</w:t>
      </w:r>
      <w:r w:rsidRPr="00A14F75">
        <w:t xml:space="preserve">'s historical costs to be a useful starting point to establish a base to forecast future costs. We also used benchmarking to assess the relative efficiency of the base year compared with comparable network businesses in the national electricity market. </w:t>
      </w:r>
    </w:p>
    <w:p w:rsidR="009055FC" w:rsidRPr="00A14F75" w:rsidRDefault="009055FC" w:rsidP="009055FC">
      <w:r w:rsidRPr="00A14F75">
        <w:t xml:space="preserve">Our base assessment uses historical data over a five year period, rather than selecting a single base year. Given that we do not apply an </w:t>
      </w:r>
      <w:r w:rsidR="003F4ED0">
        <w:t>efficiency</w:t>
      </w:r>
      <w:r w:rsidRPr="00A14F75">
        <w:t xml:space="preserve"> benefit sharing scheme (EBSS) to alternative control services, we consider an average of multiple years to be a better measure of a business’ efficient base; it avoids any incentive to ‘load’ a single base year with expenditure going forward.</w:t>
      </w:r>
    </w:p>
    <w:p w:rsidR="009055FC" w:rsidRPr="00A14F75" w:rsidRDefault="009055FC" w:rsidP="009055FC">
      <w:r w:rsidRPr="00A14F75">
        <w:t>We used 'opex for metering' data collected in our economic benchmarking regulatory information notices (RIN). This audited data is suitable for comparison because the data provided by the distributors was prepared according to a consistent set of instructions and definitions.</w:t>
      </w:r>
      <w:r w:rsidRPr="00A14F75">
        <w:rPr>
          <w:rStyle w:val="FootnoteReference"/>
        </w:rPr>
        <w:footnoteReference w:id="67"/>
      </w:r>
      <w:r w:rsidRPr="00A14F75">
        <w:t xml:space="preserve"> </w:t>
      </w:r>
    </w:p>
    <w:p w:rsidR="009055FC" w:rsidRPr="00A14F75" w:rsidRDefault="009055FC" w:rsidP="009055FC">
      <w:r w:rsidRPr="00A14F75">
        <w:t xml:space="preserve">Our metering assessment relates to annual charges for default metering services common to all regulated type 5 and 6 metering customers. There are also ancillary metering services paid for by customers specifically requesting a service like an off-cycle meter read or a meter accuracy test. However, the economic benchmarking metering opex data does not distinguish between ancillary and default metering services. We did not make this adjustment for the draft decision, but have adjusted base metering opex data to exclude ancillary metering service costs for the final decision. </w:t>
      </w:r>
    </w:p>
    <w:p w:rsidR="009055FC" w:rsidRPr="00A14F75" w:rsidRDefault="009055FC" w:rsidP="009055FC">
      <w:pPr>
        <w:pStyle w:val="ListParagraph"/>
        <w:numPr>
          <w:ilvl w:val="0"/>
          <w:numId w:val="24"/>
        </w:numPr>
      </w:pPr>
      <w:r w:rsidRPr="00A14F75">
        <w:t xml:space="preserve">With this adjusted base data, we then performed our benchmarking analysis. We used a partial performance indicator for our benchmarking analysis. This compared historic </w:t>
      </w:r>
      <w:r w:rsidRPr="00A14F75">
        <w:lastRenderedPageBreak/>
        <w:t>annual metering opex per customer across non-Victorian distributors</w:t>
      </w:r>
      <w:r w:rsidRPr="00A14F75">
        <w:rPr>
          <w:rStyle w:val="FootnoteReference"/>
        </w:rPr>
        <w:footnoteReference w:id="68"/>
      </w:r>
      <w:r w:rsidRPr="00A14F75">
        <w:t xml:space="preserve"> in the national electricity market.</w:t>
      </w:r>
    </w:p>
    <w:p w:rsidR="009055FC" w:rsidRPr="00A14F75" w:rsidRDefault="009055FC" w:rsidP="009055FC">
      <w:pPr>
        <w:pStyle w:val="ListParagraph"/>
        <w:numPr>
          <w:ilvl w:val="0"/>
          <w:numId w:val="24"/>
        </w:numPr>
      </w:pPr>
      <w:r w:rsidRPr="00A14F75">
        <w:t xml:space="preserve">Our benchmarking analysis for metering is a simpler version than what we used to assess standard control opex. This reflects the generally lighter handed regulatory approach to alternative control services compared with standard control services. For example, our econometric modelling results we used to assess standard control opex were based on data for network services and therefore do not strictly apply to metering services. </w:t>
      </w:r>
    </w:p>
    <w:p w:rsidR="009055FC" w:rsidRPr="00A14F75" w:rsidRDefault="009055FC" w:rsidP="009055FC">
      <w:pPr>
        <w:numPr>
          <w:ilvl w:val="0"/>
          <w:numId w:val="24"/>
        </w:numPr>
      </w:pPr>
      <w:r w:rsidRPr="00A14F75">
        <w:t xml:space="preserve">As with our draft decision, we adjusted the benchmarking results for customer density. This is a network characteristic exogenously influences opex requirements. </w:t>
      </w:r>
    </w:p>
    <w:p w:rsidR="009055FC" w:rsidRPr="009055FC" w:rsidRDefault="009055FC" w:rsidP="009055FC">
      <w:pPr>
        <w:pStyle w:val="Heading6"/>
        <w:numPr>
          <w:ilvl w:val="0"/>
          <w:numId w:val="0"/>
        </w:numPr>
      </w:pPr>
      <w:r>
        <w:t>Step changes</w:t>
      </w:r>
    </w:p>
    <w:p w:rsidR="009055FC" w:rsidRPr="007A6980" w:rsidRDefault="009055FC" w:rsidP="009055FC">
      <w:pPr>
        <w:numPr>
          <w:ilvl w:val="0"/>
          <w:numId w:val="24"/>
        </w:numPr>
      </w:pPr>
      <w:r w:rsidRPr="007A6980">
        <w:t xml:space="preserve">When assessing a </w:t>
      </w:r>
      <w:r>
        <w:t xml:space="preserve">distributor's </w:t>
      </w:r>
      <w:r w:rsidRPr="007A6980">
        <w:t>proposed step changes, we consider</w:t>
      </w:r>
      <w:r>
        <w:t>ed</w:t>
      </w:r>
      <w:r w:rsidRPr="007A6980">
        <w:t xml:space="preserve"> </w:t>
      </w:r>
      <w:r>
        <w:t>if</w:t>
      </w:r>
      <w:r w:rsidRPr="007A6980">
        <w:t xml:space="preserve"> they are needed for the total </w:t>
      </w:r>
      <w:r>
        <w:t>opex</w:t>
      </w:r>
      <w:r w:rsidRPr="007A6980">
        <w:t xml:space="preserve"> forecast to reasonably reflect the </w:t>
      </w:r>
      <w:r>
        <w:t>opex</w:t>
      </w:r>
      <w:r w:rsidRPr="007A6980">
        <w:t xml:space="preserve"> criteria.</w:t>
      </w:r>
      <w:r>
        <w:rPr>
          <w:rStyle w:val="FootnoteReference"/>
        </w:rPr>
        <w:footnoteReference w:id="69"/>
      </w:r>
      <w:r w:rsidRPr="007A6980">
        <w:t xml:space="preserve"> Our assessment approach is consistent with the approach specified in our </w:t>
      </w:r>
      <w:r w:rsidRPr="007A6980">
        <w:rPr>
          <w:rStyle w:val="AERtextitalic"/>
        </w:rPr>
        <w:t>Expenditure forecast assessment guideline</w:t>
      </w:r>
      <w:r w:rsidRPr="007A6980">
        <w:t>.</w:t>
      </w:r>
      <w:r>
        <w:rPr>
          <w:rStyle w:val="FootnoteReference"/>
        </w:rPr>
        <w:footnoteReference w:id="70"/>
      </w:r>
    </w:p>
    <w:p w:rsidR="009055FC" w:rsidRDefault="009055FC" w:rsidP="009055FC">
      <w:pPr>
        <w:numPr>
          <w:ilvl w:val="0"/>
          <w:numId w:val="24"/>
        </w:numPr>
      </w:pPr>
      <w:r w:rsidRPr="007A6980">
        <w:t xml:space="preserve">We generally consider an efficient base level of </w:t>
      </w:r>
      <w:r>
        <w:t>opex</w:t>
      </w:r>
      <w:r w:rsidRPr="007A6980">
        <w:t xml:space="preserve"> is sufficient for a prudent and efficient </w:t>
      </w:r>
      <w:r>
        <w:t>distributor</w:t>
      </w:r>
      <w:r w:rsidRPr="007A6980">
        <w:t xml:space="preserve"> to meet all existing regulatory obligations. This is the same regardless of whether we forecast an efficient base level of </w:t>
      </w:r>
      <w:r>
        <w:t>opex</w:t>
      </w:r>
      <w:r w:rsidRPr="007A6980">
        <w:t xml:space="preserve"> based on the service provider's own costs or the efficient costs of comparable benchmark providers. We on</w:t>
      </w:r>
      <w:r>
        <w:t>ly include a step change in our</w:t>
      </w:r>
      <w:r w:rsidRPr="007A6980">
        <w:t xml:space="preserve"> forecast if we are satisfied a prudent and efficient service provider would need an increase in its </w:t>
      </w:r>
      <w:r>
        <w:t>opex</w:t>
      </w:r>
      <w:r w:rsidRPr="007A6980">
        <w:t>.</w:t>
      </w:r>
    </w:p>
    <w:p w:rsidR="009055FC" w:rsidRDefault="009055FC" w:rsidP="009055FC">
      <w:pPr>
        <w:numPr>
          <w:ilvl w:val="0"/>
          <w:numId w:val="24"/>
        </w:numPr>
      </w:pPr>
      <w:r w:rsidRPr="007A6980">
        <w:t xml:space="preserve">Step changes should generally relate to a new obligation or some change in the service provider's operating environment beyond its control. It is not enough to simply demonstrate an efficient cost will be incurred for an activity that was not previously undertaken. </w:t>
      </w:r>
    </w:p>
    <w:p w:rsidR="009055FC" w:rsidRPr="009055FC" w:rsidRDefault="009055FC" w:rsidP="009055FC">
      <w:pPr>
        <w:pStyle w:val="Heading6"/>
        <w:numPr>
          <w:ilvl w:val="0"/>
          <w:numId w:val="0"/>
        </w:numPr>
      </w:pPr>
      <w:r>
        <w:t>Trend</w:t>
      </w:r>
    </w:p>
    <w:p w:rsidR="009055FC" w:rsidRPr="00A14F75" w:rsidRDefault="009055FC" w:rsidP="009055FC">
      <w:pPr>
        <w:numPr>
          <w:ilvl w:val="0"/>
          <w:numId w:val="24"/>
        </w:numPr>
      </w:pPr>
      <w:r w:rsidRPr="00A14F75">
        <w:t xml:space="preserve">We then trended forward base opex (plus any step changes) by considering forecast changes in output, price and productivity. </w:t>
      </w:r>
    </w:p>
    <w:p w:rsidR="009055FC" w:rsidRPr="000F3EEE" w:rsidRDefault="009055FC" w:rsidP="009055FC">
      <w:pPr>
        <w:numPr>
          <w:ilvl w:val="0"/>
          <w:numId w:val="24"/>
        </w:numPr>
      </w:pPr>
      <w:r w:rsidRPr="000F3EEE">
        <w:t xml:space="preserve">For both </w:t>
      </w:r>
      <w:r w:rsidR="00A06BBF">
        <w:t>capex</w:t>
      </w:r>
      <w:r w:rsidR="00A06BBF" w:rsidRPr="000F3EEE">
        <w:t xml:space="preserve"> </w:t>
      </w:r>
      <w:r w:rsidRPr="000F3EEE">
        <w:t xml:space="preserve">and </w:t>
      </w:r>
      <w:r w:rsidR="00A06BBF">
        <w:t>opex</w:t>
      </w:r>
      <w:r w:rsidRPr="000F3EEE">
        <w:t xml:space="preserve">, we had regard to the </w:t>
      </w:r>
      <w:r w:rsidR="00A06BBF">
        <w:t>capex</w:t>
      </w:r>
      <w:r w:rsidR="00A06BBF" w:rsidRPr="000F3EEE">
        <w:t xml:space="preserve"> </w:t>
      </w:r>
      <w:r w:rsidRPr="000F3EEE">
        <w:t xml:space="preserve">and </w:t>
      </w:r>
      <w:r w:rsidR="00A06BBF">
        <w:t>opex</w:t>
      </w:r>
      <w:r w:rsidRPr="000F3EEE">
        <w:t xml:space="preserve"> objectives and criteria in chapter 6 of the NER.</w:t>
      </w:r>
      <w:r w:rsidRPr="000F3EEE">
        <w:rPr>
          <w:rStyle w:val="FootnoteReference"/>
        </w:rPr>
        <w:footnoteReference w:id="71"/>
      </w:r>
      <w:r w:rsidRPr="000F3EEE">
        <w:t xml:space="preserve"> Though these considerations relate to standard, as opposed to alternative, control services, they are helpful and relevant in providing a general framework for assessing a building block expenditure forecast. Among other things, </w:t>
      </w:r>
      <w:r w:rsidRPr="000F3EEE">
        <w:lastRenderedPageBreak/>
        <w:t xml:space="preserve">when considering a distribution business’s forecast, the </w:t>
      </w:r>
      <w:r w:rsidR="00A06BBF">
        <w:t>capex</w:t>
      </w:r>
      <w:r w:rsidR="00A06BBF" w:rsidRPr="000F3EEE">
        <w:t xml:space="preserve"> </w:t>
      </w:r>
      <w:r w:rsidRPr="000F3EEE">
        <w:t xml:space="preserve">and </w:t>
      </w:r>
      <w:r w:rsidR="00A06BBF">
        <w:t>opex</w:t>
      </w:r>
      <w:r w:rsidRPr="000F3EEE">
        <w:t xml:space="preserve"> objectives and criteria state we should consider:</w:t>
      </w:r>
    </w:p>
    <w:p w:rsidR="009055FC" w:rsidRPr="000F3EEE" w:rsidRDefault="009055FC" w:rsidP="009055FC">
      <w:pPr>
        <w:pStyle w:val="AERbulletlistfirststyle"/>
      </w:pPr>
      <w:r w:rsidRPr="000F3EEE">
        <w:t>the efficient costs required</w:t>
      </w:r>
    </w:p>
    <w:p w:rsidR="009055FC" w:rsidRPr="000F3EEE" w:rsidRDefault="009055FC" w:rsidP="009055FC">
      <w:pPr>
        <w:pStyle w:val="AERbulletlistfirststyle"/>
      </w:pPr>
      <w:r w:rsidRPr="000F3EEE">
        <w:t>the costs a prudent operator would incur</w:t>
      </w:r>
    </w:p>
    <w:p w:rsidR="009055FC" w:rsidRPr="000F3EEE" w:rsidRDefault="009055FC" w:rsidP="009055FC">
      <w:pPr>
        <w:pStyle w:val="AERbulletlistfirststyle"/>
      </w:pPr>
      <w:r w:rsidRPr="000F3EEE">
        <w:t>whether the proposed cost inputs are rea</w:t>
      </w:r>
      <w:r>
        <w:t>listic</w:t>
      </w:r>
      <w:r w:rsidRPr="000F3EEE">
        <w:t>.</w:t>
      </w:r>
      <w:r w:rsidRPr="000F3EEE">
        <w:rPr>
          <w:rStyle w:val="FootnoteReference"/>
        </w:rPr>
        <w:footnoteReference w:id="72"/>
      </w:r>
      <w:r w:rsidRPr="000F3EEE">
        <w:t xml:space="preserve">  </w:t>
      </w:r>
    </w:p>
    <w:p w:rsidR="009055FC" w:rsidRPr="003B7B05" w:rsidRDefault="009055FC" w:rsidP="004704F5">
      <w:pPr>
        <w:pStyle w:val="HeadingBoldBlue"/>
      </w:pPr>
      <w:r w:rsidRPr="003B7B05">
        <w:t>Upfront capital charge</w:t>
      </w:r>
    </w:p>
    <w:p w:rsidR="009055FC" w:rsidRPr="00EF59F0" w:rsidRDefault="009055FC" w:rsidP="009055FC">
      <w:r w:rsidRPr="003B7B05">
        <w:t xml:space="preserve">To assess the reasonableness of the proposed charges from 1 July 2015, we analysed </w:t>
      </w:r>
      <w:r>
        <w:t>ActewAGL's</w:t>
      </w:r>
      <w:r w:rsidRPr="003B7B05">
        <w:t xml:space="preserve"> unit costs. We did not consider the forecast volumes of new or upgraded connections for the 2015–19 regulatory control period; they have no bearing on the quantum of the upfront charge.</w:t>
      </w:r>
    </w:p>
    <w:p w:rsidR="009055FC" w:rsidRDefault="009055FC" w:rsidP="004704F5">
      <w:pPr>
        <w:pStyle w:val="HeadingBoldBlue"/>
      </w:pPr>
      <w:r>
        <w:t xml:space="preserve">Meter </w:t>
      </w:r>
      <w:r w:rsidR="00572635">
        <w:t>exit</w:t>
      </w:r>
      <w:r>
        <w:t xml:space="preserve"> fee</w:t>
      </w:r>
    </w:p>
    <w:p w:rsidR="00572635" w:rsidRPr="00572635" w:rsidRDefault="00572635" w:rsidP="00572635">
      <w:r w:rsidRPr="00572635">
        <w:t xml:space="preserve">We considered the appropriate method to recover the residual metering asset value as part of our structure of metering charges assessment. </w:t>
      </w:r>
    </w:p>
    <w:p w:rsidR="00572635" w:rsidRPr="00572635" w:rsidRDefault="00572635" w:rsidP="00572635">
      <w:r w:rsidRPr="00572635">
        <w:t xml:space="preserve">With regard to the administration component of the proposed exit fee, we must balance revenue recovery for the efficient costs of the distributor’s service provision with identifying and removing barriers to entry and competition, consistent with the proposed metering rule change submitted by the COAG Energy Council and currently being deliberated by the Australian Energy Market Commission. </w:t>
      </w:r>
    </w:p>
    <w:p w:rsidR="00572635" w:rsidRPr="00572635" w:rsidRDefault="00572635" w:rsidP="00572635">
      <w:r w:rsidRPr="00572635">
        <w:t xml:space="preserve">We undertook a cost assessment underlying the proposed meter transfer fees to determine the efficiency of those costs. To asses costs we considered the activities either required, or reasonably expected to be required, for a meter transfer, by both a distributor and a competing metering provider. We had regard to the costs estimated to be incurred from such activities in New South Wales, the Australian Capital Territory, Queensland and South Australia. Victorian distributors are under a State Government mandated smart meter roll out, and so meter transfer is not a comparable activity that can be presently undertaken and therefore benchmarked. </w:t>
      </w:r>
    </w:p>
    <w:p w:rsidR="00572635" w:rsidRPr="00572635" w:rsidRDefault="00572635" w:rsidP="00572635">
      <w:r w:rsidRPr="00572635">
        <w:t>We consulted with first and second tier retailers and the Australian Energy Market Operator to ascertain those activities necessary for the efficient transfer of meter customers among service providers. The New South Wales and Australian Capital Territory distributors' revised revenue proposals, and the initial proposals from Queensland and South Australia's distributors, outlined the activities they would undertake to transfer customers.</w:t>
      </w:r>
    </w:p>
    <w:p w:rsidR="004704F5" w:rsidRDefault="004704F5">
      <w:pPr>
        <w:spacing w:line="240" w:lineRule="auto"/>
        <w:rPr>
          <w:rStyle w:val="AERbody"/>
          <w:rFonts w:eastAsiaTheme="majorEastAsia" w:cstheme="majorBidi"/>
          <w:b/>
          <w:bCs/>
          <w:color w:val="70635A" w:themeColor="text2"/>
          <w:sz w:val="28"/>
        </w:rPr>
      </w:pPr>
      <w:bookmarkStart w:id="62" w:name="_Toc417477642"/>
      <w:bookmarkStart w:id="63" w:name="_Toc417811075"/>
      <w:r>
        <w:rPr>
          <w:rStyle w:val="AERbody"/>
          <w:color w:val="70635A" w:themeColor="text2"/>
          <w:sz w:val="28"/>
        </w:rPr>
        <w:br w:type="page"/>
      </w:r>
    </w:p>
    <w:p w:rsidR="009055FC" w:rsidRPr="004704F5" w:rsidRDefault="009055FC" w:rsidP="004704F5">
      <w:pPr>
        <w:pStyle w:val="HeadingBoldBlue"/>
        <w:rPr>
          <w:rStyle w:val="AERbody"/>
          <w:color w:val="70635A" w:themeColor="text2"/>
          <w:sz w:val="28"/>
        </w:rPr>
      </w:pPr>
      <w:r w:rsidRPr="004704F5">
        <w:rPr>
          <w:rStyle w:val="AERbody"/>
          <w:color w:val="70635A" w:themeColor="text2"/>
          <w:sz w:val="28"/>
        </w:rPr>
        <w:lastRenderedPageBreak/>
        <w:t>Interrelationships</w:t>
      </w:r>
      <w:bookmarkEnd w:id="62"/>
      <w:bookmarkEnd w:id="63"/>
    </w:p>
    <w:p w:rsidR="009055FC" w:rsidRDefault="009055FC" w:rsidP="009055FC">
      <w:pPr>
        <w:rPr>
          <w:rStyle w:val="AERbody"/>
        </w:rPr>
      </w:pPr>
      <w:r>
        <w:rPr>
          <w:rStyle w:val="AERbody"/>
        </w:rPr>
        <w:t>Our final decision should provide ActewAGL with an opportunity to recover at least its efficient costs.</w:t>
      </w:r>
      <w:r>
        <w:rPr>
          <w:rStyle w:val="FootnoteReference"/>
        </w:rPr>
        <w:footnoteReference w:id="73"/>
      </w:r>
      <w:r>
        <w:rPr>
          <w:rStyle w:val="AERbody"/>
        </w:rPr>
        <w:t xml:space="preserve"> This includes, where relevant, providing enough expenditure for the business to repay its debt financing costs and earn a reasonable return on its investments. </w:t>
      </w:r>
    </w:p>
    <w:p w:rsidR="009055FC" w:rsidRPr="00D03473" w:rsidRDefault="009055FC" w:rsidP="009055FC">
      <w:pPr>
        <w:rPr>
          <w:rStyle w:val="AERbody"/>
        </w:rPr>
      </w:pPr>
      <w:r>
        <w:rPr>
          <w:rStyle w:val="AERbody"/>
        </w:rPr>
        <w:t>Our final decision on ActewAGL's alternative control metering proposal, therefore, interrelates with our assessment of its proposed rate of return. Refer to attachment 3 of this final decision for the rate of return we accept for direct control services,</w:t>
      </w:r>
      <w:r w:rsidRPr="00284A3D">
        <w:rPr>
          <w:rStyle w:val="FootnoteReference"/>
        </w:rPr>
        <w:t xml:space="preserve"> </w:t>
      </w:r>
      <w:r w:rsidRPr="00284A3D">
        <w:rPr>
          <w:rStyle w:val="FootnoteReference"/>
        </w:rPr>
        <w:footnoteReference w:id="74"/>
      </w:r>
      <w:r>
        <w:rPr>
          <w:rStyle w:val="AERbody"/>
        </w:rPr>
        <w:t xml:space="preserve"> along with our reasons. Unlike standard control services, we will not be annually adjusting for the return on debt for alternative control services. The only annual changes for price caps for alternative control services will be consistent with our price control mechanism formula set out in </w:t>
      </w:r>
      <w:r>
        <w:rPr>
          <w:rStyle w:val="AERbody"/>
        </w:rPr>
        <w:fldChar w:fldCharType="begin"/>
      </w:r>
      <w:r>
        <w:rPr>
          <w:rStyle w:val="AERbody"/>
        </w:rPr>
        <w:instrText xml:space="preserve"> REF _Ref417561190 \r \h </w:instrText>
      </w:r>
      <w:r>
        <w:rPr>
          <w:rStyle w:val="AERbody"/>
        </w:rPr>
      </w:r>
      <w:r>
        <w:rPr>
          <w:rStyle w:val="AERbody"/>
        </w:rPr>
        <w:fldChar w:fldCharType="separate"/>
      </w:r>
      <w:r w:rsidR="004704F5">
        <w:rPr>
          <w:rStyle w:val="AERbody"/>
        </w:rPr>
        <w:t>16.2.1.5</w:t>
      </w:r>
      <w:r>
        <w:rPr>
          <w:rStyle w:val="AERbody"/>
        </w:rPr>
        <w:fldChar w:fldCharType="end"/>
      </w:r>
      <w:r>
        <w:rPr>
          <w:rStyle w:val="AERbody"/>
        </w:rPr>
        <w:t xml:space="preserve">.  </w:t>
      </w:r>
    </w:p>
    <w:p w:rsidR="009055FC" w:rsidRDefault="009055FC" w:rsidP="009055FC">
      <w:pPr>
        <w:pStyle w:val="Heading3"/>
      </w:pPr>
      <w:bookmarkStart w:id="64" w:name="_Toc417811076"/>
      <w:bookmarkStart w:id="65" w:name="_Toc418078038"/>
      <w:r>
        <w:t>Reasons for final decision</w:t>
      </w:r>
      <w:bookmarkEnd w:id="64"/>
      <w:bookmarkEnd w:id="65"/>
    </w:p>
    <w:p w:rsidR="009055FC" w:rsidRDefault="009055FC" w:rsidP="009055FC">
      <w:r>
        <w:t>Our reasons for not accepting ActewAGL's proposed charges for annual metering services, new or upgraded connections, and the meter exit fee are discussed in this section.</w:t>
      </w:r>
    </w:p>
    <w:p w:rsidR="009055FC" w:rsidRDefault="009055FC" w:rsidP="004704F5">
      <w:pPr>
        <w:pStyle w:val="HeadingBoldBlue"/>
      </w:pPr>
      <w:r>
        <w:t>Structure of metering charges</w:t>
      </w:r>
    </w:p>
    <w:p w:rsidR="009055FC" w:rsidRDefault="009055FC" w:rsidP="009055FC">
      <w:pPr>
        <w:rPr>
          <w:rStyle w:val="AERbody"/>
        </w:rPr>
      </w:pPr>
      <w:r>
        <w:rPr>
          <w:rStyle w:val="AERbody"/>
        </w:rPr>
        <w:t>Our final decision approves two types of charges:</w:t>
      </w:r>
    </w:p>
    <w:p w:rsidR="009055FC" w:rsidRDefault="009055FC" w:rsidP="009055FC">
      <w:pPr>
        <w:pStyle w:val="AERbulletlistfirststyle"/>
        <w:rPr>
          <w:rStyle w:val="AERbody"/>
        </w:rPr>
      </w:pPr>
      <w:r>
        <w:rPr>
          <w:rStyle w:val="AERbody"/>
        </w:rPr>
        <w:t>Upfront capital charge (for all new and upgraded meters installed from 1 July 2015)</w:t>
      </w:r>
    </w:p>
    <w:p w:rsidR="009055FC" w:rsidRDefault="009055FC" w:rsidP="009055FC">
      <w:pPr>
        <w:pStyle w:val="AERbulletlistfirststyle"/>
        <w:rPr>
          <w:rStyle w:val="AERbody"/>
        </w:rPr>
      </w:pPr>
      <w:r>
        <w:rPr>
          <w:rStyle w:val="AERbody"/>
        </w:rPr>
        <w:t>Annual charge comprising two components:</w:t>
      </w:r>
    </w:p>
    <w:p w:rsidR="009055FC" w:rsidRDefault="009055FC" w:rsidP="009055FC">
      <w:pPr>
        <w:pStyle w:val="AERbulletlistsecondstyle"/>
        <w:rPr>
          <w:rStyle w:val="AERbody"/>
        </w:rPr>
      </w:pPr>
      <w:r>
        <w:rPr>
          <w:rStyle w:val="AERbody"/>
        </w:rPr>
        <w:t>capital—metering asset base (MAB) recovery</w:t>
      </w:r>
    </w:p>
    <w:p w:rsidR="009055FC" w:rsidRDefault="009055FC" w:rsidP="009055FC">
      <w:pPr>
        <w:pStyle w:val="AERbulletlistsecondstyle"/>
        <w:rPr>
          <w:rStyle w:val="AERbody"/>
        </w:rPr>
      </w:pPr>
      <w:r>
        <w:rPr>
          <w:rStyle w:val="AERbody"/>
        </w:rPr>
        <w:t>non-capital—</w:t>
      </w:r>
      <w:r w:rsidR="00A06BBF">
        <w:rPr>
          <w:rStyle w:val="AERbody"/>
        </w:rPr>
        <w:t>opex</w:t>
      </w:r>
      <w:r>
        <w:rPr>
          <w:rStyle w:val="AERbody"/>
        </w:rPr>
        <w:t xml:space="preserve"> and tax.</w:t>
      </w:r>
    </w:p>
    <w:p w:rsidR="009055FC" w:rsidRDefault="009055FC" w:rsidP="009055FC">
      <w:r>
        <w:t xml:space="preserve">We approve an upfront capital charge for two reasons. Firstly, it directly attributes the capital costs to the customer who initiates the meter installation. Secondly, it is appropriate in the context of expanding competition in metering. It is difficult to forecast the number of new regulated type 5 and 6 meters that will be installed in the upcoming 2015–19 regulatory control period. By charging upfront, we avoid having to forecast </w:t>
      </w:r>
      <w:r w:rsidR="00A06BBF">
        <w:t>capex</w:t>
      </w:r>
      <w:r>
        <w:t xml:space="preserve"> for new and upgraded metering installations that may not eventuate. </w:t>
      </w:r>
    </w:p>
    <w:p w:rsidR="009055FC" w:rsidRDefault="009055FC" w:rsidP="009055FC">
      <w:r>
        <w:t xml:space="preserve">To better meet the distribution pricing principles, it is important for annual charges to be set on a cost-reflective basis. It is particularly significant in the context of expanding competition in metering. Previously, metering was a standard control service and the related metering costs were bundled into general network tariffs. There was no transparency around the costs of providing regulated metering services. By setting cost-reflective regulated metering charges, customers will be able to compare the </w:t>
      </w:r>
      <w:r>
        <w:lastRenderedPageBreak/>
        <w:t>costs of their current regulated service with offers from alternative metering providers when competition begins.</w:t>
      </w:r>
    </w:p>
    <w:p w:rsidR="009055FC" w:rsidRDefault="009055FC" w:rsidP="009055FC">
      <w:r>
        <w:t>We consider that a cost-reflective annual charge for new metering connections installed after 1 July 2015 should only consist of non-capital costs (</w:t>
      </w:r>
      <w:r w:rsidR="00A06BBF">
        <w:t>opex</w:t>
      </w:r>
      <w:r>
        <w:t xml:space="preserve"> and tax). This is because the capital cost of meters installed after 1 July 2015 would have been fully customer funded. In contrast, pre 30 June 2015 customers on a regulated type 5 or 6 metering service who have </w:t>
      </w:r>
      <w:r w:rsidRPr="006624CF">
        <w:t xml:space="preserve">not paid for </w:t>
      </w:r>
      <w:r>
        <w:t>the meter</w:t>
      </w:r>
      <w:r w:rsidRPr="006624CF">
        <w:t xml:space="preserve"> upfront </w:t>
      </w:r>
      <w:r>
        <w:t>should contribute to the MAB recovery through their annual charge. That is, they pay a cost-reflective annual charge that includes both capital and non-capital components. This is the way such customers pay for their regulated metering services now.</w:t>
      </w:r>
    </w:p>
    <w:p w:rsidR="009055FC" w:rsidRPr="00376499" w:rsidRDefault="009055FC" w:rsidP="009055FC">
      <w:r w:rsidRPr="00376499">
        <w:t xml:space="preserve">However, if a customer chooses to switch to a competitive metering provider, the </w:t>
      </w:r>
      <w:r>
        <w:t>capital component of the annual charge would become stranded</w:t>
      </w:r>
      <w:r w:rsidRPr="00376499">
        <w:t xml:space="preserve"> for the distributor</w:t>
      </w:r>
      <w:r>
        <w:t>. That is</w:t>
      </w:r>
      <w:r w:rsidRPr="00376499">
        <w:t xml:space="preserve"> unless there is a mechanism for recove</w:t>
      </w:r>
      <w:r>
        <w:t xml:space="preserve">ring that cost. </w:t>
      </w:r>
      <w:r w:rsidRPr="00376499">
        <w:t>It is important to recognise that customers pay</w:t>
      </w:r>
      <w:r>
        <w:t xml:space="preserve"> </w:t>
      </w:r>
      <w:r w:rsidRPr="00376499">
        <w:t xml:space="preserve">the capital costs </w:t>
      </w:r>
      <w:r>
        <w:t>of a</w:t>
      </w:r>
      <w:r w:rsidRPr="00376499">
        <w:t xml:space="preserve"> meter on an annual basis, they represent an amortised cost (that is, have been paid for upfront by the distributor and then recovered gradually</w:t>
      </w:r>
      <w:r>
        <w:t xml:space="preserve"> over time</w:t>
      </w:r>
      <w:r w:rsidRPr="00376499">
        <w:t xml:space="preserve"> from customers). Past </w:t>
      </w:r>
      <w:r w:rsidR="005E2D33">
        <w:t>capex</w:t>
      </w:r>
      <w:r w:rsidRPr="00376499">
        <w:t xml:space="preserve"> is a fixed cost because it does not vary with how many customers switch; the capital costs have already been incurred by the distributor to provide a regulated metering service. This is in contrast to metering </w:t>
      </w:r>
      <w:r w:rsidR="00A06BBF">
        <w:t>opex</w:t>
      </w:r>
      <w:r w:rsidRPr="00376499">
        <w:t>, such as meter reading costs, which are largely variable. This means the distributor can avoid those costs if a customer switches.</w:t>
      </w:r>
      <w:r>
        <w:rPr>
          <w:rStyle w:val="FootnoteReference"/>
        </w:rPr>
        <w:footnoteReference w:id="75"/>
      </w:r>
    </w:p>
    <w:p w:rsidR="005E2D33" w:rsidRDefault="009055FC" w:rsidP="009055FC">
      <w:r>
        <w:t>QCOSS considers</w:t>
      </w:r>
      <w:r w:rsidR="00375CD1">
        <w:t>:</w:t>
      </w:r>
    </w:p>
    <w:p w:rsidR="005E2D33" w:rsidRDefault="009055FC" w:rsidP="0084368C">
      <w:pPr>
        <w:pStyle w:val="AERquote"/>
      </w:pPr>
      <w:r>
        <w:t xml:space="preserve"> "</w:t>
      </w:r>
      <w:r w:rsidRPr="00D33667">
        <w:rPr>
          <w:rStyle w:val="AERtextitalic"/>
        </w:rPr>
        <w:t>it would be inappropriate to recover residual costs associated with a service that customers are not getting any benefit from…. distributors should not be allowed to recover such costs from consumers - either through a charge which is allocated across all customers nor via individual exit fees</w:t>
      </w:r>
      <w:r>
        <w:t>."</w:t>
      </w:r>
      <w:r w:rsidRPr="00DA661B">
        <w:rPr>
          <w:rStyle w:val="AERsuperscript"/>
        </w:rPr>
        <w:footnoteReference w:id="76"/>
      </w:r>
      <w:r>
        <w:t xml:space="preserve"> </w:t>
      </w:r>
    </w:p>
    <w:p w:rsidR="009055FC" w:rsidRDefault="009055FC" w:rsidP="009055FC">
      <w:r>
        <w:t>But this effectively means</w:t>
      </w:r>
      <w:r w:rsidRPr="00DA661B">
        <w:t xml:space="preserve"> that the distributor would be unable to recover the undepreciated residual value of those meters.</w:t>
      </w:r>
      <w:r>
        <w:t xml:space="preserve"> </w:t>
      </w:r>
      <w:r w:rsidRPr="00DA661B">
        <w:t xml:space="preserve">The revenue and pricing principles provide that distributors should have a reasonable opportunity to recover at least their efficient costs. We therefore consider it appropriate that distributors recover their fixed capital costs that were incurred in providing regulated metering services. </w:t>
      </w:r>
    </w:p>
    <w:p w:rsidR="009055FC" w:rsidRDefault="009055FC" w:rsidP="009055FC">
      <w:pPr>
        <w:rPr>
          <w:rStyle w:val="AERbody"/>
        </w:rPr>
      </w:pPr>
      <w:r>
        <w:rPr>
          <w:rStyle w:val="AERbody"/>
        </w:rPr>
        <w:t xml:space="preserve">Accordingly, we considered the most appropriate way to recover metering capital costs incurred in providing regulated metering services that risk becoming stranded if a customer switches. </w:t>
      </w:r>
    </w:p>
    <w:p w:rsidR="009055FC" w:rsidRPr="00C6544B" w:rsidRDefault="009055FC" w:rsidP="009055FC">
      <w:pPr>
        <w:rPr>
          <w:rStyle w:val="AERbody"/>
        </w:rPr>
      </w:pPr>
      <w:r>
        <w:rPr>
          <w:rStyle w:val="AERbody"/>
        </w:rPr>
        <w:t>ActewAGL considered that it was the AEMC's role to make a policy decision to depart from the policy views expressed in SCER's rule change request.</w:t>
      </w:r>
      <w:r>
        <w:rPr>
          <w:rStyle w:val="FootnoteReference"/>
        </w:rPr>
        <w:footnoteReference w:id="77"/>
      </w:r>
      <w:r>
        <w:rPr>
          <w:rStyle w:val="AERbody"/>
        </w:rPr>
        <w:t xml:space="preserve"> In its draft rule change, the AEMC confirmed that "</w:t>
      </w:r>
      <w:r>
        <w:t xml:space="preserve">the arrangements for a DNSP to recover the </w:t>
      </w:r>
      <w:r>
        <w:lastRenderedPageBreak/>
        <w:t>residual costs of its regulated metering service should be determined by the AER in accordance with the existing regulatory framework."</w:t>
      </w:r>
      <w:r>
        <w:rPr>
          <w:rStyle w:val="FootnoteReference"/>
        </w:rPr>
        <w:footnoteReference w:id="78"/>
      </w:r>
      <w:r>
        <w:t xml:space="preserve"> The AEMC note that relevant aspects of the regulatory framework include the NEO, the revenue and pricing principles</w:t>
      </w:r>
      <w:r w:rsidRPr="00C6544B">
        <w:t xml:space="preserve"> as set out in section 7A of the NEL</w:t>
      </w:r>
      <w:r>
        <w:t>, distribution pricing principles</w:t>
      </w:r>
      <w:r w:rsidRPr="00C6544B">
        <w:t xml:space="preserve"> as s</w:t>
      </w:r>
      <w:r>
        <w:t>et out in rule 6.18 of the NER and the p</w:t>
      </w:r>
      <w:r w:rsidRPr="00C6544B">
        <w:t>rovisions regarding the classification of distribution services a</w:t>
      </w:r>
      <w:r>
        <w:t>nd applicable control mechanism</w:t>
      </w:r>
      <w:r w:rsidRPr="00C6544B">
        <w:t xml:space="preserve"> as set out in rule 6.2 of the NER.</w:t>
      </w:r>
      <w:r w:rsidRPr="00C6544B">
        <w:rPr>
          <w:rStyle w:val="FootnoteReference"/>
        </w:rPr>
        <w:t xml:space="preserve"> </w:t>
      </w:r>
      <w:r>
        <w:rPr>
          <w:rStyle w:val="FootnoteReference"/>
        </w:rPr>
        <w:footnoteReference w:id="79"/>
      </w:r>
      <w:r>
        <w:rPr>
          <w:rStyle w:val="FootnoteReference"/>
        </w:rPr>
        <w:t xml:space="preserve"> </w:t>
      </w:r>
      <w:r>
        <w:rPr>
          <w:rStyle w:val="AERbody"/>
        </w:rPr>
        <w:t xml:space="preserve">These are the criteria we have considered in making our final decision. </w:t>
      </w:r>
    </w:p>
    <w:p w:rsidR="009055FC" w:rsidRDefault="009055FC" w:rsidP="009055FC">
      <w:pPr>
        <w:rPr>
          <w:rStyle w:val="AERbody"/>
        </w:rPr>
      </w:pPr>
      <w:r>
        <w:rPr>
          <w:rStyle w:val="AERbody"/>
        </w:rPr>
        <w:t xml:space="preserve">ActewAGL proposed to charge an upfront exit fee when a customer wished to switch to a competitive metering provider. This would ensure </w:t>
      </w:r>
      <w:r w:rsidR="00A06BBF">
        <w:rPr>
          <w:rStyle w:val="AERbody"/>
        </w:rPr>
        <w:t xml:space="preserve">it </w:t>
      </w:r>
      <w:r>
        <w:rPr>
          <w:rStyle w:val="AERbody"/>
        </w:rPr>
        <w:t xml:space="preserve">recovered </w:t>
      </w:r>
      <w:r w:rsidR="00A06BBF">
        <w:rPr>
          <w:rStyle w:val="AERbody"/>
        </w:rPr>
        <w:t xml:space="preserve">its </w:t>
      </w:r>
      <w:r>
        <w:rPr>
          <w:rStyle w:val="AERbody"/>
        </w:rPr>
        <w:t>metering capital costs for existing meters that would otherwise become stranded.</w:t>
      </w:r>
    </w:p>
    <w:p w:rsidR="009055FC" w:rsidRDefault="009055FC" w:rsidP="009055FC">
      <w:pPr>
        <w:rPr>
          <w:rStyle w:val="AERbody"/>
        </w:rPr>
      </w:pPr>
      <w:r>
        <w:rPr>
          <w:rStyle w:val="AERbody"/>
        </w:rPr>
        <w:t>However various stakeholders raised concerns that a large upfront exit fee would be a barrier to competitive entry and to the take up of advanced metering.</w:t>
      </w:r>
      <w:r>
        <w:rPr>
          <w:rStyle w:val="FootnoteReference"/>
        </w:rPr>
        <w:footnoteReference w:id="80"/>
      </w:r>
      <w:r>
        <w:rPr>
          <w:rStyle w:val="AERbody"/>
        </w:rPr>
        <w:t xml:space="preserve"> In particular, it potentially creates a first mover disadvantage because a market-led smart meter rollout is predicated on the customer not having to pay any charges upfront.</w:t>
      </w:r>
      <w:r>
        <w:rPr>
          <w:rStyle w:val="FootnoteReference"/>
        </w:rPr>
        <w:footnoteReference w:id="81"/>
      </w:r>
      <w:r>
        <w:rPr>
          <w:rStyle w:val="AERbody"/>
        </w:rPr>
        <w:t xml:space="preserve"> Therefore, the first mover competitive metering provider may have to pay for both an exit fee as well as the new smart meter—and bear the risk of those sunk costs if the customer decided to move to another competitive metering provider. We consider that exit fees create a regulatory barrier to a market-led roll out of advanced metering. </w:t>
      </w:r>
    </w:p>
    <w:p w:rsidR="009055FC" w:rsidRDefault="009055FC" w:rsidP="009055FC">
      <w:pPr>
        <w:rPr>
          <w:rStyle w:val="AERbody"/>
        </w:rPr>
      </w:pPr>
      <w:r>
        <w:rPr>
          <w:rStyle w:val="AERbody"/>
        </w:rPr>
        <w:t>There are several methods of ensuring distributors can recover capital costs incurred in providing regulated metering services. After extensive consultation with stakeholders</w:t>
      </w:r>
      <w:r>
        <w:rPr>
          <w:rStyle w:val="FootnoteReference"/>
        </w:rPr>
        <w:footnoteReference w:id="82"/>
      </w:r>
      <w:r>
        <w:rPr>
          <w:rStyle w:val="AERbody"/>
        </w:rPr>
        <w:t xml:space="preserve">, we decided on a method that we considered best balances the objectives of distributors and customers and meets regulatory objectives to promote competition in metering services. </w:t>
      </w:r>
    </w:p>
    <w:p w:rsidR="009055FC" w:rsidRPr="006624CF" w:rsidRDefault="009055FC" w:rsidP="009055FC">
      <w:r>
        <w:t xml:space="preserve">Based on economic principles, </w:t>
      </w:r>
      <w:r w:rsidRPr="006624CF">
        <w:t xml:space="preserve">the efficient investment signal to switch to unregulated metering would be to set individual exit fees based on the remaining economic value of the </w:t>
      </w:r>
      <w:r>
        <w:t xml:space="preserve">individual </w:t>
      </w:r>
      <w:r w:rsidRPr="006624CF">
        <w:t>meter</w:t>
      </w:r>
      <w:r>
        <w:t xml:space="preserve"> associated with the customer making the decision to switch</w:t>
      </w:r>
      <w:r w:rsidRPr="006624CF">
        <w:t xml:space="preserve">. The remaining economic value would vary with the capability of the meter (the meter type) and remaining life (the age) of the meter. This would ensure that an existing meter </w:t>
      </w:r>
      <w:r w:rsidRPr="006624CF">
        <w:lastRenderedPageBreak/>
        <w:t>would only be replaced if the new meter delivers sufficient additional economic value to cover its own cost and any remaining economic value of the existing regulated meter.</w:t>
      </w:r>
    </w:p>
    <w:p w:rsidR="009055FC" w:rsidRPr="006624CF" w:rsidRDefault="009055FC" w:rsidP="009055FC">
      <w:r>
        <w:t>Although we</w:t>
      </w:r>
      <w:r w:rsidRPr="006624CF">
        <w:t xml:space="preserve"> considered that at a theoretical level this option has </w:t>
      </w:r>
      <w:r>
        <w:t xml:space="preserve">merit, at a practical level it has substantial shortcomings </w:t>
      </w:r>
      <w:r w:rsidRPr="006624CF">
        <w:t xml:space="preserve">for a range of reasons. Firstly there is </w:t>
      </w:r>
      <w:r>
        <w:t xml:space="preserve">limited </w:t>
      </w:r>
      <w:r w:rsidRPr="006624CF">
        <w:t>information</w:t>
      </w:r>
      <w:r>
        <w:t xml:space="preserve"> as</w:t>
      </w:r>
      <w:r w:rsidRPr="006624CF">
        <w:t xml:space="preserve"> most distribution businesses do not record information about asset type or age at the</w:t>
      </w:r>
      <w:r>
        <w:t xml:space="preserve"> individual</w:t>
      </w:r>
      <w:r w:rsidRPr="006624CF">
        <w:t xml:space="preserve"> customer level. Secondly, we are not satisfied that the amount distribution businesses are entitled to recover (based on actual costs) </w:t>
      </w:r>
      <w:r>
        <w:t xml:space="preserve">necessarily </w:t>
      </w:r>
      <w:r w:rsidRPr="006624CF">
        <w:t xml:space="preserve">corresponds to the remaining economic value of a meter. </w:t>
      </w:r>
      <w:r>
        <w:t xml:space="preserve">For example, if a meter fails, distributors are still allowed to recover the capital costs that were incurred to provide that meter originally–even though the meter is no longer in service and therefore has no economic value. Also, </w:t>
      </w:r>
      <w:r w:rsidRPr="006624CF">
        <w:t>regulated historic metering costs may not be efficient, as distribution businesses have not faced competitive pressures. Finally, we were concerned that it may be inappropriate to charge customers different exit fees that would vary with meter type and age because such investment decisions were made by distribution businesses</w:t>
      </w:r>
      <w:r>
        <w:t>, not customers</w:t>
      </w:r>
      <w:r w:rsidRPr="006624CF">
        <w:t>.</w:t>
      </w:r>
    </w:p>
    <w:p w:rsidR="009055FC" w:rsidRDefault="009055FC" w:rsidP="009055FC">
      <w:pPr>
        <w:rPr>
          <w:rStyle w:val="AERbody"/>
        </w:rPr>
      </w:pPr>
      <w:r>
        <w:rPr>
          <w:rStyle w:val="AERbody"/>
        </w:rPr>
        <w:t>Our draft decision involved recovering residual metering capital costs through charges for standard control services based on actual customer switching. These residual capital costs would then be recovered from the general distribution customer base through making a b-factor adjustment to annual revenue requirements, which would have the effect of (all things equal) increasing network tariffs. To mitigate network tariff price volatility that may arise if many customers switched in the one year, we proposed a tolerance limit on the b-factor.</w:t>
      </w:r>
      <w:r>
        <w:rPr>
          <w:rStyle w:val="FootnoteReference"/>
        </w:rPr>
        <w:footnoteReference w:id="83"/>
      </w:r>
      <w:r>
        <w:rPr>
          <w:rStyle w:val="AERbody"/>
        </w:rPr>
        <w:t xml:space="preserve">  </w:t>
      </w:r>
    </w:p>
    <w:p w:rsidR="009055FC" w:rsidRDefault="009055FC" w:rsidP="009055FC">
      <w:pPr>
        <w:rPr>
          <w:rStyle w:val="AERbody"/>
        </w:rPr>
      </w:pPr>
      <w:r>
        <w:rPr>
          <w:rStyle w:val="AERbody"/>
        </w:rPr>
        <w:t>Our draft decision approach received wide support from most stakeholders.</w:t>
      </w:r>
      <w:r>
        <w:rPr>
          <w:rStyle w:val="FootnoteReference"/>
        </w:rPr>
        <w:footnoteReference w:id="84"/>
      </w:r>
      <w:r>
        <w:rPr>
          <w:rStyle w:val="AERbody"/>
        </w:rPr>
        <w:t xml:space="preserve"> Despite having some reservations, NSW distributors largely accepted our draft decision, but did not agree with the operation of the b-factor and the tolerance limit. ActewAGL did not support our approach primarily on the basis that there may be legal concerns on whether our draft decision approach would be permissible under the NER. In particular, whether residual capital costs can be recovered through standard control services in the way proposed. Ergon Energy shared the same concern.</w:t>
      </w:r>
      <w:r>
        <w:rPr>
          <w:rStyle w:val="FootnoteReference"/>
        </w:rPr>
        <w:footnoteReference w:id="85"/>
      </w:r>
      <w:r>
        <w:rPr>
          <w:rStyle w:val="AERbody"/>
        </w:rPr>
        <w:t xml:space="preserve"> </w:t>
      </w:r>
    </w:p>
    <w:p w:rsidR="009055FC" w:rsidRDefault="009055FC" w:rsidP="009055FC">
      <w:pPr>
        <w:rPr>
          <w:rStyle w:val="AERbody"/>
        </w:rPr>
      </w:pPr>
      <w:r>
        <w:rPr>
          <w:rStyle w:val="AERbody"/>
        </w:rPr>
        <w:lastRenderedPageBreak/>
        <w:t>In response to the concerns raised, we consulted on alternatives that would not require moving residual capital costs through to the standard control RAB.</w:t>
      </w:r>
      <w:r>
        <w:rPr>
          <w:rStyle w:val="FootnoteReference"/>
        </w:rPr>
        <w:footnoteReference w:id="86"/>
      </w:r>
      <w:r>
        <w:rPr>
          <w:rStyle w:val="AERbody"/>
        </w:rPr>
        <w:t xml:space="preserve"> Our final decision approach is to recover the residual metering capital cost from all customers through an alternative control service. We consider this better meets the national electricity objective and addresses the main concerns raised by the NSW and ACT distributors in the following ways:</w:t>
      </w:r>
    </w:p>
    <w:p w:rsidR="009055FC" w:rsidRDefault="009055FC" w:rsidP="009055FC">
      <w:pPr>
        <w:pStyle w:val="AERbulletlistfirststyle"/>
        <w:rPr>
          <w:rStyle w:val="AERbody"/>
        </w:rPr>
      </w:pPr>
      <w:r>
        <w:rPr>
          <w:rStyle w:val="AERbody"/>
        </w:rPr>
        <w:t xml:space="preserve">Our final decision does not attempt to classify a category of cost as there are no residual metering capital costs that risk becoming stranded when a customer churns. The relevant service is meter provision (pre 1 July 2015). The costs associated with this service are recovered through the capital component of the regulated annual charge.  </w:t>
      </w:r>
    </w:p>
    <w:p w:rsidR="009055FC" w:rsidRDefault="009055FC" w:rsidP="009055FC">
      <w:pPr>
        <w:pStyle w:val="AERbulletlistfirststyle"/>
      </w:pPr>
      <w:r>
        <w:t xml:space="preserve">Meter provision (pre 1 July 2015) remains an alternative control service even after a customer churns, it will not be added to the RAB for standard control services. </w:t>
      </w:r>
    </w:p>
    <w:p w:rsidR="009055FC" w:rsidRDefault="009055FC" w:rsidP="009055FC">
      <w:pPr>
        <w:pStyle w:val="AERbulletlistfirststyle"/>
      </w:pPr>
      <w:r>
        <w:t xml:space="preserve">Given the above, our final decision will not require additions to the RAB for standard control services during the regulatory control period. </w:t>
      </w:r>
    </w:p>
    <w:p w:rsidR="009055FC" w:rsidRDefault="009055FC" w:rsidP="009055FC">
      <w:pPr>
        <w:pStyle w:val="AERbulletlistfirststyle"/>
      </w:pPr>
      <w:r>
        <w:t xml:space="preserve">Our final decision removes any price volatility. The capital component of the annual charge is set for the entire 2015–19 regulatory control period and will only be updated for smoothing X-factors and CPI in accordance with the control mechanism formula. Without any annual adjustments, there is no longer a need for any tolerance limits. </w:t>
      </w:r>
    </w:p>
    <w:p w:rsidR="009055FC" w:rsidRDefault="009055FC" w:rsidP="009055FC">
      <w:pPr>
        <w:rPr>
          <w:rStyle w:val="AERbody"/>
        </w:rPr>
      </w:pPr>
      <w:r>
        <w:rPr>
          <w:rStyle w:val="AERbody"/>
        </w:rPr>
        <w:t>Distributors recover the same amount overall under both our draft and final decision approaches. The difference is which particular customer class pays. Under our draft decision, a switching customer did not directly have to pay for the residual metering capital costs related to their regulated metering service. Instead, residual capital costs would be recovered from all distribution customers through network (DUoS) tariffs, including larger customers who have never received these metering services. Switching customers only indirectly paid for a small fraction of the residual metering capital costs through the increase in network tariffs (the same increase faced by all distribution customers).</w:t>
      </w:r>
    </w:p>
    <w:p w:rsidR="009055FC" w:rsidRDefault="009055FC" w:rsidP="009055FC">
      <w:pPr>
        <w:rPr>
          <w:rStyle w:val="AERbody"/>
        </w:rPr>
      </w:pPr>
      <w:r>
        <w:rPr>
          <w:rStyle w:val="AERbody"/>
        </w:rPr>
        <w:t xml:space="preserve">This has been amended in our final decision, such that a metering customer switching from the distributor directly shares in the recovery of residual capital costs associated with their past regulated metering service with all other metering customers. They do so by continuing to pay the same capital component of the regulated annual charge as all other metering customers until the </w:t>
      </w:r>
      <w:r w:rsidR="00E8121B">
        <w:rPr>
          <w:rStyle w:val="AERbody"/>
        </w:rPr>
        <w:t>MAB</w:t>
      </w:r>
      <w:r>
        <w:rPr>
          <w:rStyle w:val="AERbody"/>
        </w:rPr>
        <w:t xml:space="preserve"> is fully depreciated. </w:t>
      </w:r>
    </w:p>
    <w:p w:rsidR="009055FC" w:rsidRDefault="009055FC" w:rsidP="009055FC">
      <w:pPr>
        <w:rPr>
          <w:rStyle w:val="AERbody"/>
        </w:rPr>
      </w:pPr>
      <w:r>
        <w:rPr>
          <w:rStyle w:val="AERbody"/>
        </w:rPr>
        <w:t>Our final decision addresses the NSW businesses concerns because it ensures steady cost recovery without the need for annual corrections through a b-factor adjustment or the application of tolerance limits. It also avoids the potential legal concerns raised by ActewAGL.</w:t>
      </w:r>
    </w:p>
    <w:p w:rsidR="009055FC" w:rsidRDefault="009055FC" w:rsidP="009055FC">
      <w:pPr>
        <w:rPr>
          <w:rStyle w:val="AERbody"/>
        </w:rPr>
      </w:pPr>
      <w:r>
        <w:rPr>
          <w:rStyle w:val="AERbody"/>
        </w:rPr>
        <w:lastRenderedPageBreak/>
        <w:t xml:space="preserve">We consider our final decision </w:t>
      </w:r>
      <w:r>
        <w:t xml:space="preserve">to have switching customers continue to pay for the capital costs associated with the regulated metering service, on balance, </w:t>
      </w:r>
      <w:r>
        <w:rPr>
          <w:rStyle w:val="AERbody"/>
        </w:rPr>
        <w:t>better meets the regulatory objectives under the NEL and NER, than either ActewAGL's initial proposal or our draft decision approach. We considered:</w:t>
      </w:r>
    </w:p>
    <w:p w:rsidR="009055FC" w:rsidRDefault="009055FC" w:rsidP="009055FC">
      <w:pPr>
        <w:pStyle w:val="AERbulletlistfirststyle"/>
      </w:pPr>
      <w:r>
        <w:t>Impact on competition</w:t>
      </w:r>
      <w:r w:rsidR="005E2D33">
        <w:t>:</w:t>
      </w:r>
      <w:r>
        <w:t xml:space="preserve"> </w:t>
      </w:r>
    </w:p>
    <w:p w:rsidR="009055FC" w:rsidRDefault="009055FC" w:rsidP="009055FC">
      <w:pPr>
        <w:pStyle w:val="AERbulletlistsecondstyle"/>
      </w:pPr>
      <w:r>
        <w:t>The structure and quantum of regulated metering charges impact competitive entry (both upfront exit fees and the regulated annual charge)</w:t>
      </w:r>
    </w:p>
    <w:p w:rsidR="009055FC" w:rsidRDefault="009055FC" w:rsidP="009055FC">
      <w:pPr>
        <w:pStyle w:val="AERbulletlistsecondstyle"/>
      </w:pPr>
      <w:r>
        <w:t xml:space="preserve">Like our draft decision, our final decision removes the upfront exit fee which was identified as the primary barrier to competitive entry by stakeholders </w:t>
      </w:r>
    </w:p>
    <w:p w:rsidR="009055FC" w:rsidRPr="00A459AA" w:rsidRDefault="009055FC" w:rsidP="009055FC">
      <w:pPr>
        <w:pStyle w:val="AERbulletlistsecondstyle"/>
      </w:pPr>
      <w:r>
        <w:t xml:space="preserve">Like our draft decision, our final decision removes concerns about first mover disadvantage that would arise if the first mover had to pay the upfront exit fee and risk being undercut by another competitive provider that does not face the exit fee. Under the final decision, the customer is charged the capital component of the regulated annual metering charge directly  </w:t>
      </w:r>
    </w:p>
    <w:p w:rsidR="009055FC" w:rsidRDefault="009055FC" w:rsidP="009055FC">
      <w:pPr>
        <w:pStyle w:val="AERbulletlistsecondstyle"/>
      </w:pPr>
      <w:r>
        <w:t>Relative to our draft decision, our final decision increases the costs to switch to a competitive metering provider.</w:t>
      </w:r>
      <w:r>
        <w:rPr>
          <w:rStyle w:val="FootnoteReference"/>
        </w:rPr>
        <w:footnoteReference w:id="87"/>
      </w:r>
      <w:r>
        <w:t xml:space="preserve"> A higher switching cost relatively lowers the incentive to switch to a competitive metering provider, so our final decision approach may result in slightly slower uptake of competitive metering services, depending on how compelling an offer is by a competitive metering provider. </w:t>
      </w:r>
    </w:p>
    <w:p w:rsidR="009055FC" w:rsidRPr="00A459AA" w:rsidRDefault="009055FC" w:rsidP="009055FC">
      <w:pPr>
        <w:pStyle w:val="AERbulletlistfirststyle"/>
      </w:pPr>
      <w:r w:rsidRPr="00A459AA">
        <w:t>Administrative simplicity:</w:t>
      </w:r>
    </w:p>
    <w:p w:rsidR="009055FC" w:rsidRPr="00A459AA" w:rsidRDefault="009055FC" w:rsidP="009055FC">
      <w:pPr>
        <w:pStyle w:val="AERbulletlistsecondstyle"/>
      </w:pPr>
      <w:r>
        <w:t>Our final decision m</w:t>
      </w:r>
      <w:r w:rsidRPr="00A459AA">
        <w:t>akes use of existing information that</w:t>
      </w:r>
      <w:r>
        <w:t xml:space="preserve"> ActewAGL </w:t>
      </w:r>
      <w:r w:rsidRPr="00A459AA">
        <w:t xml:space="preserve">has, rather than </w:t>
      </w:r>
      <w:r>
        <w:t xml:space="preserve">relying on further information </w:t>
      </w:r>
      <w:r w:rsidRPr="00A459AA">
        <w:t>on the remaining economic or technical life of individual metering assets which would be</w:t>
      </w:r>
      <w:r>
        <w:t xml:space="preserve"> difficult</w:t>
      </w:r>
      <w:r w:rsidRPr="00A459AA">
        <w:t xml:space="preserve"> to determine</w:t>
      </w:r>
    </w:p>
    <w:p w:rsidR="009055FC" w:rsidRPr="00A459AA" w:rsidRDefault="009055FC" w:rsidP="009055FC">
      <w:pPr>
        <w:pStyle w:val="AERbulletlistsecondstyle"/>
      </w:pPr>
      <w:r>
        <w:t xml:space="preserve">It is less complex than the draft decision which involved making annual adjustments to the b-factor and the standard control services RAB. Further, tolerance limits are no longer needed because there will be no price volatility under our final decision approach.    </w:t>
      </w:r>
    </w:p>
    <w:p w:rsidR="009055FC" w:rsidRDefault="009055FC" w:rsidP="009055FC">
      <w:pPr>
        <w:pStyle w:val="AERbulletlistfirststyle"/>
      </w:pPr>
      <w:r>
        <w:t>The directly attributed cost to m</w:t>
      </w:r>
      <w:r w:rsidRPr="00A459AA">
        <w:t>inimise cross su</w:t>
      </w:r>
      <w:r>
        <w:t>bsidies</w:t>
      </w:r>
      <w:r w:rsidR="005E2D33">
        <w:t>:</w:t>
      </w:r>
    </w:p>
    <w:p w:rsidR="009055FC" w:rsidRPr="00B202ED" w:rsidRDefault="009055FC" w:rsidP="009055FC">
      <w:pPr>
        <w:pStyle w:val="AERbulletlistsecondstyle"/>
      </w:pPr>
      <w:r>
        <w:t xml:space="preserve">Our final decision involves continuing to charge switching customers an ongoing regulated annual charge to recover metering capital costs associated with their past regulated metering service. </w:t>
      </w:r>
      <w:r w:rsidRPr="00B202ED">
        <w:t>We considered whether it was appropriate to continue to charge a regulated annual charge when a customer is no longer receiving an ac</w:t>
      </w:r>
      <w:r>
        <w:t>tive regulated metering service</w:t>
      </w:r>
      <w:r w:rsidRPr="00B202ED">
        <w:t xml:space="preserve"> </w:t>
      </w:r>
      <w:r w:rsidRPr="00B202ED">
        <w:lastRenderedPageBreak/>
        <w:t>We consider that it is appropriate to charge switched customers for fixed capital costs associated with their past regulated metering services because it more directly attributes cost recovery to the customer group that caused those costs to be incurred and ensures that the distributor has an opportunity to at least recover its efficient costs. We consider this also strikes an appropriate balance to promote efficient investment as set out in the revenue and pricin</w:t>
      </w:r>
      <w:r>
        <w:t>g principles</w:t>
      </w:r>
      <w:r w:rsidRPr="00B202ED">
        <w:t xml:space="preserve"> </w:t>
      </w:r>
    </w:p>
    <w:p w:rsidR="009055FC" w:rsidRPr="00B202ED" w:rsidRDefault="009055FC" w:rsidP="009055FC">
      <w:pPr>
        <w:pStyle w:val="AERbulletlistsecondstyle"/>
      </w:pPr>
      <w:r>
        <w:t>O</w:t>
      </w:r>
      <w:r w:rsidRPr="00B202ED">
        <w:t>ur draft decision involved cross subsidising residual costs across the general distribution customer base. For example, the network tariff paid by a large industrial customer who has never used a type 5 or 6 regulated metering service</w:t>
      </w:r>
      <w:r w:rsidRPr="00B202ED">
        <w:rPr>
          <w:rStyle w:val="FootnoteReference"/>
        </w:rPr>
        <w:footnoteReference w:id="88"/>
      </w:r>
      <w:r w:rsidRPr="00B202ED">
        <w:t xml:space="preserve"> would contribute towards paying off residual metering capital costs asso</w:t>
      </w:r>
      <w:r>
        <w:t>ciated with switching customers</w:t>
      </w:r>
    </w:p>
    <w:p w:rsidR="009055FC" w:rsidRPr="00B202ED" w:rsidRDefault="009055FC" w:rsidP="009055FC">
      <w:pPr>
        <w:pStyle w:val="AERbulletlistsecondstyle"/>
      </w:pPr>
      <w:r>
        <w:t xml:space="preserve">Under our final decision, only customers </w:t>
      </w:r>
      <w:r w:rsidRPr="00B202ED">
        <w:t xml:space="preserve">at premises which currently or previously had a type 5 or 6 metering service will be paying for the capital costs incurred in providing </w:t>
      </w:r>
      <w:r>
        <w:t>type 5 and 6 metering services</w:t>
      </w:r>
    </w:p>
    <w:p w:rsidR="009055FC" w:rsidRPr="00B202ED" w:rsidRDefault="009055FC" w:rsidP="009055FC">
      <w:pPr>
        <w:pStyle w:val="AERbulletlistsecondstyle"/>
      </w:pPr>
      <w:r>
        <w:t>Nonetheless, o</w:t>
      </w:r>
      <w:r w:rsidRPr="00B202ED">
        <w:t>ur final decision still involves some cross subsidy. This is because the capital component of the annual charge is based on the average depreciated value of the MAB. We consider this is appropriate given that we do not have granular information on the customer's sp</w:t>
      </w:r>
      <w:r>
        <w:t>ecific meter asset type or age</w:t>
      </w:r>
    </w:p>
    <w:p w:rsidR="009055FC" w:rsidRPr="00B202ED" w:rsidRDefault="009055FC" w:rsidP="009055FC">
      <w:pPr>
        <w:pStyle w:val="AERbulletlistsecondstyle"/>
      </w:pPr>
      <w:r>
        <w:t xml:space="preserve">Another form of cross subsidy is that </w:t>
      </w:r>
      <w:r w:rsidRPr="00B202ED">
        <w:t>the regulated annual charge (capital) a switch</w:t>
      </w:r>
      <w:r>
        <w:t>ing</w:t>
      </w:r>
      <w:r w:rsidRPr="00B202ED">
        <w:t xml:space="preserve"> customer will pay for includes some recovery of forecast replacement </w:t>
      </w:r>
      <w:r w:rsidR="00A06BBF">
        <w:t>capex</w:t>
      </w:r>
      <w:r w:rsidRPr="00B202ED">
        <w:t xml:space="preserve"> that is not linked to the switched customer's past regulated metering service. The opening MAB value is based on past </w:t>
      </w:r>
      <w:r w:rsidR="00A06BBF">
        <w:t>capex</w:t>
      </w:r>
      <w:r w:rsidRPr="00B202ED">
        <w:t xml:space="preserve">. The MAB is not forecast to grow much because from 1 July 2015, all new and upgraded meters will be paid for upfront and will therefore not be included in the MAB. However, some forecast </w:t>
      </w:r>
      <w:r w:rsidR="00A06BBF">
        <w:t>capex</w:t>
      </w:r>
      <w:r w:rsidRPr="00B202ED">
        <w:t xml:space="preserve"> relating to replacement meters will be added to the MAB.</w:t>
      </w:r>
      <w:r w:rsidRPr="00B202ED">
        <w:rPr>
          <w:rStyle w:val="FootnoteReference"/>
        </w:rPr>
        <w:footnoteReference w:id="89"/>
      </w:r>
      <w:r w:rsidRPr="00B202ED">
        <w:t xml:space="preserve"> However, this is expected to be an interim issue as it is likely that distributors will not be able to install replacement meters after the metering rule change comes into effect on 1 July 2017</w:t>
      </w:r>
      <w:r w:rsidRPr="00B202ED">
        <w:rPr>
          <w:rStyle w:val="FootnoteReference"/>
        </w:rPr>
        <w:footnoteReference w:id="90"/>
      </w:r>
      <w:r w:rsidRPr="00B202ED">
        <w:t xml:space="preserve"> </w:t>
      </w:r>
    </w:p>
    <w:p w:rsidR="009055FC" w:rsidRPr="00B202ED" w:rsidRDefault="009055FC" w:rsidP="009055FC">
      <w:pPr>
        <w:pStyle w:val="AERbulletlistsecondstyle"/>
      </w:pPr>
      <w:r>
        <w:t>O</w:t>
      </w:r>
      <w:r w:rsidRPr="00B202ED">
        <w:t xml:space="preserve">ur final decision to charge for new and upgraded meters upfront removes the risk of future cross subsidy. This is because by charging capital costs upfront, it is directly attributed and paid for by the customer choosing to install that meter. There is no risk of metering capital costs becoming stranded. </w:t>
      </w:r>
    </w:p>
    <w:p w:rsidR="009055FC" w:rsidRDefault="009055FC" w:rsidP="009055FC">
      <w:pPr>
        <w:rPr>
          <w:rStyle w:val="AERbody"/>
        </w:rPr>
      </w:pPr>
      <w:r>
        <w:rPr>
          <w:rStyle w:val="AERbody"/>
        </w:rPr>
        <w:lastRenderedPageBreak/>
        <w:t xml:space="preserve">Our final decision signals a relatively higher switching cost </w:t>
      </w:r>
      <w:r w:rsidRPr="00181D29">
        <w:rPr>
          <w:rStyle w:val="AERbody"/>
        </w:rPr>
        <w:t>compared to our draft decision</w:t>
      </w:r>
      <w:r>
        <w:rPr>
          <w:rStyle w:val="AERbody"/>
        </w:rPr>
        <w:t xml:space="preserve"> as we explain above. This may result in slower entry by competitive entrants than our draft decision. However, we consider it appropriate that our final decision signals a lower avoidable annual cost for two reasons.</w:t>
      </w:r>
    </w:p>
    <w:p w:rsidR="009055FC" w:rsidRDefault="009055FC" w:rsidP="009055FC">
      <w:pPr>
        <w:rPr>
          <w:rStyle w:val="AERbody"/>
        </w:rPr>
      </w:pPr>
      <w:r>
        <w:rPr>
          <w:rStyle w:val="AERbody"/>
        </w:rPr>
        <w:t xml:space="preserve">Firstly, the avoidable cost signalled under our final decision is closer to the actual avoidable cost faced by the distributor. Actual avoidable costs are variable costs the distributor no longer incurs when a customer switches. Non-capital costs (for example, meter reading) are largely variable costs. Under our existing regulatory framework, distributors are entitled to recover capital costs incurred in providing regulated metering services. Thus, the recovery of capital costs cannot be avoided even if a customer switches. </w:t>
      </w:r>
    </w:p>
    <w:p w:rsidR="009055FC" w:rsidRDefault="009055FC" w:rsidP="009055FC">
      <w:pPr>
        <w:rPr>
          <w:rStyle w:val="AERbody"/>
        </w:rPr>
      </w:pPr>
      <w:r>
        <w:rPr>
          <w:rStyle w:val="AERbody"/>
        </w:rPr>
        <w:t xml:space="preserve">Our draft decision therefore signalled a higher than actual avoidable cost to the switching customer, which arguably might promote greater switching than what is efficient. Under the draft decision, the avoidable cost signalled to the switching customer was equal to the entire annual charge (based on both the variable non-capital and fixed capital components). Under the final decision, the avoidable cost is only the variable non-capital component of the annual charge, closer to the true avoidable cost. </w:t>
      </w:r>
    </w:p>
    <w:p w:rsidR="009055FC" w:rsidRDefault="009055FC" w:rsidP="009055FC">
      <w:pPr>
        <w:rPr>
          <w:rStyle w:val="AERbody"/>
        </w:rPr>
      </w:pPr>
      <w:r>
        <w:rPr>
          <w:rStyle w:val="AERbody"/>
        </w:rPr>
        <w:t xml:space="preserve">Secondly, the impact on competition is not the only regulatory objective. We are required to balance a number of considerations under the NER, including the need for efficient price signals and thus minimising cross subsidies. When making our draft decision, we accepted this cross subsidy (which resulted in the relatively higher avoidable annual costs). This was preferable to the alternative of accepting a large exit fee because of the negative impact on competition. However, we consider that our final decision better balances the various objectives than both our draft decision and the initial proposal from network businesses to charge a high upfront exit fee. Our final decision removes the main barrier to competition (a high upfront exit fee) while being administratively simpler and minimising cross subsidies and therefore leading to a more efficient outcome. </w:t>
      </w:r>
    </w:p>
    <w:p w:rsidR="009055FC" w:rsidRDefault="009055FC" w:rsidP="004704F5">
      <w:pPr>
        <w:pStyle w:val="HeadingBoldBlue"/>
      </w:pPr>
      <w:bookmarkStart w:id="66" w:name="_Ref417563226"/>
      <w:r>
        <w:t>Annual metering service charges</w:t>
      </w:r>
      <w:bookmarkEnd w:id="66"/>
    </w:p>
    <w:p w:rsidR="009055FC" w:rsidRPr="009055FC" w:rsidRDefault="009055FC" w:rsidP="0084368C">
      <w:r>
        <w:t>Our</w:t>
      </w:r>
      <w:r w:rsidRPr="009055FC">
        <w:t xml:space="preserve"> final decision is to not accept ActewAGL's total proposed building block requirement for annual metering services. We maintain our draft decision accepting a building block approach to setting charges. We also accept the proposed opening MAB and the revised capex forecast. However, we do not accept the following components of ActewAGL's proposal: </w:t>
      </w:r>
    </w:p>
    <w:p w:rsidR="009055FC" w:rsidRDefault="009055FC" w:rsidP="009055FC">
      <w:pPr>
        <w:pStyle w:val="AERbulletlistfirststyle"/>
      </w:pPr>
      <w:r>
        <w:t>forecast opex</w:t>
      </w:r>
    </w:p>
    <w:p w:rsidR="009055FC" w:rsidRDefault="009055FC" w:rsidP="009055FC">
      <w:pPr>
        <w:pStyle w:val="AERbulletlistfirststyle"/>
      </w:pPr>
      <w:r>
        <w:t>adoption of accelerated 9 year, depreciation.</w:t>
      </w:r>
    </w:p>
    <w:p w:rsidR="009055FC" w:rsidRDefault="009055FC" w:rsidP="009055FC">
      <w:r>
        <w:t xml:space="preserve">We therefore substitute ActewAGL's proposed annual metering service charges, with those set out in Appendix </w:t>
      </w:r>
      <w:r w:rsidR="005E2D33">
        <w:rPr>
          <w:rStyle w:val="AERbody"/>
        </w:rPr>
        <w:fldChar w:fldCharType="begin"/>
      </w:r>
      <w:r w:rsidR="005E2D33">
        <w:rPr>
          <w:rStyle w:val="AERbody"/>
        </w:rPr>
        <w:instrText xml:space="preserve"> REF _Ref418009909 \r \h </w:instrText>
      </w:r>
      <w:r w:rsidR="005E2D33">
        <w:rPr>
          <w:rStyle w:val="AERbody"/>
        </w:rPr>
      </w:r>
      <w:r w:rsidR="005E2D33">
        <w:rPr>
          <w:rStyle w:val="AERbody"/>
        </w:rPr>
        <w:fldChar w:fldCharType="separate"/>
      </w:r>
      <w:r w:rsidR="004704F5">
        <w:rPr>
          <w:rStyle w:val="AERbody"/>
        </w:rPr>
        <w:t>A</w:t>
      </w:r>
      <w:r w:rsidR="005E2D33">
        <w:rPr>
          <w:rStyle w:val="AERbody"/>
        </w:rPr>
        <w:fldChar w:fldCharType="end"/>
      </w:r>
      <w:r>
        <w:t>.</w:t>
      </w:r>
    </w:p>
    <w:p w:rsidR="004704F5" w:rsidRDefault="004704F5">
      <w:pPr>
        <w:spacing w:line="240" w:lineRule="auto"/>
        <w:rPr>
          <w:rFonts w:eastAsiaTheme="majorEastAsia" w:cstheme="majorBidi"/>
          <w:b/>
          <w:color w:val="170017" w:themeColor="accent1" w:themeShade="7F"/>
        </w:rPr>
      </w:pPr>
      <w:r>
        <w:br w:type="page"/>
      </w:r>
    </w:p>
    <w:p w:rsidR="009055FC" w:rsidRPr="009055FC" w:rsidRDefault="009055FC" w:rsidP="009055FC">
      <w:pPr>
        <w:pStyle w:val="Heading5"/>
        <w:numPr>
          <w:ilvl w:val="0"/>
          <w:numId w:val="0"/>
        </w:numPr>
      </w:pPr>
      <w:r>
        <w:lastRenderedPageBreak/>
        <w:t>Opening m</w:t>
      </w:r>
      <w:r w:rsidRPr="009055FC">
        <w:t>etering asset base and depreciation</w:t>
      </w:r>
    </w:p>
    <w:p w:rsidR="009055FC" w:rsidRDefault="009055FC" w:rsidP="009055FC">
      <w:r>
        <w:t>Our final decision is to maintain our draft decision to accept ActewAGL proposed opening MAB as at 1 July 2014 of $50.04 million ($ nominal).</w:t>
      </w:r>
      <w:r>
        <w:rPr>
          <w:rStyle w:val="FootnoteReference"/>
        </w:rPr>
        <w:footnoteReference w:id="91"/>
      </w:r>
    </w:p>
    <w:p w:rsidR="009055FC" w:rsidRPr="009055FC" w:rsidRDefault="009055FC" w:rsidP="009055FC">
      <w:pPr>
        <w:pStyle w:val="Heading5"/>
        <w:numPr>
          <w:ilvl w:val="0"/>
          <w:numId w:val="0"/>
        </w:numPr>
      </w:pPr>
      <w:r>
        <w:t>Depreciation</w:t>
      </w:r>
    </w:p>
    <w:p w:rsidR="009055FC" w:rsidRDefault="009055FC" w:rsidP="009055FC">
      <w:r>
        <w:t>W</w:t>
      </w:r>
      <w:r w:rsidRPr="00EB6E3E">
        <w:t xml:space="preserve">e do not accept the standard asset lives proposed by </w:t>
      </w:r>
      <w:r>
        <w:t>ActewAGL</w:t>
      </w:r>
      <w:r w:rsidRPr="00EB6E3E">
        <w:t xml:space="preserve">. </w:t>
      </w:r>
      <w:r>
        <w:t>It</w:t>
      </w:r>
      <w:r w:rsidRPr="00EB6E3E">
        <w:t xml:space="preserve"> proposed an accelerated depreciation approach with the aim of recovering the residual value of all existing met</w:t>
      </w:r>
      <w:r>
        <w:t>ers over 9</w:t>
      </w:r>
      <w:r w:rsidRPr="00EB6E3E">
        <w:t xml:space="preserve"> years. With the opening of competition in the provision of metering services, this was intended to remove legacy assets </w:t>
      </w:r>
      <w:r>
        <w:t>from the MAB within two regulatory control periods</w:t>
      </w:r>
      <w:r w:rsidRPr="00EB6E3E">
        <w:t>.</w:t>
      </w:r>
      <w:r>
        <w:rPr>
          <w:rStyle w:val="FootnoteReference"/>
        </w:rPr>
        <w:footnoteReference w:id="92"/>
      </w:r>
      <w:r>
        <w:t xml:space="preserve"> </w:t>
      </w:r>
    </w:p>
    <w:p w:rsidR="009055FC" w:rsidRDefault="009055FC" w:rsidP="009055FC">
      <w:r>
        <w:t>W</w:t>
      </w:r>
      <w:r w:rsidRPr="00EB6E3E">
        <w:t xml:space="preserve">e do not consider that </w:t>
      </w:r>
      <w:r>
        <w:t>ActewAGL's proposed</w:t>
      </w:r>
      <w:r w:rsidRPr="00EB6E3E">
        <w:t xml:space="preserve"> accelerated</w:t>
      </w:r>
      <w:r>
        <w:t xml:space="preserve"> 9 year</w:t>
      </w:r>
      <w:r w:rsidRPr="00EB6E3E">
        <w:t xml:space="preserve"> depreciation is efficient. It is unlikely that all meters will be provided by alternative service provide</w:t>
      </w:r>
      <w:r>
        <w:t>r</w:t>
      </w:r>
      <w:r w:rsidRPr="00EB6E3E">
        <w:t xml:space="preserve">s within </w:t>
      </w:r>
      <w:r>
        <w:t>9</w:t>
      </w:r>
      <w:r w:rsidRPr="00EB6E3E">
        <w:t xml:space="preserve"> years. At that time, under </w:t>
      </w:r>
      <w:r>
        <w:t>ActewAGL's</w:t>
      </w:r>
      <w:r w:rsidRPr="00EB6E3E">
        <w:t xml:space="preserve"> proposal, all existing meters will be fully depreciated but still providing services. This is not an efficient long term outcome. We consider that the metering asset lives should continue to reflect the technical lives of the meters. </w:t>
      </w:r>
    </w:p>
    <w:p w:rsidR="009055FC" w:rsidRDefault="009055FC" w:rsidP="009055FC">
      <w:r>
        <w:t>We therefore substitute ActewAGL's revised accelerated depreciation profile with 15 year standard asset lives. This substitute standard asset life reflects the technical lives of ActewAGL's type 5 and 6 meters.</w:t>
      </w:r>
    </w:p>
    <w:p w:rsidR="009055FC" w:rsidRPr="00FE3016" w:rsidRDefault="009055FC" w:rsidP="009055FC">
      <w:r>
        <w:t>We confirm that forecast</w:t>
      </w:r>
      <w:r w:rsidR="005E2D33">
        <w:t xml:space="preserve"> (</w:t>
      </w:r>
      <w:r>
        <w:t>as opposed to actual</w:t>
      </w:r>
      <w:r w:rsidR="005E2D33">
        <w:t>)</w:t>
      </w:r>
      <w:r>
        <w:t xml:space="preserve"> depreciation will apply to ActewAGL's MAB.</w:t>
      </w:r>
    </w:p>
    <w:p w:rsidR="009055FC" w:rsidRPr="009055FC" w:rsidRDefault="009055FC" w:rsidP="009055FC">
      <w:pPr>
        <w:pStyle w:val="Heading5"/>
        <w:numPr>
          <w:ilvl w:val="0"/>
          <w:numId w:val="0"/>
        </w:numPr>
      </w:pPr>
      <w:r>
        <w:t xml:space="preserve">Forecast </w:t>
      </w:r>
      <w:r w:rsidRPr="009055FC">
        <w:t xml:space="preserve">capex </w:t>
      </w:r>
    </w:p>
    <w:p w:rsidR="009055FC" w:rsidRDefault="009055FC" w:rsidP="009055FC">
      <w:r w:rsidRPr="00FC1FB4">
        <w:t xml:space="preserve">We accept </w:t>
      </w:r>
      <w:r>
        <w:t>ActewAGL's revised</w:t>
      </w:r>
      <w:r w:rsidRPr="00FC1FB4">
        <w:t xml:space="preserve"> </w:t>
      </w:r>
      <w:r>
        <w:t>capex</w:t>
      </w:r>
      <w:r w:rsidRPr="00FC1FB4">
        <w:t xml:space="preserve"> </w:t>
      </w:r>
      <w:r w:rsidR="005E2D33">
        <w:t>proposal</w:t>
      </w:r>
      <w:r>
        <w:t xml:space="preserve"> of $13.0 million ($2014–15)</w:t>
      </w:r>
      <w:r w:rsidRPr="00FC1FB4">
        <w:t>.</w:t>
      </w:r>
      <w:r>
        <w:t xml:space="preserve"> It incorporates a change in capitalisation policy for new or upgraded connections, which our draft decision included.</w:t>
      </w:r>
      <w:r>
        <w:rPr>
          <w:rStyle w:val="FootnoteReference"/>
        </w:rPr>
        <w:footnoteReference w:id="93"/>
      </w:r>
      <w:r>
        <w:t xml:space="preserve"> This amount is a reduction from ActewAGL's initially proposed $33.2 million ($2014–15).</w:t>
      </w:r>
      <w:r>
        <w:rPr>
          <w:rStyle w:val="FootnoteReference"/>
        </w:rPr>
        <w:footnoteReference w:id="94"/>
      </w:r>
      <w:r>
        <w:t xml:space="preserve"> </w:t>
      </w:r>
      <w:r w:rsidRPr="00FC1FB4">
        <w:t xml:space="preserve"> </w:t>
      </w:r>
    </w:p>
    <w:p w:rsidR="009055FC" w:rsidRPr="0095104C" w:rsidRDefault="009055FC" w:rsidP="009055FC">
      <w:r>
        <w:fldChar w:fldCharType="begin"/>
      </w:r>
      <w:r>
        <w:instrText xml:space="preserve"> REF _Ref415650320 \h </w:instrText>
      </w:r>
      <w:r>
        <w:fldChar w:fldCharType="separate"/>
      </w:r>
      <w:r w:rsidR="004704F5">
        <w:t xml:space="preserve">Table </w:t>
      </w:r>
      <w:r w:rsidR="004704F5">
        <w:rPr>
          <w:noProof/>
        </w:rPr>
        <w:t>16</w:t>
      </w:r>
      <w:r w:rsidR="004704F5">
        <w:t>.</w:t>
      </w:r>
      <w:r w:rsidR="004704F5">
        <w:rPr>
          <w:noProof/>
        </w:rPr>
        <w:t>14</w:t>
      </w:r>
      <w:r>
        <w:fldChar w:fldCharType="end"/>
      </w:r>
      <w:r>
        <w:t xml:space="preserve"> </w:t>
      </w:r>
      <w:r w:rsidRPr="0095104C">
        <w:t xml:space="preserve">sets out </w:t>
      </w:r>
      <w:r>
        <w:t>ActewAGL</w:t>
      </w:r>
      <w:r w:rsidR="005E2D33">
        <w:t>’s</w:t>
      </w:r>
      <w:r w:rsidRPr="0095104C">
        <w:t xml:space="preserve"> </w:t>
      </w:r>
      <w:r>
        <w:t>revised</w:t>
      </w:r>
      <w:r w:rsidRPr="0095104C">
        <w:t xml:space="preserve"> </w:t>
      </w:r>
      <w:r>
        <w:t>capex proposal</w:t>
      </w:r>
      <w:r w:rsidRPr="0095104C">
        <w:t xml:space="preserve"> and our </w:t>
      </w:r>
      <w:r>
        <w:t xml:space="preserve">final decision. For each cost category, we have accepted ActewAGL's revised proposal. </w:t>
      </w:r>
      <w:r w:rsidRPr="0095104C">
        <w:t xml:space="preserve"> </w:t>
      </w:r>
    </w:p>
    <w:p w:rsidR="009055FC" w:rsidRDefault="009055FC" w:rsidP="009055FC">
      <w:pPr>
        <w:pStyle w:val="Caption"/>
      </w:pPr>
      <w:bookmarkStart w:id="67" w:name="_Ref415650320"/>
      <w:r>
        <w:t xml:space="preserve">Table </w:t>
      </w:r>
      <w:fldSimple w:instr=" STYLEREF 1 \s ">
        <w:r w:rsidR="004704F5">
          <w:rPr>
            <w:noProof/>
          </w:rPr>
          <w:t>16</w:t>
        </w:r>
      </w:fldSimple>
      <w:r w:rsidR="00572635">
        <w:t>.</w:t>
      </w:r>
      <w:r w:rsidR="000D189C">
        <w:fldChar w:fldCharType="begin"/>
      </w:r>
      <w:r w:rsidR="000D189C">
        <w:instrText xml:space="preserve"> SEQ Table \* ARABIC \s</w:instrText>
      </w:r>
      <w:r w:rsidR="000D189C">
        <w:instrText xml:space="preserve"> 1 </w:instrText>
      </w:r>
      <w:r w:rsidR="000D189C">
        <w:fldChar w:fldCharType="separate"/>
      </w:r>
      <w:r w:rsidR="004704F5">
        <w:rPr>
          <w:noProof/>
        </w:rPr>
        <w:t>14</w:t>
      </w:r>
      <w:r w:rsidR="000D189C">
        <w:rPr>
          <w:noProof/>
        </w:rPr>
        <w:fldChar w:fldCharType="end"/>
      </w:r>
      <w:bookmarkEnd w:id="67"/>
      <w:r>
        <w:t xml:space="preserve"> – Proposed and substitute capex for metering annual services ($ million 2014–15) </w:t>
      </w:r>
    </w:p>
    <w:tbl>
      <w:tblPr>
        <w:tblStyle w:val="AERtable-numbers"/>
        <w:tblW w:w="0" w:type="auto"/>
        <w:tblLook w:val="04A0" w:firstRow="1" w:lastRow="0" w:firstColumn="1" w:lastColumn="0" w:noHBand="0" w:noVBand="1"/>
      </w:tblPr>
      <w:tblGrid>
        <w:gridCol w:w="1738"/>
        <w:gridCol w:w="1738"/>
        <w:gridCol w:w="1739"/>
        <w:gridCol w:w="1739"/>
        <w:gridCol w:w="1739"/>
      </w:tblGrid>
      <w:tr w:rsidR="009055FC" w:rsidTr="004704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8" w:type="dxa"/>
          </w:tcPr>
          <w:p w:rsidR="009055FC" w:rsidRDefault="009055FC" w:rsidP="009055FC"/>
        </w:tc>
        <w:tc>
          <w:tcPr>
            <w:tcW w:w="1738"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Revised proposal</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Adjustment (unit costs)</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Adjustment (volume forecast)</w:t>
            </w:r>
          </w:p>
        </w:tc>
        <w:tc>
          <w:tcPr>
            <w:tcW w:w="1739"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t>Final decision</w:t>
            </w:r>
          </w:p>
        </w:tc>
      </w:tr>
      <w:tr w:rsidR="009055FC" w:rsidTr="0084368C">
        <w:tc>
          <w:tcPr>
            <w:cnfStyle w:val="001000000000" w:firstRow="0" w:lastRow="0" w:firstColumn="1" w:lastColumn="0" w:oddVBand="0" w:evenVBand="0" w:oddHBand="0" w:evenHBand="0" w:firstRowFirstColumn="0" w:firstRowLastColumn="0" w:lastRowFirstColumn="0" w:lastRowLastColumn="0"/>
            <w:tcW w:w="1738" w:type="dxa"/>
          </w:tcPr>
          <w:p w:rsidR="009055FC" w:rsidRPr="009055FC" w:rsidRDefault="009055FC" w:rsidP="009055FC">
            <w:r>
              <w:t>New or upgraded connections (2014–</w:t>
            </w:r>
            <w:r>
              <w:lastRenderedPageBreak/>
              <w:t>15 only)</w:t>
            </w:r>
          </w:p>
        </w:tc>
        <w:tc>
          <w:tcPr>
            <w:tcW w:w="1738"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lastRenderedPageBreak/>
              <w:t>4.6</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4.6</w:t>
            </w:r>
          </w:p>
        </w:tc>
      </w:tr>
      <w:tr w:rsidR="009055FC" w:rsidTr="008436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9055FC" w:rsidRPr="009055FC" w:rsidRDefault="009055FC" w:rsidP="009055FC">
            <w:r>
              <w:lastRenderedPageBreak/>
              <w:t>Replacements</w:t>
            </w:r>
          </w:p>
        </w:tc>
        <w:tc>
          <w:tcPr>
            <w:tcW w:w="1738"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8.3</w:t>
            </w:r>
          </w:p>
        </w:tc>
        <w:tc>
          <w:tcPr>
            <w:tcW w:w="17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0.0</w:t>
            </w:r>
          </w:p>
        </w:tc>
        <w:tc>
          <w:tcPr>
            <w:tcW w:w="17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0.0</w:t>
            </w:r>
          </w:p>
        </w:tc>
        <w:tc>
          <w:tcPr>
            <w:tcW w:w="1739"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8.3</w:t>
            </w:r>
          </w:p>
        </w:tc>
      </w:tr>
      <w:tr w:rsidR="009055FC" w:rsidTr="0084368C">
        <w:tc>
          <w:tcPr>
            <w:cnfStyle w:val="001000000000" w:firstRow="0" w:lastRow="0" w:firstColumn="1" w:lastColumn="0" w:oddVBand="0" w:evenVBand="0" w:oddHBand="0" w:evenHBand="0" w:firstRowFirstColumn="0" w:firstRowLastColumn="0" w:lastRowFirstColumn="0" w:lastRowLastColumn="0"/>
            <w:tcW w:w="1738" w:type="dxa"/>
          </w:tcPr>
          <w:p w:rsidR="009055FC" w:rsidRPr="009055FC" w:rsidRDefault="009055FC" w:rsidP="009055FC">
            <w:r>
              <w:t>Total</w:t>
            </w:r>
          </w:p>
        </w:tc>
        <w:tc>
          <w:tcPr>
            <w:tcW w:w="1738"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13.0</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0.0</w:t>
            </w:r>
          </w:p>
        </w:tc>
        <w:tc>
          <w:tcPr>
            <w:tcW w:w="1739"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13.0</w:t>
            </w:r>
          </w:p>
        </w:tc>
      </w:tr>
    </w:tbl>
    <w:p w:rsidR="009055FC" w:rsidRPr="00BE103D" w:rsidRDefault="009055FC" w:rsidP="009055FC">
      <w:pPr>
        <w:pStyle w:val="AERtablesource"/>
      </w:pPr>
      <w:r w:rsidRPr="00BE103D">
        <w:t xml:space="preserve">Source: </w:t>
      </w:r>
      <w:r w:rsidRPr="00BE103D">
        <w:tab/>
      </w:r>
      <w:r>
        <w:t xml:space="preserve">ActewAGL, </w:t>
      </w:r>
      <w:r w:rsidRPr="00831E3A">
        <w:rPr>
          <w:rStyle w:val="AERtextitalic"/>
        </w:rPr>
        <w:t>Revised regulatory proposal 2015–19, H10 - PTRM Modelling</w:t>
      </w:r>
      <w:r>
        <w:t>, January 2015. Converted to $2014-15.</w:t>
      </w:r>
    </w:p>
    <w:p w:rsidR="009055FC" w:rsidRPr="009055FC" w:rsidRDefault="009055FC" w:rsidP="009055FC">
      <w:pPr>
        <w:pStyle w:val="Heading6"/>
        <w:numPr>
          <w:ilvl w:val="0"/>
          <w:numId w:val="0"/>
        </w:numPr>
      </w:pPr>
      <w:bookmarkStart w:id="68" w:name="_Ref415670552"/>
      <w:r>
        <w:t>Unit costs</w:t>
      </w:r>
      <w:bookmarkEnd w:id="68"/>
    </w:p>
    <w:p w:rsidR="009055FC" w:rsidRDefault="009055FC" w:rsidP="009055FC">
      <w:pPr>
        <w:numPr>
          <w:ilvl w:val="0"/>
          <w:numId w:val="24"/>
        </w:numPr>
      </w:pPr>
      <w:r>
        <w:t>We approve ActewAGL's proposed unit costs. This follows information in ActewAGL's revised proposal, clarifying its jurisdictional requirements with respect to the installation of certain meters.</w:t>
      </w:r>
    </w:p>
    <w:p w:rsidR="009055FC" w:rsidRDefault="009055FC" w:rsidP="009055FC">
      <w:pPr>
        <w:rPr>
          <w:rStyle w:val="AERbody"/>
        </w:rPr>
      </w:pPr>
      <w:r>
        <w:t xml:space="preserve">In our draft decision, we engaged </w:t>
      </w:r>
      <w:r w:rsidRPr="008739F4">
        <w:rPr>
          <w:rStyle w:val="AERbody"/>
        </w:rPr>
        <w:t xml:space="preserve">Marsden </w:t>
      </w:r>
      <w:r>
        <w:rPr>
          <w:rStyle w:val="AERbody"/>
        </w:rPr>
        <w:t>Jacob</w:t>
      </w:r>
      <w:r w:rsidRPr="008739F4">
        <w:rPr>
          <w:rStyle w:val="AERbody"/>
        </w:rPr>
        <w:t xml:space="preserve"> to assist our assessment of ActewAGL's forecast material unit costs. This involved the consultant considering the ‘maximum rate that should be applied for each meter hardware category based on consideration of the rates applied across the business and a comparison against current market rates'.</w:t>
      </w:r>
      <w:r>
        <w:rPr>
          <w:rStyle w:val="FootnoteReference"/>
        </w:rPr>
        <w:footnoteReference w:id="95"/>
      </w:r>
      <w:r w:rsidRPr="008739F4">
        <w:rPr>
          <w:rStyle w:val="AERbody"/>
        </w:rPr>
        <w:t xml:space="preserve"> These rates were sourced from online advertised prices and through direct engagement with major suppliers.</w:t>
      </w:r>
      <w:r>
        <w:rPr>
          <w:rStyle w:val="FootnoteReference"/>
        </w:rPr>
        <w:footnoteReference w:id="96"/>
      </w:r>
      <w:r>
        <w:rPr>
          <w:rStyle w:val="AERbody"/>
        </w:rPr>
        <w:t xml:space="preserve"> Based on this information and advice our draft decision was to:</w:t>
      </w:r>
    </w:p>
    <w:p w:rsidR="009055FC" w:rsidRDefault="009055FC" w:rsidP="009055FC">
      <w:pPr>
        <w:pStyle w:val="AERbulletlistfirststyle"/>
      </w:pPr>
      <w:r>
        <w:t>accept ActewAGL's proposed unit costs for type 5 meters, as these were within the observed market range</w:t>
      </w:r>
      <w:r>
        <w:rPr>
          <w:rStyle w:val="FootnoteReference"/>
        </w:rPr>
        <w:footnoteReference w:id="97"/>
      </w:r>
      <w:r>
        <w:t xml:space="preserve"> </w:t>
      </w:r>
    </w:p>
    <w:p w:rsidR="009055FC" w:rsidRDefault="009055FC" w:rsidP="009055FC">
      <w:pPr>
        <w:pStyle w:val="AERbulletlistfirststyle"/>
      </w:pPr>
      <w:r>
        <w:t>adjust the proposed unit costs for type 6 meters, as these were found to be above the observed market range. We adjusted these unit costs, bringing them to what we considered to be prudent and efficient.</w:t>
      </w:r>
      <w:r>
        <w:rPr>
          <w:rStyle w:val="FootnoteReference"/>
        </w:rPr>
        <w:footnoteReference w:id="98"/>
      </w:r>
    </w:p>
    <w:p w:rsidR="009055FC" w:rsidRDefault="009055FC" w:rsidP="009055FC">
      <w:pPr>
        <w:numPr>
          <w:ilvl w:val="0"/>
          <w:numId w:val="24"/>
        </w:numPr>
      </w:pPr>
      <w:r>
        <w:t>Since our draft decision, ActewAGL has provided additional information about the meter types it is required to install. Specifically, it stated that 'under the current jurisdictional requirements all new, upgrade and replacement meters must be type 5 meter (not type 6)'.</w:t>
      </w:r>
      <w:r>
        <w:rPr>
          <w:rStyle w:val="FootnoteReference"/>
        </w:rPr>
        <w:footnoteReference w:id="99"/>
      </w:r>
      <w:r>
        <w:t xml:space="preserve"> ActewAGL stated that we should accept its proposed material unit costs, in light of these jurisdictional requirements. This is given that the only type of meters which ActewAGL is able to install (type 5) was considered to be within Marsden Jacob's observed market ranges. </w:t>
      </w:r>
    </w:p>
    <w:p w:rsidR="009055FC" w:rsidRDefault="009055FC" w:rsidP="009055FC">
      <w:pPr>
        <w:numPr>
          <w:ilvl w:val="0"/>
          <w:numId w:val="24"/>
        </w:numPr>
      </w:pPr>
      <w:r>
        <w:lastRenderedPageBreak/>
        <w:t>We agree with ActewAGL. The distributor must install type 5 meters only.</w:t>
      </w:r>
      <w:r>
        <w:rPr>
          <w:rStyle w:val="FootnoteReference"/>
        </w:rPr>
        <w:footnoteReference w:id="100"/>
      </w:r>
      <w:r>
        <w:t xml:space="preserve"> </w:t>
      </w:r>
      <w:r w:rsidR="005E2D33">
        <w:t>S</w:t>
      </w:r>
      <w:r>
        <w:t>ince Marsden Jacobs found that ActewAGL's material unit costs for type 5 meters were within the observed market ranges,</w:t>
      </w:r>
      <w:r>
        <w:rPr>
          <w:rStyle w:val="FootnoteReference"/>
        </w:rPr>
        <w:footnoteReference w:id="101"/>
      </w:r>
      <w:r>
        <w:t xml:space="preserve"> it follows that they should be approved. For those reasons, our final decision is to accept ActewAGL's forecast material unit costs for each type of meter. </w:t>
      </w:r>
    </w:p>
    <w:p w:rsidR="009055FC" w:rsidRPr="009055FC" w:rsidRDefault="009055FC" w:rsidP="009055FC">
      <w:pPr>
        <w:pStyle w:val="Heading6"/>
        <w:numPr>
          <w:ilvl w:val="0"/>
          <w:numId w:val="0"/>
        </w:numPr>
      </w:pPr>
      <w:r>
        <w:t>Forecast volumes</w:t>
      </w:r>
    </w:p>
    <w:p w:rsidR="009055FC" w:rsidRDefault="009055FC" w:rsidP="009055FC">
      <w:r>
        <w:t>We maintain our draft decision accepting ActewAGL's forecast volumes of new or upgraded connections and replacements. Our reasoning is set out in our draft decision.</w:t>
      </w:r>
      <w:r>
        <w:rPr>
          <w:rStyle w:val="FootnoteReference"/>
        </w:rPr>
        <w:footnoteReference w:id="102"/>
      </w:r>
      <w:r>
        <w:t xml:space="preserve"> </w:t>
      </w:r>
    </w:p>
    <w:p w:rsidR="009055FC" w:rsidRDefault="009055FC" w:rsidP="009055FC">
      <w:r>
        <w:t>Our final decision accept</w:t>
      </w:r>
      <w:r w:rsidR="005E2D33">
        <w:t>s</w:t>
      </w:r>
      <w:r>
        <w:t xml:space="preserve"> a single year (2014–15) of forecast volumes for new or upgraded connections. This is in line with our position that from 1 July 2015 the cost of all new or upgraded connections should be recovered via upfront charges, rather than the annual metering charge (see section </w:t>
      </w:r>
      <w:r w:rsidR="004704F5">
        <w:fldChar w:fldCharType="begin"/>
      </w:r>
      <w:r w:rsidR="004704F5">
        <w:instrText xml:space="preserve"> REF _Ref418078448 \r \h </w:instrText>
      </w:r>
      <w:r w:rsidR="004704F5">
        <w:fldChar w:fldCharType="separate"/>
      </w:r>
      <w:r w:rsidR="004704F5">
        <w:t>16.2.2</w:t>
      </w:r>
      <w:r w:rsidR="004704F5">
        <w:fldChar w:fldCharType="end"/>
      </w:r>
      <w:r>
        <w:t>). It is also consistent with ActewAGL's revised proposal, which did not include any forecast volumes for new or upgraded connections beyond the 2014–15 year. Additionally, we maintain our draft decision accepting ActewAGL's replacement forecast. It is supported by data showing that many of its meters have exceeded their technical life.</w:t>
      </w:r>
      <w:r>
        <w:rPr>
          <w:rStyle w:val="FootnoteReference"/>
        </w:rPr>
        <w:footnoteReference w:id="103"/>
      </w:r>
      <w:r>
        <w:t xml:space="preserve"> </w:t>
      </w:r>
      <w:r>
        <w:fldChar w:fldCharType="begin"/>
      </w:r>
      <w:r>
        <w:instrText xml:space="preserve"> REF _Ref413164974 \h </w:instrText>
      </w:r>
      <w:r>
        <w:fldChar w:fldCharType="separate"/>
      </w:r>
      <w:r w:rsidR="004704F5">
        <w:t xml:space="preserve">Table </w:t>
      </w:r>
      <w:r w:rsidR="004704F5">
        <w:rPr>
          <w:noProof/>
        </w:rPr>
        <w:t>16</w:t>
      </w:r>
      <w:r w:rsidR="004704F5">
        <w:t>.</w:t>
      </w:r>
      <w:r w:rsidR="004704F5">
        <w:rPr>
          <w:noProof/>
        </w:rPr>
        <w:t>15</w:t>
      </w:r>
      <w:r>
        <w:fldChar w:fldCharType="end"/>
      </w:r>
      <w:r>
        <w:t xml:space="preserve"> shows the volumes we have approved.</w:t>
      </w:r>
    </w:p>
    <w:p w:rsidR="009055FC" w:rsidRDefault="009055FC" w:rsidP="009055FC">
      <w:pPr>
        <w:pStyle w:val="Caption"/>
      </w:pPr>
      <w:bookmarkStart w:id="69" w:name="_Ref413164974"/>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15</w:t>
      </w:r>
      <w:r w:rsidR="000D189C">
        <w:rPr>
          <w:noProof/>
        </w:rPr>
        <w:fldChar w:fldCharType="end"/>
      </w:r>
      <w:bookmarkEnd w:id="69"/>
      <w:r>
        <w:t xml:space="preserve"> – Approved volumes of meters for new/upgraded connections, reactive replacements, and proactive replacements (per meter)</w:t>
      </w:r>
    </w:p>
    <w:tbl>
      <w:tblPr>
        <w:tblStyle w:val="AERtable-numbers"/>
        <w:tblW w:w="0" w:type="auto"/>
        <w:tblLook w:val="04A0" w:firstRow="1" w:lastRow="0" w:firstColumn="1" w:lastColumn="0" w:noHBand="0" w:noVBand="1"/>
      </w:tblPr>
      <w:tblGrid>
        <w:gridCol w:w="4644"/>
        <w:gridCol w:w="3544"/>
      </w:tblGrid>
      <w:tr w:rsidR="009055FC" w:rsidRPr="009501C0" w:rsidTr="0084368C">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4644" w:type="dxa"/>
          </w:tcPr>
          <w:p w:rsidR="009055FC" w:rsidRPr="009501C0" w:rsidRDefault="009055FC" w:rsidP="009055FC"/>
        </w:tc>
        <w:tc>
          <w:tcPr>
            <w:tcW w:w="3544" w:type="dxa"/>
          </w:tcPr>
          <w:p w:rsidR="009055FC" w:rsidRPr="009055FC" w:rsidRDefault="009055FC" w:rsidP="009055FC">
            <w:pPr>
              <w:cnfStyle w:val="100000000000" w:firstRow="1" w:lastRow="0" w:firstColumn="0" w:lastColumn="0" w:oddVBand="0" w:evenVBand="0" w:oddHBand="0" w:evenHBand="0" w:firstRowFirstColumn="0" w:firstRowLastColumn="0" w:lastRowFirstColumn="0" w:lastRowLastColumn="0"/>
            </w:pPr>
            <w:r w:rsidRPr="009501C0">
              <w:t>Volume</w:t>
            </w:r>
          </w:p>
        </w:tc>
      </w:tr>
      <w:tr w:rsidR="009055FC" w:rsidRPr="009501C0" w:rsidTr="0084368C">
        <w:trPr>
          <w:trHeight w:val="634"/>
        </w:trPr>
        <w:tc>
          <w:tcPr>
            <w:cnfStyle w:val="001000000000" w:firstRow="0" w:lastRow="0" w:firstColumn="1" w:lastColumn="0" w:oddVBand="0" w:evenVBand="0" w:oddHBand="0" w:evenHBand="0" w:firstRowFirstColumn="0" w:firstRowLastColumn="0" w:lastRowFirstColumn="0" w:lastRowLastColumn="0"/>
            <w:tcW w:w="4644" w:type="dxa"/>
          </w:tcPr>
          <w:p w:rsidR="009055FC" w:rsidRPr="009055FC" w:rsidRDefault="009055FC" w:rsidP="009055FC">
            <w:r w:rsidRPr="009501C0">
              <w:t>New and upgraded connections</w:t>
            </w:r>
          </w:p>
          <w:p w:rsidR="009055FC" w:rsidRPr="009055FC" w:rsidRDefault="009055FC" w:rsidP="009055FC">
            <w:r w:rsidRPr="009501C0">
              <w:t>(2014–15 only)</w:t>
            </w:r>
          </w:p>
        </w:tc>
        <w:tc>
          <w:tcPr>
            <w:tcW w:w="3544"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8 150</w:t>
            </w:r>
          </w:p>
        </w:tc>
      </w:tr>
      <w:tr w:rsidR="009055FC" w:rsidRPr="009501C0" w:rsidTr="0084368C">
        <w:trPr>
          <w:cnfStyle w:val="000000010000" w:firstRow="0" w:lastRow="0" w:firstColumn="0" w:lastColumn="0" w:oddVBand="0" w:evenVBand="0" w:oddHBand="0" w:evenHBand="1"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4644" w:type="dxa"/>
          </w:tcPr>
          <w:p w:rsidR="009055FC" w:rsidRPr="009055FC" w:rsidRDefault="009055FC" w:rsidP="009055FC">
            <w:r>
              <w:t>New photovoltaic meters</w:t>
            </w:r>
          </w:p>
        </w:tc>
        <w:tc>
          <w:tcPr>
            <w:tcW w:w="3544" w:type="dxa"/>
          </w:tcPr>
          <w:p w:rsidR="009055FC" w:rsidRPr="009055FC" w:rsidRDefault="009055FC" w:rsidP="009055FC">
            <w:pPr>
              <w:cnfStyle w:val="000000010000" w:firstRow="0" w:lastRow="0" w:firstColumn="0" w:lastColumn="0" w:oddVBand="0" w:evenVBand="0" w:oddHBand="0" w:evenHBand="1" w:firstRowFirstColumn="0" w:firstRowLastColumn="0" w:lastRowFirstColumn="0" w:lastRowLastColumn="0"/>
            </w:pPr>
            <w:r>
              <w:t>550</w:t>
            </w:r>
          </w:p>
        </w:tc>
      </w:tr>
      <w:tr w:rsidR="009055FC" w:rsidRPr="009501C0" w:rsidTr="0084368C">
        <w:trPr>
          <w:trHeight w:val="649"/>
        </w:trPr>
        <w:tc>
          <w:tcPr>
            <w:cnfStyle w:val="001000000000" w:firstRow="0" w:lastRow="0" w:firstColumn="1" w:lastColumn="0" w:oddVBand="0" w:evenVBand="0" w:oddHBand="0" w:evenHBand="0" w:firstRowFirstColumn="0" w:firstRowLastColumn="0" w:lastRowFirstColumn="0" w:lastRowLastColumn="0"/>
            <w:tcW w:w="4644" w:type="dxa"/>
          </w:tcPr>
          <w:p w:rsidR="009055FC" w:rsidRPr="009055FC" w:rsidRDefault="009055FC" w:rsidP="009055FC">
            <w:r>
              <w:t>R</w:t>
            </w:r>
            <w:r w:rsidRPr="009055FC">
              <w:t>eplacements</w:t>
            </w:r>
          </w:p>
        </w:tc>
        <w:tc>
          <w:tcPr>
            <w:tcW w:w="3544" w:type="dxa"/>
          </w:tcPr>
          <w:p w:rsidR="009055FC" w:rsidRPr="009055FC" w:rsidRDefault="009055FC" w:rsidP="009055FC">
            <w:pPr>
              <w:cnfStyle w:val="000000000000" w:firstRow="0" w:lastRow="0" w:firstColumn="0" w:lastColumn="0" w:oddVBand="0" w:evenVBand="0" w:oddHBand="0" w:evenHBand="0" w:firstRowFirstColumn="0" w:firstRowLastColumn="0" w:lastRowFirstColumn="0" w:lastRowLastColumn="0"/>
            </w:pPr>
            <w:r>
              <w:t>18 250</w:t>
            </w:r>
          </w:p>
        </w:tc>
      </w:tr>
    </w:tbl>
    <w:p w:rsidR="009055FC" w:rsidRDefault="009055FC" w:rsidP="009055FC">
      <w:pPr>
        <w:pStyle w:val="AERtablesource"/>
      </w:pPr>
      <w:r>
        <w:t>Source:</w:t>
      </w:r>
      <w:r>
        <w:tab/>
        <w:t>AER analysis</w:t>
      </w:r>
    </w:p>
    <w:p w:rsidR="004704F5" w:rsidRDefault="004704F5">
      <w:pPr>
        <w:spacing w:line="240" w:lineRule="auto"/>
        <w:rPr>
          <w:rFonts w:eastAsiaTheme="majorEastAsia" w:cstheme="majorBidi"/>
          <w:b/>
          <w:color w:val="170017" w:themeColor="accent1" w:themeShade="7F"/>
        </w:rPr>
      </w:pPr>
      <w:r>
        <w:br w:type="page"/>
      </w:r>
    </w:p>
    <w:p w:rsidR="009055FC" w:rsidRPr="009055FC" w:rsidRDefault="009055FC" w:rsidP="009055FC">
      <w:pPr>
        <w:pStyle w:val="Heading5"/>
        <w:numPr>
          <w:ilvl w:val="0"/>
          <w:numId w:val="0"/>
        </w:numPr>
      </w:pPr>
      <w:r>
        <w:lastRenderedPageBreak/>
        <w:t xml:space="preserve">Forecast </w:t>
      </w:r>
      <w:r w:rsidRPr="009055FC">
        <w:t>opex</w:t>
      </w:r>
    </w:p>
    <w:p w:rsidR="009055FC" w:rsidRDefault="009055FC" w:rsidP="009055FC">
      <w:pPr>
        <w:numPr>
          <w:ilvl w:val="0"/>
          <w:numId w:val="24"/>
        </w:numPr>
      </w:pPr>
      <w:r>
        <w:t>We accept $11.1 million in opex for annual metering services and substitute that amount for ActewAGL's propos</w:t>
      </w:r>
      <w:r w:rsidR="00375CD1">
        <w:t>al</w:t>
      </w:r>
      <w:r>
        <w:t xml:space="preserve">. Our substitute </w:t>
      </w:r>
      <w:r w:rsidR="005E2D33">
        <w:t>is</w:t>
      </w:r>
      <w:r>
        <w:t xml:space="preserve"> approximately </w:t>
      </w:r>
      <w:r w:rsidR="005E2D33">
        <w:t xml:space="preserve">31 </w:t>
      </w:r>
      <w:r>
        <w:t>per</w:t>
      </w:r>
      <w:r w:rsidR="005E2D33">
        <w:t xml:space="preserve"> </w:t>
      </w:r>
      <w:r>
        <w:t xml:space="preserve">cent </w:t>
      </w:r>
      <w:r w:rsidR="005E2D33">
        <w:t>lower than</w:t>
      </w:r>
      <w:r>
        <w:t xml:space="preserve"> the </w:t>
      </w:r>
      <w:r w:rsidR="005E2D33">
        <w:t>$16.1 million ($2014–15)</w:t>
      </w:r>
      <w:r>
        <w:t xml:space="preserve"> in ActewAGL's revised regulatory proposal.</w:t>
      </w:r>
    </w:p>
    <w:p w:rsidR="009055FC" w:rsidRPr="009055FC" w:rsidRDefault="009055FC" w:rsidP="009055FC">
      <w:pPr>
        <w:pStyle w:val="Heading6"/>
        <w:numPr>
          <w:ilvl w:val="0"/>
          <w:numId w:val="0"/>
        </w:numPr>
      </w:pPr>
      <w:r>
        <w:t xml:space="preserve">Base </w:t>
      </w:r>
    </w:p>
    <w:p w:rsidR="009055FC" w:rsidRPr="000821FC" w:rsidRDefault="009055FC" w:rsidP="009055FC">
      <w:r w:rsidRPr="000821FC">
        <w:t xml:space="preserve">To assess this, we observed </w:t>
      </w:r>
      <w:r>
        <w:t>ActewAGL's</w:t>
      </w:r>
      <w:r w:rsidRPr="000821FC">
        <w:t xml:space="preserve"> opex over a five year period (2008–09 to 2012–13). This is the same approach we applied in the draft decision but different to how </w:t>
      </w:r>
      <w:r>
        <w:t>ActewAGL</w:t>
      </w:r>
      <w:r w:rsidRPr="000821FC">
        <w:t xml:space="preserve"> developed its base; which involved using a single year of opex (2012–13).</w:t>
      </w:r>
      <w:r>
        <w:rPr>
          <w:rStyle w:val="FootnoteReference"/>
        </w:rPr>
        <w:footnoteReference w:id="104"/>
      </w:r>
      <w:r w:rsidRPr="000821FC">
        <w:t xml:space="preserve">  </w:t>
      </w:r>
    </w:p>
    <w:p w:rsidR="009055FC" w:rsidRDefault="009055FC" w:rsidP="009055FC">
      <w:r>
        <w:t>We also applied a multi–year approach to determine base opex in our draft decision. ActewAGL's revised proposal stated that this was not justified since the AER had not shown that the proposed base year (2012–13) was inefficient.</w:t>
      </w:r>
      <w:r>
        <w:rPr>
          <w:rStyle w:val="FootnoteReference"/>
        </w:rPr>
        <w:footnoteReference w:id="105"/>
      </w:r>
      <w:r>
        <w:t xml:space="preserve"> </w:t>
      </w:r>
    </w:p>
    <w:p w:rsidR="009055FC" w:rsidRPr="000821FC" w:rsidRDefault="009055FC" w:rsidP="009055FC">
      <w:r w:rsidRPr="000821FC">
        <w:t>We</w:t>
      </w:r>
      <w:r>
        <w:t xml:space="preserve"> nonetheless</w:t>
      </w:r>
      <w:r w:rsidRPr="000821FC">
        <w:t xml:space="preserve"> consider our multi–year approach to be more robust than </w:t>
      </w:r>
      <w:r>
        <w:t>ActewAGL's</w:t>
      </w:r>
      <w:r w:rsidRPr="000821FC">
        <w:t xml:space="preserve"> single year method. By taking multiple years of costs into account, we avoid any incentive on </w:t>
      </w:r>
      <w:r>
        <w:t>ActewAGL</w:t>
      </w:r>
      <w:r w:rsidRPr="000821FC">
        <w:t xml:space="preserve">, going forward, to load a single year with expenditure. This is important given that we do not apply an efficiency benefit sharing scheme with respect to alternative control metering services. </w:t>
      </w:r>
    </w:p>
    <w:p w:rsidR="009055FC" w:rsidRPr="000821FC" w:rsidRDefault="009055FC" w:rsidP="009055FC">
      <w:pPr>
        <w:numPr>
          <w:ilvl w:val="0"/>
          <w:numId w:val="24"/>
        </w:numPr>
      </w:pPr>
      <w:r w:rsidRPr="000821FC">
        <w:t xml:space="preserve">Consistent with our approach for standard control services, we further examined the proposed base from another perspective by applying benchmarking. To do this we used a partial performance indicator which compared </w:t>
      </w:r>
      <w:r>
        <w:t>ActewAGL's</w:t>
      </w:r>
      <w:r w:rsidRPr="000821FC">
        <w:t xml:space="preserve"> proposed opex per customer against other non-Victorian distribution businesses in the national electricity market.  </w:t>
      </w:r>
    </w:p>
    <w:p w:rsidR="009055FC" w:rsidRDefault="009055FC" w:rsidP="009055FC">
      <w:r w:rsidRPr="000821FC">
        <w:t xml:space="preserve">When comparing </w:t>
      </w:r>
      <w:r>
        <w:t>ActewAGL's</w:t>
      </w:r>
      <w:r w:rsidRPr="000821FC">
        <w:t xml:space="preserve"> proposed opex to its peers, we normalised our results by accounting for customer density. We calculated this as the number of customers a distribution business has per kilometre of line length. We took customer density into account because, all things equal, businesses with a low customer density ar</w:t>
      </w:r>
      <w:r>
        <w:t>e likely to require higher opex</w:t>
      </w:r>
      <w:r w:rsidRPr="000821FC">
        <w:t>. For example, this could be because of longer travel times to service customers.</w:t>
      </w:r>
    </w:p>
    <w:p w:rsidR="009055FC" w:rsidRDefault="009055FC" w:rsidP="009055FC">
      <w:r>
        <w:t>We considered stakeholder submissions. These included a report from the accountancy firm PriceWaterhouseCoopers (PWC). This report, which ActewAGL commissioned, stated that the data we used to perform our benchmarking did not take into account the 'differing treatment… of metering costs depending on jurisdictional requirements'.</w:t>
      </w:r>
      <w:r>
        <w:rPr>
          <w:rStyle w:val="FootnoteReference"/>
        </w:rPr>
        <w:footnoteReference w:id="106"/>
      </w:r>
      <w:r>
        <w:t xml:space="preserve"> However, we did account for differences across jurisdictions when selecting what data to perform our analysis.</w:t>
      </w:r>
    </w:p>
    <w:p w:rsidR="009055FC" w:rsidRDefault="009055FC" w:rsidP="009055FC">
      <w:r w:rsidRPr="00966759">
        <w:lastRenderedPageBreak/>
        <w:t xml:space="preserve">We excluded data from Victorian distributors in recognition that Victoria is the only state that had a mandated advanced meter roll out. We further accounted for jurisdictional differences in our final decision by adjusting historic data for metering opex to exclude ancillary metering activities (such as special meter reading). We did this because the classification for these services differs across jurisdictions. The benchmarking analysis now compares like for like by only including opex for default metering services that is common across jurisdictions. Therefore, we consider that our final decision analysis has appropriately taken into account different jurisdictional requirements. </w:t>
      </w:r>
      <w:bookmarkStart w:id="70" w:name="_Ref416705821"/>
    </w:p>
    <w:p w:rsidR="009055FC" w:rsidRPr="00966759" w:rsidRDefault="009055FC" w:rsidP="009055FC">
      <w:pPr>
        <w:pStyle w:val="Caption"/>
      </w:pPr>
      <w:bookmarkStart w:id="71" w:name="_Ref417562762"/>
      <w:bookmarkEnd w:id="70"/>
      <w:r>
        <w:t xml:space="preserve">Figure </w:t>
      </w:r>
      <w:r w:rsidRPr="009055FC">
        <w:fldChar w:fldCharType="begin"/>
      </w:r>
      <w:r>
        <w:instrText xml:space="preserve"> STYLEREF 1 \s </w:instrText>
      </w:r>
      <w:r w:rsidRPr="009055FC">
        <w:fldChar w:fldCharType="separate"/>
      </w:r>
      <w:r w:rsidR="004704F5">
        <w:rPr>
          <w:noProof/>
        </w:rPr>
        <w:t>16</w:t>
      </w:r>
      <w:r w:rsidRPr="009055FC">
        <w:fldChar w:fldCharType="end"/>
      </w:r>
      <w:r>
        <w:t>.</w:t>
      </w:r>
      <w:r w:rsidR="000D189C">
        <w:fldChar w:fldCharType="begin"/>
      </w:r>
      <w:r w:rsidR="000D189C">
        <w:instrText xml:space="preserve"> SEQ Figure \* ARABIC \s 1 </w:instrText>
      </w:r>
      <w:r w:rsidR="000D189C">
        <w:fldChar w:fldCharType="separate"/>
      </w:r>
      <w:r w:rsidR="004704F5">
        <w:rPr>
          <w:noProof/>
        </w:rPr>
        <w:t>5</w:t>
      </w:r>
      <w:r w:rsidR="000D189C">
        <w:rPr>
          <w:noProof/>
        </w:rPr>
        <w:fldChar w:fldCharType="end"/>
      </w:r>
      <w:bookmarkEnd w:id="71"/>
      <w:r>
        <w:t xml:space="preserve"> – </w:t>
      </w:r>
      <w:r w:rsidRPr="00966759">
        <w:t>Benchmarking of annual default metering opex per customer ($ 2014–15)</w:t>
      </w:r>
    </w:p>
    <w:p w:rsidR="009055FC" w:rsidRDefault="009055FC" w:rsidP="009055FC">
      <w:r w:rsidRPr="009055FC">
        <w:rPr>
          <w:noProof/>
          <w:lang w:eastAsia="en-AU"/>
        </w:rPr>
        <w:drawing>
          <wp:inline distT="0" distB="0" distL="0" distR="0" wp14:anchorId="4F612334" wp14:editId="5C905369">
            <wp:extent cx="5382895" cy="3524109"/>
            <wp:effectExtent l="0" t="0" r="825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055FC" w:rsidRDefault="009055FC" w:rsidP="009055FC">
      <w:pPr>
        <w:pStyle w:val="Source"/>
      </w:pPr>
      <w:r>
        <w:t>Source:</w:t>
      </w:r>
      <w:r>
        <w:tab/>
        <w:t>AER analysis.</w:t>
      </w:r>
    </w:p>
    <w:p w:rsidR="009055FC" w:rsidRDefault="009055FC" w:rsidP="009055FC">
      <w:r>
        <w:fldChar w:fldCharType="begin"/>
      </w:r>
      <w:r>
        <w:instrText xml:space="preserve"> REF _Ref417562762 \h </w:instrText>
      </w:r>
      <w:r>
        <w:fldChar w:fldCharType="separate"/>
      </w:r>
      <w:r w:rsidR="004704F5">
        <w:t xml:space="preserve">Figure </w:t>
      </w:r>
      <w:r w:rsidR="004704F5">
        <w:rPr>
          <w:noProof/>
        </w:rPr>
        <w:t>16</w:t>
      </w:r>
      <w:r w:rsidR="004704F5">
        <w:t>.</w:t>
      </w:r>
      <w:r w:rsidR="004704F5">
        <w:rPr>
          <w:noProof/>
        </w:rPr>
        <w:t>5</w:t>
      </w:r>
      <w:r>
        <w:fldChar w:fldCharType="end"/>
      </w:r>
      <w:r>
        <w:t xml:space="preserve"> sets out</w:t>
      </w:r>
      <w:r w:rsidRPr="000821FC">
        <w:t xml:space="preserve"> the results of our benchmarking.</w:t>
      </w:r>
      <w:r>
        <w:t xml:space="preserve"> It shows that, firstly, Ausgrid is ActewAGL's closest comparator for benchmarking purposes. Both these businesses have a similar customer density. Our benchmarking also shows that ActewAGL is relatively efficient compared to its NSW counterpart. Specifically, ActewAGL incurs less opex per metering customer than Ausgrid. This is despite the latter having a denser distribution network. </w:t>
      </w:r>
    </w:p>
    <w:p w:rsidR="009055FC" w:rsidRPr="000821FC" w:rsidRDefault="009055FC" w:rsidP="009055FC">
      <w:r>
        <w:t xml:space="preserve">We conclude that ActewAGL's historical opex is relatively efficient. Consequently, our final decision does not apply an efficiency adjustment to ActewAGL's base opex, on </w:t>
      </w:r>
      <w:r>
        <w:lastRenderedPageBreak/>
        <w:t>the basis of our benchmarking results. This outcome is consistent with our draft decision.</w:t>
      </w:r>
      <w:r>
        <w:rPr>
          <w:rStyle w:val="FootnoteReference"/>
        </w:rPr>
        <w:footnoteReference w:id="107"/>
      </w:r>
      <w:r>
        <w:t xml:space="preserve"> </w:t>
      </w:r>
    </w:p>
    <w:p w:rsidR="009055FC" w:rsidRPr="009055FC" w:rsidRDefault="009055FC" w:rsidP="009055FC">
      <w:pPr>
        <w:pStyle w:val="Heading6"/>
        <w:numPr>
          <w:ilvl w:val="0"/>
          <w:numId w:val="0"/>
        </w:numPr>
      </w:pPr>
      <w:r w:rsidRPr="009C3274">
        <w:t>Step changes</w:t>
      </w:r>
    </w:p>
    <w:p w:rsidR="009055FC" w:rsidRPr="00F16573" w:rsidRDefault="009055FC" w:rsidP="009055FC">
      <w:pPr>
        <w:numPr>
          <w:ilvl w:val="0"/>
          <w:numId w:val="24"/>
        </w:numPr>
      </w:pPr>
      <w:r>
        <w:t>We maintain our draft decision to acce</w:t>
      </w:r>
      <w:r w:rsidRPr="00F16573">
        <w:t xml:space="preserve">pt </w:t>
      </w:r>
      <w:r>
        <w:t xml:space="preserve">approximately </w:t>
      </w:r>
      <w:r w:rsidRPr="00F16573">
        <w:t>$0.8 million ($2014–15) for the proposed step change relating to ActewAGL’s cost allocation method.</w:t>
      </w:r>
      <w:r>
        <w:rPr>
          <w:rStyle w:val="FootnoteReference"/>
        </w:rPr>
        <w:footnoteReference w:id="108"/>
      </w:r>
      <w:r w:rsidRPr="00F16573">
        <w:t xml:space="preserve"> The step change is required because ActewAGL will begin allocating overheads directly to projects, in accordance with the cost allocation method we approved for the 2014–15 and 2015–19 regulatory control periods.</w:t>
      </w:r>
      <w:r>
        <w:t xml:space="preserve"> </w:t>
      </w:r>
    </w:p>
    <w:p w:rsidR="009055FC" w:rsidRPr="008C5775" w:rsidRDefault="009055FC" w:rsidP="009055FC">
      <w:pPr>
        <w:numPr>
          <w:ilvl w:val="0"/>
          <w:numId w:val="24"/>
        </w:numPr>
      </w:pPr>
      <w:r>
        <w:t xml:space="preserve">We also maintain our draft decision to not approve the proposed </w:t>
      </w:r>
      <w:r w:rsidRPr="00F16573">
        <w:t>$0.9 million ($2014–15)</w:t>
      </w:r>
      <w:r>
        <w:t xml:space="preserve"> step change</w:t>
      </w:r>
      <w:r w:rsidRPr="00F16573">
        <w:t xml:space="preserve"> </w:t>
      </w:r>
      <w:r>
        <w:t>relating to</w:t>
      </w:r>
      <w:r w:rsidRPr="00F16573">
        <w:t xml:space="preserve"> </w:t>
      </w:r>
      <w:r>
        <w:t>the visual</w:t>
      </w:r>
      <w:r w:rsidRPr="00F16573">
        <w:t xml:space="preserve"> inspect</w:t>
      </w:r>
      <w:r>
        <w:t>ion</w:t>
      </w:r>
      <w:r w:rsidRPr="00F16573">
        <w:t xml:space="preserve"> </w:t>
      </w:r>
      <w:r>
        <w:t>of</w:t>
      </w:r>
      <w:r w:rsidRPr="00F16573">
        <w:t xml:space="preserve"> low voltage CT meters. </w:t>
      </w:r>
      <w:r w:rsidRPr="007A6980">
        <w:t xml:space="preserve">Step changes relate to </w:t>
      </w:r>
      <w:r>
        <w:t xml:space="preserve">either capex/opex trade-offs or </w:t>
      </w:r>
      <w:r w:rsidRPr="007A6980">
        <w:t>a new</w:t>
      </w:r>
      <w:r>
        <w:t xml:space="preserve"> regulatory obligation</w:t>
      </w:r>
      <w:r w:rsidRPr="007A6980">
        <w:t>.</w:t>
      </w:r>
      <w:r>
        <w:rPr>
          <w:rStyle w:val="FootnoteReference"/>
        </w:rPr>
        <w:footnoteReference w:id="109"/>
      </w:r>
      <w:r w:rsidRPr="007A6980">
        <w:t xml:space="preserve"> </w:t>
      </w:r>
      <w:r w:rsidRPr="00737570">
        <w:t>It is not enough to simply demonstrate an efficient cost will be incurred for an activity that was not previously undertaken.</w:t>
      </w:r>
      <w:r>
        <w:t xml:space="preserve"> With that in mind, we note that the requirement to inspect the CT meters is not a new obligation. </w:t>
      </w:r>
      <w:r w:rsidRPr="00F16573">
        <w:t>ActewAGL’s metering asset management plan states that the distribution business</w:t>
      </w:r>
      <w:r>
        <w:t xml:space="preserve"> was scheduled to</w:t>
      </w:r>
      <w:r w:rsidRPr="00F16573">
        <w:t xml:space="preserve"> c</w:t>
      </w:r>
      <w:r>
        <w:t>onduct the</w:t>
      </w:r>
      <w:r w:rsidRPr="00F16573">
        <w:t xml:space="preserve"> inspections of all CT meters in 2008.</w:t>
      </w:r>
      <w:r w:rsidRPr="00F16573">
        <w:rPr>
          <w:rStyle w:val="FootnoteReference"/>
        </w:rPr>
        <w:footnoteReference w:id="110"/>
      </w:r>
      <w:r>
        <w:t xml:space="preserve"> We therefore do not accept the proposed step change as it is a continuing obligation.</w:t>
      </w:r>
    </w:p>
    <w:p w:rsidR="009055FC" w:rsidRPr="009055FC" w:rsidRDefault="009055FC" w:rsidP="009055FC">
      <w:pPr>
        <w:pStyle w:val="Heading6"/>
        <w:numPr>
          <w:ilvl w:val="0"/>
          <w:numId w:val="0"/>
        </w:numPr>
      </w:pPr>
      <w:r>
        <w:t xml:space="preserve">Trend </w:t>
      </w:r>
    </w:p>
    <w:p w:rsidR="009055FC" w:rsidRDefault="009055FC" w:rsidP="009055FC">
      <w:r>
        <w:t>We trended the base forward for forecast metering customer growth. Consistent with our draft decision, we have applied zero forecast real price and productivity growth.</w:t>
      </w:r>
    </w:p>
    <w:p w:rsidR="009055FC" w:rsidRDefault="009055FC" w:rsidP="009055FC">
      <w:r>
        <w:t xml:space="preserve">Our analysis for base metering opex used average data from 2008–09 to 2012–13. One would expect to see metering opex per customer increasing over the period if there was real price growth. </w:t>
      </w:r>
    </w:p>
    <w:p w:rsidR="009055FC" w:rsidRDefault="009055FC" w:rsidP="009055FC">
      <w:pPr>
        <w:pStyle w:val="Caption"/>
      </w:pPr>
      <w:bookmarkStart w:id="72" w:name="_Ref417576304"/>
      <w:r>
        <w:lastRenderedPageBreak/>
        <w:t xml:space="preserve">Figure </w:t>
      </w:r>
      <w:r w:rsidRPr="009055FC">
        <w:fldChar w:fldCharType="begin"/>
      </w:r>
      <w:r>
        <w:instrText xml:space="preserve"> STYLEREF 1 \s </w:instrText>
      </w:r>
      <w:r w:rsidRPr="009055FC">
        <w:fldChar w:fldCharType="separate"/>
      </w:r>
      <w:r w:rsidR="004704F5">
        <w:rPr>
          <w:noProof/>
        </w:rPr>
        <w:t>16</w:t>
      </w:r>
      <w:r w:rsidRPr="009055FC">
        <w:fldChar w:fldCharType="end"/>
      </w:r>
      <w:r>
        <w:t>.</w:t>
      </w:r>
      <w:r w:rsidRPr="009055FC">
        <w:fldChar w:fldCharType="begin"/>
      </w:r>
      <w:r>
        <w:instrText xml:space="preserve"> SEQ Figure \* ARABIC \s 1 </w:instrText>
      </w:r>
      <w:r w:rsidRPr="009055FC">
        <w:fldChar w:fldCharType="separate"/>
      </w:r>
      <w:r w:rsidR="004704F5">
        <w:rPr>
          <w:noProof/>
        </w:rPr>
        <w:t>6</w:t>
      </w:r>
      <w:r w:rsidRPr="009055FC">
        <w:fldChar w:fldCharType="end"/>
      </w:r>
      <w:bookmarkEnd w:id="72"/>
      <w:r>
        <w:t xml:space="preserve"> – Base annual opex per customer</w:t>
      </w:r>
      <w:r>
        <w:tab/>
      </w:r>
    </w:p>
    <w:p w:rsidR="009055FC" w:rsidRPr="009055FC" w:rsidRDefault="009055FC" w:rsidP="009055FC">
      <w:r w:rsidRPr="009055FC">
        <w:rPr>
          <w:noProof/>
          <w:lang w:eastAsia="en-AU"/>
        </w:rPr>
        <w:drawing>
          <wp:inline distT="0" distB="0" distL="0" distR="0" wp14:anchorId="27DCD4F6" wp14:editId="5DE2B7D5">
            <wp:extent cx="4295775" cy="2914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01478" cy="2918635"/>
                    </a:xfrm>
                    <a:prstGeom prst="rect">
                      <a:avLst/>
                    </a:prstGeom>
                    <a:noFill/>
                  </pic:spPr>
                </pic:pic>
              </a:graphicData>
            </a:graphic>
          </wp:inline>
        </w:drawing>
      </w:r>
    </w:p>
    <w:p w:rsidR="009055FC" w:rsidRDefault="009055FC" w:rsidP="009055FC">
      <w:pPr>
        <w:pStyle w:val="AERtablesource"/>
      </w:pPr>
      <w:r>
        <w:t>Source:</w:t>
      </w:r>
      <w:r>
        <w:tab/>
        <w:t>AER analysis</w:t>
      </w:r>
    </w:p>
    <w:p w:rsidR="009055FC" w:rsidRDefault="009055FC" w:rsidP="009055FC">
      <w:r>
        <w:t xml:space="preserve">However, </w:t>
      </w:r>
      <w:r>
        <w:fldChar w:fldCharType="begin"/>
      </w:r>
      <w:r>
        <w:instrText xml:space="preserve"> REF _Ref417576304 \h </w:instrText>
      </w:r>
      <w:r>
        <w:fldChar w:fldCharType="separate"/>
      </w:r>
      <w:r w:rsidR="004704F5">
        <w:t xml:space="preserve">Figure </w:t>
      </w:r>
      <w:r w:rsidR="004704F5">
        <w:rPr>
          <w:noProof/>
        </w:rPr>
        <w:t>16</w:t>
      </w:r>
      <w:r w:rsidR="004704F5">
        <w:t>.</w:t>
      </w:r>
      <w:r w:rsidR="004704F5">
        <w:rPr>
          <w:noProof/>
        </w:rPr>
        <w:t>6</w:t>
      </w:r>
      <w:r>
        <w:fldChar w:fldCharType="end"/>
      </w:r>
      <w:r>
        <w:t xml:space="preserve"> shows that over 2008–09 to 2012–13, ActewAGL's metering opex per customer was not steadily increasing while the industry average was stable over the period. This implies that either there were no real price increases over this period, or the distributors were able to offset these real price increases with productivity improvements. </w:t>
      </w:r>
    </w:p>
    <w:p w:rsidR="009055FC" w:rsidRDefault="009055FC" w:rsidP="009055FC">
      <w:r>
        <w:t xml:space="preserve">Given that opex is largely recurrent and metering opex per customer did not increase over the 2008–09 to 2012–13 period, we do not forecast metering opex per customer to increase in the 2015–19 regulatory control period. Therefore, we apply zero real price and productivity growth.   </w:t>
      </w:r>
    </w:p>
    <w:p w:rsidR="009055FC" w:rsidRPr="006A0413" w:rsidRDefault="009055FC" w:rsidP="009055FC">
      <w:r w:rsidRPr="009C3274">
        <w:t xml:space="preserve">Our </w:t>
      </w:r>
      <w:r w:rsidRPr="006A0413">
        <w:t>alternative forecast accepts</w:t>
      </w:r>
      <w:r>
        <w:t xml:space="preserve"> 69</w:t>
      </w:r>
      <w:r w:rsidRPr="006A0413">
        <w:t xml:space="preserve"> percent of what </w:t>
      </w:r>
      <w:r>
        <w:t>ActewAGL</w:t>
      </w:r>
      <w:r w:rsidRPr="006A0413">
        <w:t xml:space="preserve"> proposed</w:t>
      </w:r>
      <w:r>
        <w:t>. Our final decision is principally driven by our assessment that ActewAGL's historical opex is relatively efficient</w:t>
      </w:r>
      <w:r w:rsidRPr="006A0413">
        <w:t xml:space="preserve">. We consider this to be reasonable, since in providing metering services </w:t>
      </w:r>
      <w:r>
        <w:t>ActewAGL</w:t>
      </w:r>
      <w:r w:rsidRPr="006A0413">
        <w:t xml:space="preserve"> should, at the very least, be as efficient as it has been in the past. For that reason, we consider our substitute opex forecast</w:t>
      </w:r>
      <w:r>
        <w:t xml:space="preserve"> reflects ActewAGL's </w:t>
      </w:r>
      <w:r w:rsidRPr="006A0413">
        <w:t>likely future requirements.</w:t>
      </w:r>
    </w:p>
    <w:p w:rsidR="009055FC" w:rsidRDefault="009055FC" w:rsidP="004704F5">
      <w:pPr>
        <w:pStyle w:val="HeadingBoldBlue"/>
      </w:pPr>
      <w:r w:rsidRPr="003B7B05">
        <w:t>Upfront capital charge</w:t>
      </w:r>
    </w:p>
    <w:p w:rsidR="009055FC" w:rsidRDefault="009055FC" w:rsidP="009055FC">
      <w:r w:rsidRPr="003B7B05">
        <w:t xml:space="preserve">We accept that all new </w:t>
      </w:r>
      <w:r>
        <w:t xml:space="preserve">or upgraded </w:t>
      </w:r>
      <w:r w:rsidRPr="003B7B05">
        <w:t xml:space="preserve">meters initiated by a customer be recovered </w:t>
      </w:r>
      <w:r>
        <w:t xml:space="preserve">through an </w:t>
      </w:r>
      <w:r w:rsidRPr="003B7B05">
        <w:t xml:space="preserve">upfront </w:t>
      </w:r>
      <w:r>
        <w:t>charge</w:t>
      </w:r>
      <w:r w:rsidRPr="003B7B05">
        <w:t>.</w:t>
      </w:r>
      <w:r>
        <w:t xml:space="preserve"> We also accept each of the proposed upfront capital charges.</w:t>
      </w:r>
    </w:p>
    <w:p w:rsidR="009055FC" w:rsidRDefault="009055FC" w:rsidP="009055FC">
      <w:r>
        <w:t>The</w:t>
      </w:r>
      <w:r w:rsidRPr="003B7B05">
        <w:t xml:space="preserve"> unit costs</w:t>
      </w:r>
      <w:r>
        <w:t xml:space="preserve"> ActewAGL proposed for upfront capital charges</w:t>
      </w:r>
      <w:r w:rsidRPr="003B7B05">
        <w:t xml:space="preserve"> are the same as those set out in our assessment of </w:t>
      </w:r>
      <w:r>
        <w:t>ActewAGL</w:t>
      </w:r>
      <w:r w:rsidRPr="003B7B05">
        <w:t xml:space="preserve"> </w:t>
      </w:r>
      <w:r w:rsidRPr="00F2095A">
        <w:t>capex building block for the annual metering service charge</w:t>
      </w:r>
      <w:r>
        <w:t>. Since we assessed those unit costs to be efficient, we approve them in relation to the upfront capital charge as well.</w:t>
      </w:r>
    </w:p>
    <w:p w:rsidR="009055FC" w:rsidRDefault="009055FC" w:rsidP="009055FC">
      <w:r>
        <w:lastRenderedPageBreak/>
        <w:t xml:space="preserve">We have determined that the upfront capital charge should be annually adjusted for labour price changes. In coming to this conclusion, we note that our final decision has determined that ancillary service fees will be subject to such annual adjustments. The upfront capital charge recovers similar costs to ancillary services fees. It follows that labour price changes should be accounted for in our price control for the upfront capital charge. We have done this in our control mechanism decision in section </w:t>
      </w:r>
      <w:r w:rsidR="004704F5">
        <w:fldChar w:fldCharType="begin"/>
      </w:r>
      <w:r w:rsidR="004704F5">
        <w:instrText xml:space="preserve"> REF _Ref418078501 \r \h </w:instrText>
      </w:r>
      <w:r w:rsidR="004704F5">
        <w:fldChar w:fldCharType="separate"/>
      </w:r>
      <w:r w:rsidR="004704F5">
        <w:t>16.2.1</w:t>
      </w:r>
      <w:r w:rsidR="004704F5">
        <w:fldChar w:fldCharType="end"/>
      </w:r>
      <w:r>
        <w:t xml:space="preserve"> above. </w:t>
      </w:r>
    </w:p>
    <w:p w:rsidR="009055FC" w:rsidRPr="00F2095A" w:rsidRDefault="009055FC" w:rsidP="009055FC">
      <w:r>
        <w:t>Not all of the costs associated with the upfront capital charge relate to labour. To take this into account, when making our price control decision we have used a weighted X-factor. Specifically, we observed that about 60 percent of the costs relating to the upfront capital charge are attributable to labour. In setting the X-factor, we therefore applied a weighting of 60 percent to the labour price changes, which we have forecast in this final decision.</w:t>
      </w:r>
      <w:r>
        <w:rPr>
          <w:rStyle w:val="FootnoteReference"/>
        </w:rPr>
        <w:footnoteReference w:id="111"/>
      </w:r>
      <w:r>
        <w:t xml:space="preserve"> </w:t>
      </w:r>
    </w:p>
    <w:p w:rsidR="009055FC" w:rsidRDefault="009055FC" w:rsidP="004704F5">
      <w:pPr>
        <w:pStyle w:val="HeadingBoldBlue"/>
      </w:pPr>
      <w:r>
        <w:t xml:space="preserve">Meter </w:t>
      </w:r>
      <w:r w:rsidR="00572635">
        <w:t xml:space="preserve">exit </w:t>
      </w:r>
      <w:r>
        <w:t>fee</w:t>
      </w:r>
    </w:p>
    <w:p w:rsidR="00572635" w:rsidRPr="00CC10E6" w:rsidRDefault="00572635" w:rsidP="0084368C">
      <w:pPr>
        <w:keepNext/>
      </w:pPr>
      <w:r w:rsidRPr="00CC10E6">
        <w:t xml:space="preserve">Our </w:t>
      </w:r>
      <w:r>
        <w:t xml:space="preserve">final </w:t>
      </w:r>
      <w:r w:rsidRPr="00CC10E6">
        <w:t xml:space="preserve">decision to continue charging switched customer for the capital component of the annual metering charge. Therefore, there is no risk of stranded assets that need to be recovered through an exit fee. </w:t>
      </w:r>
    </w:p>
    <w:p w:rsidR="00572635" w:rsidRDefault="00572635" w:rsidP="00572635">
      <w:r w:rsidRPr="00F5521C">
        <w:t xml:space="preserve">We do not approve </w:t>
      </w:r>
      <w:r>
        <w:t>ActewAGL's</w:t>
      </w:r>
      <w:r w:rsidRPr="00F5521C">
        <w:t xml:space="preserve"> proposal to recover administration costs relating to customers transferring to alternative metering providers</w:t>
      </w:r>
      <w:r>
        <w:t xml:space="preserve"> through an exit fee</w:t>
      </w:r>
      <w:r w:rsidRPr="00F5521C">
        <w:t>. We find that there are no additional tasks or functions these distributors will have to assume when customers change meter provider. Thus there are no incremental costs.</w:t>
      </w:r>
    </w:p>
    <w:p w:rsidR="00572635" w:rsidRPr="002F77E3" w:rsidRDefault="00572635" w:rsidP="00572635">
      <w:r w:rsidRPr="002F77E3">
        <w:t>In assessing all distributors’ proposed meter transfer fees</w:t>
      </w:r>
      <w:r>
        <w:t>,</w:t>
      </w:r>
      <w:r w:rsidRPr="002F77E3">
        <w:t xml:space="preserve"> our main focus is on the types of activities that are undertaken by retailers, distributors and metering providers in the </w:t>
      </w:r>
      <w:r>
        <w:t>N</w:t>
      </w:r>
      <w:r w:rsidRPr="002F77E3">
        <w:t xml:space="preserve">ational </w:t>
      </w:r>
      <w:r>
        <w:t>E</w:t>
      </w:r>
      <w:r w:rsidRPr="002F77E3">
        <w:t xml:space="preserve">lectricity </w:t>
      </w:r>
      <w:r>
        <w:t>M</w:t>
      </w:r>
      <w:r w:rsidRPr="002F77E3">
        <w:t xml:space="preserve">arket when a customer churns from a distributor </w:t>
      </w:r>
      <w:r>
        <w:t xml:space="preserve">owned </w:t>
      </w:r>
      <w:r w:rsidRPr="002F77E3">
        <w:t xml:space="preserve">meter. We also looked at the methodologies distributors adopted to establish the fee. </w:t>
      </w:r>
      <w:r>
        <w:t>Furthermore, b</w:t>
      </w:r>
      <w:r w:rsidRPr="002F77E3">
        <w:t xml:space="preserve">ecause there is an alternative provider to that of the distributor, those providers’ approach to dealing with customer meter churn and any associated costs </w:t>
      </w:r>
      <w:r>
        <w:t xml:space="preserve">should provide a </w:t>
      </w:r>
      <w:r w:rsidRPr="002F77E3">
        <w:t>direct comparator for that of the monopoly business.</w:t>
      </w:r>
      <w:r w:rsidRPr="004F28DE">
        <w:rPr>
          <w:rStyle w:val="AERsuperscript"/>
        </w:rPr>
        <w:footnoteReference w:id="112"/>
      </w:r>
    </w:p>
    <w:p w:rsidR="00572635" w:rsidRPr="002F77E3" w:rsidRDefault="00572635" w:rsidP="00572635">
      <w:r>
        <w:t>Retailers submitted</w:t>
      </w:r>
      <w:r w:rsidRPr="002F77E3">
        <w:t xml:space="preserve"> that </w:t>
      </w:r>
      <w:r>
        <w:t xml:space="preserve">any activities undertaken by the distributors was no different from existing data entry/system management functions undertaken as part of normal business practice and that any incremental </w:t>
      </w:r>
      <w:r w:rsidRPr="002F77E3">
        <w:t xml:space="preserve">costs associated with ‘administration’ </w:t>
      </w:r>
      <w:r>
        <w:t>w</w:t>
      </w:r>
      <w:r w:rsidRPr="002F77E3">
        <w:t>ould be absorbed by the entity acquiring the metering customer.</w:t>
      </w:r>
      <w:r>
        <w:rPr>
          <w:rStyle w:val="FootnoteReference"/>
        </w:rPr>
        <w:footnoteReference w:id="113"/>
      </w:r>
      <w:r w:rsidRPr="002F77E3">
        <w:t xml:space="preserve"> </w:t>
      </w:r>
    </w:p>
    <w:p w:rsidR="00572635" w:rsidRPr="002F77E3" w:rsidRDefault="00572635" w:rsidP="00572635">
      <w:r>
        <w:lastRenderedPageBreak/>
        <w:t>Oakley Greenwood, in its report to</w:t>
      </w:r>
      <w:r w:rsidRPr="002F77E3">
        <w:t xml:space="preserve"> Origin Energy corroborated </w:t>
      </w:r>
      <w:r>
        <w:t xml:space="preserve">stakeholders views </w:t>
      </w:r>
      <w:r w:rsidRPr="002F77E3">
        <w:t xml:space="preserve">by contending that changing information in the distributors systems, </w:t>
      </w:r>
      <w:r>
        <w:t xml:space="preserve">is likely </w:t>
      </w:r>
      <w:r w:rsidRPr="002F77E3">
        <w:t>limited to a change in information about the entity that is responsible for the meter; the identity of the metering coordinator; and sufficient information about meter type to enable its verification for tariff assignment, was probably all that was required.</w:t>
      </w:r>
      <w:r w:rsidRPr="004F28DE">
        <w:rPr>
          <w:rStyle w:val="AERsuperscript"/>
        </w:rPr>
        <w:footnoteReference w:id="114"/>
      </w:r>
      <w:r w:rsidRPr="004F28DE">
        <w:rPr>
          <w:rStyle w:val="AERsuperscript"/>
        </w:rPr>
        <w:t xml:space="preserve"> </w:t>
      </w:r>
    </w:p>
    <w:p w:rsidR="00572635" w:rsidRPr="002F77E3" w:rsidRDefault="00572635" w:rsidP="00572635">
      <w:r w:rsidRPr="002F77E3">
        <w:t>We tested this with retailers, many of whom are already providing metering services to large customers, which is a contestable market. Simply Energy did not agree with the imposition of administration fees; nor did Origin Energy. The latter was concerned that all three NSW distributors used vastly different inputs and therefore required testing against efficient benchmarks</w:t>
      </w:r>
      <w:r>
        <w:t xml:space="preserve"> before a reasonable costs could be determined</w:t>
      </w:r>
      <w:r w:rsidRPr="002F77E3">
        <w:t>.</w:t>
      </w:r>
      <w:r w:rsidRPr="004F28DE">
        <w:rPr>
          <w:rStyle w:val="AERsuperscript"/>
        </w:rPr>
        <w:footnoteReference w:id="115"/>
      </w:r>
      <w:r w:rsidRPr="004F28DE">
        <w:rPr>
          <w:rStyle w:val="AERsuperscript"/>
        </w:rPr>
        <w:t xml:space="preserve"> </w:t>
      </w:r>
      <w:r w:rsidRPr="002F77E3">
        <w:t>The retailer considered that a consistent approach to the calculation of administrative costs was most appropriate.</w:t>
      </w:r>
      <w:r w:rsidRPr="004F28DE">
        <w:rPr>
          <w:rStyle w:val="AERsuperscript"/>
        </w:rPr>
        <w:footnoteReference w:id="116"/>
      </w:r>
    </w:p>
    <w:p w:rsidR="00572635" w:rsidRDefault="00572635" w:rsidP="00572635">
      <w:r w:rsidRPr="002F77E3">
        <w:t xml:space="preserve">Simply Energy observed </w:t>
      </w:r>
      <w:r w:rsidR="00A06BBF">
        <w:t>its</w:t>
      </w:r>
      <w:r w:rsidR="00A06BBF" w:rsidRPr="002F77E3">
        <w:t xml:space="preserve"> </w:t>
      </w:r>
      <w:r w:rsidRPr="002F77E3">
        <w:t>current role in churning meters (type 4) in the competitively provided commercial market involved administrative transaction costs that were immaterial</w:t>
      </w:r>
      <w:r>
        <w:t xml:space="preserve"> to it</w:t>
      </w:r>
      <w:r w:rsidRPr="002F77E3">
        <w:t xml:space="preserve">. </w:t>
      </w:r>
      <w:r w:rsidR="00A06BBF">
        <w:t>It</w:t>
      </w:r>
      <w:r w:rsidR="00A06BBF" w:rsidRPr="002F77E3">
        <w:t xml:space="preserve"> </w:t>
      </w:r>
      <w:r w:rsidRPr="002F77E3">
        <w:t>also advised that distributors were not currently charging them a meter transfer fee where the customer switched from the distributor to the retailer as metering provider.</w:t>
      </w:r>
      <w:r w:rsidRPr="004F28DE">
        <w:rPr>
          <w:rStyle w:val="AERsuperscript"/>
        </w:rPr>
        <w:footnoteReference w:id="117"/>
      </w:r>
      <w:r w:rsidRPr="002F77E3">
        <w:t xml:space="preserve"> </w:t>
      </w:r>
    </w:p>
    <w:p w:rsidR="00572635" w:rsidRDefault="00572635" w:rsidP="00572635">
      <w:r>
        <w:t>Commenting on the New South Wales distributors</w:t>
      </w:r>
      <w:r w:rsidR="007C3BA8">
        <w:t>’</w:t>
      </w:r>
      <w:r>
        <w:t xml:space="preserve"> proposals, Simply Energy stated that there appeared no assumption of batch processing. Instead, the proposed charges assumed each meter was being processed individually. Simply Energy noted that if put in the position of the distributors, it would review processes in detail to determine the optimum batch size, which would be at least 20 meters (i.e. customers) per batch.</w:t>
      </w:r>
      <w:r>
        <w:rPr>
          <w:rStyle w:val="FootnoteReference"/>
        </w:rPr>
        <w:footnoteReference w:id="118"/>
      </w:r>
      <w:r>
        <w:t xml:space="preserve"> In such circumstances, multiplying Endeavour Energy's proposed five minutes per meter by 20 minutes equates to 100 minutes per batch for each manual process. Simply Energy proposed that 10 minutes was a more credible time.</w:t>
      </w:r>
      <w:r>
        <w:rPr>
          <w:rStyle w:val="FootnoteReference"/>
        </w:rPr>
        <w:footnoteReference w:id="119"/>
      </w:r>
      <w:r>
        <w:t xml:space="preserve"> This was also appropriate for other distributors.</w:t>
      </w:r>
    </w:p>
    <w:p w:rsidR="00572635" w:rsidRDefault="00572635" w:rsidP="00572635">
      <w:r>
        <w:t>Furthermore, Simply Energy advised that the reasonable activities it would have to incur to process a batch of 20 meters and the time taken for each</w:t>
      </w:r>
      <w:r w:rsidRPr="004B0D08">
        <w:t xml:space="preserve"> </w:t>
      </w:r>
      <w:r>
        <w:t>were:</w:t>
      </w:r>
    </w:p>
    <w:p w:rsidR="00572635" w:rsidRDefault="00572635" w:rsidP="00572635">
      <w:pPr>
        <w:pStyle w:val="AERbulletlistfirststyle"/>
      </w:pPr>
      <w:r>
        <w:t>Meter provider database update—10 minutes</w:t>
      </w:r>
    </w:p>
    <w:p w:rsidR="00572635" w:rsidRDefault="00572635" w:rsidP="00572635">
      <w:pPr>
        <w:pStyle w:val="AERbulletlistfirststyle"/>
      </w:pPr>
      <w:r>
        <w:t>Banner system meter update—25 minutes</w:t>
      </w:r>
    </w:p>
    <w:p w:rsidR="00572635" w:rsidRDefault="00572635" w:rsidP="00572635">
      <w:pPr>
        <w:pStyle w:val="AERbulletlistfirststyle"/>
      </w:pPr>
      <w:r>
        <w:t>Metering business system update—25 minutes</w:t>
      </w:r>
    </w:p>
    <w:p w:rsidR="00572635" w:rsidRDefault="00572635" w:rsidP="00572635">
      <w:pPr>
        <w:pStyle w:val="AERbulletlistfirststyle"/>
      </w:pPr>
      <w:r>
        <w:lastRenderedPageBreak/>
        <w:t>Banner system final read update—10 minutes.</w:t>
      </w:r>
      <w:r>
        <w:rPr>
          <w:rStyle w:val="FootnoteReference"/>
        </w:rPr>
        <w:footnoteReference w:id="120"/>
      </w:r>
    </w:p>
    <w:p w:rsidR="00572635" w:rsidRPr="002F77E3" w:rsidRDefault="00572635" w:rsidP="00572635">
      <w:r>
        <w:t>This amounts to 70 minutes for a batch of 20 meters; or a total time per meter of</w:t>
      </w:r>
      <w:r>
        <w:br/>
        <w:t>3.5 minutes. This is substantially less than the times proposed by any of the distributors.</w:t>
      </w:r>
      <w:r w:rsidDel="001C2C92">
        <w:t xml:space="preserve"> </w:t>
      </w:r>
      <w:r w:rsidRPr="002F77E3">
        <w:t xml:space="preserve">Given this, Simply Energy </w:t>
      </w:r>
      <w:r>
        <w:t>submitted that</w:t>
      </w:r>
      <w:r w:rsidRPr="002F77E3">
        <w:t xml:space="preserve"> the imposition of a</w:t>
      </w:r>
      <w:r>
        <w:t xml:space="preserve"> meter</w:t>
      </w:r>
      <w:r w:rsidRPr="002F77E3">
        <w:t xml:space="preserve"> transfer fee in the residential metering market</w:t>
      </w:r>
      <w:r>
        <w:t xml:space="preserve"> of the magnitude distributors had proposed was not justified. Rather, </w:t>
      </w:r>
      <w:r w:rsidRPr="002F77E3">
        <w:t xml:space="preserve">Simply Energy </w:t>
      </w:r>
      <w:r>
        <w:t>argued that the administrative costs are negligible.</w:t>
      </w:r>
    </w:p>
    <w:p w:rsidR="00572635" w:rsidRDefault="00572635" w:rsidP="00572635">
      <w:r>
        <w:t>R</w:t>
      </w:r>
      <w:r w:rsidRPr="002F77E3">
        <w:t>etailers</w:t>
      </w:r>
      <w:r w:rsidR="007C3BA8">
        <w:t>,</w:t>
      </w:r>
      <w:r w:rsidRPr="002F77E3">
        <w:t xml:space="preserve"> as the acquirers of a new meter customer</w:t>
      </w:r>
      <w:r w:rsidR="007C3BA8">
        <w:t>,</w:t>
      </w:r>
      <w:r w:rsidRPr="002F77E3">
        <w:t xml:space="preserve"> bear the costs of acquisition and must provide all relevant information to the entity</w:t>
      </w:r>
      <w:r>
        <w:t xml:space="preserve"> that has lost the customer</w:t>
      </w:r>
      <w:r w:rsidRPr="002F77E3">
        <w:t>, in this case the distributor. This includes attending the site, removing the meter and sending it to the distributor’s depot or alternative location. The retailer has an incentive to keep those costs down and to work with the business that has lost the customer—be they distributors or other retail rivals once a competitive market is established—to ensure smooth market operation. This has been the case since inception of the national electricity market</w:t>
      </w:r>
      <w:r>
        <w:t xml:space="preserve"> for large customers. We do not find that the costs proposed by the distributors are reflective of this cost minimisation incentive</w:t>
      </w:r>
      <w:r w:rsidRPr="002F77E3">
        <w:t>.</w:t>
      </w:r>
    </w:p>
    <w:p w:rsidR="00572635" w:rsidRPr="002F77E3" w:rsidRDefault="00572635" w:rsidP="00572635">
      <w:r w:rsidRPr="002F77E3">
        <w:t xml:space="preserve">This is confirmed by the Australian Energy </w:t>
      </w:r>
      <w:r w:rsidRPr="004F28DE">
        <w:rPr>
          <w:rStyle w:val="AERbody"/>
        </w:rPr>
        <w:t>Market Operator who has a new set of meter churn procedures due to commence September 2015.</w:t>
      </w:r>
      <w:r w:rsidRPr="004F28DE">
        <w:rPr>
          <w:rStyle w:val="AERsuperscript"/>
        </w:rPr>
        <w:footnoteReference w:id="121"/>
      </w:r>
      <w:r w:rsidRPr="004F28DE">
        <w:rPr>
          <w:rStyle w:val="AERbody"/>
        </w:rPr>
        <w:t xml:space="preserve"> This new procedure simplifies the meter churn procedure and places the onus on the Financial Responsible Market Participant (as the incoming Responsible Person) and </w:t>
      </w:r>
      <w:r w:rsidR="00A06BBF">
        <w:rPr>
          <w:rStyle w:val="AERbody"/>
        </w:rPr>
        <w:t>its</w:t>
      </w:r>
      <w:r w:rsidR="00A06BBF" w:rsidRPr="004F28DE">
        <w:rPr>
          <w:rStyle w:val="AERbody"/>
        </w:rPr>
        <w:t xml:space="preserve"> </w:t>
      </w:r>
      <w:r w:rsidRPr="004F28DE">
        <w:rPr>
          <w:rStyle w:val="AERbody"/>
        </w:rPr>
        <w:t>Metering Provider to update Market Settlement and Transfer Solutions and administer the transfer. The distributor’s role is minimised, especially for the displacement of Type 6 legacy meters. Type 5 meters will require a final read. It could be expected that competing meter providers will be sufficiently encouraged to work with distributors to provide them with the necessary final read data</w:t>
      </w:r>
      <w:r>
        <w:rPr>
          <w:rStyle w:val="AERbody"/>
        </w:rPr>
        <w:t>. This is because to do otherwise will reduce their profit margins and potentially put them at risk of failing to meet their obligations to provide relevant data to ensure market settlement in a timely manner.</w:t>
      </w:r>
      <w:r>
        <w:rPr>
          <w:rStyle w:val="FootnoteReference"/>
        </w:rPr>
        <w:footnoteReference w:id="122"/>
      </w:r>
      <w:r w:rsidRPr="004F28DE">
        <w:rPr>
          <w:rStyle w:val="AERbody"/>
        </w:rPr>
        <w:t xml:space="preserve"> It is reasonable to assume that the new meter churn procedures will carry forward into the residential metering market, </w:t>
      </w:r>
      <w:r>
        <w:rPr>
          <w:rStyle w:val="AERbody"/>
        </w:rPr>
        <w:t xml:space="preserve">the competitive metering element of </w:t>
      </w:r>
      <w:r w:rsidRPr="004F28DE">
        <w:rPr>
          <w:rStyle w:val="AERbody"/>
        </w:rPr>
        <w:t>which is now in its infancy.</w:t>
      </w:r>
    </w:p>
    <w:p w:rsidR="00572635" w:rsidRDefault="00572635" w:rsidP="00572635">
      <w:r>
        <w:t>As a metering provider with experience in competitive metering markets, Vector commented on Endeavour Energy's cost assumptions in its revised revenue proposal. These are reproduced in</w:t>
      </w:r>
      <w:r w:rsidR="00F71308">
        <w:t xml:space="preserve"> </w:t>
      </w:r>
      <w:r w:rsidR="00F71308">
        <w:fldChar w:fldCharType="begin"/>
      </w:r>
      <w:r w:rsidR="00F71308">
        <w:instrText xml:space="preserve"> REF _Ref417981927 \h </w:instrText>
      </w:r>
      <w:r w:rsidR="00F71308">
        <w:fldChar w:fldCharType="separate"/>
      </w:r>
      <w:r w:rsidR="004704F5">
        <w:t xml:space="preserve">Table </w:t>
      </w:r>
      <w:r w:rsidR="004704F5">
        <w:rPr>
          <w:noProof/>
        </w:rPr>
        <w:t>16</w:t>
      </w:r>
      <w:r w:rsidR="004704F5">
        <w:t>.</w:t>
      </w:r>
      <w:r w:rsidR="004704F5">
        <w:rPr>
          <w:noProof/>
        </w:rPr>
        <w:t>16</w:t>
      </w:r>
      <w:r w:rsidR="00F71308">
        <w:fldChar w:fldCharType="end"/>
      </w:r>
      <w:r w:rsidR="00F71308">
        <w:t xml:space="preserve"> </w:t>
      </w:r>
      <w:r>
        <w:t>where both organisations responses can be compared.</w:t>
      </w:r>
    </w:p>
    <w:p w:rsidR="00572635" w:rsidRDefault="00572635" w:rsidP="00572635">
      <w:pPr>
        <w:pStyle w:val="Caption"/>
      </w:pPr>
      <w:bookmarkStart w:id="73" w:name="_Ref417981927"/>
      <w:r>
        <w:lastRenderedPageBreak/>
        <w:t xml:space="preserve">Table </w:t>
      </w:r>
      <w:fldSimple w:instr=" STYLEREF 1 \s ">
        <w:r w:rsidR="004704F5">
          <w:rPr>
            <w:noProof/>
          </w:rPr>
          <w:t>16</w:t>
        </w:r>
      </w:fldSimple>
      <w:r>
        <w:t>.</w:t>
      </w:r>
      <w:r w:rsidR="000D189C">
        <w:fldChar w:fldCharType="begin"/>
      </w:r>
      <w:r w:rsidR="000D189C">
        <w:instrText xml:space="preserve"> SEQ Table \* ARABIC \s 1 </w:instrText>
      </w:r>
      <w:r w:rsidR="000D189C">
        <w:fldChar w:fldCharType="separate"/>
      </w:r>
      <w:r w:rsidR="004704F5">
        <w:rPr>
          <w:noProof/>
        </w:rPr>
        <w:t>16</w:t>
      </w:r>
      <w:r w:rsidR="000D189C">
        <w:rPr>
          <w:noProof/>
        </w:rPr>
        <w:fldChar w:fldCharType="end"/>
      </w:r>
      <w:bookmarkEnd w:id="73"/>
      <w:r>
        <w:t xml:space="preserve"> Endeavour </w:t>
      </w:r>
      <w:r w:rsidR="00F71308">
        <w:t>E</w:t>
      </w:r>
      <w:r>
        <w:t>nergy meter transfer fee build up and Vector response</w:t>
      </w:r>
    </w:p>
    <w:tbl>
      <w:tblPr>
        <w:tblStyle w:val="AERtable-text0"/>
        <w:tblW w:w="8638" w:type="dxa"/>
        <w:tblLook w:val="04A0" w:firstRow="1" w:lastRow="0" w:firstColumn="1" w:lastColumn="0" w:noHBand="0" w:noVBand="1"/>
      </w:tblPr>
      <w:tblGrid>
        <w:gridCol w:w="4108"/>
        <w:gridCol w:w="1043"/>
        <w:gridCol w:w="3487"/>
      </w:tblGrid>
      <w:tr w:rsidR="00572635" w:rsidTr="0084368C">
        <w:trPr>
          <w:cnfStyle w:val="100000000000" w:firstRow="1" w:lastRow="0" w:firstColumn="0" w:lastColumn="0" w:oddVBand="0" w:evenVBand="0" w:oddHBand="0" w:evenHBand="0" w:firstRowFirstColumn="0" w:firstRowLastColumn="0" w:lastRowFirstColumn="0" w:lastRowLastColumn="0"/>
          <w:trHeight w:val="230"/>
          <w:tblHeader/>
        </w:trPr>
        <w:tc>
          <w:tcPr>
            <w:tcW w:w="4319" w:type="dxa"/>
            <w:hideMark/>
          </w:tcPr>
          <w:p w:rsidR="00572635" w:rsidRPr="00572635" w:rsidRDefault="00572635" w:rsidP="00572635">
            <w:r>
              <w:t xml:space="preserve">Endeavour Energy </w:t>
            </w:r>
            <w:r w:rsidRPr="00572635">
              <w:t>Task</w:t>
            </w:r>
          </w:p>
        </w:tc>
        <w:tc>
          <w:tcPr>
            <w:tcW w:w="654" w:type="dxa"/>
            <w:hideMark/>
          </w:tcPr>
          <w:p w:rsidR="00572635" w:rsidRPr="00572635" w:rsidRDefault="00572635" w:rsidP="00572635">
            <w:r>
              <w:t xml:space="preserve">Endeavour Energy </w:t>
            </w:r>
            <w:r w:rsidRPr="00572635">
              <w:t>Time</w:t>
            </w:r>
          </w:p>
        </w:tc>
        <w:tc>
          <w:tcPr>
            <w:tcW w:w="3665" w:type="dxa"/>
            <w:hideMark/>
          </w:tcPr>
          <w:p w:rsidR="00572635" w:rsidRPr="00572635" w:rsidRDefault="00572635" w:rsidP="00572635">
            <w:r w:rsidRPr="009D6EDB">
              <w:t>Vector Comment</w:t>
            </w:r>
          </w:p>
        </w:tc>
      </w:tr>
      <w:tr w:rsidR="00572635" w:rsidTr="0084368C">
        <w:trPr>
          <w:trHeight w:val="758"/>
        </w:trPr>
        <w:tc>
          <w:tcPr>
            <w:tcW w:w="4319" w:type="dxa"/>
            <w:hideMark/>
          </w:tcPr>
          <w:p w:rsidR="00572635" w:rsidRPr="00572635" w:rsidRDefault="00572635" w:rsidP="00572635">
            <w:r w:rsidRPr="009D6EDB">
              <w:t>Administration Officer updates the meter removal in the Meter</w:t>
            </w:r>
            <w:r w:rsidRPr="00572635">
              <w:t xml:space="preserve"> Provider Database.</w:t>
            </w:r>
          </w:p>
        </w:tc>
        <w:tc>
          <w:tcPr>
            <w:tcW w:w="654" w:type="dxa"/>
            <w:hideMark/>
          </w:tcPr>
          <w:p w:rsidR="00572635" w:rsidRPr="00572635" w:rsidRDefault="00572635" w:rsidP="00572635">
            <w:r w:rsidRPr="009D6EDB">
              <w:t>5 min</w:t>
            </w:r>
          </w:p>
        </w:tc>
        <w:tc>
          <w:tcPr>
            <w:tcW w:w="3665" w:type="dxa"/>
            <w:hideMark/>
          </w:tcPr>
          <w:p w:rsidR="00572635" w:rsidRPr="00572635" w:rsidRDefault="00572635" w:rsidP="00572635">
            <w:r w:rsidRPr="009D6EDB">
              <w:t xml:space="preserve">Valid </w:t>
            </w:r>
            <w:r w:rsidRPr="00572635">
              <w:t>distributor activity that is currently carried out regularly now. Could not be delivered by Metering Service Provider but could be automated via distributor integration to market systems</w:t>
            </w:r>
          </w:p>
        </w:tc>
      </w:tr>
      <w:tr w:rsidR="00572635" w:rsidTr="0084368C">
        <w:trPr>
          <w:cnfStyle w:val="000000010000" w:firstRow="0" w:lastRow="0" w:firstColumn="0" w:lastColumn="0" w:oddVBand="0" w:evenVBand="0" w:oddHBand="0" w:evenHBand="1" w:firstRowFirstColumn="0" w:firstRowLastColumn="0" w:lastRowFirstColumn="0" w:lastRowLastColumn="0"/>
          <w:trHeight w:val="919"/>
        </w:trPr>
        <w:tc>
          <w:tcPr>
            <w:tcW w:w="4319" w:type="dxa"/>
            <w:hideMark/>
          </w:tcPr>
          <w:p w:rsidR="00572635" w:rsidRPr="00572635" w:rsidRDefault="00572635" w:rsidP="00572635">
            <w:r w:rsidRPr="009D6EDB">
              <w:t>Network Billing Data Analyst updates the meter removal and the</w:t>
            </w:r>
            <w:r w:rsidRPr="00572635">
              <w:t xml:space="preserve"> new metering details (for the non-Endeavour Energy asset) in the Banner billing system.</w:t>
            </w:r>
          </w:p>
        </w:tc>
        <w:tc>
          <w:tcPr>
            <w:tcW w:w="654" w:type="dxa"/>
            <w:hideMark/>
          </w:tcPr>
          <w:p w:rsidR="00572635" w:rsidRPr="00572635" w:rsidRDefault="00572635" w:rsidP="00572635">
            <w:r w:rsidRPr="009D6EDB">
              <w:t>5 min</w:t>
            </w:r>
          </w:p>
        </w:tc>
        <w:tc>
          <w:tcPr>
            <w:tcW w:w="3665" w:type="dxa"/>
            <w:hideMark/>
          </w:tcPr>
          <w:p w:rsidR="00572635" w:rsidRPr="00572635" w:rsidRDefault="00572635" w:rsidP="00572635">
            <w:r w:rsidRPr="009D6EDB">
              <w:t xml:space="preserve">Valid </w:t>
            </w:r>
            <w:r w:rsidRPr="00572635">
              <w:t>distributor activity that is currently carried out regularly. Could not be delivered by Metering Service Provider but could be automated by distributor via integration to market systems</w:t>
            </w:r>
          </w:p>
        </w:tc>
      </w:tr>
      <w:tr w:rsidR="00572635" w:rsidTr="0084368C">
        <w:trPr>
          <w:trHeight w:val="919"/>
        </w:trPr>
        <w:tc>
          <w:tcPr>
            <w:tcW w:w="4319" w:type="dxa"/>
            <w:hideMark/>
          </w:tcPr>
          <w:p w:rsidR="00572635" w:rsidRPr="00572635" w:rsidRDefault="00572635" w:rsidP="00572635">
            <w:r w:rsidRPr="009D6EDB">
              <w:t>Network Billing Data Analyst updates the new metering details in</w:t>
            </w:r>
            <w:r w:rsidRPr="00572635">
              <w:t xml:space="preserve"> the Metering Business System (MBS), which will allow network billing activities to occur.</w:t>
            </w:r>
          </w:p>
        </w:tc>
        <w:tc>
          <w:tcPr>
            <w:tcW w:w="654" w:type="dxa"/>
            <w:hideMark/>
          </w:tcPr>
          <w:p w:rsidR="00572635" w:rsidRPr="00572635" w:rsidRDefault="00572635" w:rsidP="00572635">
            <w:r w:rsidRPr="009D6EDB">
              <w:t>5 min</w:t>
            </w:r>
          </w:p>
        </w:tc>
        <w:tc>
          <w:tcPr>
            <w:tcW w:w="3665" w:type="dxa"/>
            <w:hideMark/>
          </w:tcPr>
          <w:p w:rsidR="00572635" w:rsidRPr="00572635" w:rsidRDefault="00572635" w:rsidP="00572635">
            <w:r w:rsidRPr="009D6EDB">
              <w:t xml:space="preserve">Valid </w:t>
            </w:r>
            <w:r w:rsidRPr="00572635">
              <w:t>distributor activity that is currently carried out regularly. Could not be delivered by Metering Service Provider but could be automated by distributor via integration to market systems</w:t>
            </w:r>
          </w:p>
        </w:tc>
      </w:tr>
      <w:tr w:rsidR="00572635" w:rsidTr="0084368C">
        <w:trPr>
          <w:cnfStyle w:val="000000010000" w:firstRow="0" w:lastRow="0" w:firstColumn="0" w:lastColumn="0" w:oddVBand="0" w:evenVBand="0" w:oddHBand="0" w:evenHBand="1" w:firstRowFirstColumn="0" w:firstRowLastColumn="0" w:lastRowFirstColumn="0" w:lastRowLastColumn="0"/>
          <w:trHeight w:val="597"/>
        </w:trPr>
        <w:tc>
          <w:tcPr>
            <w:tcW w:w="4319" w:type="dxa"/>
            <w:hideMark/>
          </w:tcPr>
          <w:p w:rsidR="00572635" w:rsidRPr="00572635" w:rsidRDefault="00572635" w:rsidP="00572635">
            <w:r w:rsidRPr="009D6EDB">
              <w:t>Metering Officer obtains the final read for the meter and inputs</w:t>
            </w:r>
            <w:r w:rsidRPr="00572635">
              <w:t xml:space="preserve"> the details of the final read into Banner billing system.</w:t>
            </w:r>
          </w:p>
        </w:tc>
        <w:tc>
          <w:tcPr>
            <w:tcW w:w="654" w:type="dxa"/>
            <w:hideMark/>
          </w:tcPr>
          <w:p w:rsidR="00572635" w:rsidRPr="00572635" w:rsidRDefault="00572635" w:rsidP="00572635">
            <w:r w:rsidRPr="009D6EDB">
              <w:t>5 min</w:t>
            </w:r>
          </w:p>
        </w:tc>
        <w:tc>
          <w:tcPr>
            <w:tcW w:w="3665" w:type="dxa"/>
            <w:hideMark/>
          </w:tcPr>
          <w:p w:rsidR="00572635" w:rsidRPr="00572635" w:rsidRDefault="00572635" w:rsidP="00572635">
            <w:r>
              <w:t>Valid d</w:t>
            </w:r>
            <w:r w:rsidRPr="00572635">
              <w:t>istributor activity that is currently carried out regularly</w:t>
            </w:r>
          </w:p>
        </w:tc>
      </w:tr>
      <w:tr w:rsidR="00572635" w:rsidTr="0084368C">
        <w:trPr>
          <w:trHeight w:val="1482"/>
        </w:trPr>
        <w:tc>
          <w:tcPr>
            <w:tcW w:w="4319" w:type="dxa"/>
            <w:hideMark/>
          </w:tcPr>
          <w:p w:rsidR="00572635" w:rsidRPr="00572635" w:rsidRDefault="00572635" w:rsidP="00572635">
            <w:r w:rsidRPr="009D6EDB">
              <w:t>The ASP returns the Endeavour Energy removed asset back to</w:t>
            </w:r>
            <w:r w:rsidRPr="00572635">
              <w:t xml:space="preserve"> the designated Endeavour Energy depot. Endeavour Energy process dictates that the meter is double bagged and goose necked to ensure safe transportation of asbestos contaminated materials. The consumables required to meet these requirements are supplied by Endeavour Energy.</w:t>
            </w:r>
          </w:p>
        </w:tc>
        <w:tc>
          <w:tcPr>
            <w:tcW w:w="654" w:type="dxa"/>
            <w:hideMark/>
          </w:tcPr>
          <w:p w:rsidR="00572635" w:rsidRPr="00572635" w:rsidRDefault="00572635" w:rsidP="00572635">
            <w:r w:rsidRPr="009D6EDB">
              <w:t> </w:t>
            </w:r>
          </w:p>
        </w:tc>
        <w:tc>
          <w:tcPr>
            <w:tcW w:w="3665" w:type="dxa"/>
            <w:hideMark/>
          </w:tcPr>
          <w:p w:rsidR="00572635" w:rsidRPr="00572635" w:rsidRDefault="00572635" w:rsidP="00572635">
            <w:r w:rsidRPr="009D6EDB">
              <w:t>Metering Service Provide</w:t>
            </w:r>
            <w:r w:rsidRPr="00572635">
              <w:t>r could carry out on behalf of the distributor if permitted by latter. Metering Service Providers anticipate funding this activity themselves.</w:t>
            </w:r>
          </w:p>
        </w:tc>
      </w:tr>
      <w:tr w:rsidR="00572635" w:rsidTr="0084368C">
        <w:trPr>
          <w:cnfStyle w:val="000000010000" w:firstRow="0" w:lastRow="0" w:firstColumn="0" w:lastColumn="0" w:oddVBand="0" w:evenVBand="0" w:oddHBand="0" w:evenHBand="1" w:firstRowFirstColumn="0" w:firstRowLastColumn="0" w:lastRowFirstColumn="0" w:lastRowLastColumn="0"/>
          <w:trHeight w:val="689"/>
        </w:trPr>
        <w:tc>
          <w:tcPr>
            <w:tcW w:w="4319" w:type="dxa"/>
            <w:hideMark/>
          </w:tcPr>
          <w:p w:rsidR="00572635" w:rsidRPr="00572635" w:rsidRDefault="00572635" w:rsidP="00572635">
            <w:r w:rsidRPr="009D6EDB">
              <w:t>Cost of meter disposal</w:t>
            </w:r>
            <w:r w:rsidRPr="00572635">
              <w:t>.</w:t>
            </w:r>
          </w:p>
        </w:tc>
        <w:tc>
          <w:tcPr>
            <w:tcW w:w="654" w:type="dxa"/>
            <w:hideMark/>
          </w:tcPr>
          <w:p w:rsidR="00572635" w:rsidRPr="00572635" w:rsidRDefault="00572635" w:rsidP="00572635">
            <w:r w:rsidRPr="009D6EDB">
              <w:t> </w:t>
            </w:r>
          </w:p>
        </w:tc>
        <w:tc>
          <w:tcPr>
            <w:tcW w:w="3665" w:type="dxa"/>
            <w:hideMark/>
          </w:tcPr>
          <w:p w:rsidR="00572635" w:rsidRPr="00572635" w:rsidRDefault="00572635" w:rsidP="00572635">
            <w:r w:rsidRPr="009D6EDB">
              <w:t>Metering Service Provide</w:t>
            </w:r>
            <w:r w:rsidRPr="00572635">
              <w:t>r could carry out on behalf of the distributor if permitted by latter. Metering Service Providers anticipate funding this activity themselves.</w:t>
            </w:r>
          </w:p>
        </w:tc>
      </w:tr>
    </w:tbl>
    <w:p w:rsidR="00572635" w:rsidRDefault="00572635" w:rsidP="00572635">
      <w:pPr>
        <w:pStyle w:val="Source"/>
      </w:pPr>
      <w:r>
        <w:t>Source: Endeavour Energy; Vector Limited.</w:t>
      </w:r>
    </w:p>
    <w:p w:rsidR="00572635" w:rsidRDefault="00572635" w:rsidP="00572635">
      <w:r>
        <w:t xml:space="preserve">Vector advised that </w:t>
      </w:r>
      <w:r w:rsidR="00A06BBF">
        <w:t xml:space="preserve">its </w:t>
      </w:r>
      <w:r>
        <w:t>response to the activities listed in</w:t>
      </w:r>
      <w:r w:rsidR="00F71308">
        <w:t xml:space="preserve"> </w:t>
      </w:r>
      <w:r w:rsidR="00F71308">
        <w:fldChar w:fldCharType="begin"/>
      </w:r>
      <w:r w:rsidR="00F71308">
        <w:instrText xml:space="preserve"> REF _Ref417981927 \h </w:instrText>
      </w:r>
      <w:r w:rsidR="00F71308">
        <w:fldChar w:fldCharType="separate"/>
      </w:r>
      <w:r w:rsidR="004704F5">
        <w:t xml:space="preserve">Table </w:t>
      </w:r>
      <w:r w:rsidR="004704F5">
        <w:rPr>
          <w:noProof/>
        </w:rPr>
        <w:t>16</w:t>
      </w:r>
      <w:r w:rsidR="004704F5">
        <w:t>.</w:t>
      </w:r>
      <w:r w:rsidR="004704F5">
        <w:rPr>
          <w:noProof/>
        </w:rPr>
        <w:t>16</w:t>
      </w:r>
      <w:r w:rsidR="00F71308">
        <w:fldChar w:fldCharType="end"/>
      </w:r>
      <w:r w:rsidR="00F71308">
        <w:t xml:space="preserve"> </w:t>
      </w:r>
      <w:r>
        <w:t xml:space="preserve">was that the tasks were not unique to distributors. </w:t>
      </w:r>
      <w:r w:rsidRPr="005F5D8D">
        <w:t>Alternative meter service providers can now, and will in the future, undertake many of these tasks.</w:t>
      </w:r>
      <w:r>
        <w:t xml:space="preserve"> Furthermore, </w:t>
      </w:r>
      <w:r w:rsidR="00A06BBF">
        <w:t xml:space="preserve">it </w:t>
      </w:r>
      <w:r>
        <w:t xml:space="preserve">noted that Endeavour Energy could integrate these activities and tasks with electronic transactions that </w:t>
      </w:r>
      <w:r w:rsidR="00A06BBF">
        <w:t xml:space="preserve">it </w:t>
      </w:r>
      <w:r>
        <w:t>presently receive</w:t>
      </w:r>
      <w:r w:rsidR="00A06BBF">
        <w:t>s</w:t>
      </w:r>
      <w:r>
        <w:t xml:space="preserve"> from AEMO.</w:t>
      </w:r>
      <w:r>
        <w:rPr>
          <w:rStyle w:val="FootnoteReference"/>
        </w:rPr>
        <w:footnoteReference w:id="123"/>
      </w:r>
      <w:r>
        <w:t xml:space="preserve"> Vector says this is how it operates in the market today and did not see why distributors should not do the same. Given that distributors were performing these functions now as standard business practice, Vector could not anticipate what incremental costs would arise as a result of competitive metering.</w:t>
      </w:r>
      <w:r>
        <w:rPr>
          <w:rStyle w:val="FootnoteReference"/>
        </w:rPr>
        <w:footnoteReference w:id="124"/>
      </w:r>
    </w:p>
    <w:p w:rsidR="00572635" w:rsidRPr="002F77E3" w:rsidRDefault="00572635" w:rsidP="00572635">
      <w:r>
        <w:lastRenderedPageBreak/>
        <w:t>We do not agree with the distributors' position that that</w:t>
      </w:r>
      <w:r w:rsidRPr="000E238A">
        <w:t xml:space="preserve"> an increase in staff will be required within </w:t>
      </w:r>
      <w:r>
        <w:t xml:space="preserve">the </w:t>
      </w:r>
      <w:r w:rsidRPr="000E238A">
        <w:t>regulatory period</w:t>
      </w:r>
      <w:r>
        <w:t>s commencing 1 July 2015</w:t>
      </w:r>
      <w:r w:rsidRPr="002F77E3">
        <w:t xml:space="preserve">. </w:t>
      </w:r>
      <w:r>
        <w:t xml:space="preserve">We also </w:t>
      </w:r>
      <w:r w:rsidR="007C3BA8">
        <w:t xml:space="preserve">consider </w:t>
      </w:r>
      <w:r>
        <w:t>that i</w:t>
      </w:r>
      <w:r w:rsidRPr="002F77E3">
        <w:t xml:space="preserve">t </w:t>
      </w:r>
      <w:r>
        <w:t>will be the meter service provider</w:t>
      </w:r>
      <w:r w:rsidRPr="002F77E3">
        <w:t xml:space="preserve">, as the financially responsible market participant, who will bear the </w:t>
      </w:r>
      <w:r>
        <w:t xml:space="preserve">additional </w:t>
      </w:r>
      <w:r w:rsidRPr="002F77E3">
        <w:t>costs associated with meter churn, not the distributors.</w:t>
      </w:r>
    </w:p>
    <w:p w:rsidR="00572635" w:rsidRDefault="00572635" w:rsidP="00572635">
      <w:r>
        <w:t xml:space="preserve">We find that </w:t>
      </w:r>
      <w:r w:rsidRPr="002F77E3">
        <w:t>customers would not be paying an efficient level of costs for meter churn if the distributors</w:t>
      </w:r>
      <w:r w:rsidR="007C3BA8">
        <w:t>’</w:t>
      </w:r>
      <w:r w:rsidRPr="002F77E3">
        <w:t xml:space="preserve"> proposed transfer fees were approved. </w:t>
      </w:r>
      <w:r>
        <w:t xml:space="preserve">A meter transfer fee of the order proposed by </w:t>
      </w:r>
      <w:r w:rsidR="000802BC">
        <w:t>ActewAGL</w:t>
      </w:r>
      <w:r>
        <w:t xml:space="preserve"> ($</w:t>
      </w:r>
      <w:r w:rsidR="000802BC" w:rsidRPr="002F77E3">
        <w:t>30.79</w:t>
      </w:r>
      <w:r>
        <w:t>) could amount to a de-facto exit fee that would act as a barrier to competition and the uptake of new advanced meters. While t</w:t>
      </w:r>
      <w:r w:rsidRPr="002F77E3">
        <w:t xml:space="preserve">he </w:t>
      </w:r>
      <w:r w:rsidR="007C3BA8">
        <w:t>NEL</w:t>
      </w:r>
      <w:r w:rsidRPr="002F77E3">
        <w:t xml:space="preserve"> requires us to ensure distributors have the opportunity to recover at least their efficient costs</w:t>
      </w:r>
      <w:r>
        <w:t xml:space="preserve"> we are not persuaded by the evidence</w:t>
      </w:r>
      <w:r w:rsidRPr="002F77E3">
        <w:t xml:space="preserve"> that distributors have </w:t>
      </w:r>
      <w:r>
        <w:t xml:space="preserve">material incremental </w:t>
      </w:r>
      <w:r w:rsidRPr="002F77E3">
        <w:t xml:space="preserve">costs to recover </w:t>
      </w:r>
      <w:r>
        <w:t>in</w:t>
      </w:r>
      <w:r w:rsidRPr="002F77E3">
        <w:t xml:space="preserve"> amending records to take account of customer churn. </w:t>
      </w:r>
      <w:r>
        <w:t xml:space="preserve">Any incremental costs will be </w:t>
      </w:r>
      <w:r w:rsidRPr="002F77E3">
        <w:t>borne by the acquirer of the new meter customer</w:t>
      </w:r>
      <w:r>
        <w:t>—</w:t>
      </w:r>
      <w:r w:rsidRPr="002F77E3">
        <w:t xml:space="preserve">at the moment, retailers. Furthermore it is </w:t>
      </w:r>
      <w:r>
        <w:t xml:space="preserve">noteworthy that </w:t>
      </w:r>
      <w:r w:rsidRPr="002F77E3">
        <w:t xml:space="preserve">distributors are churning type 6 meters for interval meters </w:t>
      </w:r>
      <w:r>
        <w:t>for</w:t>
      </w:r>
      <w:r w:rsidRPr="002F77E3">
        <w:t xml:space="preserve"> customers install</w:t>
      </w:r>
      <w:r>
        <w:t>ing</w:t>
      </w:r>
      <w:r w:rsidRPr="002F77E3">
        <w:t xml:space="preserve"> Solar Photovoltaic systems in </w:t>
      </w:r>
      <w:r>
        <w:t>large numbers</w:t>
      </w:r>
      <w:r w:rsidRPr="002F77E3">
        <w:t xml:space="preserve"> without imposing </w:t>
      </w:r>
      <w:r>
        <w:t xml:space="preserve">any </w:t>
      </w:r>
      <w:r w:rsidRPr="002F77E3">
        <w:t>administrative fees</w:t>
      </w:r>
      <w:r>
        <w:t xml:space="preserve"> for the meter transfer. </w:t>
      </w:r>
    </w:p>
    <w:p w:rsidR="00572635" w:rsidRPr="002F77E3" w:rsidRDefault="00572635" w:rsidP="00572635">
      <w:r w:rsidRPr="002F77E3">
        <w:t xml:space="preserve">Further </w:t>
      </w:r>
      <w:r>
        <w:t>support to our findings</w:t>
      </w:r>
      <w:r w:rsidRPr="002F77E3">
        <w:t xml:space="preserve"> that </w:t>
      </w:r>
      <w:r>
        <w:t xml:space="preserve">the </w:t>
      </w:r>
      <w:r w:rsidRPr="002F77E3">
        <w:t xml:space="preserve">proposed transfer fees are disproportionate to the activities to be undertaken is </w:t>
      </w:r>
      <w:r>
        <w:t>in comparing the per customer meter opex fee which we have approved in this decision. Our final decision will see ActewAGL recover $8 annually for metering opex per customer for</w:t>
      </w:r>
      <w:r w:rsidRPr="002F77E3">
        <w:t xml:space="preserve"> meter data services, truck rolls, reading and processing, a share of information technology costs and including overheads. </w:t>
      </w:r>
      <w:r>
        <w:t>It does not follow that a proposed transfer fee greater than this is reasonable.</w:t>
      </w:r>
      <w:r>
        <w:rPr>
          <w:rStyle w:val="FootnoteReference"/>
        </w:rPr>
        <w:footnoteReference w:id="125"/>
      </w:r>
      <w:r>
        <w:t xml:space="preserve"> </w:t>
      </w:r>
    </w:p>
    <w:p w:rsidR="00572635" w:rsidRPr="002F77E3" w:rsidRDefault="00572635" w:rsidP="00572635">
      <w:r w:rsidRPr="002F77E3">
        <w:t xml:space="preserve">We </w:t>
      </w:r>
      <w:r>
        <w:t>do not approve a meter transfer fee for the regulatory control period commencing 1 July 2015</w:t>
      </w:r>
      <w:r w:rsidRPr="002F77E3">
        <w:t>.</w:t>
      </w:r>
      <w:r>
        <w:t xml:space="preserve"> </w:t>
      </w:r>
    </w:p>
    <w:p w:rsidR="009055FC" w:rsidRDefault="009055FC" w:rsidP="004704F5">
      <w:pPr>
        <w:pStyle w:val="HeadingBoldBlue"/>
      </w:pPr>
      <w:r>
        <w:t>Control mechanism</w:t>
      </w:r>
    </w:p>
    <w:p w:rsidR="009055FC" w:rsidRPr="009055FC" w:rsidRDefault="009055FC" w:rsidP="009055FC">
      <w:r>
        <w:t xml:space="preserve">Consistent with our draft decision, we have applied zero X-factors for the annual metering charges. We assessed whether real price escalation was required as part of our building block revenue assessment. It is therefore not necessary to consider whether real price escalators should apply through the X-factors. </w:t>
      </w:r>
    </w:p>
    <w:p w:rsidR="009055FC" w:rsidRPr="009055FC" w:rsidRDefault="009055FC" w:rsidP="009055FC">
      <w:r>
        <w:t xml:space="preserve">However, we have included different X-factors for the upfront capital charges. This is to allow for real labour escalation. </w:t>
      </w:r>
    </w:p>
    <w:p w:rsidR="009055FC" w:rsidRPr="009055FC" w:rsidRDefault="009055FC" w:rsidP="009055FC">
      <w:r>
        <w:t xml:space="preserve">In response to its revised proposal, we have confirmed how ActewAGL is to show compliance with the control mechanism through the annual process. </w:t>
      </w:r>
    </w:p>
    <w:p w:rsidR="00E233E9" w:rsidRDefault="00E233E9" w:rsidP="00AA2F17">
      <w:pPr>
        <w:pStyle w:val="AERbulletlistfirststyle"/>
        <w:numPr>
          <w:ilvl w:val="0"/>
          <w:numId w:val="0"/>
        </w:numPr>
      </w:pPr>
    </w:p>
    <w:p w:rsidR="00E233E9" w:rsidRDefault="00816116" w:rsidP="00816116">
      <w:pPr>
        <w:pStyle w:val="Heading7"/>
      </w:pPr>
      <w:bookmarkStart w:id="74" w:name="_Ref418008858"/>
      <w:bookmarkStart w:id="75" w:name="_Ref418008892"/>
      <w:bookmarkStart w:id="76" w:name="_Ref418009909"/>
      <w:bookmarkStart w:id="77" w:name="_Toc418078039"/>
      <w:r>
        <w:lastRenderedPageBreak/>
        <w:t>Appendix</w:t>
      </w:r>
      <w:bookmarkEnd w:id="74"/>
      <w:bookmarkEnd w:id="75"/>
      <w:bookmarkEnd w:id="76"/>
      <w:bookmarkEnd w:id="77"/>
    </w:p>
    <w:p w:rsidR="00816116" w:rsidRDefault="00816116" w:rsidP="00816116">
      <w:pPr>
        <w:pStyle w:val="Heading8"/>
      </w:pPr>
      <w:bookmarkStart w:id="78" w:name="_Toc418078040"/>
      <w:r>
        <w:t>Final Decision charges for alternative control services</w:t>
      </w:r>
      <w:bookmarkEnd w:id="78"/>
    </w:p>
    <w:p w:rsidR="00816116" w:rsidRDefault="00816116" w:rsidP="00816116">
      <w:pPr>
        <w:pStyle w:val="Heading9"/>
      </w:pPr>
      <w:bookmarkStart w:id="79" w:name="_Ref417480898"/>
      <w:bookmarkStart w:id="80" w:name="_Toc418078041"/>
      <w:r>
        <w:t>Ancillary network service charges</w:t>
      </w:r>
      <w:bookmarkEnd w:id="79"/>
      <w:bookmarkEnd w:id="80"/>
    </w:p>
    <w:p w:rsidR="00816116" w:rsidRDefault="00177277" w:rsidP="00474A31">
      <w:pPr>
        <w:pStyle w:val="Caption"/>
      </w:pPr>
      <w:bookmarkStart w:id="81" w:name="_Ref417559899"/>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17</w:t>
      </w:r>
      <w:r w:rsidR="000D189C">
        <w:rPr>
          <w:noProof/>
        </w:rPr>
        <w:fldChar w:fldCharType="end"/>
      </w:r>
      <w:bookmarkEnd w:id="81"/>
      <w:r>
        <w:t>: ActewAGL, ancillary network service charges for first year of regulatory control period ($2014–15)</w:t>
      </w:r>
    </w:p>
    <w:tbl>
      <w:tblPr>
        <w:tblStyle w:val="AERtable-numbers"/>
        <w:tblW w:w="0" w:type="auto"/>
        <w:tblLook w:val="04A0" w:firstRow="1" w:lastRow="0" w:firstColumn="1" w:lastColumn="0" w:noHBand="0" w:noVBand="1"/>
      </w:tblPr>
      <w:tblGrid>
        <w:gridCol w:w="2980"/>
        <w:gridCol w:w="1727"/>
        <w:gridCol w:w="1998"/>
        <w:gridCol w:w="1988"/>
      </w:tblGrid>
      <w:tr w:rsidR="0011596E" w:rsidRPr="00474A31" w:rsidTr="0084368C">
        <w:trPr>
          <w:cnfStyle w:val="100000000000" w:firstRow="1" w:lastRow="0" w:firstColumn="0" w:lastColumn="0" w:oddVBand="0" w:evenVBand="0" w:oddHBand="0" w:evenHBand="0" w:firstRowFirstColumn="0" w:firstRowLastColumn="0" w:lastRowFirstColumn="0" w:lastRowLastColumn="0"/>
          <w:trHeight w:val="1134"/>
          <w:tblHead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rsidR="00474A31" w:rsidRPr="00474A31" w:rsidRDefault="00474A31">
            <w:r w:rsidRPr="00474A31">
              <w:t>Service name</w:t>
            </w:r>
          </w:p>
        </w:tc>
        <w:tc>
          <w:tcPr>
            <w:tcW w:w="0" w:type="auto"/>
            <w:vMerge w:val="restart"/>
            <w:hideMark/>
          </w:tcPr>
          <w:p w:rsidR="00474A31" w:rsidRPr="00474A31" w:rsidRDefault="00474A31">
            <w:pPr>
              <w:cnfStyle w:val="100000000000" w:firstRow="1" w:lastRow="0" w:firstColumn="0" w:lastColumn="0" w:oddVBand="0" w:evenVBand="0" w:oddHBand="0" w:evenHBand="0" w:firstRowFirstColumn="0" w:firstRowLastColumn="0" w:lastRowFirstColumn="0" w:lastRowLastColumn="0"/>
            </w:pPr>
            <w:r w:rsidRPr="00474A31">
              <w:t>ActewAGL revised proposed 2015-16 prices ($2014-15)</w:t>
            </w:r>
          </w:p>
        </w:tc>
        <w:tc>
          <w:tcPr>
            <w:tcW w:w="0" w:type="auto"/>
            <w:vMerge w:val="restart"/>
            <w:hideMark/>
          </w:tcPr>
          <w:p w:rsidR="00474A31" w:rsidRPr="00474A31" w:rsidRDefault="00474A31">
            <w:pPr>
              <w:cnfStyle w:val="100000000000" w:firstRow="1" w:lastRow="0" w:firstColumn="0" w:lastColumn="0" w:oddVBand="0" w:evenVBand="0" w:oddHBand="0" w:evenHBand="0" w:firstRowFirstColumn="0" w:firstRowLastColumn="0" w:lastRowFirstColumn="0" w:lastRowLastColumn="0"/>
            </w:pPr>
            <w:r w:rsidRPr="00474A31">
              <w:t>AER final decision 2015-16 prices ($2014-15)</w:t>
            </w:r>
          </w:p>
        </w:tc>
        <w:tc>
          <w:tcPr>
            <w:tcW w:w="0" w:type="auto"/>
            <w:vMerge w:val="restart"/>
            <w:hideMark/>
          </w:tcPr>
          <w:p w:rsidR="00474A31" w:rsidRPr="00474A31" w:rsidRDefault="00474A31">
            <w:pPr>
              <w:cnfStyle w:val="100000000000" w:firstRow="1" w:lastRow="0" w:firstColumn="0" w:lastColumn="0" w:oddVBand="0" w:evenVBand="0" w:oddHBand="0" w:evenHBand="0" w:firstRowFirstColumn="0" w:firstRowLastColumn="0" w:lastRowFirstColumn="0" w:lastRowLastColumn="0"/>
            </w:pPr>
            <w:r w:rsidRPr="00474A31">
              <w:t xml:space="preserve">Percentage change (AER final decision </w:t>
            </w:r>
            <w:r w:rsidR="00846BF9" w:rsidRPr="00474A31">
              <w:t>cf</w:t>
            </w:r>
            <w:r w:rsidR="00846BF9">
              <w:t>.</w:t>
            </w:r>
            <w:r w:rsidRPr="00474A31">
              <w:t xml:space="preserve"> revised proposed charge)</w:t>
            </w:r>
          </w:p>
        </w:tc>
      </w:tr>
      <w:tr w:rsidR="00474A31" w:rsidRPr="00474A31" w:rsidTr="0084368C">
        <w:trPr>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rsidR="00474A31" w:rsidRPr="00474A31" w:rsidRDefault="00474A31"/>
        </w:tc>
        <w:tc>
          <w:tcPr>
            <w:tcW w:w="0" w:type="auto"/>
            <w:vMerge/>
            <w:hideMark/>
          </w:tcPr>
          <w:p w:rsidR="00474A31" w:rsidRPr="00474A31" w:rsidRDefault="00474A31">
            <w:pPr>
              <w:cnfStyle w:val="000000000000" w:firstRow="0" w:lastRow="0" w:firstColumn="0" w:lastColumn="0" w:oddVBand="0" w:evenVBand="0" w:oddHBand="0" w:evenHBand="0" w:firstRowFirstColumn="0" w:firstRowLastColumn="0" w:lastRowFirstColumn="0" w:lastRowLastColumn="0"/>
            </w:pPr>
          </w:p>
        </w:tc>
        <w:tc>
          <w:tcPr>
            <w:tcW w:w="0" w:type="auto"/>
            <w:vMerge/>
            <w:hideMark/>
          </w:tcPr>
          <w:p w:rsidR="00474A31" w:rsidRPr="00474A31" w:rsidRDefault="00474A31">
            <w:pPr>
              <w:cnfStyle w:val="000000000000" w:firstRow="0" w:lastRow="0" w:firstColumn="0" w:lastColumn="0" w:oddVBand="0" w:evenVBand="0" w:oddHBand="0" w:evenHBand="0" w:firstRowFirstColumn="0" w:firstRowLastColumn="0" w:lastRowFirstColumn="0" w:lastRowLastColumn="0"/>
            </w:pPr>
          </w:p>
        </w:tc>
        <w:tc>
          <w:tcPr>
            <w:tcW w:w="0" w:type="auto"/>
            <w:vMerge/>
            <w:hideMark/>
          </w:tcPr>
          <w:p w:rsidR="00474A31" w:rsidRPr="00474A31" w:rsidRDefault="00474A31">
            <w:pPr>
              <w:cnfStyle w:val="000000000000" w:firstRow="0" w:lastRow="0" w:firstColumn="0" w:lastColumn="0" w:oddVBand="0" w:evenVBand="0" w:oddHBand="0" w:evenHBand="0" w:firstRowFirstColumn="0" w:firstRowLastColumn="0" w:lastRowFirstColumn="0" w:lastRowLastColumn="0"/>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Premise Re-energisation – Existing Network Connection</w:t>
            </w:r>
          </w:p>
        </w:tc>
        <w:tc>
          <w:tcPr>
            <w:tcW w:w="0" w:type="auto"/>
            <w:noWrap/>
            <w:hideMark/>
          </w:tcPr>
          <w:p w:rsidR="00474A31" w:rsidRPr="00474A31" w:rsidRDefault="00474A31">
            <w:pPr>
              <w:cnfStyle w:val="000000010000" w:firstRow="0" w:lastRow="0" w:firstColumn="0" w:lastColumn="0" w:oddVBand="0" w:evenVBand="0" w:oddHBand="0" w:evenHBand="1" w:firstRowFirstColumn="0" w:firstRowLastColumn="0" w:lastRowFirstColumn="0" w:lastRowLastColumn="0"/>
            </w:pPr>
          </w:p>
        </w:tc>
        <w:tc>
          <w:tcPr>
            <w:tcW w:w="0" w:type="auto"/>
            <w:noWrap/>
            <w:hideMark/>
          </w:tcPr>
          <w:p w:rsidR="00474A31" w:rsidRPr="00474A31" w:rsidRDefault="00474A31">
            <w:pPr>
              <w:cnfStyle w:val="000000010000" w:firstRow="0" w:lastRow="0" w:firstColumn="0" w:lastColumn="0" w:oddVBand="0" w:evenVBand="0" w:oddHBand="0" w:evenHBand="1" w:firstRowFirstColumn="0" w:firstRowLastColumn="0" w:lastRowFirstColumn="0" w:lastRowLastColumn="0"/>
            </w:pPr>
          </w:p>
        </w:tc>
        <w:tc>
          <w:tcPr>
            <w:tcW w:w="0" w:type="auto"/>
            <w:noWrap/>
            <w:hideMark/>
          </w:tcPr>
          <w:p w:rsidR="00474A31" w:rsidRPr="00474A31" w:rsidRDefault="00474A31">
            <w:pPr>
              <w:cnfStyle w:val="000000010000" w:firstRow="0" w:lastRow="0" w:firstColumn="0" w:lastColumn="0" w:oddVBand="0" w:evenVBand="0" w:oddHBand="0" w:evenHBand="1" w:firstRowFirstColumn="0" w:firstRowLastColumn="0" w:lastRowFirstColumn="0" w:lastRowLastColumn="0"/>
            </w:pPr>
          </w:p>
        </w:tc>
      </w:tr>
      <w:tr w:rsidR="00474A31" w:rsidRPr="00474A31" w:rsidTr="0084368C">
        <w:trPr>
          <w:trHeight w:val="49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Re-energise premise –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64.47</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64.47</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Re-energise premise – After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81.71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81.71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Premise De-energisation – Existing Network Connection</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De-energise premise –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64.47</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64.47</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De-energise premise for debt non-payment </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128.93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128.93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Meter Reconfiguration</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7C3BA8"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Install Interval Meter</w:t>
            </w:r>
          </w:p>
        </w:tc>
        <w:tc>
          <w:tcPr>
            <w:tcW w:w="0" w:type="auto"/>
            <w:noWrap/>
            <w:hideMark/>
          </w:tcPr>
          <w:p w:rsidR="00474A31" w:rsidRPr="0084368C" w:rsidRDefault="00193DF3"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r>
      <w:tr w:rsidR="0011596E" w:rsidRPr="007C3BA8" w:rsidTr="0084368C">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 xml:space="preserve">Install subsequent meter - at same location during same visit (excludes cost of meter) </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r>
      <w:tr w:rsidR="00474A31" w:rsidRPr="007C3BA8"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Install / Replace Meter – Micro Renewable Energy Installation</w:t>
            </w:r>
          </w:p>
        </w:tc>
        <w:tc>
          <w:tcPr>
            <w:tcW w:w="0" w:type="auto"/>
            <w:noWrap/>
            <w:hideMark/>
          </w:tcPr>
          <w:p w:rsidR="00474A31" w:rsidRPr="0084368C" w:rsidRDefault="00AE0C29"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r>
      <w:tr w:rsidR="0011596E" w:rsidRPr="007C3BA8"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 xml:space="preserve">Single phase, single element manually read </w:t>
            </w:r>
            <w:r w:rsidR="00846BF9" w:rsidRPr="007C3BA8">
              <w:t>interval</w:t>
            </w:r>
            <w:r w:rsidRPr="007C3BA8">
              <w:t xml:space="preserve"> meter</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r>
      <w:tr w:rsidR="00474A31" w:rsidRPr="007C3BA8"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Single phase, two element meter</w:t>
            </w:r>
          </w:p>
        </w:tc>
        <w:tc>
          <w:tcPr>
            <w:tcW w:w="0" w:type="auto"/>
            <w:noWrap/>
            <w:hideMark/>
          </w:tcPr>
          <w:p w:rsidR="00474A31" w:rsidRPr="0084368C" w:rsidRDefault="00AE0C29"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00000" w:firstRow="0" w:lastRow="0" w:firstColumn="0" w:lastColumn="0" w:oddVBand="0" w:evenVBand="0" w:oddHBand="0" w:evenHBand="0" w:firstRowFirstColumn="0" w:firstRowLastColumn="0" w:lastRowFirstColumn="0" w:lastRowLastColumn="0"/>
            </w:pPr>
            <w:r w:rsidRPr="0084368C">
              <w:rPr>
                <w:rFonts w:eastAsiaTheme="minorHAnsi" w:cstheme="minorBidi"/>
                <w:sz w:val="22"/>
                <w:szCs w:val="22"/>
              </w:rPr>
              <w:t xml:space="preserve"> </w:t>
            </w:r>
          </w:p>
        </w:tc>
      </w:tr>
      <w:tr w:rsidR="0011596E" w:rsidRPr="007C3BA8"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7C3BA8" w:rsidRDefault="00474A31" w:rsidP="007C3BA8">
            <w:r w:rsidRPr="007C3BA8">
              <w:t>Three phase meter</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c>
          <w:tcPr>
            <w:tcW w:w="0" w:type="auto"/>
            <w:noWrap/>
            <w:hideMark/>
          </w:tcPr>
          <w:p w:rsidR="00474A31" w:rsidRPr="0084368C" w:rsidRDefault="00193DF3"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See: </w:t>
            </w:r>
            <w:r w:rsidRPr="0084368C">
              <w:fldChar w:fldCharType="begin"/>
            </w:r>
            <w:r w:rsidRPr="0084368C">
              <w:rPr>
                <w:rFonts w:eastAsiaTheme="minorHAnsi" w:cstheme="minorBidi"/>
                <w:sz w:val="22"/>
                <w:szCs w:val="22"/>
              </w:rPr>
              <w:instrText xml:space="preserve"> REF _Ref417662198 \h </w:instrText>
            </w:r>
            <w:r w:rsidRPr="0084368C">
              <w:fldChar w:fldCharType="separate"/>
            </w:r>
            <w:r w:rsidR="004704F5">
              <w:t xml:space="preserve">Table </w:t>
            </w:r>
            <w:r w:rsidR="004704F5">
              <w:rPr>
                <w:noProof/>
              </w:rPr>
              <w:t>16</w:t>
            </w:r>
            <w:r w:rsidR="004704F5">
              <w:t>.</w:t>
            </w:r>
            <w:r w:rsidR="004704F5">
              <w:rPr>
                <w:noProof/>
              </w:rPr>
              <w:t>22</w:t>
            </w:r>
            <w:r w:rsidRPr="0084368C">
              <w:fldChar w:fldCharType="end"/>
            </w:r>
            <w:r w:rsidR="00AE0C29" w:rsidRPr="0084368C">
              <w:rPr>
                <w:rFonts w:eastAsiaTheme="minorHAnsi" w:cstheme="minorBidi"/>
                <w:sz w:val="22"/>
                <w:szCs w:val="22"/>
              </w:rPr>
              <w:t xml:space="preserve"> </w:t>
            </w:r>
          </w:p>
        </w:tc>
        <w:tc>
          <w:tcPr>
            <w:tcW w:w="0" w:type="auto"/>
            <w:noWrap/>
            <w:hideMark/>
          </w:tcPr>
          <w:p w:rsidR="00474A31" w:rsidRPr="0084368C" w:rsidRDefault="00AE0C29" w:rsidP="0084368C">
            <w:pPr>
              <w:cnfStyle w:val="000000010000" w:firstRow="0" w:lastRow="0" w:firstColumn="0" w:lastColumn="0" w:oddVBand="0" w:evenVBand="0" w:oddHBand="0" w:evenHBand="1" w:firstRowFirstColumn="0" w:firstRowLastColumn="0" w:lastRowFirstColumn="0" w:lastRowLastColumn="0"/>
            </w:pPr>
            <w:r w:rsidRPr="0084368C">
              <w:rPr>
                <w:rFonts w:eastAsiaTheme="minorHAnsi" w:cstheme="minorBidi"/>
                <w:sz w:val="22"/>
                <w:szCs w:val="22"/>
              </w:rPr>
              <w:t xml:space="preserve"> </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Meter Investigations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Meter Test (Whole Current) –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257.86</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257.86</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lastRenderedPageBreak/>
              <w:t>Meter Test (CT/VT) –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306.79</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298.64</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-2.7</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Special meters Services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Special Meter Read</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37.98</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29.82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-21.5</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Meter exit fee (recovery of meter asset value)</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274.62</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274.62</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Metering transfer admin fee (transfer to another metering provider)</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30.79</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22.64</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-26.5</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Temporary Network Connections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Temporary Builders’ Supply – Overhead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579.43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579.43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Temporary Builders’ Supply – Underground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New Network Connections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New Underground Service Connection – Greenfield</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No Charge</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New Overhead Service Connection – Brownfield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761.01</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761.01</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New Underground Service Connection – Brownfield from Front</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New Underground Service Connection – Brownfield from Rear</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C2734E" w:rsidRDefault="00474A31">
            <w:pPr>
              <w:rPr>
                <w:rStyle w:val="AERtextbolditalics"/>
              </w:rPr>
            </w:pPr>
            <w:r w:rsidRPr="00C2734E">
              <w:rPr>
                <w:rStyle w:val="AERtextbolditalics"/>
              </w:rPr>
              <w:t>Network Connection Alterations and Additions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Overhead Service Relocation – Single Visit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726.35</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726.35</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Overhead Service Relocation – Two Visits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1452.70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1452.70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Overhead Service Upgrade – Service Cable Replacement Not Required</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726.35</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726.35</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Overhead Service Upgrade – Service Cable Replacement Required</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761.01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761.01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Underground Service Upgrade – Service Cable Replacement Not Required</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1230.27</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1230.27</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Underground Service Upgrade – Service Cable Replacement Required </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Underground Service Relocation – </w:t>
            </w:r>
            <w:r w:rsidRPr="00474A31">
              <w:lastRenderedPageBreak/>
              <w:t>Single Visit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lastRenderedPageBreak/>
              <w:t>1264.93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1264.93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lastRenderedPageBreak/>
              <w:t>Install surface mounted point of entry (POE) box</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584.99</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584.99</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Temporary De-energisation</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Temporary de-energisation – LV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386.80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386.80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Temporary de-energisation – HV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386.80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386.80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Supply Abolishment / Removal</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Supply Abolishment / Removal – Overhead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544.76</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544.76</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Supply Abolishment / Removal - Underground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984.21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984.21</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Miscellaneous Customer Initiated Services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Install &amp; Remove Tiger Tails – Establishment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1279.28</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1279.28</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Install &amp; Remove Tiger Tails - Per Span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644.00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644.00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Install &amp; Remove Warning Flags – Installation (Business Hours)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1089.53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1089.53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Install &amp; Remove Tiger Tails - Per Span (Business Hours)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552.00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552.00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Embedded Generation - Operational &amp; Maintenance Fees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52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Small Embedded Generation OPEX Fees - Connection Assets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Small Embedded Generation OPEX Fees - Shared Network Asset</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Connection Enquiry Processing - PV Installations*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PV Connection Enquiry – LV Class 1 (&lt;= 10kW Single Phase / 30kW Three Phase)</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40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PV Connection Enquiry – LV Class 2 to 5 (&gt; 30kW &lt;= 1500kW Three Phase</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529.62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529.62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PV Connection Enquiry – HV</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1059.23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1059.23</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49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lastRenderedPageBreak/>
              <w:t>Provision of Data for Network technical study for large scale installations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10,592.32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10,592.32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 xml:space="preserve">Network Design &amp; Investigation / Analysis Services - PV Installations† </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615"/>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Design &amp; Investigation - LV Connection Class 1 PV (&lt;= 10kW Single Phase / 30kW Three Phase) </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Design &amp; Investigation - LV Connection Class 2 PV (&gt; 30kW and &lt;= 60kW Three Phase) </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3530.77</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3530.77</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Design &amp; Investigation - LV Connection Class 3 PV (&gt; 60 kW and &lt;= 120kW Three Phase)</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5296.16</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5296.16</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Design &amp; Investigation - LV Connection Class 4 PV (&gt; 120 kW and &lt;= 200kW Three Phase )</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7061.55</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7061.55</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1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Design &amp; Investigation - LV Connection Class 5 PV (&gt; 200kW and &lt;= 1500kW Three Phase) – ActewAGL Network Study</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10,592.32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10,592.32</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474A31" w:rsidRPr="00474A31" w:rsidRDefault="00474A31">
            <w:r w:rsidRPr="00474A31">
              <w:t>Design &amp; Investigation - HV Connection Class 5 PV (&gt; 200kW and &lt;= 1500kW Three Phase) – Customer Network Study</w:t>
            </w:r>
          </w:p>
        </w:tc>
        <w:tc>
          <w:tcPr>
            <w:tcW w:w="0" w:type="auto"/>
            <w:vMerge w:val="restart"/>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13,240.40</w:t>
            </w:r>
          </w:p>
        </w:tc>
        <w:tc>
          <w:tcPr>
            <w:tcW w:w="0" w:type="auto"/>
            <w:vMerge w:val="restart"/>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13,240.40</w:t>
            </w:r>
          </w:p>
        </w:tc>
        <w:tc>
          <w:tcPr>
            <w:tcW w:w="0" w:type="auto"/>
            <w:vMerge w:val="restart"/>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vMerge/>
            <w:hideMark/>
          </w:tcPr>
          <w:p w:rsidR="00474A31" w:rsidRPr="00474A31" w:rsidRDefault="00474A31"/>
        </w:tc>
        <w:tc>
          <w:tcPr>
            <w:tcW w:w="0" w:type="auto"/>
            <w:vMerge/>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vMerge/>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vMerge/>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Rescheduled Site Visits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Rescheduled Site Visit – One Person</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128.93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128.93</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Rescheduled Site Visit – Service Team</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544.76</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544.76</w:t>
            </w:r>
          </w:p>
        </w:tc>
        <w:tc>
          <w:tcPr>
            <w:tcW w:w="0" w:type="auto"/>
            <w:noWrap/>
            <w:hideMark/>
          </w:tcPr>
          <w:p w:rsidR="00474A31" w:rsidRPr="00601F91" w:rsidRDefault="00601F9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Rescheduled Site Visits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 xml:space="preserve">Trenching - first 2 meters </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494.50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494.50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Trenching - subsequent meters</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115.00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115.00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D20DFE" w:rsidRDefault="00474A31">
            <w:pPr>
              <w:rPr>
                <w:rStyle w:val="AERtextbolditalics"/>
              </w:rPr>
            </w:pPr>
            <w:r w:rsidRPr="00D20DFE">
              <w:rPr>
                <w:rStyle w:val="AERtextbolditalics"/>
              </w:rPr>
              <w:t>Rescheduled Site Visits</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p>
        </w:tc>
      </w:tr>
      <w:tr w:rsidR="00474A31" w:rsidRPr="00474A31" w:rsidTr="0084368C">
        <w:trPr>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Under footpath</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897.00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897.00</w:t>
            </w:r>
          </w:p>
        </w:tc>
        <w:tc>
          <w:tcPr>
            <w:tcW w:w="0" w:type="auto"/>
            <w:noWrap/>
            <w:hideMark/>
          </w:tcPr>
          <w:p w:rsidR="00474A31" w:rsidRPr="00601F91" w:rsidRDefault="00474A31" w:rsidP="00601F91">
            <w:pPr>
              <w:pStyle w:val="AERtabletextright"/>
              <w:cnfStyle w:val="000000000000" w:firstRow="0" w:lastRow="0" w:firstColumn="0" w:lastColumn="0" w:oddVBand="0" w:evenVBand="0" w:oddHBand="0" w:evenHBand="0" w:firstRowFirstColumn="0" w:firstRowLastColumn="0" w:lastRowFirstColumn="0" w:lastRowLastColumn="0"/>
              <w:rPr>
                <w:rStyle w:val="AERtextsize8"/>
              </w:rPr>
            </w:pPr>
            <w:r w:rsidRPr="00601F91">
              <w:rPr>
                <w:rStyle w:val="AERtextsize8"/>
              </w:rPr>
              <w:t>0.0</w:t>
            </w:r>
          </w:p>
        </w:tc>
      </w:tr>
      <w:tr w:rsidR="0011596E" w:rsidRPr="00474A31" w:rsidTr="0084368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hideMark/>
          </w:tcPr>
          <w:p w:rsidR="00474A31" w:rsidRPr="00474A31" w:rsidRDefault="00474A31">
            <w:r w:rsidRPr="00474A31">
              <w:t>Under driveway</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1069.50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1069.50</w:t>
            </w:r>
          </w:p>
        </w:tc>
        <w:tc>
          <w:tcPr>
            <w:tcW w:w="0" w:type="auto"/>
            <w:noWrap/>
            <w:hideMark/>
          </w:tcPr>
          <w:p w:rsidR="00474A31" w:rsidRPr="00601F91" w:rsidRDefault="00474A31" w:rsidP="00601F91">
            <w:pPr>
              <w:pStyle w:val="AERtabletextright"/>
              <w:cnfStyle w:val="000000010000" w:firstRow="0" w:lastRow="0" w:firstColumn="0" w:lastColumn="0" w:oddVBand="0" w:evenVBand="0" w:oddHBand="0" w:evenHBand="1" w:firstRowFirstColumn="0" w:firstRowLastColumn="0" w:lastRowFirstColumn="0" w:lastRowLastColumn="0"/>
              <w:rPr>
                <w:rStyle w:val="AERtextsize8"/>
              </w:rPr>
            </w:pPr>
            <w:r w:rsidRPr="00601F91">
              <w:rPr>
                <w:rStyle w:val="AERtextsize8"/>
              </w:rPr>
              <w:t>0.0</w:t>
            </w:r>
          </w:p>
        </w:tc>
      </w:tr>
    </w:tbl>
    <w:p w:rsidR="00816116" w:rsidRDefault="00D20DFE" w:rsidP="00E23FCF">
      <w:pPr>
        <w:pStyle w:val="AERtablesource"/>
        <w:rPr>
          <w:lang w:eastAsia="en-AU"/>
        </w:rPr>
      </w:pPr>
      <w:r>
        <w:t>Source: AER analysis</w:t>
      </w:r>
    </w:p>
    <w:p w:rsidR="003469FB" w:rsidRDefault="003469FB" w:rsidP="00827BDA">
      <w:pPr>
        <w:pStyle w:val="Caption"/>
      </w:pPr>
      <w:r>
        <w:lastRenderedPageBreak/>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18</w:t>
      </w:r>
      <w:r w:rsidR="000D189C">
        <w:rPr>
          <w:noProof/>
        </w:rPr>
        <w:fldChar w:fldCharType="end"/>
      </w:r>
      <w:r>
        <w:t xml:space="preserve">: </w:t>
      </w:r>
      <w:r w:rsidR="00A258C4">
        <w:t>AER final decision</w:t>
      </w:r>
      <w:r>
        <w:t xml:space="preserve"> labour rates (including on costs and overheads) </w:t>
      </w:r>
    </w:p>
    <w:tbl>
      <w:tblPr>
        <w:tblStyle w:val="AERtable-text0"/>
        <w:tblW w:w="5000" w:type="pct"/>
        <w:tblLook w:val="04A0" w:firstRow="1" w:lastRow="0" w:firstColumn="1" w:lastColumn="0" w:noHBand="0" w:noVBand="1"/>
      </w:tblPr>
      <w:tblGrid>
        <w:gridCol w:w="2113"/>
        <w:gridCol w:w="219"/>
        <w:gridCol w:w="2135"/>
        <w:gridCol w:w="219"/>
        <w:gridCol w:w="4007"/>
      </w:tblGrid>
      <w:tr w:rsidR="003469FB" w:rsidRPr="00827BDA" w:rsidTr="0084368C">
        <w:trPr>
          <w:cnfStyle w:val="100000000000" w:firstRow="1" w:lastRow="0" w:firstColumn="0" w:lastColumn="0" w:oddVBand="0" w:evenVBand="0" w:oddHBand="0" w:evenHBand="0" w:firstRowFirstColumn="0" w:firstRowLastColumn="0" w:lastRowFirstColumn="0" w:lastRowLastColumn="0"/>
          <w:trHeight w:val="300"/>
        </w:trPr>
        <w:tc>
          <w:tcPr>
            <w:tcW w:w="1168" w:type="pct"/>
            <w:noWrap/>
            <w:hideMark/>
          </w:tcPr>
          <w:p w:rsidR="003469FB" w:rsidRPr="00827BDA" w:rsidRDefault="003469FB" w:rsidP="0084368C">
            <w:pPr>
              <w:keepNext/>
            </w:pPr>
            <w:r w:rsidRPr="00827BDA">
              <w:t>Labour classification</w:t>
            </w:r>
          </w:p>
        </w:tc>
        <w:tc>
          <w:tcPr>
            <w:tcW w:w="136" w:type="pct"/>
            <w:noWrap/>
          </w:tcPr>
          <w:p w:rsidR="003469FB" w:rsidRPr="00827BDA" w:rsidRDefault="003469FB" w:rsidP="0084368C">
            <w:pPr>
              <w:keepNext/>
            </w:pPr>
          </w:p>
        </w:tc>
        <w:tc>
          <w:tcPr>
            <w:tcW w:w="1275" w:type="pct"/>
            <w:noWrap/>
            <w:hideMark/>
          </w:tcPr>
          <w:p w:rsidR="003469FB" w:rsidRPr="00827BDA" w:rsidRDefault="003469FB" w:rsidP="0084368C">
            <w:pPr>
              <w:keepNext/>
            </w:pPr>
            <w:r w:rsidRPr="00827BDA">
              <w:t>Corresponding Marsden Jacob labour category</w:t>
            </w:r>
          </w:p>
        </w:tc>
        <w:tc>
          <w:tcPr>
            <w:tcW w:w="126" w:type="pct"/>
            <w:noWrap/>
          </w:tcPr>
          <w:p w:rsidR="003469FB" w:rsidRPr="00827BDA" w:rsidRDefault="003469FB" w:rsidP="0084368C">
            <w:pPr>
              <w:keepNext/>
            </w:pPr>
          </w:p>
        </w:tc>
        <w:tc>
          <w:tcPr>
            <w:tcW w:w="2296" w:type="pct"/>
            <w:noWrap/>
            <w:hideMark/>
          </w:tcPr>
          <w:p w:rsidR="003469FB" w:rsidRPr="00827BDA" w:rsidRDefault="003469FB" w:rsidP="0084368C">
            <w:pPr>
              <w:keepNext/>
            </w:pPr>
            <w:r w:rsidRPr="00827BDA">
              <w:t>AER final decision 2015–16 labour rates (</w:t>
            </w:r>
            <w:r w:rsidR="00846BF9" w:rsidRPr="00827BDA">
              <w:t>incl</w:t>
            </w:r>
            <w:r w:rsidR="00846BF9">
              <w:t>.</w:t>
            </w:r>
            <w:r w:rsidRPr="00827BDA">
              <w:t xml:space="preserve"> on costs and overheads) ($ per hour, $2014–15)</w:t>
            </w:r>
          </w:p>
        </w:tc>
      </w:tr>
      <w:tr w:rsidR="003469FB" w:rsidRPr="00827BDA" w:rsidTr="0084368C">
        <w:trPr>
          <w:trHeight w:val="300"/>
        </w:trPr>
        <w:tc>
          <w:tcPr>
            <w:tcW w:w="1168" w:type="pct"/>
            <w:noWrap/>
            <w:hideMark/>
          </w:tcPr>
          <w:p w:rsidR="003469FB" w:rsidRPr="00827BDA" w:rsidRDefault="003469FB" w:rsidP="0084368C">
            <w:pPr>
              <w:keepNext/>
            </w:pPr>
            <w:r w:rsidRPr="00827BDA">
              <w:t>Electrical Worker</w:t>
            </w:r>
          </w:p>
        </w:tc>
        <w:tc>
          <w:tcPr>
            <w:tcW w:w="136" w:type="pct"/>
            <w:noWrap/>
          </w:tcPr>
          <w:p w:rsidR="003469FB" w:rsidRPr="00827BDA" w:rsidRDefault="003469FB" w:rsidP="0084368C">
            <w:pPr>
              <w:keepNext/>
            </w:pPr>
          </w:p>
        </w:tc>
        <w:tc>
          <w:tcPr>
            <w:tcW w:w="1275" w:type="pct"/>
            <w:noWrap/>
            <w:hideMark/>
          </w:tcPr>
          <w:p w:rsidR="003469FB" w:rsidRPr="00827BDA" w:rsidRDefault="003469FB" w:rsidP="0084368C">
            <w:pPr>
              <w:keepNext/>
              <w:jc w:val="right"/>
            </w:pPr>
            <w:r w:rsidRPr="00827BDA">
              <w:t xml:space="preserve">                                technical</w:t>
            </w:r>
          </w:p>
        </w:tc>
        <w:tc>
          <w:tcPr>
            <w:tcW w:w="126" w:type="pct"/>
            <w:noWrap/>
          </w:tcPr>
          <w:p w:rsidR="003469FB" w:rsidRPr="00846BF9" w:rsidRDefault="003469FB" w:rsidP="0084368C">
            <w:pPr>
              <w:keepNext/>
              <w:jc w:val="right"/>
            </w:pPr>
          </w:p>
        </w:tc>
        <w:tc>
          <w:tcPr>
            <w:tcW w:w="2296" w:type="pct"/>
            <w:noWrap/>
          </w:tcPr>
          <w:p w:rsidR="003469FB" w:rsidRPr="00A06BBF" w:rsidRDefault="003469FB" w:rsidP="0084368C">
            <w:pPr>
              <w:keepNext/>
              <w:jc w:val="right"/>
            </w:pPr>
            <w:r w:rsidRPr="00846BF9">
              <w:t>c</w:t>
            </w:r>
            <w:r w:rsidRPr="00A06BBF">
              <w:t>onfidential</w:t>
            </w:r>
          </w:p>
        </w:tc>
      </w:tr>
      <w:tr w:rsidR="003469FB" w:rsidRPr="00827BDA" w:rsidTr="0084368C">
        <w:trPr>
          <w:cnfStyle w:val="000000010000" w:firstRow="0" w:lastRow="0" w:firstColumn="0" w:lastColumn="0" w:oddVBand="0" w:evenVBand="0" w:oddHBand="0" w:evenHBand="1" w:firstRowFirstColumn="0" w:firstRowLastColumn="0" w:lastRowFirstColumn="0" w:lastRowLastColumn="0"/>
          <w:trHeight w:val="300"/>
        </w:trPr>
        <w:tc>
          <w:tcPr>
            <w:tcW w:w="1168" w:type="pct"/>
            <w:noWrap/>
            <w:hideMark/>
          </w:tcPr>
          <w:p w:rsidR="003469FB" w:rsidRPr="00827BDA" w:rsidRDefault="003469FB" w:rsidP="0084368C">
            <w:r w:rsidRPr="00827BDA">
              <w:t>Electrical Worker - Labourer</w:t>
            </w:r>
          </w:p>
        </w:tc>
        <w:tc>
          <w:tcPr>
            <w:tcW w:w="136" w:type="pct"/>
            <w:noWrap/>
          </w:tcPr>
          <w:p w:rsidR="003469FB" w:rsidRPr="00827BDA" w:rsidRDefault="003469FB" w:rsidP="0084368C"/>
        </w:tc>
        <w:tc>
          <w:tcPr>
            <w:tcW w:w="1275" w:type="pct"/>
            <w:noWrap/>
            <w:hideMark/>
          </w:tcPr>
          <w:p w:rsidR="003469FB" w:rsidRPr="00827BDA" w:rsidRDefault="003469FB" w:rsidP="0084368C">
            <w:pPr>
              <w:jc w:val="right"/>
            </w:pPr>
            <w:r w:rsidRPr="00827BDA">
              <w:t>field worker</w:t>
            </w:r>
          </w:p>
        </w:tc>
        <w:tc>
          <w:tcPr>
            <w:tcW w:w="126" w:type="pct"/>
            <w:noWrap/>
          </w:tcPr>
          <w:p w:rsidR="003469FB" w:rsidRPr="00827BDA" w:rsidRDefault="003469FB" w:rsidP="0084368C">
            <w:pPr>
              <w:jc w:val="right"/>
            </w:pPr>
          </w:p>
        </w:tc>
        <w:tc>
          <w:tcPr>
            <w:tcW w:w="2296" w:type="pct"/>
            <w:noWrap/>
          </w:tcPr>
          <w:p w:rsidR="003469FB" w:rsidRPr="00846BF9" w:rsidRDefault="003469FB" w:rsidP="0084368C">
            <w:pPr>
              <w:jc w:val="right"/>
            </w:pPr>
            <w:r w:rsidRPr="00846BF9">
              <w:t>confidential</w:t>
            </w:r>
          </w:p>
        </w:tc>
      </w:tr>
      <w:tr w:rsidR="003469FB" w:rsidRPr="00827BDA" w:rsidTr="0084368C">
        <w:trPr>
          <w:trHeight w:val="300"/>
        </w:trPr>
        <w:tc>
          <w:tcPr>
            <w:tcW w:w="1168" w:type="pct"/>
            <w:noWrap/>
            <w:hideMark/>
          </w:tcPr>
          <w:p w:rsidR="003469FB" w:rsidRPr="00827BDA" w:rsidRDefault="003469FB" w:rsidP="0084368C">
            <w:r w:rsidRPr="00827BDA">
              <w:t>Electrical Apprentice</w:t>
            </w:r>
          </w:p>
        </w:tc>
        <w:tc>
          <w:tcPr>
            <w:tcW w:w="136" w:type="pct"/>
            <w:noWrap/>
          </w:tcPr>
          <w:p w:rsidR="003469FB" w:rsidRPr="00827BDA" w:rsidRDefault="003469FB" w:rsidP="0084368C"/>
        </w:tc>
        <w:tc>
          <w:tcPr>
            <w:tcW w:w="1275" w:type="pct"/>
            <w:noWrap/>
            <w:hideMark/>
          </w:tcPr>
          <w:p w:rsidR="003469FB" w:rsidRPr="00827BDA" w:rsidRDefault="003469FB" w:rsidP="0084368C">
            <w:pPr>
              <w:jc w:val="right"/>
            </w:pPr>
            <w:r w:rsidRPr="00827BDA">
              <w:t>field worker</w:t>
            </w:r>
          </w:p>
        </w:tc>
        <w:tc>
          <w:tcPr>
            <w:tcW w:w="126" w:type="pct"/>
            <w:noWrap/>
          </w:tcPr>
          <w:p w:rsidR="003469FB" w:rsidRPr="00827BDA" w:rsidRDefault="003469FB" w:rsidP="0084368C">
            <w:pPr>
              <w:jc w:val="right"/>
            </w:pPr>
          </w:p>
        </w:tc>
        <w:tc>
          <w:tcPr>
            <w:tcW w:w="2296" w:type="pct"/>
            <w:noWrap/>
          </w:tcPr>
          <w:p w:rsidR="003469FB" w:rsidRPr="00846BF9" w:rsidRDefault="003469FB" w:rsidP="0084368C">
            <w:pPr>
              <w:jc w:val="right"/>
            </w:pPr>
            <w:r w:rsidRPr="00846BF9">
              <w:t>confidential</w:t>
            </w:r>
          </w:p>
          <w:p w:rsidR="003469FB" w:rsidRPr="00846BF9" w:rsidRDefault="003469FB" w:rsidP="0084368C">
            <w:pPr>
              <w:jc w:val="right"/>
            </w:pPr>
          </w:p>
        </w:tc>
      </w:tr>
      <w:tr w:rsidR="003469FB" w:rsidRPr="00827BDA" w:rsidTr="0084368C">
        <w:trPr>
          <w:cnfStyle w:val="000000010000" w:firstRow="0" w:lastRow="0" w:firstColumn="0" w:lastColumn="0" w:oddVBand="0" w:evenVBand="0" w:oddHBand="0" w:evenHBand="1" w:firstRowFirstColumn="0" w:firstRowLastColumn="0" w:lastRowFirstColumn="0" w:lastRowLastColumn="0"/>
          <w:trHeight w:val="300"/>
        </w:trPr>
        <w:tc>
          <w:tcPr>
            <w:tcW w:w="1168" w:type="pct"/>
            <w:noWrap/>
            <w:hideMark/>
          </w:tcPr>
          <w:p w:rsidR="003469FB" w:rsidRPr="00827BDA" w:rsidRDefault="003469FB" w:rsidP="0084368C">
            <w:r w:rsidRPr="00827BDA">
              <w:t>Office Support_Service Delivery</w:t>
            </w:r>
          </w:p>
        </w:tc>
        <w:tc>
          <w:tcPr>
            <w:tcW w:w="136" w:type="pct"/>
            <w:noWrap/>
          </w:tcPr>
          <w:p w:rsidR="003469FB" w:rsidRPr="00827BDA" w:rsidRDefault="003469FB" w:rsidP="0084368C"/>
        </w:tc>
        <w:tc>
          <w:tcPr>
            <w:tcW w:w="1275" w:type="pct"/>
            <w:noWrap/>
            <w:hideMark/>
          </w:tcPr>
          <w:p w:rsidR="003469FB" w:rsidRPr="00827BDA" w:rsidRDefault="003469FB" w:rsidP="0084368C">
            <w:pPr>
              <w:jc w:val="right"/>
            </w:pPr>
            <w:r w:rsidRPr="00827BDA">
              <w:t>administration</w:t>
            </w:r>
          </w:p>
        </w:tc>
        <w:tc>
          <w:tcPr>
            <w:tcW w:w="126" w:type="pct"/>
            <w:noWrap/>
          </w:tcPr>
          <w:p w:rsidR="003469FB" w:rsidRPr="00827BDA" w:rsidRDefault="003469FB" w:rsidP="0084368C">
            <w:pPr>
              <w:jc w:val="right"/>
            </w:pPr>
          </w:p>
        </w:tc>
        <w:tc>
          <w:tcPr>
            <w:tcW w:w="2296" w:type="pct"/>
            <w:noWrap/>
          </w:tcPr>
          <w:p w:rsidR="003469FB" w:rsidRPr="00846BF9" w:rsidRDefault="003469FB" w:rsidP="0084368C">
            <w:pPr>
              <w:jc w:val="right"/>
            </w:pPr>
            <w:r w:rsidRPr="00846BF9">
              <w:t>89.06</w:t>
            </w:r>
          </w:p>
        </w:tc>
      </w:tr>
      <w:tr w:rsidR="003469FB" w:rsidRPr="00827BDA" w:rsidTr="0084368C">
        <w:trPr>
          <w:trHeight w:val="300"/>
        </w:trPr>
        <w:tc>
          <w:tcPr>
            <w:tcW w:w="1168" w:type="pct"/>
            <w:noWrap/>
            <w:hideMark/>
          </w:tcPr>
          <w:p w:rsidR="003469FB" w:rsidRPr="00827BDA" w:rsidRDefault="003469FB" w:rsidP="0084368C">
            <w:r w:rsidRPr="00827BDA">
              <w:t>Project Officer_Design Section</w:t>
            </w:r>
          </w:p>
        </w:tc>
        <w:tc>
          <w:tcPr>
            <w:tcW w:w="136" w:type="pct"/>
            <w:noWrap/>
          </w:tcPr>
          <w:p w:rsidR="003469FB" w:rsidRPr="00827BDA" w:rsidRDefault="003469FB" w:rsidP="0084368C"/>
        </w:tc>
        <w:tc>
          <w:tcPr>
            <w:tcW w:w="1275" w:type="pct"/>
            <w:noWrap/>
            <w:hideMark/>
          </w:tcPr>
          <w:p w:rsidR="003469FB" w:rsidRPr="00827BDA" w:rsidRDefault="003469FB" w:rsidP="0084368C">
            <w:pPr>
              <w:jc w:val="right"/>
            </w:pPr>
            <w:r w:rsidRPr="00827BDA">
              <w:t>engineer</w:t>
            </w:r>
          </w:p>
        </w:tc>
        <w:tc>
          <w:tcPr>
            <w:tcW w:w="126" w:type="pct"/>
            <w:noWrap/>
          </w:tcPr>
          <w:p w:rsidR="003469FB" w:rsidRPr="00827BDA" w:rsidRDefault="003469FB" w:rsidP="0084368C">
            <w:pPr>
              <w:jc w:val="right"/>
            </w:pPr>
          </w:p>
        </w:tc>
        <w:tc>
          <w:tcPr>
            <w:tcW w:w="2296" w:type="pct"/>
            <w:noWrap/>
          </w:tcPr>
          <w:p w:rsidR="003469FB" w:rsidRPr="00846BF9" w:rsidRDefault="003469FB" w:rsidP="0084368C">
            <w:pPr>
              <w:jc w:val="right"/>
            </w:pPr>
            <w:r w:rsidRPr="00846BF9">
              <w:t>confidential</w:t>
            </w:r>
          </w:p>
        </w:tc>
      </w:tr>
      <w:tr w:rsidR="003469FB" w:rsidRPr="00827BDA" w:rsidTr="0084368C">
        <w:trPr>
          <w:cnfStyle w:val="000000010000" w:firstRow="0" w:lastRow="0" w:firstColumn="0" w:lastColumn="0" w:oddVBand="0" w:evenVBand="0" w:oddHBand="0" w:evenHBand="1" w:firstRowFirstColumn="0" w:firstRowLastColumn="0" w:lastRowFirstColumn="0" w:lastRowLastColumn="0"/>
          <w:trHeight w:val="300"/>
        </w:trPr>
        <w:tc>
          <w:tcPr>
            <w:tcW w:w="1168" w:type="pct"/>
            <w:noWrap/>
            <w:hideMark/>
          </w:tcPr>
          <w:p w:rsidR="003469FB" w:rsidRPr="00827BDA" w:rsidRDefault="003469FB" w:rsidP="0084368C">
            <w:r w:rsidRPr="00827BDA">
              <w:t>Senior Technical Officer/Engineer_Design Section</w:t>
            </w:r>
          </w:p>
        </w:tc>
        <w:tc>
          <w:tcPr>
            <w:tcW w:w="136" w:type="pct"/>
            <w:noWrap/>
          </w:tcPr>
          <w:p w:rsidR="003469FB" w:rsidRPr="00827BDA" w:rsidRDefault="003469FB" w:rsidP="0084368C"/>
        </w:tc>
        <w:tc>
          <w:tcPr>
            <w:tcW w:w="1275" w:type="pct"/>
            <w:noWrap/>
            <w:hideMark/>
          </w:tcPr>
          <w:p w:rsidR="003469FB" w:rsidRPr="00827BDA" w:rsidRDefault="003469FB" w:rsidP="0084368C">
            <w:pPr>
              <w:jc w:val="right"/>
            </w:pPr>
            <w:r w:rsidRPr="00827BDA">
              <w:t>senior engineer</w:t>
            </w:r>
          </w:p>
        </w:tc>
        <w:tc>
          <w:tcPr>
            <w:tcW w:w="126" w:type="pct"/>
            <w:noWrap/>
          </w:tcPr>
          <w:p w:rsidR="003469FB" w:rsidRPr="00827BDA" w:rsidRDefault="003469FB" w:rsidP="0084368C">
            <w:pPr>
              <w:jc w:val="right"/>
            </w:pPr>
          </w:p>
        </w:tc>
        <w:tc>
          <w:tcPr>
            <w:tcW w:w="2296" w:type="pct"/>
            <w:noWrap/>
          </w:tcPr>
          <w:p w:rsidR="003469FB" w:rsidRPr="00846BF9" w:rsidRDefault="003469FB" w:rsidP="0084368C">
            <w:pPr>
              <w:jc w:val="right"/>
            </w:pPr>
            <w:r w:rsidRPr="00846BF9">
              <w:t>confidential</w:t>
            </w:r>
          </w:p>
        </w:tc>
      </w:tr>
    </w:tbl>
    <w:p w:rsidR="003469FB" w:rsidRDefault="003469FB" w:rsidP="003469FB">
      <w:pPr>
        <w:pStyle w:val="AERtablesource"/>
      </w:pPr>
      <w:r w:rsidRPr="005B4482">
        <w:t xml:space="preserve">Source: ActewAGL, </w:t>
      </w:r>
      <w:r w:rsidRPr="005B4482">
        <w:rPr>
          <w:rStyle w:val="AERtextitalic"/>
        </w:rPr>
        <w:t>Revised regulatory proposal</w:t>
      </w:r>
      <w:r>
        <w:t>;</w:t>
      </w:r>
      <w:r w:rsidRPr="005B4482">
        <w:t xml:space="preserve"> </w:t>
      </w:r>
      <w:r>
        <w:t xml:space="preserve"> Marsden Jacob report</w:t>
      </w:r>
      <w:r w:rsidRPr="00763383">
        <w:t xml:space="preserve"> </w:t>
      </w:r>
      <w:r>
        <w:t>Marsden Jacob Associates,</w:t>
      </w:r>
      <w:r>
        <w:rPr>
          <w:rStyle w:val="AERtextitalic"/>
        </w:rPr>
        <w:t xml:space="preserve"> </w:t>
      </w:r>
      <w:r w:rsidRPr="0009733F">
        <w:t>Email advice to the AE</w:t>
      </w:r>
      <w:r>
        <w:t xml:space="preserve">R, 1 October 2014; AER, Final decision </w:t>
      </w:r>
    </w:p>
    <w:p w:rsidR="00827BDA" w:rsidRDefault="00827BDA" w:rsidP="00827BDA">
      <w:pPr>
        <w:pStyle w:val="Caption"/>
      </w:pPr>
      <w:r>
        <w:t xml:space="preserve">Table </w:t>
      </w:r>
      <w:fldSimple w:instr=" STYLEREF 1 \s ">
        <w:r w:rsidR="004704F5">
          <w:rPr>
            <w:noProof/>
          </w:rPr>
          <w:t>16</w:t>
        </w:r>
      </w:fldSimple>
      <w:r>
        <w:t>.</w:t>
      </w:r>
      <w:r w:rsidR="000D189C">
        <w:fldChar w:fldCharType="begin"/>
      </w:r>
      <w:r w:rsidR="000D189C">
        <w:instrText xml:space="preserve"> SEQ Table \* ARABIC \s 1 </w:instrText>
      </w:r>
      <w:r w:rsidR="000D189C">
        <w:fldChar w:fldCharType="separate"/>
      </w:r>
      <w:r w:rsidR="004704F5">
        <w:rPr>
          <w:noProof/>
        </w:rPr>
        <w:t>19</w:t>
      </w:r>
      <w:r w:rsidR="000D189C">
        <w:rPr>
          <w:noProof/>
        </w:rPr>
        <w:fldChar w:fldCharType="end"/>
      </w:r>
      <w:r>
        <w:t>: AER labour escalation X factor (percentage)</w:t>
      </w:r>
      <w:r>
        <w:tab/>
      </w:r>
    </w:p>
    <w:tbl>
      <w:tblPr>
        <w:tblStyle w:val="AERtable-numbers"/>
        <w:tblW w:w="5000" w:type="pct"/>
        <w:tblLook w:val="04A0" w:firstRow="1" w:lastRow="0" w:firstColumn="1" w:lastColumn="0" w:noHBand="0" w:noVBand="1"/>
      </w:tblPr>
      <w:tblGrid>
        <w:gridCol w:w="3081"/>
        <w:gridCol w:w="1692"/>
        <w:gridCol w:w="1307"/>
        <w:gridCol w:w="1307"/>
        <w:gridCol w:w="1306"/>
      </w:tblGrid>
      <w:tr w:rsidR="00827BDA" w:rsidRPr="007545B4" w:rsidTr="00846B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827BDA" w:rsidRPr="007545B4" w:rsidRDefault="00827BDA" w:rsidP="00846BF9"/>
        </w:tc>
        <w:tc>
          <w:tcPr>
            <w:tcW w:w="973" w:type="pct"/>
            <w:noWrap/>
            <w:hideMark/>
          </w:tcPr>
          <w:p w:rsidR="00827BDA" w:rsidRPr="007545B4" w:rsidRDefault="00827BDA" w:rsidP="00846BF9">
            <w:pPr>
              <w:cnfStyle w:val="100000000000" w:firstRow="1" w:lastRow="0" w:firstColumn="0" w:lastColumn="0" w:oddVBand="0" w:evenVBand="0" w:oddHBand="0" w:evenHBand="0" w:firstRowFirstColumn="0" w:firstRowLastColumn="0" w:lastRowFirstColumn="0" w:lastRowLastColumn="0"/>
            </w:pPr>
            <w:r w:rsidRPr="007545B4">
              <w:t>2015–16</w:t>
            </w:r>
          </w:p>
        </w:tc>
        <w:tc>
          <w:tcPr>
            <w:tcW w:w="752" w:type="pct"/>
            <w:noWrap/>
            <w:hideMark/>
          </w:tcPr>
          <w:p w:rsidR="00827BDA" w:rsidRPr="007545B4" w:rsidRDefault="00827BDA" w:rsidP="00846BF9">
            <w:pPr>
              <w:cnfStyle w:val="100000000000" w:firstRow="1" w:lastRow="0" w:firstColumn="0" w:lastColumn="0" w:oddVBand="0" w:evenVBand="0" w:oddHBand="0" w:evenHBand="0" w:firstRowFirstColumn="0" w:firstRowLastColumn="0" w:lastRowFirstColumn="0" w:lastRowLastColumn="0"/>
            </w:pPr>
            <w:r w:rsidRPr="007545B4">
              <w:t>2016–17</w:t>
            </w:r>
          </w:p>
        </w:tc>
        <w:tc>
          <w:tcPr>
            <w:tcW w:w="752" w:type="pct"/>
            <w:noWrap/>
            <w:hideMark/>
          </w:tcPr>
          <w:p w:rsidR="00827BDA" w:rsidRPr="007545B4" w:rsidRDefault="00827BDA" w:rsidP="00846BF9">
            <w:pPr>
              <w:cnfStyle w:val="100000000000" w:firstRow="1" w:lastRow="0" w:firstColumn="0" w:lastColumn="0" w:oddVBand="0" w:evenVBand="0" w:oddHBand="0" w:evenHBand="0" w:firstRowFirstColumn="0" w:firstRowLastColumn="0" w:lastRowFirstColumn="0" w:lastRowLastColumn="0"/>
            </w:pPr>
            <w:r w:rsidRPr="007545B4">
              <w:t>2017–18</w:t>
            </w:r>
          </w:p>
        </w:tc>
        <w:tc>
          <w:tcPr>
            <w:tcW w:w="752" w:type="pct"/>
            <w:noWrap/>
            <w:hideMark/>
          </w:tcPr>
          <w:p w:rsidR="00827BDA" w:rsidRPr="007545B4" w:rsidRDefault="00827BDA" w:rsidP="00846BF9">
            <w:pPr>
              <w:cnfStyle w:val="100000000000" w:firstRow="1" w:lastRow="0" w:firstColumn="0" w:lastColumn="0" w:oddVBand="0" w:evenVBand="0" w:oddHBand="0" w:evenHBand="0" w:firstRowFirstColumn="0" w:firstRowLastColumn="0" w:lastRowFirstColumn="0" w:lastRowLastColumn="0"/>
            </w:pPr>
            <w:r w:rsidRPr="007545B4">
              <w:t>2018–19</w:t>
            </w:r>
          </w:p>
        </w:tc>
      </w:tr>
      <w:tr w:rsidR="00827BDA" w:rsidRPr="007545B4" w:rsidTr="00846BF9">
        <w:trPr>
          <w:trHeight w:val="300"/>
        </w:trPr>
        <w:tc>
          <w:tcPr>
            <w:cnfStyle w:val="001000000000" w:firstRow="0" w:lastRow="0" w:firstColumn="1" w:lastColumn="0" w:oddVBand="0" w:evenVBand="0" w:oddHBand="0" w:evenHBand="0" w:firstRowFirstColumn="0" w:firstRowLastColumn="0" w:lastRowFirstColumn="0" w:lastRowLastColumn="0"/>
            <w:tcW w:w="1772" w:type="pct"/>
            <w:noWrap/>
            <w:hideMark/>
          </w:tcPr>
          <w:p w:rsidR="00827BDA" w:rsidRPr="007545B4" w:rsidRDefault="00827BDA" w:rsidP="00846BF9">
            <w:r w:rsidRPr="007545B4">
              <w:t>labour escalation factor</w:t>
            </w:r>
          </w:p>
        </w:tc>
        <w:tc>
          <w:tcPr>
            <w:tcW w:w="973" w:type="pct"/>
            <w:noWrap/>
            <w:hideMark/>
          </w:tcPr>
          <w:p w:rsidR="00827BDA" w:rsidRPr="007545B4" w:rsidRDefault="00827BDA" w:rsidP="00846BF9">
            <w:pPr>
              <w:cnfStyle w:val="000000000000" w:firstRow="0" w:lastRow="0" w:firstColumn="0" w:lastColumn="0" w:oddVBand="0" w:evenVBand="0" w:oddHBand="0" w:evenHBand="0" w:firstRowFirstColumn="0" w:firstRowLastColumn="0" w:lastRowFirstColumn="0" w:lastRowLastColumn="0"/>
            </w:pPr>
            <w:r>
              <w:t>–0.76</w:t>
            </w:r>
          </w:p>
        </w:tc>
        <w:tc>
          <w:tcPr>
            <w:tcW w:w="752" w:type="pct"/>
            <w:noWrap/>
            <w:hideMark/>
          </w:tcPr>
          <w:p w:rsidR="00827BDA" w:rsidRPr="007545B4" w:rsidRDefault="00827BDA" w:rsidP="00846BF9">
            <w:pPr>
              <w:cnfStyle w:val="000000000000" w:firstRow="0" w:lastRow="0" w:firstColumn="0" w:lastColumn="0" w:oddVBand="0" w:evenVBand="0" w:oddHBand="0" w:evenHBand="0" w:firstRowFirstColumn="0" w:firstRowLastColumn="0" w:lastRowFirstColumn="0" w:lastRowLastColumn="0"/>
            </w:pPr>
            <w:r>
              <w:t>–1.13</w:t>
            </w:r>
          </w:p>
        </w:tc>
        <w:tc>
          <w:tcPr>
            <w:tcW w:w="752" w:type="pct"/>
            <w:noWrap/>
            <w:hideMark/>
          </w:tcPr>
          <w:p w:rsidR="00827BDA" w:rsidRPr="007545B4" w:rsidRDefault="00827BDA" w:rsidP="00846BF9">
            <w:pPr>
              <w:cnfStyle w:val="000000000000" w:firstRow="0" w:lastRow="0" w:firstColumn="0" w:lastColumn="0" w:oddVBand="0" w:evenVBand="0" w:oddHBand="0" w:evenHBand="0" w:firstRowFirstColumn="0" w:firstRowLastColumn="0" w:lastRowFirstColumn="0" w:lastRowLastColumn="0"/>
            </w:pPr>
            <w:r>
              <w:t>–1.22</w:t>
            </w:r>
          </w:p>
        </w:tc>
        <w:tc>
          <w:tcPr>
            <w:tcW w:w="752" w:type="pct"/>
            <w:noWrap/>
            <w:hideMark/>
          </w:tcPr>
          <w:p w:rsidR="00827BDA" w:rsidRPr="007545B4" w:rsidRDefault="00827BDA" w:rsidP="00846BF9">
            <w:pPr>
              <w:cnfStyle w:val="000000000000" w:firstRow="0" w:lastRow="0" w:firstColumn="0" w:lastColumn="0" w:oddVBand="0" w:evenVBand="0" w:oddHBand="0" w:evenHBand="0" w:firstRowFirstColumn="0" w:firstRowLastColumn="0" w:lastRowFirstColumn="0" w:lastRowLastColumn="0"/>
            </w:pPr>
            <w:r>
              <w:t>–1.22</w:t>
            </w:r>
          </w:p>
        </w:tc>
      </w:tr>
    </w:tbl>
    <w:p w:rsidR="00827BDA" w:rsidRPr="008C57C6" w:rsidRDefault="00827BDA" w:rsidP="00827BDA">
      <w:pPr>
        <w:pStyle w:val="AERtablesource"/>
        <w:rPr>
          <w:rStyle w:val="CommentReference"/>
        </w:rPr>
      </w:pPr>
      <w:r w:rsidRPr="008C57C6">
        <w:t xml:space="preserve">Source: </w:t>
      </w:r>
      <w:r w:rsidRPr="008C57C6">
        <w:tab/>
        <w:t xml:space="preserve">AER analysis. </w:t>
      </w:r>
    </w:p>
    <w:p w:rsidR="00827BDA" w:rsidRPr="00827BDA" w:rsidRDefault="00827BDA" w:rsidP="00827BDA">
      <w:pPr>
        <w:pStyle w:val="AERtablesource"/>
      </w:pPr>
      <w:r w:rsidRPr="008C57C6">
        <w:rPr>
          <w:rStyle w:val="CommentReference"/>
        </w:rPr>
        <w:t>Note:</w:t>
      </w:r>
      <w:r w:rsidRPr="008C57C6">
        <w:rPr>
          <w:rStyle w:val="CommentReference"/>
        </w:rPr>
        <w:tab/>
      </w:r>
      <w:r>
        <w:t>The exceptions single phase, single element manually read interval meter; single phase two element meter and three phase meter. All these have an X</w:t>
      </w:r>
      <w:r w:rsidRPr="008C57C6">
        <w:t xml:space="preserve"> factor of zero. </w:t>
      </w:r>
      <w:r w:rsidRPr="008C57C6">
        <w:rPr>
          <w:rStyle w:val="CommentReference"/>
        </w:rPr>
        <w:t>To be clear, labour escalators themselves are positive for each year of the regulatory control period. However, the labour escalators in this table are operating as de</w:t>
      </w:r>
      <w:r>
        <w:rPr>
          <w:rStyle w:val="CommentReference"/>
        </w:rPr>
        <w:t xml:space="preserve"> </w:t>
      </w:r>
      <w:r w:rsidRPr="008C57C6">
        <w:rPr>
          <w:rStyle w:val="CommentReference"/>
        </w:rPr>
        <w:t>facto X factors. Therefore, they are negative.</w:t>
      </w:r>
    </w:p>
    <w:p w:rsidR="00816116" w:rsidRDefault="00816116" w:rsidP="00816116"/>
    <w:p w:rsidR="00E23FCF" w:rsidRDefault="00E23FCF" w:rsidP="00E23FCF">
      <w:pPr>
        <w:pStyle w:val="Heading9"/>
        <w:sectPr w:rsidR="00E23FCF" w:rsidSect="00EE50D1">
          <w:pgSz w:w="11906" w:h="16838" w:code="9"/>
          <w:pgMar w:top="1440" w:right="1700" w:bottom="1582" w:left="1729" w:header="720" w:footer="0" w:gutter="0"/>
          <w:pgNumType w:chapStyle="1"/>
          <w:cols w:space="720"/>
          <w:docGrid w:linePitch="326"/>
        </w:sectPr>
      </w:pPr>
    </w:p>
    <w:p w:rsidR="00816116" w:rsidRDefault="00E23FCF" w:rsidP="00E23FCF">
      <w:pPr>
        <w:pStyle w:val="Heading9"/>
      </w:pPr>
      <w:bookmarkStart w:id="82" w:name="_Toc418078042"/>
      <w:r>
        <w:lastRenderedPageBreak/>
        <w:t>Metering</w:t>
      </w:r>
      <w:bookmarkEnd w:id="82"/>
    </w:p>
    <w:p w:rsidR="00E23FCF" w:rsidRDefault="00E23FCF" w:rsidP="00E23FCF">
      <w:pPr>
        <w:pStyle w:val="Caption"/>
      </w:pPr>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20</w:t>
      </w:r>
      <w:r w:rsidR="000D189C">
        <w:rPr>
          <w:noProof/>
        </w:rPr>
        <w:fldChar w:fldCharType="end"/>
      </w:r>
      <w:r>
        <w:t xml:space="preserve"> ActewAGL – Annual metering charges</w:t>
      </w:r>
    </w:p>
    <w:tbl>
      <w:tblPr>
        <w:tblStyle w:val="AERtable-numbers"/>
        <w:tblW w:w="14058" w:type="dxa"/>
        <w:tblLook w:val="04A0" w:firstRow="1" w:lastRow="0" w:firstColumn="1" w:lastColumn="0" w:noHBand="0" w:noVBand="1"/>
      </w:tblPr>
      <w:tblGrid>
        <w:gridCol w:w="2523"/>
        <w:gridCol w:w="2439"/>
        <w:gridCol w:w="2299"/>
        <w:gridCol w:w="2299"/>
        <w:gridCol w:w="2299"/>
        <w:gridCol w:w="2199"/>
      </w:tblGrid>
      <w:tr w:rsidR="00E23FCF" w:rsidRPr="003C5DFD" w:rsidTr="008410C3">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23" w:type="dxa"/>
          </w:tcPr>
          <w:p w:rsidR="00E23FCF" w:rsidRPr="003C5DFD" w:rsidRDefault="00E23FCF" w:rsidP="003C5DFD">
            <w:r w:rsidRPr="003C5DFD">
              <w:t>Tariff class</w:t>
            </w:r>
          </w:p>
        </w:tc>
        <w:tc>
          <w:tcPr>
            <w:tcW w:w="2439" w:type="dxa"/>
          </w:tcPr>
          <w:p w:rsidR="00E23FCF" w:rsidRPr="003C5DFD" w:rsidRDefault="00E23FCF" w:rsidP="003C5DFD">
            <w:pPr>
              <w:cnfStyle w:val="100000000000" w:firstRow="1" w:lastRow="0" w:firstColumn="0" w:lastColumn="0" w:oddVBand="0" w:evenVBand="0" w:oddHBand="0" w:evenHBand="0" w:firstRowFirstColumn="0" w:firstRowLastColumn="0" w:lastRowFirstColumn="0" w:lastRowLastColumn="0"/>
            </w:pPr>
            <w:r w:rsidRPr="003C5DFD">
              <w:t>Costs</w:t>
            </w:r>
          </w:p>
        </w:tc>
        <w:tc>
          <w:tcPr>
            <w:tcW w:w="2299" w:type="dxa"/>
          </w:tcPr>
          <w:p w:rsidR="00E23FCF" w:rsidRPr="003C5DFD" w:rsidRDefault="00E23FCF" w:rsidP="003C5DFD">
            <w:pPr>
              <w:cnfStyle w:val="100000000000" w:firstRow="1" w:lastRow="0" w:firstColumn="0" w:lastColumn="0" w:oddVBand="0" w:evenVBand="0" w:oddHBand="0" w:evenHBand="0" w:firstRowFirstColumn="0" w:firstRowLastColumn="0" w:lastRowFirstColumn="0" w:lastRowLastColumn="0"/>
            </w:pPr>
            <w:r w:rsidRPr="003C5DFD">
              <w:t>2015/16</w:t>
            </w:r>
          </w:p>
        </w:tc>
        <w:tc>
          <w:tcPr>
            <w:tcW w:w="2299" w:type="dxa"/>
          </w:tcPr>
          <w:p w:rsidR="00E23FCF" w:rsidRPr="003C5DFD" w:rsidRDefault="00E23FCF" w:rsidP="003C5DFD">
            <w:pPr>
              <w:cnfStyle w:val="100000000000" w:firstRow="1" w:lastRow="0" w:firstColumn="0" w:lastColumn="0" w:oddVBand="0" w:evenVBand="0" w:oddHBand="0" w:evenHBand="0" w:firstRowFirstColumn="0" w:firstRowLastColumn="0" w:lastRowFirstColumn="0" w:lastRowLastColumn="0"/>
            </w:pPr>
            <w:r w:rsidRPr="003C5DFD">
              <w:t>2016/17</w:t>
            </w:r>
          </w:p>
        </w:tc>
        <w:tc>
          <w:tcPr>
            <w:tcW w:w="2299" w:type="dxa"/>
          </w:tcPr>
          <w:p w:rsidR="00E23FCF" w:rsidRPr="003C5DFD" w:rsidRDefault="00E23FCF" w:rsidP="003C5DFD">
            <w:pPr>
              <w:cnfStyle w:val="100000000000" w:firstRow="1" w:lastRow="0" w:firstColumn="0" w:lastColumn="0" w:oddVBand="0" w:evenVBand="0" w:oddHBand="0" w:evenHBand="0" w:firstRowFirstColumn="0" w:firstRowLastColumn="0" w:lastRowFirstColumn="0" w:lastRowLastColumn="0"/>
            </w:pPr>
            <w:r w:rsidRPr="003C5DFD">
              <w:t>2017/18</w:t>
            </w:r>
          </w:p>
        </w:tc>
        <w:tc>
          <w:tcPr>
            <w:tcW w:w="2199" w:type="dxa"/>
          </w:tcPr>
          <w:p w:rsidR="00E23FCF" w:rsidRPr="003C5DFD" w:rsidRDefault="00E23FCF" w:rsidP="003C5DFD">
            <w:pPr>
              <w:cnfStyle w:val="100000000000" w:firstRow="1" w:lastRow="0" w:firstColumn="0" w:lastColumn="0" w:oddVBand="0" w:evenVBand="0" w:oddHBand="0" w:evenHBand="0" w:firstRowFirstColumn="0" w:firstRowLastColumn="0" w:lastRowFirstColumn="0" w:lastRowLastColumn="0"/>
            </w:pPr>
            <w:r w:rsidRPr="003C5DFD">
              <w:t>2018/19</w:t>
            </w:r>
          </w:p>
        </w:tc>
      </w:tr>
      <w:tr w:rsidR="00E23FCF" w:rsidRPr="003C5DFD" w:rsidTr="008410C3">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MP1: Quarterly basic metering rate</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13.59</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13.91</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14.24</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14.58</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27.56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28.22</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28.89</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29.58</w:t>
            </w:r>
          </w:p>
        </w:tc>
      </w:tr>
      <w:tr w:rsidR="00E23FCF" w:rsidRPr="003C5DFD" w:rsidTr="008410C3">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MP2: Monthly basic metering rate</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23.77</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24.34</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24.92</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25.51</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48.21</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49.36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50.54</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51.74</w:t>
            </w:r>
          </w:p>
        </w:tc>
      </w:tr>
      <w:tr w:rsidR="00E23FCF" w:rsidRPr="003C5DFD" w:rsidTr="008410C3">
        <w:trPr>
          <w:trHeight w:val="342"/>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MP3: TOU metering rate (monthly)</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23.77</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24.34</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24.92</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25.51</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48.21</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49.36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50.54</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51.74</w:t>
            </w:r>
          </w:p>
        </w:tc>
      </w:tr>
      <w:tr w:rsidR="00E23FCF" w:rsidRPr="003C5DFD" w:rsidTr="008410C3">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MP4: Monthly manually–read interval metering rate</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191.89</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196.45</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201.13</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205.92</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389.20</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398.46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407.94</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417.65</w:t>
            </w:r>
          </w:p>
        </w:tc>
      </w:tr>
      <w:tr w:rsidR="00E23FCF" w:rsidRPr="003C5DFD" w:rsidTr="008410C3">
        <w:trPr>
          <w:trHeight w:val="405"/>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MP5: Internal metering rate</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23.77</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24.34</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24.92</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25.51</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48.21</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49.36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50.54</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51.74</w:t>
            </w:r>
          </w:p>
        </w:tc>
      </w:tr>
      <w:tr w:rsidR="00E23FCF" w:rsidRPr="003C5DFD" w:rsidTr="008410C3">
        <w:trPr>
          <w:trHeight w:val="424"/>
        </w:trPr>
        <w:tc>
          <w:tcPr>
            <w:cnfStyle w:val="001000000000" w:firstRow="0" w:lastRow="0" w:firstColumn="1" w:lastColumn="0" w:oddVBand="0" w:evenVBand="0" w:oddHBand="0" w:evenHBand="0" w:firstRowFirstColumn="0" w:firstRowLastColumn="0" w:lastRowFirstColumn="0" w:lastRowLastColumn="0"/>
            <w:tcW w:w="2523" w:type="dxa"/>
            <w:vMerge w:val="restart"/>
          </w:tcPr>
          <w:p w:rsidR="00E23FCF" w:rsidRPr="003C5DFD" w:rsidRDefault="00E23FCF" w:rsidP="003C5DFD">
            <w:r w:rsidRPr="003C5DFD">
              <w:t>MP6: Quarterly manually read interval metering rate</w:t>
            </w:r>
          </w:p>
        </w:tc>
        <w:tc>
          <w:tcPr>
            <w:tcW w:w="243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Non–capital</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54.73</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56.04</w:t>
            </w:r>
          </w:p>
        </w:tc>
        <w:tc>
          <w:tcPr>
            <w:tcW w:w="22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57.37</w:t>
            </w:r>
          </w:p>
        </w:tc>
        <w:tc>
          <w:tcPr>
            <w:tcW w:w="2199" w:type="dxa"/>
          </w:tcPr>
          <w:p w:rsidR="00E23FCF" w:rsidRPr="003C5DFD" w:rsidRDefault="00E23FCF" w:rsidP="003C5DFD">
            <w:pPr>
              <w:cnfStyle w:val="000000000000" w:firstRow="0" w:lastRow="0" w:firstColumn="0" w:lastColumn="0" w:oddVBand="0" w:evenVBand="0" w:oddHBand="0" w:evenHBand="0" w:firstRowFirstColumn="0" w:firstRowLastColumn="0" w:lastRowFirstColumn="0" w:lastRowLastColumn="0"/>
            </w:pPr>
            <w:r w:rsidRPr="003C5DFD">
              <w:t>58.74</w:t>
            </w:r>
          </w:p>
        </w:tc>
      </w:tr>
      <w:tr w:rsidR="00E23FCF" w:rsidRPr="003C5DFD" w:rsidTr="008410C3">
        <w:trPr>
          <w:cnfStyle w:val="000000010000" w:firstRow="0" w:lastRow="0" w:firstColumn="0" w:lastColumn="0" w:oddVBand="0" w:evenVBand="0" w:oddHBand="0" w:evenHBand="1"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523" w:type="dxa"/>
            <w:vMerge/>
          </w:tcPr>
          <w:p w:rsidR="00E23FCF" w:rsidRPr="003C5DFD" w:rsidRDefault="00E23FCF" w:rsidP="003C5DFD"/>
        </w:tc>
        <w:tc>
          <w:tcPr>
            <w:tcW w:w="243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Capital</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111.02</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113.66</w:t>
            </w:r>
          </w:p>
        </w:tc>
        <w:tc>
          <w:tcPr>
            <w:tcW w:w="22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116.36</w:t>
            </w:r>
          </w:p>
        </w:tc>
        <w:tc>
          <w:tcPr>
            <w:tcW w:w="2199" w:type="dxa"/>
          </w:tcPr>
          <w:p w:rsidR="00E23FCF" w:rsidRPr="003C5DFD" w:rsidRDefault="00E23FCF" w:rsidP="003C5DFD">
            <w:pPr>
              <w:cnfStyle w:val="000000010000" w:firstRow="0" w:lastRow="0" w:firstColumn="0" w:lastColumn="0" w:oddVBand="0" w:evenVBand="0" w:oddHBand="0" w:evenHBand="1" w:firstRowFirstColumn="0" w:firstRowLastColumn="0" w:lastRowFirstColumn="0" w:lastRowLastColumn="0"/>
            </w:pPr>
            <w:r w:rsidRPr="003C5DFD">
              <w:t>119.13</w:t>
            </w:r>
          </w:p>
        </w:tc>
      </w:tr>
    </w:tbl>
    <w:p w:rsidR="00E23FCF" w:rsidRPr="009D6B46" w:rsidRDefault="00E23FCF" w:rsidP="00E23FCF"/>
    <w:p w:rsidR="00E23FCF" w:rsidRDefault="00E23FCF" w:rsidP="00827BDA">
      <w:pPr>
        <w:pStyle w:val="Caption"/>
      </w:pPr>
      <w:r>
        <w:lastRenderedPageBreak/>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21</w:t>
      </w:r>
      <w:r w:rsidR="000D189C">
        <w:rPr>
          <w:noProof/>
        </w:rPr>
        <w:fldChar w:fldCharType="end"/>
      </w:r>
      <w:r>
        <w:t xml:space="preserve"> ActewAGL – Annual metering charges X–factors</w:t>
      </w:r>
      <w:r w:rsidR="005D2C21">
        <w:t xml:space="preserve"> (percent)</w:t>
      </w:r>
    </w:p>
    <w:tbl>
      <w:tblPr>
        <w:tblStyle w:val="AERtable-numbers"/>
        <w:tblW w:w="0" w:type="auto"/>
        <w:tblLook w:val="04A0" w:firstRow="1" w:lastRow="0" w:firstColumn="1" w:lastColumn="0" w:noHBand="0" w:noVBand="1"/>
      </w:tblPr>
      <w:tblGrid>
        <w:gridCol w:w="1738"/>
        <w:gridCol w:w="1739"/>
        <w:gridCol w:w="1739"/>
        <w:gridCol w:w="1739"/>
      </w:tblGrid>
      <w:tr w:rsidR="00E23FCF" w:rsidRPr="00F65BC1" w:rsidTr="0084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23FCF" w:rsidRPr="00F65BC1" w:rsidRDefault="00E23FCF" w:rsidP="0084368C">
            <w:pPr>
              <w:keepNext/>
            </w:pP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rsidRPr="00F65BC1">
              <w:t>2016–17</w:t>
            </w: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rsidRPr="00F65BC1">
              <w:t>2017–18</w:t>
            </w: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rsidRPr="00F65BC1">
              <w:t>2018–19</w:t>
            </w:r>
          </w:p>
        </w:tc>
      </w:tr>
      <w:tr w:rsidR="00E23FCF" w:rsidRPr="00F65BC1" w:rsidTr="008410C3">
        <w:tc>
          <w:tcPr>
            <w:cnfStyle w:val="001000000000" w:firstRow="0" w:lastRow="0" w:firstColumn="1" w:lastColumn="0" w:oddVBand="0" w:evenVBand="0" w:oddHBand="0" w:evenHBand="0" w:firstRowFirstColumn="0" w:firstRowLastColumn="0" w:lastRowFirstColumn="0" w:lastRowLastColumn="0"/>
            <w:tcW w:w="1738" w:type="dxa"/>
          </w:tcPr>
          <w:p w:rsidR="00E23FCF" w:rsidRPr="00E23FCF" w:rsidRDefault="00E23FCF" w:rsidP="0084368C">
            <w:pPr>
              <w:keepNext/>
            </w:pPr>
            <w:r w:rsidRPr="00F65BC1">
              <w:t>X factor</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0.0</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0.0</w:t>
            </w:r>
          </w:p>
        </w:tc>
      </w:tr>
    </w:tbl>
    <w:p w:rsidR="008C57C6" w:rsidRPr="008C57C6" w:rsidRDefault="008C57C6" w:rsidP="0084368C">
      <w:pPr>
        <w:pStyle w:val="AERtablesource"/>
        <w:keepNext/>
        <w:rPr>
          <w:rStyle w:val="CommentReference"/>
          <w:rFonts w:eastAsia="Calibri"/>
          <w:lang w:eastAsia="en-AU"/>
        </w:rPr>
      </w:pPr>
      <w:r w:rsidRPr="008C57C6">
        <w:t xml:space="preserve">Source: </w:t>
      </w:r>
      <w:r w:rsidRPr="008C57C6">
        <w:tab/>
        <w:t xml:space="preserve">AER analysis. </w:t>
      </w:r>
    </w:p>
    <w:p w:rsidR="00E23FCF" w:rsidRDefault="00E23FCF" w:rsidP="00E23FCF">
      <w:pPr>
        <w:pStyle w:val="Caption"/>
      </w:pPr>
      <w:bookmarkStart w:id="83" w:name="_Ref417662198"/>
      <w:r>
        <w:t xml:space="preserve">Table </w:t>
      </w:r>
      <w:fldSimple w:instr=" STYLEREF 1 \s ">
        <w:r w:rsidR="004704F5">
          <w:rPr>
            <w:noProof/>
          </w:rPr>
          <w:t>16</w:t>
        </w:r>
      </w:fldSimple>
      <w:r w:rsidR="00572635">
        <w:t>.</w:t>
      </w:r>
      <w:r w:rsidR="000D189C">
        <w:fldChar w:fldCharType="begin"/>
      </w:r>
      <w:r w:rsidR="000D189C">
        <w:instrText xml:space="preserve"> SEQ Table \* ARABIC \s 1 </w:instrText>
      </w:r>
      <w:r w:rsidR="000D189C">
        <w:fldChar w:fldCharType="separate"/>
      </w:r>
      <w:r w:rsidR="004704F5">
        <w:rPr>
          <w:noProof/>
        </w:rPr>
        <w:t>22</w:t>
      </w:r>
      <w:r w:rsidR="000D189C">
        <w:rPr>
          <w:noProof/>
        </w:rPr>
        <w:fldChar w:fldCharType="end"/>
      </w:r>
      <w:bookmarkEnd w:id="83"/>
      <w:r>
        <w:tab/>
        <w:t xml:space="preserve"> ActewAGL – Upfront charges</w:t>
      </w:r>
    </w:p>
    <w:tbl>
      <w:tblPr>
        <w:tblStyle w:val="AERtable-numbers"/>
        <w:tblW w:w="0" w:type="auto"/>
        <w:tblLook w:val="04A0" w:firstRow="1" w:lastRow="0" w:firstColumn="1" w:lastColumn="0" w:noHBand="0" w:noVBand="1"/>
      </w:tblPr>
      <w:tblGrid>
        <w:gridCol w:w="7017"/>
        <w:gridCol w:w="7013"/>
      </w:tblGrid>
      <w:tr w:rsidR="00E23FCF" w:rsidTr="0084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Meter type</w:t>
            </w:r>
          </w:p>
        </w:tc>
        <w:tc>
          <w:tcPr>
            <w:tcW w:w="7087" w:type="dxa"/>
          </w:tcPr>
          <w:p w:rsidR="00E23FCF" w:rsidRPr="00E23FCF" w:rsidRDefault="00E23FCF" w:rsidP="00E23FCF">
            <w:pPr>
              <w:cnfStyle w:val="100000000000" w:firstRow="1" w:lastRow="0" w:firstColumn="0" w:lastColumn="0" w:oddVBand="0" w:evenVBand="0" w:oddHBand="0" w:evenHBand="0" w:firstRowFirstColumn="0" w:firstRowLastColumn="0" w:lastRowFirstColumn="0" w:lastRowLastColumn="0"/>
            </w:pPr>
            <w:r>
              <w:t>Charge</w:t>
            </w:r>
            <w:r w:rsidR="005D2C21">
              <w:t xml:space="preserve"> ($ 2014–15)</w:t>
            </w:r>
          </w:p>
        </w:tc>
      </w:tr>
      <w:tr w:rsidR="00E23FCF" w:rsidTr="008410C3">
        <w:tc>
          <w:tcPr>
            <w:cnfStyle w:val="001000000000" w:firstRow="0" w:lastRow="0" w:firstColumn="1" w:lastColumn="0" w:oddVBand="0" w:evenVBand="0" w:oddHBand="0" w:evenHBand="0" w:firstRowFirstColumn="0" w:firstRowLastColumn="0" w:lastRowFirstColumn="0" w:lastRowLastColumn="0"/>
            <w:tcW w:w="7087" w:type="dxa"/>
          </w:tcPr>
          <w:p w:rsidR="00E23FCF" w:rsidRPr="005D2C21" w:rsidRDefault="00E23FCF" w:rsidP="00E23FCF">
            <w:pPr>
              <w:rPr>
                <w:rStyle w:val="AERtextunderline"/>
              </w:rPr>
            </w:pPr>
            <w:r w:rsidRPr="005D2C21">
              <w:rPr>
                <w:rStyle w:val="AERtextunderline"/>
              </w:rPr>
              <w:t>Initial meter</w:t>
            </w:r>
          </w:p>
        </w:tc>
        <w:tc>
          <w:tcPr>
            <w:tcW w:w="7087" w:type="dxa"/>
          </w:tcPr>
          <w:p w:rsidR="00E23FCF" w:rsidRDefault="00E23FCF" w:rsidP="00E23FCF">
            <w:pPr>
              <w:cnfStyle w:val="000000000000" w:firstRow="0" w:lastRow="0" w:firstColumn="0" w:lastColumn="0" w:oddVBand="0" w:evenVBand="0" w:oddHBand="0" w:evenHBand="0" w:firstRowFirstColumn="0" w:firstRowLastColumn="0" w:lastRowFirstColumn="0" w:lastRowLastColumn="0"/>
            </w:pPr>
          </w:p>
        </w:tc>
      </w:tr>
      <w:tr w:rsidR="00E23FCF" w:rsidTr="00841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Single phase, single element manually read interval meter</w:t>
            </w:r>
          </w:p>
        </w:tc>
        <w:tc>
          <w:tcPr>
            <w:tcW w:w="7087" w:type="dxa"/>
          </w:tcPr>
          <w:p w:rsidR="00E23FCF" w:rsidRPr="00E23FCF" w:rsidRDefault="00E23FCF" w:rsidP="00E23FCF">
            <w:pPr>
              <w:cnfStyle w:val="000000010000" w:firstRow="0" w:lastRow="0" w:firstColumn="0" w:lastColumn="0" w:oddVBand="0" w:evenVBand="0" w:oddHBand="0" w:evenHBand="1" w:firstRowFirstColumn="0" w:firstRowLastColumn="0" w:lastRowFirstColumn="0" w:lastRowLastColumn="0"/>
            </w:pPr>
            <w:r>
              <w:t>488.76</w:t>
            </w:r>
          </w:p>
        </w:tc>
      </w:tr>
      <w:tr w:rsidR="00E23FCF" w:rsidTr="008410C3">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Single phase, two element meter</w:t>
            </w:r>
          </w:p>
        </w:tc>
        <w:tc>
          <w:tcPr>
            <w:tcW w:w="7087" w:type="dxa"/>
          </w:tcPr>
          <w:p w:rsidR="00E23FCF" w:rsidRPr="00E23FCF" w:rsidRDefault="00E23FCF" w:rsidP="00E23FCF">
            <w:pPr>
              <w:cnfStyle w:val="000000000000" w:firstRow="0" w:lastRow="0" w:firstColumn="0" w:lastColumn="0" w:oddVBand="0" w:evenVBand="0" w:oddHBand="0" w:evenHBand="0" w:firstRowFirstColumn="0" w:firstRowLastColumn="0" w:lastRowFirstColumn="0" w:lastRowLastColumn="0"/>
            </w:pPr>
            <w:r>
              <w:t>594.39</w:t>
            </w:r>
          </w:p>
        </w:tc>
      </w:tr>
      <w:tr w:rsidR="00E23FCF" w:rsidTr="00841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Three phase</w:t>
            </w:r>
          </w:p>
        </w:tc>
        <w:tc>
          <w:tcPr>
            <w:tcW w:w="7087" w:type="dxa"/>
          </w:tcPr>
          <w:p w:rsidR="00E23FCF" w:rsidRPr="00E23FCF" w:rsidRDefault="00E23FCF" w:rsidP="00E23FCF">
            <w:pPr>
              <w:cnfStyle w:val="000000010000" w:firstRow="0" w:lastRow="0" w:firstColumn="0" w:lastColumn="0" w:oddVBand="0" w:evenVBand="0" w:oddHBand="0" w:evenHBand="1" w:firstRowFirstColumn="0" w:firstRowLastColumn="0" w:lastRowFirstColumn="0" w:lastRowLastColumn="0"/>
            </w:pPr>
            <w:r>
              <w:t>715.70</w:t>
            </w:r>
          </w:p>
        </w:tc>
      </w:tr>
      <w:tr w:rsidR="00E23FCF" w:rsidTr="008410C3">
        <w:tc>
          <w:tcPr>
            <w:cnfStyle w:val="001000000000" w:firstRow="0" w:lastRow="0" w:firstColumn="1" w:lastColumn="0" w:oddVBand="0" w:evenVBand="0" w:oddHBand="0" w:evenHBand="0" w:firstRowFirstColumn="0" w:firstRowLastColumn="0" w:lastRowFirstColumn="0" w:lastRowLastColumn="0"/>
            <w:tcW w:w="7087" w:type="dxa"/>
          </w:tcPr>
          <w:p w:rsidR="00E23FCF" w:rsidRPr="005D2C21" w:rsidRDefault="00E23FCF" w:rsidP="00E23FCF">
            <w:pPr>
              <w:rPr>
                <w:rStyle w:val="AERtextunderline"/>
              </w:rPr>
            </w:pPr>
            <w:r w:rsidRPr="005D2C21">
              <w:rPr>
                <w:rStyle w:val="AERtextunderline"/>
              </w:rPr>
              <w:t>Subsequent meter</w:t>
            </w:r>
          </w:p>
        </w:tc>
        <w:tc>
          <w:tcPr>
            <w:tcW w:w="7087" w:type="dxa"/>
          </w:tcPr>
          <w:p w:rsidR="00E23FCF" w:rsidRDefault="00E23FCF" w:rsidP="00E23FCF">
            <w:pPr>
              <w:cnfStyle w:val="000000000000" w:firstRow="0" w:lastRow="0" w:firstColumn="0" w:lastColumn="0" w:oddVBand="0" w:evenVBand="0" w:oddHBand="0" w:evenHBand="0" w:firstRowFirstColumn="0" w:firstRowLastColumn="0" w:lastRowFirstColumn="0" w:lastRowLastColumn="0"/>
            </w:pPr>
          </w:p>
        </w:tc>
      </w:tr>
      <w:tr w:rsidR="00E23FCF" w:rsidTr="00841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Single phase, single element manually read interval meter</w:t>
            </w:r>
          </w:p>
        </w:tc>
        <w:tc>
          <w:tcPr>
            <w:tcW w:w="7087" w:type="dxa"/>
          </w:tcPr>
          <w:p w:rsidR="00E23FCF" w:rsidRPr="00E23FCF" w:rsidRDefault="00E23FCF" w:rsidP="00E23FCF">
            <w:pPr>
              <w:cnfStyle w:val="000000010000" w:firstRow="0" w:lastRow="0" w:firstColumn="0" w:lastColumn="0" w:oddVBand="0" w:evenVBand="0" w:oddHBand="0" w:evenHBand="1" w:firstRowFirstColumn="0" w:firstRowLastColumn="0" w:lastRowFirstColumn="0" w:lastRowLastColumn="0"/>
            </w:pPr>
            <w:r>
              <w:t>308.99</w:t>
            </w:r>
          </w:p>
        </w:tc>
      </w:tr>
      <w:tr w:rsidR="00E23FCF" w:rsidTr="008410C3">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Single phase, two element meter</w:t>
            </w:r>
          </w:p>
        </w:tc>
        <w:tc>
          <w:tcPr>
            <w:tcW w:w="7087" w:type="dxa"/>
          </w:tcPr>
          <w:p w:rsidR="00E23FCF" w:rsidRPr="00E23FCF" w:rsidRDefault="00E23FCF" w:rsidP="00E23FCF">
            <w:pPr>
              <w:cnfStyle w:val="000000000000" w:firstRow="0" w:lastRow="0" w:firstColumn="0" w:lastColumn="0" w:oddVBand="0" w:evenVBand="0" w:oddHBand="0" w:evenHBand="0" w:firstRowFirstColumn="0" w:firstRowLastColumn="0" w:lastRowFirstColumn="0" w:lastRowLastColumn="0"/>
            </w:pPr>
            <w:r>
              <w:t>414.62</w:t>
            </w:r>
          </w:p>
        </w:tc>
      </w:tr>
      <w:tr w:rsidR="00E23FCF" w:rsidTr="008410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E23FCF" w:rsidRPr="00E23FCF" w:rsidRDefault="00E23FCF" w:rsidP="00E23FCF">
            <w:r>
              <w:t>Three phase</w:t>
            </w:r>
          </w:p>
        </w:tc>
        <w:tc>
          <w:tcPr>
            <w:tcW w:w="7087" w:type="dxa"/>
          </w:tcPr>
          <w:p w:rsidR="00E23FCF" w:rsidRPr="00E23FCF" w:rsidRDefault="00E23FCF" w:rsidP="00E23FCF">
            <w:pPr>
              <w:cnfStyle w:val="000000010000" w:firstRow="0" w:lastRow="0" w:firstColumn="0" w:lastColumn="0" w:oddVBand="0" w:evenVBand="0" w:oddHBand="0" w:evenHBand="1" w:firstRowFirstColumn="0" w:firstRowLastColumn="0" w:lastRowFirstColumn="0" w:lastRowLastColumn="0"/>
            </w:pPr>
            <w:r>
              <w:t>535.93</w:t>
            </w:r>
          </w:p>
        </w:tc>
      </w:tr>
    </w:tbl>
    <w:p w:rsidR="00E23FCF" w:rsidRDefault="005D2C21" w:rsidP="005D2C21">
      <w:pPr>
        <w:pStyle w:val="AERtablesource"/>
      </w:pPr>
      <w:r>
        <w:t>Source:</w:t>
      </w:r>
      <w:r>
        <w:tab/>
        <w:t>AER analysis</w:t>
      </w:r>
    </w:p>
    <w:p w:rsidR="005D2C21" w:rsidRDefault="005D2C21" w:rsidP="005D2C21">
      <w:pPr>
        <w:pStyle w:val="AERtablesource"/>
      </w:pPr>
      <w:r>
        <w:t>Note 1:</w:t>
      </w:r>
      <w:r>
        <w:tab/>
        <w:t xml:space="preserve">All charges include the cost of a meter and its installation. </w:t>
      </w:r>
    </w:p>
    <w:p w:rsidR="005D2C21" w:rsidRPr="005D2C21" w:rsidRDefault="005D2C21" w:rsidP="005D2C21">
      <w:pPr>
        <w:pStyle w:val="AERtablesource"/>
      </w:pPr>
      <w:r>
        <w:t>Note 2:</w:t>
      </w:r>
      <w:r>
        <w:tab/>
        <w:t>The approved charges include standard and micro–renewable energy installations.</w:t>
      </w:r>
    </w:p>
    <w:p w:rsidR="00E23FCF" w:rsidRDefault="00E23FCF" w:rsidP="00827BDA">
      <w:pPr>
        <w:pStyle w:val="Caption"/>
      </w:pPr>
      <w:r>
        <w:lastRenderedPageBreak/>
        <w:t>Table</w:t>
      </w:r>
      <w:r w:rsidR="00827BDA">
        <w:t xml:space="preserve"> </w:t>
      </w:r>
      <w:fldSimple w:instr=" STYLEREF 1 \s ">
        <w:r w:rsidR="004704F5">
          <w:rPr>
            <w:noProof/>
          </w:rPr>
          <w:t>16</w:t>
        </w:r>
      </w:fldSimple>
      <w:r w:rsidR="00572635">
        <w:t>.</w:t>
      </w:r>
      <w:fldSimple w:instr=" SEQ Table \* ARABIC \s 1 ">
        <w:r w:rsidR="004704F5">
          <w:rPr>
            <w:noProof/>
          </w:rPr>
          <w:t>23</w:t>
        </w:r>
      </w:fldSimple>
      <w:r>
        <w:tab/>
        <w:t xml:space="preserve"> ActewAGL – Upfront charges X–factor</w:t>
      </w:r>
      <w:r w:rsidR="005D2C21">
        <w:t xml:space="preserve"> (percent)</w:t>
      </w:r>
    </w:p>
    <w:tbl>
      <w:tblPr>
        <w:tblStyle w:val="AERtable-numbers"/>
        <w:tblW w:w="0" w:type="auto"/>
        <w:tblLook w:val="04A0" w:firstRow="1" w:lastRow="0" w:firstColumn="1" w:lastColumn="0" w:noHBand="0" w:noVBand="1"/>
      </w:tblPr>
      <w:tblGrid>
        <w:gridCol w:w="1738"/>
        <w:gridCol w:w="1739"/>
        <w:gridCol w:w="1739"/>
        <w:gridCol w:w="1739"/>
        <w:gridCol w:w="1739"/>
      </w:tblGrid>
      <w:tr w:rsidR="00E23FCF" w:rsidRPr="00F65BC1" w:rsidTr="00841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E23FCF" w:rsidRPr="00F65BC1" w:rsidRDefault="00E23FCF" w:rsidP="0084368C">
            <w:pPr>
              <w:keepNext/>
            </w:pP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t>2015–16</w:t>
            </w: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t>2016–17</w:t>
            </w: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t>2017–18</w:t>
            </w:r>
          </w:p>
        </w:tc>
        <w:tc>
          <w:tcPr>
            <w:tcW w:w="1739" w:type="dxa"/>
          </w:tcPr>
          <w:p w:rsidR="00E23FCF" w:rsidRPr="00E23FCF" w:rsidRDefault="00E23FCF" w:rsidP="0084368C">
            <w:pPr>
              <w:keepNext/>
              <w:cnfStyle w:val="100000000000" w:firstRow="1" w:lastRow="0" w:firstColumn="0" w:lastColumn="0" w:oddVBand="0" w:evenVBand="0" w:oddHBand="0" w:evenHBand="0" w:firstRowFirstColumn="0" w:firstRowLastColumn="0" w:lastRowFirstColumn="0" w:lastRowLastColumn="0"/>
            </w:pPr>
            <w:r>
              <w:t>–042018–19</w:t>
            </w:r>
          </w:p>
        </w:tc>
      </w:tr>
      <w:tr w:rsidR="00E23FCF" w:rsidRPr="00F65BC1" w:rsidTr="008410C3">
        <w:tc>
          <w:tcPr>
            <w:cnfStyle w:val="001000000000" w:firstRow="0" w:lastRow="0" w:firstColumn="1" w:lastColumn="0" w:oddVBand="0" w:evenVBand="0" w:oddHBand="0" w:evenHBand="0" w:firstRowFirstColumn="0" w:firstRowLastColumn="0" w:lastRowFirstColumn="0" w:lastRowLastColumn="0"/>
            <w:tcW w:w="1738" w:type="dxa"/>
          </w:tcPr>
          <w:p w:rsidR="00E23FCF" w:rsidRPr="00E23FCF" w:rsidRDefault="00E23FCF" w:rsidP="0084368C">
            <w:pPr>
              <w:keepNext/>
            </w:pPr>
            <w:r w:rsidRPr="00F65BC1">
              <w:t>X factor</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–0.45</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–0.68</w:t>
            </w:r>
          </w:p>
        </w:tc>
        <w:tc>
          <w:tcPr>
            <w:tcW w:w="1739" w:type="dxa"/>
            <w:vAlign w:val="bottom"/>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–0.73</w:t>
            </w:r>
          </w:p>
        </w:tc>
        <w:tc>
          <w:tcPr>
            <w:tcW w:w="1739" w:type="dxa"/>
          </w:tcPr>
          <w:p w:rsidR="00E23FCF" w:rsidRPr="00E23FCF" w:rsidRDefault="00E23FCF" w:rsidP="0084368C">
            <w:pPr>
              <w:keepNext/>
              <w:cnfStyle w:val="000000000000" w:firstRow="0" w:lastRow="0" w:firstColumn="0" w:lastColumn="0" w:oddVBand="0" w:evenVBand="0" w:oddHBand="0" w:evenHBand="0" w:firstRowFirstColumn="0" w:firstRowLastColumn="0" w:lastRowFirstColumn="0" w:lastRowLastColumn="0"/>
            </w:pPr>
            <w:r>
              <w:t>–0.73</w:t>
            </w:r>
          </w:p>
        </w:tc>
      </w:tr>
    </w:tbl>
    <w:p w:rsidR="008C57C6" w:rsidRPr="008C57C6" w:rsidRDefault="008C57C6" w:rsidP="0084368C">
      <w:pPr>
        <w:pStyle w:val="AERtablesource"/>
        <w:keepNext/>
        <w:ind w:left="0" w:firstLine="0"/>
        <w:rPr>
          <w:rStyle w:val="CommentReference"/>
          <w:rFonts w:eastAsia="Calibri"/>
          <w:lang w:eastAsia="en-AU"/>
        </w:rPr>
      </w:pPr>
      <w:r w:rsidRPr="008C57C6">
        <w:t xml:space="preserve">Source: </w:t>
      </w:r>
      <w:r w:rsidRPr="008C57C6">
        <w:tab/>
        <w:t xml:space="preserve">AER analysis. </w:t>
      </w:r>
    </w:p>
    <w:p w:rsidR="00816116" w:rsidRDefault="00816116" w:rsidP="00816116"/>
    <w:sectPr w:rsidR="00816116" w:rsidSect="00E23FCF">
      <w:pgSz w:w="16838" w:h="11906" w:orient="landscape" w:code="9"/>
      <w:pgMar w:top="1728" w:right="1440" w:bottom="1699" w:left="1584"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C5" w:rsidRPr="00290C63" w:rsidRDefault="00515AC5" w:rsidP="00290C63">
      <w:r>
        <w:separator/>
      </w:r>
    </w:p>
    <w:p w:rsidR="00515AC5" w:rsidRDefault="00515AC5"/>
  </w:endnote>
  <w:endnote w:type="continuationSeparator" w:id="0">
    <w:p w:rsidR="00515AC5" w:rsidRPr="00290C63" w:rsidRDefault="00515AC5" w:rsidP="00290C63">
      <w:r>
        <w:continuationSeparator/>
      </w:r>
    </w:p>
    <w:p w:rsidR="00515AC5" w:rsidRDefault="0051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C5" w:rsidRPr="00290C63" w:rsidRDefault="00515AC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15AC5" w:rsidRDefault="00515AC5"/>
  <w:p w:rsidR="00515AC5" w:rsidRDefault="00515AC5"/>
  <w:p w:rsidR="00515AC5" w:rsidRDefault="00515AC5"/>
  <w:p w:rsidR="00515AC5" w:rsidRDefault="00515AC5"/>
  <w:p w:rsidR="00515AC5" w:rsidRDefault="00515AC5"/>
  <w:p w:rsidR="00515AC5" w:rsidRDefault="00515AC5"/>
  <w:p w:rsidR="00515AC5" w:rsidRDefault="00515A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515AC5" w:rsidRDefault="00515AC5">
        <w:pPr>
          <w:pStyle w:val="Footer"/>
        </w:pPr>
        <w:r>
          <w:fldChar w:fldCharType="begin"/>
        </w:r>
        <w:r>
          <w:instrText xml:space="preserve"> PAGE   \* MERGEFORMAT </w:instrText>
        </w:r>
        <w:r>
          <w:fldChar w:fldCharType="separate"/>
        </w:r>
        <w:r w:rsidR="000D189C">
          <w:rPr>
            <w:noProof/>
          </w:rPr>
          <w:t>16-63</w:t>
        </w:r>
        <w:r>
          <w:rPr>
            <w:noProof/>
          </w:rPr>
          <w:fldChar w:fldCharType="end"/>
        </w:r>
        <w:r>
          <w:rPr>
            <w:noProof/>
          </w:rPr>
          <w:t xml:space="preserve">          </w:t>
        </w:r>
        <w:r w:rsidRPr="00BE4EE5">
          <w:rPr>
            <w:noProof/>
          </w:rPr>
          <w:t>Attachment 16 – Alternative control services</w:t>
        </w:r>
        <w:r w:rsidRPr="00B6360F">
          <w:rPr>
            <w:noProof/>
          </w:rPr>
          <w:t xml:space="preserve"> </w:t>
        </w:r>
        <w:r w:rsidRPr="00FD5E78">
          <w:rPr>
            <w:rFonts w:cs="Gautami"/>
            <w:noProof/>
            <w:sz w:val="16"/>
            <w:szCs w:val="16"/>
          </w:rPr>
          <w:t xml:space="preserve">| </w:t>
        </w:r>
        <w:r>
          <w:rPr>
            <w:sz w:val="16"/>
            <w:szCs w:val="16"/>
          </w:rPr>
          <w:t>ActewAGL</w:t>
        </w:r>
        <w:r w:rsidRPr="00FD5E78">
          <w:rPr>
            <w:sz w:val="16"/>
            <w:szCs w:val="16"/>
          </w:rPr>
          <w:t xml:space="preserve"> </w:t>
        </w:r>
        <w:r>
          <w:rPr>
            <w:sz w:val="16"/>
            <w:szCs w:val="16"/>
          </w:rPr>
          <w:t>final decision</w:t>
        </w:r>
        <w:r>
          <w:t xml:space="preserve"> </w:t>
        </w:r>
        <w:r w:rsidRPr="006833B3">
          <w:t>2015–19</w:t>
        </w:r>
      </w:p>
    </w:sdtContent>
  </w:sdt>
  <w:p w:rsidR="00515AC5" w:rsidRDefault="00515A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C5" w:rsidRPr="00290C63" w:rsidRDefault="00515AC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15AC5" w:rsidRDefault="00515AC5">
    <w:pPr>
      <w:pStyle w:val="Footer"/>
    </w:pPr>
  </w:p>
  <w:p w:rsidR="00515AC5" w:rsidRDefault="00515AC5"/>
  <w:p w:rsidR="00515AC5" w:rsidRDefault="00515AC5"/>
  <w:p w:rsidR="00515AC5" w:rsidRDefault="00515AC5"/>
  <w:p w:rsidR="00515AC5" w:rsidRDefault="00515AC5"/>
  <w:p w:rsidR="00515AC5" w:rsidRDefault="00515AC5"/>
  <w:p w:rsidR="00515AC5" w:rsidRDefault="00515AC5"/>
  <w:p w:rsidR="00515AC5" w:rsidRDefault="00515A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C5" w:rsidRPr="00290C63" w:rsidRDefault="00515AC5" w:rsidP="00290C63">
      <w:r>
        <w:separator/>
      </w:r>
    </w:p>
    <w:p w:rsidR="00515AC5" w:rsidRDefault="00515AC5"/>
  </w:footnote>
  <w:footnote w:type="continuationSeparator" w:id="0">
    <w:p w:rsidR="00515AC5" w:rsidRPr="00290C63" w:rsidRDefault="00515AC5" w:rsidP="00290C63">
      <w:r>
        <w:continuationSeparator/>
      </w:r>
    </w:p>
    <w:p w:rsidR="00515AC5" w:rsidRDefault="00515AC5"/>
  </w:footnote>
  <w:footnote w:id="1">
    <w:p w:rsidR="00515AC5" w:rsidRDefault="00515AC5" w:rsidP="00811829">
      <w:pPr>
        <w:pStyle w:val="FootnoteText"/>
      </w:pPr>
      <w:r>
        <w:rPr>
          <w:rStyle w:val="FootnoteReference"/>
        </w:rPr>
        <w:footnoteRef/>
      </w:r>
      <w:r>
        <w:t xml:space="preserve"> </w:t>
      </w:r>
      <w:r>
        <w:tab/>
        <w:t>This is analogous to engaging a plumber to fix drainage problems in a house. The plumber's hourly rate is known in advance but the time taken to perform the fix is variable and will determine the final bill.</w:t>
      </w:r>
    </w:p>
  </w:footnote>
  <w:footnote w:id="2">
    <w:p w:rsidR="00515AC5" w:rsidRDefault="00515AC5">
      <w:pPr>
        <w:pStyle w:val="FootnoteText"/>
      </w:pPr>
      <w:r>
        <w:rPr>
          <w:rStyle w:val="FootnoteReference"/>
        </w:rPr>
        <w:footnoteRef/>
      </w:r>
      <w:r>
        <w:t xml:space="preserve"> </w:t>
      </w:r>
      <w:r>
        <w:tab/>
        <w:t xml:space="preserve">AER, </w:t>
      </w:r>
      <w:r>
        <w:rPr>
          <w:rStyle w:val="AERtextitalic"/>
        </w:rPr>
        <w:t>Stage 1 Framework and Approach Paper ActewAGL: Transitional regulatory control period 1 July 2014 to 30 June 2015 Subsequent regulatory control period 1 July 2015 to 30 June 2019</w:t>
      </w:r>
      <w:r>
        <w:t>, March 2013, pp.39-42.</w:t>
      </w:r>
    </w:p>
  </w:footnote>
  <w:footnote w:id="3">
    <w:p w:rsidR="00515AC5" w:rsidRDefault="00515AC5">
      <w:pPr>
        <w:pStyle w:val="FootnoteText"/>
      </w:pPr>
      <w:r>
        <w:rPr>
          <w:rStyle w:val="FootnoteReference"/>
        </w:rPr>
        <w:footnoteRef/>
      </w:r>
      <w:r>
        <w:t xml:space="preserve"> </w:t>
      </w:r>
      <w:r>
        <w:tab/>
        <w:t>ActewAGL</w:t>
      </w:r>
      <w:r w:rsidRPr="00DC30A6">
        <w:rPr>
          <w:rStyle w:val="Emphasis"/>
        </w:rPr>
        <w:t>, Regulatory Proposal 2015-19</w:t>
      </w:r>
      <w:r>
        <w:rPr>
          <w:rStyle w:val="Emphasis"/>
        </w:rPr>
        <w:t xml:space="preserve"> Sub</w:t>
      </w:r>
      <w:r w:rsidRPr="00DC30A6">
        <w:rPr>
          <w:rStyle w:val="Emphasis"/>
        </w:rPr>
        <w:t>sequent regulatory control period</w:t>
      </w:r>
      <w:r>
        <w:t xml:space="preserve">, 2 June 2014 (resubmitted 10 July 2014), pp. 348-349.  </w:t>
      </w:r>
    </w:p>
  </w:footnote>
  <w:footnote w:id="4">
    <w:p w:rsidR="00515AC5" w:rsidRDefault="00515AC5">
      <w:pPr>
        <w:pStyle w:val="FootnoteText"/>
      </w:pPr>
      <w:r>
        <w:rPr>
          <w:rStyle w:val="FootnoteReference"/>
        </w:rPr>
        <w:footnoteRef/>
      </w:r>
      <w:r>
        <w:t xml:space="preserve"> </w:t>
      </w:r>
      <w:r>
        <w:tab/>
        <w:t>ActewAGL</w:t>
      </w:r>
      <w:r w:rsidRPr="0071414F">
        <w:rPr>
          <w:rStyle w:val="Emphasis"/>
        </w:rPr>
        <w:t>, Revised Regulatory Proposal 2015-19 Regulatory control period</w:t>
      </w:r>
      <w:r>
        <w:t>, January 2015, p. 641.</w:t>
      </w:r>
    </w:p>
  </w:footnote>
  <w:footnote w:id="5">
    <w:p w:rsidR="00515AC5" w:rsidRDefault="00515AC5" w:rsidP="00F22A2E">
      <w:pPr>
        <w:pStyle w:val="FootnoteText"/>
      </w:pPr>
      <w:r>
        <w:rPr>
          <w:rStyle w:val="FootnoteReference"/>
        </w:rPr>
        <w:footnoteRef/>
      </w:r>
      <w:r>
        <w:t xml:space="preserve"> </w:t>
      </w:r>
      <w:r>
        <w:tab/>
        <w:t xml:space="preserve">The definition of X and </w:t>
      </w:r>
      <w:r>
        <w:rPr>
          <w:rFonts w:cs="Arial"/>
        </w:rPr>
        <w:t>∆</w:t>
      </w:r>
      <w:r>
        <w:t xml:space="preserve">CPI for </w:t>
      </w:r>
      <w:r>
        <w:fldChar w:fldCharType="begin"/>
      </w:r>
      <w:r>
        <w:instrText xml:space="preserve"> REF _Ref417487054 \h </w:instrText>
      </w:r>
      <w:r>
        <w:fldChar w:fldCharType="separate"/>
      </w:r>
      <w:r>
        <w:t xml:space="preserve">Figure </w:t>
      </w:r>
      <w:r>
        <w:rPr>
          <w:noProof/>
        </w:rPr>
        <w:t>16</w:t>
      </w:r>
      <w:r>
        <w:t>.</w:t>
      </w:r>
      <w:r>
        <w:rPr>
          <w:noProof/>
        </w:rPr>
        <w:t>2</w:t>
      </w:r>
      <w:r>
        <w:fldChar w:fldCharType="end"/>
      </w:r>
      <w:r>
        <w:t xml:space="preserve"> are the same as for </w:t>
      </w:r>
      <w:r>
        <w:fldChar w:fldCharType="begin"/>
      </w:r>
      <w:r>
        <w:instrText xml:space="preserve"> REF _Ref417373072 \h </w:instrText>
      </w:r>
      <w:r>
        <w:fldChar w:fldCharType="separate"/>
      </w:r>
      <w:r>
        <w:t xml:space="preserve">Figure </w:t>
      </w:r>
      <w:r>
        <w:rPr>
          <w:noProof/>
        </w:rPr>
        <w:t>16</w:t>
      </w:r>
      <w:r>
        <w:t>.</w:t>
      </w:r>
      <w:r>
        <w:rPr>
          <w:noProof/>
        </w:rPr>
        <w:t>1</w:t>
      </w:r>
      <w:r>
        <w:fldChar w:fldCharType="end"/>
      </w:r>
      <w:r>
        <w:t>.</w:t>
      </w:r>
    </w:p>
  </w:footnote>
  <w:footnote w:id="6">
    <w:p w:rsidR="00515AC5" w:rsidRDefault="00515AC5" w:rsidP="005569EC">
      <w:pPr>
        <w:pStyle w:val="FootnoteText"/>
      </w:pPr>
      <w:r>
        <w:rPr>
          <w:rStyle w:val="FootnoteReference"/>
        </w:rPr>
        <w:footnoteRef/>
      </w:r>
      <w:r>
        <w:t xml:space="preserve"> </w:t>
      </w:r>
      <w:r>
        <w:tab/>
        <w:t>Our opex rate of change attachment discusses the escalation factors.</w:t>
      </w:r>
    </w:p>
  </w:footnote>
  <w:footnote w:id="7">
    <w:p w:rsidR="00515AC5" w:rsidRDefault="00515AC5">
      <w:pPr>
        <w:pStyle w:val="FootnoteText"/>
      </w:pPr>
      <w:r>
        <w:rPr>
          <w:rStyle w:val="FootnoteReference"/>
        </w:rPr>
        <w:footnoteRef/>
      </w:r>
      <w:r>
        <w:t xml:space="preserve"> </w:t>
      </w:r>
      <w:r>
        <w:tab/>
      </w:r>
      <w:r w:rsidRPr="00DC30A6">
        <w:t xml:space="preserve">ActewAGL Distribution 2014, Connection Policy, version 2.0, June, p. 4. Services provided outside the scope of the Connection Policy and the chapter 5A Rules (for example services provided in accordance with the chapter 5 Rules) may also be subject to charges for above standard or special requirements. </w:t>
      </w:r>
      <w:r>
        <w:t xml:space="preserve"> </w:t>
      </w:r>
    </w:p>
  </w:footnote>
  <w:footnote w:id="8">
    <w:p w:rsidR="00515AC5" w:rsidRDefault="00515AC5">
      <w:pPr>
        <w:pStyle w:val="FootnoteText"/>
      </w:pPr>
      <w:r>
        <w:rPr>
          <w:rStyle w:val="FootnoteReference"/>
        </w:rPr>
        <w:footnoteRef/>
      </w:r>
      <w:r>
        <w:t xml:space="preserve"> </w:t>
      </w:r>
      <w:r>
        <w:tab/>
      </w:r>
      <w:r w:rsidRPr="00DC30A6">
        <w:t xml:space="preserve">ICRC 2012, Electricity Network Capital Contributions Code, July 2012, clauses 3.7 and 3.8 </w:t>
      </w:r>
      <w:r>
        <w:t xml:space="preserve"> </w:t>
      </w:r>
    </w:p>
  </w:footnote>
  <w:footnote w:id="9">
    <w:p w:rsidR="00515AC5" w:rsidRDefault="00515AC5" w:rsidP="00CF5FD6">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679.</w:t>
      </w:r>
    </w:p>
  </w:footnote>
  <w:footnote w:id="10">
    <w:p w:rsidR="00515AC5" w:rsidRDefault="00515AC5" w:rsidP="00CF5FD6">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679.</w:t>
      </w:r>
    </w:p>
  </w:footnote>
  <w:footnote w:id="11">
    <w:p w:rsidR="00515AC5" w:rsidRDefault="00515AC5" w:rsidP="008866E7">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672. We approved ActewAGL's connection policy in Attachment 18 to our draft decision.</w:t>
      </w:r>
    </w:p>
  </w:footnote>
  <w:footnote w:id="12">
    <w:p w:rsidR="00515AC5" w:rsidRDefault="00515AC5">
      <w:pPr>
        <w:pStyle w:val="FootnoteText"/>
      </w:pPr>
      <w:r>
        <w:rPr>
          <w:rStyle w:val="FootnoteReference"/>
        </w:rPr>
        <w:footnoteRef/>
      </w:r>
      <w:r>
        <w:t xml:space="preserve"> </w:t>
      </w:r>
      <w:r>
        <w:tab/>
        <w:t xml:space="preserve">ActewAGL, </w:t>
      </w:r>
      <w:r w:rsidRPr="00213F28">
        <w:rPr>
          <w:rStyle w:val="AERtextitalic"/>
        </w:rPr>
        <w:t>Revised regulatory proposal</w:t>
      </w:r>
      <w:r>
        <w:rPr>
          <w:rStyle w:val="AERtextitalic"/>
        </w:rPr>
        <w:t xml:space="preserve"> 2015–19</w:t>
      </w:r>
      <w:r>
        <w:t>, 20 January 2015, pp. 637–679</w:t>
      </w:r>
    </w:p>
  </w:footnote>
  <w:footnote w:id="13">
    <w:p w:rsidR="00515AC5" w:rsidRDefault="00515AC5" w:rsidP="001B6D7A">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1–6.</w:t>
      </w:r>
    </w:p>
  </w:footnote>
  <w:footnote w:id="14">
    <w:p w:rsidR="00515AC5" w:rsidRDefault="00515AC5" w:rsidP="00FD75F4">
      <w:pPr>
        <w:pStyle w:val="FootnoteText"/>
      </w:pPr>
      <w:r>
        <w:rPr>
          <w:rStyle w:val="FootnoteReference"/>
        </w:rPr>
        <w:footnoteRef/>
      </w:r>
      <w:r>
        <w:t xml:space="preserve"> </w:t>
      </w:r>
      <w:r>
        <w:tab/>
        <w:t>NEL, ss. 7A and 16</w:t>
      </w:r>
    </w:p>
  </w:footnote>
  <w:footnote w:id="15">
    <w:p w:rsidR="00515AC5" w:rsidRDefault="00515AC5" w:rsidP="00FD75F4">
      <w:pPr>
        <w:pStyle w:val="FootnoteText"/>
      </w:pPr>
      <w:r>
        <w:rPr>
          <w:rStyle w:val="FootnoteReference"/>
        </w:rPr>
        <w:footnoteRef/>
      </w:r>
      <w:r>
        <w:t xml:space="preserve"> </w:t>
      </w:r>
      <w:r>
        <w:tab/>
      </w:r>
      <w:r w:rsidRPr="009725BF">
        <w:t>Deloitte</w:t>
      </w:r>
      <w:r>
        <w:t xml:space="preserve"> Access Economics</w:t>
      </w:r>
      <w:r w:rsidRPr="009725BF">
        <w:t xml:space="preserve">, </w:t>
      </w:r>
      <w:r w:rsidRPr="009725BF">
        <w:rPr>
          <w:rStyle w:val="AERtextitalic"/>
        </w:rPr>
        <w:t>NSW distribution network service providers labour analysis–Addendum to 2014 report</w:t>
      </w:r>
      <w:r w:rsidRPr="009725BF">
        <w:t>, April 2015.</w:t>
      </w:r>
    </w:p>
  </w:footnote>
  <w:footnote w:id="16">
    <w:p w:rsidR="00515AC5" w:rsidRDefault="00515AC5" w:rsidP="00EB7D72">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1.</w:t>
      </w:r>
    </w:p>
  </w:footnote>
  <w:footnote w:id="17">
    <w:p w:rsidR="00515AC5" w:rsidRDefault="00515AC5">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w:t>
      </w:r>
    </w:p>
  </w:footnote>
  <w:footnote w:id="18">
    <w:p w:rsidR="00515AC5" w:rsidRDefault="00515AC5" w:rsidP="002F2A53">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p>
  </w:footnote>
  <w:footnote w:id="19">
    <w:p w:rsidR="00515AC5" w:rsidRDefault="00515AC5">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679.</w:t>
      </w:r>
    </w:p>
  </w:footnote>
  <w:footnote w:id="20">
    <w:p w:rsidR="00515AC5" w:rsidRDefault="00515AC5" w:rsidP="00FD75F4">
      <w:pPr>
        <w:pStyle w:val="FootnoteText"/>
      </w:pPr>
      <w:r>
        <w:rPr>
          <w:rStyle w:val="FootnoteReference"/>
        </w:rPr>
        <w:footnoteRef/>
      </w:r>
      <w:r>
        <w:t xml:space="preserve"> </w:t>
      </w:r>
      <w:r>
        <w:tab/>
        <w:t xml:space="preserve">AGL, </w:t>
      </w:r>
      <w:r w:rsidRPr="0009733F">
        <w:rPr>
          <w:rStyle w:val="AERtextitalic"/>
        </w:rPr>
        <w:t>Submission on NSW distributors draft decisions</w:t>
      </w:r>
      <w:r>
        <w:t>, 15 February 2015, p. 4.</w:t>
      </w:r>
    </w:p>
  </w:footnote>
  <w:footnote w:id="21">
    <w:p w:rsidR="00515AC5" w:rsidRDefault="00515AC5" w:rsidP="00FD75F4">
      <w:pPr>
        <w:pStyle w:val="FootnoteText"/>
      </w:pPr>
      <w:r>
        <w:rPr>
          <w:rStyle w:val="FootnoteReference"/>
        </w:rPr>
        <w:footnoteRef/>
      </w:r>
      <w:r>
        <w:t xml:space="preserve"> </w:t>
      </w:r>
      <w:r>
        <w:tab/>
        <w:t>Energy Users Association of Australia</w:t>
      </w:r>
      <w:r w:rsidRPr="0009733F">
        <w:rPr>
          <w:rStyle w:val="AERtextitalic"/>
        </w:rPr>
        <w:t>, Submission to NSW Electricity Distribution Revenue Proposals (2014/15 to 2018/19)</w:t>
      </w:r>
      <w:r>
        <w:t xml:space="preserve">, 8 August 2014, pp. 9–10; Energy Users Association of Australia, </w:t>
      </w:r>
      <w:r w:rsidRPr="0009733F">
        <w:rPr>
          <w:rStyle w:val="AERtextitalic"/>
        </w:rPr>
        <w:t>Submission to NSW DNSP revised revenue proposal to AER draft determination (2014 to 2019)</w:t>
      </w:r>
      <w:r>
        <w:t>, 13 February 2015, p. 44.</w:t>
      </w:r>
    </w:p>
  </w:footnote>
  <w:footnote w:id="22">
    <w:p w:rsidR="00515AC5" w:rsidRDefault="00515AC5" w:rsidP="00FD75F4">
      <w:pPr>
        <w:pStyle w:val="FootnoteText"/>
      </w:pPr>
      <w:r>
        <w:rPr>
          <w:rStyle w:val="FootnoteReference"/>
        </w:rPr>
        <w:footnoteRef/>
      </w:r>
      <w:r>
        <w:t xml:space="preserve"> </w:t>
      </w:r>
      <w:r>
        <w:tab/>
        <w:t xml:space="preserve">NEL ss. 7, 7A and 16; AER, </w:t>
      </w:r>
      <w:r w:rsidRPr="00B60C4E">
        <w:rPr>
          <w:rStyle w:val="AERtextitalic"/>
        </w:rPr>
        <w:t>Final decision: Powerlink transmission determination 2012–13 to 2016–17</w:t>
      </w:r>
      <w:r>
        <w:t>, April 2012, p. 52.</w:t>
      </w:r>
    </w:p>
  </w:footnote>
  <w:footnote w:id="23">
    <w:p w:rsidR="00515AC5" w:rsidRPr="00B87258" w:rsidRDefault="00515AC5" w:rsidP="00632368">
      <w:pPr>
        <w:pStyle w:val="FootnoteText"/>
        <w:rPr>
          <w:rStyle w:val="AERtextitalic"/>
        </w:rPr>
      </w:pPr>
      <w:r>
        <w:rPr>
          <w:rStyle w:val="FootnoteReference"/>
        </w:rPr>
        <w:footnoteRef/>
      </w:r>
      <w:r>
        <w:t xml:space="preserve"> </w:t>
      </w:r>
      <w:r>
        <w:tab/>
        <w:t xml:space="preserve">Marsden Jacob, </w:t>
      </w:r>
      <w:r>
        <w:rPr>
          <w:rStyle w:val="AERtextitalic"/>
        </w:rPr>
        <w:t>MJA analysis.</w:t>
      </w:r>
    </w:p>
  </w:footnote>
  <w:footnote w:id="24">
    <w:p w:rsidR="00515AC5" w:rsidRPr="00D33A91" w:rsidRDefault="00515AC5" w:rsidP="002F2A53">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5">
    <w:p w:rsidR="00515AC5" w:rsidRPr="00D33A91" w:rsidRDefault="00515AC5" w:rsidP="002F2A53">
      <w:pPr>
        <w:pStyle w:val="FootnoteText"/>
      </w:pPr>
      <w:r>
        <w:rPr>
          <w:rStyle w:val="FootnoteReference"/>
        </w:rPr>
        <w:footnoteRef/>
      </w:r>
      <w:r>
        <w:t xml:space="preserve"> </w:t>
      </w:r>
      <w:r>
        <w:tab/>
        <w:t xml:space="preserve">Hays, </w:t>
      </w:r>
      <w:r>
        <w:rPr>
          <w:i/>
        </w:rPr>
        <w:t>The 2014 Hays salary guide: salary &amp; recruiting trends</w:t>
      </w:r>
      <w:r>
        <w:t>, 2014.</w:t>
      </w:r>
    </w:p>
  </w:footnote>
  <w:footnote w:id="26">
    <w:p w:rsidR="00515AC5" w:rsidRPr="00B87258" w:rsidRDefault="00515AC5" w:rsidP="0042641C">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7">
    <w:p w:rsidR="00515AC5" w:rsidRDefault="00515AC5" w:rsidP="00632368">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pp. 2–3.</w:t>
      </w:r>
    </w:p>
  </w:footnote>
  <w:footnote w:id="28">
    <w:p w:rsidR="00515AC5" w:rsidRDefault="00515AC5" w:rsidP="002E08A8">
      <w:pPr>
        <w:pStyle w:val="FootnoteText"/>
      </w:pPr>
      <w:r>
        <w:rPr>
          <w:rStyle w:val="FootnoteReference"/>
        </w:rPr>
        <w:footnoteRef/>
      </w:r>
      <w:r>
        <w:t xml:space="preserve"> </w:t>
      </w:r>
      <w:r>
        <w:tab/>
        <w:t xml:space="preserve">Marsden Jacob, </w:t>
      </w:r>
      <w:r w:rsidRPr="00E724E4">
        <w:rPr>
          <w:rStyle w:val="AERtextitalic"/>
        </w:rPr>
        <w:t>Final: Provision of advice in relation to Alternative Control Services – Public version: Advice prepared for the Australian Energy Regulator</w:t>
      </w:r>
      <w:r>
        <w:t>,</w:t>
      </w:r>
      <w:r w:rsidRPr="00F71A4D">
        <w:t xml:space="preserve"> 20 </w:t>
      </w:r>
      <w:r>
        <w:t>October 2014, p. 4.</w:t>
      </w:r>
    </w:p>
  </w:footnote>
  <w:footnote w:id="29">
    <w:p w:rsidR="00515AC5" w:rsidRPr="0049041C" w:rsidRDefault="00515AC5" w:rsidP="00D954EB">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30">
    <w:p w:rsidR="00515AC5" w:rsidRDefault="00515AC5" w:rsidP="00D954EB">
      <w:pPr>
        <w:pStyle w:val="FootnoteText"/>
      </w:pPr>
      <w:r>
        <w:rPr>
          <w:rStyle w:val="FootnoteReference"/>
        </w:rPr>
        <w:footnoteRef/>
      </w:r>
      <w:r>
        <w:t xml:space="preserve"> </w:t>
      </w:r>
      <w:r>
        <w:tab/>
        <w:t xml:space="preserve">Marsden Jacob Associates, </w:t>
      </w:r>
      <w:r w:rsidRPr="00E724E4">
        <w:rPr>
          <w:rStyle w:val="AERtextitalic"/>
        </w:rPr>
        <w:t>Provision of advice in relation to alternative control services—advice prepared for the Australian Energy Regulator</w:t>
      </w:r>
      <w:r>
        <w:t>, 20 October 2014, p. 5.</w:t>
      </w:r>
    </w:p>
  </w:footnote>
  <w:footnote w:id="31">
    <w:p w:rsidR="00515AC5" w:rsidRDefault="00515AC5" w:rsidP="00601F91">
      <w:pPr>
        <w:pStyle w:val="FootnoteText"/>
      </w:pPr>
      <w:r>
        <w:rPr>
          <w:rStyle w:val="FootnoteReference"/>
        </w:rPr>
        <w:footnoteRef/>
      </w:r>
      <w:r>
        <w:t xml:space="preserve"> </w:t>
      </w:r>
      <w:r>
        <w:tab/>
      </w:r>
      <w:r w:rsidRPr="00AB76E0">
        <w:t xml:space="preserve">Ergon Energy, </w:t>
      </w:r>
      <w:r w:rsidRPr="00AB76E0">
        <w:rPr>
          <w:rStyle w:val="AERtextitalic"/>
        </w:rPr>
        <w:t>Regulatory proposal 2015-20: 05.06.02—fixed fee services model</w:t>
      </w:r>
      <w:r w:rsidRPr="00AB76E0">
        <w:t xml:space="preserve">, 31 October 2014 (CONFIDENTIAL); Ergon Energy, </w:t>
      </w:r>
      <w:r w:rsidRPr="00AB76E0">
        <w:rPr>
          <w:rStyle w:val="AERtextitalic"/>
        </w:rPr>
        <w:t>Regulatory proposal 2015-20: 05.06.03—quoted price services model</w:t>
      </w:r>
      <w:r w:rsidRPr="00AB76E0">
        <w:t xml:space="preserve">, 31 October 2014 (CONFIDENTIAL); Energex, </w:t>
      </w:r>
      <w:r w:rsidRPr="00AB76E0">
        <w:rPr>
          <w:rStyle w:val="AERtextitalic"/>
        </w:rPr>
        <w:t>Regulatory proposal 2015-20: Alternative control services costing model</w:t>
      </w:r>
      <w:r w:rsidRPr="00AB76E0">
        <w:t>, 31 October 2014 (CONFIDENTIAL).</w:t>
      </w:r>
    </w:p>
  </w:footnote>
  <w:footnote w:id="32">
    <w:p w:rsidR="00515AC5" w:rsidRPr="0049041C" w:rsidRDefault="00515AC5" w:rsidP="00D954EB">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33">
    <w:p w:rsidR="00515AC5" w:rsidRDefault="00515AC5" w:rsidP="00E31709">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34">
    <w:p w:rsidR="00515AC5" w:rsidRDefault="00515AC5" w:rsidP="00E31709">
      <w:pPr>
        <w:pStyle w:val="FootnoteText"/>
      </w:pPr>
      <w:r>
        <w:rPr>
          <w:rStyle w:val="FootnoteReference"/>
        </w:rPr>
        <w:footnoteRef/>
      </w:r>
      <w:r>
        <w:t xml:space="preserve"> </w:t>
      </w:r>
      <w:r>
        <w:tab/>
        <w:t xml:space="preserve">AER, </w:t>
      </w:r>
      <w:r>
        <w:rPr>
          <w:i/>
          <w:iCs/>
        </w:rPr>
        <w:t>Electricity distribution network service providers—Cost allocation guidelines</w:t>
      </w:r>
      <w:r>
        <w:t>, June 2008, p. 7-11.</w:t>
      </w:r>
    </w:p>
  </w:footnote>
  <w:footnote w:id="35">
    <w:p w:rsidR="00515AC5" w:rsidRDefault="00515AC5" w:rsidP="00AA2F17">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673.</w:t>
      </w:r>
    </w:p>
  </w:footnote>
  <w:footnote w:id="36">
    <w:p w:rsidR="00515AC5" w:rsidRDefault="00515AC5" w:rsidP="00AA2F17">
      <w:pPr>
        <w:pStyle w:val="FootnoteText"/>
      </w:pPr>
      <w:r>
        <w:rPr>
          <w:rStyle w:val="FootnoteReference"/>
        </w:rPr>
        <w:footnoteRef/>
      </w:r>
      <w:r>
        <w:t xml:space="preserve"> </w:t>
      </w:r>
      <w:r>
        <w:tab/>
        <w:t xml:space="preserve">ActewAGL, </w:t>
      </w:r>
      <w:r w:rsidRPr="00987FF1">
        <w:rPr>
          <w:rStyle w:val="AERtextitalic"/>
        </w:rPr>
        <w:t>Revised regulatory proposal</w:t>
      </w:r>
      <w:r>
        <w:t>, January 2015, p. 676-679.</w:t>
      </w:r>
    </w:p>
  </w:footnote>
  <w:footnote w:id="37">
    <w:p w:rsidR="00515AC5" w:rsidRDefault="00515AC5" w:rsidP="00AA2F17">
      <w:pPr>
        <w:pStyle w:val="FootnoteText"/>
      </w:pPr>
      <w:r>
        <w:rPr>
          <w:rStyle w:val="FootnoteReference"/>
        </w:rPr>
        <w:footnoteRef/>
      </w:r>
      <w:r>
        <w:t xml:space="preserve"> </w:t>
      </w:r>
      <w:r>
        <w:tab/>
        <w:t xml:space="preserve">ActewAGL, </w:t>
      </w:r>
      <w:r w:rsidRPr="00987FF1">
        <w:rPr>
          <w:rStyle w:val="AERtextitalic"/>
        </w:rPr>
        <w:t>Revised regulatory proposal</w:t>
      </w:r>
      <w:r>
        <w:t>, January 2015, pp. 673-676.</w:t>
      </w:r>
    </w:p>
  </w:footnote>
  <w:footnote w:id="38">
    <w:p w:rsidR="00515AC5" w:rsidRDefault="00515AC5" w:rsidP="009055FC">
      <w:pPr>
        <w:pStyle w:val="FootnoteText"/>
      </w:pPr>
      <w:r>
        <w:rPr>
          <w:rStyle w:val="FootnoteReference"/>
        </w:rPr>
        <w:footnoteRef/>
      </w:r>
      <w:r>
        <w:t xml:space="preserve"> </w:t>
      </w:r>
      <w:r>
        <w:tab/>
      </w:r>
      <w:r w:rsidRPr="009C43CC">
        <w:t>NER clause 7.2.3(a)</w:t>
      </w:r>
      <w:r>
        <w:t>. Small customers refers to any customer with less than 160MWh annual consumption (effectively all residential and small business customers fall into this category).</w:t>
      </w:r>
    </w:p>
  </w:footnote>
  <w:footnote w:id="39">
    <w:p w:rsidR="00515AC5" w:rsidRDefault="00515AC5" w:rsidP="009055F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40">
    <w:p w:rsidR="00515AC5" w:rsidRDefault="00515AC5" w:rsidP="009055F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41">
    <w:p w:rsidR="00515AC5" w:rsidRDefault="00515AC5" w:rsidP="009055FC">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79.</w:t>
      </w:r>
    </w:p>
  </w:footnote>
  <w:footnote w:id="42">
    <w:p w:rsidR="00515AC5" w:rsidRDefault="00515AC5" w:rsidP="009055FC">
      <w:pPr>
        <w:pStyle w:val="FootnoteText"/>
      </w:pPr>
      <w:r>
        <w:rPr>
          <w:rStyle w:val="FootnoteReference"/>
        </w:rPr>
        <w:footnoteRef/>
      </w:r>
      <w:r>
        <w:t xml:space="preserve"> </w:t>
      </w:r>
      <w:r>
        <w:tab/>
        <w:t>The MAB is largely the undepreciated value of all existing meters. It will increase slightly in the 2015–19 regulatory control period to include forecast replacement capex. A meter has to be replaced if it suddenly fails or may have to be proactively replaced because the distributor must comply with AEMO's metrology procedures.</w:t>
      </w:r>
    </w:p>
  </w:footnote>
  <w:footnote w:id="43">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34.</w:t>
      </w:r>
    </w:p>
  </w:footnote>
  <w:footnote w:id="44">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 H10 - PTRM Modelling</w:t>
      </w:r>
      <w:r>
        <w:t>, January 2015.</w:t>
      </w:r>
    </w:p>
  </w:footnote>
  <w:footnote w:id="45">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662.</w:t>
      </w:r>
    </w:p>
  </w:footnote>
  <w:footnote w:id="46">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34. Forecast depreciation is consistent with our approach applied to standard control services in this final determination.</w:t>
      </w:r>
    </w:p>
  </w:footnote>
  <w:footnote w:id="47">
    <w:p w:rsidR="00515AC5" w:rsidRDefault="00515AC5" w:rsidP="009055FC">
      <w:pPr>
        <w:pStyle w:val="FootnoteText"/>
      </w:pPr>
      <w:r>
        <w:rPr>
          <w:rStyle w:val="FootnoteReference"/>
        </w:rPr>
        <w:footnoteRef/>
      </w:r>
      <w:r>
        <w:t xml:space="preserve"> </w:t>
      </w:r>
      <w:r>
        <w:tab/>
        <w:t xml:space="preserve">AER, </w:t>
      </w:r>
      <w:r w:rsidRPr="00955788">
        <w:rPr>
          <w:rStyle w:val="AERtextitalic"/>
        </w:rPr>
        <w:t xml:space="preserve">Draft decision on </w:t>
      </w:r>
      <w:r>
        <w:rPr>
          <w:rStyle w:val="AERtextitalic"/>
        </w:rPr>
        <w:t>ActewAGL's</w:t>
      </w:r>
      <w:r w:rsidRPr="00955788">
        <w:rPr>
          <w:rStyle w:val="AERtextitalic"/>
        </w:rPr>
        <w:t xml:space="preserve"> regulatory proposal: 2014-15 and 2015–19</w:t>
      </w:r>
      <w:r w:rsidRPr="00955788">
        <w:t>, November 2014, p. 16–</w:t>
      </w:r>
      <w:r>
        <w:t>29.</w:t>
      </w:r>
    </w:p>
  </w:footnote>
  <w:footnote w:id="48">
    <w:p w:rsidR="00515AC5" w:rsidRDefault="00515AC5" w:rsidP="009055FC">
      <w:pPr>
        <w:pStyle w:val="FootnoteText"/>
      </w:pPr>
      <w:r>
        <w:rPr>
          <w:rStyle w:val="FootnoteReference"/>
        </w:rPr>
        <w:footnoteRef/>
      </w:r>
      <w:r>
        <w:t xml:space="preserve"> </w:t>
      </w:r>
      <w:r>
        <w:tab/>
        <w:t xml:space="preserve">ActewAGL, </w:t>
      </w:r>
      <w:r w:rsidRPr="003D55BB">
        <w:rPr>
          <w:rStyle w:val="AERtextitalic"/>
        </w:rPr>
        <w:t>Initial regulatory proposal, Attachment B8, Metering PTRM</w:t>
      </w:r>
      <w:r>
        <w:t>, May 2014. Converted to $2014–15.</w:t>
      </w:r>
    </w:p>
  </w:footnote>
  <w:footnote w:id="49">
    <w:p w:rsidR="00515AC5" w:rsidRDefault="00515AC5" w:rsidP="009055FC">
      <w:pPr>
        <w:pStyle w:val="FootnoteText"/>
      </w:pPr>
      <w:r>
        <w:rPr>
          <w:rStyle w:val="FootnoteReference"/>
        </w:rPr>
        <w:footnoteRef/>
      </w:r>
      <w:r>
        <w:t xml:space="preserve"> </w:t>
      </w:r>
      <w:r>
        <w:tab/>
        <w:t>Exclusive of debt raising costs.</w:t>
      </w:r>
    </w:p>
  </w:footnote>
  <w:footnote w:id="50">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645.</w:t>
      </w:r>
    </w:p>
  </w:footnote>
  <w:footnote w:id="51">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xml:space="preserve">, January 2015, p. 645. </w:t>
      </w:r>
    </w:p>
  </w:footnote>
  <w:footnote w:id="52">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650.</w:t>
      </w:r>
    </w:p>
  </w:footnote>
  <w:footnote w:id="53">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650.</w:t>
      </w:r>
    </w:p>
  </w:footnote>
  <w:footnote w:id="54">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p.651.</w:t>
      </w:r>
    </w:p>
  </w:footnote>
  <w:footnote w:id="55">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p.653.</w:t>
      </w:r>
    </w:p>
  </w:footnote>
  <w:footnote w:id="56">
    <w:p w:rsidR="00515AC5" w:rsidRDefault="00515AC5" w:rsidP="009055FC">
      <w:pPr>
        <w:pStyle w:val="FootnoteText"/>
      </w:pPr>
      <w:r>
        <w:rPr>
          <w:rStyle w:val="FootnoteReference"/>
        </w:rPr>
        <w:footnoteRef/>
      </w:r>
      <w:r>
        <w:t xml:space="preserve"> </w:t>
      </w:r>
      <w:r>
        <w:tab/>
        <w:t>ActewAGL,</w:t>
      </w:r>
      <w:r w:rsidRPr="00836EC5">
        <w:rPr>
          <w:rStyle w:val="AERtextitalic"/>
        </w:rPr>
        <w:t xml:space="preserve"> </w:t>
      </w:r>
      <w:r w:rsidRPr="00831E3A">
        <w:rPr>
          <w:rStyle w:val="AERtextitalic"/>
        </w:rPr>
        <w:t>Revised regulatory proposal 2015–19</w:t>
      </w:r>
      <w:r>
        <w:t>, January 2015, p.638–9.</w:t>
      </w:r>
    </w:p>
  </w:footnote>
  <w:footnote w:id="57">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650.</w:t>
      </w:r>
    </w:p>
  </w:footnote>
  <w:footnote w:id="58">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30.</w:t>
      </w:r>
    </w:p>
  </w:footnote>
  <w:footnote w:id="59">
    <w:p w:rsidR="00515AC5" w:rsidRDefault="00515AC5" w:rsidP="009055FC">
      <w:pPr>
        <w:pStyle w:val="FootnoteText"/>
      </w:pPr>
      <w:r>
        <w:rPr>
          <w:rStyle w:val="FootnoteReference"/>
        </w:rPr>
        <w:footnoteRef/>
      </w:r>
      <w:r>
        <w:t xml:space="preserve"> </w:t>
      </w:r>
      <w:r>
        <w:tab/>
        <w:t>ActewAGL,</w:t>
      </w:r>
      <w:r w:rsidRPr="00AB576A">
        <w:rPr>
          <w:rStyle w:val="AERtextitalic"/>
        </w:rPr>
        <w:t xml:space="preserve"> Revised regulatory proposal 2015–19</w:t>
      </w:r>
      <w:r w:rsidRPr="00AB576A">
        <w:t xml:space="preserve">, January 2015, </w:t>
      </w:r>
      <w:r>
        <w:t>p. 650.</w:t>
      </w:r>
    </w:p>
  </w:footnote>
  <w:footnote w:id="60">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650.</w:t>
      </w:r>
      <w:r>
        <w:tab/>
      </w:r>
    </w:p>
  </w:footnote>
  <w:footnote w:id="61">
    <w:p w:rsidR="00515AC5" w:rsidRDefault="00515AC5" w:rsidP="009055FC">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62">
    <w:p w:rsidR="00515AC5" w:rsidRDefault="00515AC5" w:rsidP="009055FC">
      <w:pPr>
        <w:pStyle w:val="FootnoteText"/>
        <w:tabs>
          <w:tab w:val="left" w:pos="284"/>
        </w:tabs>
      </w:pPr>
      <w:r>
        <w:rPr>
          <w:rStyle w:val="FootnoteReference"/>
        </w:rPr>
        <w:footnoteRef/>
      </w:r>
      <w:r>
        <w:t xml:space="preserve"> </w:t>
      </w:r>
      <w:r>
        <w:tab/>
      </w:r>
      <w:r>
        <w:tab/>
        <w:t>NEL, Revenue and Pricing Principles, 7A (2).</w:t>
      </w:r>
    </w:p>
  </w:footnote>
  <w:footnote w:id="63">
    <w:p w:rsidR="00515AC5" w:rsidRDefault="00515AC5" w:rsidP="009055FC">
      <w:pPr>
        <w:pStyle w:val="FootnoteText"/>
      </w:pPr>
      <w:r>
        <w:rPr>
          <w:rStyle w:val="FootnoteReference"/>
        </w:rPr>
        <w:footnoteRef/>
      </w:r>
      <w:r>
        <w:t xml:space="preserve"> </w:t>
      </w:r>
      <w:r>
        <w:tab/>
        <w:t>NER, cl.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64">
    <w:p w:rsidR="00515AC5" w:rsidRDefault="00515AC5" w:rsidP="009055FC">
      <w:pPr>
        <w:pStyle w:val="FootnoteText"/>
      </w:pPr>
      <w:r>
        <w:rPr>
          <w:rStyle w:val="FootnoteReference"/>
        </w:rPr>
        <w:footnoteRef/>
      </w:r>
      <w:r>
        <w:t xml:space="preserve"> </w:t>
      </w:r>
      <w:r>
        <w:tab/>
      </w:r>
      <w:r w:rsidRPr="008D66D9">
        <w:t xml:space="preserve">Material costs relate to the hardware used to provide metering services. Non–material costs relate to the labour activities which </w:t>
      </w:r>
      <w:r>
        <w:t>ActewAGL</w:t>
      </w:r>
      <w:r w:rsidRPr="008D66D9">
        <w:t xml:space="preserve"> must perform to install a new or replaced meter.</w:t>
      </w:r>
    </w:p>
  </w:footnote>
  <w:footnote w:id="65">
    <w:p w:rsidR="00515AC5" w:rsidRDefault="00515AC5" w:rsidP="009055FC">
      <w:pPr>
        <w:pStyle w:val="FootnoteText"/>
      </w:pPr>
      <w:r>
        <w:rPr>
          <w:rStyle w:val="FootnoteReference"/>
        </w:rPr>
        <w:footnoteRef/>
      </w:r>
      <w:r>
        <w:t xml:space="preserve"> </w:t>
      </w:r>
      <w:r>
        <w:tab/>
        <w:t>NER, cl. 6.15.2(7).</w:t>
      </w:r>
    </w:p>
  </w:footnote>
  <w:footnote w:id="66">
    <w:p w:rsidR="00515AC5" w:rsidRDefault="00515AC5" w:rsidP="009055FC">
      <w:pPr>
        <w:pStyle w:val="FootnoteText"/>
      </w:pPr>
      <w:r>
        <w:rPr>
          <w:rStyle w:val="FootnoteReference"/>
        </w:rPr>
        <w:footnoteRef/>
      </w:r>
      <w:r>
        <w:t xml:space="preserve"> </w:t>
      </w:r>
      <w:r>
        <w:tab/>
        <w:t>ActewAGL,</w:t>
      </w:r>
      <w:r w:rsidRPr="00AB576A">
        <w:rPr>
          <w:rStyle w:val="AERtextitalic"/>
        </w:rPr>
        <w:t xml:space="preserve"> Revised regulatory proposal 2015–19</w:t>
      </w:r>
      <w:r w:rsidRPr="00AB576A">
        <w:t xml:space="preserve">, January 2015, </w:t>
      </w:r>
      <w:r>
        <w:t>p. 659.</w:t>
      </w:r>
    </w:p>
  </w:footnote>
  <w:footnote w:id="67">
    <w:p w:rsidR="00515AC5" w:rsidRDefault="00515AC5" w:rsidP="009055FC">
      <w:pPr>
        <w:pStyle w:val="FootnoteText"/>
      </w:pPr>
      <w:r>
        <w:rPr>
          <w:rStyle w:val="FootnoteReference"/>
        </w:rPr>
        <w:footnoteRef/>
      </w:r>
      <w:r>
        <w:t xml:space="preserve"> </w:t>
      </w:r>
      <w:r>
        <w:tab/>
        <w:t xml:space="preserve">AER, </w:t>
      </w:r>
      <w:r w:rsidRPr="001D1F2B">
        <w:t>Economic benchmarking RIN</w:t>
      </w:r>
      <w:r>
        <w:t xml:space="preserve"> f</w:t>
      </w:r>
      <w:r w:rsidRPr="001D1F2B">
        <w:t>or distribution network service providers</w:t>
      </w:r>
      <w:r>
        <w:t xml:space="preserve"> - Instructions and Definitions - Sample, November 2013.</w:t>
      </w:r>
    </w:p>
  </w:footnote>
  <w:footnote w:id="68">
    <w:p w:rsidR="00515AC5" w:rsidRDefault="00515AC5" w:rsidP="009055FC">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69">
    <w:p w:rsidR="00515AC5" w:rsidRDefault="00515AC5" w:rsidP="009055FC">
      <w:pPr>
        <w:pStyle w:val="FootnoteText"/>
      </w:pPr>
      <w:r>
        <w:rPr>
          <w:rStyle w:val="FootnoteReference"/>
        </w:rPr>
        <w:footnoteRef/>
      </w:r>
      <w:r>
        <w:t xml:space="preserve"> </w:t>
      </w:r>
      <w:r>
        <w:tab/>
        <w:t>NER, cl. 6.6.5(c).</w:t>
      </w:r>
    </w:p>
  </w:footnote>
  <w:footnote w:id="70">
    <w:p w:rsidR="00515AC5" w:rsidRDefault="00515AC5" w:rsidP="009055F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 p.11, 24.</w:t>
      </w:r>
    </w:p>
  </w:footnote>
  <w:footnote w:id="71">
    <w:p w:rsidR="00515AC5" w:rsidRDefault="00515AC5" w:rsidP="009055FC">
      <w:pPr>
        <w:pStyle w:val="FootnoteText"/>
      </w:pPr>
      <w:r>
        <w:rPr>
          <w:rStyle w:val="FootnoteReference"/>
        </w:rPr>
        <w:footnoteRef/>
      </w:r>
      <w:r>
        <w:t xml:space="preserve"> </w:t>
      </w:r>
      <w:r>
        <w:tab/>
        <w:t>NER, cll. 6.5.6 and 6.5.7.</w:t>
      </w:r>
    </w:p>
  </w:footnote>
  <w:footnote w:id="72">
    <w:p w:rsidR="00515AC5" w:rsidRDefault="00515AC5" w:rsidP="009055FC">
      <w:pPr>
        <w:pStyle w:val="FootnoteText"/>
      </w:pPr>
      <w:r>
        <w:rPr>
          <w:rStyle w:val="FootnoteReference"/>
        </w:rPr>
        <w:footnoteRef/>
      </w:r>
      <w:r>
        <w:t xml:space="preserve"> </w:t>
      </w:r>
      <w:r>
        <w:tab/>
        <w:t>NER, cll. 6.5.6(c) and 6.5.7(c).</w:t>
      </w:r>
    </w:p>
  </w:footnote>
  <w:footnote w:id="73">
    <w:p w:rsidR="00515AC5" w:rsidRDefault="00515AC5" w:rsidP="009055FC">
      <w:pPr>
        <w:pStyle w:val="FootnoteText"/>
      </w:pPr>
      <w:r>
        <w:rPr>
          <w:rStyle w:val="FootnoteReference"/>
        </w:rPr>
        <w:footnoteRef/>
      </w:r>
      <w:r>
        <w:t xml:space="preserve"> </w:t>
      </w:r>
      <w:r>
        <w:tab/>
        <w:t>NEL, Revenue and Pricing Principles, 7A (2).</w:t>
      </w:r>
    </w:p>
  </w:footnote>
  <w:footnote w:id="74">
    <w:p w:rsidR="00515AC5" w:rsidRDefault="00515AC5" w:rsidP="009055FC">
      <w:pPr>
        <w:pStyle w:val="FootnoteText"/>
      </w:pPr>
      <w:r>
        <w:rPr>
          <w:rStyle w:val="FootnoteReference"/>
        </w:rPr>
        <w:footnoteRef/>
      </w:r>
      <w:r>
        <w:t xml:space="preserve"> </w:t>
      </w:r>
      <w:r>
        <w:tab/>
        <w:t>Direct control services are defined in Chapter 10 of the NER to include standard and alternative control services.</w:t>
      </w:r>
    </w:p>
  </w:footnote>
  <w:footnote w:id="75">
    <w:p w:rsidR="00515AC5" w:rsidRDefault="00515AC5" w:rsidP="009055FC">
      <w:pPr>
        <w:pStyle w:val="FootnoteText"/>
      </w:pPr>
      <w:r>
        <w:rPr>
          <w:rStyle w:val="FootnoteReference"/>
        </w:rPr>
        <w:footnoteRef/>
      </w:r>
      <w:r>
        <w:t xml:space="preserve"> </w:t>
      </w:r>
      <w:r>
        <w:tab/>
        <w:t>Although the capital costs of the meter remain to be recovered by the distributor, there is no longer any need to read the meter, thus providing an opex saving.</w:t>
      </w:r>
    </w:p>
  </w:footnote>
  <w:footnote w:id="76">
    <w:p w:rsidR="00515AC5" w:rsidRDefault="00515AC5" w:rsidP="009055FC">
      <w:pPr>
        <w:pStyle w:val="FootnoteText"/>
      </w:pPr>
      <w:r>
        <w:rPr>
          <w:rStyle w:val="FootnoteReference"/>
        </w:rPr>
        <w:footnoteRef/>
      </w:r>
      <w:r>
        <w:t xml:space="preserve"> </w:t>
      </w:r>
      <w:r>
        <w:tab/>
      </w:r>
      <w:r w:rsidRPr="00A7473C">
        <w:t xml:space="preserve">QCOSS Submission </w:t>
      </w:r>
      <w:r>
        <w:t>to AER Consultation Paper (</w:t>
      </w:r>
      <w:r w:rsidRPr="00A7473C">
        <w:t>Recov</w:t>
      </w:r>
      <w:r>
        <w:t xml:space="preserve">ery of Residual Metering Costs), </w:t>
      </w:r>
      <w:r w:rsidRPr="00A7473C">
        <w:t>31 March 2015</w:t>
      </w:r>
      <w:r>
        <w:t>, p 2</w:t>
      </w:r>
    </w:p>
  </w:footnote>
  <w:footnote w:id="77">
    <w:p w:rsidR="00515AC5" w:rsidRDefault="00515AC5" w:rsidP="009055FC">
      <w:pPr>
        <w:pStyle w:val="FootnoteText"/>
      </w:pPr>
      <w:r>
        <w:rPr>
          <w:rStyle w:val="FootnoteReference"/>
        </w:rPr>
        <w:footnoteRef/>
      </w:r>
      <w:r>
        <w:t xml:space="preserve"> </w:t>
      </w:r>
      <w:r>
        <w:tab/>
        <w:t>ActewAGL, Revised Regulatory Proposal, p. 653.</w:t>
      </w:r>
    </w:p>
  </w:footnote>
  <w:footnote w:id="78">
    <w:p w:rsidR="00515AC5" w:rsidRDefault="00515AC5" w:rsidP="009055FC">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79">
    <w:p w:rsidR="00515AC5" w:rsidRDefault="00515AC5" w:rsidP="009055FC">
      <w:pPr>
        <w:pStyle w:val="FootnoteText"/>
      </w:pPr>
      <w:r>
        <w:rPr>
          <w:rStyle w:val="FootnoteReference"/>
        </w:rPr>
        <w:footnoteRef/>
      </w:r>
      <w:r>
        <w:t xml:space="preserve"> </w:t>
      </w:r>
      <w:r>
        <w:tab/>
        <w:t xml:space="preserve">AEMC, </w:t>
      </w:r>
      <w:r w:rsidRPr="00503897">
        <w:t>D</w:t>
      </w:r>
      <w:r>
        <w:t>raft Rule Determination (</w:t>
      </w:r>
      <w:r w:rsidRPr="00503897">
        <w:t>Expanding competition in metering and related services</w:t>
      </w:r>
      <w:r>
        <w:t>), 26 March 2015, p. 225.</w:t>
      </w:r>
    </w:p>
  </w:footnote>
  <w:footnote w:id="80">
    <w:p w:rsidR="00515AC5" w:rsidRDefault="00515AC5" w:rsidP="009055FC">
      <w:pPr>
        <w:pStyle w:val="FootnoteText"/>
      </w:pPr>
      <w:r>
        <w:rPr>
          <w:rStyle w:val="FootnoteReference"/>
        </w:rPr>
        <w:footnoteRef/>
      </w:r>
      <w:r>
        <w:t xml:space="preserve"> </w:t>
      </w:r>
      <w:r>
        <w:tab/>
      </w:r>
      <w:r w:rsidRPr="00F03511">
        <w:t>Consumer Challenge Panel, Updated submission on NSW DNSPs regulatory proposals 2014-19, 15 August 2014, pp.</w:t>
      </w:r>
      <w:r>
        <w:t xml:space="preserve"> </w:t>
      </w:r>
      <w:r w:rsidRPr="00F03511">
        <w:t>36-7.</w:t>
      </w:r>
    </w:p>
    <w:p w:rsidR="00515AC5" w:rsidRDefault="00515AC5" w:rsidP="009055FC">
      <w:pPr>
        <w:pStyle w:val="FootnoteText"/>
      </w:pPr>
      <w:r>
        <w:tab/>
        <w:t>Vector</w:t>
      </w:r>
      <w:r w:rsidRPr="00F03511">
        <w:t xml:space="preserve"> Limited</w:t>
      </w:r>
      <w:r>
        <w:t xml:space="preserve">, </w:t>
      </w:r>
      <w:r w:rsidRPr="00F03511">
        <w:t>Submission on DNSPs regulatory proposals</w:t>
      </w:r>
      <w:r>
        <w:t>,</w:t>
      </w:r>
      <w:r w:rsidRPr="00F03511">
        <w:t xml:space="preserve"> 8 August 2014</w:t>
      </w:r>
      <w:r>
        <w:t xml:space="preserve"> p. 4.</w:t>
      </w:r>
    </w:p>
    <w:p w:rsidR="00515AC5" w:rsidRDefault="00515AC5" w:rsidP="009055FC">
      <w:pPr>
        <w:pStyle w:val="FootnoteText"/>
      </w:pPr>
      <w:r>
        <w:tab/>
      </w:r>
      <w:r w:rsidRPr="00F03511">
        <w:t>ERAA, Submission on Issues paper NSW electricity distribution regulatory proposals, 8 August 2014, p. 2.</w:t>
      </w:r>
    </w:p>
    <w:p w:rsidR="00515AC5" w:rsidRDefault="00515AC5" w:rsidP="009055FC">
      <w:pPr>
        <w:pStyle w:val="FootnoteText"/>
      </w:pPr>
      <w:r>
        <w:tab/>
      </w:r>
      <w:r w:rsidRPr="00F03511">
        <w:t>Origin Energy, Submission on NSW electricity distributors regulatory proposal (attachment 1)</w:t>
      </w:r>
      <w:r>
        <w:t xml:space="preserve">, </w:t>
      </w:r>
      <w:r w:rsidRPr="00F03511">
        <w:t>8 August 2014, p. 33.</w:t>
      </w:r>
    </w:p>
    <w:p w:rsidR="00515AC5" w:rsidRDefault="00515AC5" w:rsidP="009055FC">
      <w:pPr>
        <w:pStyle w:val="FootnoteText"/>
      </w:pPr>
      <w:r>
        <w:tab/>
      </w:r>
      <w:r w:rsidRPr="00F03511">
        <w:t>AGL, Submission on NSW electricity distribution networks regulatory proposals, 8 August 2014, p. 21</w:t>
      </w:r>
      <w:r>
        <w:t>.</w:t>
      </w:r>
    </w:p>
    <w:p w:rsidR="00515AC5" w:rsidRDefault="00515AC5" w:rsidP="009055FC">
      <w:pPr>
        <w:pStyle w:val="FootnoteText"/>
      </w:pPr>
      <w:r>
        <w:tab/>
      </w:r>
      <w:r w:rsidRPr="00F03511">
        <w:t>PIAC, Submission on NSW electricity distribution network price determination, 8 August 2014, p. 105.</w:t>
      </w:r>
    </w:p>
  </w:footnote>
  <w:footnote w:id="81">
    <w:p w:rsidR="00515AC5" w:rsidRDefault="00515AC5" w:rsidP="009055FC">
      <w:pPr>
        <w:pStyle w:val="FootnoteText"/>
      </w:pPr>
      <w:r>
        <w:rPr>
          <w:rStyle w:val="FootnoteReference"/>
        </w:rPr>
        <w:footnoteRef/>
      </w:r>
      <w:r>
        <w:t xml:space="preserve"> </w:t>
      </w:r>
      <w:r>
        <w:tab/>
        <w:t>Vector</w:t>
      </w:r>
      <w:r w:rsidRPr="00F03511">
        <w:t xml:space="preserve"> Limited</w:t>
      </w:r>
      <w:r>
        <w:t xml:space="preserve">, </w:t>
      </w:r>
      <w:r w:rsidRPr="00F03511">
        <w:t>Submission on DNSPs regulatory proposals</w:t>
      </w:r>
      <w:r>
        <w:t>,</w:t>
      </w:r>
      <w:r w:rsidRPr="00F03511">
        <w:t xml:space="preserve"> 8 August 2014</w:t>
      </w:r>
      <w:r>
        <w:t xml:space="preserve"> p. 4. </w:t>
      </w:r>
    </w:p>
  </w:footnote>
  <w:footnote w:id="82">
    <w:p w:rsidR="00515AC5" w:rsidRDefault="00515AC5" w:rsidP="009055FC">
      <w:pPr>
        <w:pStyle w:val="FootnoteText"/>
      </w:pPr>
      <w:r>
        <w:rPr>
          <w:rStyle w:val="FootnoteReference"/>
        </w:rPr>
        <w:footnoteRef/>
      </w:r>
      <w:r>
        <w:t xml:space="preserve"> </w:t>
      </w:r>
      <w:r>
        <w:tab/>
        <w:t xml:space="preserve">In addition to our normal consultative process which allows stakeholders to provide submissions on the distributor's proposal and our draft decision, we also held a metering workshop on </w:t>
      </w:r>
      <w:r w:rsidRPr="0026653C">
        <w:t>11 September 2014</w:t>
      </w:r>
      <w:r>
        <w:t xml:space="preserve"> and released a consultation paper (on the a</w:t>
      </w:r>
      <w:r w:rsidRPr="0026653C">
        <w:t>lternative approach to the recovery of the residual</w:t>
      </w:r>
      <w:r>
        <w:t xml:space="preserve"> </w:t>
      </w:r>
      <w:r w:rsidRPr="0026653C">
        <w:t>metering capital costs through an alternative control</w:t>
      </w:r>
      <w:r>
        <w:t xml:space="preserve"> </w:t>
      </w:r>
      <w:r w:rsidRPr="0026653C">
        <w:t>services annual charge</w:t>
      </w:r>
      <w:r>
        <w:t xml:space="preserve">) in March 2015. We received submissions from consumer groups, potential competitive metering providers, retailers and distributors. </w:t>
      </w:r>
    </w:p>
  </w:footnote>
  <w:footnote w:id="83">
    <w:p w:rsidR="00515AC5" w:rsidRDefault="00515AC5" w:rsidP="009055FC">
      <w:pPr>
        <w:pStyle w:val="FootnoteText"/>
      </w:pPr>
      <w:r>
        <w:rPr>
          <w:rStyle w:val="FootnoteReference"/>
        </w:rPr>
        <w:footnoteRef/>
      </w:r>
      <w:r>
        <w:t xml:space="preserve"> </w:t>
      </w:r>
      <w:r>
        <w:tab/>
        <w:t xml:space="preserve">AER, </w:t>
      </w:r>
      <w:r w:rsidRPr="00A447B7">
        <w:t xml:space="preserve">Draft decision Ausgrid distribution </w:t>
      </w:r>
      <w:r>
        <w:t xml:space="preserve">determination – Attachment 16 </w:t>
      </w:r>
      <w:r w:rsidRPr="00A447B7">
        <w:t>Alternative control services</w:t>
      </w:r>
      <w:r>
        <w:t xml:space="preserve">, </w:t>
      </w:r>
      <w:r w:rsidRPr="00A447B7">
        <w:t>November 2014</w:t>
      </w:r>
      <w:r>
        <w:t>, p. 46.</w:t>
      </w:r>
    </w:p>
  </w:footnote>
  <w:footnote w:id="84">
    <w:p w:rsidR="00515AC5" w:rsidRDefault="00515AC5" w:rsidP="009055FC">
      <w:pPr>
        <w:pStyle w:val="FootnoteText"/>
      </w:pPr>
      <w:r>
        <w:rPr>
          <w:rStyle w:val="FootnoteReference"/>
        </w:rPr>
        <w:footnoteRef/>
      </w:r>
      <w:r>
        <w:t xml:space="preserve"> </w:t>
      </w:r>
      <w:r>
        <w:tab/>
        <w:t>Vector Limited, Submission on the AER's Draft Decisions on NSW and ACT Electricity Distributors' Regulatory Proposals for 2015-16 to 2018-19, p. 3.</w:t>
      </w:r>
    </w:p>
    <w:p w:rsidR="00515AC5" w:rsidRDefault="00515AC5" w:rsidP="009055FC">
      <w:pPr>
        <w:pStyle w:val="FootnoteText"/>
      </w:pPr>
      <w:r>
        <w:tab/>
        <w:t>ERAA, Submission on NSW DNSPs draft decision, 13 Feb 2015, p. 1.</w:t>
      </w:r>
    </w:p>
    <w:p w:rsidR="00515AC5" w:rsidRDefault="00515AC5" w:rsidP="009055FC">
      <w:pPr>
        <w:pStyle w:val="FootnoteText"/>
      </w:pPr>
      <w:r>
        <w:tab/>
        <w:t>Origin, Submission on NSW draft decisions, 15 Feb 2015, p. 22.</w:t>
      </w:r>
    </w:p>
    <w:p w:rsidR="00515AC5" w:rsidRDefault="00515AC5" w:rsidP="009055FC">
      <w:pPr>
        <w:pStyle w:val="FootnoteText"/>
      </w:pPr>
      <w:r>
        <w:tab/>
        <w:t>CCP, Submission to AER Responding to NSW draft determination and revised proposals, p.41.</w:t>
      </w:r>
    </w:p>
    <w:p w:rsidR="00515AC5" w:rsidRDefault="00515AC5" w:rsidP="009055FC">
      <w:pPr>
        <w:pStyle w:val="FootnoteText"/>
      </w:pPr>
      <w:r>
        <w:tab/>
        <w:t>AGL, Submission to AER on NSW electricity distribution network determinations 2014-19: AER draft decisions and revised regulatory proposals, pp.1-3.</w:t>
      </w:r>
    </w:p>
    <w:p w:rsidR="00515AC5" w:rsidRDefault="00515AC5" w:rsidP="009055FC">
      <w:pPr>
        <w:pStyle w:val="FootnoteText"/>
      </w:pPr>
      <w:r>
        <w:tab/>
        <w:t>TEC, Submission to AER on the draft determination on NSW DB's regulatory proposals 2014-19, Feb 2015, p.2.</w:t>
      </w:r>
    </w:p>
    <w:p w:rsidR="00515AC5" w:rsidRDefault="00515AC5" w:rsidP="009055FC">
      <w:pPr>
        <w:pStyle w:val="FootnoteText"/>
      </w:pPr>
      <w:r>
        <w:tab/>
        <w:t>NCOSS, Submission to the AER draft determination on NSW distribution business's revised regulatory proposals 2014–19, February 2015, p.7.</w:t>
      </w:r>
    </w:p>
  </w:footnote>
  <w:footnote w:id="85">
    <w:p w:rsidR="00515AC5" w:rsidRDefault="00515AC5" w:rsidP="009055FC">
      <w:pPr>
        <w:pStyle w:val="FootnoteText"/>
      </w:pPr>
      <w:r>
        <w:rPr>
          <w:rStyle w:val="FootnoteReference"/>
        </w:rPr>
        <w:footnoteRef/>
      </w:r>
      <w:r>
        <w:t xml:space="preserve"> </w:t>
      </w:r>
      <w:r>
        <w:tab/>
        <w:t>Ergon Energy, Submission on the draft decisions: NSW and ACT distribution determinations 2015-16 to 2018-19, p. 35.</w:t>
      </w:r>
    </w:p>
  </w:footnote>
  <w:footnote w:id="86">
    <w:p w:rsidR="00515AC5" w:rsidRDefault="00515AC5" w:rsidP="009055FC">
      <w:pPr>
        <w:pStyle w:val="FootnoteText"/>
      </w:pPr>
      <w:r>
        <w:rPr>
          <w:rStyle w:val="FootnoteReference"/>
        </w:rPr>
        <w:footnoteRef/>
      </w:r>
      <w:r>
        <w:t xml:space="preserve"> </w:t>
      </w:r>
      <w:r>
        <w:tab/>
        <w:t xml:space="preserve">AER, </w:t>
      </w:r>
      <w:r w:rsidRPr="00A447B7">
        <w:t>Consultation paper - Recovering the residual metering capital costs through an ACS annual charge - March 2015</w:t>
      </w:r>
    </w:p>
  </w:footnote>
  <w:footnote w:id="87">
    <w:p w:rsidR="00515AC5" w:rsidRDefault="00515AC5" w:rsidP="009055FC">
      <w:pPr>
        <w:pStyle w:val="FootnoteText"/>
      </w:pPr>
      <w:r>
        <w:rPr>
          <w:rStyle w:val="FootnoteReference"/>
        </w:rPr>
        <w:footnoteRef/>
      </w:r>
      <w:r>
        <w:t xml:space="preserve"> </w:t>
      </w:r>
      <w:r>
        <w:tab/>
        <w:t>Under our draft decision, a customer who switched only had to pay metering charges related to a competitive metering provider for their new advanced meter and a small proportion of residual metering capital costs through increased DUoS charges. Under our final decision, a customer who switches continues to pay the regulated annual charge (capital), in addition to any new advanced metering charge. The switching cost is therefore higher under our final decision.</w:t>
      </w:r>
    </w:p>
  </w:footnote>
  <w:footnote w:id="88">
    <w:p w:rsidR="00515AC5" w:rsidRDefault="00515AC5" w:rsidP="009055FC">
      <w:pPr>
        <w:pStyle w:val="FootnoteText"/>
      </w:pPr>
      <w:r>
        <w:rPr>
          <w:rStyle w:val="FootnoteReference"/>
        </w:rPr>
        <w:footnoteRef/>
      </w:r>
      <w:r>
        <w:t xml:space="preserve"> </w:t>
      </w:r>
      <w:r>
        <w:tab/>
        <w:t>Type 5 and 6 metering services are for smaller customers who consume less than 160MWh annually.</w:t>
      </w:r>
    </w:p>
  </w:footnote>
  <w:footnote w:id="89">
    <w:p w:rsidR="00515AC5" w:rsidRDefault="00515AC5" w:rsidP="009055FC">
      <w:pPr>
        <w:pStyle w:val="FootnoteText"/>
      </w:pPr>
      <w:r>
        <w:rPr>
          <w:rStyle w:val="FootnoteReference"/>
        </w:rPr>
        <w:footnoteRef/>
      </w:r>
      <w:r>
        <w:t xml:space="preserve"> </w:t>
      </w:r>
      <w:r>
        <w:tab/>
        <w:t xml:space="preserve">Capex related to replacement meters is added to the MAB and recovered from all metering customers through the annual charge, rather than charged upfront. We consider this is appropriate because replacement is not initiated or controlled by the customer. A meter has to be replaced if it suddenly fails or may have to be proactively replaced because the distributor must comply with AEMO's metrology procedures. </w:t>
      </w:r>
    </w:p>
  </w:footnote>
  <w:footnote w:id="90">
    <w:p w:rsidR="00515AC5" w:rsidRDefault="00515AC5" w:rsidP="009055FC">
      <w:pPr>
        <w:pStyle w:val="FootnoteText"/>
      </w:pPr>
      <w:r>
        <w:rPr>
          <w:rStyle w:val="FootnoteReference"/>
        </w:rPr>
        <w:footnoteRef/>
      </w:r>
      <w:r>
        <w:t xml:space="preserve"> </w:t>
      </w:r>
      <w:r>
        <w:tab/>
        <w:t xml:space="preserve">AEMC, </w:t>
      </w:r>
      <w:r w:rsidRPr="00775144">
        <w:t>Expanding competition in metering and related services, Draft Ru</w:t>
      </w:r>
      <w:r>
        <w:t>le Determination, 26 March 2015, p. 79.</w:t>
      </w:r>
    </w:p>
  </w:footnote>
  <w:footnote w:id="91">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34.</w:t>
      </w:r>
    </w:p>
  </w:footnote>
  <w:footnote w:id="92">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662.</w:t>
      </w:r>
    </w:p>
  </w:footnote>
  <w:footnote w:id="93">
    <w:p w:rsidR="00515AC5" w:rsidRDefault="00515AC5" w:rsidP="009055FC">
      <w:pPr>
        <w:pStyle w:val="FootnoteText"/>
      </w:pPr>
      <w:r>
        <w:rPr>
          <w:rStyle w:val="FootnoteReference"/>
        </w:rPr>
        <w:footnoteRef/>
      </w:r>
      <w:r>
        <w:t xml:space="preserve"> </w:t>
      </w:r>
      <w:r>
        <w:tab/>
        <w:t xml:space="preserve">AER, </w:t>
      </w:r>
      <w:r w:rsidRPr="00955788">
        <w:rPr>
          <w:rStyle w:val="AERtextitalic"/>
        </w:rPr>
        <w:t xml:space="preserve">Draft decision on </w:t>
      </w:r>
      <w:r>
        <w:rPr>
          <w:rStyle w:val="AERtextitalic"/>
        </w:rPr>
        <w:t>ActewAGL's</w:t>
      </w:r>
      <w:r w:rsidRPr="00955788">
        <w:rPr>
          <w:rStyle w:val="AERtextitalic"/>
        </w:rPr>
        <w:t xml:space="preserve"> regulatory proposal: 2014-15 and 2015–19</w:t>
      </w:r>
      <w:r w:rsidRPr="00955788">
        <w:t>, November 2014, p. 16–</w:t>
      </w:r>
      <w:r>
        <w:t>29.</w:t>
      </w:r>
    </w:p>
  </w:footnote>
  <w:footnote w:id="94">
    <w:p w:rsidR="00515AC5" w:rsidRDefault="00515AC5" w:rsidP="009055FC">
      <w:pPr>
        <w:pStyle w:val="FootnoteText"/>
      </w:pPr>
      <w:r>
        <w:rPr>
          <w:rStyle w:val="FootnoteReference"/>
        </w:rPr>
        <w:footnoteRef/>
      </w:r>
      <w:r>
        <w:t xml:space="preserve"> </w:t>
      </w:r>
      <w:r>
        <w:tab/>
        <w:t xml:space="preserve">ActewAGL, </w:t>
      </w:r>
      <w:r w:rsidRPr="003D55BB">
        <w:rPr>
          <w:rStyle w:val="AERtextitalic"/>
        </w:rPr>
        <w:t>Initial regulatory proposal, Attachment B8, Metering PTRM</w:t>
      </w:r>
      <w:r>
        <w:t>, May 2014. Converted to $2014–15.</w:t>
      </w:r>
    </w:p>
  </w:footnote>
  <w:footnote w:id="95">
    <w:p w:rsidR="00515AC5" w:rsidRDefault="00515AC5" w:rsidP="009055FC">
      <w:pPr>
        <w:pStyle w:val="FootnoteText"/>
      </w:pPr>
      <w:r>
        <w:rPr>
          <w:rStyle w:val="FootnoteReference"/>
        </w:rPr>
        <w:footnoteRef/>
      </w:r>
      <w:r>
        <w:t xml:space="preserve"> </w:t>
      </w:r>
      <w:r>
        <w:tab/>
      </w:r>
      <w:r w:rsidRPr="008739F4">
        <w:t xml:space="preserve">Marsden Jacobs Associates, Consultant report to the AER on Alternative Control Services, </w:t>
      </w:r>
      <w:r>
        <w:t>October 2014, section 2.1.1</w:t>
      </w:r>
      <w:r w:rsidRPr="008739F4">
        <w:t>.</w:t>
      </w:r>
    </w:p>
  </w:footnote>
  <w:footnote w:id="96">
    <w:p w:rsidR="00515AC5" w:rsidRDefault="00515AC5" w:rsidP="009055FC">
      <w:pPr>
        <w:pStyle w:val="FootnoteText"/>
      </w:pPr>
      <w:r>
        <w:rPr>
          <w:rStyle w:val="FootnoteReference"/>
        </w:rPr>
        <w:footnoteRef/>
      </w:r>
      <w:r>
        <w:t xml:space="preserve"> </w:t>
      </w:r>
      <w:r>
        <w:tab/>
      </w:r>
      <w:r w:rsidRPr="008739F4">
        <w:t xml:space="preserve">Marsden Jacobs Associates, Consultant report to the AER on Alternative Control Services, </w:t>
      </w:r>
      <w:r>
        <w:t>October 2014, section 2.1.1</w:t>
      </w:r>
      <w:r w:rsidRPr="008739F4">
        <w:t>.</w:t>
      </w:r>
    </w:p>
  </w:footnote>
  <w:footnote w:id="97">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29.</w:t>
      </w:r>
    </w:p>
  </w:footnote>
  <w:footnote w:id="98">
    <w:p w:rsidR="00515AC5" w:rsidRDefault="00515AC5" w:rsidP="009055FC">
      <w:pPr>
        <w:pStyle w:val="FootnoteText"/>
      </w:pPr>
      <w:r>
        <w:rPr>
          <w:rStyle w:val="FootnoteReference"/>
        </w:rPr>
        <w:footnoteRef/>
      </w:r>
      <w:r>
        <w:t xml:space="preserve"> </w:t>
      </w:r>
      <w:r>
        <w:tab/>
        <w:t xml:space="preserve">AER, </w:t>
      </w:r>
      <w:r w:rsidRPr="00955788">
        <w:rPr>
          <w:rStyle w:val="AERtextitalic"/>
        </w:rPr>
        <w:t>Draft decision on</w:t>
      </w:r>
      <w:r>
        <w:rPr>
          <w:rStyle w:val="AERtextitalic"/>
        </w:rPr>
        <w:t xml:space="preserve"> ActewAGL's</w:t>
      </w:r>
      <w:r w:rsidRPr="00955788">
        <w:rPr>
          <w:rStyle w:val="AERtextitalic"/>
        </w:rPr>
        <w:t xml:space="preserve"> regulatory proposal: 2014-15 and 2015–19</w:t>
      </w:r>
      <w:r w:rsidRPr="00955788">
        <w:t>, November 2014, p. 16–</w:t>
      </w:r>
      <w:r>
        <w:t>29.</w:t>
      </w:r>
    </w:p>
  </w:footnote>
  <w:footnote w:id="99">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661.</w:t>
      </w:r>
    </w:p>
  </w:footnote>
  <w:footnote w:id="100">
    <w:p w:rsidR="00515AC5" w:rsidRDefault="00515AC5" w:rsidP="009055FC">
      <w:pPr>
        <w:pStyle w:val="FootnoteText"/>
      </w:pPr>
      <w:r>
        <w:rPr>
          <w:rStyle w:val="FootnoteReference"/>
        </w:rPr>
        <w:footnoteRef/>
      </w:r>
      <w:r>
        <w:t xml:space="preserve"> </w:t>
      </w:r>
      <w:r>
        <w:tab/>
        <w:t>Independent Competition and Regulatory Commission, Final decision: Review of metrology procedures, December 2005, p. 31.</w:t>
      </w:r>
    </w:p>
  </w:footnote>
  <w:footnote w:id="101">
    <w:p w:rsidR="00515AC5" w:rsidRDefault="00515AC5" w:rsidP="009055FC">
      <w:pPr>
        <w:pStyle w:val="FootnoteText"/>
      </w:pPr>
      <w:r>
        <w:rPr>
          <w:rStyle w:val="FootnoteReference"/>
        </w:rPr>
        <w:footnoteRef/>
      </w:r>
      <w:r>
        <w:t xml:space="preserve"> </w:t>
      </w:r>
      <w:r>
        <w:tab/>
      </w:r>
      <w:r w:rsidRPr="008739F4">
        <w:t xml:space="preserve">Marsden Jacobs Associates, Consultant report to the AER on Alternative Control Services, </w:t>
      </w:r>
      <w:r>
        <w:t>October 2014, section 2.1.1</w:t>
      </w:r>
      <w:r w:rsidRPr="008739F4">
        <w:t>.</w:t>
      </w:r>
    </w:p>
  </w:footnote>
  <w:footnote w:id="102">
    <w:p w:rsidR="00515AC5" w:rsidRDefault="00515AC5" w:rsidP="009055FC">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ActewAGL's</w:t>
      </w:r>
      <w:r w:rsidRPr="004D07EC">
        <w:rPr>
          <w:rStyle w:val="AERtextitalic"/>
        </w:rPr>
        <w:t xml:space="preserve"> reg</w:t>
      </w:r>
      <w:r>
        <w:rPr>
          <w:rStyle w:val="AERtextitalic"/>
        </w:rPr>
        <w:t xml:space="preserve">ulatory proposal: 2014–15 </w:t>
      </w:r>
      <w:r w:rsidRPr="004D07EC">
        <w:rPr>
          <w:rStyle w:val="AERtextitalic"/>
        </w:rPr>
        <w:t>and 2015–19</w:t>
      </w:r>
      <w:r>
        <w:t>, November 2014, p. 16–30.</w:t>
      </w:r>
    </w:p>
  </w:footnote>
  <w:footnote w:id="103">
    <w:p w:rsidR="00515AC5" w:rsidRDefault="00515AC5" w:rsidP="009055FC">
      <w:pPr>
        <w:pStyle w:val="FootnoteText"/>
      </w:pPr>
      <w:r>
        <w:rPr>
          <w:rStyle w:val="FootnoteReference"/>
        </w:rPr>
        <w:footnoteRef/>
      </w:r>
      <w:r>
        <w:t xml:space="preserve"> </w:t>
      </w:r>
      <w:r>
        <w:tab/>
        <w:t xml:space="preserve">ActewAGL, </w:t>
      </w:r>
      <w:r w:rsidRPr="00C61160">
        <w:rPr>
          <w:rStyle w:val="AERtextitalic"/>
        </w:rPr>
        <w:t>Regulatory proposal, Attachment D6: Meter asset management plan</w:t>
      </w:r>
      <w:r>
        <w:t>, Version 2.25, 27 May p. 14.</w:t>
      </w:r>
    </w:p>
  </w:footnote>
  <w:footnote w:id="104">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662.</w:t>
      </w:r>
    </w:p>
  </w:footnote>
  <w:footnote w:id="105">
    <w:p w:rsidR="00515AC5" w:rsidRDefault="00515AC5" w:rsidP="009055FC">
      <w:pPr>
        <w:pStyle w:val="FootnoteText"/>
      </w:pPr>
      <w:r>
        <w:rPr>
          <w:rStyle w:val="FootnoteReference"/>
        </w:rPr>
        <w:footnoteRef/>
      </w:r>
      <w:r>
        <w:t xml:space="preserve"> </w:t>
      </w:r>
      <w:r>
        <w:tab/>
        <w:t xml:space="preserve">ActewAGL, </w:t>
      </w:r>
      <w:r w:rsidRPr="00831E3A">
        <w:rPr>
          <w:rStyle w:val="AERtextitalic"/>
        </w:rPr>
        <w:t>Revised regulatory proposal 2015–19</w:t>
      </w:r>
      <w:r>
        <w:t>, January 2015, p. 662.</w:t>
      </w:r>
    </w:p>
  </w:footnote>
  <w:footnote w:id="106">
    <w:p w:rsidR="00515AC5" w:rsidRDefault="00515AC5" w:rsidP="009055FC">
      <w:pPr>
        <w:pStyle w:val="FootnoteText"/>
      </w:pPr>
      <w:r>
        <w:rPr>
          <w:rStyle w:val="FootnoteReference"/>
        </w:rPr>
        <w:footnoteRef/>
      </w:r>
      <w:r>
        <w:t xml:space="preserve"> </w:t>
      </w:r>
      <w:r>
        <w:tab/>
        <w:t>ActewAGL Distribution, Submission on the draft decision, February 2015, p 17</w:t>
      </w:r>
    </w:p>
  </w:footnote>
  <w:footnote w:id="107">
    <w:p w:rsidR="00515AC5" w:rsidRDefault="00515AC5" w:rsidP="009055FC">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 xml:space="preserve">ActewAGL's regulatory proposal: 2014–15 </w:t>
      </w:r>
      <w:r w:rsidRPr="004D07EC">
        <w:rPr>
          <w:rStyle w:val="AERtextitalic"/>
        </w:rPr>
        <w:t>and 2015–19</w:t>
      </w:r>
      <w:r>
        <w:t>, November 2014, p. 16–32.</w:t>
      </w:r>
    </w:p>
  </w:footnote>
  <w:footnote w:id="108">
    <w:p w:rsidR="00515AC5" w:rsidRDefault="00515AC5" w:rsidP="009055FC">
      <w:pPr>
        <w:pStyle w:val="FootnoteText"/>
      </w:pPr>
      <w:r>
        <w:rPr>
          <w:rStyle w:val="FootnoteReference"/>
        </w:rPr>
        <w:footnoteRef/>
      </w:r>
      <w:r>
        <w:t xml:space="preserve"> </w:t>
      </w:r>
      <w:r>
        <w:tab/>
        <w:t xml:space="preserve">AER, </w:t>
      </w:r>
      <w:r w:rsidRPr="004D07EC">
        <w:rPr>
          <w:rStyle w:val="AERtextitalic"/>
        </w:rPr>
        <w:t xml:space="preserve">Draft decision on </w:t>
      </w:r>
      <w:r>
        <w:rPr>
          <w:rStyle w:val="AERtextitalic"/>
        </w:rPr>
        <w:t xml:space="preserve">ActewAGL's regulatory proposal: 2014–15 </w:t>
      </w:r>
      <w:r w:rsidRPr="004D07EC">
        <w:rPr>
          <w:rStyle w:val="AERtextitalic"/>
        </w:rPr>
        <w:t>and 2015–19</w:t>
      </w:r>
      <w:r>
        <w:t>, November 2014, p. 16–33.</w:t>
      </w:r>
    </w:p>
  </w:footnote>
  <w:footnote w:id="109">
    <w:p w:rsidR="00515AC5" w:rsidRDefault="00515AC5" w:rsidP="009055FC">
      <w:pPr>
        <w:pStyle w:val="FootnoteText"/>
      </w:pPr>
      <w:r>
        <w:rPr>
          <w:rStyle w:val="FootnoteReference"/>
        </w:rPr>
        <w:footnoteRef/>
      </w:r>
      <w:r>
        <w:t xml:space="preserve"> </w:t>
      </w:r>
      <w:r>
        <w:tab/>
        <w:t xml:space="preserve">AER, </w:t>
      </w:r>
      <w:r w:rsidRPr="004F6FD1">
        <w:rPr>
          <w:rStyle w:val="AERtextitalic"/>
        </w:rPr>
        <w:t>Expenditure assessment guidelines</w:t>
      </w:r>
      <w:r>
        <w:t>, November 2013, p. 11.</w:t>
      </w:r>
    </w:p>
  </w:footnote>
  <w:footnote w:id="110">
    <w:p w:rsidR="00515AC5" w:rsidRDefault="00515AC5" w:rsidP="009055FC">
      <w:pPr>
        <w:pStyle w:val="FootnoteText"/>
      </w:pPr>
      <w:r>
        <w:rPr>
          <w:rStyle w:val="FootnoteReference"/>
        </w:rPr>
        <w:footnoteRef/>
      </w:r>
      <w:r>
        <w:t xml:space="preserve"> </w:t>
      </w:r>
      <w:r>
        <w:tab/>
        <w:t>ActewAGL, Meter Asset Management Plan, Version 2.5. 27 May 2014, p. 14.</w:t>
      </w:r>
    </w:p>
  </w:footnote>
  <w:footnote w:id="111">
    <w:p w:rsidR="00515AC5" w:rsidRDefault="00515AC5" w:rsidP="009055FC">
      <w:pPr>
        <w:pStyle w:val="FootnoteText"/>
      </w:pPr>
      <w:r>
        <w:rPr>
          <w:rStyle w:val="FootnoteReference"/>
        </w:rPr>
        <w:footnoteRef/>
      </w:r>
      <w:r>
        <w:t xml:space="preserve"> </w:t>
      </w:r>
      <w:r>
        <w:tab/>
        <w:t>See attachment 2 of this final decision for more information on how changes in labour costs were forecast.</w:t>
      </w:r>
    </w:p>
  </w:footnote>
  <w:footnote w:id="112">
    <w:p w:rsidR="00515AC5" w:rsidRDefault="00515AC5" w:rsidP="00572635">
      <w:pPr>
        <w:pStyle w:val="FootnoteText"/>
      </w:pPr>
      <w:r>
        <w:rPr>
          <w:rStyle w:val="FootnoteReference"/>
        </w:rPr>
        <w:footnoteRef/>
      </w:r>
      <w:r>
        <w:t xml:space="preserve"> </w:t>
      </w:r>
      <w:r>
        <w:tab/>
        <w:t>Retailers in the National Electricity Market can and do provider metering services to the contestable elements of the market, namely the medium and large businesses. Distributors at this stage maintain a monopoly provision to household customers but this will change with advent of the AEMC competition in metering rule change.</w:t>
      </w:r>
    </w:p>
  </w:footnote>
  <w:footnote w:id="113">
    <w:p w:rsidR="00515AC5" w:rsidRDefault="00515AC5" w:rsidP="00572635">
      <w:pPr>
        <w:pStyle w:val="FootnoteText"/>
      </w:pPr>
      <w:r>
        <w:rPr>
          <w:rStyle w:val="FootnoteReference"/>
        </w:rPr>
        <w:footnoteRef/>
      </w:r>
      <w:r>
        <w:t xml:space="preserve"> </w:t>
      </w:r>
      <w:r>
        <w:tab/>
        <w:t>Vector Limited, submission on the AER’s draft decision on New South Wales and ACT Electricity Distributors’ Regulatory Proposals for 2015–16 to 2019–20, pp. 5, 6-8, 13 February 2015, p.p. 6-7; AGL, Alternative approach to the recovery of the residual metering capital costs through an alternative control service annual charge, 27 March 2015, p.2; AGL, email to AER staff, AGL Presentation to AER staff—metering regulation &amp; transition to competition, 13 March 2015.</w:t>
      </w:r>
    </w:p>
  </w:footnote>
  <w:footnote w:id="114">
    <w:p w:rsidR="00515AC5" w:rsidRDefault="00515AC5" w:rsidP="00572635">
      <w:pPr>
        <w:pStyle w:val="FootnoteText"/>
      </w:pPr>
      <w:r>
        <w:rPr>
          <w:rStyle w:val="FootnoteReference"/>
        </w:rPr>
        <w:footnoteRef/>
      </w:r>
      <w:r>
        <w:t xml:space="preserve"> </w:t>
      </w:r>
      <w:r>
        <w:tab/>
        <w:t>Oakley Greenwood, Review of NSW DBs Regulatory Submission, 8 August 2014, p. 7 in Origin Energy, Submission to NSW Electricity distributors' regulatory proposals, 8 August 2014, (attachment 2).</w:t>
      </w:r>
    </w:p>
  </w:footnote>
  <w:footnote w:id="115">
    <w:p w:rsidR="00515AC5" w:rsidRPr="004F28DE" w:rsidRDefault="00515AC5" w:rsidP="00572635">
      <w:pPr>
        <w:pStyle w:val="FootnoteText"/>
      </w:pPr>
      <w:r w:rsidRPr="004F28DE">
        <w:rPr>
          <w:rStyle w:val="FootnoteReference"/>
          <w:vertAlign w:val="baseline"/>
        </w:rPr>
        <w:footnoteRef/>
      </w:r>
      <w:r w:rsidRPr="004F28DE">
        <w:t xml:space="preserve"> </w:t>
      </w:r>
      <w:r w:rsidRPr="004F28DE">
        <w:tab/>
        <w:t>Origin Energy, Ausgrid, Endeavour, Essential initial 2015–19 initial regulatory proposals, Origin submission, August 2014, (attachment 1)</w:t>
      </w:r>
      <w:r>
        <w:t xml:space="preserve"> </w:t>
      </w:r>
      <w:r w:rsidRPr="004F28DE">
        <w:t>p. 36.</w:t>
      </w:r>
    </w:p>
  </w:footnote>
  <w:footnote w:id="116">
    <w:p w:rsidR="00515AC5" w:rsidRDefault="00515AC5" w:rsidP="00572635">
      <w:pPr>
        <w:pStyle w:val="FootnoteText"/>
      </w:pPr>
      <w:r>
        <w:rPr>
          <w:rStyle w:val="FootnoteReference"/>
        </w:rPr>
        <w:footnoteRef/>
      </w:r>
      <w:r>
        <w:t xml:space="preserve"> </w:t>
      </w:r>
      <w:r>
        <w:tab/>
        <w:t>Origin Energy, Ausgrid, Endeavour, Essential initial 2015–19 initial regulatory proposals, Origin submission, August 2014, (attachment 2), p. 7.</w:t>
      </w:r>
    </w:p>
  </w:footnote>
  <w:footnote w:id="117">
    <w:p w:rsidR="00515AC5" w:rsidRDefault="00515AC5" w:rsidP="00572635">
      <w:pPr>
        <w:pStyle w:val="FootnoteText"/>
      </w:pPr>
      <w:r>
        <w:rPr>
          <w:rStyle w:val="FootnoteReference"/>
        </w:rPr>
        <w:footnoteRef/>
      </w:r>
      <w:r>
        <w:t xml:space="preserve"> </w:t>
      </w:r>
      <w:r>
        <w:tab/>
        <w:t>Meeting between respective staff of Simply Energy and AER on 16 March 2015.</w:t>
      </w:r>
    </w:p>
  </w:footnote>
  <w:footnote w:id="118">
    <w:p w:rsidR="00515AC5" w:rsidRDefault="00515AC5" w:rsidP="00572635">
      <w:pPr>
        <w:pStyle w:val="FootnoteText"/>
      </w:pPr>
      <w:r>
        <w:rPr>
          <w:rStyle w:val="FootnoteReference"/>
        </w:rPr>
        <w:footnoteRef/>
      </w:r>
      <w:r>
        <w:t xml:space="preserve"> </w:t>
      </w:r>
      <w:r>
        <w:tab/>
        <w:t>Simply Energy, metering question and churning, email to AER staff, 23 March 2015.</w:t>
      </w:r>
    </w:p>
  </w:footnote>
  <w:footnote w:id="119">
    <w:p w:rsidR="00515AC5" w:rsidRDefault="00515AC5" w:rsidP="00572635">
      <w:pPr>
        <w:pStyle w:val="FootnoteText"/>
      </w:pPr>
      <w:r>
        <w:rPr>
          <w:rStyle w:val="FootnoteReference"/>
        </w:rPr>
        <w:footnoteRef/>
      </w:r>
      <w:r>
        <w:t xml:space="preserve"> </w:t>
      </w:r>
      <w:r>
        <w:tab/>
        <w:t>Simply Energy, metering question and churning, email to AER staff, 23 March 2015.</w:t>
      </w:r>
    </w:p>
  </w:footnote>
  <w:footnote w:id="120">
    <w:p w:rsidR="00515AC5" w:rsidRDefault="00515AC5" w:rsidP="00572635">
      <w:pPr>
        <w:pStyle w:val="FootnoteText"/>
      </w:pPr>
      <w:r>
        <w:rPr>
          <w:rStyle w:val="FootnoteReference"/>
        </w:rPr>
        <w:footnoteRef/>
      </w:r>
      <w:r>
        <w:t xml:space="preserve"> </w:t>
      </w:r>
      <w:r>
        <w:tab/>
        <w:t>Simply Energy, metering question and churning, email to AER staff, 23 March 2015.</w:t>
      </w:r>
    </w:p>
  </w:footnote>
  <w:footnote w:id="121">
    <w:p w:rsidR="00515AC5" w:rsidRDefault="00515AC5" w:rsidP="00572635">
      <w:pPr>
        <w:pStyle w:val="FootnoteText"/>
      </w:pPr>
      <w:r>
        <w:rPr>
          <w:rStyle w:val="FootnoteReference"/>
        </w:rPr>
        <w:footnoteRef/>
      </w:r>
      <w:r>
        <w:t xml:space="preserve"> </w:t>
      </w:r>
      <w:r>
        <w:tab/>
        <w:t>See</w:t>
      </w:r>
      <w:r w:rsidRPr="00A66128">
        <w:t xml:space="preserve"> </w:t>
      </w:r>
      <w:hyperlink r:id="rId2" w:history="1">
        <w:r w:rsidRPr="00A66128">
          <w:rPr>
            <w:rStyle w:val="Hyperlink"/>
            <w:color w:val="auto"/>
            <w:sz w:val="16"/>
            <w:u w:val="none"/>
          </w:rPr>
          <w:t>http://www.aemo.com.au/Consultations/National-Electricity-Market/Second-Stage-Notice-of-Consultation--Meter-Churn-Package</w:t>
        </w:r>
      </w:hyperlink>
      <w:r>
        <w:t xml:space="preserve">, accessed 26 March 2015 and </w:t>
      </w:r>
      <w:hyperlink r:id="rId3" w:history="1">
        <w:r w:rsidRPr="00A66128">
          <w:rPr>
            <w:rStyle w:val="Hyperlink"/>
            <w:color w:val="auto"/>
            <w:sz w:val="16"/>
            <w:u w:val="none"/>
          </w:rPr>
          <w:t>http://www.aemo.com.au/Consultations/National-Electricity-Market/~/media/Files/Other/consultations/gas/Churn%20Package%202014/Meter%20Churn%20Procedure%20FRMP%20v10%20clean.ashx</w:t>
        </w:r>
      </w:hyperlink>
      <w:r>
        <w:t xml:space="preserve"> accessed 26 March 2015.</w:t>
      </w:r>
    </w:p>
  </w:footnote>
  <w:footnote w:id="122">
    <w:p w:rsidR="00515AC5" w:rsidRDefault="00515AC5" w:rsidP="00572635">
      <w:pPr>
        <w:pStyle w:val="FootnoteText"/>
      </w:pPr>
      <w:r>
        <w:rPr>
          <w:rStyle w:val="FootnoteReference"/>
        </w:rPr>
        <w:footnoteRef/>
      </w:r>
      <w:r>
        <w:t xml:space="preserve"> </w:t>
      </w:r>
      <w:r>
        <w:tab/>
        <w:t>We are aware of instances where some distributors are alleged to have deliberately stalled or frustrated attempts by large commercial users to switch meter provider. However, this is a separate issue of specific business conduct, rather than of efficient billing systems per se.</w:t>
      </w:r>
    </w:p>
  </w:footnote>
  <w:footnote w:id="123">
    <w:p w:rsidR="00515AC5" w:rsidRDefault="00515AC5" w:rsidP="00572635">
      <w:pPr>
        <w:pStyle w:val="FootnoteText"/>
      </w:pPr>
      <w:r>
        <w:rPr>
          <w:rStyle w:val="FootnoteReference"/>
        </w:rPr>
        <w:footnoteRef/>
      </w:r>
      <w:r>
        <w:t xml:space="preserve"> </w:t>
      </w:r>
      <w:r>
        <w:tab/>
        <w:t xml:space="preserve">Vector Limited, Urgent - meter churn procedures, email to AER staff, 20 April 2015. </w:t>
      </w:r>
    </w:p>
  </w:footnote>
  <w:footnote w:id="124">
    <w:p w:rsidR="00515AC5" w:rsidRDefault="00515AC5" w:rsidP="00572635">
      <w:pPr>
        <w:pStyle w:val="FootnoteText"/>
      </w:pPr>
      <w:r>
        <w:rPr>
          <w:rStyle w:val="FootnoteReference"/>
        </w:rPr>
        <w:footnoteRef/>
      </w:r>
      <w:r>
        <w:t xml:space="preserve"> </w:t>
      </w:r>
      <w:r>
        <w:tab/>
        <w:t>Vector Limited, Urgent - meter churn procedures, email to AER staff, 20 April 2015</w:t>
      </w:r>
    </w:p>
  </w:footnote>
  <w:footnote w:id="125">
    <w:p w:rsidR="00515AC5" w:rsidRDefault="00515AC5" w:rsidP="00572635">
      <w:pPr>
        <w:pStyle w:val="FootnoteText"/>
      </w:pPr>
      <w:r>
        <w:rPr>
          <w:rStyle w:val="FootnoteReference"/>
        </w:rPr>
        <w:footnoteRef/>
      </w:r>
      <w:r>
        <w:t xml:space="preserve"> </w:t>
      </w:r>
      <w:r>
        <w:tab/>
        <w:t>This logic also applies if we take the ActewAGL's proposed average metering opex per customer per year of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B9083C8"/>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900\AER15 335  AER - Final Decision ActewAGL distribution determination - Attachment 16 – Alternative control services - April 2015.DOCX"/>
  </w:docVars>
  <w:rsids>
    <w:rsidRoot w:val="00961A4A"/>
    <w:rsid w:val="00004C40"/>
    <w:rsid w:val="00004CF8"/>
    <w:rsid w:val="0001589F"/>
    <w:rsid w:val="00020464"/>
    <w:rsid w:val="00021202"/>
    <w:rsid w:val="00021C2B"/>
    <w:rsid w:val="0002517F"/>
    <w:rsid w:val="0003578C"/>
    <w:rsid w:val="000362AB"/>
    <w:rsid w:val="00040EA7"/>
    <w:rsid w:val="000410F7"/>
    <w:rsid w:val="000462C4"/>
    <w:rsid w:val="00051324"/>
    <w:rsid w:val="00063247"/>
    <w:rsid w:val="00066F62"/>
    <w:rsid w:val="00070F9F"/>
    <w:rsid w:val="0007137B"/>
    <w:rsid w:val="00073233"/>
    <w:rsid w:val="000802BC"/>
    <w:rsid w:val="00084DE8"/>
    <w:rsid w:val="00085663"/>
    <w:rsid w:val="00085EBF"/>
    <w:rsid w:val="00091B15"/>
    <w:rsid w:val="000A17F0"/>
    <w:rsid w:val="000A3020"/>
    <w:rsid w:val="000A6C7B"/>
    <w:rsid w:val="000B21B2"/>
    <w:rsid w:val="000C2B40"/>
    <w:rsid w:val="000C4BE8"/>
    <w:rsid w:val="000D122C"/>
    <w:rsid w:val="000D1397"/>
    <w:rsid w:val="000D189C"/>
    <w:rsid w:val="000D2B18"/>
    <w:rsid w:val="000D5052"/>
    <w:rsid w:val="000D6622"/>
    <w:rsid w:val="000E1819"/>
    <w:rsid w:val="000E4821"/>
    <w:rsid w:val="000E6C72"/>
    <w:rsid w:val="001018B2"/>
    <w:rsid w:val="0011524F"/>
    <w:rsid w:val="0011596E"/>
    <w:rsid w:val="00116EB2"/>
    <w:rsid w:val="00124609"/>
    <w:rsid w:val="00126A4C"/>
    <w:rsid w:val="0014573B"/>
    <w:rsid w:val="0014728F"/>
    <w:rsid w:val="001573E4"/>
    <w:rsid w:val="00160756"/>
    <w:rsid w:val="0017232E"/>
    <w:rsid w:val="00174102"/>
    <w:rsid w:val="001754EE"/>
    <w:rsid w:val="00177277"/>
    <w:rsid w:val="00180157"/>
    <w:rsid w:val="00181027"/>
    <w:rsid w:val="00183C24"/>
    <w:rsid w:val="00185CB9"/>
    <w:rsid w:val="001862F2"/>
    <w:rsid w:val="00186F77"/>
    <w:rsid w:val="001926A4"/>
    <w:rsid w:val="00192AD5"/>
    <w:rsid w:val="00193DF3"/>
    <w:rsid w:val="001B13E5"/>
    <w:rsid w:val="001B45A0"/>
    <w:rsid w:val="001B6D7A"/>
    <w:rsid w:val="001C6BB1"/>
    <w:rsid w:val="001D055E"/>
    <w:rsid w:val="001D3BB7"/>
    <w:rsid w:val="001E6CEB"/>
    <w:rsid w:val="001F05A4"/>
    <w:rsid w:val="001F492E"/>
    <w:rsid w:val="001F6DA3"/>
    <w:rsid w:val="002010BC"/>
    <w:rsid w:val="002016E7"/>
    <w:rsid w:val="00202450"/>
    <w:rsid w:val="00202E03"/>
    <w:rsid w:val="0020492C"/>
    <w:rsid w:val="00204D9C"/>
    <w:rsid w:val="00224DB9"/>
    <w:rsid w:val="0023266B"/>
    <w:rsid w:val="00233775"/>
    <w:rsid w:val="00251745"/>
    <w:rsid w:val="00257E97"/>
    <w:rsid w:val="00263AC0"/>
    <w:rsid w:val="00264264"/>
    <w:rsid w:val="0026772D"/>
    <w:rsid w:val="00267CB2"/>
    <w:rsid w:val="00280AF5"/>
    <w:rsid w:val="00286874"/>
    <w:rsid w:val="00290C63"/>
    <w:rsid w:val="00296B65"/>
    <w:rsid w:val="002A7DEF"/>
    <w:rsid w:val="002B249A"/>
    <w:rsid w:val="002C02A8"/>
    <w:rsid w:val="002C233C"/>
    <w:rsid w:val="002C4118"/>
    <w:rsid w:val="002C715A"/>
    <w:rsid w:val="002C75E9"/>
    <w:rsid w:val="002D72E8"/>
    <w:rsid w:val="002E08A8"/>
    <w:rsid w:val="002E7B22"/>
    <w:rsid w:val="002F27F9"/>
    <w:rsid w:val="002F2A53"/>
    <w:rsid w:val="002F7986"/>
    <w:rsid w:val="002F7C94"/>
    <w:rsid w:val="00301B40"/>
    <w:rsid w:val="003029EE"/>
    <w:rsid w:val="00305CC8"/>
    <w:rsid w:val="00307F6D"/>
    <w:rsid w:val="003177A2"/>
    <w:rsid w:val="003271AA"/>
    <w:rsid w:val="003271B5"/>
    <w:rsid w:val="00327A1E"/>
    <w:rsid w:val="00331264"/>
    <w:rsid w:val="00333466"/>
    <w:rsid w:val="00334C8D"/>
    <w:rsid w:val="00343A18"/>
    <w:rsid w:val="00344908"/>
    <w:rsid w:val="00344D19"/>
    <w:rsid w:val="003469FB"/>
    <w:rsid w:val="00346F33"/>
    <w:rsid w:val="0035041C"/>
    <w:rsid w:val="003518B3"/>
    <w:rsid w:val="00360C45"/>
    <w:rsid w:val="003652A0"/>
    <w:rsid w:val="00375CD1"/>
    <w:rsid w:val="00382D7F"/>
    <w:rsid w:val="003846F1"/>
    <w:rsid w:val="0039299A"/>
    <w:rsid w:val="003A06C1"/>
    <w:rsid w:val="003A0DAC"/>
    <w:rsid w:val="003A7200"/>
    <w:rsid w:val="003A799B"/>
    <w:rsid w:val="003B484F"/>
    <w:rsid w:val="003B5D4A"/>
    <w:rsid w:val="003B5E1B"/>
    <w:rsid w:val="003B7FBA"/>
    <w:rsid w:val="003C048F"/>
    <w:rsid w:val="003C59B0"/>
    <w:rsid w:val="003C5DFD"/>
    <w:rsid w:val="003E4F07"/>
    <w:rsid w:val="003F174D"/>
    <w:rsid w:val="003F4ED0"/>
    <w:rsid w:val="0040204D"/>
    <w:rsid w:val="00415F31"/>
    <w:rsid w:val="00423A77"/>
    <w:rsid w:val="0042641C"/>
    <w:rsid w:val="00433471"/>
    <w:rsid w:val="00451812"/>
    <w:rsid w:val="0045777E"/>
    <w:rsid w:val="00464AB0"/>
    <w:rsid w:val="004704F5"/>
    <w:rsid w:val="00474A31"/>
    <w:rsid w:val="0048035F"/>
    <w:rsid w:val="00480B4B"/>
    <w:rsid w:val="00483983"/>
    <w:rsid w:val="004841EA"/>
    <w:rsid w:val="00485DC4"/>
    <w:rsid w:val="004A01E1"/>
    <w:rsid w:val="004A43D1"/>
    <w:rsid w:val="004A7241"/>
    <w:rsid w:val="004B230B"/>
    <w:rsid w:val="004B4412"/>
    <w:rsid w:val="004B6691"/>
    <w:rsid w:val="004B7177"/>
    <w:rsid w:val="004C348C"/>
    <w:rsid w:val="004C7A34"/>
    <w:rsid w:val="004D55BA"/>
    <w:rsid w:val="004E22EC"/>
    <w:rsid w:val="004E35F8"/>
    <w:rsid w:val="004F0ED3"/>
    <w:rsid w:val="004F4246"/>
    <w:rsid w:val="004F6A0E"/>
    <w:rsid w:val="004F6BC8"/>
    <w:rsid w:val="00506753"/>
    <w:rsid w:val="00515AC5"/>
    <w:rsid w:val="00530128"/>
    <w:rsid w:val="00530E30"/>
    <w:rsid w:val="00532467"/>
    <w:rsid w:val="00552EA4"/>
    <w:rsid w:val="005569EC"/>
    <w:rsid w:val="00564A4D"/>
    <w:rsid w:val="00567BA5"/>
    <w:rsid w:val="00571B35"/>
    <w:rsid w:val="00571D57"/>
    <w:rsid w:val="00572635"/>
    <w:rsid w:val="00577A09"/>
    <w:rsid w:val="005829C2"/>
    <w:rsid w:val="00584D8F"/>
    <w:rsid w:val="00595061"/>
    <w:rsid w:val="005A404D"/>
    <w:rsid w:val="005B1E3C"/>
    <w:rsid w:val="005B4482"/>
    <w:rsid w:val="005B704A"/>
    <w:rsid w:val="005C26CC"/>
    <w:rsid w:val="005D2C21"/>
    <w:rsid w:val="005D7BA2"/>
    <w:rsid w:val="005E056C"/>
    <w:rsid w:val="005E2D33"/>
    <w:rsid w:val="005E36C2"/>
    <w:rsid w:val="005F6213"/>
    <w:rsid w:val="005F6F2F"/>
    <w:rsid w:val="00601F91"/>
    <w:rsid w:val="00610EF9"/>
    <w:rsid w:val="00612F4F"/>
    <w:rsid w:val="00615C6B"/>
    <w:rsid w:val="0061657B"/>
    <w:rsid w:val="0062175C"/>
    <w:rsid w:val="00621DCE"/>
    <w:rsid w:val="00632368"/>
    <w:rsid w:val="006324AD"/>
    <w:rsid w:val="00632AB0"/>
    <w:rsid w:val="00632D6D"/>
    <w:rsid w:val="00642C3E"/>
    <w:rsid w:val="0066104A"/>
    <w:rsid w:val="00662C26"/>
    <w:rsid w:val="00663DAD"/>
    <w:rsid w:val="00675E20"/>
    <w:rsid w:val="00676679"/>
    <w:rsid w:val="006833B3"/>
    <w:rsid w:val="00683C89"/>
    <w:rsid w:val="006A19E8"/>
    <w:rsid w:val="006A2978"/>
    <w:rsid w:val="006B2395"/>
    <w:rsid w:val="006B4CF9"/>
    <w:rsid w:val="006B7AC8"/>
    <w:rsid w:val="006C0A47"/>
    <w:rsid w:val="006C0D96"/>
    <w:rsid w:val="006C1736"/>
    <w:rsid w:val="006D02C6"/>
    <w:rsid w:val="006D4052"/>
    <w:rsid w:val="006D4AAE"/>
    <w:rsid w:val="006D550F"/>
    <w:rsid w:val="006E1299"/>
    <w:rsid w:val="006E4A60"/>
    <w:rsid w:val="006F1C9A"/>
    <w:rsid w:val="0070011E"/>
    <w:rsid w:val="00701CAB"/>
    <w:rsid w:val="00702CCC"/>
    <w:rsid w:val="00707563"/>
    <w:rsid w:val="0071414F"/>
    <w:rsid w:val="00717732"/>
    <w:rsid w:val="0072348C"/>
    <w:rsid w:val="00724A37"/>
    <w:rsid w:val="007303C3"/>
    <w:rsid w:val="007429BE"/>
    <w:rsid w:val="00743223"/>
    <w:rsid w:val="00746B20"/>
    <w:rsid w:val="00746E01"/>
    <w:rsid w:val="007545B4"/>
    <w:rsid w:val="007564DA"/>
    <w:rsid w:val="00756ECF"/>
    <w:rsid w:val="00756FAB"/>
    <w:rsid w:val="00757364"/>
    <w:rsid w:val="00757BDF"/>
    <w:rsid w:val="007609D0"/>
    <w:rsid w:val="00763383"/>
    <w:rsid w:val="00763E5D"/>
    <w:rsid w:val="007666CB"/>
    <w:rsid w:val="00767740"/>
    <w:rsid w:val="00767E2A"/>
    <w:rsid w:val="00777EE6"/>
    <w:rsid w:val="0078010E"/>
    <w:rsid w:val="00782EEA"/>
    <w:rsid w:val="0078421E"/>
    <w:rsid w:val="007939D2"/>
    <w:rsid w:val="00797854"/>
    <w:rsid w:val="007A032C"/>
    <w:rsid w:val="007A163D"/>
    <w:rsid w:val="007B0799"/>
    <w:rsid w:val="007B186E"/>
    <w:rsid w:val="007B2C72"/>
    <w:rsid w:val="007C1C53"/>
    <w:rsid w:val="007C3BA8"/>
    <w:rsid w:val="007C74BB"/>
    <w:rsid w:val="007D0E77"/>
    <w:rsid w:val="007D456E"/>
    <w:rsid w:val="007D65C1"/>
    <w:rsid w:val="007E4904"/>
    <w:rsid w:val="007E4CB5"/>
    <w:rsid w:val="007F066B"/>
    <w:rsid w:val="008033C4"/>
    <w:rsid w:val="00806C88"/>
    <w:rsid w:val="0081034E"/>
    <w:rsid w:val="00811829"/>
    <w:rsid w:val="00816116"/>
    <w:rsid w:val="00826438"/>
    <w:rsid w:val="00827BDA"/>
    <w:rsid w:val="008344F6"/>
    <w:rsid w:val="00834517"/>
    <w:rsid w:val="0083510F"/>
    <w:rsid w:val="00835F3C"/>
    <w:rsid w:val="008410C3"/>
    <w:rsid w:val="00842311"/>
    <w:rsid w:val="0084368C"/>
    <w:rsid w:val="00846BF9"/>
    <w:rsid w:val="00851209"/>
    <w:rsid w:val="00865077"/>
    <w:rsid w:val="008734E5"/>
    <w:rsid w:val="008746C0"/>
    <w:rsid w:val="00877E3A"/>
    <w:rsid w:val="008837AC"/>
    <w:rsid w:val="008866E7"/>
    <w:rsid w:val="008875E1"/>
    <w:rsid w:val="008A2083"/>
    <w:rsid w:val="008A587D"/>
    <w:rsid w:val="008B35CD"/>
    <w:rsid w:val="008B5FCC"/>
    <w:rsid w:val="008C5486"/>
    <w:rsid w:val="008C57C6"/>
    <w:rsid w:val="008D1661"/>
    <w:rsid w:val="008D1774"/>
    <w:rsid w:val="008D4A9B"/>
    <w:rsid w:val="008D6800"/>
    <w:rsid w:val="008E0101"/>
    <w:rsid w:val="008E5148"/>
    <w:rsid w:val="008E7031"/>
    <w:rsid w:val="008E77DE"/>
    <w:rsid w:val="008F07A3"/>
    <w:rsid w:val="008F6C57"/>
    <w:rsid w:val="009001B6"/>
    <w:rsid w:val="00900E1B"/>
    <w:rsid w:val="00901901"/>
    <w:rsid w:val="009055FC"/>
    <w:rsid w:val="00916864"/>
    <w:rsid w:val="009233EE"/>
    <w:rsid w:val="00925F7E"/>
    <w:rsid w:val="00931C89"/>
    <w:rsid w:val="00934713"/>
    <w:rsid w:val="00935675"/>
    <w:rsid w:val="00940391"/>
    <w:rsid w:val="00942595"/>
    <w:rsid w:val="009460AA"/>
    <w:rsid w:val="00951978"/>
    <w:rsid w:val="00955094"/>
    <w:rsid w:val="00960155"/>
    <w:rsid w:val="00960D5C"/>
    <w:rsid w:val="00961A4A"/>
    <w:rsid w:val="00966061"/>
    <w:rsid w:val="009661DE"/>
    <w:rsid w:val="0097524E"/>
    <w:rsid w:val="00975569"/>
    <w:rsid w:val="00980CD2"/>
    <w:rsid w:val="00983C25"/>
    <w:rsid w:val="009856B7"/>
    <w:rsid w:val="00985C86"/>
    <w:rsid w:val="00987FF1"/>
    <w:rsid w:val="00991519"/>
    <w:rsid w:val="009A2ED8"/>
    <w:rsid w:val="009A5FC3"/>
    <w:rsid w:val="009B3CFD"/>
    <w:rsid w:val="009B74B0"/>
    <w:rsid w:val="009D2B53"/>
    <w:rsid w:val="009D3906"/>
    <w:rsid w:val="009D6B46"/>
    <w:rsid w:val="009E11AE"/>
    <w:rsid w:val="009F4940"/>
    <w:rsid w:val="009F58C4"/>
    <w:rsid w:val="009F5BA1"/>
    <w:rsid w:val="009F7242"/>
    <w:rsid w:val="00A02A88"/>
    <w:rsid w:val="00A0562E"/>
    <w:rsid w:val="00A06BBF"/>
    <w:rsid w:val="00A0726D"/>
    <w:rsid w:val="00A2422E"/>
    <w:rsid w:val="00A258C4"/>
    <w:rsid w:val="00A26BF1"/>
    <w:rsid w:val="00A328AC"/>
    <w:rsid w:val="00A32FBB"/>
    <w:rsid w:val="00A428EE"/>
    <w:rsid w:val="00A4478A"/>
    <w:rsid w:val="00A44852"/>
    <w:rsid w:val="00A50502"/>
    <w:rsid w:val="00A55D59"/>
    <w:rsid w:val="00A57D04"/>
    <w:rsid w:val="00A60A26"/>
    <w:rsid w:val="00A61598"/>
    <w:rsid w:val="00A62CA4"/>
    <w:rsid w:val="00A7042E"/>
    <w:rsid w:val="00A76289"/>
    <w:rsid w:val="00A82811"/>
    <w:rsid w:val="00A84A99"/>
    <w:rsid w:val="00A84F46"/>
    <w:rsid w:val="00A85111"/>
    <w:rsid w:val="00A871F4"/>
    <w:rsid w:val="00A912B8"/>
    <w:rsid w:val="00A96F47"/>
    <w:rsid w:val="00AA2F17"/>
    <w:rsid w:val="00AC08AE"/>
    <w:rsid w:val="00AC1B2C"/>
    <w:rsid w:val="00AC3264"/>
    <w:rsid w:val="00AD00D9"/>
    <w:rsid w:val="00AD262B"/>
    <w:rsid w:val="00AD3999"/>
    <w:rsid w:val="00AE0C29"/>
    <w:rsid w:val="00AE1BF1"/>
    <w:rsid w:val="00AE5E05"/>
    <w:rsid w:val="00AF0DD2"/>
    <w:rsid w:val="00AF18D9"/>
    <w:rsid w:val="00AF1DB8"/>
    <w:rsid w:val="00AF392B"/>
    <w:rsid w:val="00AF4CE5"/>
    <w:rsid w:val="00B13048"/>
    <w:rsid w:val="00B16E8E"/>
    <w:rsid w:val="00B1716D"/>
    <w:rsid w:val="00B17A1D"/>
    <w:rsid w:val="00B207A0"/>
    <w:rsid w:val="00B2185A"/>
    <w:rsid w:val="00B3156D"/>
    <w:rsid w:val="00B40A4B"/>
    <w:rsid w:val="00B514DD"/>
    <w:rsid w:val="00B52AF0"/>
    <w:rsid w:val="00B561BD"/>
    <w:rsid w:val="00B56E03"/>
    <w:rsid w:val="00B6360F"/>
    <w:rsid w:val="00B749F1"/>
    <w:rsid w:val="00B8080B"/>
    <w:rsid w:val="00B82223"/>
    <w:rsid w:val="00B852A8"/>
    <w:rsid w:val="00B87BA5"/>
    <w:rsid w:val="00B87C39"/>
    <w:rsid w:val="00B9562D"/>
    <w:rsid w:val="00BA3AD3"/>
    <w:rsid w:val="00BA4665"/>
    <w:rsid w:val="00BB2FB2"/>
    <w:rsid w:val="00BB3304"/>
    <w:rsid w:val="00BB3A9E"/>
    <w:rsid w:val="00BB5F0E"/>
    <w:rsid w:val="00BC3035"/>
    <w:rsid w:val="00BD2030"/>
    <w:rsid w:val="00BD3446"/>
    <w:rsid w:val="00BD36FA"/>
    <w:rsid w:val="00BE1F1B"/>
    <w:rsid w:val="00BE47B5"/>
    <w:rsid w:val="00BE4EE5"/>
    <w:rsid w:val="00C04520"/>
    <w:rsid w:val="00C17815"/>
    <w:rsid w:val="00C25FA6"/>
    <w:rsid w:val="00C2734E"/>
    <w:rsid w:val="00C538A9"/>
    <w:rsid w:val="00C53B5A"/>
    <w:rsid w:val="00C54F5A"/>
    <w:rsid w:val="00C569B4"/>
    <w:rsid w:val="00C67A92"/>
    <w:rsid w:val="00C74368"/>
    <w:rsid w:val="00C75466"/>
    <w:rsid w:val="00C77AB3"/>
    <w:rsid w:val="00C84560"/>
    <w:rsid w:val="00C86679"/>
    <w:rsid w:val="00CA489E"/>
    <w:rsid w:val="00CB0279"/>
    <w:rsid w:val="00CB13CF"/>
    <w:rsid w:val="00CB666B"/>
    <w:rsid w:val="00CC21A0"/>
    <w:rsid w:val="00CC251C"/>
    <w:rsid w:val="00CC7F1D"/>
    <w:rsid w:val="00CD63B9"/>
    <w:rsid w:val="00CE484B"/>
    <w:rsid w:val="00CE5372"/>
    <w:rsid w:val="00CE6710"/>
    <w:rsid w:val="00CF0610"/>
    <w:rsid w:val="00CF0DEE"/>
    <w:rsid w:val="00CF5FD6"/>
    <w:rsid w:val="00CF76D8"/>
    <w:rsid w:val="00CF77BF"/>
    <w:rsid w:val="00D006AE"/>
    <w:rsid w:val="00D01442"/>
    <w:rsid w:val="00D01CF0"/>
    <w:rsid w:val="00D0442A"/>
    <w:rsid w:val="00D124D6"/>
    <w:rsid w:val="00D14D44"/>
    <w:rsid w:val="00D20DFE"/>
    <w:rsid w:val="00D359CD"/>
    <w:rsid w:val="00D46E68"/>
    <w:rsid w:val="00D4788A"/>
    <w:rsid w:val="00D479B7"/>
    <w:rsid w:val="00D5368F"/>
    <w:rsid w:val="00D61388"/>
    <w:rsid w:val="00D61A54"/>
    <w:rsid w:val="00D64DEA"/>
    <w:rsid w:val="00D7168E"/>
    <w:rsid w:val="00D71E57"/>
    <w:rsid w:val="00D80893"/>
    <w:rsid w:val="00D84854"/>
    <w:rsid w:val="00D92CF1"/>
    <w:rsid w:val="00D92D38"/>
    <w:rsid w:val="00D94C68"/>
    <w:rsid w:val="00D950F5"/>
    <w:rsid w:val="00D954EB"/>
    <w:rsid w:val="00DA27A5"/>
    <w:rsid w:val="00DA4752"/>
    <w:rsid w:val="00DA61F3"/>
    <w:rsid w:val="00DB0F93"/>
    <w:rsid w:val="00DB1A67"/>
    <w:rsid w:val="00DB4D1F"/>
    <w:rsid w:val="00DB5074"/>
    <w:rsid w:val="00DB56E5"/>
    <w:rsid w:val="00DC30A6"/>
    <w:rsid w:val="00DC3E78"/>
    <w:rsid w:val="00DC7981"/>
    <w:rsid w:val="00DE1093"/>
    <w:rsid w:val="00DE4EFA"/>
    <w:rsid w:val="00DE5520"/>
    <w:rsid w:val="00DE563D"/>
    <w:rsid w:val="00E04818"/>
    <w:rsid w:val="00E06442"/>
    <w:rsid w:val="00E07F9D"/>
    <w:rsid w:val="00E15AD0"/>
    <w:rsid w:val="00E233E9"/>
    <w:rsid w:val="00E23993"/>
    <w:rsid w:val="00E23FCF"/>
    <w:rsid w:val="00E259C8"/>
    <w:rsid w:val="00E25B8C"/>
    <w:rsid w:val="00E31709"/>
    <w:rsid w:val="00E34766"/>
    <w:rsid w:val="00E37E9B"/>
    <w:rsid w:val="00E4118E"/>
    <w:rsid w:val="00E464C0"/>
    <w:rsid w:val="00E65C85"/>
    <w:rsid w:val="00E66199"/>
    <w:rsid w:val="00E755EC"/>
    <w:rsid w:val="00E7624D"/>
    <w:rsid w:val="00E8121B"/>
    <w:rsid w:val="00E97B30"/>
    <w:rsid w:val="00EA3D42"/>
    <w:rsid w:val="00EA6B1B"/>
    <w:rsid w:val="00EB5E48"/>
    <w:rsid w:val="00EB7D72"/>
    <w:rsid w:val="00EC04F1"/>
    <w:rsid w:val="00EC2798"/>
    <w:rsid w:val="00EC2F70"/>
    <w:rsid w:val="00ED7323"/>
    <w:rsid w:val="00EE28F3"/>
    <w:rsid w:val="00EE50D1"/>
    <w:rsid w:val="00EF5110"/>
    <w:rsid w:val="00F02718"/>
    <w:rsid w:val="00F10411"/>
    <w:rsid w:val="00F15882"/>
    <w:rsid w:val="00F171E0"/>
    <w:rsid w:val="00F20BD3"/>
    <w:rsid w:val="00F21A71"/>
    <w:rsid w:val="00F22A2E"/>
    <w:rsid w:val="00F3131E"/>
    <w:rsid w:val="00F32530"/>
    <w:rsid w:val="00F32AD8"/>
    <w:rsid w:val="00F34828"/>
    <w:rsid w:val="00F35C00"/>
    <w:rsid w:val="00F373A5"/>
    <w:rsid w:val="00F43265"/>
    <w:rsid w:val="00F47559"/>
    <w:rsid w:val="00F64B89"/>
    <w:rsid w:val="00F64C7B"/>
    <w:rsid w:val="00F676DD"/>
    <w:rsid w:val="00F71308"/>
    <w:rsid w:val="00F75A26"/>
    <w:rsid w:val="00F76706"/>
    <w:rsid w:val="00F83FAD"/>
    <w:rsid w:val="00F85A5F"/>
    <w:rsid w:val="00F91441"/>
    <w:rsid w:val="00F9188F"/>
    <w:rsid w:val="00F91E85"/>
    <w:rsid w:val="00F93B54"/>
    <w:rsid w:val="00F952A0"/>
    <w:rsid w:val="00FA3C7F"/>
    <w:rsid w:val="00FA68F0"/>
    <w:rsid w:val="00FB60FE"/>
    <w:rsid w:val="00FB74E2"/>
    <w:rsid w:val="00FD5614"/>
    <w:rsid w:val="00FD5E78"/>
    <w:rsid w:val="00FD75F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1698">
      <w:bodyDiv w:val="1"/>
      <w:marLeft w:val="0"/>
      <w:marRight w:val="0"/>
      <w:marTop w:val="0"/>
      <w:marBottom w:val="0"/>
      <w:divBdr>
        <w:top w:val="none" w:sz="0" w:space="0" w:color="auto"/>
        <w:left w:val="none" w:sz="0" w:space="0" w:color="auto"/>
        <w:bottom w:val="none" w:sz="0" w:space="0" w:color="auto"/>
        <w:right w:val="none" w:sz="0" w:space="0" w:color="auto"/>
      </w:divBdr>
    </w:div>
    <w:div w:id="66340075">
      <w:bodyDiv w:val="1"/>
      <w:marLeft w:val="0"/>
      <w:marRight w:val="0"/>
      <w:marTop w:val="0"/>
      <w:marBottom w:val="0"/>
      <w:divBdr>
        <w:top w:val="none" w:sz="0" w:space="0" w:color="auto"/>
        <w:left w:val="none" w:sz="0" w:space="0" w:color="auto"/>
        <w:bottom w:val="none" w:sz="0" w:space="0" w:color="auto"/>
        <w:right w:val="none" w:sz="0" w:space="0" w:color="auto"/>
      </w:divBdr>
    </w:div>
    <w:div w:id="141703294">
      <w:bodyDiv w:val="1"/>
      <w:marLeft w:val="0"/>
      <w:marRight w:val="0"/>
      <w:marTop w:val="0"/>
      <w:marBottom w:val="0"/>
      <w:divBdr>
        <w:top w:val="none" w:sz="0" w:space="0" w:color="auto"/>
        <w:left w:val="none" w:sz="0" w:space="0" w:color="auto"/>
        <w:bottom w:val="none" w:sz="0" w:space="0" w:color="auto"/>
        <w:right w:val="none" w:sz="0" w:space="0" w:color="auto"/>
      </w:divBdr>
    </w:div>
    <w:div w:id="276302556">
      <w:bodyDiv w:val="1"/>
      <w:marLeft w:val="0"/>
      <w:marRight w:val="0"/>
      <w:marTop w:val="0"/>
      <w:marBottom w:val="0"/>
      <w:divBdr>
        <w:top w:val="none" w:sz="0" w:space="0" w:color="auto"/>
        <w:left w:val="none" w:sz="0" w:space="0" w:color="auto"/>
        <w:bottom w:val="none" w:sz="0" w:space="0" w:color="auto"/>
        <w:right w:val="none" w:sz="0" w:space="0" w:color="auto"/>
      </w:divBdr>
    </w:div>
    <w:div w:id="310132938">
      <w:bodyDiv w:val="1"/>
      <w:marLeft w:val="0"/>
      <w:marRight w:val="0"/>
      <w:marTop w:val="0"/>
      <w:marBottom w:val="0"/>
      <w:divBdr>
        <w:top w:val="none" w:sz="0" w:space="0" w:color="auto"/>
        <w:left w:val="none" w:sz="0" w:space="0" w:color="auto"/>
        <w:bottom w:val="none" w:sz="0" w:space="0" w:color="auto"/>
        <w:right w:val="none" w:sz="0" w:space="0" w:color="auto"/>
      </w:divBdr>
    </w:div>
    <w:div w:id="342783755">
      <w:bodyDiv w:val="1"/>
      <w:marLeft w:val="0"/>
      <w:marRight w:val="0"/>
      <w:marTop w:val="0"/>
      <w:marBottom w:val="0"/>
      <w:divBdr>
        <w:top w:val="none" w:sz="0" w:space="0" w:color="auto"/>
        <w:left w:val="none" w:sz="0" w:space="0" w:color="auto"/>
        <w:bottom w:val="none" w:sz="0" w:space="0" w:color="auto"/>
        <w:right w:val="none" w:sz="0" w:space="0" w:color="auto"/>
      </w:divBdr>
    </w:div>
    <w:div w:id="396590846">
      <w:bodyDiv w:val="1"/>
      <w:marLeft w:val="0"/>
      <w:marRight w:val="0"/>
      <w:marTop w:val="0"/>
      <w:marBottom w:val="0"/>
      <w:divBdr>
        <w:top w:val="none" w:sz="0" w:space="0" w:color="auto"/>
        <w:left w:val="none" w:sz="0" w:space="0" w:color="auto"/>
        <w:bottom w:val="none" w:sz="0" w:space="0" w:color="auto"/>
        <w:right w:val="none" w:sz="0" w:space="0" w:color="auto"/>
      </w:divBdr>
    </w:div>
    <w:div w:id="402872325">
      <w:bodyDiv w:val="1"/>
      <w:marLeft w:val="0"/>
      <w:marRight w:val="0"/>
      <w:marTop w:val="0"/>
      <w:marBottom w:val="0"/>
      <w:divBdr>
        <w:top w:val="none" w:sz="0" w:space="0" w:color="auto"/>
        <w:left w:val="none" w:sz="0" w:space="0" w:color="auto"/>
        <w:bottom w:val="none" w:sz="0" w:space="0" w:color="auto"/>
        <w:right w:val="none" w:sz="0" w:space="0" w:color="auto"/>
      </w:divBdr>
    </w:div>
    <w:div w:id="454904635">
      <w:bodyDiv w:val="1"/>
      <w:marLeft w:val="0"/>
      <w:marRight w:val="0"/>
      <w:marTop w:val="0"/>
      <w:marBottom w:val="0"/>
      <w:divBdr>
        <w:top w:val="none" w:sz="0" w:space="0" w:color="auto"/>
        <w:left w:val="none" w:sz="0" w:space="0" w:color="auto"/>
        <w:bottom w:val="none" w:sz="0" w:space="0" w:color="auto"/>
        <w:right w:val="none" w:sz="0" w:space="0" w:color="auto"/>
      </w:divBdr>
    </w:div>
    <w:div w:id="459229381">
      <w:bodyDiv w:val="1"/>
      <w:marLeft w:val="0"/>
      <w:marRight w:val="0"/>
      <w:marTop w:val="0"/>
      <w:marBottom w:val="0"/>
      <w:divBdr>
        <w:top w:val="none" w:sz="0" w:space="0" w:color="auto"/>
        <w:left w:val="none" w:sz="0" w:space="0" w:color="auto"/>
        <w:bottom w:val="none" w:sz="0" w:space="0" w:color="auto"/>
        <w:right w:val="none" w:sz="0" w:space="0" w:color="auto"/>
      </w:divBdr>
    </w:div>
    <w:div w:id="504394890">
      <w:bodyDiv w:val="1"/>
      <w:marLeft w:val="0"/>
      <w:marRight w:val="0"/>
      <w:marTop w:val="0"/>
      <w:marBottom w:val="0"/>
      <w:divBdr>
        <w:top w:val="none" w:sz="0" w:space="0" w:color="auto"/>
        <w:left w:val="none" w:sz="0" w:space="0" w:color="auto"/>
        <w:bottom w:val="none" w:sz="0" w:space="0" w:color="auto"/>
        <w:right w:val="none" w:sz="0" w:space="0" w:color="auto"/>
      </w:divBdr>
    </w:div>
    <w:div w:id="52895809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3918242">
      <w:bodyDiv w:val="1"/>
      <w:marLeft w:val="0"/>
      <w:marRight w:val="0"/>
      <w:marTop w:val="0"/>
      <w:marBottom w:val="0"/>
      <w:divBdr>
        <w:top w:val="none" w:sz="0" w:space="0" w:color="auto"/>
        <w:left w:val="none" w:sz="0" w:space="0" w:color="auto"/>
        <w:bottom w:val="none" w:sz="0" w:space="0" w:color="auto"/>
        <w:right w:val="none" w:sz="0" w:space="0" w:color="auto"/>
      </w:divBdr>
    </w:div>
    <w:div w:id="779183207">
      <w:bodyDiv w:val="1"/>
      <w:marLeft w:val="0"/>
      <w:marRight w:val="0"/>
      <w:marTop w:val="0"/>
      <w:marBottom w:val="0"/>
      <w:divBdr>
        <w:top w:val="none" w:sz="0" w:space="0" w:color="auto"/>
        <w:left w:val="none" w:sz="0" w:space="0" w:color="auto"/>
        <w:bottom w:val="none" w:sz="0" w:space="0" w:color="auto"/>
        <w:right w:val="none" w:sz="0" w:space="0" w:color="auto"/>
      </w:divBdr>
    </w:div>
    <w:div w:id="911240308">
      <w:bodyDiv w:val="1"/>
      <w:marLeft w:val="0"/>
      <w:marRight w:val="0"/>
      <w:marTop w:val="0"/>
      <w:marBottom w:val="0"/>
      <w:divBdr>
        <w:top w:val="none" w:sz="0" w:space="0" w:color="auto"/>
        <w:left w:val="none" w:sz="0" w:space="0" w:color="auto"/>
        <w:bottom w:val="none" w:sz="0" w:space="0" w:color="auto"/>
        <w:right w:val="none" w:sz="0" w:space="0" w:color="auto"/>
      </w:divBdr>
    </w:div>
    <w:div w:id="951209482">
      <w:bodyDiv w:val="1"/>
      <w:marLeft w:val="0"/>
      <w:marRight w:val="0"/>
      <w:marTop w:val="0"/>
      <w:marBottom w:val="0"/>
      <w:divBdr>
        <w:top w:val="none" w:sz="0" w:space="0" w:color="auto"/>
        <w:left w:val="none" w:sz="0" w:space="0" w:color="auto"/>
        <w:bottom w:val="none" w:sz="0" w:space="0" w:color="auto"/>
        <w:right w:val="none" w:sz="0" w:space="0" w:color="auto"/>
      </w:divBdr>
    </w:div>
    <w:div w:id="97649601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53641092">
      <w:bodyDiv w:val="1"/>
      <w:marLeft w:val="0"/>
      <w:marRight w:val="0"/>
      <w:marTop w:val="0"/>
      <w:marBottom w:val="0"/>
      <w:divBdr>
        <w:top w:val="none" w:sz="0" w:space="0" w:color="auto"/>
        <w:left w:val="none" w:sz="0" w:space="0" w:color="auto"/>
        <w:bottom w:val="none" w:sz="0" w:space="0" w:color="auto"/>
        <w:right w:val="none" w:sz="0" w:space="0" w:color="auto"/>
      </w:divBdr>
    </w:div>
    <w:div w:id="1450709347">
      <w:bodyDiv w:val="1"/>
      <w:marLeft w:val="0"/>
      <w:marRight w:val="0"/>
      <w:marTop w:val="0"/>
      <w:marBottom w:val="0"/>
      <w:divBdr>
        <w:top w:val="none" w:sz="0" w:space="0" w:color="auto"/>
        <w:left w:val="none" w:sz="0" w:space="0" w:color="auto"/>
        <w:bottom w:val="none" w:sz="0" w:space="0" w:color="auto"/>
        <w:right w:val="none" w:sz="0" w:space="0" w:color="auto"/>
      </w:divBdr>
    </w:div>
    <w:div w:id="1457988262">
      <w:bodyDiv w:val="1"/>
      <w:marLeft w:val="0"/>
      <w:marRight w:val="0"/>
      <w:marTop w:val="0"/>
      <w:marBottom w:val="0"/>
      <w:divBdr>
        <w:top w:val="none" w:sz="0" w:space="0" w:color="auto"/>
        <w:left w:val="none" w:sz="0" w:space="0" w:color="auto"/>
        <w:bottom w:val="none" w:sz="0" w:space="0" w:color="auto"/>
        <w:right w:val="none" w:sz="0" w:space="0" w:color="auto"/>
      </w:divBdr>
    </w:div>
    <w:div w:id="1760908779">
      <w:bodyDiv w:val="1"/>
      <w:marLeft w:val="0"/>
      <w:marRight w:val="0"/>
      <w:marTop w:val="0"/>
      <w:marBottom w:val="0"/>
      <w:divBdr>
        <w:top w:val="none" w:sz="0" w:space="0" w:color="auto"/>
        <w:left w:val="none" w:sz="0" w:space="0" w:color="auto"/>
        <w:bottom w:val="none" w:sz="0" w:space="0" w:color="auto"/>
        <w:right w:val="none" w:sz="0" w:space="0" w:color="auto"/>
      </w:divBdr>
    </w:div>
    <w:div w:id="18078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3.bin"/><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hyperlink" Target="mailto:AERInquiry@aer.gov.au" TargetMode="External"/><Relationship Id="rId19" Type="http://schemas.openxmlformats.org/officeDocument/2006/relationships/image" Target="media/image5.wmf"/><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Consultations/National-Electricity-Market/~/media/Files/Other/consultations/gas/Churn%20Package%202014/Meter%20Churn%20Procedure%20FRMP%20v10%20clean.ashx" TargetMode="External"/><Relationship Id="rId2" Type="http://schemas.openxmlformats.org/officeDocument/2006/relationships/hyperlink" Target="http://www.aemo.com.au/Consultations/National-Electricity-Market/Second-Stage-Notice-of-Consultation--Meter-Churn-Package" TargetMode="External"/><Relationship Id="rId1" Type="http://schemas.openxmlformats.org/officeDocument/2006/relationships/hyperlink" Target="http://www.hays.com.au/salary-guide/HAYS_37507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pPr>
              <a:solidFill>
                <a:schemeClr val="tx1"/>
              </a:solidFill>
              <a:ln>
                <a:noFill/>
              </a:ln>
            </c:spPr>
          </c:marker>
          <c:dLbls>
            <c:dLbl>
              <c:idx val="0"/>
              <c:tx>
                <c:rich>
                  <a:bodyPr/>
                  <a:lstStyle/>
                  <a:p>
                    <a:r>
                      <a:rPr lang="en-US"/>
                      <a:t>ActewAGL</a:t>
                    </a:r>
                  </a:p>
                  <a:p>
                    <a:r>
                      <a:rPr lang="en-US"/>
                      <a:t>$8</a:t>
                    </a:r>
                  </a:p>
                </c:rich>
              </c:tx>
              <c:showLegendKey val="0"/>
              <c:showVal val="1"/>
              <c:showCatName val="0"/>
              <c:showSerName val="0"/>
              <c:showPercent val="0"/>
              <c:showBubbleSize val="0"/>
            </c:dLbl>
            <c:dLbl>
              <c:idx val="1"/>
              <c:tx>
                <c:rich>
                  <a:bodyPr/>
                  <a:lstStyle/>
                  <a:p>
                    <a:r>
                      <a:rPr lang="en-US"/>
                      <a:t>Ausgrid </a:t>
                    </a:r>
                  </a:p>
                  <a:p>
                    <a:r>
                      <a:rPr lang="en-US"/>
                      <a:t>$13</a:t>
                    </a:r>
                  </a:p>
                </c:rich>
              </c:tx>
              <c:showLegendKey val="0"/>
              <c:showVal val="1"/>
              <c:showCatName val="0"/>
              <c:showSerName val="0"/>
              <c:showPercent val="0"/>
              <c:showBubbleSize val="0"/>
            </c:dLbl>
            <c:dLbl>
              <c:idx val="2"/>
              <c:layout>
                <c:manualLayout>
                  <c:x val="-1.3311148086522463E-2"/>
                  <c:y val="-2.3718760071801941E-2"/>
                </c:manualLayout>
              </c:layout>
              <c:tx>
                <c:rich>
                  <a:bodyPr/>
                  <a:lstStyle/>
                  <a:p>
                    <a:r>
                      <a:rPr lang="en-US"/>
                      <a:t>Endeavour</a:t>
                    </a:r>
                  </a:p>
                  <a:p>
                    <a:r>
                      <a:rPr lang="en-US"/>
                      <a:t>$15</a:t>
                    </a:r>
                  </a:p>
                </c:rich>
              </c:tx>
              <c:showLegendKey val="0"/>
              <c:showVal val="1"/>
              <c:showCatName val="0"/>
              <c:showSerName val="0"/>
              <c:showPercent val="0"/>
              <c:showBubbleSize val="0"/>
            </c:dLbl>
            <c:dLbl>
              <c:idx val="3"/>
              <c:layout>
                <c:manualLayout>
                  <c:x val="-1.3311148086522544E-2"/>
                  <c:y val="3.7272337255688764E-2"/>
                </c:manualLayout>
              </c:layout>
              <c:tx>
                <c:rich>
                  <a:bodyPr/>
                  <a:lstStyle/>
                  <a:p>
                    <a:r>
                      <a:rPr lang="en-US"/>
                      <a:t>Energex</a:t>
                    </a:r>
                  </a:p>
                  <a:p>
                    <a:r>
                      <a:rPr lang="en-US"/>
                      <a:t>$13</a:t>
                    </a:r>
                  </a:p>
                </c:rich>
              </c:tx>
              <c:showLegendKey val="0"/>
              <c:showVal val="1"/>
              <c:showCatName val="0"/>
              <c:showSerName val="0"/>
              <c:showPercent val="0"/>
              <c:showBubbleSize val="0"/>
            </c:dLbl>
            <c:dLbl>
              <c:idx val="4"/>
              <c:tx>
                <c:rich>
                  <a:bodyPr/>
                  <a:lstStyle/>
                  <a:p>
                    <a:r>
                      <a:rPr lang="en-US"/>
                      <a:t>Ergon</a:t>
                    </a:r>
                    <a:r>
                      <a:rPr lang="en-US" baseline="0"/>
                      <a:t> Energy </a:t>
                    </a:r>
                  </a:p>
                  <a:p>
                    <a:r>
                      <a:rPr lang="en-US" baseline="0"/>
                      <a:t>$</a:t>
                    </a:r>
                    <a:r>
                      <a:rPr lang="en-US"/>
                      <a:t>32</a:t>
                    </a:r>
                  </a:p>
                </c:rich>
              </c:tx>
              <c:showLegendKey val="0"/>
              <c:showVal val="1"/>
              <c:showCatName val="0"/>
              <c:showSerName val="0"/>
              <c:showPercent val="0"/>
              <c:showBubbleSize val="0"/>
            </c:dLbl>
            <c:dLbl>
              <c:idx val="5"/>
              <c:tx>
                <c:rich>
                  <a:bodyPr/>
                  <a:lstStyle/>
                  <a:p>
                    <a:r>
                      <a:rPr lang="en-US"/>
                      <a:t>Essential Energy </a:t>
                    </a:r>
                  </a:p>
                  <a:p>
                    <a:r>
                      <a:rPr lang="en-US"/>
                      <a:t>$45</a:t>
                    </a:r>
                  </a:p>
                </c:rich>
              </c:tx>
              <c:showLegendKey val="0"/>
              <c:showVal val="1"/>
              <c:showCatName val="0"/>
              <c:showSerName val="0"/>
              <c:showPercent val="0"/>
              <c:showBubbleSize val="0"/>
            </c:dLbl>
            <c:dLbl>
              <c:idx val="6"/>
              <c:tx>
                <c:rich>
                  <a:bodyPr/>
                  <a:lstStyle/>
                  <a:p>
                    <a:r>
                      <a:rPr lang="en-US"/>
                      <a:t>SA Power</a:t>
                    </a:r>
                    <a:r>
                      <a:rPr lang="en-US" baseline="0"/>
                      <a:t> Networks $</a:t>
                    </a:r>
                    <a:r>
                      <a:rPr lang="en-US"/>
                      <a:t>8</a:t>
                    </a:r>
                  </a:p>
                </c:rich>
              </c:tx>
              <c:showLegendKey val="0"/>
              <c:showVal val="1"/>
              <c:showCatName val="0"/>
              <c:showSerName val="0"/>
              <c:showPercent val="0"/>
              <c:showBubbleSize val="0"/>
            </c:dLbl>
            <c:dLbl>
              <c:idx val="7"/>
              <c:tx>
                <c:rich>
                  <a:bodyPr/>
                  <a:lstStyle/>
                  <a:p>
                    <a:r>
                      <a:rPr lang="en-US"/>
                      <a:t>TasNetworks </a:t>
                    </a:r>
                  </a:p>
                  <a:p>
                    <a:r>
                      <a:rPr lang="en-US"/>
                      <a:t>$26</a:t>
                    </a:r>
                  </a:p>
                </c:rich>
              </c:tx>
              <c:showLegendKey val="0"/>
              <c:showVal val="1"/>
              <c:showCatName val="0"/>
              <c:showSerName val="0"/>
              <c:showPercent val="0"/>
              <c:showBubbleSize val="0"/>
            </c:dLbl>
            <c:showLegendKey val="0"/>
            <c:showVal val="1"/>
            <c:showCatName val="0"/>
            <c:showSerName val="0"/>
            <c:showPercent val="0"/>
            <c:showBubbleSize val="0"/>
            <c:showLeaderLines val="0"/>
          </c:dLbls>
          <c:xVal>
            <c:numRef>
              <c:f>benchmarking!$C$3:$C$10</c:f>
              <c:numCache>
                <c:formatCode>0</c:formatCode>
                <c:ptCount val="8"/>
                <c:pt idx="0">
                  <c:v>42.611847608753791</c:v>
                </c:pt>
                <c:pt idx="1">
                  <c:v>44.481789524517922</c:v>
                </c:pt>
                <c:pt idx="2">
                  <c:v>34.143268853410241</c:v>
                </c:pt>
                <c:pt idx="3">
                  <c:v>31.840231499261574</c:v>
                </c:pt>
                <c:pt idx="4">
                  <c:v>4.8588000000000005</c:v>
                </c:pt>
                <c:pt idx="5">
                  <c:v>4.6241278100073897</c:v>
                </c:pt>
                <c:pt idx="6">
                  <c:v>10.275725073775622</c:v>
                </c:pt>
                <c:pt idx="7">
                  <c:v>12.86</c:v>
                </c:pt>
              </c:numCache>
            </c:numRef>
          </c:xVal>
          <c:yVal>
            <c:numRef>
              <c:f>benchmarking!$D$3:$D$10</c:f>
              <c:numCache>
                <c:formatCode>0</c:formatCode>
                <c:ptCount val="8"/>
                <c:pt idx="0">
                  <c:v>7.9391909263089646</c:v>
                </c:pt>
                <c:pt idx="1">
                  <c:v>13.181509905702246</c:v>
                </c:pt>
                <c:pt idx="2">
                  <c:v>14.729443533743225</c:v>
                </c:pt>
                <c:pt idx="3">
                  <c:v>13.312813588790988</c:v>
                </c:pt>
                <c:pt idx="4">
                  <c:v>31.906255734995266</c:v>
                </c:pt>
                <c:pt idx="5">
                  <c:v>44.772829745197086</c:v>
                </c:pt>
                <c:pt idx="6">
                  <c:v>7.921875361619362</c:v>
                </c:pt>
                <c:pt idx="7">
                  <c:v>26.103607633888924</c:v>
                </c:pt>
              </c:numCache>
            </c:numRef>
          </c:yVal>
          <c:smooth val="0"/>
        </c:ser>
        <c:dLbls>
          <c:showLegendKey val="0"/>
          <c:showVal val="0"/>
          <c:showCatName val="0"/>
          <c:showSerName val="0"/>
          <c:showPercent val="0"/>
          <c:showBubbleSize val="0"/>
        </c:dLbls>
        <c:axId val="98037760"/>
        <c:axId val="98040064"/>
      </c:scatterChart>
      <c:valAx>
        <c:axId val="98037760"/>
        <c:scaling>
          <c:orientation val="minMax"/>
        </c:scaling>
        <c:delete val="0"/>
        <c:axPos val="b"/>
        <c:title>
          <c:tx>
            <c:rich>
              <a:bodyPr/>
              <a:lstStyle/>
              <a:p>
                <a:pPr>
                  <a:defRPr/>
                </a:pPr>
                <a:r>
                  <a:rPr lang="en-AU"/>
                  <a:t>Customer density</a:t>
                </a:r>
                <a:r>
                  <a:rPr lang="en-AU" baseline="0"/>
                  <a:t> </a:t>
                </a:r>
              </a:p>
              <a:p>
                <a:pPr>
                  <a:defRPr/>
                </a:pPr>
                <a:r>
                  <a:rPr lang="en-AU" baseline="0"/>
                  <a:t>(customer per km of line length)</a:t>
                </a:r>
                <a:endParaRPr lang="en-AU"/>
              </a:p>
            </c:rich>
          </c:tx>
          <c:overlay val="0"/>
        </c:title>
        <c:numFmt formatCode="0" sourceLinked="1"/>
        <c:majorTickMark val="out"/>
        <c:minorTickMark val="none"/>
        <c:tickLblPos val="nextTo"/>
        <c:crossAx val="98040064"/>
        <c:crosses val="autoZero"/>
        <c:crossBetween val="midCat"/>
      </c:valAx>
      <c:valAx>
        <c:axId val="98040064"/>
        <c:scaling>
          <c:orientation val="minMax"/>
        </c:scaling>
        <c:delete val="0"/>
        <c:axPos val="l"/>
        <c:title>
          <c:tx>
            <c:rich>
              <a:bodyPr rot="-5400000" vert="horz"/>
              <a:lstStyle/>
              <a:p>
                <a:pPr>
                  <a:defRPr/>
                </a:pPr>
                <a:r>
                  <a:rPr lang="en-AU"/>
                  <a:t>Base annual opex per customer </a:t>
                </a:r>
              </a:p>
              <a:p>
                <a:pPr>
                  <a:defRPr/>
                </a:pPr>
                <a:r>
                  <a:rPr lang="en-AU"/>
                  <a:t>($2014-15)</a:t>
                </a:r>
              </a:p>
            </c:rich>
          </c:tx>
          <c:overlay val="0"/>
        </c:title>
        <c:numFmt formatCode="0" sourceLinked="1"/>
        <c:majorTickMark val="out"/>
        <c:minorTickMark val="none"/>
        <c:tickLblPos val="nextTo"/>
        <c:crossAx val="98037760"/>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150F20D3</Template>
  <TotalTime>0</TotalTime>
  <Pages>64</Pages>
  <Words>17535</Words>
  <Characters>99954</Characters>
  <Application>Microsoft Office Word</Application>
  <DocSecurity>0</DocSecurity>
  <Lines>832</Lines>
  <Paragraphs>234</Paragraphs>
  <ScaleCrop>false</ScaleCrop>
  <Company/>
  <LinksUpToDate>false</LinksUpToDate>
  <CharactersWithSpaces>117255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2015-04-29T05:44:00Z</dcterms:created>
  <dcterms:modified xsi:type="dcterms:W3CDTF">2015-04-29T05:44:00Z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