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83" w:rsidRPr="008A1935" w:rsidRDefault="00E574F7" w:rsidP="008A1935">
      <w:pPr>
        <w:pStyle w:val="AERbodytextleftalign"/>
        <w:rPr>
          <w:rStyle w:val="AERbody"/>
          <w:rFonts w:eastAsiaTheme="majorEastAsia"/>
        </w:rPr>
      </w:pPr>
      <w:bookmarkStart w:id="0" w:name="_GoBack"/>
      <w:bookmarkEnd w:id="0"/>
      <w:r w:rsidRPr="00E574F7">
        <w:rPr>
          <w:noProof/>
          <w:lang w:eastAsia="zh-CN"/>
        </w:rPr>
        <w:drawing>
          <wp:anchor distT="0" distB="0" distL="114300" distR="114300" simplePos="0" relativeHeight="251661312" behindDoc="1" locked="0" layoutInCell="1" allowOverlap="1" wp14:anchorId="177617FA" wp14:editId="2882A12C">
            <wp:simplePos x="0" y="0"/>
            <wp:positionH relativeFrom="column">
              <wp:posOffset>-1110234</wp:posOffset>
            </wp:positionH>
            <wp:positionV relativeFrom="paragraph">
              <wp:posOffset>-928192</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Arial" w:eastAsiaTheme="majorEastAsia" w:hAnsi="Arial" w:cstheme="majorBidi"/>
          <w:noProof/>
          <w:sz w:val="36"/>
          <w:szCs w:val="36"/>
          <w:lang w:eastAsia="en-AU"/>
        </w:rPr>
        <w:id w:val="1021519724"/>
        <w:docPartObj>
          <w:docPartGallery w:val="Cover Pages"/>
          <w:docPartUnique/>
        </w:docPartObj>
      </w:sdtPr>
      <w:sdtEndPr/>
      <w:sdtContent>
        <w:p w:rsidR="000A6C7B" w:rsidRPr="00290C63" w:rsidRDefault="000A6C7B" w:rsidP="008A1935">
          <w:pPr>
            <w:pStyle w:val="AERbodytextcentre"/>
          </w:pPr>
        </w:p>
        <w:p w:rsidR="00F171E0" w:rsidRDefault="00F171E0" w:rsidP="008A1935">
          <w:pPr>
            <w:pStyle w:val="AERbodytextcentre"/>
          </w:pPr>
        </w:p>
        <w:p w:rsidR="00F171E0" w:rsidRDefault="00F171E0" w:rsidP="008A1935">
          <w:pPr>
            <w:pStyle w:val="AERbodytextcentre"/>
          </w:pPr>
        </w:p>
        <w:p w:rsidR="00F171E0" w:rsidRDefault="00F171E0" w:rsidP="00F171E0"/>
        <w:p w:rsidR="00F171E0" w:rsidRDefault="00F171E0" w:rsidP="00F171E0"/>
        <w:p w:rsidR="005C16FE" w:rsidRDefault="005C16FE" w:rsidP="00F171E0"/>
        <w:p w:rsidR="004B4A53" w:rsidRDefault="001754EE" w:rsidP="004B4A53">
          <w:pPr>
            <w:pStyle w:val="ReportDate"/>
          </w:pPr>
          <w:r>
            <w:tab/>
          </w:r>
        </w:p>
        <w:p w:rsidR="007D0BA5" w:rsidRPr="007D0BA5" w:rsidRDefault="007D0BA5" w:rsidP="007D0BA5">
          <w:pPr>
            <w:pStyle w:val="ReportSubtitle"/>
          </w:pPr>
          <w:r w:rsidRPr="007D0BA5">
            <w:t>Draft determinations</w:t>
          </w:r>
        </w:p>
        <w:p w:rsidR="007D0BA5" w:rsidRPr="007D0BA5" w:rsidRDefault="007D0BA5" w:rsidP="007D0BA5">
          <w:pPr>
            <w:pStyle w:val="ReportSubtitle"/>
          </w:pPr>
          <w:r w:rsidRPr="007D0BA5">
            <w:t xml:space="preserve"> and </w:t>
          </w:r>
        </w:p>
        <w:p w:rsidR="004B4A53" w:rsidRDefault="007D0BA5" w:rsidP="007D0BA5">
          <w:pPr>
            <w:pStyle w:val="ReportSubtitle"/>
          </w:pPr>
          <w:r w:rsidRPr="007D0BA5">
            <w:t xml:space="preserve">Explanatory statement </w:t>
          </w:r>
        </w:p>
        <w:p w:rsidR="007D0BA5" w:rsidRPr="007D0BA5" w:rsidRDefault="004B4A53" w:rsidP="007D0BA5">
          <w:pPr>
            <w:pStyle w:val="ReportDate"/>
          </w:pPr>
          <w:r w:rsidRPr="004B4A53">
            <w:t xml:space="preserve">Electricity </w:t>
          </w:r>
          <w:r w:rsidR="007B65AB">
            <w:t>f</w:t>
          </w:r>
          <w:r w:rsidR="007D0BA5" w:rsidRPr="007D0BA5">
            <w:t>-f</w:t>
          </w:r>
          <w:r w:rsidR="00AE4F7A">
            <w:t>actor scheme 2016–20</w:t>
          </w:r>
          <w:r w:rsidR="007B65AB">
            <w:t>20</w:t>
          </w:r>
        </w:p>
        <w:p w:rsidR="007D0BA5" w:rsidRPr="007D0BA5" w:rsidRDefault="007D0BA5" w:rsidP="007D0BA5">
          <w:pPr>
            <w:pStyle w:val="ReportDate"/>
          </w:pPr>
          <w:r w:rsidRPr="007D0BA5">
            <w:t>for</w:t>
          </w:r>
        </w:p>
        <w:p w:rsidR="004B4A53" w:rsidRDefault="007D0BA5" w:rsidP="007D0BA5">
          <w:pPr>
            <w:pStyle w:val="ReportDate"/>
          </w:pPr>
          <w:r w:rsidRPr="007D0BA5">
            <w:t>Victorian electricity distribution network service providers</w:t>
          </w:r>
        </w:p>
        <w:p w:rsidR="004B4A53" w:rsidRDefault="004B4A53" w:rsidP="00327A1E">
          <w:pPr>
            <w:pStyle w:val="ReportDate"/>
          </w:pPr>
        </w:p>
        <w:p w:rsidR="00723A2C" w:rsidRDefault="00723A2C" w:rsidP="00327A1E">
          <w:pPr>
            <w:pStyle w:val="ReportDate"/>
          </w:pPr>
        </w:p>
        <w:p w:rsidR="000A6C7B" w:rsidRPr="00327A1E" w:rsidRDefault="001E76C0" w:rsidP="00327A1E">
          <w:pPr>
            <w:pStyle w:val="ReportDate"/>
          </w:pPr>
          <w:r>
            <w:t xml:space="preserve">April </w:t>
          </w:r>
          <w:r w:rsidR="000474DF">
            <w:t>201</w:t>
          </w:r>
          <w:r w:rsidR="00386073">
            <w:t>7</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386073">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44460C" w:rsidRPr="00A72B34" w:rsidRDefault="0044460C" w:rsidP="0044460C">
      <w:pPr>
        <w:pStyle w:val="TOCHeading"/>
      </w:pPr>
      <w:bookmarkStart w:id="2" w:name="_Toc403144133"/>
      <w:bookmarkStart w:id="3" w:name="_Toc432083534"/>
      <w:bookmarkStart w:id="4" w:name="_Toc433787709"/>
      <w:bookmarkStart w:id="5" w:name="_Toc404153950"/>
      <w:bookmarkStart w:id="6" w:name="_Toc404437593"/>
      <w:r>
        <w:lastRenderedPageBreak/>
        <w:t>Contents</w:t>
      </w:r>
      <w:bookmarkEnd w:id="2"/>
    </w:p>
    <w:sdt>
      <w:sdtPr>
        <w:id w:val="1269200322"/>
        <w:docPartObj>
          <w:docPartGallery w:val="Table of Contents"/>
          <w:docPartUnique/>
        </w:docPartObj>
      </w:sdtPr>
      <w:sdtEndPr/>
      <w:sdtContent>
        <w:p w:rsidR="00FF3FF6" w:rsidRDefault="0044460C">
          <w:pPr>
            <w:pStyle w:val="TOC1"/>
            <w:rPr>
              <w:rFonts w:asciiTheme="minorHAnsi" w:eastAsiaTheme="minorEastAsia" w:hAnsiTheme="minorHAnsi"/>
              <w:b w:val="0"/>
              <w:color w:val="auto"/>
              <w:sz w:val="22"/>
              <w:lang w:val="en-AU" w:eastAsia="zh-CN"/>
            </w:rPr>
          </w:pPr>
          <w:r>
            <w:fldChar w:fldCharType="begin"/>
          </w:r>
          <w:r>
            <w:instrText xml:space="preserve"> TOC \o "1-2" \h \z \t "Heading 3,3,Heading 7,1,Heading 8,2,Heading 9,3" </w:instrText>
          </w:r>
          <w:r>
            <w:fldChar w:fldCharType="separate"/>
          </w:r>
          <w:hyperlink w:anchor="_Toc478731788" w:history="1">
            <w:r w:rsidR="00FF3FF6" w:rsidRPr="00FC0955">
              <w:rPr>
                <w:rStyle w:val="Hyperlink"/>
              </w:rPr>
              <w:t>Shortened forms</w:t>
            </w:r>
            <w:r w:rsidR="00FF3FF6">
              <w:rPr>
                <w:webHidden/>
              </w:rPr>
              <w:tab/>
            </w:r>
            <w:r w:rsidR="00FF3FF6">
              <w:rPr>
                <w:webHidden/>
              </w:rPr>
              <w:fldChar w:fldCharType="begin"/>
            </w:r>
            <w:r w:rsidR="00FF3FF6">
              <w:rPr>
                <w:webHidden/>
              </w:rPr>
              <w:instrText xml:space="preserve"> PAGEREF _Toc478731788 \h </w:instrText>
            </w:r>
            <w:r w:rsidR="00FF3FF6">
              <w:rPr>
                <w:webHidden/>
              </w:rPr>
            </w:r>
            <w:r w:rsidR="00FF3FF6">
              <w:rPr>
                <w:webHidden/>
              </w:rPr>
              <w:fldChar w:fldCharType="separate"/>
            </w:r>
            <w:r w:rsidR="008861A8">
              <w:rPr>
                <w:webHidden/>
              </w:rPr>
              <w:t>4</w:t>
            </w:r>
            <w:r w:rsidR="00FF3FF6">
              <w:rPr>
                <w:webHidden/>
              </w:rPr>
              <w:fldChar w:fldCharType="end"/>
            </w:r>
          </w:hyperlink>
        </w:p>
        <w:p w:rsidR="00FF3FF6" w:rsidRDefault="008861A8">
          <w:pPr>
            <w:pStyle w:val="TOC1"/>
            <w:rPr>
              <w:rFonts w:asciiTheme="minorHAnsi" w:eastAsiaTheme="minorEastAsia" w:hAnsiTheme="minorHAnsi"/>
              <w:b w:val="0"/>
              <w:color w:val="auto"/>
              <w:sz w:val="22"/>
              <w:lang w:val="en-AU" w:eastAsia="zh-CN"/>
            </w:rPr>
          </w:pPr>
          <w:hyperlink w:anchor="_Toc478731789" w:history="1">
            <w:r w:rsidR="00FF3FF6" w:rsidRPr="00FC0955">
              <w:rPr>
                <w:rStyle w:val="Hyperlink"/>
              </w:rPr>
              <w:t>1</w:t>
            </w:r>
            <w:r w:rsidR="00FF3FF6">
              <w:rPr>
                <w:rFonts w:asciiTheme="minorHAnsi" w:eastAsiaTheme="minorEastAsia" w:hAnsiTheme="minorHAnsi"/>
                <w:b w:val="0"/>
                <w:color w:val="auto"/>
                <w:sz w:val="22"/>
                <w:lang w:val="en-AU" w:eastAsia="zh-CN"/>
              </w:rPr>
              <w:tab/>
            </w:r>
            <w:r w:rsidR="00FF3FF6" w:rsidRPr="00FC0955">
              <w:rPr>
                <w:rStyle w:val="Hyperlink"/>
              </w:rPr>
              <w:t>About this consultation</w:t>
            </w:r>
            <w:r w:rsidR="00FF3FF6">
              <w:rPr>
                <w:webHidden/>
              </w:rPr>
              <w:tab/>
            </w:r>
            <w:r w:rsidR="00FF3FF6">
              <w:rPr>
                <w:webHidden/>
              </w:rPr>
              <w:fldChar w:fldCharType="begin"/>
            </w:r>
            <w:r w:rsidR="00FF3FF6">
              <w:rPr>
                <w:webHidden/>
              </w:rPr>
              <w:instrText xml:space="preserve"> PAGEREF _Toc478731789 \h </w:instrText>
            </w:r>
            <w:r w:rsidR="00FF3FF6">
              <w:rPr>
                <w:webHidden/>
              </w:rPr>
            </w:r>
            <w:r w:rsidR="00FF3FF6">
              <w:rPr>
                <w:webHidden/>
              </w:rPr>
              <w:fldChar w:fldCharType="separate"/>
            </w:r>
            <w:r>
              <w:rPr>
                <w:webHidden/>
              </w:rPr>
              <w:t>5</w:t>
            </w:r>
            <w:r w:rsidR="00FF3FF6">
              <w:rPr>
                <w:webHidden/>
              </w:rPr>
              <w:fldChar w:fldCharType="end"/>
            </w:r>
          </w:hyperlink>
        </w:p>
        <w:p w:rsidR="00FF3FF6" w:rsidRDefault="008861A8">
          <w:pPr>
            <w:pStyle w:val="TOC2"/>
            <w:rPr>
              <w:rFonts w:asciiTheme="minorHAnsi" w:eastAsiaTheme="minorEastAsia" w:hAnsiTheme="minorHAnsi"/>
              <w:b w:val="0"/>
              <w:color w:val="auto"/>
              <w:sz w:val="22"/>
              <w:lang w:eastAsia="zh-CN"/>
            </w:rPr>
          </w:pPr>
          <w:hyperlink w:anchor="_Toc478731790" w:history="1">
            <w:r w:rsidR="00FF3FF6" w:rsidRPr="00FC0955">
              <w:rPr>
                <w:rStyle w:val="Hyperlink"/>
              </w:rPr>
              <w:t>1.1</w:t>
            </w:r>
            <w:r w:rsidR="00FF3FF6">
              <w:rPr>
                <w:rFonts w:asciiTheme="minorHAnsi" w:eastAsiaTheme="minorEastAsia" w:hAnsiTheme="minorHAnsi"/>
                <w:b w:val="0"/>
                <w:color w:val="auto"/>
                <w:sz w:val="22"/>
                <w:lang w:eastAsia="zh-CN"/>
              </w:rPr>
              <w:tab/>
            </w:r>
            <w:r w:rsidR="00FF3FF6" w:rsidRPr="00FC0955">
              <w:rPr>
                <w:rStyle w:val="Hyperlink"/>
              </w:rPr>
              <w:t>About this paper</w:t>
            </w:r>
            <w:r w:rsidR="00FF3FF6">
              <w:rPr>
                <w:webHidden/>
              </w:rPr>
              <w:tab/>
            </w:r>
            <w:r w:rsidR="00FF3FF6">
              <w:rPr>
                <w:webHidden/>
              </w:rPr>
              <w:fldChar w:fldCharType="begin"/>
            </w:r>
            <w:r w:rsidR="00FF3FF6">
              <w:rPr>
                <w:webHidden/>
              </w:rPr>
              <w:instrText xml:space="preserve"> PAGEREF _Toc478731790 \h </w:instrText>
            </w:r>
            <w:r w:rsidR="00FF3FF6">
              <w:rPr>
                <w:webHidden/>
              </w:rPr>
            </w:r>
            <w:r w:rsidR="00FF3FF6">
              <w:rPr>
                <w:webHidden/>
              </w:rPr>
              <w:fldChar w:fldCharType="separate"/>
            </w:r>
            <w:r>
              <w:rPr>
                <w:webHidden/>
              </w:rPr>
              <w:t>5</w:t>
            </w:r>
            <w:r w:rsidR="00FF3FF6">
              <w:rPr>
                <w:webHidden/>
              </w:rPr>
              <w:fldChar w:fldCharType="end"/>
            </w:r>
          </w:hyperlink>
        </w:p>
        <w:p w:rsidR="00FF3FF6" w:rsidRDefault="008861A8">
          <w:pPr>
            <w:pStyle w:val="TOC2"/>
            <w:rPr>
              <w:rFonts w:asciiTheme="minorHAnsi" w:eastAsiaTheme="minorEastAsia" w:hAnsiTheme="minorHAnsi"/>
              <w:b w:val="0"/>
              <w:color w:val="auto"/>
              <w:sz w:val="22"/>
              <w:lang w:eastAsia="zh-CN"/>
            </w:rPr>
          </w:pPr>
          <w:hyperlink w:anchor="_Toc478731791" w:history="1">
            <w:r w:rsidR="00FF3FF6" w:rsidRPr="00FC0955">
              <w:rPr>
                <w:rStyle w:val="Hyperlink"/>
              </w:rPr>
              <w:t>1.2</w:t>
            </w:r>
            <w:r w:rsidR="00FF3FF6">
              <w:rPr>
                <w:rFonts w:asciiTheme="minorHAnsi" w:eastAsiaTheme="minorEastAsia" w:hAnsiTheme="minorHAnsi"/>
                <w:b w:val="0"/>
                <w:color w:val="auto"/>
                <w:sz w:val="22"/>
                <w:lang w:eastAsia="zh-CN"/>
              </w:rPr>
              <w:tab/>
            </w:r>
            <w:r w:rsidR="00FF3FF6" w:rsidRPr="00FC0955">
              <w:rPr>
                <w:rStyle w:val="Hyperlink"/>
              </w:rPr>
              <w:t>This determination replaces our previous decision on the application of f-factor</w:t>
            </w:r>
            <w:r w:rsidR="00FF3FF6">
              <w:rPr>
                <w:webHidden/>
              </w:rPr>
              <w:tab/>
            </w:r>
            <w:r w:rsidR="00FF3FF6">
              <w:rPr>
                <w:webHidden/>
              </w:rPr>
              <w:fldChar w:fldCharType="begin"/>
            </w:r>
            <w:r w:rsidR="00FF3FF6">
              <w:rPr>
                <w:webHidden/>
              </w:rPr>
              <w:instrText xml:space="preserve"> PAGEREF _Toc478731791 \h </w:instrText>
            </w:r>
            <w:r w:rsidR="00FF3FF6">
              <w:rPr>
                <w:webHidden/>
              </w:rPr>
            </w:r>
            <w:r w:rsidR="00FF3FF6">
              <w:rPr>
                <w:webHidden/>
              </w:rPr>
              <w:fldChar w:fldCharType="separate"/>
            </w:r>
            <w:r>
              <w:rPr>
                <w:webHidden/>
              </w:rPr>
              <w:t>6</w:t>
            </w:r>
            <w:r w:rsidR="00FF3FF6">
              <w:rPr>
                <w:webHidden/>
              </w:rPr>
              <w:fldChar w:fldCharType="end"/>
            </w:r>
          </w:hyperlink>
        </w:p>
        <w:p w:rsidR="00FF3FF6" w:rsidRDefault="008861A8">
          <w:pPr>
            <w:pStyle w:val="TOC2"/>
            <w:rPr>
              <w:rFonts w:asciiTheme="minorHAnsi" w:eastAsiaTheme="minorEastAsia" w:hAnsiTheme="minorHAnsi"/>
              <w:b w:val="0"/>
              <w:color w:val="auto"/>
              <w:sz w:val="22"/>
              <w:lang w:eastAsia="zh-CN"/>
            </w:rPr>
          </w:pPr>
          <w:hyperlink w:anchor="_Toc478731792" w:history="1">
            <w:r w:rsidR="00FF3FF6" w:rsidRPr="00FC0955">
              <w:rPr>
                <w:rStyle w:val="Hyperlink"/>
              </w:rPr>
              <w:t>1.3</w:t>
            </w:r>
            <w:r w:rsidR="00FF3FF6">
              <w:rPr>
                <w:rFonts w:asciiTheme="minorHAnsi" w:eastAsiaTheme="minorEastAsia" w:hAnsiTheme="minorHAnsi"/>
                <w:b w:val="0"/>
                <w:color w:val="auto"/>
                <w:sz w:val="22"/>
                <w:lang w:eastAsia="zh-CN"/>
              </w:rPr>
              <w:tab/>
            </w:r>
            <w:r w:rsidR="00FF3FF6" w:rsidRPr="00FC0955">
              <w:rPr>
                <w:rStyle w:val="Hyperlink"/>
              </w:rPr>
              <w:t>How to make a submission</w:t>
            </w:r>
            <w:r w:rsidR="00FF3FF6">
              <w:rPr>
                <w:webHidden/>
              </w:rPr>
              <w:tab/>
            </w:r>
            <w:r w:rsidR="00FF3FF6">
              <w:rPr>
                <w:webHidden/>
              </w:rPr>
              <w:fldChar w:fldCharType="begin"/>
            </w:r>
            <w:r w:rsidR="00FF3FF6">
              <w:rPr>
                <w:webHidden/>
              </w:rPr>
              <w:instrText xml:space="preserve"> PAGEREF _Toc478731792 \h </w:instrText>
            </w:r>
            <w:r w:rsidR="00FF3FF6">
              <w:rPr>
                <w:webHidden/>
              </w:rPr>
            </w:r>
            <w:r w:rsidR="00FF3FF6">
              <w:rPr>
                <w:webHidden/>
              </w:rPr>
              <w:fldChar w:fldCharType="separate"/>
            </w:r>
            <w:r>
              <w:rPr>
                <w:webHidden/>
              </w:rPr>
              <w:t>6</w:t>
            </w:r>
            <w:r w:rsidR="00FF3FF6">
              <w:rPr>
                <w:webHidden/>
              </w:rPr>
              <w:fldChar w:fldCharType="end"/>
            </w:r>
          </w:hyperlink>
        </w:p>
        <w:p w:rsidR="00FF3FF6" w:rsidRDefault="008861A8">
          <w:pPr>
            <w:pStyle w:val="TOC2"/>
            <w:rPr>
              <w:rFonts w:asciiTheme="minorHAnsi" w:eastAsiaTheme="minorEastAsia" w:hAnsiTheme="minorHAnsi"/>
              <w:b w:val="0"/>
              <w:color w:val="auto"/>
              <w:sz w:val="22"/>
              <w:lang w:eastAsia="zh-CN"/>
            </w:rPr>
          </w:pPr>
          <w:hyperlink w:anchor="_Toc478731793" w:history="1">
            <w:r w:rsidR="00FF3FF6" w:rsidRPr="00FC0955">
              <w:rPr>
                <w:rStyle w:val="Hyperlink"/>
              </w:rPr>
              <w:t>1.4</w:t>
            </w:r>
            <w:r w:rsidR="00FF3FF6">
              <w:rPr>
                <w:rFonts w:asciiTheme="minorHAnsi" w:eastAsiaTheme="minorEastAsia" w:hAnsiTheme="minorHAnsi"/>
                <w:b w:val="0"/>
                <w:color w:val="auto"/>
                <w:sz w:val="22"/>
                <w:lang w:eastAsia="zh-CN"/>
              </w:rPr>
              <w:tab/>
            </w:r>
            <w:r w:rsidR="00FF3FF6" w:rsidRPr="00FC0955">
              <w:rPr>
                <w:rStyle w:val="Hyperlink"/>
              </w:rPr>
              <w:t>Structure of this document</w:t>
            </w:r>
            <w:r w:rsidR="00FF3FF6">
              <w:rPr>
                <w:webHidden/>
              </w:rPr>
              <w:tab/>
            </w:r>
            <w:r w:rsidR="00FF3FF6">
              <w:rPr>
                <w:webHidden/>
              </w:rPr>
              <w:fldChar w:fldCharType="begin"/>
            </w:r>
            <w:r w:rsidR="00FF3FF6">
              <w:rPr>
                <w:webHidden/>
              </w:rPr>
              <w:instrText xml:space="preserve"> PAGEREF _Toc478731793 \h </w:instrText>
            </w:r>
            <w:r w:rsidR="00FF3FF6">
              <w:rPr>
                <w:webHidden/>
              </w:rPr>
            </w:r>
            <w:r w:rsidR="00FF3FF6">
              <w:rPr>
                <w:webHidden/>
              </w:rPr>
              <w:fldChar w:fldCharType="separate"/>
            </w:r>
            <w:r>
              <w:rPr>
                <w:webHidden/>
              </w:rPr>
              <w:t>7</w:t>
            </w:r>
            <w:r w:rsidR="00FF3FF6">
              <w:rPr>
                <w:webHidden/>
              </w:rPr>
              <w:fldChar w:fldCharType="end"/>
            </w:r>
          </w:hyperlink>
        </w:p>
        <w:p w:rsidR="00FF3FF6" w:rsidRDefault="008861A8">
          <w:pPr>
            <w:pStyle w:val="TOC1"/>
            <w:rPr>
              <w:rFonts w:asciiTheme="minorHAnsi" w:eastAsiaTheme="minorEastAsia" w:hAnsiTheme="minorHAnsi"/>
              <w:b w:val="0"/>
              <w:color w:val="auto"/>
              <w:sz w:val="22"/>
              <w:lang w:val="en-AU" w:eastAsia="zh-CN"/>
            </w:rPr>
          </w:pPr>
          <w:hyperlink w:anchor="_Toc478731794" w:history="1">
            <w:r w:rsidR="00FF3FF6" w:rsidRPr="00FC0955">
              <w:rPr>
                <w:rStyle w:val="Hyperlink"/>
              </w:rPr>
              <w:t>2</w:t>
            </w:r>
            <w:r w:rsidR="00FF3FF6">
              <w:rPr>
                <w:rFonts w:asciiTheme="minorHAnsi" w:eastAsiaTheme="minorEastAsia" w:hAnsiTheme="minorHAnsi"/>
                <w:b w:val="0"/>
                <w:color w:val="auto"/>
                <w:sz w:val="22"/>
                <w:lang w:val="en-AU" w:eastAsia="zh-CN"/>
              </w:rPr>
              <w:tab/>
            </w:r>
            <w:r w:rsidR="00FF3FF6" w:rsidRPr="00FC0955">
              <w:rPr>
                <w:rStyle w:val="Hyperlink"/>
              </w:rPr>
              <w:t>Overview</w:t>
            </w:r>
            <w:r w:rsidR="00FF3FF6">
              <w:rPr>
                <w:webHidden/>
              </w:rPr>
              <w:tab/>
            </w:r>
            <w:r w:rsidR="00FF3FF6">
              <w:rPr>
                <w:webHidden/>
              </w:rPr>
              <w:fldChar w:fldCharType="begin"/>
            </w:r>
            <w:r w:rsidR="00FF3FF6">
              <w:rPr>
                <w:webHidden/>
              </w:rPr>
              <w:instrText xml:space="preserve"> PAGEREF _Toc478731794 \h </w:instrText>
            </w:r>
            <w:r w:rsidR="00FF3FF6">
              <w:rPr>
                <w:webHidden/>
              </w:rPr>
            </w:r>
            <w:r w:rsidR="00FF3FF6">
              <w:rPr>
                <w:webHidden/>
              </w:rPr>
              <w:fldChar w:fldCharType="separate"/>
            </w:r>
            <w:r>
              <w:rPr>
                <w:webHidden/>
              </w:rPr>
              <w:t>8</w:t>
            </w:r>
            <w:r w:rsidR="00FF3FF6">
              <w:rPr>
                <w:webHidden/>
              </w:rPr>
              <w:fldChar w:fldCharType="end"/>
            </w:r>
          </w:hyperlink>
        </w:p>
        <w:p w:rsidR="00FF3FF6" w:rsidRDefault="008861A8">
          <w:pPr>
            <w:pStyle w:val="TOC2"/>
            <w:rPr>
              <w:rFonts w:asciiTheme="minorHAnsi" w:eastAsiaTheme="minorEastAsia" w:hAnsiTheme="minorHAnsi"/>
              <w:b w:val="0"/>
              <w:color w:val="auto"/>
              <w:sz w:val="22"/>
              <w:lang w:eastAsia="zh-CN"/>
            </w:rPr>
          </w:pPr>
          <w:hyperlink w:anchor="_Toc478731795" w:history="1">
            <w:r w:rsidR="00FF3FF6" w:rsidRPr="00FC0955">
              <w:rPr>
                <w:rStyle w:val="Hyperlink"/>
              </w:rPr>
              <w:t>2.1</w:t>
            </w:r>
            <w:r w:rsidR="00FF3FF6">
              <w:rPr>
                <w:rFonts w:asciiTheme="minorHAnsi" w:eastAsiaTheme="minorEastAsia" w:hAnsiTheme="minorHAnsi"/>
                <w:b w:val="0"/>
                <w:color w:val="auto"/>
                <w:sz w:val="22"/>
                <w:lang w:eastAsia="zh-CN"/>
              </w:rPr>
              <w:tab/>
            </w:r>
            <w:r w:rsidR="00FF3FF6" w:rsidRPr="00FC0955">
              <w:rPr>
                <w:rStyle w:val="Hyperlink"/>
              </w:rPr>
              <w:t>The new f-factor scheme</w:t>
            </w:r>
            <w:r w:rsidR="00FF3FF6">
              <w:rPr>
                <w:webHidden/>
              </w:rPr>
              <w:tab/>
            </w:r>
            <w:r w:rsidR="00FF3FF6">
              <w:rPr>
                <w:webHidden/>
              </w:rPr>
              <w:fldChar w:fldCharType="begin"/>
            </w:r>
            <w:r w:rsidR="00FF3FF6">
              <w:rPr>
                <w:webHidden/>
              </w:rPr>
              <w:instrText xml:space="preserve"> PAGEREF _Toc478731795 \h </w:instrText>
            </w:r>
            <w:r w:rsidR="00FF3FF6">
              <w:rPr>
                <w:webHidden/>
              </w:rPr>
            </w:r>
            <w:r w:rsidR="00FF3FF6">
              <w:rPr>
                <w:webHidden/>
              </w:rPr>
              <w:fldChar w:fldCharType="separate"/>
            </w:r>
            <w:r>
              <w:rPr>
                <w:webHidden/>
              </w:rPr>
              <w:t>8</w:t>
            </w:r>
            <w:r w:rsidR="00FF3FF6">
              <w:rPr>
                <w:webHidden/>
              </w:rPr>
              <w:fldChar w:fldCharType="end"/>
            </w:r>
          </w:hyperlink>
        </w:p>
        <w:p w:rsidR="00FF3FF6" w:rsidRDefault="008861A8">
          <w:pPr>
            <w:pStyle w:val="TOC2"/>
            <w:rPr>
              <w:rFonts w:asciiTheme="minorHAnsi" w:eastAsiaTheme="minorEastAsia" w:hAnsiTheme="minorHAnsi"/>
              <w:b w:val="0"/>
              <w:color w:val="auto"/>
              <w:sz w:val="22"/>
              <w:lang w:eastAsia="zh-CN"/>
            </w:rPr>
          </w:pPr>
          <w:hyperlink w:anchor="_Toc478731799" w:history="1">
            <w:r w:rsidR="00FF3FF6" w:rsidRPr="00FC0955">
              <w:rPr>
                <w:rStyle w:val="Hyperlink"/>
              </w:rPr>
              <w:t>2.2</w:t>
            </w:r>
            <w:r w:rsidR="00FF3FF6">
              <w:rPr>
                <w:rFonts w:asciiTheme="minorHAnsi" w:eastAsiaTheme="minorEastAsia" w:hAnsiTheme="minorHAnsi"/>
                <w:b w:val="0"/>
                <w:color w:val="auto"/>
                <w:sz w:val="22"/>
                <w:lang w:eastAsia="zh-CN"/>
              </w:rPr>
              <w:tab/>
            </w:r>
            <w:r w:rsidR="00FF3FF6" w:rsidRPr="00FC0955">
              <w:rPr>
                <w:rStyle w:val="Hyperlink"/>
              </w:rPr>
              <w:t>Legislative requirements in making this determination</w:t>
            </w:r>
            <w:r w:rsidR="00FF3FF6">
              <w:rPr>
                <w:webHidden/>
              </w:rPr>
              <w:tab/>
            </w:r>
            <w:r w:rsidR="00FF3FF6">
              <w:rPr>
                <w:webHidden/>
              </w:rPr>
              <w:fldChar w:fldCharType="begin"/>
            </w:r>
            <w:r w:rsidR="00FF3FF6">
              <w:rPr>
                <w:webHidden/>
              </w:rPr>
              <w:instrText xml:space="preserve"> PAGEREF _Toc478731799 \h </w:instrText>
            </w:r>
            <w:r w:rsidR="00FF3FF6">
              <w:rPr>
                <w:webHidden/>
              </w:rPr>
            </w:r>
            <w:r w:rsidR="00FF3FF6">
              <w:rPr>
                <w:webHidden/>
              </w:rPr>
              <w:fldChar w:fldCharType="separate"/>
            </w:r>
            <w:r>
              <w:rPr>
                <w:webHidden/>
              </w:rPr>
              <w:t>10</w:t>
            </w:r>
            <w:r w:rsidR="00FF3FF6">
              <w:rPr>
                <w:webHidden/>
              </w:rPr>
              <w:fldChar w:fldCharType="end"/>
            </w:r>
          </w:hyperlink>
        </w:p>
        <w:p w:rsidR="00FF3FF6" w:rsidRDefault="008861A8">
          <w:pPr>
            <w:pStyle w:val="TOC1"/>
            <w:rPr>
              <w:rFonts w:asciiTheme="minorHAnsi" w:eastAsiaTheme="minorEastAsia" w:hAnsiTheme="minorHAnsi"/>
              <w:b w:val="0"/>
              <w:color w:val="auto"/>
              <w:sz w:val="22"/>
              <w:lang w:val="en-AU" w:eastAsia="zh-CN"/>
            </w:rPr>
          </w:pPr>
          <w:hyperlink w:anchor="_Toc478731800" w:history="1">
            <w:r w:rsidR="00FF3FF6" w:rsidRPr="00FC0955">
              <w:rPr>
                <w:rStyle w:val="Hyperlink"/>
              </w:rPr>
              <w:t>3</w:t>
            </w:r>
            <w:r w:rsidR="00FF3FF6">
              <w:rPr>
                <w:rFonts w:asciiTheme="minorHAnsi" w:eastAsiaTheme="minorEastAsia" w:hAnsiTheme="minorHAnsi"/>
                <w:b w:val="0"/>
                <w:color w:val="auto"/>
                <w:sz w:val="22"/>
                <w:lang w:val="en-AU" w:eastAsia="zh-CN"/>
              </w:rPr>
              <w:tab/>
            </w:r>
            <w:r w:rsidR="00FF3FF6" w:rsidRPr="00FC0955">
              <w:rPr>
                <w:rStyle w:val="Hyperlink"/>
              </w:rPr>
              <w:t>AER considerations on revenue adjustment mechanism</w:t>
            </w:r>
            <w:r w:rsidR="00FF3FF6">
              <w:rPr>
                <w:webHidden/>
              </w:rPr>
              <w:tab/>
            </w:r>
            <w:r w:rsidR="00FF3FF6">
              <w:rPr>
                <w:webHidden/>
              </w:rPr>
              <w:fldChar w:fldCharType="begin"/>
            </w:r>
            <w:r w:rsidR="00FF3FF6">
              <w:rPr>
                <w:webHidden/>
              </w:rPr>
              <w:instrText xml:space="preserve"> PAGEREF _Toc478731800 \h </w:instrText>
            </w:r>
            <w:r w:rsidR="00FF3FF6">
              <w:rPr>
                <w:webHidden/>
              </w:rPr>
            </w:r>
            <w:r w:rsidR="00FF3FF6">
              <w:rPr>
                <w:webHidden/>
              </w:rPr>
              <w:fldChar w:fldCharType="separate"/>
            </w:r>
            <w:r>
              <w:rPr>
                <w:webHidden/>
              </w:rPr>
              <w:t>12</w:t>
            </w:r>
            <w:r w:rsidR="00FF3FF6">
              <w:rPr>
                <w:webHidden/>
              </w:rPr>
              <w:fldChar w:fldCharType="end"/>
            </w:r>
          </w:hyperlink>
        </w:p>
        <w:p w:rsidR="00FF3FF6" w:rsidRDefault="008861A8">
          <w:pPr>
            <w:pStyle w:val="TOC2"/>
            <w:rPr>
              <w:rFonts w:asciiTheme="minorHAnsi" w:eastAsiaTheme="minorEastAsia" w:hAnsiTheme="minorHAnsi"/>
              <w:b w:val="0"/>
              <w:color w:val="auto"/>
              <w:sz w:val="22"/>
              <w:lang w:eastAsia="zh-CN"/>
            </w:rPr>
          </w:pPr>
          <w:hyperlink w:anchor="_Toc478731801" w:history="1">
            <w:r w:rsidR="00FF3FF6" w:rsidRPr="00FC0955">
              <w:rPr>
                <w:rStyle w:val="Hyperlink"/>
              </w:rPr>
              <w:t>3.1</w:t>
            </w:r>
            <w:r w:rsidR="00FF3FF6">
              <w:rPr>
                <w:rFonts w:asciiTheme="minorHAnsi" w:eastAsiaTheme="minorEastAsia" w:hAnsiTheme="minorHAnsi"/>
                <w:b w:val="0"/>
                <w:color w:val="auto"/>
                <w:sz w:val="22"/>
                <w:lang w:eastAsia="zh-CN"/>
              </w:rPr>
              <w:tab/>
            </w:r>
            <w:r w:rsidR="00FF3FF6" w:rsidRPr="00FC0955">
              <w:rPr>
                <w:rStyle w:val="Hyperlink"/>
              </w:rPr>
              <w:t>Need for a six-month transitional arrangement</w:t>
            </w:r>
            <w:r w:rsidR="00FF3FF6">
              <w:rPr>
                <w:webHidden/>
              </w:rPr>
              <w:tab/>
            </w:r>
            <w:r w:rsidR="00FF3FF6">
              <w:rPr>
                <w:webHidden/>
              </w:rPr>
              <w:fldChar w:fldCharType="begin"/>
            </w:r>
            <w:r w:rsidR="00FF3FF6">
              <w:rPr>
                <w:webHidden/>
              </w:rPr>
              <w:instrText xml:space="preserve"> PAGEREF _Toc478731801 \h </w:instrText>
            </w:r>
            <w:r w:rsidR="00FF3FF6">
              <w:rPr>
                <w:webHidden/>
              </w:rPr>
            </w:r>
            <w:r w:rsidR="00FF3FF6">
              <w:rPr>
                <w:webHidden/>
              </w:rPr>
              <w:fldChar w:fldCharType="separate"/>
            </w:r>
            <w:r>
              <w:rPr>
                <w:webHidden/>
              </w:rPr>
              <w:t>12</w:t>
            </w:r>
            <w:r w:rsidR="00FF3FF6">
              <w:rPr>
                <w:webHidden/>
              </w:rPr>
              <w:fldChar w:fldCharType="end"/>
            </w:r>
          </w:hyperlink>
        </w:p>
        <w:p w:rsidR="00FF3FF6" w:rsidRDefault="008861A8">
          <w:pPr>
            <w:pStyle w:val="TOC2"/>
            <w:rPr>
              <w:rFonts w:asciiTheme="minorHAnsi" w:eastAsiaTheme="minorEastAsia" w:hAnsiTheme="minorHAnsi"/>
              <w:b w:val="0"/>
              <w:color w:val="auto"/>
              <w:sz w:val="22"/>
              <w:lang w:eastAsia="zh-CN"/>
            </w:rPr>
          </w:pPr>
          <w:hyperlink w:anchor="_Toc478731804" w:history="1">
            <w:r w:rsidR="00FF3FF6" w:rsidRPr="00FC0955">
              <w:rPr>
                <w:rStyle w:val="Hyperlink"/>
              </w:rPr>
              <w:t>3.2</w:t>
            </w:r>
            <w:r w:rsidR="00FF3FF6">
              <w:rPr>
                <w:rFonts w:asciiTheme="minorHAnsi" w:eastAsiaTheme="minorEastAsia" w:hAnsiTheme="minorHAnsi"/>
                <w:b w:val="0"/>
                <w:color w:val="auto"/>
                <w:sz w:val="22"/>
                <w:lang w:eastAsia="zh-CN"/>
              </w:rPr>
              <w:tab/>
            </w:r>
            <w:r w:rsidR="00FF3FF6" w:rsidRPr="00FC0955">
              <w:rPr>
                <w:rStyle w:val="Hyperlink"/>
              </w:rPr>
              <w:t>Revenue adjustments after 2018</w:t>
            </w:r>
            <w:r w:rsidR="00FF3FF6">
              <w:rPr>
                <w:webHidden/>
              </w:rPr>
              <w:tab/>
            </w:r>
            <w:r w:rsidR="00FF3FF6">
              <w:rPr>
                <w:webHidden/>
              </w:rPr>
              <w:fldChar w:fldCharType="begin"/>
            </w:r>
            <w:r w:rsidR="00FF3FF6">
              <w:rPr>
                <w:webHidden/>
              </w:rPr>
              <w:instrText xml:space="preserve"> PAGEREF _Toc478731804 \h </w:instrText>
            </w:r>
            <w:r w:rsidR="00FF3FF6">
              <w:rPr>
                <w:webHidden/>
              </w:rPr>
            </w:r>
            <w:r w:rsidR="00FF3FF6">
              <w:rPr>
                <w:webHidden/>
              </w:rPr>
              <w:fldChar w:fldCharType="separate"/>
            </w:r>
            <w:r>
              <w:rPr>
                <w:webHidden/>
              </w:rPr>
              <w:t>13</w:t>
            </w:r>
            <w:r w:rsidR="00FF3FF6">
              <w:rPr>
                <w:webHidden/>
              </w:rPr>
              <w:fldChar w:fldCharType="end"/>
            </w:r>
          </w:hyperlink>
        </w:p>
        <w:p w:rsidR="00FF3FF6" w:rsidRDefault="008861A8">
          <w:pPr>
            <w:pStyle w:val="TOC1"/>
            <w:rPr>
              <w:rFonts w:asciiTheme="minorHAnsi" w:eastAsiaTheme="minorEastAsia" w:hAnsiTheme="minorHAnsi"/>
              <w:b w:val="0"/>
              <w:color w:val="auto"/>
              <w:sz w:val="22"/>
              <w:lang w:val="en-AU" w:eastAsia="zh-CN"/>
            </w:rPr>
          </w:pPr>
          <w:hyperlink w:anchor="_Toc478731807" w:history="1">
            <w:r w:rsidR="00FF3FF6" w:rsidRPr="00FC0955">
              <w:rPr>
                <w:rStyle w:val="Hyperlink"/>
              </w:rPr>
              <w:t>4</w:t>
            </w:r>
            <w:r w:rsidR="00FF3FF6">
              <w:rPr>
                <w:rFonts w:asciiTheme="minorHAnsi" w:eastAsiaTheme="minorEastAsia" w:hAnsiTheme="minorHAnsi"/>
                <w:b w:val="0"/>
                <w:color w:val="auto"/>
                <w:sz w:val="22"/>
                <w:lang w:val="en-AU" w:eastAsia="zh-CN"/>
              </w:rPr>
              <w:tab/>
            </w:r>
            <w:r w:rsidR="00FF3FF6" w:rsidRPr="00FC0955">
              <w:rPr>
                <w:rStyle w:val="Hyperlink"/>
              </w:rPr>
              <w:t>Draft f-factor scheme determinations</w:t>
            </w:r>
            <w:r w:rsidR="00FF3FF6">
              <w:rPr>
                <w:webHidden/>
              </w:rPr>
              <w:tab/>
            </w:r>
            <w:r w:rsidR="00FF3FF6">
              <w:rPr>
                <w:webHidden/>
              </w:rPr>
              <w:fldChar w:fldCharType="begin"/>
            </w:r>
            <w:r w:rsidR="00FF3FF6">
              <w:rPr>
                <w:webHidden/>
              </w:rPr>
              <w:instrText xml:space="preserve"> PAGEREF _Toc478731807 \h </w:instrText>
            </w:r>
            <w:r w:rsidR="00FF3FF6">
              <w:rPr>
                <w:webHidden/>
              </w:rPr>
            </w:r>
            <w:r w:rsidR="00FF3FF6">
              <w:rPr>
                <w:webHidden/>
              </w:rPr>
              <w:fldChar w:fldCharType="separate"/>
            </w:r>
            <w:r>
              <w:rPr>
                <w:webHidden/>
              </w:rPr>
              <w:t>16</w:t>
            </w:r>
            <w:r w:rsidR="00FF3FF6">
              <w:rPr>
                <w:webHidden/>
              </w:rPr>
              <w:fldChar w:fldCharType="end"/>
            </w:r>
          </w:hyperlink>
        </w:p>
        <w:p w:rsidR="00FF3FF6" w:rsidRDefault="008861A8">
          <w:pPr>
            <w:pStyle w:val="TOC2"/>
            <w:rPr>
              <w:rFonts w:asciiTheme="minorHAnsi" w:eastAsiaTheme="minorEastAsia" w:hAnsiTheme="minorHAnsi"/>
              <w:b w:val="0"/>
              <w:color w:val="auto"/>
              <w:sz w:val="22"/>
              <w:lang w:eastAsia="zh-CN"/>
            </w:rPr>
          </w:pPr>
          <w:hyperlink w:anchor="_Toc478731808" w:history="1">
            <w:r w:rsidR="00FF3FF6" w:rsidRPr="00FC0955">
              <w:rPr>
                <w:rStyle w:val="Hyperlink"/>
              </w:rPr>
              <w:t>4.1</w:t>
            </w:r>
            <w:r w:rsidR="00FF3FF6">
              <w:rPr>
                <w:rFonts w:asciiTheme="minorHAnsi" w:eastAsiaTheme="minorEastAsia" w:hAnsiTheme="minorHAnsi"/>
                <w:b w:val="0"/>
                <w:color w:val="auto"/>
                <w:sz w:val="22"/>
                <w:lang w:eastAsia="zh-CN"/>
              </w:rPr>
              <w:tab/>
            </w:r>
            <w:r w:rsidR="00FF3FF6" w:rsidRPr="00FC0955">
              <w:rPr>
                <w:rStyle w:val="Hyperlink"/>
              </w:rPr>
              <w:t>AusNet Services f-factor scheme determination</w:t>
            </w:r>
            <w:r w:rsidR="00FF3FF6">
              <w:rPr>
                <w:webHidden/>
              </w:rPr>
              <w:tab/>
            </w:r>
            <w:r w:rsidR="00FF3FF6">
              <w:rPr>
                <w:webHidden/>
              </w:rPr>
              <w:fldChar w:fldCharType="begin"/>
            </w:r>
            <w:r w:rsidR="00FF3FF6">
              <w:rPr>
                <w:webHidden/>
              </w:rPr>
              <w:instrText xml:space="preserve"> PAGEREF _Toc478731808 \h </w:instrText>
            </w:r>
            <w:r w:rsidR="00FF3FF6">
              <w:rPr>
                <w:webHidden/>
              </w:rPr>
            </w:r>
            <w:r w:rsidR="00FF3FF6">
              <w:rPr>
                <w:webHidden/>
              </w:rPr>
              <w:fldChar w:fldCharType="separate"/>
            </w:r>
            <w:r>
              <w:rPr>
                <w:webHidden/>
              </w:rPr>
              <w:t>16</w:t>
            </w:r>
            <w:r w:rsidR="00FF3FF6">
              <w:rPr>
                <w:webHidden/>
              </w:rPr>
              <w:fldChar w:fldCharType="end"/>
            </w:r>
          </w:hyperlink>
        </w:p>
        <w:p w:rsidR="00FF3FF6" w:rsidRDefault="008861A8">
          <w:pPr>
            <w:pStyle w:val="TOC2"/>
            <w:rPr>
              <w:rFonts w:asciiTheme="minorHAnsi" w:eastAsiaTheme="minorEastAsia" w:hAnsiTheme="minorHAnsi"/>
              <w:b w:val="0"/>
              <w:color w:val="auto"/>
              <w:sz w:val="22"/>
              <w:lang w:eastAsia="zh-CN"/>
            </w:rPr>
          </w:pPr>
          <w:hyperlink w:anchor="_Toc478731809" w:history="1">
            <w:r w:rsidR="00FF3FF6" w:rsidRPr="00FC0955">
              <w:rPr>
                <w:rStyle w:val="Hyperlink"/>
              </w:rPr>
              <w:t>4.2</w:t>
            </w:r>
            <w:r w:rsidR="00FF3FF6">
              <w:rPr>
                <w:rFonts w:asciiTheme="minorHAnsi" w:eastAsiaTheme="minorEastAsia" w:hAnsiTheme="minorHAnsi"/>
                <w:b w:val="0"/>
                <w:color w:val="auto"/>
                <w:sz w:val="22"/>
                <w:lang w:eastAsia="zh-CN"/>
              </w:rPr>
              <w:tab/>
            </w:r>
            <w:r w:rsidR="00FF3FF6" w:rsidRPr="00FC0955">
              <w:rPr>
                <w:rStyle w:val="Hyperlink"/>
              </w:rPr>
              <w:t>CitiPower f-factor scheme determination</w:t>
            </w:r>
            <w:r w:rsidR="00FF3FF6">
              <w:rPr>
                <w:webHidden/>
              </w:rPr>
              <w:tab/>
            </w:r>
            <w:r w:rsidR="00FF3FF6">
              <w:rPr>
                <w:webHidden/>
              </w:rPr>
              <w:fldChar w:fldCharType="begin"/>
            </w:r>
            <w:r w:rsidR="00FF3FF6">
              <w:rPr>
                <w:webHidden/>
              </w:rPr>
              <w:instrText xml:space="preserve"> PAGEREF _Toc478731809 \h </w:instrText>
            </w:r>
            <w:r w:rsidR="00FF3FF6">
              <w:rPr>
                <w:webHidden/>
              </w:rPr>
            </w:r>
            <w:r w:rsidR="00FF3FF6">
              <w:rPr>
                <w:webHidden/>
              </w:rPr>
              <w:fldChar w:fldCharType="separate"/>
            </w:r>
            <w:r>
              <w:rPr>
                <w:webHidden/>
              </w:rPr>
              <w:t>17</w:t>
            </w:r>
            <w:r w:rsidR="00FF3FF6">
              <w:rPr>
                <w:webHidden/>
              </w:rPr>
              <w:fldChar w:fldCharType="end"/>
            </w:r>
          </w:hyperlink>
        </w:p>
        <w:p w:rsidR="00FF3FF6" w:rsidRDefault="008861A8">
          <w:pPr>
            <w:pStyle w:val="TOC2"/>
            <w:rPr>
              <w:rFonts w:asciiTheme="minorHAnsi" w:eastAsiaTheme="minorEastAsia" w:hAnsiTheme="minorHAnsi"/>
              <w:b w:val="0"/>
              <w:color w:val="auto"/>
              <w:sz w:val="22"/>
              <w:lang w:eastAsia="zh-CN"/>
            </w:rPr>
          </w:pPr>
          <w:hyperlink w:anchor="_Toc478731810" w:history="1">
            <w:r w:rsidR="00FF3FF6" w:rsidRPr="00FC0955">
              <w:rPr>
                <w:rStyle w:val="Hyperlink"/>
              </w:rPr>
              <w:t>4.3</w:t>
            </w:r>
            <w:r w:rsidR="00FF3FF6">
              <w:rPr>
                <w:rFonts w:asciiTheme="minorHAnsi" w:eastAsiaTheme="minorEastAsia" w:hAnsiTheme="minorHAnsi"/>
                <w:b w:val="0"/>
                <w:color w:val="auto"/>
                <w:sz w:val="22"/>
                <w:lang w:eastAsia="zh-CN"/>
              </w:rPr>
              <w:tab/>
            </w:r>
            <w:r w:rsidR="00FF3FF6" w:rsidRPr="00FC0955">
              <w:rPr>
                <w:rStyle w:val="Hyperlink"/>
              </w:rPr>
              <w:t>Jemena f-factor scheme determination</w:t>
            </w:r>
            <w:r w:rsidR="00FF3FF6">
              <w:rPr>
                <w:webHidden/>
              </w:rPr>
              <w:tab/>
            </w:r>
            <w:r w:rsidR="00FF3FF6">
              <w:rPr>
                <w:webHidden/>
              </w:rPr>
              <w:fldChar w:fldCharType="begin"/>
            </w:r>
            <w:r w:rsidR="00FF3FF6">
              <w:rPr>
                <w:webHidden/>
              </w:rPr>
              <w:instrText xml:space="preserve"> PAGEREF _Toc478731810 \h </w:instrText>
            </w:r>
            <w:r w:rsidR="00FF3FF6">
              <w:rPr>
                <w:webHidden/>
              </w:rPr>
            </w:r>
            <w:r w:rsidR="00FF3FF6">
              <w:rPr>
                <w:webHidden/>
              </w:rPr>
              <w:fldChar w:fldCharType="separate"/>
            </w:r>
            <w:r>
              <w:rPr>
                <w:webHidden/>
              </w:rPr>
              <w:t>18</w:t>
            </w:r>
            <w:r w:rsidR="00FF3FF6">
              <w:rPr>
                <w:webHidden/>
              </w:rPr>
              <w:fldChar w:fldCharType="end"/>
            </w:r>
          </w:hyperlink>
        </w:p>
        <w:p w:rsidR="00FF3FF6" w:rsidRDefault="008861A8">
          <w:pPr>
            <w:pStyle w:val="TOC2"/>
            <w:rPr>
              <w:rFonts w:asciiTheme="minorHAnsi" w:eastAsiaTheme="minorEastAsia" w:hAnsiTheme="minorHAnsi"/>
              <w:b w:val="0"/>
              <w:color w:val="auto"/>
              <w:sz w:val="22"/>
              <w:lang w:eastAsia="zh-CN"/>
            </w:rPr>
          </w:pPr>
          <w:hyperlink w:anchor="_Toc478731811" w:history="1">
            <w:r w:rsidR="00FF3FF6" w:rsidRPr="00FC0955">
              <w:rPr>
                <w:rStyle w:val="Hyperlink"/>
              </w:rPr>
              <w:t>4.4</w:t>
            </w:r>
            <w:r w:rsidR="00FF3FF6">
              <w:rPr>
                <w:rFonts w:asciiTheme="minorHAnsi" w:eastAsiaTheme="minorEastAsia" w:hAnsiTheme="minorHAnsi"/>
                <w:b w:val="0"/>
                <w:color w:val="auto"/>
                <w:sz w:val="22"/>
                <w:lang w:eastAsia="zh-CN"/>
              </w:rPr>
              <w:tab/>
            </w:r>
            <w:r w:rsidR="00FF3FF6" w:rsidRPr="00FC0955">
              <w:rPr>
                <w:rStyle w:val="Hyperlink"/>
              </w:rPr>
              <w:t>Powercor f-factor scheme determination</w:t>
            </w:r>
            <w:r w:rsidR="00FF3FF6">
              <w:rPr>
                <w:webHidden/>
              </w:rPr>
              <w:tab/>
            </w:r>
            <w:r w:rsidR="00FF3FF6">
              <w:rPr>
                <w:webHidden/>
              </w:rPr>
              <w:fldChar w:fldCharType="begin"/>
            </w:r>
            <w:r w:rsidR="00FF3FF6">
              <w:rPr>
                <w:webHidden/>
              </w:rPr>
              <w:instrText xml:space="preserve"> PAGEREF _Toc478731811 \h </w:instrText>
            </w:r>
            <w:r w:rsidR="00FF3FF6">
              <w:rPr>
                <w:webHidden/>
              </w:rPr>
            </w:r>
            <w:r w:rsidR="00FF3FF6">
              <w:rPr>
                <w:webHidden/>
              </w:rPr>
              <w:fldChar w:fldCharType="separate"/>
            </w:r>
            <w:r>
              <w:rPr>
                <w:webHidden/>
              </w:rPr>
              <w:t>20</w:t>
            </w:r>
            <w:r w:rsidR="00FF3FF6">
              <w:rPr>
                <w:webHidden/>
              </w:rPr>
              <w:fldChar w:fldCharType="end"/>
            </w:r>
          </w:hyperlink>
        </w:p>
        <w:p w:rsidR="00FF3FF6" w:rsidRDefault="008861A8">
          <w:pPr>
            <w:pStyle w:val="TOC2"/>
            <w:rPr>
              <w:rFonts w:asciiTheme="minorHAnsi" w:eastAsiaTheme="minorEastAsia" w:hAnsiTheme="minorHAnsi"/>
              <w:b w:val="0"/>
              <w:color w:val="auto"/>
              <w:sz w:val="22"/>
              <w:lang w:eastAsia="zh-CN"/>
            </w:rPr>
          </w:pPr>
          <w:hyperlink w:anchor="_Toc478731812" w:history="1">
            <w:r w:rsidR="00FF3FF6" w:rsidRPr="00FC0955">
              <w:rPr>
                <w:rStyle w:val="Hyperlink"/>
              </w:rPr>
              <w:t>4.5</w:t>
            </w:r>
            <w:r w:rsidR="00FF3FF6">
              <w:rPr>
                <w:rFonts w:asciiTheme="minorHAnsi" w:eastAsiaTheme="minorEastAsia" w:hAnsiTheme="minorHAnsi"/>
                <w:b w:val="0"/>
                <w:color w:val="auto"/>
                <w:sz w:val="22"/>
                <w:lang w:eastAsia="zh-CN"/>
              </w:rPr>
              <w:tab/>
            </w:r>
            <w:r w:rsidR="00FF3FF6" w:rsidRPr="00FC0955">
              <w:rPr>
                <w:rStyle w:val="Hyperlink"/>
              </w:rPr>
              <w:t>United Energy f-factor scheme determination</w:t>
            </w:r>
            <w:r w:rsidR="00FF3FF6">
              <w:rPr>
                <w:webHidden/>
              </w:rPr>
              <w:tab/>
            </w:r>
            <w:r w:rsidR="00FF3FF6">
              <w:rPr>
                <w:webHidden/>
              </w:rPr>
              <w:fldChar w:fldCharType="begin"/>
            </w:r>
            <w:r w:rsidR="00FF3FF6">
              <w:rPr>
                <w:webHidden/>
              </w:rPr>
              <w:instrText xml:space="preserve"> PAGEREF _Toc478731812 \h </w:instrText>
            </w:r>
            <w:r w:rsidR="00FF3FF6">
              <w:rPr>
                <w:webHidden/>
              </w:rPr>
            </w:r>
            <w:r w:rsidR="00FF3FF6">
              <w:rPr>
                <w:webHidden/>
              </w:rPr>
              <w:fldChar w:fldCharType="separate"/>
            </w:r>
            <w:r>
              <w:rPr>
                <w:webHidden/>
              </w:rPr>
              <w:t>21</w:t>
            </w:r>
            <w:r w:rsidR="00FF3FF6">
              <w:rPr>
                <w:webHidden/>
              </w:rPr>
              <w:fldChar w:fldCharType="end"/>
            </w:r>
          </w:hyperlink>
        </w:p>
        <w:p w:rsidR="00FF3FF6" w:rsidRDefault="008861A8">
          <w:pPr>
            <w:pStyle w:val="TOC1"/>
            <w:rPr>
              <w:rFonts w:asciiTheme="minorHAnsi" w:eastAsiaTheme="minorEastAsia" w:hAnsiTheme="minorHAnsi"/>
              <w:b w:val="0"/>
              <w:color w:val="auto"/>
              <w:sz w:val="22"/>
              <w:lang w:val="en-AU" w:eastAsia="zh-CN"/>
            </w:rPr>
          </w:pPr>
          <w:hyperlink w:anchor="_Toc478731813" w:history="1">
            <w:r w:rsidR="00FF3FF6" w:rsidRPr="00FC0955">
              <w:rPr>
                <w:rStyle w:val="Hyperlink"/>
              </w:rPr>
              <w:t>5</w:t>
            </w:r>
            <w:r w:rsidR="00FF3FF6">
              <w:rPr>
                <w:rFonts w:asciiTheme="minorHAnsi" w:eastAsiaTheme="minorEastAsia" w:hAnsiTheme="minorHAnsi"/>
                <w:b w:val="0"/>
                <w:color w:val="auto"/>
                <w:sz w:val="22"/>
                <w:lang w:val="en-AU" w:eastAsia="zh-CN"/>
              </w:rPr>
              <w:tab/>
            </w:r>
            <w:r w:rsidR="00FF3FF6" w:rsidRPr="00FC0955">
              <w:rPr>
                <w:rStyle w:val="Hyperlink"/>
              </w:rPr>
              <w:t>Next steps</w:t>
            </w:r>
            <w:r w:rsidR="00FF3FF6">
              <w:rPr>
                <w:webHidden/>
              </w:rPr>
              <w:tab/>
            </w:r>
            <w:r w:rsidR="00FF3FF6">
              <w:rPr>
                <w:webHidden/>
              </w:rPr>
              <w:fldChar w:fldCharType="begin"/>
            </w:r>
            <w:r w:rsidR="00FF3FF6">
              <w:rPr>
                <w:webHidden/>
              </w:rPr>
              <w:instrText xml:space="preserve"> PAGEREF _Toc478731813 \h </w:instrText>
            </w:r>
            <w:r w:rsidR="00FF3FF6">
              <w:rPr>
                <w:webHidden/>
              </w:rPr>
            </w:r>
            <w:r w:rsidR="00FF3FF6">
              <w:rPr>
                <w:webHidden/>
              </w:rPr>
              <w:fldChar w:fldCharType="separate"/>
            </w:r>
            <w:r>
              <w:rPr>
                <w:webHidden/>
              </w:rPr>
              <w:t>23</w:t>
            </w:r>
            <w:r w:rsidR="00FF3FF6">
              <w:rPr>
                <w:webHidden/>
              </w:rPr>
              <w:fldChar w:fldCharType="end"/>
            </w:r>
          </w:hyperlink>
        </w:p>
        <w:p w:rsidR="00FF3FF6" w:rsidRDefault="008861A8">
          <w:pPr>
            <w:pStyle w:val="TOC2"/>
            <w:rPr>
              <w:rFonts w:asciiTheme="minorHAnsi" w:eastAsiaTheme="minorEastAsia" w:hAnsiTheme="minorHAnsi"/>
              <w:b w:val="0"/>
              <w:color w:val="auto"/>
              <w:sz w:val="22"/>
              <w:lang w:eastAsia="zh-CN"/>
            </w:rPr>
          </w:pPr>
          <w:hyperlink w:anchor="_Toc478731814" w:history="1">
            <w:r w:rsidR="00FF3FF6" w:rsidRPr="00FC0955">
              <w:rPr>
                <w:rStyle w:val="Hyperlink"/>
              </w:rPr>
              <w:t>5.1</w:t>
            </w:r>
            <w:r w:rsidR="00FF3FF6">
              <w:rPr>
                <w:rFonts w:asciiTheme="minorHAnsi" w:eastAsiaTheme="minorEastAsia" w:hAnsiTheme="minorHAnsi"/>
                <w:b w:val="0"/>
                <w:color w:val="auto"/>
                <w:sz w:val="22"/>
                <w:lang w:eastAsia="zh-CN"/>
              </w:rPr>
              <w:tab/>
            </w:r>
            <w:r w:rsidR="00FF3FF6" w:rsidRPr="00FC0955">
              <w:rPr>
                <w:rStyle w:val="Hyperlink"/>
              </w:rPr>
              <w:t>Final determinations</w:t>
            </w:r>
            <w:r w:rsidR="00FF3FF6">
              <w:rPr>
                <w:webHidden/>
              </w:rPr>
              <w:tab/>
            </w:r>
            <w:r w:rsidR="00FF3FF6">
              <w:rPr>
                <w:webHidden/>
              </w:rPr>
              <w:fldChar w:fldCharType="begin"/>
            </w:r>
            <w:r w:rsidR="00FF3FF6">
              <w:rPr>
                <w:webHidden/>
              </w:rPr>
              <w:instrText xml:space="preserve"> PAGEREF _Toc478731814 \h </w:instrText>
            </w:r>
            <w:r w:rsidR="00FF3FF6">
              <w:rPr>
                <w:webHidden/>
              </w:rPr>
            </w:r>
            <w:r w:rsidR="00FF3FF6">
              <w:rPr>
                <w:webHidden/>
              </w:rPr>
              <w:fldChar w:fldCharType="separate"/>
            </w:r>
            <w:r>
              <w:rPr>
                <w:webHidden/>
              </w:rPr>
              <w:t>23</w:t>
            </w:r>
            <w:r w:rsidR="00FF3FF6">
              <w:rPr>
                <w:webHidden/>
              </w:rPr>
              <w:fldChar w:fldCharType="end"/>
            </w:r>
          </w:hyperlink>
        </w:p>
        <w:p w:rsidR="00FF3FF6" w:rsidRDefault="008861A8">
          <w:pPr>
            <w:pStyle w:val="TOC2"/>
            <w:rPr>
              <w:rFonts w:asciiTheme="minorHAnsi" w:eastAsiaTheme="minorEastAsia" w:hAnsiTheme="minorHAnsi"/>
              <w:b w:val="0"/>
              <w:color w:val="auto"/>
              <w:sz w:val="22"/>
              <w:lang w:eastAsia="zh-CN"/>
            </w:rPr>
          </w:pPr>
          <w:hyperlink w:anchor="_Toc478731815" w:history="1">
            <w:r w:rsidR="00FF3FF6" w:rsidRPr="00FC0955">
              <w:rPr>
                <w:rStyle w:val="Hyperlink"/>
              </w:rPr>
              <w:t>5.2</w:t>
            </w:r>
            <w:r w:rsidR="00FF3FF6">
              <w:rPr>
                <w:rFonts w:asciiTheme="minorHAnsi" w:eastAsiaTheme="minorEastAsia" w:hAnsiTheme="minorHAnsi"/>
                <w:b w:val="0"/>
                <w:color w:val="auto"/>
                <w:sz w:val="22"/>
                <w:lang w:eastAsia="zh-CN"/>
              </w:rPr>
              <w:tab/>
            </w:r>
            <w:r w:rsidR="00FF3FF6" w:rsidRPr="00FC0955">
              <w:rPr>
                <w:rStyle w:val="Hyperlink"/>
              </w:rPr>
              <w:t>Ongoing reporting against the fire start targets</w:t>
            </w:r>
            <w:r w:rsidR="00FF3FF6">
              <w:rPr>
                <w:webHidden/>
              </w:rPr>
              <w:tab/>
            </w:r>
            <w:r w:rsidR="00FF3FF6">
              <w:rPr>
                <w:webHidden/>
              </w:rPr>
              <w:fldChar w:fldCharType="begin"/>
            </w:r>
            <w:r w:rsidR="00FF3FF6">
              <w:rPr>
                <w:webHidden/>
              </w:rPr>
              <w:instrText xml:space="preserve"> PAGEREF _Toc478731815 \h </w:instrText>
            </w:r>
            <w:r w:rsidR="00FF3FF6">
              <w:rPr>
                <w:webHidden/>
              </w:rPr>
            </w:r>
            <w:r w:rsidR="00FF3FF6">
              <w:rPr>
                <w:webHidden/>
              </w:rPr>
              <w:fldChar w:fldCharType="separate"/>
            </w:r>
            <w:r>
              <w:rPr>
                <w:webHidden/>
              </w:rPr>
              <w:t>23</w:t>
            </w:r>
            <w:r w:rsidR="00FF3FF6">
              <w:rPr>
                <w:webHidden/>
              </w:rPr>
              <w:fldChar w:fldCharType="end"/>
            </w:r>
          </w:hyperlink>
        </w:p>
        <w:p w:rsidR="00FF3FF6" w:rsidRDefault="008861A8">
          <w:pPr>
            <w:pStyle w:val="TOC1"/>
            <w:rPr>
              <w:rFonts w:asciiTheme="minorHAnsi" w:eastAsiaTheme="minorEastAsia" w:hAnsiTheme="minorHAnsi"/>
              <w:b w:val="0"/>
              <w:color w:val="auto"/>
              <w:sz w:val="22"/>
              <w:lang w:val="en-AU" w:eastAsia="zh-CN"/>
            </w:rPr>
          </w:pPr>
          <w:hyperlink w:anchor="_Toc478731816" w:history="1">
            <w:r w:rsidR="00FF3FF6" w:rsidRPr="00FC0955">
              <w:rPr>
                <w:rStyle w:val="Hyperlink"/>
              </w:rPr>
              <w:t>A</w:t>
            </w:r>
            <w:r w:rsidR="00FF3FF6">
              <w:rPr>
                <w:rFonts w:asciiTheme="minorHAnsi" w:eastAsiaTheme="minorEastAsia" w:hAnsiTheme="minorHAnsi"/>
                <w:b w:val="0"/>
                <w:color w:val="auto"/>
                <w:sz w:val="22"/>
                <w:lang w:val="en-AU" w:eastAsia="zh-CN"/>
              </w:rPr>
              <w:tab/>
            </w:r>
            <w:r w:rsidR="00FF3FF6" w:rsidRPr="00FC0955">
              <w:rPr>
                <w:rStyle w:val="Hyperlink"/>
              </w:rPr>
              <w:t>IRU Targets</w:t>
            </w:r>
            <w:r w:rsidR="00FF3FF6">
              <w:rPr>
                <w:webHidden/>
              </w:rPr>
              <w:tab/>
            </w:r>
            <w:r w:rsidR="00FF3FF6">
              <w:rPr>
                <w:webHidden/>
              </w:rPr>
              <w:fldChar w:fldCharType="begin"/>
            </w:r>
            <w:r w:rsidR="00FF3FF6">
              <w:rPr>
                <w:webHidden/>
              </w:rPr>
              <w:instrText xml:space="preserve"> PAGEREF _Toc478731816 \h </w:instrText>
            </w:r>
            <w:r w:rsidR="00FF3FF6">
              <w:rPr>
                <w:webHidden/>
              </w:rPr>
            </w:r>
            <w:r w:rsidR="00FF3FF6">
              <w:rPr>
                <w:webHidden/>
              </w:rPr>
              <w:fldChar w:fldCharType="separate"/>
            </w:r>
            <w:r>
              <w:rPr>
                <w:webHidden/>
              </w:rPr>
              <w:t>24</w:t>
            </w:r>
            <w:r w:rsidR="00FF3FF6">
              <w:rPr>
                <w:webHidden/>
              </w:rPr>
              <w:fldChar w:fldCharType="end"/>
            </w:r>
          </w:hyperlink>
        </w:p>
        <w:p w:rsidR="00FF3FF6" w:rsidRDefault="008861A8">
          <w:pPr>
            <w:pStyle w:val="TOC2"/>
            <w:rPr>
              <w:rFonts w:asciiTheme="minorHAnsi" w:eastAsiaTheme="minorEastAsia" w:hAnsiTheme="minorHAnsi"/>
              <w:b w:val="0"/>
              <w:color w:val="auto"/>
              <w:sz w:val="22"/>
              <w:lang w:eastAsia="zh-CN"/>
            </w:rPr>
          </w:pPr>
          <w:hyperlink w:anchor="_Toc478731817" w:history="1">
            <w:r w:rsidR="00FF3FF6" w:rsidRPr="00FC0955">
              <w:rPr>
                <w:rStyle w:val="Hyperlink"/>
              </w:rPr>
              <w:t>A.1</w:t>
            </w:r>
            <w:r w:rsidR="00FF3FF6">
              <w:rPr>
                <w:rFonts w:asciiTheme="minorHAnsi" w:eastAsiaTheme="minorEastAsia" w:hAnsiTheme="minorHAnsi"/>
                <w:b w:val="0"/>
                <w:color w:val="auto"/>
                <w:sz w:val="22"/>
                <w:lang w:eastAsia="zh-CN"/>
              </w:rPr>
              <w:tab/>
            </w:r>
            <w:r w:rsidR="00FF3FF6" w:rsidRPr="00FC0955">
              <w:rPr>
                <w:rStyle w:val="Hyperlink"/>
              </w:rPr>
              <w:t>IRU Targets for 2019- 22 regulatory year</w:t>
            </w:r>
            <w:r w:rsidR="00FF3FF6">
              <w:rPr>
                <w:webHidden/>
              </w:rPr>
              <w:tab/>
            </w:r>
            <w:r w:rsidR="00FF3FF6">
              <w:rPr>
                <w:webHidden/>
              </w:rPr>
              <w:fldChar w:fldCharType="begin"/>
            </w:r>
            <w:r w:rsidR="00FF3FF6">
              <w:rPr>
                <w:webHidden/>
              </w:rPr>
              <w:instrText xml:space="preserve"> PAGEREF _Toc478731817 \h </w:instrText>
            </w:r>
            <w:r w:rsidR="00FF3FF6">
              <w:rPr>
                <w:webHidden/>
              </w:rPr>
            </w:r>
            <w:r w:rsidR="00FF3FF6">
              <w:rPr>
                <w:webHidden/>
              </w:rPr>
              <w:fldChar w:fldCharType="separate"/>
            </w:r>
            <w:r>
              <w:rPr>
                <w:webHidden/>
              </w:rPr>
              <w:t>24</w:t>
            </w:r>
            <w:r w:rsidR="00FF3FF6">
              <w:rPr>
                <w:webHidden/>
              </w:rPr>
              <w:fldChar w:fldCharType="end"/>
            </w:r>
          </w:hyperlink>
        </w:p>
        <w:p w:rsidR="00FF3FF6" w:rsidRDefault="008861A8">
          <w:pPr>
            <w:pStyle w:val="TOC2"/>
            <w:rPr>
              <w:rFonts w:asciiTheme="minorHAnsi" w:eastAsiaTheme="minorEastAsia" w:hAnsiTheme="minorHAnsi"/>
              <w:b w:val="0"/>
              <w:color w:val="auto"/>
              <w:sz w:val="22"/>
              <w:lang w:eastAsia="zh-CN"/>
            </w:rPr>
          </w:pPr>
          <w:hyperlink w:anchor="_Toc478731818" w:history="1">
            <w:r w:rsidR="00FF3FF6" w:rsidRPr="00FC0955">
              <w:rPr>
                <w:rStyle w:val="Hyperlink"/>
              </w:rPr>
              <w:t>A.2</w:t>
            </w:r>
            <w:r w:rsidR="00FF3FF6">
              <w:rPr>
                <w:rFonts w:asciiTheme="minorHAnsi" w:eastAsiaTheme="minorEastAsia" w:hAnsiTheme="minorHAnsi"/>
                <w:b w:val="0"/>
                <w:color w:val="auto"/>
                <w:sz w:val="22"/>
                <w:lang w:eastAsia="zh-CN"/>
              </w:rPr>
              <w:tab/>
            </w:r>
            <w:r w:rsidR="00FF3FF6" w:rsidRPr="00FC0955">
              <w:rPr>
                <w:rStyle w:val="Hyperlink"/>
              </w:rPr>
              <w:t>Transitional IRU targets for 2018 regulatory year</w:t>
            </w:r>
            <w:r w:rsidR="00FF3FF6">
              <w:rPr>
                <w:webHidden/>
              </w:rPr>
              <w:tab/>
            </w:r>
            <w:r w:rsidR="00FF3FF6">
              <w:rPr>
                <w:webHidden/>
              </w:rPr>
              <w:fldChar w:fldCharType="begin"/>
            </w:r>
            <w:r w:rsidR="00FF3FF6">
              <w:rPr>
                <w:webHidden/>
              </w:rPr>
              <w:instrText xml:space="preserve"> PAGEREF _Toc478731818 \h </w:instrText>
            </w:r>
            <w:r w:rsidR="00FF3FF6">
              <w:rPr>
                <w:webHidden/>
              </w:rPr>
            </w:r>
            <w:r w:rsidR="00FF3FF6">
              <w:rPr>
                <w:webHidden/>
              </w:rPr>
              <w:fldChar w:fldCharType="separate"/>
            </w:r>
            <w:r>
              <w:rPr>
                <w:webHidden/>
              </w:rPr>
              <w:t>24</w:t>
            </w:r>
            <w:r w:rsidR="00FF3FF6">
              <w:rPr>
                <w:webHidden/>
              </w:rPr>
              <w:fldChar w:fldCharType="end"/>
            </w:r>
          </w:hyperlink>
        </w:p>
        <w:p w:rsidR="0044460C" w:rsidRDefault="0044460C" w:rsidP="0044460C">
          <w:pPr>
            <w:pStyle w:val="TOC1"/>
          </w:pPr>
          <w:r>
            <w:fldChar w:fldCharType="end"/>
          </w:r>
        </w:p>
      </w:sdtContent>
    </w:sdt>
    <w:p w:rsidR="00756BF5" w:rsidRPr="00756BF5" w:rsidRDefault="00756BF5" w:rsidP="00844E0F">
      <w:pPr>
        <w:pStyle w:val="UnnumberedHeading"/>
      </w:pPr>
      <w:bookmarkStart w:id="7" w:name="_Toc478731788"/>
      <w:r w:rsidRPr="002E134A">
        <w:lastRenderedPageBreak/>
        <w:t>Shortened</w:t>
      </w:r>
      <w:r w:rsidRPr="00756BF5">
        <w:t xml:space="preserve"> forms</w:t>
      </w:r>
      <w:bookmarkEnd w:id="7"/>
    </w:p>
    <w:tbl>
      <w:tblPr>
        <w:tblStyle w:val="AERtable-text0"/>
        <w:tblW w:w="0" w:type="auto"/>
        <w:tblLook w:val="04A0" w:firstRow="1" w:lastRow="0" w:firstColumn="1" w:lastColumn="0" w:noHBand="0" w:noVBand="1"/>
      </w:tblPr>
      <w:tblGrid>
        <w:gridCol w:w="4340"/>
        <w:gridCol w:w="4353"/>
      </w:tblGrid>
      <w:tr w:rsidR="00756BF5" w:rsidRPr="0087648F" w:rsidTr="00756BF5">
        <w:trPr>
          <w:cnfStyle w:val="100000000000" w:firstRow="1" w:lastRow="0" w:firstColumn="0" w:lastColumn="0" w:oddVBand="0" w:evenVBand="0" w:oddHBand="0" w:evenHBand="0" w:firstRowFirstColumn="0" w:firstRowLastColumn="0" w:lastRowFirstColumn="0" w:lastRowLastColumn="0"/>
          <w:tblHeader/>
        </w:trPr>
        <w:tc>
          <w:tcPr>
            <w:tcW w:w="4340" w:type="dxa"/>
          </w:tcPr>
          <w:p w:rsidR="00756BF5" w:rsidRPr="00756BF5" w:rsidRDefault="00756BF5" w:rsidP="00756BF5">
            <w:r>
              <w:t>Shortened form</w:t>
            </w:r>
          </w:p>
        </w:tc>
        <w:tc>
          <w:tcPr>
            <w:tcW w:w="4353" w:type="dxa"/>
          </w:tcPr>
          <w:p w:rsidR="00756BF5" w:rsidRPr="00756BF5" w:rsidRDefault="00756BF5" w:rsidP="00756BF5">
            <w:r>
              <w:t>Extended form</w:t>
            </w:r>
          </w:p>
        </w:tc>
      </w:tr>
      <w:tr w:rsidR="00303C35" w:rsidTr="006345BA">
        <w:tc>
          <w:tcPr>
            <w:tcW w:w="4340" w:type="dxa"/>
            <w:vAlign w:val="top"/>
          </w:tcPr>
          <w:p w:rsidR="00303C35" w:rsidRPr="00303C35" w:rsidRDefault="00303C35" w:rsidP="006345BA">
            <w:r w:rsidRPr="00303C35">
              <w:t>AER</w:t>
            </w:r>
          </w:p>
        </w:tc>
        <w:tc>
          <w:tcPr>
            <w:tcW w:w="4353" w:type="dxa"/>
            <w:vAlign w:val="top"/>
          </w:tcPr>
          <w:p w:rsidR="00303C35" w:rsidRPr="00303C35" w:rsidRDefault="00303C35" w:rsidP="006345BA">
            <w:r w:rsidRPr="00303C35">
              <w:t>Australian Energy Regulator</w:t>
            </w:r>
          </w:p>
        </w:tc>
      </w:tr>
      <w:tr w:rsidR="00303C35" w:rsidTr="006345BA">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303C35" w:rsidRPr="00303C35" w:rsidRDefault="00303C35" w:rsidP="006345BA">
            <w:r w:rsidRPr="00303C35">
              <w:t>CFA</w:t>
            </w:r>
          </w:p>
        </w:tc>
        <w:tc>
          <w:tcPr>
            <w:tcW w:w="4353" w:type="dxa"/>
            <w:vAlign w:val="top"/>
          </w:tcPr>
          <w:p w:rsidR="00303C35" w:rsidRPr="00303C35" w:rsidRDefault="00303C35" w:rsidP="006345BA">
            <w:r w:rsidRPr="00303C35">
              <w:t>Country Fire Authority</w:t>
            </w:r>
          </w:p>
        </w:tc>
      </w:tr>
      <w:tr w:rsidR="00303C35" w:rsidTr="006345BA">
        <w:tc>
          <w:tcPr>
            <w:tcW w:w="4340" w:type="dxa"/>
            <w:vAlign w:val="top"/>
          </w:tcPr>
          <w:p w:rsidR="00303C35" w:rsidRPr="00303C35" w:rsidRDefault="00303C35" w:rsidP="006345BA">
            <w:r w:rsidRPr="00303C35">
              <w:t>DNSP</w:t>
            </w:r>
          </w:p>
        </w:tc>
        <w:tc>
          <w:tcPr>
            <w:tcW w:w="4353" w:type="dxa"/>
            <w:vAlign w:val="top"/>
          </w:tcPr>
          <w:p w:rsidR="00303C35" w:rsidRPr="00303C35" w:rsidRDefault="00303C35" w:rsidP="006345BA">
            <w:r w:rsidRPr="00303C35">
              <w:t>Electricity Distribution Network Service Provider</w:t>
            </w:r>
          </w:p>
        </w:tc>
      </w:tr>
      <w:tr w:rsidR="00303C35" w:rsidTr="006345BA">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303C35" w:rsidRPr="00303C35" w:rsidRDefault="00303C35" w:rsidP="001E76C0">
            <w:r w:rsidRPr="00303C35">
              <w:t>DE</w:t>
            </w:r>
            <w:r w:rsidR="001E76C0">
              <w:t>LWP</w:t>
            </w:r>
          </w:p>
        </w:tc>
        <w:tc>
          <w:tcPr>
            <w:tcW w:w="4353" w:type="dxa"/>
            <w:vAlign w:val="top"/>
          </w:tcPr>
          <w:p w:rsidR="00303C35" w:rsidRPr="00303C35" w:rsidRDefault="001E76C0" w:rsidP="006345BA">
            <w:r w:rsidRPr="001E76C0">
              <w:t>Department of Environment, Land, Water and Planning</w:t>
            </w:r>
            <w:r>
              <w:t xml:space="preserve"> (formerly the </w:t>
            </w:r>
            <w:r w:rsidR="00303C35" w:rsidRPr="00303C35">
              <w:t>Department of Sustainability and Environment</w:t>
            </w:r>
            <w:r>
              <w:t>)</w:t>
            </w:r>
          </w:p>
        </w:tc>
      </w:tr>
      <w:tr w:rsidR="00303C35" w:rsidTr="006345BA">
        <w:tc>
          <w:tcPr>
            <w:tcW w:w="4340" w:type="dxa"/>
            <w:vAlign w:val="top"/>
          </w:tcPr>
          <w:p w:rsidR="00303C35" w:rsidRPr="00303C35" w:rsidRDefault="00303C35" w:rsidP="006345BA">
            <w:r w:rsidRPr="00303C35">
              <w:t>ESV</w:t>
            </w:r>
          </w:p>
        </w:tc>
        <w:tc>
          <w:tcPr>
            <w:tcW w:w="4353" w:type="dxa"/>
            <w:vAlign w:val="top"/>
          </w:tcPr>
          <w:p w:rsidR="00303C35" w:rsidRPr="00303C35" w:rsidRDefault="00303C35" w:rsidP="006345BA">
            <w:r w:rsidRPr="00303C35">
              <w:t>Energy Safe Victoria</w:t>
            </w:r>
          </w:p>
        </w:tc>
      </w:tr>
      <w:tr w:rsidR="00303C35" w:rsidTr="006345BA">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303C35" w:rsidRPr="00303C35" w:rsidRDefault="00303C35" w:rsidP="006345BA">
            <w:r w:rsidRPr="00303C35">
              <w:t>MFB</w:t>
            </w:r>
          </w:p>
        </w:tc>
        <w:tc>
          <w:tcPr>
            <w:tcW w:w="4353" w:type="dxa"/>
            <w:vAlign w:val="top"/>
          </w:tcPr>
          <w:p w:rsidR="00303C35" w:rsidRPr="00303C35" w:rsidRDefault="00303C35" w:rsidP="006345BA">
            <w:r w:rsidRPr="00303C35">
              <w:t>Metropolitan Fire and Emergency Services Board</w:t>
            </w:r>
          </w:p>
        </w:tc>
      </w:tr>
      <w:tr w:rsidR="00303C35" w:rsidTr="006345BA">
        <w:tc>
          <w:tcPr>
            <w:tcW w:w="4340" w:type="dxa"/>
            <w:vAlign w:val="top"/>
          </w:tcPr>
          <w:p w:rsidR="00303C35" w:rsidRPr="00303C35" w:rsidRDefault="00303C35" w:rsidP="006345BA">
            <w:r w:rsidRPr="00303C35">
              <w:t>NER</w:t>
            </w:r>
          </w:p>
        </w:tc>
        <w:tc>
          <w:tcPr>
            <w:tcW w:w="4353" w:type="dxa"/>
            <w:vAlign w:val="top"/>
          </w:tcPr>
          <w:p w:rsidR="00303C35" w:rsidRPr="00303C35" w:rsidRDefault="00303C35" w:rsidP="006345BA">
            <w:r w:rsidRPr="00303C35">
              <w:t>National Electricity Rules</w:t>
            </w:r>
          </w:p>
        </w:tc>
      </w:tr>
      <w:tr w:rsidR="00303C35" w:rsidTr="006345BA">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303C35" w:rsidRPr="00303C35" w:rsidRDefault="00303C35" w:rsidP="006345BA">
            <w:r w:rsidRPr="00303C35">
              <w:t>NEL</w:t>
            </w:r>
          </w:p>
        </w:tc>
        <w:tc>
          <w:tcPr>
            <w:tcW w:w="4353" w:type="dxa"/>
            <w:vAlign w:val="top"/>
          </w:tcPr>
          <w:p w:rsidR="00303C35" w:rsidRPr="00303C35" w:rsidRDefault="00303C35" w:rsidP="006345BA">
            <w:r w:rsidRPr="00303C35">
              <w:t>National Electricity Law</w:t>
            </w:r>
          </w:p>
        </w:tc>
      </w:tr>
    </w:tbl>
    <w:p w:rsidR="00756BF5" w:rsidRDefault="00756BF5">
      <w:pPr>
        <w:spacing w:line="240" w:lineRule="auto"/>
        <w:rPr>
          <w:rStyle w:val="Strong"/>
          <w:rFonts w:eastAsiaTheme="majorEastAsia" w:cstheme="majorBidi"/>
          <w:color w:val="70635A"/>
          <w:sz w:val="36"/>
          <w:szCs w:val="28"/>
        </w:rPr>
      </w:pPr>
      <w:r>
        <w:rPr>
          <w:rStyle w:val="Strong"/>
          <w:b w:val="0"/>
          <w:bCs w:val="0"/>
        </w:rPr>
        <w:br w:type="page"/>
      </w:r>
    </w:p>
    <w:p w:rsidR="0044460C" w:rsidRPr="0044460C" w:rsidRDefault="0044460C" w:rsidP="003F7469">
      <w:pPr>
        <w:pStyle w:val="Heading1"/>
        <w:rPr>
          <w:rStyle w:val="Strong"/>
          <w:b/>
          <w:bCs/>
        </w:rPr>
      </w:pPr>
      <w:bookmarkStart w:id="8" w:name="_Toc478731789"/>
      <w:r w:rsidRPr="0044460C">
        <w:rPr>
          <w:rStyle w:val="Strong"/>
          <w:b/>
          <w:bCs/>
        </w:rPr>
        <w:lastRenderedPageBreak/>
        <w:t>About this consultation</w:t>
      </w:r>
      <w:bookmarkEnd w:id="8"/>
    </w:p>
    <w:p w:rsidR="0039736C" w:rsidRDefault="0039736C" w:rsidP="0044460C">
      <w:r>
        <w:t xml:space="preserve">On 22 December 2016, </w:t>
      </w:r>
      <w:r w:rsidRPr="0039736C">
        <w:t xml:space="preserve">the Victorian Government published </w:t>
      </w:r>
      <w:r w:rsidR="00156DAE">
        <w:t xml:space="preserve">the </w:t>
      </w:r>
      <w:r w:rsidR="00DB1A00">
        <w:t>“f-factor scheme order 2016”</w:t>
      </w:r>
      <w:r w:rsidR="001D77FC">
        <w:t xml:space="preserve"> </w:t>
      </w:r>
      <w:r w:rsidR="00BE027C">
        <w:t>(</w:t>
      </w:r>
      <w:hyperlink r:id="rId12" w:history="1">
        <w:r w:rsidR="001D77FC" w:rsidRPr="00E62CB2">
          <w:rPr>
            <w:rStyle w:val="Hyperlink"/>
          </w:rPr>
          <w:t>http://www.gazette.vic.gov.au/gazette/Gazettes2016/GG2016G051.pdf</w:t>
        </w:r>
      </w:hyperlink>
      <w:r w:rsidR="00BE027C">
        <w:t>,</w:t>
      </w:r>
      <w:r w:rsidR="001D77FC">
        <w:t xml:space="preserve"> </w:t>
      </w:r>
      <w:r w:rsidR="001D77FC" w:rsidRPr="001D77FC">
        <w:t>Victoria Government Gazette</w:t>
      </w:r>
      <w:r w:rsidR="001D77FC">
        <w:t xml:space="preserve">, </w:t>
      </w:r>
      <w:r w:rsidR="001D77FC" w:rsidRPr="001D77FC">
        <w:t>G 51 22 December 2016</w:t>
      </w:r>
      <w:r w:rsidR="001D77FC">
        <w:t>, page</w:t>
      </w:r>
      <w:r w:rsidR="001D77FC" w:rsidRPr="001D77FC">
        <w:t xml:space="preserve"> 3239</w:t>
      </w:r>
      <w:r w:rsidR="001D77FC">
        <w:t>).</w:t>
      </w:r>
      <w:r w:rsidR="00DB1A00">
        <w:t xml:space="preserve"> This Order revokes the previous f-factor scheme Order that commenced on 23</w:t>
      </w:r>
      <w:r w:rsidR="00156DAE">
        <w:t> </w:t>
      </w:r>
      <w:r w:rsidR="00DB1A00">
        <w:t xml:space="preserve">June 2011, </w:t>
      </w:r>
      <w:r w:rsidR="00387B2E">
        <w:t xml:space="preserve">under which the old f-factor scheme applied, </w:t>
      </w:r>
      <w:r w:rsidR="00DB1A00">
        <w:t>and provides for the establishment of a new f-factor scheme</w:t>
      </w:r>
      <w:r w:rsidR="00387B2E">
        <w:t>. This new scheme establishes a new incentive mechanism that targets incentives towards fire ignitions that pose the greatest risk of harm through the use of ignition risk units (IRUs).</w:t>
      </w:r>
      <w:r w:rsidR="00387B2E">
        <w:rPr>
          <w:rStyle w:val="FootnoteReference"/>
        </w:rPr>
        <w:footnoteReference w:id="1"/>
      </w:r>
      <w:r w:rsidR="00387B2E">
        <w:t xml:space="preserve"> </w:t>
      </w:r>
      <w:r w:rsidR="00DB1A00">
        <w:t xml:space="preserve"> </w:t>
      </w:r>
      <w:r w:rsidR="00387B2E">
        <w:t xml:space="preserve">Further details of the scheme and the setting of IRU values </w:t>
      </w:r>
      <w:r w:rsidR="00C15FB5">
        <w:t>are</w:t>
      </w:r>
      <w:r w:rsidR="00387B2E">
        <w:t xml:space="preserve"> discussed </w:t>
      </w:r>
      <w:r w:rsidR="00032888">
        <w:t xml:space="preserve">in section </w:t>
      </w:r>
      <w:r w:rsidR="000D4135">
        <w:fldChar w:fldCharType="begin"/>
      </w:r>
      <w:r w:rsidR="000D4135">
        <w:instrText xml:space="preserve"> REF _Ref477509846 \r \h </w:instrText>
      </w:r>
      <w:r w:rsidR="000D4135">
        <w:fldChar w:fldCharType="separate"/>
      </w:r>
      <w:r w:rsidR="008861A8">
        <w:t>3</w:t>
      </w:r>
      <w:r w:rsidR="000D4135">
        <w:fldChar w:fldCharType="end"/>
      </w:r>
      <w:r w:rsidR="00032888">
        <w:t xml:space="preserve"> of this paper. </w:t>
      </w:r>
      <w:r w:rsidR="00DB1A00">
        <w:t xml:space="preserve">   </w:t>
      </w:r>
    </w:p>
    <w:p w:rsidR="00844E0F" w:rsidRDefault="00844E0F" w:rsidP="0044460C">
      <w:r>
        <w:t xml:space="preserve">The purpose of this draft determination paper  is to consult with stakeholders on our proposed method to give effect to the rewards and penalties arising from the new f-factor scheme for Victorian </w:t>
      </w:r>
      <w:r w:rsidRPr="00D0677A">
        <w:t>electricity distribution network service providers</w:t>
      </w:r>
      <w:r>
        <w:t xml:space="preserve"> (</w:t>
      </w:r>
      <w:r w:rsidRPr="00E77995">
        <w:rPr>
          <w:rStyle w:val="Strong"/>
        </w:rPr>
        <w:t>DNSP</w:t>
      </w:r>
      <w:r>
        <w:rPr>
          <w:rStyle w:val="Strong"/>
        </w:rPr>
        <w:t>s</w:t>
      </w:r>
      <w:r>
        <w:t xml:space="preserve">, commonly also known as </w:t>
      </w:r>
      <w:r w:rsidRPr="00E77995">
        <w:rPr>
          <w:rStyle w:val="Strong"/>
        </w:rPr>
        <w:t>distributors</w:t>
      </w:r>
      <w:r>
        <w:t>) for the 2016–20 regulatory period.</w:t>
      </w:r>
    </w:p>
    <w:p w:rsidR="00A244EE" w:rsidRDefault="00A244EE" w:rsidP="0044460C">
      <w:r>
        <w:t xml:space="preserve">Our proposed timelines are set out </w:t>
      </w:r>
      <w:r w:rsidR="00B861D2">
        <w:t xml:space="preserve">Section </w:t>
      </w:r>
      <w:r w:rsidR="0047407F">
        <w:fldChar w:fldCharType="begin"/>
      </w:r>
      <w:r w:rsidR="0047407F">
        <w:instrText xml:space="preserve"> REF _Ref477783588 \r \h </w:instrText>
      </w:r>
      <w:r w:rsidR="0047407F">
        <w:fldChar w:fldCharType="separate"/>
      </w:r>
      <w:r w:rsidR="008861A8">
        <w:t>1.3</w:t>
      </w:r>
      <w:r w:rsidR="0047407F">
        <w:fldChar w:fldCharType="end"/>
      </w:r>
      <w:r w:rsidR="00140323">
        <w:t xml:space="preserve"> </w:t>
      </w:r>
      <w:r w:rsidR="0044460C">
        <w:t xml:space="preserve">below. </w:t>
      </w:r>
    </w:p>
    <w:p w:rsidR="00844E0F" w:rsidRPr="001D0D21" w:rsidRDefault="00844E0F" w:rsidP="00844E0F">
      <w:pPr>
        <w:pStyle w:val="Heading2"/>
      </w:pPr>
      <w:bookmarkStart w:id="9" w:name="_Toc305061283"/>
      <w:bookmarkStart w:id="10" w:name="_Toc478731790"/>
      <w:r>
        <w:t xml:space="preserve">About </w:t>
      </w:r>
      <w:r w:rsidRPr="001D0D21">
        <w:t>this paper</w:t>
      </w:r>
      <w:bookmarkEnd w:id="9"/>
      <w:bookmarkEnd w:id="10"/>
    </w:p>
    <w:p w:rsidR="00844E0F" w:rsidRDefault="00844E0F" w:rsidP="00844E0F">
      <w:r>
        <w:t>This paper sets out the AER’s draft proposal for the f-factor scheme determination for the 2016–2020 distribution determination period and explanatory statement for the purpose of clause 8 of the Order for the f-factor scheme determinations. This paper presents the AER’s:</w:t>
      </w:r>
    </w:p>
    <w:p w:rsidR="00844E0F" w:rsidRPr="0012066A" w:rsidRDefault="00844E0F" w:rsidP="00844E0F">
      <w:pPr>
        <w:pStyle w:val="AERbulletlistfirststyle"/>
      </w:pPr>
      <w:r>
        <w:t>process in making this f-factor</w:t>
      </w:r>
      <w:r w:rsidRPr="0012066A">
        <w:t xml:space="preserve"> scheme determination</w:t>
      </w:r>
    </w:p>
    <w:p w:rsidR="00844E0F" w:rsidRDefault="00844E0F" w:rsidP="00844E0F">
      <w:pPr>
        <w:pStyle w:val="AERbulletlistfirststyle"/>
      </w:pPr>
      <w:r>
        <w:t>considerations and reasons for making this determination</w:t>
      </w:r>
    </w:p>
    <w:p w:rsidR="00844E0F" w:rsidRPr="0012066A" w:rsidRDefault="00844E0F" w:rsidP="00844E0F">
      <w:pPr>
        <w:pStyle w:val="AERbulletlistfirststyle"/>
      </w:pPr>
      <w:proofErr w:type="gramStart"/>
      <w:r>
        <w:t>draft</w:t>
      </w:r>
      <w:proofErr w:type="gramEnd"/>
      <w:r>
        <w:t xml:space="preserve"> f-factor </w:t>
      </w:r>
      <w:r w:rsidRPr="0012066A">
        <w:t xml:space="preserve">scheme determination for each of the five Victorian </w:t>
      </w:r>
      <w:r>
        <w:t>distributor</w:t>
      </w:r>
      <w:r w:rsidRPr="0012066A">
        <w:t>s.</w:t>
      </w:r>
    </w:p>
    <w:p w:rsidR="00844E0F" w:rsidRDefault="00844E0F" w:rsidP="00844E0F">
      <w:r>
        <w:t>We seek stakeholders’ comments and submissions to the draft determinations</w:t>
      </w:r>
      <w:r w:rsidR="001D77FC">
        <w:t xml:space="preserve"> regarding our proposed approach on how to adjust the distributors' annual revenue requirements to give effect to the reward and penalty amounts under the f-factor scheme</w:t>
      </w:r>
      <w:r>
        <w:t>.</w:t>
      </w:r>
      <w:r w:rsidRPr="00A24560">
        <w:t xml:space="preserve"> </w:t>
      </w:r>
      <w:r>
        <w:t>Page 6 contains the details of how to make a submission.</w:t>
      </w:r>
    </w:p>
    <w:p w:rsidR="00844E0F" w:rsidRDefault="00844E0F" w:rsidP="00844E0F">
      <w:r>
        <w:t xml:space="preserve">Under clause 8(1) of the Order, the AER is required to make, no later than 30 September 2018, an f-factor scheme determination to take effect in the 2016–20 </w:t>
      </w:r>
      <w:proofErr w:type="gramStart"/>
      <w:r>
        <w:t>period</w:t>
      </w:r>
      <w:proofErr w:type="gramEnd"/>
      <w:r>
        <w:t xml:space="preserve">. Under clause 9, the f-factor scheme determination must establish an f-factor scheme, which complies with the Order and under which there is a revenue adjustment for a distributor. </w:t>
      </w:r>
    </w:p>
    <w:p w:rsidR="00844E0F" w:rsidRDefault="00844E0F" w:rsidP="00844E0F">
      <w:r>
        <w:lastRenderedPageBreak/>
        <w:t xml:space="preserve">The AER, in making an f-factor scheme determination for the </w:t>
      </w:r>
      <w:bookmarkStart w:id="11" w:name="OLE_LINK5"/>
      <w:bookmarkStart w:id="12" w:name="OLE_LINK6"/>
      <w:r>
        <w:t>2016–20 distribution determination</w:t>
      </w:r>
      <w:bookmarkEnd w:id="11"/>
      <w:bookmarkEnd w:id="12"/>
      <w:r>
        <w:t xml:space="preserve"> </w:t>
      </w:r>
      <w:proofErr w:type="gramStart"/>
      <w:r>
        <w:t>period</w:t>
      </w:r>
      <w:proofErr w:type="gramEnd"/>
      <w:r>
        <w:t xml:space="preserve">, must follow the consultation procedures outlined in clause 14 of the Order. </w:t>
      </w:r>
    </w:p>
    <w:p w:rsidR="00844E0F" w:rsidRPr="0012066A" w:rsidRDefault="00844E0F" w:rsidP="00844E0F">
      <w:pPr>
        <w:rPr>
          <w:rStyle w:val="AERtexthighlight"/>
        </w:rPr>
      </w:pPr>
      <w:r>
        <w:t>After submissions on this paper have been received and considered, the AER will issue the final f-factor scheme determinations and explanatory statement.</w:t>
      </w:r>
    </w:p>
    <w:p w:rsidR="00844E0F" w:rsidRDefault="00844E0F" w:rsidP="0044460C">
      <w:r w:rsidRPr="00D41B02">
        <w:rPr>
          <w:rStyle w:val="Strong"/>
        </w:rPr>
        <w:t xml:space="preserve">The consultation period ends on </w:t>
      </w:r>
      <w:r>
        <w:rPr>
          <w:rStyle w:val="Strong"/>
        </w:rPr>
        <w:t>26 May</w:t>
      </w:r>
      <w:r w:rsidRPr="00D41B02">
        <w:rPr>
          <w:rStyle w:val="Strong"/>
        </w:rPr>
        <w:t xml:space="preserve"> 2017.</w:t>
      </w:r>
    </w:p>
    <w:p w:rsidR="00140323" w:rsidRDefault="00140323" w:rsidP="00D577B8">
      <w:pPr>
        <w:pStyle w:val="Heading2"/>
      </w:pPr>
      <w:bookmarkStart w:id="13" w:name="_Toc478731791"/>
      <w:r>
        <w:t>This determination replaces our previous decision on the application of f-factor</w:t>
      </w:r>
      <w:bookmarkEnd w:id="13"/>
    </w:p>
    <w:p w:rsidR="00140323" w:rsidRDefault="00140323" w:rsidP="0044460C">
      <w:r>
        <w:t xml:space="preserve">In the 2016-20 distribution determination, we made the final decision on the application of </w:t>
      </w:r>
      <w:r w:rsidR="004315B3">
        <w:t xml:space="preserve">the </w:t>
      </w:r>
      <w:r>
        <w:t xml:space="preserve">f-factor </w:t>
      </w:r>
      <w:r w:rsidR="004315B3">
        <w:t xml:space="preserve">scheme </w:t>
      </w:r>
      <w:r w:rsidR="00844E0F">
        <w:t xml:space="preserve">based on the information available to us at the time </w:t>
      </w:r>
      <w:r>
        <w:t>(under attachment 18). In this decision, we indicated that:</w:t>
      </w:r>
      <w:r>
        <w:rPr>
          <w:rStyle w:val="FootnoteReference"/>
        </w:rPr>
        <w:footnoteReference w:id="2"/>
      </w:r>
    </w:p>
    <w:p w:rsidR="00140323" w:rsidRDefault="00140323" w:rsidP="00140323">
      <w:pPr>
        <w:pStyle w:val="AERquote"/>
      </w:pPr>
      <w:r w:rsidRPr="00E06FDD">
        <w:t xml:space="preserve">In its submission to our </w:t>
      </w:r>
      <w:r>
        <w:t>framework and approach (F&amp;A)</w:t>
      </w:r>
      <w:r w:rsidRPr="00E06FDD">
        <w:t xml:space="preserve"> paper, </w:t>
      </w:r>
      <w:r>
        <w:t xml:space="preserve">the Victorian </w:t>
      </w:r>
      <w:r w:rsidRPr="006D51B5">
        <w:t>Department of State Development</w:t>
      </w:r>
      <w:r>
        <w:t>,</w:t>
      </w:r>
      <w:r w:rsidRPr="006D51B5">
        <w:t xml:space="preserve"> Business and Innovation</w:t>
      </w:r>
      <w:r>
        <w:t xml:space="preserve"> (DSDBI) </w:t>
      </w:r>
      <w:r w:rsidRPr="00E06FDD">
        <w:t>stated that it intend</w:t>
      </w:r>
      <w:r>
        <w:t>ed</w:t>
      </w:r>
      <w:r w:rsidRPr="00E06FDD">
        <w:t xml:space="preserve"> to review the f-factor </w:t>
      </w:r>
      <w:r>
        <w:t xml:space="preserve">scheme </w:t>
      </w:r>
      <w:r w:rsidRPr="00E06FDD">
        <w:t>in 2014</w:t>
      </w:r>
      <w:r>
        <w:t>–</w:t>
      </w:r>
      <w:r w:rsidRPr="00E06FDD">
        <w:t>15 to determine how the incentive has performed in delivering efficient improvements to power line bushfire safety.</w:t>
      </w:r>
      <w:r w:rsidRPr="00E06FDD">
        <w:rPr>
          <w:rStyle w:val="FootnoteReference"/>
        </w:rPr>
        <w:footnoteReference w:id="3"/>
      </w:r>
      <w:r>
        <w:t xml:space="preserve"> We are still awaiting the Victorian Government's findings from its review and its proposed changes to the scheme.</w:t>
      </w:r>
      <w:r w:rsidRPr="00E06FDD">
        <w:t xml:space="preserve"> </w:t>
      </w:r>
    </w:p>
    <w:p w:rsidR="00140323" w:rsidRPr="00A7608D" w:rsidRDefault="00140323" w:rsidP="00140323">
      <w:pPr>
        <w:pStyle w:val="AERquote"/>
      </w:pPr>
      <w:r>
        <w:t>As a new scheme has not been made as yet by the Victorian Government</w:t>
      </w:r>
      <w:r w:rsidRPr="00E06FDD">
        <w:t xml:space="preserve">, </w:t>
      </w:r>
      <w:r>
        <w:t xml:space="preserve">we will apply the approach described in </w:t>
      </w:r>
      <w:r w:rsidRPr="00E06FDD">
        <w:t xml:space="preserve">our </w:t>
      </w:r>
      <w:r>
        <w:t>F&amp;A</w:t>
      </w:r>
      <w:r w:rsidRPr="00E06FDD">
        <w:t xml:space="preserve"> paper</w:t>
      </w:r>
      <w:r>
        <w:t>, which</w:t>
      </w:r>
      <w:r w:rsidRPr="00E06FDD">
        <w:t xml:space="preserve"> proposed to retain the current incentive framework—to set the target based on a </w:t>
      </w:r>
      <w:r>
        <w:t>five</w:t>
      </w:r>
      <w:r w:rsidRPr="00E06FDD">
        <w:t xml:space="preserve"> year historical average and an incentive rate of $25,000 per fire start. </w:t>
      </w:r>
    </w:p>
    <w:p w:rsidR="00140323" w:rsidRDefault="00140323" w:rsidP="00140323">
      <w:pPr>
        <w:pStyle w:val="AERquote"/>
      </w:pPr>
      <w:r w:rsidRPr="00226CB2">
        <w:t xml:space="preserve">We </w:t>
      </w:r>
      <w:r>
        <w:t>will</w:t>
      </w:r>
      <w:r w:rsidRPr="00226CB2">
        <w:t xml:space="preserve"> apply t</w:t>
      </w:r>
      <w:r>
        <w:t>he f-factor scheme</w:t>
      </w:r>
      <w:r w:rsidRPr="00226CB2">
        <w:t xml:space="preserve"> in a manner similar to the other incentive schemes, such as the STPIS. </w:t>
      </w:r>
      <w:r>
        <w:t xml:space="preserve">As stated in our F&amp;A paper, </w:t>
      </w:r>
      <w:r w:rsidRPr="00226CB2">
        <w:t xml:space="preserve">we will include an adjustment amount </w:t>
      </w:r>
      <w:r>
        <w:t>as an "I-factor"</w:t>
      </w:r>
      <w:r w:rsidRPr="000167CC">
        <w:t xml:space="preserve"> </w:t>
      </w:r>
      <w:r>
        <w:t>component in the annual revenue requirement</w:t>
      </w:r>
      <w:r w:rsidRPr="00226CB2">
        <w:t xml:space="preserve"> calculation formula to give effect to the reward o</w:t>
      </w:r>
      <w:r>
        <w:t>r</w:t>
      </w:r>
      <w:r w:rsidRPr="00226CB2">
        <w:t xml:space="preserve"> penalty outcomes of actual fire starts from the year commencing on 1 January 2016</w:t>
      </w:r>
      <w:r>
        <w:t xml:space="preserve">.    </w:t>
      </w:r>
    </w:p>
    <w:p w:rsidR="00844E0F" w:rsidRDefault="00FC6743" w:rsidP="0047407F">
      <w:pPr>
        <w:rPr>
          <w:rStyle w:val="Strong"/>
          <w:rFonts w:eastAsiaTheme="majorEastAsia" w:cstheme="majorBidi"/>
          <w:color w:val="70635A" w:themeColor="text2"/>
          <w:sz w:val="32"/>
          <w:szCs w:val="26"/>
        </w:rPr>
      </w:pPr>
      <w:r>
        <w:t>T</w:t>
      </w:r>
      <w:r w:rsidR="00D577B8">
        <w:t xml:space="preserve">he Victorian Government has now published a new </w:t>
      </w:r>
      <w:r>
        <w:t>Order</w:t>
      </w:r>
      <w:r w:rsidR="00D577B8">
        <w:t>,</w:t>
      </w:r>
      <w:r>
        <w:t xml:space="preserve"> revoking the previous scheme.</w:t>
      </w:r>
      <w:r>
        <w:rPr>
          <w:rStyle w:val="FootnoteReference"/>
        </w:rPr>
        <w:footnoteReference w:id="4"/>
      </w:r>
      <w:r>
        <w:t xml:space="preserve"> </w:t>
      </w:r>
      <w:r w:rsidR="00D577B8">
        <w:t xml:space="preserve"> </w:t>
      </w:r>
      <w:r>
        <w:t>Under the new Order we are required to make a new f-factor scheme determination by 30 September 2018 which will replace the f-factor scheme determination contained in our</w:t>
      </w:r>
      <w:r w:rsidR="00D577B8">
        <w:t xml:space="preserve"> </w:t>
      </w:r>
      <w:r w:rsidR="00D577B8" w:rsidRPr="00D577B8">
        <w:rPr>
          <w:rStyle w:val="AERtextitalic"/>
        </w:rPr>
        <w:t>F</w:t>
      </w:r>
      <w:r w:rsidR="00D577B8">
        <w:rPr>
          <w:rStyle w:val="AERtextitalic"/>
        </w:rPr>
        <w:t>inal</w:t>
      </w:r>
      <w:r w:rsidR="00D577B8" w:rsidRPr="00D577B8">
        <w:rPr>
          <w:rStyle w:val="AERtextitalic"/>
        </w:rPr>
        <w:t xml:space="preserve"> D</w:t>
      </w:r>
      <w:r w:rsidR="00D577B8">
        <w:rPr>
          <w:rStyle w:val="AERtextitalic"/>
        </w:rPr>
        <w:t>ecision</w:t>
      </w:r>
      <w:r w:rsidR="00D577B8" w:rsidRPr="00D577B8">
        <w:rPr>
          <w:rStyle w:val="AERtextitalic"/>
        </w:rPr>
        <w:t xml:space="preserve"> for Victorian distributors 2016 to 2020, Attachment 18 – f-factor scheme, May 2016</w:t>
      </w:r>
      <w:r w:rsidR="00D577B8">
        <w:t>.</w:t>
      </w:r>
      <w:bookmarkStart w:id="14" w:name="_Ref476670966"/>
    </w:p>
    <w:p w:rsidR="009D53BE" w:rsidRPr="0044460C" w:rsidRDefault="0044460C" w:rsidP="00A244EE">
      <w:pPr>
        <w:pStyle w:val="Heading2"/>
        <w:rPr>
          <w:rStyle w:val="Strong"/>
          <w:b/>
          <w:bCs/>
        </w:rPr>
      </w:pPr>
      <w:bookmarkStart w:id="15" w:name="_Ref477783588"/>
      <w:bookmarkStart w:id="16" w:name="_Toc478731792"/>
      <w:r w:rsidRPr="00A244EE">
        <w:rPr>
          <w:rStyle w:val="Strong"/>
          <w:b/>
          <w:bCs/>
        </w:rPr>
        <w:t>How to make a</w:t>
      </w:r>
      <w:r w:rsidR="009D53BE" w:rsidRPr="00A244EE">
        <w:rPr>
          <w:rStyle w:val="Strong"/>
          <w:b/>
          <w:bCs/>
        </w:rPr>
        <w:t xml:space="preserve"> submission</w:t>
      </w:r>
      <w:bookmarkEnd w:id="3"/>
      <w:bookmarkEnd w:id="4"/>
      <w:bookmarkEnd w:id="14"/>
      <w:bookmarkEnd w:id="15"/>
      <w:bookmarkEnd w:id="16"/>
    </w:p>
    <w:p w:rsidR="009D53BE" w:rsidRDefault="0091406D" w:rsidP="00723A2C">
      <w:pPr>
        <w:rPr>
          <w:rStyle w:val="AERtexthighlight"/>
        </w:rPr>
      </w:pPr>
      <w:r>
        <w:t>Key stakeholders, distributors,</w:t>
      </w:r>
      <w:r w:rsidR="00337EC7">
        <w:t xml:space="preserve"> </w:t>
      </w:r>
      <w:r>
        <w:t>e</w:t>
      </w:r>
      <w:r w:rsidR="009D53BE" w:rsidRPr="002C7308">
        <w:t xml:space="preserve">nergy consumers and </w:t>
      </w:r>
      <w:r w:rsidR="009D53BE" w:rsidRPr="00723A2C">
        <w:rPr>
          <w:rStyle w:val="AERbody"/>
        </w:rPr>
        <w:t>other interested parties are invited to make submissions on</w:t>
      </w:r>
      <w:r w:rsidR="001B5DD9" w:rsidRPr="00723A2C">
        <w:rPr>
          <w:rStyle w:val="AERbody"/>
        </w:rPr>
        <w:t xml:space="preserve"> this</w:t>
      </w:r>
      <w:r w:rsidR="009D53BE" w:rsidRPr="00723A2C">
        <w:rPr>
          <w:rStyle w:val="AERbody"/>
        </w:rPr>
        <w:t xml:space="preserve"> </w:t>
      </w:r>
      <w:r w:rsidR="00A244EE">
        <w:rPr>
          <w:rStyle w:val="AERbody"/>
        </w:rPr>
        <w:t>i</w:t>
      </w:r>
      <w:r w:rsidR="00D90860" w:rsidRPr="00723A2C">
        <w:rPr>
          <w:rStyle w:val="AERbody"/>
        </w:rPr>
        <w:t>ssues paper</w:t>
      </w:r>
      <w:r w:rsidR="009D53BE" w:rsidRPr="00723A2C">
        <w:rPr>
          <w:rStyle w:val="AERbody"/>
        </w:rPr>
        <w:t xml:space="preserve"> by</w:t>
      </w:r>
      <w:r w:rsidR="00723A2C" w:rsidRPr="00723A2C">
        <w:rPr>
          <w:rStyle w:val="AERbody"/>
        </w:rPr>
        <w:t xml:space="preserve"> </w:t>
      </w:r>
      <w:r w:rsidR="00D47BE7" w:rsidRPr="00950890">
        <w:rPr>
          <w:rStyle w:val="Strong"/>
        </w:rPr>
        <w:t xml:space="preserve">Friday </w:t>
      </w:r>
      <w:r w:rsidR="00032888" w:rsidRPr="00950890">
        <w:rPr>
          <w:rStyle w:val="Strong"/>
        </w:rPr>
        <w:t>26</w:t>
      </w:r>
      <w:r w:rsidR="00D47BE7">
        <w:rPr>
          <w:rStyle w:val="Strong"/>
        </w:rPr>
        <w:t xml:space="preserve"> May</w:t>
      </w:r>
      <w:r w:rsidR="00723A2C" w:rsidRPr="00BA0216">
        <w:rPr>
          <w:rStyle w:val="Strong"/>
        </w:rPr>
        <w:t xml:space="preserve"> 2017</w:t>
      </w:r>
      <w:r w:rsidR="009D53BE" w:rsidRPr="00723A2C">
        <w:rPr>
          <w:rStyle w:val="AERbody"/>
        </w:rPr>
        <w:t>.</w:t>
      </w:r>
      <w:r w:rsidR="009D53BE" w:rsidRPr="00D90860">
        <w:rPr>
          <w:rStyle w:val="AERtexthighlight"/>
        </w:rPr>
        <w:t xml:space="preserve"> </w:t>
      </w:r>
    </w:p>
    <w:p w:rsidR="009D53BE" w:rsidRDefault="009D53BE" w:rsidP="009D53BE">
      <w:r>
        <w:lastRenderedPageBreak/>
        <w:t xml:space="preserve">We prefer that all submissions are in Microsoft Word or another text readable document format. Submissions on our </w:t>
      </w:r>
      <w:r w:rsidR="00871A8A">
        <w:t>issues paper</w:t>
      </w:r>
      <w:r>
        <w:t xml:space="preserve"> should be sent to:  </w:t>
      </w:r>
      <w:hyperlink r:id="rId13" w:history="1">
        <w:r w:rsidR="004B4A53" w:rsidRPr="00D64888">
          <w:rPr>
            <w:rStyle w:val="Hyperlink"/>
          </w:rPr>
          <w:t>AERInquiry@aer.gov.au</w:t>
        </w:r>
      </w:hyperlink>
      <w:r w:rsidR="004B4A53">
        <w:rPr>
          <w:rStyle w:val="Hyperlink"/>
        </w:rPr>
        <w:t>.</w:t>
      </w:r>
    </w:p>
    <w:p w:rsidR="009D53BE" w:rsidRPr="002C7308" w:rsidRDefault="009D53BE" w:rsidP="009D53BE">
      <w:r w:rsidRPr="002C7308">
        <w:t>Alternatively, submissions can be sent to:</w:t>
      </w:r>
    </w:p>
    <w:p w:rsidR="009D53BE" w:rsidRPr="002C7308" w:rsidRDefault="009D53BE" w:rsidP="009D53BE">
      <w:r w:rsidRPr="002C7308">
        <w:t xml:space="preserve">Mr </w:t>
      </w:r>
      <w:r>
        <w:t>Chris Pattas</w:t>
      </w:r>
      <w:r>
        <w:br/>
      </w:r>
      <w:r w:rsidRPr="002C7308">
        <w:t>General Manager</w:t>
      </w:r>
      <w:r>
        <w:br/>
      </w:r>
      <w:r w:rsidRPr="002C7308">
        <w:t>Australian Energy Regulator</w:t>
      </w:r>
      <w:r>
        <w:br/>
      </w:r>
      <w:r w:rsidRPr="002C7308">
        <w:t>GPO Box 520</w:t>
      </w:r>
      <w:r>
        <w:br/>
      </w:r>
      <w:r w:rsidRPr="002C7308">
        <w:t>Melbourne Vic 3001</w:t>
      </w:r>
    </w:p>
    <w:p w:rsidR="009D53BE" w:rsidRPr="002C7308" w:rsidRDefault="009D53BE" w:rsidP="009D53BE">
      <w:r w:rsidRPr="002C7308">
        <w:t xml:space="preserve">We prefer that all submissions be publicly available to facilitate an informed and transparent consultative process. Submissions will be treated as public documents unless otherwise requested. Parties wishing to submit confidential information </w:t>
      </w:r>
      <w:r>
        <w:t>should</w:t>
      </w:r>
      <w:r w:rsidRPr="002C7308">
        <w:t>:</w:t>
      </w:r>
    </w:p>
    <w:p w:rsidR="009D53BE" w:rsidRPr="00BC7D8C" w:rsidRDefault="009D53BE" w:rsidP="009D53BE">
      <w:pPr>
        <w:pStyle w:val="ListBullet"/>
      </w:pPr>
      <w:r w:rsidRPr="002C7308">
        <w:t>clearly identify the information that is the subject of the confidentiality claim</w:t>
      </w:r>
    </w:p>
    <w:p w:rsidR="009D53BE" w:rsidRPr="00BC7D8C" w:rsidRDefault="009D53BE" w:rsidP="009D53BE">
      <w:pPr>
        <w:pStyle w:val="ListBullet"/>
      </w:pPr>
      <w:proofErr w:type="gramStart"/>
      <w:r w:rsidRPr="002C7308">
        <w:t>provide</w:t>
      </w:r>
      <w:proofErr w:type="gramEnd"/>
      <w:r w:rsidRPr="002C7308">
        <w:t xml:space="preserve"> a non-confidential version of the submission in a form suitable for publication.</w:t>
      </w:r>
    </w:p>
    <w:p w:rsidR="00A244EE" w:rsidRDefault="009D53BE" w:rsidP="009D53BE">
      <w:r w:rsidRPr="002C7308">
        <w:t>All non-confidential submissions will be placed on our website</w:t>
      </w:r>
      <w:r>
        <w:t>.</w:t>
      </w:r>
      <w:r w:rsidRPr="002C7308">
        <w:t xml:space="preserve"> For further information regarding our use and disclosure of information provided to us, see the ACCC/AER Information Policy </w:t>
      </w:r>
      <w:r>
        <w:t>(</w:t>
      </w:r>
      <w:r w:rsidRPr="002C7308">
        <w:t>October 2008</w:t>
      </w:r>
      <w:r>
        <w:t>), which is</w:t>
      </w:r>
      <w:r w:rsidRPr="002C7308">
        <w:t xml:space="preserve"> available on our website.</w:t>
      </w:r>
    </w:p>
    <w:p w:rsidR="00763869" w:rsidRDefault="00763869" w:rsidP="009D53BE">
      <w:r>
        <w:t xml:space="preserve">Our proposed timelines for the process are shown in the following table.  </w:t>
      </w:r>
    </w:p>
    <w:p w:rsidR="00A244EE" w:rsidRDefault="00A244EE" w:rsidP="00A244EE">
      <w:pPr>
        <w:pStyle w:val="Tabletitle"/>
      </w:pPr>
      <w:r w:rsidRPr="00360E43">
        <w:t>Table 1.</w:t>
      </w:r>
      <w:r w:rsidR="00AA0CF7">
        <w:t>1</w:t>
      </w:r>
      <w:r w:rsidRPr="00360E43">
        <w:t xml:space="preserve"> </w:t>
      </w:r>
      <w:r>
        <w:t>T</w:t>
      </w:r>
      <w:r w:rsidRPr="00360E43">
        <w:t xml:space="preserve">imeline for </w:t>
      </w:r>
      <w:r w:rsidR="00D459DD">
        <w:t>f-factor determinations</w:t>
      </w:r>
    </w:p>
    <w:tbl>
      <w:tblPr>
        <w:tblStyle w:val="AERtable-text0"/>
        <w:tblW w:w="5000" w:type="pct"/>
        <w:tblLook w:val="04A0" w:firstRow="1" w:lastRow="0" w:firstColumn="1" w:lastColumn="0" w:noHBand="0" w:noVBand="1"/>
      </w:tblPr>
      <w:tblGrid>
        <w:gridCol w:w="4593"/>
        <w:gridCol w:w="4100"/>
      </w:tblGrid>
      <w:tr w:rsidR="00A244EE" w:rsidRPr="00C103CD" w:rsidTr="00756BF5">
        <w:trPr>
          <w:cnfStyle w:val="100000000000" w:firstRow="1" w:lastRow="0" w:firstColumn="0" w:lastColumn="0" w:oddVBand="0" w:evenVBand="0" w:oddHBand="0" w:evenHBand="0" w:firstRowFirstColumn="0" w:firstRowLastColumn="0" w:lastRowFirstColumn="0" w:lastRowLastColumn="0"/>
        </w:trPr>
        <w:tc>
          <w:tcPr>
            <w:tcW w:w="2642" w:type="pct"/>
          </w:tcPr>
          <w:p w:rsidR="00A244EE" w:rsidRPr="00A244EE" w:rsidRDefault="00A244EE" w:rsidP="00A244EE">
            <w:r w:rsidRPr="00360E43">
              <w:t>Project step</w:t>
            </w:r>
            <w:r w:rsidRPr="00A244EE">
              <w:t>s for STPIS review</w:t>
            </w:r>
          </w:p>
        </w:tc>
        <w:tc>
          <w:tcPr>
            <w:tcW w:w="2358" w:type="pct"/>
          </w:tcPr>
          <w:p w:rsidR="00A244EE" w:rsidRPr="00A244EE" w:rsidRDefault="00A244EE" w:rsidP="00A244EE">
            <w:r w:rsidRPr="00360E43">
              <w:t>Date</w:t>
            </w:r>
          </w:p>
        </w:tc>
      </w:tr>
      <w:tr w:rsidR="00A244EE" w:rsidRPr="00C103CD" w:rsidTr="00756BF5">
        <w:tc>
          <w:tcPr>
            <w:tcW w:w="2642" w:type="pct"/>
          </w:tcPr>
          <w:p w:rsidR="00A244EE" w:rsidRPr="00A244EE" w:rsidRDefault="00A244EE" w:rsidP="00D459DD">
            <w:r w:rsidRPr="00360E43">
              <w:t xml:space="preserve">Publish </w:t>
            </w:r>
            <w:r w:rsidR="00D459DD">
              <w:t>draft determinations and explanatory statement</w:t>
            </w:r>
            <w:r w:rsidRPr="00A244EE">
              <w:t xml:space="preserve"> for stakeholder consultation</w:t>
            </w:r>
          </w:p>
        </w:tc>
        <w:tc>
          <w:tcPr>
            <w:tcW w:w="2358" w:type="pct"/>
          </w:tcPr>
          <w:p w:rsidR="00A244EE" w:rsidRPr="00A244EE" w:rsidRDefault="0000090B" w:rsidP="0000090B">
            <w:r>
              <w:t>3</w:t>
            </w:r>
            <w:r w:rsidR="00474639">
              <w:t xml:space="preserve"> </w:t>
            </w:r>
            <w:r w:rsidR="001E76C0">
              <w:t>April</w:t>
            </w:r>
            <w:r w:rsidR="00A244EE" w:rsidRPr="00360E43">
              <w:t xml:space="preserve"> 201</w:t>
            </w:r>
            <w:r w:rsidR="00386073">
              <w:t>7</w:t>
            </w:r>
          </w:p>
        </w:tc>
      </w:tr>
      <w:tr w:rsidR="00A244EE" w:rsidRPr="00C103CD" w:rsidTr="00756BF5">
        <w:trPr>
          <w:cnfStyle w:val="000000010000" w:firstRow="0" w:lastRow="0" w:firstColumn="0" w:lastColumn="0" w:oddVBand="0" w:evenVBand="0" w:oddHBand="0" w:evenHBand="1" w:firstRowFirstColumn="0" w:firstRowLastColumn="0" w:lastRowFirstColumn="0" w:lastRowLastColumn="0"/>
        </w:trPr>
        <w:tc>
          <w:tcPr>
            <w:tcW w:w="2642" w:type="pct"/>
          </w:tcPr>
          <w:p w:rsidR="00A244EE" w:rsidRPr="00A244EE" w:rsidRDefault="00A244EE" w:rsidP="00D459DD">
            <w:r w:rsidRPr="00360E43">
              <w:t xml:space="preserve">Submissions on </w:t>
            </w:r>
            <w:r w:rsidR="00D459DD">
              <w:t>draft determinations</w:t>
            </w:r>
            <w:r w:rsidRPr="00360E43">
              <w:t xml:space="preserve"> close</w:t>
            </w:r>
          </w:p>
        </w:tc>
        <w:tc>
          <w:tcPr>
            <w:tcW w:w="2358" w:type="pct"/>
          </w:tcPr>
          <w:p w:rsidR="00A244EE" w:rsidRPr="00A244EE" w:rsidRDefault="00032888" w:rsidP="00032888">
            <w:r>
              <w:t>26</w:t>
            </w:r>
            <w:r w:rsidR="00474639">
              <w:t xml:space="preserve"> May</w:t>
            </w:r>
            <w:r w:rsidR="00A244EE" w:rsidRPr="00A244EE">
              <w:t xml:space="preserve"> 2017</w:t>
            </w:r>
          </w:p>
        </w:tc>
      </w:tr>
      <w:tr w:rsidR="00A244EE" w:rsidRPr="00C103CD" w:rsidTr="00756BF5">
        <w:tc>
          <w:tcPr>
            <w:tcW w:w="2642" w:type="pct"/>
          </w:tcPr>
          <w:p w:rsidR="00A244EE" w:rsidRPr="00A244EE" w:rsidRDefault="00D459DD" w:rsidP="00A244EE">
            <w:r>
              <w:t>Final f-factor scheme</w:t>
            </w:r>
            <w:r w:rsidR="00A244EE" w:rsidRPr="00360E43">
              <w:t xml:space="preserve"> published</w:t>
            </w:r>
            <w:r w:rsidR="00A244EE" w:rsidRPr="00A244EE">
              <w:t xml:space="preserve"> (with Explanatory Statement)</w:t>
            </w:r>
          </w:p>
        </w:tc>
        <w:tc>
          <w:tcPr>
            <w:tcW w:w="2358" w:type="pct"/>
          </w:tcPr>
          <w:p w:rsidR="00A244EE" w:rsidRPr="00A244EE" w:rsidRDefault="00032888" w:rsidP="00A244EE">
            <w:r>
              <w:t>2</w:t>
            </w:r>
            <w:r w:rsidR="0091406D">
              <w:t>3 June</w:t>
            </w:r>
            <w:r w:rsidR="00A244EE" w:rsidRPr="00A244EE">
              <w:t xml:space="preserve"> 2017 (indicative)</w:t>
            </w:r>
          </w:p>
        </w:tc>
      </w:tr>
    </w:tbl>
    <w:p w:rsidR="00763869" w:rsidRDefault="00763869" w:rsidP="00763869">
      <w:pPr>
        <w:pStyle w:val="Heading2"/>
      </w:pPr>
      <w:bookmarkStart w:id="17" w:name="_Toc478731793"/>
      <w:r>
        <w:t>Structure of this document</w:t>
      </w:r>
      <w:bookmarkEnd w:id="17"/>
    </w:p>
    <w:p w:rsidR="00763869" w:rsidRDefault="00763869" w:rsidP="00763869">
      <w:r>
        <w:t xml:space="preserve">The remainder of the draft determination outlines our consideration on the </w:t>
      </w:r>
      <w:r w:rsidR="00032888">
        <w:t xml:space="preserve">implementation of the </w:t>
      </w:r>
      <w:r>
        <w:t>new f-factor scheme:</w:t>
      </w:r>
    </w:p>
    <w:p w:rsidR="00763869" w:rsidRDefault="00763869" w:rsidP="00763869">
      <w:pPr>
        <w:pStyle w:val="AERbulletlistfirststyle"/>
      </w:pPr>
      <w:r>
        <w:t xml:space="preserve">Chapter </w:t>
      </w:r>
      <w:r w:rsidR="00636BCF">
        <w:t>2</w:t>
      </w:r>
      <w:r>
        <w:t xml:space="preserve"> provides an overview of the new f-factor scheme</w:t>
      </w:r>
    </w:p>
    <w:p w:rsidR="00763869" w:rsidRDefault="00763869" w:rsidP="00763869">
      <w:pPr>
        <w:pStyle w:val="AERbulletlistfirststyle"/>
      </w:pPr>
      <w:r>
        <w:t xml:space="preserve">Chapter </w:t>
      </w:r>
      <w:r w:rsidR="00636BCF">
        <w:t>3</w:t>
      </w:r>
      <w:r>
        <w:t xml:space="preserve"> sets out our consideration on </w:t>
      </w:r>
      <w:r w:rsidRPr="00763869">
        <w:t>the revenue adjustment and IRU amount for each of the Victori</w:t>
      </w:r>
      <w:r>
        <w:t xml:space="preserve">an </w:t>
      </w:r>
      <w:r w:rsidR="00E77995">
        <w:t>distributor</w:t>
      </w:r>
      <w:r>
        <w:t>s for the 2016–20 period</w:t>
      </w:r>
    </w:p>
    <w:p w:rsidR="00763869" w:rsidRDefault="00763869" w:rsidP="00763869">
      <w:pPr>
        <w:pStyle w:val="AERbulletlistfirststyle"/>
        <w:rPr>
          <w:rStyle w:val="AERbody"/>
        </w:rPr>
      </w:pPr>
      <w:r>
        <w:t xml:space="preserve">Chapter </w:t>
      </w:r>
      <w:r w:rsidR="00636BCF">
        <w:t>4</w:t>
      </w:r>
      <w:r>
        <w:t xml:space="preserve"> </w:t>
      </w:r>
      <w:r w:rsidRPr="00CC122D">
        <w:rPr>
          <w:rStyle w:val="AERbody"/>
        </w:rPr>
        <w:t xml:space="preserve">outlines </w:t>
      </w:r>
      <w:r w:rsidR="00BE027C">
        <w:rPr>
          <w:rStyle w:val="AERbody"/>
        </w:rPr>
        <w:t>our</w:t>
      </w:r>
      <w:r w:rsidRPr="00CC122D">
        <w:rPr>
          <w:rStyle w:val="AERbody"/>
        </w:rPr>
        <w:t xml:space="preserve"> </w:t>
      </w:r>
      <w:r w:rsidR="00BE027C">
        <w:rPr>
          <w:rStyle w:val="AERbody"/>
        </w:rPr>
        <w:t xml:space="preserve">f-factor scheme </w:t>
      </w:r>
      <w:r w:rsidRPr="00CC122D">
        <w:rPr>
          <w:rStyle w:val="AERbody"/>
        </w:rPr>
        <w:t xml:space="preserve">draft determinations for each </w:t>
      </w:r>
      <w:r w:rsidR="00E77995">
        <w:rPr>
          <w:rStyle w:val="AERbody"/>
        </w:rPr>
        <w:t>distributor</w:t>
      </w:r>
    </w:p>
    <w:p w:rsidR="00763869" w:rsidRDefault="00763869" w:rsidP="00763869">
      <w:pPr>
        <w:pStyle w:val="AERbulletlistfirststyle"/>
        <w:rPr>
          <w:rStyle w:val="AERbody"/>
        </w:rPr>
      </w:pPr>
      <w:r>
        <w:rPr>
          <w:rStyle w:val="AERbody"/>
        </w:rPr>
        <w:t xml:space="preserve">Chapter </w:t>
      </w:r>
      <w:r w:rsidR="00636BCF">
        <w:rPr>
          <w:rStyle w:val="AERbody"/>
        </w:rPr>
        <w:t>5</w:t>
      </w:r>
      <w:r>
        <w:rPr>
          <w:rStyle w:val="AERbody"/>
        </w:rPr>
        <w:t xml:space="preserve"> sets out our next step</w:t>
      </w:r>
      <w:r w:rsidR="00032888">
        <w:rPr>
          <w:rStyle w:val="AERbody"/>
        </w:rPr>
        <w:t>s</w:t>
      </w:r>
      <w:r w:rsidR="005B6DF2">
        <w:rPr>
          <w:rStyle w:val="AERbody"/>
        </w:rPr>
        <w:t xml:space="preserve"> to complete this determination process</w:t>
      </w:r>
      <w:r>
        <w:rPr>
          <w:rStyle w:val="AERbody"/>
        </w:rPr>
        <w:t xml:space="preserve">. </w:t>
      </w:r>
    </w:p>
    <w:p w:rsidR="00763869" w:rsidRPr="00763869" w:rsidRDefault="00763869" w:rsidP="00763869">
      <w:pPr>
        <w:pStyle w:val="AERbulletlistfirststyle"/>
      </w:pPr>
      <w:r>
        <w:rPr>
          <w:rStyle w:val="AERbody"/>
        </w:rPr>
        <w:t xml:space="preserve">Appendix A sets out IRU targets for </w:t>
      </w:r>
      <w:r>
        <w:t xml:space="preserve">2016/17 - 2019/20 and </w:t>
      </w:r>
      <w:r w:rsidRPr="00763869">
        <w:t xml:space="preserve">Transitional </w:t>
      </w:r>
      <w:r w:rsidR="00032888">
        <w:t>fire start</w:t>
      </w:r>
      <w:r w:rsidR="00032888" w:rsidRPr="00763869">
        <w:t xml:space="preserve"> </w:t>
      </w:r>
      <w:r w:rsidRPr="00763869">
        <w:t>targets for 2018</w:t>
      </w:r>
      <w:r>
        <w:t>.</w:t>
      </w:r>
    </w:p>
    <w:p w:rsidR="002E134A" w:rsidRDefault="00FA06EA" w:rsidP="00BA0216">
      <w:pPr>
        <w:pStyle w:val="Heading1"/>
      </w:pPr>
      <w:bookmarkStart w:id="18" w:name="_Toc478731794"/>
      <w:r>
        <w:lastRenderedPageBreak/>
        <w:t>Overview</w:t>
      </w:r>
      <w:bookmarkEnd w:id="18"/>
      <w:r w:rsidR="00DA7305">
        <w:t xml:space="preserve"> </w:t>
      </w:r>
    </w:p>
    <w:p w:rsidR="002B3FFF" w:rsidRDefault="002B3FFF" w:rsidP="002B3FFF">
      <w:r w:rsidRPr="00982545">
        <w:t>The f-factor</w:t>
      </w:r>
      <w:r w:rsidR="00FC6743">
        <w:t xml:space="preserve"> scheme determination</w:t>
      </w:r>
      <w:r w:rsidRPr="00982545">
        <w:t xml:space="preserve"> is </w:t>
      </w:r>
      <w:r w:rsidR="00FC6743">
        <w:t xml:space="preserve">a </w:t>
      </w:r>
      <w:r w:rsidRPr="00982545">
        <w:t>regulatory instrument under the National Electricity (Victoria) Act 2005 which specifically provides Distribution Network Service Providers (distribution businesses) with an incentive to lower the number of fire starts on their networks in Victoria.</w:t>
      </w:r>
      <w:r>
        <w:t xml:space="preserve"> </w:t>
      </w:r>
    </w:p>
    <w:p w:rsidR="002B3FFF" w:rsidRPr="002B3FFF" w:rsidRDefault="002B3FFF" w:rsidP="002B3FFF">
      <w:r>
        <w:t xml:space="preserve">The </w:t>
      </w:r>
      <w:r w:rsidR="00B74636">
        <w:t>previous</w:t>
      </w:r>
      <w:r>
        <w:t xml:space="preserve"> f-factor scheme was established under a Victorian </w:t>
      </w:r>
      <w:r w:rsidRPr="001D5310">
        <w:t>f-factor scheme order 2011</w:t>
      </w:r>
      <w:r>
        <w:t xml:space="preserve"> (the </w:t>
      </w:r>
      <w:r w:rsidR="008B5BB2">
        <w:t xml:space="preserve">2011 </w:t>
      </w:r>
      <w:r>
        <w:t xml:space="preserve">Order) on 23 June 2011, subsequent to passing the </w:t>
      </w:r>
      <w:r w:rsidRPr="001D5310">
        <w:t>Energy and Resources Legislation Amendment Act 2010</w:t>
      </w:r>
      <w:r>
        <w:t xml:space="preserve">. </w:t>
      </w:r>
      <w:r w:rsidRPr="002B3FFF">
        <w:t xml:space="preserve">The mechanism of the </w:t>
      </w:r>
      <w:r w:rsidR="00B74636">
        <w:t>previous</w:t>
      </w:r>
      <w:r w:rsidRPr="002B3FFF">
        <w:t xml:space="preserve"> scheme is</w:t>
      </w:r>
      <w:r w:rsidR="008B5BB2">
        <w:t xml:space="preserve"> that distributors are rewarded or </w:t>
      </w:r>
      <w:r w:rsidR="004E0859">
        <w:t>penalised at $25,000</w:t>
      </w:r>
      <w:r w:rsidR="00A95B41">
        <w:t xml:space="preserve"> per fire</w:t>
      </w:r>
      <w:r w:rsidR="005B6DF2">
        <w:t xml:space="preserve"> start</w:t>
      </w:r>
      <w:r w:rsidR="00A95B41">
        <w:t xml:space="preserve"> less or </w:t>
      </w:r>
      <w:r w:rsidRPr="002B3FFF">
        <w:t xml:space="preserve">more than the historical average benchmark targets. </w:t>
      </w:r>
    </w:p>
    <w:p w:rsidR="00AF5A08" w:rsidRDefault="002B3FFF" w:rsidP="002B3FFF">
      <w:r>
        <w:t xml:space="preserve">On 22 December 2016, </w:t>
      </w:r>
      <w:r w:rsidRPr="0039736C">
        <w:t xml:space="preserve">the Victorian Government published </w:t>
      </w:r>
      <w:r w:rsidR="001D4B49">
        <w:t xml:space="preserve">the </w:t>
      </w:r>
      <w:r>
        <w:t>“f-factor scheme order 2016”</w:t>
      </w:r>
      <w:r w:rsidR="008B5BB2">
        <w:t xml:space="preserve"> (the Order)</w:t>
      </w:r>
      <w:r>
        <w:t xml:space="preserve">. This </w:t>
      </w:r>
      <w:r w:rsidR="008B5BB2">
        <w:t xml:space="preserve">2016 </w:t>
      </w:r>
      <w:r>
        <w:t xml:space="preserve">Order revokes the </w:t>
      </w:r>
      <w:r w:rsidR="008B5BB2">
        <w:t>2011</w:t>
      </w:r>
      <w:r>
        <w:t xml:space="preserve"> f-factor scheme Order and provides for the establishment of a new </w:t>
      </w:r>
      <w:r w:rsidR="001D4B49">
        <w:t>incentive mechanism</w:t>
      </w:r>
      <w:r>
        <w:t xml:space="preserve"> that targets incentives towards ignitions that pose the greatest risk of harm through the use of ignition risk units (IRUs).</w:t>
      </w:r>
      <w:r>
        <w:rPr>
          <w:rStyle w:val="FootnoteReference"/>
        </w:rPr>
        <w:footnoteReference w:id="5"/>
      </w:r>
    </w:p>
    <w:p w:rsidR="006D1C8A" w:rsidRDefault="002B3FFF" w:rsidP="001A41F4">
      <w:r w:rsidRPr="00770B2A">
        <w:t xml:space="preserve">The </w:t>
      </w:r>
      <w:r w:rsidR="008B5BB2">
        <w:t xml:space="preserve">2016 </w:t>
      </w:r>
      <w:r w:rsidRPr="00F15E84">
        <w:t>Order requires that the AER</w:t>
      </w:r>
      <w:r w:rsidR="001A41F4">
        <w:t xml:space="preserve"> must make a</w:t>
      </w:r>
      <w:r w:rsidR="006D1C8A">
        <w:t xml:space="preserve">n f-factor scheme determination in respect of the 2016-2020 regulatory control </w:t>
      </w:r>
      <w:proofErr w:type="gramStart"/>
      <w:r w:rsidR="006D1C8A">
        <w:t>period</w:t>
      </w:r>
      <w:proofErr w:type="gramEnd"/>
      <w:r w:rsidR="006D1C8A">
        <w:t xml:space="preserve"> no later than 30 September 2018.</w:t>
      </w:r>
      <w:r w:rsidR="001A41F4" w:rsidRPr="001A41F4">
        <w:rPr>
          <w:rStyle w:val="FootnoteReference"/>
        </w:rPr>
        <w:t xml:space="preserve"> </w:t>
      </w:r>
      <w:r w:rsidR="001A41F4">
        <w:rPr>
          <w:rStyle w:val="FootnoteReference"/>
        </w:rPr>
        <w:footnoteReference w:id="6"/>
      </w:r>
    </w:p>
    <w:p w:rsidR="00756BF5" w:rsidRDefault="002B3FFF" w:rsidP="00756BF5">
      <w:pPr>
        <w:pStyle w:val="Heading2"/>
      </w:pPr>
      <w:bookmarkStart w:id="19" w:name="_Toc478731795"/>
      <w:r>
        <w:t xml:space="preserve">The </w:t>
      </w:r>
      <w:r w:rsidR="001D4B49">
        <w:t xml:space="preserve">new </w:t>
      </w:r>
      <w:r w:rsidR="00FF3FF6">
        <w:t>f</w:t>
      </w:r>
      <w:r w:rsidR="00D0677A">
        <w:t>-factor</w:t>
      </w:r>
      <w:r w:rsidR="00756BF5">
        <w:t xml:space="preserve"> scheme</w:t>
      </w:r>
      <w:bookmarkEnd w:id="19"/>
    </w:p>
    <w:p w:rsidR="00F34905" w:rsidRDefault="006E4CE2" w:rsidP="008F4400">
      <w:r>
        <w:t>T</w:t>
      </w:r>
      <w:r w:rsidR="008F4400" w:rsidRPr="008F4400">
        <w:t xml:space="preserve">he </w:t>
      </w:r>
      <w:r w:rsidR="001D4B49">
        <w:t>new</w:t>
      </w:r>
      <w:r w:rsidR="001D4B49" w:rsidRPr="008F4400">
        <w:t xml:space="preserve"> </w:t>
      </w:r>
      <w:r w:rsidR="008F4400" w:rsidRPr="008F4400">
        <w:t xml:space="preserve">f-factor </w:t>
      </w:r>
      <w:r w:rsidR="00FC6743">
        <w:t xml:space="preserve">scheme </w:t>
      </w:r>
      <w:r w:rsidR="008F4400" w:rsidRPr="008F4400">
        <w:t>seeks to incentivise better alignment between the bushfire risk reduction practices and priorities of the distribution businesses and the bushfire risk exposure of the Victorian Community posed by the distribution network.</w:t>
      </w:r>
      <w:r w:rsidR="00771E1D">
        <w:rPr>
          <w:rStyle w:val="FootnoteReference"/>
        </w:rPr>
        <w:footnoteReference w:id="7"/>
      </w:r>
    </w:p>
    <w:p w:rsidR="008F4400" w:rsidRDefault="00F34905" w:rsidP="008F4400">
      <w:r w:rsidRPr="00F34905">
        <w:t xml:space="preserve">The new scheme will still be a symmetrical scheme </w:t>
      </w:r>
      <w:r>
        <w:t xml:space="preserve">in terms of rewards or </w:t>
      </w:r>
      <w:r w:rsidRPr="00F34905">
        <w:t xml:space="preserve">penalties with respect to the historical performance. However, </w:t>
      </w:r>
      <w:r w:rsidR="0000090B">
        <w:t xml:space="preserve">the </w:t>
      </w:r>
      <w:r w:rsidR="00C65192">
        <w:t xml:space="preserve">benchmark targets for </w:t>
      </w:r>
      <w:r w:rsidRPr="00F34905">
        <w:t>fire</w:t>
      </w:r>
      <w:r w:rsidR="00FC6743">
        <w:t xml:space="preserve"> starts</w:t>
      </w:r>
      <w:r w:rsidRPr="00F34905">
        <w:t xml:space="preserve"> </w:t>
      </w:r>
      <w:r w:rsidR="004315B3">
        <w:t>will be</w:t>
      </w:r>
      <w:r w:rsidR="004315B3" w:rsidRPr="00F34905">
        <w:t xml:space="preserve"> </w:t>
      </w:r>
      <w:r w:rsidRPr="00F34905">
        <w:t xml:space="preserve">measured </w:t>
      </w:r>
      <w:r w:rsidR="004315B3">
        <w:t xml:space="preserve">differently </w:t>
      </w:r>
      <w:r w:rsidRPr="00F34905">
        <w:t xml:space="preserve">as </w:t>
      </w:r>
      <w:r w:rsidR="0047407F" w:rsidRPr="00F34905">
        <w:t>w</w:t>
      </w:r>
      <w:r w:rsidR="0047407F">
        <w:t>i</w:t>
      </w:r>
      <w:r w:rsidR="0047407F" w:rsidRPr="00F34905">
        <w:t>l</w:t>
      </w:r>
      <w:r w:rsidR="0047407F">
        <w:t>l the</w:t>
      </w:r>
      <w:r>
        <w:t xml:space="preserve"> calculation of rewards or </w:t>
      </w:r>
      <w:r w:rsidRPr="00F34905">
        <w:t>penalties amounts</w:t>
      </w:r>
      <w:r>
        <w:t>.</w:t>
      </w:r>
      <w:r w:rsidR="008F4400" w:rsidRPr="008F4400">
        <w:t xml:space="preserve"> </w:t>
      </w:r>
    </w:p>
    <w:p w:rsidR="004315B3" w:rsidRDefault="002615AA" w:rsidP="007E4B3F">
      <w:r>
        <w:t xml:space="preserve">Under the new scheme, </w:t>
      </w:r>
      <w:r w:rsidR="00F34905" w:rsidRPr="00F34905">
        <w:t xml:space="preserve">each </w:t>
      </w:r>
      <w:r w:rsidR="0000090B">
        <w:t>fire start</w:t>
      </w:r>
      <w:r w:rsidR="00FC6743">
        <w:t xml:space="preserve"> </w:t>
      </w:r>
      <w:r w:rsidR="00F71384">
        <w:t>will be weighted by a “geography</w:t>
      </w:r>
      <w:r w:rsidR="00F34905" w:rsidRPr="00F34905">
        <w:t xml:space="preserve"> factor” and a “</w:t>
      </w:r>
      <w:r w:rsidR="003D65FC">
        <w:t>t</w:t>
      </w:r>
      <w:r w:rsidR="00F71384">
        <w:t xml:space="preserve">ime </w:t>
      </w:r>
      <w:r w:rsidR="00F34905" w:rsidRPr="00F34905">
        <w:t>factor</w:t>
      </w:r>
      <w:r w:rsidR="003D65FC">
        <w:t xml:space="preserve"> (fire </w:t>
      </w:r>
      <w:r w:rsidR="003D65FC" w:rsidRPr="00F34905">
        <w:t>risk)</w:t>
      </w:r>
      <w:r w:rsidR="00F34905" w:rsidRPr="00F34905">
        <w:t>”. By applying these</w:t>
      </w:r>
      <w:r w:rsidR="001D4B49">
        <w:t xml:space="preserve"> two</w:t>
      </w:r>
      <w:r w:rsidR="00F34905" w:rsidRPr="00F34905">
        <w:t xml:space="preserve"> weighting factors, the</w:t>
      </w:r>
      <w:r w:rsidR="0000090B">
        <w:t xml:space="preserve"> risk factor of each fire start––known as </w:t>
      </w:r>
      <w:r w:rsidR="00887581">
        <w:t>ignition risk units (</w:t>
      </w:r>
      <w:r w:rsidR="00F71384">
        <w:t>IRU</w:t>
      </w:r>
      <w:r w:rsidR="00887581">
        <w:t>)</w:t>
      </w:r>
      <w:r w:rsidR="0000090B">
        <w:t>––will be determined.</w:t>
      </w:r>
      <w:r w:rsidR="00C65192">
        <w:t xml:space="preserve"> </w:t>
      </w:r>
      <w:r w:rsidR="0000090B">
        <w:t>The overall IRU scores of all fire starts within a financial year</w:t>
      </w:r>
      <w:r w:rsidR="00C65192">
        <w:t xml:space="preserve"> will be measured against the benchmark </w:t>
      </w:r>
      <w:r w:rsidR="004315B3">
        <w:t xml:space="preserve">IRU </w:t>
      </w:r>
      <w:r w:rsidR="00C65192">
        <w:t>target</w:t>
      </w:r>
      <w:r w:rsidR="007E4B3F">
        <w:t xml:space="preserve">. </w:t>
      </w:r>
    </w:p>
    <w:p w:rsidR="007E4B3F" w:rsidRPr="007E4B3F" w:rsidRDefault="007E4B3F" w:rsidP="007E4B3F">
      <w:r w:rsidRPr="007E4B3F">
        <w:lastRenderedPageBreak/>
        <w:t>The new benchmark target</w:t>
      </w:r>
      <w:r w:rsidR="001D4B49">
        <w:t>s</w:t>
      </w:r>
      <w:r w:rsidRPr="007E4B3F">
        <w:t xml:space="preserve"> </w:t>
      </w:r>
      <w:r w:rsidR="001D4B49">
        <w:t>have been set by the Order based on</w:t>
      </w:r>
      <w:r w:rsidRPr="007E4B3F">
        <w:t xml:space="preserve"> the historical average of such weighted measures of historical fire start</w:t>
      </w:r>
      <w:r w:rsidR="001D4B49">
        <w:t>s</w:t>
      </w:r>
      <w:r w:rsidRPr="007E4B3F">
        <w:t>.</w:t>
      </w:r>
      <w:r w:rsidR="004315B3">
        <w:t xml:space="preserve"> The Order also specifies the incentive mechanism, the definition</w:t>
      </w:r>
      <w:r w:rsidR="0047407F">
        <w:t>s</w:t>
      </w:r>
      <w:r w:rsidR="004315B3">
        <w:t xml:space="preserve"> of</w:t>
      </w:r>
      <w:r w:rsidR="0047407F" w:rsidRPr="0047407F">
        <w:t xml:space="preserve"> </w:t>
      </w:r>
      <w:r w:rsidR="0047407F">
        <w:t>the locational and time factor components of</w:t>
      </w:r>
      <w:r w:rsidR="004315B3">
        <w:t xml:space="preserve"> </w:t>
      </w:r>
      <w:r w:rsidR="0047407F">
        <w:t xml:space="preserve">the </w:t>
      </w:r>
      <w:r w:rsidR="004315B3">
        <w:t xml:space="preserve">IRU </w:t>
      </w:r>
      <w:r w:rsidR="0047407F">
        <w:t>measurement method</w:t>
      </w:r>
      <w:r w:rsidR="004315B3">
        <w:t xml:space="preserve">, </w:t>
      </w:r>
      <w:r w:rsidR="002E08A8">
        <w:t xml:space="preserve">the penalty/reward </w:t>
      </w:r>
      <w:r w:rsidR="0047407F">
        <w:t>rate of each IRU unit different from the benchmark target value</w:t>
      </w:r>
      <w:r w:rsidR="002E08A8">
        <w:t>.</w:t>
      </w:r>
    </w:p>
    <w:p w:rsidR="00C72807" w:rsidRDefault="00C72807" w:rsidP="00C72807">
      <w:pPr>
        <w:pStyle w:val="Heading3"/>
      </w:pPr>
      <w:bookmarkStart w:id="20" w:name="_Toc470005394"/>
      <w:bookmarkStart w:id="21" w:name="_Toc470005478"/>
      <w:bookmarkStart w:id="22" w:name="_Toc470005395"/>
      <w:bookmarkStart w:id="23" w:name="_Toc470005479"/>
      <w:bookmarkStart w:id="24" w:name="_Toc470005396"/>
      <w:bookmarkStart w:id="25" w:name="_Toc470005480"/>
      <w:bookmarkStart w:id="26" w:name="_Toc470005397"/>
      <w:bookmarkStart w:id="27" w:name="_Toc470005481"/>
      <w:bookmarkStart w:id="28" w:name="_Toc470005398"/>
      <w:bookmarkStart w:id="29" w:name="_Toc470005482"/>
      <w:bookmarkStart w:id="30" w:name="_Toc470005399"/>
      <w:bookmarkStart w:id="31" w:name="_Toc470005483"/>
      <w:bookmarkStart w:id="32" w:name="_Toc470005400"/>
      <w:bookmarkStart w:id="33" w:name="_Toc470005484"/>
      <w:bookmarkStart w:id="34" w:name="_Toc470005401"/>
      <w:bookmarkStart w:id="35" w:name="_Toc470005485"/>
      <w:bookmarkStart w:id="36" w:name="_Toc470005402"/>
      <w:bookmarkStart w:id="37" w:name="_Toc470005486"/>
      <w:bookmarkStart w:id="38" w:name="_Toc470005403"/>
      <w:bookmarkStart w:id="39" w:name="_Toc470005487"/>
      <w:bookmarkStart w:id="40" w:name="_Toc470005404"/>
      <w:bookmarkStart w:id="41" w:name="_Toc470005488"/>
      <w:bookmarkStart w:id="42" w:name="_Toc470005405"/>
      <w:bookmarkStart w:id="43" w:name="_Toc470005489"/>
      <w:bookmarkStart w:id="44" w:name="_Toc470005406"/>
      <w:bookmarkStart w:id="45" w:name="_Toc470005490"/>
      <w:bookmarkStart w:id="46" w:name="_Toc470005407"/>
      <w:bookmarkStart w:id="47" w:name="_Toc470005491"/>
      <w:bookmarkStart w:id="48" w:name="_Toc470005408"/>
      <w:bookmarkStart w:id="49" w:name="_Toc470005492"/>
      <w:bookmarkStart w:id="50" w:name="_Ref304465375"/>
      <w:bookmarkStart w:id="51" w:name="_Toc305061279"/>
      <w:bookmarkStart w:id="52" w:name="_Toc476913002"/>
      <w:bookmarkStart w:id="53" w:name="_Toc477518510"/>
      <w:bookmarkStart w:id="54" w:name="_Toc47873179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Revenue adjustment</w:t>
      </w:r>
      <w:r w:rsidRPr="00C72807">
        <w:t xml:space="preserve"> mechanism under the f-factor scheme</w:t>
      </w:r>
      <w:bookmarkEnd w:id="50"/>
      <w:bookmarkEnd w:id="51"/>
      <w:bookmarkEnd w:id="52"/>
      <w:bookmarkEnd w:id="53"/>
      <w:bookmarkEnd w:id="54"/>
    </w:p>
    <w:p w:rsidR="007130D2" w:rsidRDefault="007130D2" w:rsidP="00C72807">
      <w:r>
        <w:t xml:space="preserve">The 2016 Order establishes the method on how to measure and calculate the reward and penalty amounts arising from the distributors' actual fire starts each </w:t>
      </w:r>
      <w:r w:rsidR="00636BCF">
        <w:t xml:space="preserve">financial </w:t>
      </w:r>
      <w:r>
        <w:t xml:space="preserve">year. We are required by the Order to determine how to </w:t>
      </w:r>
      <w:r w:rsidR="00636BCF">
        <w:t xml:space="preserve">adjust the distributors' annual revenue requirements to give effect to </w:t>
      </w:r>
      <w:r>
        <w:t>these reward and penalty amounts</w:t>
      </w:r>
      <w:r w:rsidR="00636BCF">
        <w:t xml:space="preserve">, which will be reflected in </w:t>
      </w:r>
      <w:r>
        <w:t>the distributors' annual network tariffs.</w:t>
      </w:r>
    </w:p>
    <w:p w:rsidR="00C72807" w:rsidRDefault="00C72807" w:rsidP="00C72807">
      <w:r>
        <w:t>Clause 9(1) of the 2016 Order specifies that</w:t>
      </w:r>
      <w:r w:rsidRPr="00C72807">
        <w:t xml:space="preserve"> </w:t>
      </w:r>
      <w:r>
        <w:t>a</w:t>
      </w:r>
      <w:r w:rsidRPr="00C72807">
        <w:t>n f-factor scheme determination must establish an f-factor scheme under which there is a revenue adjustment for each Distribution Network Service Provider.</w:t>
      </w:r>
    </w:p>
    <w:p w:rsidR="00C72807" w:rsidRDefault="00C72807" w:rsidP="00C72807">
      <w:r>
        <w:t>Clause 9(6</w:t>
      </w:r>
      <w:r w:rsidRPr="00C72807">
        <w:t>) of the Order specifies that, for the purposes of a distribution determination, a revenue adjustment under an f-factor scheme is not revenue of, expenditure by or a cost of a Distribution Network Service Provider unless the AER determines otherwise.</w:t>
      </w:r>
    </w:p>
    <w:p w:rsidR="00AD0201" w:rsidRPr="00AD0201" w:rsidRDefault="00AD0201" w:rsidP="00AD0201">
      <w:r w:rsidRPr="00AD0201">
        <w:rPr>
          <w:rStyle w:val="AERbody"/>
        </w:rPr>
        <w:t>Clause 9</w:t>
      </w:r>
      <w:r>
        <w:rPr>
          <w:rStyle w:val="AERbody"/>
        </w:rPr>
        <w:t>(4</w:t>
      </w:r>
      <w:r w:rsidRPr="00AD0201">
        <w:rPr>
          <w:rStyle w:val="AERbody"/>
        </w:rPr>
        <w:t>) of the 2016 Order specifies that</w:t>
      </w:r>
      <w:bookmarkStart w:id="55" w:name="_Ref456363474"/>
      <w:r>
        <w:rPr>
          <w:rStyle w:val="AERbody"/>
        </w:rPr>
        <w:t xml:space="preserve"> a</w:t>
      </w:r>
      <w:r w:rsidRPr="00AD0201">
        <w:t xml:space="preserve"> separate revenue adjustment must be made for each Distribution Network Service Provider for the 2019 regulatory year, and for each subsequent regulatory year, in accordance with the following formula</w:t>
      </w:r>
      <w:bookmarkEnd w:id="55"/>
      <w:r>
        <w:t>:</w:t>
      </w:r>
    </w:p>
    <w:p w:rsidR="00AD0201" w:rsidRPr="00AD0201" w:rsidRDefault="00AD0201" w:rsidP="00AD0201">
      <m:oMathPara>
        <m:oMathParaPr>
          <m:jc m:val="center"/>
        </m:oMathParaPr>
        <m:oMath>
          <m:r>
            <m:rPr>
              <m:sty m:val="bi"/>
            </m:rPr>
            <w:rPr>
              <w:rFonts w:ascii="Cambria Math" w:hAnsi="Cambria Math"/>
            </w:rPr>
            <m:t>Revenue adjustment</m:t>
          </m:r>
          <m:r>
            <m:rPr>
              <m:sty m:val="b"/>
            </m:rPr>
            <w:rPr>
              <w:rFonts w:ascii="Cambria Math" w:hAnsi="Cambria Math"/>
            </w:rPr>
            <m:t>=</m:t>
          </m:r>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Incentiv</m:t>
              </m:r>
              <m:r>
                <m:rPr>
                  <m:sty m:val="bi"/>
                </m:rPr>
                <w:rPr>
                  <w:rFonts w:ascii="Cambria Math" w:hAnsi="Cambria Math"/>
                </w:rPr>
                <m:t>e rate</m:t>
              </m:r>
            </m:e>
            <m:sub>
              <m:r>
                <m:rPr>
                  <m:sty m:val="bi"/>
                </m:rPr>
                <w:rPr>
                  <w:rFonts w:ascii="Cambria Math" w:hAnsi="Cambria Math"/>
                </w:rPr>
                <m:t xml:space="preserve"> </m:t>
              </m:r>
            </m:sub>
          </m:sSub>
          <m:r>
            <w:rPr>
              <w:rFonts w:ascii="Cambria Math" w:hAnsi="Cambria Math"/>
            </w:rPr>
            <m:t>×</m:t>
          </m:r>
          <m:d>
            <m:dPr>
              <m:ctrlPr>
                <w:rPr>
                  <w:rFonts w:ascii="Cambria Math" w:hAnsi="Cambria Math"/>
                </w:rPr>
              </m:ctrlPr>
            </m:dPr>
            <m:e>
              <m:sSub>
                <m:sSubPr>
                  <m:ctrlPr>
                    <w:rPr>
                      <w:rFonts w:ascii="Cambria Math" w:hAnsi="Cambria Math"/>
                    </w:rPr>
                  </m:ctrlPr>
                </m:sSubPr>
                <m:e>
                  <m:r>
                    <m:rPr>
                      <m:sty m:val="bi"/>
                    </m:rPr>
                    <w:rPr>
                      <w:rFonts w:ascii="Cambria Math" w:hAnsi="Cambria Math"/>
                    </w:rPr>
                    <m:t>IRU target</m:t>
                  </m:r>
                </m:e>
                <m:sub>
                  <m:r>
                    <m:rPr>
                      <m:sty m:val="bi"/>
                    </m:rPr>
                    <w:rPr>
                      <w:rFonts w:ascii="Cambria Math" w:hAnsi="Cambria Math"/>
                    </w:rPr>
                    <m:t xml:space="preserve"> </m:t>
                  </m:r>
                </m:sub>
              </m:sSub>
              <m:r>
                <w:rPr>
                  <w:rFonts w:ascii="Cambria Math" w:hAnsi="Cambria Math"/>
                </w:rPr>
                <m:t xml:space="preserve">- </m:t>
              </m:r>
              <m:r>
                <m:rPr>
                  <m:sty m:val="bi"/>
                </m:rPr>
                <w:rPr>
                  <w:rFonts w:ascii="Cambria Math" w:hAnsi="Cambria Math"/>
                </w:rPr>
                <m:t>IRU amount</m:t>
              </m:r>
            </m:e>
          </m:d>
          <m:r>
            <w:rPr>
              <w:rFonts w:ascii="Cambria Math" w:hAnsi="Cambria Math"/>
            </w:rPr>
            <m:t xml:space="preserve"> </m:t>
          </m:r>
        </m:oMath>
      </m:oMathPara>
    </w:p>
    <w:p w:rsidR="00AD0201" w:rsidRPr="00AD0201" w:rsidRDefault="00AD0201" w:rsidP="00AD0201">
      <w:pPr>
        <w:ind w:left="340" w:hanging="340"/>
      </w:pPr>
      <w:proofErr w:type="gramStart"/>
      <w:r>
        <w:t>where</w:t>
      </w:r>
      <w:proofErr w:type="gramEnd"/>
      <w:r>
        <w:t xml:space="preserve"> </w:t>
      </w:r>
    </w:p>
    <w:p w:rsidR="00AD0201" w:rsidRDefault="00AD0201" w:rsidP="00AD0201">
      <w:pPr>
        <w:pStyle w:val="AERnumberedlistsecondstyle"/>
      </w:pPr>
      <w:r w:rsidRPr="00AD0201">
        <w:t>Revenue adjustment is the adjustment to the revenue for the relevant Distribution Network Service Provider for the regulatory year;</w:t>
      </w:r>
    </w:p>
    <w:p w:rsidR="00AD0201" w:rsidRDefault="00AD0201" w:rsidP="00AD0201">
      <w:pPr>
        <w:pStyle w:val="AERnumberedlistsecondstyle"/>
      </w:pPr>
      <w:r w:rsidRPr="00AD0201">
        <w:t>Incentive rate is $15,000;</w:t>
      </w:r>
    </w:p>
    <w:p w:rsidR="00AD0201" w:rsidRDefault="00AD0201" w:rsidP="00AD0201">
      <w:pPr>
        <w:pStyle w:val="AERnumberedlistsecondstyle"/>
      </w:pPr>
      <w:r w:rsidRPr="00AD0201">
        <w:t>IRU target is the IRU target applicable for the relevant financial year for the relevant Distribution Network Service Provider, as specified in clause</w:t>
      </w:r>
      <w:r w:rsidR="00C60FC5">
        <w:t xml:space="preserve"> 11</w:t>
      </w:r>
      <w:r w:rsidRPr="00AD0201">
        <w:t>; and</w:t>
      </w:r>
    </w:p>
    <w:p w:rsidR="00AD0201" w:rsidRDefault="00AD0201" w:rsidP="00AD0201">
      <w:pPr>
        <w:pStyle w:val="AERnumberedlistsecondstyle"/>
      </w:pPr>
      <w:r>
        <w:t xml:space="preserve"> </w:t>
      </w:r>
      <w:r w:rsidRPr="00AD0201">
        <w:t xml:space="preserve">IRU amount is the number of IRUs accrued in relation to the relevant distribution system in the relevant financial year, determined in accordance with clause 11. </w:t>
      </w:r>
    </w:p>
    <w:p w:rsidR="00C72807" w:rsidRDefault="00C72807" w:rsidP="00C72807">
      <w:pPr>
        <w:pStyle w:val="AERnumberedlistsecondstyle"/>
        <w:numPr>
          <w:ilvl w:val="0"/>
          <w:numId w:val="0"/>
        </w:numPr>
        <w:ind w:left="680"/>
      </w:pPr>
      <w:r>
        <w:t xml:space="preserve">Notes: </w:t>
      </w:r>
      <w:r w:rsidRPr="00C72807">
        <w:t>See the definition of “relevant financial year” in clause 4. By reason of that definition, the revenue adjustment for a regulatory year is made on the basis of the IRU target and IRU amount for the relevant financial year, which ends 18 months prior to the commencement of the regulatory year.</w:t>
      </w:r>
    </w:p>
    <w:p w:rsidR="00C15FB5" w:rsidRDefault="00C15FB5">
      <w:pPr>
        <w:spacing w:line="240" w:lineRule="auto"/>
        <w:rPr>
          <w:rFonts w:eastAsiaTheme="majorEastAsia" w:cstheme="majorBidi"/>
          <w:b/>
          <w:bCs/>
          <w:color w:val="70635A" w:themeColor="text2"/>
          <w:sz w:val="28"/>
        </w:rPr>
      </w:pPr>
      <w:bookmarkStart w:id="56" w:name="_Toc476913003"/>
      <w:bookmarkStart w:id="57" w:name="_Toc477518511"/>
      <w:r>
        <w:br w:type="page"/>
      </w:r>
    </w:p>
    <w:p w:rsidR="00C72807" w:rsidRDefault="00C72807" w:rsidP="00C72807">
      <w:pPr>
        <w:pStyle w:val="Heading3"/>
      </w:pPr>
      <w:bookmarkStart w:id="58" w:name="_Toc478731797"/>
      <w:r w:rsidRPr="00C72807">
        <w:lastRenderedPageBreak/>
        <w:t>Parameters of revenue adjustment rates</w:t>
      </w:r>
      <w:bookmarkEnd w:id="56"/>
      <w:bookmarkEnd w:id="57"/>
      <w:bookmarkEnd w:id="58"/>
    </w:p>
    <w:p w:rsidR="00DB3C94" w:rsidRDefault="00DB3C94" w:rsidP="00DB3C94">
      <w:r>
        <w:t>In accordance with clause 8(1) of the Order, the AER must make an f-factor amount determination</w:t>
      </w:r>
      <w:r w:rsidRPr="00DB3C94">
        <w:t xml:space="preserve"> in respect of each regulatory control period.</w:t>
      </w:r>
      <w:r>
        <w:t xml:space="preserve"> </w:t>
      </w:r>
    </w:p>
    <w:p w:rsidR="00DB3C94" w:rsidRPr="00DB3C94" w:rsidRDefault="00DB3C94" w:rsidP="00DB3C94">
      <w:pPr>
        <w:rPr>
          <w:rStyle w:val="AERbody"/>
        </w:rPr>
      </w:pPr>
      <w:r w:rsidRPr="00DB3C94">
        <w:rPr>
          <w:rStyle w:val="AERbody"/>
        </w:rPr>
        <w:t>Under clause 9(5), an f-factor scheme determination may specify how the revenue adjustment is to occur. For the avoidance of doubt and without limitation, the revenue adjustment may –</w:t>
      </w:r>
    </w:p>
    <w:p w:rsidR="00DB3C94" w:rsidRDefault="00DB3C94" w:rsidP="003878BA">
      <w:pPr>
        <w:pStyle w:val="AERnumberedlistsecondstyle"/>
        <w:numPr>
          <w:ilvl w:val="0"/>
          <w:numId w:val="27"/>
        </w:numPr>
      </w:pPr>
      <w:r w:rsidRPr="00DB3C94">
        <w:t>be by way of a pass through;</w:t>
      </w:r>
    </w:p>
    <w:p w:rsidR="00DB3C94" w:rsidRPr="00DB3C94" w:rsidRDefault="00DB3C94" w:rsidP="003878BA">
      <w:pPr>
        <w:pStyle w:val="AERnumberedlistsecondstyle"/>
        <w:numPr>
          <w:ilvl w:val="0"/>
          <w:numId w:val="27"/>
        </w:numPr>
      </w:pPr>
      <w:r w:rsidRPr="00DB3C94">
        <w:t>be by way of an annual adjustment to be included in the control mechanism for a distribution determination;</w:t>
      </w:r>
    </w:p>
    <w:p w:rsidR="00DB3C94" w:rsidRPr="00DB3C94" w:rsidRDefault="00DB3C94" w:rsidP="003878BA">
      <w:pPr>
        <w:pStyle w:val="AERnumberedlistsecondstyle"/>
        <w:numPr>
          <w:ilvl w:val="0"/>
          <w:numId w:val="27"/>
        </w:numPr>
      </w:pPr>
      <w:r w:rsidRPr="00DB3C94">
        <w:t xml:space="preserve">be expressed as a percentage adjustment to revenue; </w:t>
      </w:r>
    </w:p>
    <w:p w:rsidR="00DB3C94" w:rsidRPr="00DB3C94" w:rsidRDefault="00DB3C94" w:rsidP="003878BA">
      <w:pPr>
        <w:pStyle w:val="AERnumberedlistsecondstyle"/>
        <w:numPr>
          <w:ilvl w:val="0"/>
          <w:numId w:val="27"/>
        </w:numPr>
      </w:pPr>
      <w:r w:rsidRPr="00DB3C94">
        <w:t>take effect over more than one regulatory year; and</w:t>
      </w:r>
    </w:p>
    <w:p w:rsidR="00DB3C94" w:rsidRPr="00DB3C94" w:rsidRDefault="00DB3C94" w:rsidP="003878BA">
      <w:pPr>
        <w:pStyle w:val="AERnumberedlistsecondstyle"/>
        <w:numPr>
          <w:ilvl w:val="0"/>
          <w:numId w:val="27"/>
        </w:numPr>
      </w:pPr>
      <w:proofErr w:type="gramStart"/>
      <w:r w:rsidRPr="00DB3C94">
        <w:t>take</w:t>
      </w:r>
      <w:proofErr w:type="gramEnd"/>
      <w:r w:rsidRPr="00DB3C94">
        <w:t xml:space="preserve"> effect over more than one regulatory control period.</w:t>
      </w:r>
    </w:p>
    <w:p w:rsidR="001D0D21" w:rsidRDefault="001D0D21" w:rsidP="001D0D21">
      <w:pPr>
        <w:pStyle w:val="Heading3"/>
      </w:pPr>
      <w:bookmarkStart w:id="59" w:name="_Toc476913004"/>
      <w:bookmarkStart w:id="60" w:name="_Toc477518512"/>
      <w:bookmarkStart w:id="61" w:name="_Toc478731798"/>
      <w:r w:rsidRPr="001D0D21">
        <w:t>What are fire starts?</w:t>
      </w:r>
      <w:bookmarkEnd w:id="59"/>
      <w:bookmarkEnd w:id="60"/>
      <w:bookmarkEnd w:id="61"/>
    </w:p>
    <w:p w:rsidR="00D95F77" w:rsidRPr="00D95F77" w:rsidRDefault="00D95F77" w:rsidP="00D95F77">
      <w:r w:rsidRPr="00D95F77">
        <w:t xml:space="preserve">Under clause </w:t>
      </w:r>
      <w:r>
        <w:t>5</w:t>
      </w:r>
      <w:r w:rsidRPr="00D95F77">
        <w:t xml:space="preserve"> of the Order, fire starts covered by an f-factor scheme determination are any fire:</w:t>
      </w:r>
    </w:p>
    <w:p w:rsidR="00D95F77" w:rsidRPr="00D95F77" w:rsidRDefault="00D95F77" w:rsidP="003878BA">
      <w:pPr>
        <w:pStyle w:val="AERnumberedlistsecondstyle"/>
        <w:numPr>
          <w:ilvl w:val="0"/>
          <w:numId w:val="28"/>
        </w:numPr>
      </w:pPr>
      <w:r w:rsidRPr="00D95F77">
        <w:t>that starts in or originates from a distribution system;</w:t>
      </w:r>
    </w:p>
    <w:p w:rsidR="00D95F77" w:rsidRPr="00D95F77" w:rsidRDefault="00D95F77" w:rsidP="003878BA">
      <w:pPr>
        <w:pStyle w:val="AERnumberedlistsecondstyle"/>
        <w:numPr>
          <w:ilvl w:val="0"/>
          <w:numId w:val="28"/>
        </w:numPr>
      </w:pPr>
      <w:bookmarkStart w:id="62" w:name="_Ref443564786"/>
      <w:r w:rsidRPr="00D95F77">
        <w:t>started by any tree, or part of a tree, falling upon or coming into contact with a distribution system;</w:t>
      </w:r>
      <w:bookmarkEnd w:id="62"/>
    </w:p>
    <w:p w:rsidR="00D95F77" w:rsidRPr="00D95F77" w:rsidRDefault="00D95F77" w:rsidP="003878BA">
      <w:pPr>
        <w:pStyle w:val="AERnumberedlistsecondstyle"/>
        <w:numPr>
          <w:ilvl w:val="0"/>
          <w:numId w:val="28"/>
        </w:numPr>
      </w:pPr>
      <w:r w:rsidRPr="00D95F77">
        <w:t>started by any person, bird, reptile or other animal coming into contact with a distribution system;</w:t>
      </w:r>
    </w:p>
    <w:p w:rsidR="00D95F77" w:rsidRPr="00D95F77" w:rsidRDefault="00D95F77" w:rsidP="003878BA">
      <w:pPr>
        <w:pStyle w:val="AERnumberedlistsecondstyle"/>
        <w:numPr>
          <w:ilvl w:val="0"/>
          <w:numId w:val="28"/>
        </w:numPr>
      </w:pPr>
      <w:r w:rsidRPr="00D95F77">
        <w:t xml:space="preserve">started by lightning striking a distribution system or a part of a distribution system; </w:t>
      </w:r>
    </w:p>
    <w:p w:rsidR="00D95F77" w:rsidRPr="00D95F77" w:rsidRDefault="00D95F77" w:rsidP="003878BA">
      <w:pPr>
        <w:pStyle w:val="AERnumberedlistsecondstyle"/>
        <w:numPr>
          <w:ilvl w:val="0"/>
          <w:numId w:val="28"/>
        </w:numPr>
      </w:pPr>
      <w:r w:rsidRPr="00D95F77">
        <w:t>started by any other thing forming part of or coming into contact with a distribution system; or</w:t>
      </w:r>
    </w:p>
    <w:p w:rsidR="00D95F77" w:rsidRPr="00D95F77" w:rsidRDefault="00D95F77" w:rsidP="003878BA">
      <w:pPr>
        <w:pStyle w:val="AERnumberedlistsecondstyle"/>
        <w:numPr>
          <w:ilvl w:val="0"/>
          <w:numId w:val="28"/>
        </w:numPr>
      </w:pPr>
      <w:proofErr w:type="gramStart"/>
      <w:r w:rsidRPr="00D95F77">
        <w:t>otherwise</w:t>
      </w:r>
      <w:proofErr w:type="gramEnd"/>
      <w:r w:rsidRPr="00D95F77">
        <w:t xml:space="preserve"> started by a distribution system.</w:t>
      </w:r>
    </w:p>
    <w:p w:rsidR="001D0D21" w:rsidRDefault="001D0D21" w:rsidP="001D0D21">
      <w:pPr>
        <w:pStyle w:val="Heading2"/>
      </w:pPr>
      <w:bookmarkStart w:id="63" w:name="_Toc305061282"/>
      <w:bookmarkStart w:id="64" w:name="_Toc478731799"/>
      <w:r>
        <w:t>Legislative requirements in making this</w:t>
      </w:r>
      <w:r w:rsidR="00410D0D">
        <w:t xml:space="preserve"> </w:t>
      </w:r>
      <w:r>
        <w:t>determination</w:t>
      </w:r>
      <w:bookmarkEnd w:id="63"/>
      <w:bookmarkEnd w:id="64"/>
    </w:p>
    <w:p w:rsidR="00337EC7" w:rsidRDefault="00357982" w:rsidP="00B160D0">
      <w:pPr>
        <w:rPr>
          <w:rStyle w:val="AERbody"/>
        </w:rPr>
      </w:pPr>
      <w:r>
        <w:rPr>
          <w:rStyle w:val="AERbody"/>
        </w:rPr>
        <w:t xml:space="preserve">We are required by the Victorian legislation to give effect to the f-factor scheme. </w:t>
      </w:r>
      <w:r w:rsidR="00337EC7">
        <w:rPr>
          <w:rStyle w:val="AERbody"/>
        </w:rPr>
        <w:t xml:space="preserve">Under the </w:t>
      </w:r>
      <w:r w:rsidR="00337EC7" w:rsidRPr="00982545">
        <w:t>National Electricity (Victoria) Act 2005</w:t>
      </w:r>
      <w:r w:rsidR="00337EC7">
        <w:t xml:space="preserve">, the Governor </w:t>
      </w:r>
      <w:r w:rsidR="00C65192">
        <w:t xml:space="preserve">in </w:t>
      </w:r>
      <w:r w:rsidR="00337EC7">
        <w:t xml:space="preserve">Council, by Order published in the Government Gazette, may confer functions and powers, or impose duties on the AER to make a determination for the purpose of providing incentives for </w:t>
      </w:r>
      <w:r w:rsidR="00E77995">
        <w:t>distributor</w:t>
      </w:r>
      <w:r w:rsidR="00337EC7">
        <w:t xml:space="preserve">s to reduce the risk of fire starts and reduce the risk of losses or damage cause by the fire </w:t>
      </w:r>
      <w:r w:rsidR="00337EC7">
        <w:lastRenderedPageBreak/>
        <w:t>starts.</w:t>
      </w:r>
      <w:r w:rsidR="00337EC7">
        <w:rPr>
          <w:rStyle w:val="FootnoteReference"/>
        </w:rPr>
        <w:footnoteReference w:id="8"/>
      </w:r>
      <w:r w:rsidR="00337EC7">
        <w:t xml:space="preserve"> An Order may specify how the AER is to make, publish, implement and administer an f-factor scheme determination and an f-factor amount determination.</w:t>
      </w:r>
      <w:r w:rsidR="00EE37D8">
        <w:rPr>
          <w:rStyle w:val="FootnoteReference"/>
        </w:rPr>
        <w:footnoteReference w:id="9"/>
      </w:r>
      <w:r w:rsidR="00337EC7">
        <w:t xml:space="preserve">   </w:t>
      </w:r>
    </w:p>
    <w:p w:rsidR="00B160D0" w:rsidRPr="00B160D0" w:rsidRDefault="00B160D0" w:rsidP="00B160D0">
      <w:pPr>
        <w:rPr>
          <w:rStyle w:val="AERbody"/>
        </w:rPr>
      </w:pPr>
      <w:r w:rsidRPr="00B160D0">
        <w:rPr>
          <w:rStyle w:val="AERbody"/>
        </w:rPr>
        <w:t xml:space="preserve">The </w:t>
      </w:r>
      <w:r w:rsidR="004566D1">
        <w:rPr>
          <w:rStyle w:val="AERbody"/>
        </w:rPr>
        <w:t xml:space="preserve">2016 f-factor </w:t>
      </w:r>
      <w:r w:rsidRPr="00B160D0">
        <w:rPr>
          <w:rStyle w:val="AERbody"/>
        </w:rPr>
        <w:t>Order requires that,</w:t>
      </w:r>
      <w:r>
        <w:rPr>
          <w:rStyle w:val="FootnoteReference"/>
        </w:rPr>
        <w:footnoteReference w:id="10"/>
      </w:r>
      <w:r w:rsidRPr="00B160D0">
        <w:rPr>
          <w:rStyle w:val="AERbody"/>
        </w:rPr>
        <w:t xml:space="preserve"> the AER must:</w:t>
      </w:r>
    </w:p>
    <w:p w:rsidR="00B160D0" w:rsidRPr="00B160D0" w:rsidRDefault="00B160D0" w:rsidP="00B160D0">
      <w:pPr>
        <w:pStyle w:val="AERbulletlistfirststyle"/>
        <w:rPr>
          <w:rStyle w:val="AERbody"/>
        </w:rPr>
      </w:pPr>
      <w:r w:rsidRPr="00B160D0">
        <w:rPr>
          <w:rStyle w:val="AERbody"/>
        </w:rPr>
        <w:t>publish its proposal for the f-factor scheme determination;</w:t>
      </w:r>
    </w:p>
    <w:p w:rsidR="00B160D0" w:rsidRPr="00B160D0" w:rsidRDefault="00B160D0" w:rsidP="00B160D0">
      <w:pPr>
        <w:pStyle w:val="AERbulletlistfirststyle"/>
        <w:rPr>
          <w:rStyle w:val="AERbody"/>
        </w:rPr>
      </w:pPr>
      <w:r w:rsidRPr="00B160D0">
        <w:rPr>
          <w:rStyle w:val="AERbody"/>
        </w:rPr>
        <w:t xml:space="preserve">publish an </w:t>
      </w:r>
      <w:bookmarkStart w:id="65" w:name="OLE_LINK7"/>
      <w:bookmarkStart w:id="66" w:name="OLE_LINK8"/>
      <w:r w:rsidRPr="00B160D0">
        <w:rPr>
          <w:rStyle w:val="AERbody"/>
        </w:rPr>
        <w:t>explanatory statement that sets out the provisions under or for the purpose of which the f-factor scheme determination is required and the reasons for the determination</w:t>
      </w:r>
      <w:bookmarkEnd w:id="65"/>
      <w:bookmarkEnd w:id="66"/>
      <w:r w:rsidRPr="00B160D0">
        <w:rPr>
          <w:rStyle w:val="AERbody"/>
        </w:rPr>
        <w:t>;</w:t>
      </w:r>
    </w:p>
    <w:p w:rsidR="00B160D0" w:rsidRPr="00B160D0" w:rsidRDefault="00B160D0" w:rsidP="00B160D0">
      <w:pPr>
        <w:pStyle w:val="AERbulletlistfirststyle"/>
        <w:rPr>
          <w:rStyle w:val="AERbody"/>
        </w:rPr>
      </w:pPr>
      <w:r w:rsidRPr="00B160D0">
        <w:rPr>
          <w:rStyle w:val="AERbody"/>
        </w:rPr>
        <w:t>consult with the relevant parties; and</w:t>
      </w:r>
    </w:p>
    <w:p w:rsidR="00B160D0" w:rsidRPr="00B160D0" w:rsidRDefault="00B160D0" w:rsidP="00B160D0">
      <w:pPr>
        <w:pStyle w:val="AERbulletlistfirststyle"/>
        <w:rPr>
          <w:rStyle w:val="AERbody"/>
        </w:rPr>
      </w:pPr>
      <w:proofErr w:type="gramStart"/>
      <w:r w:rsidRPr="00B160D0">
        <w:rPr>
          <w:rStyle w:val="AERbody"/>
        </w:rPr>
        <w:t>follow</w:t>
      </w:r>
      <w:proofErr w:type="gramEnd"/>
      <w:r w:rsidRPr="00B160D0">
        <w:rPr>
          <w:rStyle w:val="AERbody"/>
        </w:rPr>
        <w:t xml:space="preserve"> the distribution consultation procedures set out in rule 6.16 of the National Electricity Rules (NER), as modified by the Order.</w:t>
      </w:r>
    </w:p>
    <w:p w:rsidR="00B160D0" w:rsidRPr="00B160D0" w:rsidRDefault="00B160D0" w:rsidP="00B160D0">
      <w:pPr>
        <w:rPr>
          <w:rStyle w:val="AERbody"/>
        </w:rPr>
      </w:pPr>
      <w:r w:rsidRPr="00B160D0">
        <w:rPr>
          <w:rStyle w:val="AERbody"/>
        </w:rPr>
        <w:t>Th</w:t>
      </w:r>
      <w:r>
        <w:rPr>
          <w:rStyle w:val="AERbody"/>
        </w:rPr>
        <w:t>e AER is required under clause 8</w:t>
      </w:r>
      <w:r w:rsidRPr="00B160D0">
        <w:rPr>
          <w:rStyle w:val="AERbody"/>
        </w:rPr>
        <w:t xml:space="preserve"> of the Order to make an f-factor scheme determination, which outlines that:</w:t>
      </w:r>
    </w:p>
    <w:p w:rsidR="00B160D0" w:rsidRPr="00B160D0" w:rsidRDefault="00B160D0" w:rsidP="00B160D0">
      <w:pPr>
        <w:pStyle w:val="AERquote"/>
      </w:pPr>
      <w:r w:rsidRPr="00B160D0">
        <w:t>(1) The AER must make an f-factor scheme determination in accordance with this Order.</w:t>
      </w:r>
    </w:p>
    <w:p w:rsidR="00B160D0" w:rsidRPr="00B160D0" w:rsidRDefault="0012066A" w:rsidP="00B160D0">
      <w:pPr>
        <w:pStyle w:val="AERquote"/>
      </w:pPr>
      <w:r w:rsidRPr="0012066A">
        <w:t>Note: Pursuant to section 16E(1)(a) and (b) of the National Electricity (Victoria) Act 2005, the AER must perform or exercise its functions and powers under this Order in a manner that will or is likely to contribute to the achievement of the national electricity objective.</w:t>
      </w:r>
    </w:p>
    <w:p w:rsidR="00B160D0" w:rsidRPr="00B160D0" w:rsidRDefault="00B160D0" w:rsidP="00B160D0">
      <w:pPr>
        <w:pStyle w:val="AERquote"/>
      </w:pPr>
      <w:r w:rsidRPr="00B160D0">
        <w:t>(2)</w:t>
      </w:r>
      <w:r w:rsidR="0012066A" w:rsidRPr="0012066A">
        <w:tab/>
        <w:t>An f-factor scheme determination made in respect of the 2016-2020 regulatory control period must be made no later than 30 September 2018.</w:t>
      </w:r>
    </w:p>
    <w:p w:rsidR="00B160D0" w:rsidRPr="00B160D0" w:rsidRDefault="00B160D0" w:rsidP="00B160D0">
      <w:pPr>
        <w:pStyle w:val="AERquote"/>
      </w:pPr>
      <w:r w:rsidRPr="00B160D0">
        <w:t xml:space="preserve">(3) </w:t>
      </w:r>
      <w:r w:rsidR="0012066A" w:rsidRPr="0012066A">
        <w:t xml:space="preserve">An f-factor scheme determination made in respect of a regulatory control period subsequent to the 2016-2020 regulatory control </w:t>
      </w:r>
      <w:proofErr w:type="gramStart"/>
      <w:r w:rsidR="0012066A" w:rsidRPr="0012066A">
        <w:t>period</w:t>
      </w:r>
      <w:proofErr w:type="gramEnd"/>
      <w:r w:rsidR="0012066A" w:rsidRPr="0012066A">
        <w:t xml:space="preserve"> must be made so as to take effect at the commencement of the regulatory control period.</w:t>
      </w:r>
    </w:p>
    <w:p w:rsidR="00B160D0" w:rsidRPr="00B160D0" w:rsidRDefault="00B160D0" w:rsidP="00B160D0">
      <w:pPr>
        <w:pStyle w:val="AERquote"/>
      </w:pPr>
      <w:r w:rsidRPr="00B160D0">
        <w:t xml:space="preserve">(4) </w:t>
      </w:r>
      <w:r w:rsidR="0012066A" w:rsidRPr="0012066A">
        <w:t>The AER must publish an f-factor scheme determination. An f-factor scheme determination may be published as part of a distribution determination for the relevant regulatory control period.</w:t>
      </w:r>
    </w:p>
    <w:p w:rsidR="00B160D0" w:rsidRPr="00B160D0" w:rsidRDefault="0012066A" w:rsidP="00B160D0">
      <w:r>
        <w:t>Clause 9</w:t>
      </w:r>
      <w:r w:rsidR="00B160D0" w:rsidRPr="00B160D0">
        <w:t>(1) of the Order provides:</w:t>
      </w:r>
    </w:p>
    <w:p w:rsidR="00B160D0" w:rsidRDefault="00B160D0" w:rsidP="00B160D0">
      <w:pPr>
        <w:pStyle w:val="AERquote"/>
      </w:pPr>
      <w:r w:rsidRPr="00B160D0">
        <w:t>An f-factor scheme determination must establish an f-factor scheme that complies with this Order and under which there is a revenue adjustment for a Distribution Network Service Provider.</w:t>
      </w:r>
    </w:p>
    <w:p w:rsidR="00B01F77" w:rsidRDefault="00D577B8" w:rsidP="0047407F">
      <w:pPr>
        <w:rPr>
          <w:b/>
          <w:bCs/>
          <w:color w:val="076A92" w:themeColor="text1"/>
          <w:sz w:val="24"/>
          <w:szCs w:val="18"/>
        </w:rPr>
      </w:pPr>
      <w:r w:rsidRPr="0015240F">
        <w:rPr>
          <w:rStyle w:val="AERbody"/>
        </w:rPr>
        <w:t>Cla</w:t>
      </w:r>
      <w:r w:rsidRPr="00D577B8">
        <w:rPr>
          <w:rStyle w:val="AERbody"/>
        </w:rPr>
        <w:t>use 9(5) of the Order specifies that, an f-factor scheme determination may specify how the revenue adjustment is to occur</w:t>
      </w:r>
      <w:r>
        <w:rPr>
          <w:rStyle w:val="AERbody"/>
        </w:rPr>
        <w:t>.</w:t>
      </w:r>
      <w:bookmarkStart w:id="67" w:name="_Toc416278154"/>
      <w:bookmarkStart w:id="68" w:name="_Toc416346517"/>
      <w:bookmarkStart w:id="69" w:name="_Toc416278157"/>
      <w:bookmarkStart w:id="70" w:name="_Toc416346520"/>
      <w:bookmarkStart w:id="71" w:name="_Toc416278160"/>
      <w:bookmarkStart w:id="72" w:name="_Toc416346523"/>
      <w:bookmarkStart w:id="73" w:name="_Toc416278163"/>
      <w:bookmarkStart w:id="74" w:name="_Toc416346526"/>
      <w:bookmarkStart w:id="75" w:name="_Toc416278166"/>
      <w:bookmarkStart w:id="76" w:name="_Toc416346529"/>
      <w:bookmarkStart w:id="77" w:name="_Toc416278169"/>
      <w:bookmarkStart w:id="78" w:name="_Toc416346532"/>
      <w:bookmarkStart w:id="79" w:name="_Toc416278172"/>
      <w:bookmarkStart w:id="80" w:name="_Toc416346535"/>
      <w:bookmarkStart w:id="81" w:name="_Toc416278175"/>
      <w:bookmarkStart w:id="82" w:name="_Toc416346538"/>
      <w:bookmarkStart w:id="83" w:name="_Toc416278178"/>
      <w:bookmarkStart w:id="84" w:name="_Toc416346541"/>
      <w:bookmarkStart w:id="85" w:name="_Toc416278181"/>
      <w:bookmarkStart w:id="86" w:name="_Toc416346544"/>
      <w:bookmarkStart w:id="87" w:name="_Toc416278184"/>
      <w:bookmarkStart w:id="88" w:name="_Toc416346547"/>
      <w:bookmarkStart w:id="89" w:name="_Toc416278187"/>
      <w:bookmarkStart w:id="90" w:name="_Toc416346550"/>
      <w:bookmarkStart w:id="91" w:name="_Toc416278190"/>
      <w:bookmarkStart w:id="92" w:name="_Toc416346553"/>
      <w:bookmarkStart w:id="93" w:name="_Toc416278193"/>
      <w:bookmarkStart w:id="94" w:name="_Toc416346556"/>
      <w:bookmarkStart w:id="95" w:name="_Toc416278196"/>
      <w:bookmarkStart w:id="96" w:name="_Toc416346559"/>
      <w:bookmarkStart w:id="97" w:name="_Toc416278199"/>
      <w:bookmarkStart w:id="98" w:name="_Toc416346562"/>
      <w:bookmarkStart w:id="99" w:name="_Toc416278202"/>
      <w:bookmarkStart w:id="100" w:name="_Toc416346565"/>
      <w:bookmarkStart w:id="101" w:name="_Toc416278205"/>
      <w:bookmarkStart w:id="102" w:name="_Toc416346568"/>
      <w:bookmarkStart w:id="103" w:name="_Toc416278208"/>
      <w:bookmarkStart w:id="104" w:name="_Toc416346571"/>
      <w:bookmarkStart w:id="105" w:name="_Toc416278211"/>
      <w:bookmarkStart w:id="106" w:name="_Toc416346574"/>
      <w:bookmarkStart w:id="107" w:name="_Toc416278214"/>
      <w:bookmarkStart w:id="108" w:name="_Toc416346577"/>
      <w:bookmarkStart w:id="109" w:name="_Toc416278217"/>
      <w:bookmarkStart w:id="110" w:name="_Toc416346580"/>
      <w:bookmarkStart w:id="111" w:name="_Toc416278220"/>
      <w:bookmarkStart w:id="112" w:name="_Toc416346583"/>
      <w:bookmarkStart w:id="113" w:name="_Toc416278223"/>
      <w:bookmarkStart w:id="114" w:name="_Toc416346586"/>
      <w:bookmarkStart w:id="115" w:name="_Toc416278226"/>
      <w:bookmarkStart w:id="116" w:name="_Toc416346589"/>
      <w:bookmarkStart w:id="117" w:name="_Toc416278229"/>
      <w:bookmarkStart w:id="118" w:name="_Toc416346592"/>
      <w:bookmarkStart w:id="119" w:name="_Toc416278232"/>
      <w:bookmarkStart w:id="120" w:name="_Toc416346595"/>
      <w:bookmarkStart w:id="121" w:name="_Toc416278235"/>
      <w:bookmarkStart w:id="122" w:name="_Toc416346598"/>
      <w:bookmarkStart w:id="123" w:name="_Toc416278238"/>
      <w:bookmarkStart w:id="124" w:name="_Toc416346601"/>
      <w:bookmarkStart w:id="125" w:name="_Toc468803438"/>
      <w:bookmarkStart w:id="126" w:name="_Toc468803569"/>
      <w:bookmarkStart w:id="127" w:name="_Toc468803702"/>
      <w:bookmarkStart w:id="128" w:name="_Toc468803833"/>
      <w:bookmarkStart w:id="129" w:name="_Toc468869312"/>
      <w:bookmarkStart w:id="130" w:name="_Toc468803439"/>
      <w:bookmarkStart w:id="131" w:name="_Toc468803570"/>
      <w:bookmarkStart w:id="132" w:name="_Toc468803703"/>
      <w:bookmarkStart w:id="133" w:name="_Toc468803834"/>
      <w:bookmarkStart w:id="134" w:name="_Toc468869313"/>
      <w:bookmarkStart w:id="135" w:name="_Toc468803440"/>
      <w:bookmarkStart w:id="136" w:name="_Toc468803571"/>
      <w:bookmarkStart w:id="137" w:name="_Toc468803704"/>
      <w:bookmarkStart w:id="138" w:name="_Toc468803835"/>
      <w:bookmarkStart w:id="139" w:name="_Toc468869314"/>
      <w:bookmarkStart w:id="140" w:name="_Toc468803441"/>
      <w:bookmarkStart w:id="141" w:name="_Toc468803572"/>
      <w:bookmarkStart w:id="142" w:name="_Toc468803705"/>
      <w:bookmarkStart w:id="143" w:name="_Toc468803836"/>
      <w:bookmarkStart w:id="144" w:name="_Toc468869315"/>
      <w:bookmarkStart w:id="145" w:name="_Toc468803443"/>
      <w:bookmarkStart w:id="146" w:name="_Toc468803574"/>
      <w:bookmarkStart w:id="147" w:name="_Toc468803707"/>
      <w:bookmarkStart w:id="148" w:name="_Toc468803838"/>
      <w:bookmarkStart w:id="149" w:name="_Toc468869317"/>
      <w:bookmarkEnd w:id="5"/>
      <w:bookmarkEnd w:id="6"/>
      <w:bookmarkEnd w:id="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D45FC0" w:rsidRDefault="00D45FC0" w:rsidP="00D45FC0">
      <w:pPr>
        <w:pStyle w:val="AERbulletlistfirststyle"/>
        <w:numPr>
          <w:ilvl w:val="0"/>
          <w:numId w:val="0"/>
        </w:numPr>
        <w:ind w:left="357"/>
      </w:pPr>
    </w:p>
    <w:p w:rsidR="007F28CC" w:rsidRPr="007F28CC" w:rsidRDefault="007F28CC" w:rsidP="007F28CC">
      <w:pPr>
        <w:pStyle w:val="Heading1"/>
      </w:pPr>
      <w:bookmarkStart w:id="150" w:name="_Toc468869320"/>
      <w:bookmarkStart w:id="151" w:name="_Toc468869321"/>
      <w:bookmarkStart w:id="152" w:name="_Toc468869322"/>
      <w:bookmarkStart w:id="153" w:name="_Toc468869323"/>
      <w:bookmarkStart w:id="154" w:name="_Toc468869324"/>
      <w:bookmarkStart w:id="155" w:name="_Toc468869325"/>
      <w:bookmarkStart w:id="156" w:name="_Ref477509846"/>
      <w:bookmarkStart w:id="157" w:name="_Toc478731800"/>
      <w:bookmarkEnd w:id="150"/>
      <w:bookmarkEnd w:id="151"/>
      <w:bookmarkEnd w:id="152"/>
      <w:bookmarkEnd w:id="153"/>
      <w:bookmarkEnd w:id="154"/>
      <w:bookmarkEnd w:id="155"/>
      <w:r w:rsidRPr="007F28CC">
        <w:lastRenderedPageBreak/>
        <w:t>AER considerations</w:t>
      </w:r>
      <w:r w:rsidR="00CB018B">
        <w:t xml:space="preserve"> on revenue adjustment mechanism</w:t>
      </w:r>
      <w:bookmarkEnd w:id="156"/>
      <w:bookmarkEnd w:id="157"/>
    </w:p>
    <w:p w:rsidR="00FB254F" w:rsidRDefault="00FB254F" w:rsidP="00FB254F">
      <w:r>
        <w:t xml:space="preserve">This section outlines the AER’s considerations and conclusions regarding the </w:t>
      </w:r>
      <w:r w:rsidR="00763869">
        <w:t xml:space="preserve">revenue adjustment and </w:t>
      </w:r>
      <w:r>
        <w:t xml:space="preserve">IRU amount for each of the Victorian </w:t>
      </w:r>
      <w:r w:rsidR="00E77995">
        <w:t>distributor</w:t>
      </w:r>
      <w:r>
        <w:t>s for the 2016–20 period.</w:t>
      </w:r>
    </w:p>
    <w:p w:rsidR="00C22BD3" w:rsidRDefault="00FB254F" w:rsidP="00FB254F">
      <w:r>
        <w:t>Clause 9</w:t>
      </w:r>
      <w:r w:rsidRPr="00FB254F">
        <w:t xml:space="preserve">(1) of the Order provides that an f-factor scheme determination must establish an f-factor scheme under which there is a revenue adjustment for a </w:t>
      </w:r>
      <w:r w:rsidR="00E77995">
        <w:t>distributor</w:t>
      </w:r>
      <w:r w:rsidRPr="00FB254F">
        <w:t>.</w:t>
      </w:r>
    </w:p>
    <w:p w:rsidR="00C22BD3" w:rsidRDefault="00C22BD3" w:rsidP="00FB254F">
      <w:r>
        <w:t xml:space="preserve">Clause  9(4) of the Order specifies that the </w:t>
      </w:r>
      <w:r w:rsidRPr="00C22BD3">
        <w:t xml:space="preserve">IRU amount is the number of IRUs accrued in relation to the relevant distribution system in the relevant </w:t>
      </w:r>
      <w:r w:rsidRPr="00C22BD3">
        <w:rPr>
          <w:rStyle w:val="Strong"/>
        </w:rPr>
        <w:t>financial year</w:t>
      </w:r>
      <w:r>
        <w:rPr>
          <w:rStyle w:val="FootnoteReference"/>
          <w:b/>
          <w:bCs/>
        </w:rPr>
        <w:footnoteReference w:id="11"/>
      </w:r>
      <w:r>
        <w:t xml:space="preserve"> [emphasis added]</w:t>
      </w:r>
      <w:r w:rsidRPr="00C22BD3">
        <w:t>, determined in accordance with clause 11.</w:t>
      </w:r>
    </w:p>
    <w:p w:rsidR="0094606B" w:rsidRDefault="0094606B" w:rsidP="0094606B">
      <w:pPr>
        <w:pStyle w:val="Heading2"/>
      </w:pPr>
      <w:bookmarkStart w:id="158" w:name="_Toc478731801"/>
      <w:r>
        <w:t>Need for a six-month transitional arrangement</w:t>
      </w:r>
      <w:bookmarkEnd w:id="158"/>
    </w:p>
    <w:p w:rsidR="00FB254F" w:rsidRPr="00127B55" w:rsidRDefault="00C22BD3" w:rsidP="00FB254F">
      <w:r>
        <w:t xml:space="preserve">Because of the change to measure fire starts according to financial year, the first six months of 2016 [January-June 2016] were not covered by the new measurement method. </w:t>
      </w:r>
      <w:r w:rsidR="0094606B">
        <w:t>Hence, t</w:t>
      </w:r>
      <w:r>
        <w:t>he Victorian Government</w:t>
      </w:r>
      <w:r w:rsidR="0094606B">
        <w:t xml:space="preserve"> set a transitional measure and arrangement for this transitional period to the new scheme.</w:t>
      </w:r>
      <w:r w:rsidRPr="00C22BD3">
        <w:t xml:space="preserve"> </w:t>
      </w:r>
      <w:r w:rsidR="00FB254F" w:rsidRPr="00FB254F">
        <w:t xml:space="preserve"> </w:t>
      </w:r>
    </w:p>
    <w:p w:rsidR="00F37E45" w:rsidRDefault="00F37E45" w:rsidP="00F37E45">
      <w:pPr>
        <w:pStyle w:val="Heading3"/>
      </w:pPr>
      <w:bookmarkStart w:id="159" w:name="_Toc476913009"/>
      <w:bookmarkStart w:id="160" w:name="_Toc477518516"/>
      <w:bookmarkStart w:id="161" w:name="_Toc478731802"/>
      <w:r w:rsidRPr="00F37E45">
        <w:t>Transitional arrangements for 2018 revenue adjustment</w:t>
      </w:r>
      <w:bookmarkEnd w:id="159"/>
      <w:bookmarkEnd w:id="160"/>
      <w:bookmarkEnd w:id="161"/>
      <w:r w:rsidRPr="00F37E45">
        <w:t xml:space="preserve"> </w:t>
      </w:r>
    </w:p>
    <w:p w:rsidR="00F37E45" w:rsidRDefault="00F37E45" w:rsidP="00F37E45">
      <w:r>
        <w:t>Clauses 9(2) and 13 of the 2016 Order specify that a</w:t>
      </w:r>
      <w:r w:rsidRPr="008A08AA">
        <w:t xml:space="preserve"> separate revenue adjustment must be made for each Distribution Network Service Provider for the 2018 regulatory year in accord</w:t>
      </w:r>
      <w:r>
        <w:t>ance with the following formula:</w:t>
      </w:r>
    </w:p>
    <w:p w:rsidR="00F37E45" w:rsidRPr="00AD0201" w:rsidRDefault="00F37E45" w:rsidP="00F37E45">
      <m:oMathPara>
        <m:oMath>
          <m:r>
            <m:rPr>
              <m:sty m:val="bi"/>
            </m:rPr>
            <w:rPr>
              <w:rStyle w:val="AERbody"/>
              <w:rFonts w:ascii="Cambria Math" w:hAnsi="Cambria Math"/>
            </w:rPr>
            <m:t>Transitional adjustment</m:t>
          </m:r>
          <m:r>
            <m:rPr>
              <m:sty m:val="b"/>
            </m:rPr>
            <w:rPr>
              <w:rFonts w:ascii="Cambria Math" w:hAnsi="Cambria Math"/>
            </w:rPr>
            <m:t>=</m:t>
          </m:r>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Transitional rate</m:t>
              </m:r>
            </m:e>
            <m:sub>
              <m:r>
                <m:rPr>
                  <m:sty m:val="bi"/>
                </m:rPr>
                <w:rPr>
                  <w:rFonts w:ascii="Cambria Math" w:hAnsi="Cambria Math"/>
                </w:rPr>
                <m:t xml:space="preserve"> </m:t>
              </m:r>
            </m:sub>
          </m:sSub>
          <m:r>
            <w:rPr>
              <w:rFonts w:ascii="Cambria Math" w:hAnsi="Cambria Math"/>
            </w:rPr>
            <m:t>×</m:t>
          </m:r>
          <m:d>
            <m:dPr>
              <m:ctrlPr>
                <w:rPr>
                  <w:rFonts w:ascii="Cambria Math" w:hAnsi="Cambria Math"/>
                </w:rPr>
              </m:ctrlPr>
            </m:dPr>
            <m:e>
              <m:r>
                <m:rPr>
                  <m:sty m:val="bi"/>
                </m:rPr>
                <w:rPr>
                  <w:rFonts w:ascii="Cambria Math" w:hAnsi="Cambria Math"/>
                </w:rPr>
                <m:t>Transitional target - Number of fires</m:t>
              </m:r>
            </m:e>
          </m:d>
        </m:oMath>
      </m:oMathPara>
    </w:p>
    <w:p w:rsidR="00F37E45" w:rsidRPr="00F37E45" w:rsidRDefault="00F37E45" w:rsidP="00F37E45">
      <w:pPr>
        <w:pStyle w:val="ListParagraph"/>
        <w:numPr>
          <w:ilvl w:val="0"/>
          <w:numId w:val="0"/>
        </w:numPr>
        <w:ind w:left="340"/>
      </w:pPr>
      <w:proofErr w:type="gramStart"/>
      <w:r>
        <w:t>where</w:t>
      </w:r>
      <w:proofErr w:type="gramEnd"/>
    </w:p>
    <w:p w:rsidR="00F37E45" w:rsidRDefault="00F37E45" w:rsidP="003878BA">
      <w:pPr>
        <w:pStyle w:val="AERnumberedlistthirdstyle"/>
        <w:numPr>
          <w:ilvl w:val="0"/>
          <w:numId w:val="34"/>
        </w:numPr>
      </w:pPr>
      <w:r w:rsidRPr="00AD0201">
        <w:t>Transitional adjustment is the adjustment to the revenue for the relevant Distribution Network Service Provider for the 2018 regulatory year;</w:t>
      </w:r>
    </w:p>
    <w:p w:rsidR="00F37E45" w:rsidRDefault="00F37E45" w:rsidP="003878BA">
      <w:pPr>
        <w:pStyle w:val="AERnumberedlistthirdstyle"/>
        <w:numPr>
          <w:ilvl w:val="0"/>
          <w:numId w:val="34"/>
        </w:numPr>
      </w:pPr>
      <w:r w:rsidRPr="00AD0201">
        <w:t>Transitional rate is $25,000;</w:t>
      </w:r>
    </w:p>
    <w:p w:rsidR="00F37E45" w:rsidRDefault="00F37E45" w:rsidP="003878BA">
      <w:pPr>
        <w:pStyle w:val="AERnumberedlistthirdstyle"/>
        <w:numPr>
          <w:ilvl w:val="0"/>
          <w:numId w:val="34"/>
        </w:numPr>
      </w:pPr>
      <w:r w:rsidRPr="00AD0201">
        <w:t>Transitional target is the number of fire starts for the first six months of the 2016 regulatory year as specified in the following table:</w:t>
      </w:r>
    </w:p>
    <w:tbl>
      <w:tblPr>
        <w:tblStyle w:val="AERtable-text1"/>
        <w:tblW w:w="8804" w:type="dxa"/>
        <w:tblInd w:w="0" w:type="dxa"/>
        <w:tblLook w:val="04A0" w:firstRow="1" w:lastRow="0" w:firstColumn="1" w:lastColumn="0" w:noHBand="0" w:noVBand="1"/>
      </w:tblPr>
      <w:tblGrid>
        <w:gridCol w:w="2142"/>
        <w:gridCol w:w="1559"/>
        <w:gridCol w:w="1701"/>
        <w:gridCol w:w="1701"/>
        <w:gridCol w:w="1701"/>
      </w:tblGrid>
      <w:tr w:rsidR="00F37E45" w:rsidRPr="00EF583F" w:rsidTr="003E30FF">
        <w:trPr>
          <w:cnfStyle w:val="100000000000" w:firstRow="1" w:lastRow="0" w:firstColumn="0" w:lastColumn="0" w:oddVBand="0" w:evenVBand="0" w:oddHBand="0" w:evenHBand="0" w:firstRowFirstColumn="0" w:firstRowLastColumn="0" w:lastRowFirstColumn="0" w:lastRowLastColumn="0"/>
          <w:trHeight w:val="360"/>
        </w:trPr>
        <w:tc>
          <w:tcPr>
            <w:tcW w:w="2142" w:type="dxa"/>
            <w:noWrap/>
            <w:hideMark/>
          </w:tcPr>
          <w:p w:rsidR="00F37E45" w:rsidRPr="00F37E45" w:rsidRDefault="00F37E45" w:rsidP="00F37E45">
            <w:r>
              <w:t>AusNet</w:t>
            </w:r>
          </w:p>
        </w:tc>
        <w:tc>
          <w:tcPr>
            <w:tcW w:w="1559" w:type="dxa"/>
            <w:noWrap/>
            <w:hideMark/>
          </w:tcPr>
          <w:p w:rsidR="00F37E45" w:rsidRPr="00F37E45" w:rsidRDefault="00F37E45" w:rsidP="00F37E45">
            <w:r>
              <w:t>CitiPower</w:t>
            </w:r>
          </w:p>
        </w:tc>
        <w:tc>
          <w:tcPr>
            <w:tcW w:w="1701" w:type="dxa"/>
            <w:noWrap/>
            <w:hideMark/>
          </w:tcPr>
          <w:p w:rsidR="00F37E45" w:rsidRPr="00F37E45" w:rsidRDefault="00F37E45" w:rsidP="00F37E45">
            <w:r>
              <w:t>Jemena</w:t>
            </w:r>
          </w:p>
        </w:tc>
        <w:tc>
          <w:tcPr>
            <w:tcW w:w="1701" w:type="dxa"/>
            <w:noWrap/>
            <w:hideMark/>
          </w:tcPr>
          <w:p w:rsidR="00F37E45" w:rsidRPr="00F37E45" w:rsidRDefault="00F37E45" w:rsidP="00F37E45">
            <w:proofErr w:type="spellStart"/>
            <w:r>
              <w:t>Powercor</w:t>
            </w:r>
            <w:proofErr w:type="spellEnd"/>
          </w:p>
        </w:tc>
        <w:tc>
          <w:tcPr>
            <w:tcW w:w="1701" w:type="dxa"/>
            <w:noWrap/>
            <w:hideMark/>
          </w:tcPr>
          <w:p w:rsidR="00F37E45" w:rsidRPr="00F37E45" w:rsidRDefault="00F37E45" w:rsidP="00F37E45">
            <w:r>
              <w:t>United Energy</w:t>
            </w:r>
          </w:p>
        </w:tc>
      </w:tr>
      <w:tr w:rsidR="00F37E45" w:rsidRPr="00EF583F" w:rsidTr="003E30FF">
        <w:trPr>
          <w:trHeight w:val="288"/>
        </w:trPr>
        <w:tc>
          <w:tcPr>
            <w:tcW w:w="2142" w:type="dxa"/>
            <w:noWrap/>
            <w:hideMark/>
          </w:tcPr>
          <w:p w:rsidR="00F37E45" w:rsidRPr="00F37E45" w:rsidRDefault="00F37E45" w:rsidP="00F37E45">
            <w:r>
              <w:t>109.0</w:t>
            </w:r>
            <w:r w:rsidRPr="00F37E45">
              <w:t xml:space="preserve"> </w:t>
            </w:r>
          </w:p>
        </w:tc>
        <w:tc>
          <w:tcPr>
            <w:tcW w:w="1559" w:type="dxa"/>
            <w:noWrap/>
            <w:hideMark/>
          </w:tcPr>
          <w:p w:rsidR="00F37E45" w:rsidRPr="00F37E45" w:rsidRDefault="00F37E45" w:rsidP="00F37E45">
            <w:r>
              <w:t>18.6</w:t>
            </w:r>
          </w:p>
        </w:tc>
        <w:tc>
          <w:tcPr>
            <w:tcW w:w="1701" w:type="dxa"/>
            <w:noWrap/>
            <w:hideMark/>
          </w:tcPr>
          <w:p w:rsidR="00F37E45" w:rsidRPr="00F37E45" w:rsidRDefault="00F37E45" w:rsidP="00F37E45">
            <w:r>
              <w:t>50.2</w:t>
            </w:r>
          </w:p>
        </w:tc>
        <w:tc>
          <w:tcPr>
            <w:tcW w:w="1701" w:type="dxa"/>
            <w:noWrap/>
            <w:hideMark/>
          </w:tcPr>
          <w:p w:rsidR="00F37E45" w:rsidRPr="00F37E45" w:rsidRDefault="00F37E45" w:rsidP="00F37E45">
            <w:r>
              <w:t>237.2</w:t>
            </w:r>
          </w:p>
        </w:tc>
        <w:tc>
          <w:tcPr>
            <w:tcW w:w="1701" w:type="dxa"/>
            <w:noWrap/>
            <w:hideMark/>
          </w:tcPr>
          <w:p w:rsidR="00F37E45" w:rsidRPr="00F37E45" w:rsidRDefault="00F37E45" w:rsidP="00F37E45">
            <w:r>
              <w:t>98.0</w:t>
            </w:r>
          </w:p>
        </w:tc>
      </w:tr>
    </w:tbl>
    <w:p w:rsidR="00F37E45" w:rsidRDefault="00F37E45" w:rsidP="003878BA">
      <w:pPr>
        <w:pStyle w:val="AERnumberedlistthirdstyle"/>
        <w:numPr>
          <w:ilvl w:val="0"/>
          <w:numId w:val="34"/>
        </w:numPr>
      </w:pPr>
      <w:r w:rsidRPr="00F37E45">
        <w:lastRenderedPageBreak/>
        <w:t>Number of fires is the number of fire starts determined under clause 12 to have occurred in the first six months of the 2016 regulatory year.</w:t>
      </w:r>
    </w:p>
    <w:p w:rsidR="0094606B" w:rsidRDefault="0094606B" w:rsidP="0094606B">
      <w:pPr>
        <w:pStyle w:val="Heading3"/>
      </w:pPr>
      <w:bookmarkStart w:id="162" w:name="_Toc476913010"/>
      <w:bookmarkStart w:id="163" w:name="_Toc477518517"/>
      <w:bookmarkStart w:id="164" w:name="_Toc478731803"/>
      <w:bookmarkStart w:id="165" w:name="_Ref476841533"/>
      <w:r>
        <w:t xml:space="preserve">Revenue adjustment for </w:t>
      </w:r>
      <w:r w:rsidRPr="00542964">
        <w:t>2015, 2016 and 2017</w:t>
      </w:r>
      <w:bookmarkEnd w:id="162"/>
      <w:bookmarkEnd w:id="163"/>
      <w:bookmarkEnd w:id="164"/>
    </w:p>
    <w:p w:rsidR="0094606B" w:rsidRDefault="0094606B" w:rsidP="0094606B">
      <w:r>
        <w:t>Clause 9(2) of the 2016 Order specifies that a</w:t>
      </w:r>
      <w:r w:rsidRPr="008A08AA">
        <w:t xml:space="preserve"> separate revenue adjustment must be made for each Distribution Network Service Provider for the 2015, 2016 and 2017 regulatory years in accordance with the previous f-factor scheme Order, as if that Order had not been revoked.</w:t>
      </w:r>
    </w:p>
    <w:p w:rsidR="0094606B" w:rsidRDefault="0094606B" w:rsidP="0094606B">
      <w:pPr>
        <w:pStyle w:val="Heading2"/>
      </w:pPr>
      <w:bookmarkStart w:id="166" w:name="_Toc478731804"/>
      <w:r>
        <w:t>Revenue adjustments after 2018</w:t>
      </w:r>
      <w:bookmarkEnd w:id="166"/>
    </w:p>
    <w:p w:rsidR="0094606B" w:rsidRPr="00D27546" w:rsidRDefault="0094606B" w:rsidP="0094606B">
      <w:r>
        <w:t>In accordance with clause 9(4) of the Order the revenue adjustment for Victorian distributor for the 2019 regulatory year, and for each subsequent regulatory year, must be determined by the AER as follows:</w:t>
      </w:r>
      <w:r w:rsidRPr="00815513">
        <w:t xml:space="preserve"> </w:t>
      </w:r>
    </w:p>
    <w:p w:rsidR="0094606B" w:rsidRPr="0094606B" w:rsidRDefault="0094606B" w:rsidP="0094606B">
      <m:oMathPara>
        <m:oMathParaPr>
          <m:jc m:val="center"/>
        </m:oMathParaPr>
        <m:oMath>
          <m:r>
            <m:rPr>
              <m:sty m:val="bi"/>
            </m:rPr>
            <w:rPr>
              <w:rFonts w:ascii="Cambria Math" w:hAnsi="Cambria Math"/>
            </w:rPr>
            <m:t>Revenue adjustm</m:t>
          </m:r>
          <m:r>
            <m:rPr>
              <m:sty m:val="bi"/>
            </m:rPr>
            <w:rPr>
              <w:rFonts w:ascii="Cambria Math" w:hAnsi="Cambria Math"/>
            </w:rPr>
            <m:t>ent</m:t>
          </m:r>
          <m:r>
            <m:rPr>
              <m:sty m:val="b"/>
            </m:rPr>
            <w:rPr>
              <w:rFonts w:ascii="Cambria Math" w:hAnsi="Cambria Math"/>
            </w:rPr>
            <m:t>=</m:t>
          </m:r>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Incentive rate</m:t>
              </m:r>
            </m:e>
            <m:sub>
              <m:r>
                <m:rPr>
                  <m:sty m:val="bi"/>
                </m:rPr>
                <w:rPr>
                  <w:rFonts w:ascii="Cambria Math" w:hAnsi="Cambria Math"/>
                </w:rPr>
                <m:t xml:space="preserve"> </m:t>
              </m:r>
            </m:sub>
          </m:sSub>
          <m:r>
            <w:rPr>
              <w:rFonts w:ascii="Cambria Math" w:hAnsi="Cambria Math"/>
            </w:rPr>
            <m:t>×</m:t>
          </m:r>
          <m:d>
            <m:dPr>
              <m:ctrlPr>
                <w:rPr>
                  <w:rFonts w:ascii="Cambria Math" w:hAnsi="Cambria Math"/>
                </w:rPr>
              </m:ctrlPr>
            </m:dPr>
            <m:e>
              <m:sSub>
                <m:sSubPr>
                  <m:ctrlPr>
                    <w:rPr>
                      <w:rFonts w:ascii="Cambria Math" w:hAnsi="Cambria Math"/>
                    </w:rPr>
                  </m:ctrlPr>
                </m:sSubPr>
                <m:e>
                  <m:r>
                    <m:rPr>
                      <m:sty m:val="bi"/>
                    </m:rPr>
                    <w:rPr>
                      <w:rFonts w:ascii="Cambria Math" w:hAnsi="Cambria Math"/>
                    </w:rPr>
                    <m:t>IRU target</m:t>
                  </m:r>
                </m:e>
                <m:sub>
                  <m:r>
                    <m:rPr>
                      <m:sty m:val="bi"/>
                    </m:rPr>
                    <w:rPr>
                      <w:rFonts w:ascii="Cambria Math" w:hAnsi="Cambria Math"/>
                    </w:rPr>
                    <m:t xml:space="preserve"> </m:t>
                  </m:r>
                </m:sub>
              </m:sSub>
              <m:r>
                <w:rPr>
                  <w:rFonts w:ascii="Cambria Math" w:hAnsi="Cambria Math"/>
                </w:rPr>
                <m:t xml:space="preserve">- </m:t>
              </m:r>
              <m:r>
                <m:rPr>
                  <m:sty m:val="bi"/>
                </m:rPr>
                <w:rPr>
                  <w:rFonts w:ascii="Cambria Math" w:hAnsi="Cambria Math"/>
                </w:rPr>
                <m:t>IRU amount</m:t>
              </m:r>
            </m:e>
          </m:d>
          <m:r>
            <w:rPr>
              <w:rFonts w:ascii="Cambria Math" w:hAnsi="Cambria Math"/>
            </w:rPr>
            <m:t xml:space="preserve"> </m:t>
          </m:r>
        </m:oMath>
      </m:oMathPara>
    </w:p>
    <w:p w:rsidR="0094606B" w:rsidRPr="00D27546" w:rsidRDefault="0094606B" w:rsidP="0094606B">
      <w:proofErr w:type="gramStart"/>
      <w:r>
        <w:t>where</w:t>
      </w:r>
      <w:proofErr w:type="gramEnd"/>
      <w:r>
        <w:t xml:space="preserve"> </w:t>
      </w:r>
    </w:p>
    <w:p w:rsidR="0094606B" w:rsidRPr="0094606B" w:rsidRDefault="0094606B" w:rsidP="0094606B">
      <w:pPr>
        <w:pStyle w:val="AERnumberedlistsecondstyle"/>
      </w:pPr>
      <w:r w:rsidRPr="00D27546">
        <w:t>Revenue adjustment is the adjustment to the revenue for the relevant Distribution Network Service Provider for the regulatory year;</w:t>
      </w:r>
    </w:p>
    <w:p w:rsidR="0094606B" w:rsidRDefault="0094606B" w:rsidP="0094606B">
      <w:pPr>
        <w:pStyle w:val="AERnumberedlistsecondstyle"/>
      </w:pPr>
      <w:r w:rsidRPr="00AD0201">
        <w:t>Incentive rate is $15,000;</w:t>
      </w:r>
    </w:p>
    <w:p w:rsidR="0094606B" w:rsidRDefault="0094606B" w:rsidP="0094606B">
      <w:pPr>
        <w:pStyle w:val="AERnumberedlistsecondstyle"/>
      </w:pPr>
      <w:r w:rsidRPr="00AD0201">
        <w:t>IRU target is the IRU target applicable for the relevant financial year for the relevant Distribution Network Service Provider, as specified in clause</w:t>
      </w:r>
      <w:r>
        <w:t xml:space="preserve"> 11</w:t>
      </w:r>
      <w:r w:rsidRPr="00AD0201">
        <w:t>; and</w:t>
      </w:r>
    </w:p>
    <w:p w:rsidR="0094606B" w:rsidRDefault="0094606B" w:rsidP="0094606B">
      <w:pPr>
        <w:pStyle w:val="AERnumberedlistsecondstyle"/>
      </w:pPr>
      <w:r>
        <w:t xml:space="preserve"> </w:t>
      </w:r>
      <w:r w:rsidRPr="00AD0201">
        <w:t xml:space="preserve">IRU amount is the number of IRUs accrued in relation to the relevant distribution system in the relevant financial year, determined in accordance with clause 11. </w:t>
      </w:r>
    </w:p>
    <w:p w:rsidR="0094606B" w:rsidRPr="00D27546" w:rsidRDefault="0094606B" w:rsidP="0047407F">
      <w:pPr>
        <w:pStyle w:val="AERquoteindent2"/>
      </w:pPr>
      <w:r>
        <w:t xml:space="preserve">Notes: </w:t>
      </w:r>
      <w:r w:rsidRPr="00D27546">
        <w:t>See the definition of “relevant financial year” in clause 4. By reason of that definition, the revenue adjustment for a regulatory year is made on the basis of the IRU target and IRU amount for the relevant financial year, which ends 18 months prior to the commencement of the regulatory year.</w:t>
      </w:r>
    </w:p>
    <w:p w:rsidR="0094606B" w:rsidRDefault="0094606B" w:rsidP="0094606B">
      <w:r w:rsidRPr="00CB2751">
        <w:t xml:space="preserve">In accordance with clause </w:t>
      </w:r>
      <w:r>
        <w:t>10</w:t>
      </w:r>
      <w:r w:rsidRPr="00CB2751">
        <w:t>(1) of the Order the AER determines that the</w:t>
      </w:r>
      <w:r>
        <w:t xml:space="preserve"> IRU</w:t>
      </w:r>
      <w:r w:rsidRPr="00CB2751">
        <w:t xml:space="preserve"> target number</w:t>
      </w:r>
      <w:r>
        <w:t>s</w:t>
      </w:r>
      <w:r w:rsidRPr="00CB2751">
        <w:t xml:space="preserve"> for </w:t>
      </w:r>
      <w:r>
        <w:t xml:space="preserve">each distributor are set out in appendix A.1.  </w:t>
      </w:r>
    </w:p>
    <w:p w:rsidR="0029503C" w:rsidRPr="0029503C" w:rsidRDefault="0029503C" w:rsidP="0029503C">
      <w:pPr>
        <w:pStyle w:val="Heading3"/>
      </w:pPr>
      <w:bookmarkStart w:id="167" w:name="_Toc476913012"/>
      <w:bookmarkStart w:id="168" w:name="_Toc477518519"/>
      <w:bookmarkStart w:id="169" w:name="_Toc478731805"/>
      <w:r>
        <w:t>IRU amount</w:t>
      </w:r>
      <w:bookmarkEnd w:id="165"/>
      <w:bookmarkEnd w:id="167"/>
      <w:bookmarkEnd w:id="168"/>
      <w:bookmarkEnd w:id="169"/>
    </w:p>
    <w:p w:rsidR="008658FE" w:rsidRPr="008658FE" w:rsidRDefault="008658FE" w:rsidP="008658FE">
      <w:pPr>
        <w:rPr>
          <w:rStyle w:val="AERbody"/>
        </w:rPr>
      </w:pPr>
      <w:r w:rsidRPr="008658FE">
        <w:rPr>
          <w:rStyle w:val="AERbody"/>
        </w:rPr>
        <w:t xml:space="preserve">Clause 11(1) of the Order specifies that, subject to subclauses </w:t>
      </w:r>
      <w:r w:rsidR="00C60FC5">
        <w:rPr>
          <w:rStyle w:val="AERbody"/>
        </w:rPr>
        <w:t>(3)</w:t>
      </w:r>
      <w:r w:rsidR="00F07717">
        <w:rPr>
          <w:rStyle w:val="AERbody"/>
        </w:rPr>
        <w:t xml:space="preserve"> </w:t>
      </w:r>
      <w:r w:rsidRPr="008658FE">
        <w:rPr>
          <w:rStyle w:val="AERbody"/>
        </w:rPr>
        <w:t xml:space="preserve">and </w:t>
      </w:r>
      <w:r w:rsidR="00C60FC5">
        <w:rPr>
          <w:rStyle w:val="AERbody"/>
        </w:rPr>
        <w:t xml:space="preserve">(5) </w:t>
      </w:r>
      <w:r w:rsidRPr="008658FE">
        <w:rPr>
          <w:rStyle w:val="AERbody"/>
        </w:rPr>
        <w:t xml:space="preserve">the AER must calculate the IRU amount accrued by the relevant Distribution Network Service Provider in the relevant financial year in the relevant distribution system in accordance with the following formula – </w:t>
      </w:r>
    </w:p>
    <w:p w:rsidR="008658FE" w:rsidRPr="008658FE" w:rsidRDefault="008658FE" w:rsidP="008658FE">
      <m:oMathPara>
        <m:oMath>
          <m:r>
            <m:rPr>
              <m:sty m:val="bi"/>
            </m:rPr>
            <w:rPr>
              <w:rFonts w:ascii="Cambria Math" w:hAnsi="Cambria Math"/>
            </w:rPr>
            <m:t>IRU amount</m:t>
          </m:r>
          <m:r>
            <w:rPr>
              <w:rFonts w:ascii="Cambria Math" w:hAnsi="Cambria Math"/>
            </w:rPr>
            <m:t xml:space="preserve">= </m:t>
          </m:r>
          <m:nary>
            <m:naryPr>
              <m:chr m:val="∑"/>
              <m:limLoc m:val="undOvr"/>
              <m:ctrlPr>
                <w:rPr>
                  <w:rFonts w:ascii="Cambria Math" w:hAnsi="Cambria Math"/>
                </w:rPr>
              </m:ctrlPr>
            </m:naryPr>
            <m:sub>
              <m:r>
                <w:rPr>
                  <w:rFonts w:ascii="Cambria Math" w:hAnsi="Cambria Math"/>
                </w:rPr>
                <m:t xml:space="preserve">f=1 </m:t>
              </m:r>
            </m:sub>
            <m:sup>
              <m:r>
                <w:rPr>
                  <w:rFonts w:ascii="Cambria Math" w:hAnsi="Cambria Math"/>
                </w:rPr>
                <m:t>n</m:t>
              </m:r>
            </m:sup>
            <m:e>
              <m:sSub>
                <m:sSubPr>
                  <m:ctrlPr>
                    <w:rPr>
                      <w:rFonts w:ascii="Cambria Math" w:hAnsi="Cambria Math"/>
                    </w:rPr>
                  </m:ctrlPr>
                </m:sSubPr>
                <m:e>
                  <m:r>
                    <m:rPr>
                      <m:sty m:val="bi"/>
                    </m:rPr>
                    <w:rPr>
                      <w:rFonts w:ascii="Cambria Math" w:hAnsi="Cambria Math"/>
                    </w:rPr>
                    <m:t>danger multiplier</m:t>
                  </m:r>
                </m:e>
                <m:sub>
                  <m:r>
                    <m:rPr>
                      <m:sty m:val="bi"/>
                    </m:rPr>
                    <w:rPr>
                      <w:rFonts w:ascii="Cambria Math" w:hAnsi="Cambria Math"/>
                    </w:rPr>
                    <m:t>f</m:t>
                  </m:r>
                </m:sub>
              </m:sSub>
              <m:r>
                <m:rPr>
                  <m:sty m:val="bi"/>
                </m:rPr>
                <w:rPr>
                  <w:rFonts w:ascii="Cambria Math" w:hAnsi="Cambria Math"/>
                </w:rPr>
                <m:t xml:space="preserve"> </m:t>
              </m:r>
            </m:e>
          </m:nary>
          <m:r>
            <w:rPr>
              <w:rFonts w:ascii="Cambria Math" w:hAnsi="Cambria Math"/>
            </w:rPr>
            <m:t>×</m:t>
          </m:r>
          <m:sSub>
            <m:sSubPr>
              <m:ctrlPr>
                <w:rPr>
                  <w:rFonts w:ascii="Cambria Math" w:hAnsi="Cambria Math"/>
                </w:rPr>
              </m:ctrlPr>
            </m:sSubPr>
            <m:e>
              <m:r>
                <m:rPr>
                  <m:sty m:val="bi"/>
                </m:rPr>
                <w:rPr>
                  <w:rFonts w:ascii="Cambria Math" w:hAnsi="Cambria Math"/>
                </w:rPr>
                <m:t>location multiplier</m:t>
              </m:r>
            </m:e>
            <m:sub>
              <m:r>
                <m:rPr>
                  <m:sty m:val="bi"/>
                </m:rPr>
                <w:rPr>
                  <w:rFonts w:ascii="Cambria Math" w:hAnsi="Cambria Math"/>
                </w:rPr>
                <m:t>f</m:t>
              </m:r>
            </m:sub>
          </m:sSub>
          <m:r>
            <w:rPr>
              <w:rFonts w:ascii="Cambria Math" w:hAnsi="Cambria Math"/>
            </w:rPr>
            <m:t xml:space="preserve"> </m:t>
          </m:r>
        </m:oMath>
      </m:oMathPara>
    </w:p>
    <w:p w:rsidR="008658FE" w:rsidRDefault="008658FE" w:rsidP="008658FE">
      <w:r w:rsidRPr="008658FE">
        <w:lastRenderedPageBreak/>
        <w:t xml:space="preserve">where n is the total number of fire starts determined under clause </w:t>
      </w:r>
      <w:r w:rsidR="00B1438B">
        <w:t xml:space="preserve">12 </w:t>
      </w:r>
      <w:r w:rsidRPr="008658FE">
        <w:t xml:space="preserve">to have occurred in the relevant distribution system during the relevant financial year and – </w:t>
      </w:r>
    </w:p>
    <w:p w:rsidR="008658FE" w:rsidRPr="008658FE" w:rsidRDefault="008658FE" w:rsidP="008658FE">
      <w:pPr>
        <w:rPr>
          <w:rStyle w:val="AERbody"/>
        </w:rPr>
      </w:pPr>
      <w:proofErr w:type="gramStart"/>
      <w:r w:rsidRPr="008658FE">
        <w:rPr>
          <w:rStyle w:val="AERbody"/>
        </w:rPr>
        <w:t>where</w:t>
      </w:r>
      <w:proofErr w:type="gramEnd"/>
      <w:r w:rsidRPr="008658FE">
        <w:rPr>
          <w:rStyle w:val="AERbody"/>
        </w:rPr>
        <w:t xml:space="preserve"> f represents each individual fire start that occurred in the relevant distribution system during the relevant financial year and – </w:t>
      </w:r>
    </w:p>
    <w:p w:rsidR="008658FE" w:rsidRPr="008658FE" w:rsidRDefault="008658FE" w:rsidP="008658FE">
      <w:pPr>
        <w:pStyle w:val="ListBullet2"/>
      </w:pPr>
      <w:r w:rsidRPr="008658FE">
        <w:t xml:space="preserve">danger multiplier is, for fire start f – </w:t>
      </w:r>
    </w:p>
    <w:p w:rsidR="008658FE" w:rsidRDefault="008658FE" w:rsidP="00A53B31">
      <w:pPr>
        <w:pStyle w:val="AERquoteindent1"/>
      </w:pPr>
      <w:bookmarkStart w:id="170" w:name="_Ref457469889"/>
      <w:r w:rsidRPr="008658FE">
        <w:t xml:space="preserve">0.1 </w:t>
      </w:r>
      <w:proofErr w:type="gramStart"/>
      <w:r w:rsidRPr="008658FE">
        <w:t>where</w:t>
      </w:r>
      <w:proofErr w:type="gramEnd"/>
      <w:r w:rsidRPr="008658FE">
        <w:t xml:space="preserve"> no fire danger rating is forecast at the time the fire started;</w:t>
      </w:r>
      <w:bookmarkEnd w:id="170"/>
    </w:p>
    <w:p w:rsidR="008658FE" w:rsidRDefault="008658FE" w:rsidP="00A53B31">
      <w:pPr>
        <w:pStyle w:val="AERquoteindent1"/>
      </w:pPr>
      <w:r w:rsidRPr="008658FE">
        <w:t xml:space="preserve">0.2 </w:t>
      </w:r>
      <w:proofErr w:type="gramStart"/>
      <w:r w:rsidRPr="008658FE">
        <w:t>where</w:t>
      </w:r>
      <w:proofErr w:type="gramEnd"/>
      <w:r w:rsidRPr="008658FE">
        <w:t xml:space="preserve"> the fire danger rating is low-moderate at the time the fire started;</w:t>
      </w:r>
    </w:p>
    <w:p w:rsidR="008658FE" w:rsidRDefault="008658FE" w:rsidP="00A53B31">
      <w:pPr>
        <w:pStyle w:val="AERquoteindent1"/>
      </w:pPr>
      <w:r w:rsidRPr="008658FE">
        <w:t xml:space="preserve">0.5 </w:t>
      </w:r>
      <w:proofErr w:type="gramStart"/>
      <w:r w:rsidRPr="008658FE">
        <w:t>where</w:t>
      </w:r>
      <w:proofErr w:type="gramEnd"/>
      <w:r w:rsidRPr="008658FE">
        <w:t xml:space="preserve"> the fire danger rating is high at the time the fire started;</w:t>
      </w:r>
    </w:p>
    <w:p w:rsidR="008658FE" w:rsidRDefault="008658FE" w:rsidP="00A53B31">
      <w:pPr>
        <w:pStyle w:val="AERquoteindent1"/>
      </w:pPr>
      <w:r w:rsidRPr="008658FE">
        <w:t>1 where the fire danger rating is very high at the time the fire started;</w:t>
      </w:r>
    </w:p>
    <w:p w:rsidR="008658FE" w:rsidRDefault="008658FE" w:rsidP="00A53B31">
      <w:pPr>
        <w:pStyle w:val="AERquoteindent1"/>
      </w:pPr>
      <w:r w:rsidRPr="008658FE">
        <w:t>2 where the fire danger rating is severe at the time the fire started;</w:t>
      </w:r>
    </w:p>
    <w:p w:rsidR="008658FE" w:rsidRDefault="008658FE" w:rsidP="00A53B31">
      <w:pPr>
        <w:pStyle w:val="AERquoteindent1"/>
      </w:pPr>
      <w:r w:rsidRPr="008658FE">
        <w:t xml:space="preserve">3.5 </w:t>
      </w:r>
      <w:proofErr w:type="gramStart"/>
      <w:r w:rsidRPr="008658FE">
        <w:t>where</w:t>
      </w:r>
      <w:proofErr w:type="gramEnd"/>
      <w:r w:rsidRPr="008658FE">
        <w:t xml:space="preserve"> the fire danger rating is extreme at the time the fire started; or</w:t>
      </w:r>
    </w:p>
    <w:p w:rsidR="008658FE" w:rsidRPr="008658FE" w:rsidRDefault="008658FE" w:rsidP="00A53B31">
      <w:pPr>
        <w:pStyle w:val="AERquoteindent1"/>
      </w:pPr>
      <w:r w:rsidRPr="008658FE">
        <w:t>5 where the fire danger rating is Code Red at the time the fire started.</w:t>
      </w:r>
    </w:p>
    <w:p w:rsidR="008658FE" w:rsidRPr="008658FE" w:rsidRDefault="008658FE" w:rsidP="008658FE">
      <w:pPr>
        <w:pStyle w:val="ListBullet2"/>
      </w:pPr>
      <w:bookmarkStart w:id="171" w:name="_Ref449431728"/>
      <w:r w:rsidRPr="008658FE">
        <w:t>location multiplier is, for fire start f –</w:t>
      </w:r>
      <w:bookmarkEnd w:id="171"/>
    </w:p>
    <w:p w:rsidR="008658FE" w:rsidRPr="008658FE" w:rsidRDefault="00E77995" w:rsidP="00A53B31">
      <w:pPr>
        <w:pStyle w:val="AERquote"/>
      </w:pPr>
      <w:r>
        <w:t>(</w:t>
      </w:r>
      <w:proofErr w:type="spellStart"/>
      <w:r>
        <w:t>i</w:t>
      </w:r>
      <w:proofErr w:type="spellEnd"/>
      <w:r>
        <w:t>)</w:t>
      </w:r>
      <w:proofErr w:type="gramStart"/>
      <w:r>
        <w:t xml:space="preserve">,  </w:t>
      </w:r>
      <w:r w:rsidR="008658FE" w:rsidRPr="008658FE">
        <w:t>0.2</w:t>
      </w:r>
      <w:proofErr w:type="gramEnd"/>
      <w:r w:rsidR="008658FE" w:rsidRPr="008658FE">
        <w:t xml:space="preserve"> where the fire start occurred in an area that is not a hazardous bushfire risk area; or</w:t>
      </w:r>
    </w:p>
    <w:p w:rsidR="008658FE" w:rsidRPr="008658FE" w:rsidRDefault="008658FE" w:rsidP="00A53B31">
      <w:pPr>
        <w:pStyle w:val="AERquote"/>
      </w:pPr>
      <w:proofErr w:type="gramStart"/>
      <w:r w:rsidRPr="008658FE">
        <w:t>if</w:t>
      </w:r>
      <w:proofErr w:type="gramEnd"/>
      <w:r w:rsidRPr="008658FE">
        <w:t xml:space="preserve"> the fire start occurred in a hazardous bushfire risk area, the highest applicable value of–</w:t>
      </w:r>
    </w:p>
    <w:p w:rsidR="008658FE" w:rsidRPr="008658FE" w:rsidRDefault="00E77995" w:rsidP="00E77995">
      <w:pPr>
        <w:pStyle w:val="AERquote"/>
      </w:pPr>
      <w:r>
        <w:t xml:space="preserve">(ii), </w:t>
      </w:r>
      <w:r w:rsidR="008658FE" w:rsidRPr="008658FE">
        <w:t xml:space="preserve">1; </w:t>
      </w:r>
    </w:p>
    <w:p w:rsidR="008658FE" w:rsidRPr="008658FE" w:rsidRDefault="00E77995" w:rsidP="00E77995">
      <w:pPr>
        <w:pStyle w:val="AERquote"/>
      </w:pPr>
      <w:bookmarkStart w:id="172" w:name="_Ref457378345"/>
      <w:r>
        <w:t xml:space="preserve">(iii), </w:t>
      </w:r>
      <w:r w:rsidR="008658FE" w:rsidRPr="008658FE">
        <w:t>4.6 where the fire start occurred in an area delineated and bounded in red as represented on the plan lodged in the Central Plan Office and numbered LEGL./16-354; or</w:t>
      </w:r>
      <w:bookmarkEnd w:id="172"/>
      <w:r w:rsidR="008658FE" w:rsidRPr="008658FE">
        <w:t xml:space="preserve"> </w:t>
      </w:r>
    </w:p>
    <w:p w:rsidR="008658FE" w:rsidRPr="008658FE" w:rsidRDefault="00E77995" w:rsidP="00E77995">
      <w:pPr>
        <w:pStyle w:val="AERquote"/>
      </w:pPr>
      <w:bookmarkStart w:id="173" w:name="_Ref457378335"/>
      <w:proofErr w:type="gramStart"/>
      <w:r>
        <w:t>(iv)</w:t>
      </w:r>
      <w:proofErr w:type="gramEnd"/>
      <w:r>
        <w:t xml:space="preserve">, </w:t>
      </w:r>
      <w:r w:rsidR="008658FE" w:rsidRPr="008658FE">
        <w:t>19.8 where the fire start occurred in an electric line construction area.</w:t>
      </w:r>
      <w:bookmarkEnd w:id="173"/>
    </w:p>
    <w:p w:rsidR="008658FE" w:rsidRPr="008658FE" w:rsidRDefault="008658FE" w:rsidP="00E77995">
      <w:pPr>
        <w:pStyle w:val="AERquote"/>
      </w:pPr>
      <w:r w:rsidRPr="008658FE">
        <w:t>Note: for fire starts that occurred in a hazardous bushfire risk area, the location multiplier values are not mutually exclusive and the highest applicable value applies. For example, if a fire start occurs in an area that is an electric line construction area (</w:t>
      </w:r>
      <w:proofErr w:type="spellStart"/>
      <w:r w:rsidRPr="008658FE">
        <w:t>ie</w:t>
      </w:r>
      <w:proofErr w:type="spellEnd"/>
      <w:r w:rsidRPr="008658FE">
        <w:t xml:space="preserve"> clause </w:t>
      </w:r>
      <w:r w:rsidR="00E77995">
        <w:t>iv</w:t>
      </w:r>
      <w:r w:rsidRPr="008658FE">
        <w:t xml:space="preserve"> applies) and at the same time, that area also falls within an area delineated and bounded in red on plan LEGL</w:t>
      </w:r>
      <w:proofErr w:type="gramStart"/>
      <w:r w:rsidRPr="008658FE">
        <w:t>./</w:t>
      </w:r>
      <w:proofErr w:type="gramEnd"/>
      <w:r w:rsidRPr="008658FE">
        <w:t>16-354 (</w:t>
      </w:r>
      <w:proofErr w:type="spellStart"/>
      <w:r w:rsidRPr="008658FE">
        <w:t>ie</w:t>
      </w:r>
      <w:proofErr w:type="spellEnd"/>
      <w:r w:rsidRPr="008658FE">
        <w:t xml:space="preserve"> clause </w:t>
      </w:r>
      <w:r w:rsidR="00E77995">
        <w:t>iii</w:t>
      </w:r>
      <w:r w:rsidRPr="008658FE">
        <w:t xml:space="preserve"> applies), the location multiplier value would be 19.8 not 4.6 because 19.8 is the highest value applicable to that fire start. </w:t>
      </w:r>
    </w:p>
    <w:p w:rsidR="0015240F" w:rsidRDefault="0015240F" w:rsidP="0015240F">
      <w:pPr>
        <w:pStyle w:val="Heading3"/>
      </w:pPr>
      <w:bookmarkStart w:id="174" w:name="_Toc476913013"/>
      <w:bookmarkStart w:id="175" w:name="_Toc477518520"/>
      <w:bookmarkStart w:id="176" w:name="_Toc478731806"/>
      <w:r>
        <w:t>How revenue adjustment is to occur</w:t>
      </w:r>
      <w:bookmarkEnd w:id="174"/>
      <w:bookmarkEnd w:id="175"/>
      <w:bookmarkEnd w:id="176"/>
    </w:p>
    <w:p w:rsidR="0015240F" w:rsidRPr="0015240F" w:rsidRDefault="0015240F" w:rsidP="0015240F">
      <w:pPr>
        <w:rPr>
          <w:rStyle w:val="AERbody"/>
        </w:rPr>
      </w:pPr>
      <w:r w:rsidRPr="0015240F">
        <w:rPr>
          <w:rStyle w:val="AERbody"/>
        </w:rPr>
        <w:t>Cla</w:t>
      </w:r>
      <w:r>
        <w:rPr>
          <w:rStyle w:val="AERbody"/>
        </w:rPr>
        <w:t>use 9(5</w:t>
      </w:r>
      <w:r w:rsidRPr="0015240F">
        <w:rPr>
          <w:rStyle w:val="AERbody"/>
        </w:rPr>
        <w:t xml:space="preserve">) of the Order specifies that, </w:t>
      </w:r>
      <w:r>
        <w:rPr>
          <w:rStyle w:val="AERbody"/>
        </w:rPr>
        <w:t>a</w:t>
      </w:r>
      <w:r w:rsidRPr="0015240F">
        <w:rPr>
          <w:rStyle w:val="AERbody"/>
        </w:rPr>
        <w:t>n f-factor scheme determination may specify how the revenue adjustment is to occur. For the avoidance of doubt and without limitation, the revenue adjustment may –</w:t>
      </w:r>
    </w:p>
    <w:p w:rsidR="0015240F" w:rsidRPr="0015240F" w:rsidRDefault="0015240F" w:rsidP="0015240F">
      <w:pPr>
        <w:pStyle w:val="AERnumberedlistsecondstyle"/>
        <w:numPr>
          <w:ilvl w:val="0"/>
          <w:numId w:val="45"/>
        </w:numPr>
      </w:pPr>
      <w:r w:rsidRPr="0015240F">
        <w:t>be by way of a pass through;</w:t>
      </w:r>
    </w:p>
    <w:p w:rsidR="0015240F" w:rsidRPr="0015240F" w:rsidRDefault="0015240F" w:rsidP="0015240F">
      <w:pPr>
        <w:pStyle w:val="AERnumberedlistsecondstyle"/>
      </w:pPr>
      <w:r w:rsidRPr="0015240F">
        <w:t>be by way of an annual adjustment to be included in the control mechanism for a distribution determination;</w:t>
      </w:r>
    </w:p>
    <w:p w:rsidR="0015240F" w:rsidRPr="0015240F" w:rsidRDefault="0015240F" w:rsidP="0015240F">
      <w:pPr>
        <w:pStyle w:val="AERnumberedlistsecondstyle"/>
      </w:pPr>
      <w:r w:rsidRPr="0015240F">
        <w:lastRenderedPageBreak/>
        <w:t xml:space="preserve">be expressed as a percentage adjustment to revenue; </w:t>
      </w:r>
    </w:p>
    <w:p w:rsidR="0015240F" w:rsidRPr="0015240F" w:rsidRDefault="0015240F" w:rsidP="0015240F">
      <w:pPr>
        <w:pStyle w:val="AERnumberedlistsecondstyle"/>
      </w:pPr>
      <w:r w:rsidRPr="0015240F">
        <w:t>take effect over more than one regulatory year; and</w:t>
      </w:r>
    </w:p>
    <w:p w:rsidR="0015240F" w:rsidRPr="0015240F" w:rsidRDefault="0015240F" w:rsidP="0015240F">
      <w:pPr>
        <w:pStyle w:val="AERnumberedlistsecondstyle"/>
      </w:pPr>
      <w:proofErr w:type="gramStart"/>
      <w:r w:rsidRPr="0015240F">
        <w:t>take</w:t>
      </w:r>
      <w:proofErr w:type="gramEnd"/>
      <w:r w:rsidRPr="0015240F">
        <w:t xml:space="preserve"> effect over more than one regulatory control period.</w:t>
      </w:r>
    </w:p>
    <w:p w:rsidR="00A53B31" w:rsidRDefault="00A53B31" w:rsidP="00A53B31">
      <w:r>
        <w:t>In the 2016-20 distribution determination, we made the final decision on the application of f-factor (under attachment 18). In this previous decision, we indicated that:</w:t>
      </w:r>
      <w:r w:rsidR="00CF3469" w:rsidRPr="008378DC">
        <w:rPr>
          <w:rStyle w:val="FootnoteReference"/>
        </w:rPr>
        <w:footnoteReference w:id="12"/>
      </w:r>
    </w:p>
    <w:p w:rsidR="00A53B31" w:rsidRDefault="00A53B31" w:rsidP="00A53B31">
      <w:pPr>
        <w:pStyle w:val="AERquote"/>
      </w:pPr>
      <w:r w:rsidRPr="00226CB2">
        <w:t xml:space="preserve">We </w:t>
      </w:r>
      <w:r>
        <w:t>will</w:t>
      </w:r>
      <w:r w:rsidRPr="00226CB2">
        <w:t xml:space="preserve"> apply t</w:t>
      </w:r>
      <w:r>
        <w:t>he f-factor scheme</w:t>
      </w:r>
      <w:r w:rsidRPr="00226CB2">
        <w:t xml:space="preserve"> in a manner similar to the other incentive schemes, such as the STPIS. </w:t>
      </w:r>
      <w:r>
        <w:t xml:space="preserve">As stated in our F&amp;A paper, </w:t>
      </w:r>
      <w:r w:rsidRPr="00226CB2">
        <w:t xml:space="preserve">we will include an adjustment amount </w:t>
      </w:r>
      <w:r>
        <w:t>as an "I-factor"</w:t>
      </w:r>
      <w:r w:rsidRPr="000167CC">
        <w:t xml:space="preserve"> </w:t>
      </w:r>
      <w:r>
        <w:t>component in the annual revenue requirement</w:t>
      </w:r>
      <w:r w:rsidRPr="00226CB2">
        <w:t xml:space="preserve"> calculation formula to give effect to the reward o</w:t>
      </w:r>
      <w:r>
        <w:t>r</w:t>
      </w:r>
      <w:r w:rsidRPr="00226CB2">
        <w:t xml:space="preserve"> penalty outcomes of actual fire starts from the year commencing on 1 January 2016</w:t>
      </w:r>
      <w:r>
        <w:t xml:space="preserve">.    </w:t>
      </w:r>
    </w:p>
    <w:p w:rsidR="008378DC" w:rsidRPr="008378DC" w:rsidRDefault="00A53B31" w:rsidP="008378DC">
      <w:r>
        <w:t xml:space="preserve">It </w:t>
      </w:r>
      <w:r w:rsidR="0000090B">
        <w:t xml:space="preserve">remains </w:t>
      </w:r>
      <w:r>
        <w:t xml:space="preserve">our view that </w:t>
      </w:r>
      <w:r w:rsidR="00C65192">
        <w:t xml:space="preserve">rewards and penalties under </w:t>
      </w:r>
      <w:r w:rsidR="00CF3469">
        <w:t xml:space="preserve">the new f-factor scheme </w:t>
      </w:r>
      <w:r w:rsidR="00C65192">
        <w:t>be calculated as an adjustment to revenue under the</w:t>
      </w:r>
      <w:r w:rsidR="008378DC" w:rsidRPr="008378DC">
        <w:t xml:space="preserve"> "I-factor" component </w:t>
      </w:r>
      <w:r w:rsidR="00C65192">
        <w:t>of</w:t>
      </w:r>
      <w:r w:rsidR="00C65192" w:rsidRPr="008378DC">
        <w:t xml:space="preserve"> </w:t>
      </w:r>
      <w:r w:rsidR="008378DC" w:rsidRPr="008378DC">
        <w:t xml:space="preserve">the annual revenue requirement calculation formula. </w:t>
      </w:r>
    </w:p>
    <w:p w:rsidR="0015240F" w:rsidRPr="0015240F" w:rsidRDefault="0015240F" w:rsidP="0015240F"/>
    <w:p w:rsidR="00FB254F" w:rsidRPr="00FB254F" w:rsidRDefault="00FB254F" w:rsidP="00FB254F"/>
    <w:p w:rsidR="007F28CC" w:rsidRDefault="007F28CC" w:rsidP="007F28CC">
      <w:pPr>
        <w:pStyle w:val="Heading1"/>
      </w:pPr>
      <w:bookmarkStart w:id="177" w:name="_Toc478731807"/>
      <w:r w:rsidRPr="007F28CC">
        <w:lastRenderedPageBreak/>
        <w:t>Draft f-factor scheme determinations</w:t>
      </w:r>
      <w:bookmarkEnd w:id="177"/>
    </w:p>
    <w:p w:rsidR="00CC122D" w:rsidRDefault="00CC122D" w:rsidP="00CC122D">
      <w:pPr>
        <w:rPr>
          <w:rStyle w:val="AERbody"/>
        </w:rPr>
      </w:pPr>
      <w:r w:rsidRPr="00CC122D">
        <w:rPr>
          <w:rStyle w:val="AERbody"/>
        </w:rPr>
        <w:t xml:space="preserve">This section outlines the AER’s f-factor scheme draft determinations for each </w:t>
      </w:r>
      <w:r w:rsidR="00E77995">
        <w:rPr>
          <w:rStyle w:val="AERbody"/>
        </w:rPr>
        <w:t>distributor</w:t>
      </w:r>
      <w:r w:rsidRPr="00CC122D">
        <w:rPr>
          <w:rStyle w:val="AERbody"/>
        </w:rPr>
        <w:t>.</w:t>
      </w:r>
    </w:p>
    <w:p w:rsidR="00D27546" w:rsidRPr="00D27546" w:rsidRDefault="003E30FF" w:rsidP="00D27546">
      <w:pPr>
        <w:pStyle w:val="Heading2"/>
      </w:pPr>
      <w:bookmarkStart w:id="178" w:name="_Toc305061305"/>
      <w:bookmarkStart w:id="179" w:name="_Toc478731808"/>
      <w:r>
        <w:t>AusNet Services</w:t>
      </w:r>
      <w:r w:rsidR="00D27546" w:rsidRPr="00D27546">
        <w:t xml:space="preserve"> f-factor scheme determination</w:t>
      </w:r>
      <w:bookmarkEnd w:id="178"/>
      <w:bookmarkEnd w:id="179"/>
    </w:p>
    <w:p w:rsidR="009F7393" w:rsidRPr="009F7393" w:rsidRDefault="009F7393" w:rsidP="009F7393">
      <w:r>
        <w:t>Under clause 8</w:t>
      </w:r>
      <w:r w:rsidRPr="009F7393">
        <w:t>(1) o</w:t>
      </w:r>
      <w:r>
        <w:t>f the F-factor Scheme Order 2016</w:t>
      </w:r>
      <w:r w:rsidRPr="009F7393">
        <w:t xml:space="preserve"> (t</w:t>
      </w:r>
      <w:r w:rsidR="00D27546">
        <w:t>he Order) made under section 16E</w:t>
      </w:r>
      <w:r w:rsidRPr="009F7393">
        <w:t xml:space="preserve"> of the National Electricity (Victoria) Act 2005, the Australian Energy Regulator (AER) must make an f-factor scheme determination in relation to</w:t>
      </w:r>
      <w:r w:rsidR="003E30FF">
        <w:t xml:space="preserve"> AusNet Services</w:t>
      </w:r>
      <w:r w:rsidRPr="009F7393">
        <w:t xml:space="preserve">. </w:t>
      </w:r>
      <w:r w:rsidR="00D27546">
        <w:t>Under clause 8</w:t>
      </w:r>
      <w:r w:rsidRPr="009F7393">
        <w:t>(2) of the Order, the</w:t>
      </w:r>
      <w:r w:rsidR="00D27546">
        <w:t xml:space="preserve"> AER must make, no later than 30</w:t>
      </w:r>
      <w:r w:rsidRPr="009F7393">
        <w:t xml:space="preserve"> </w:t>
      </w:r>
      <w:r w:rsidR="00D27546">
        <w:t>September 2018</w:t>
      </w:r>
      <w:r w:rsidRPr="009F7393">
        <w:t xml:space="preserve">, an f-factor scheme determination to take effect in the </w:t>
      </w:r>
      <w:r w:rsidR="00D27546">
        <w:t>2016–20</w:t>
      </w:r>
      <w:r w:rsidRPr="009F7393">
        <w:t xml:space="preserve"> distribution determination </w:t>
      </w:r>
      <w:proofErr w:type="gramStart"/>
      <w:r w:rsidRPr="009F7393">
        <w:t>period</w:t>
      </w:r>
      <w:proofErr w:type="gramEnd"/>
      <w:r w:rsidRPr="009F7393">
        <w:t>. The distribution determination period</w:t>
      </w:r>
      <w:r w:rsidR="00D27546">
        <w:t xml:space="preserve"> is the period of 1 January 2016 to 31 December 2020</w:t>
      </w:r>
      <w:r w:rsidRPr="009F7393">
        <w:t>.</w:t>
      </w:r>
    </w:p>
    <w:p w:rsidR="00D27546" w:rsidRPr="00127B55" w:rsidRDefault="00D27546" w:rsidP="00D27546">
      <w:r>
        <w:t>Under clause 9</w:t>
      </w:r>
      <w:r w:rsidRPr="00D27546">
        <w:t xml:space="preserve">(1) of the Order, an f-factor scheme determination must establish an f-factor scheme that complies with the Order and under which there is a revenue adjustment for a </w:t>
      </w:r>
      <w:r w:rsidR="00E77995">
        <w:t>distributor</w:t>
      </w:r>
      <w:r w:rsidRPr="00D27546">
        <w:t>.</w:t>
      </w:r>
    </w:p>
    <w:p w:rsidR="00D27546" w:rsidRPr="00D27546" w:rsidRDefault="00D27546" w:rsidP="00D27546">
      <w:r>
        <w:t xml:space="preserve">In accordance with clause 9(4) of the Order the revenue adjustment for </w:t>
      </w:r>
      <w:r w:rsidR="003E30FF">
        <w:t>AusNet Services</w:t>
      </w:r>
      <w:r w:rsidR="00126381">
        <w:t xml:space="preserve"> for the 2019 regulatory year, and for each subsequent regulatory year,</w:t>
      </w:r>
      <w:r>
        <w:t xml:space="preserve"> must be determined by the AER as follows:</w:t>
      </w:r>
      <w:r w:rsidRPr="00815513">
        <w:t xml:space="preserve"> </w:t>
      </w:r>
    </w:p>
    <w:p w:rsidR="00D27546" w:rsidRPr="00D27546" w:rsidRDefault="00D27546" w:rsidP="00D27546">
      <m:oMathPara>
        <m:oMathParaPr>
          <m:jc m:val="center"/>
        </m:oMathParaPr>
        <m:oMath>
          <m:r>
            <m:rPr>
              <m:sty m:val="bi"/>
            </m:rPr>
            <w:rPr>
              <w:rFonts w:ascii="Cambria Math" w:hAnsi="Cambria Math"/>
            </w:rPr>
            <m:t>Revenue adjustment</m:t>
          </m:r>
          <m:r>
            <m:rPr>
              <m:sty m:val="b"/>
            </m:rPr>
            <w:rPr>
              <w:rFonts w:ascii="Cambria Math" w:hAnsi="Cambria Math"/>
            </w:rPr>
            <m:t>=</m:t>
          </m:r>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Incentive rate</m:t>
              </m:r>
            </m:e>
            <m:sub>
              <m:r>
                <m:rPr>
                  <m:sty m:val="bi"/>
                </m:rPr>
                <w:rPr>
                  <w:rFonts w:ascii="Cambria Math" w:hAnsi="Cambria Math"/>
                </w:rPr>
                <m:t xml:space="preserve"> </m:t>
              </m:r>
            </m:sub>
          </m:sSub>
          <m:r>
            <w:rPr>
              <w:rFonts w:ascii="Cambria Math" w:hAnsi="Cambria Math"/>
            </w:rPr>
            <m:t>×</m:t>
          </m:r>
          <m:d>
            <m:dPr>
              <m:ctrlPr>
                <w:rPr>
                  <w:rFonts w:ascii="Cambria Math" w:hAnsi="Cambria Math"/>
                </w:rPr>
              </m:ctrlPr>
            </m:dPr>
            <m:e>
              <m:sSub>
                <m:sSubPr>
                  <m:ctrlPr>
                    <w:rPr>
                      <w:rFonts w:ascii="Cambria Math" w:hAnsi="Cambria Math"/>
                    </w:rPr>
                  </m:ctrlPr>
                </m:sSubPr>
                <m:e>
                  <m:r>
                    <m:rPr>
                      <m:sty m:val="bi"/>
                    </m:rPr>
                    <w:rPr>
                      <w:rFonts w:ascii="Cambria Math" w:hAnsi="Cambria Math"/>
                    </w:rPr>
                    <m:t>IRU target</m:t>
                  </m:r>
                </m:e>
                <m:sub>
                  <m:r>
                    <m:rPr>
                      <m:sty m:val="bi"/>
                    </m:rPr>
                    <w:rPr>
                      <w:rFonts w:ascii="Cambria Math" w:hAnsi="Cambria Math"/>
                    </w:rPr>
                    <m:t xml:space="preserve"> </m:t>
                  </m:r>
                </m:sub>
              </m:sSub>
              <m:r>
                <w:rPr>
                  <w:rFonts w:ascii="Cambria Math" w:hAnsi="Cambria Math"/>
                </w:rPr>
                <m:t xml:space="preserve">- </m:t>
              </m:r>
              <m:r>
                <m:rPr>
                  <m:sty m:val="bi"/>
                </m:rPr>
                <w:rPr>
                  <w:rFonts w:ascii="Cambria Math" w:hAnsi="Cambria Math"/>
                </w:rPr>
                <m:t>IRU amount</m:t>
              </m:r>
            </m:e>
          </m:d>
          <m:r>
            <w:rPr>
              <w:rFonts w:ascii="Cambria Math" w:hAnsi="Cambria Math"/>
            </w:rPr>
            <m:t xml:space="preserve"> </m:t>
          </m:r>
        </m:oMath>
      </m:oMathPara>
    </w:p>
    <w:p w:rsidR="00D27546" w:rsidRPr="00D27546" w:rsidRDefault="00D27546" w:rsidP="00D27546">
      <w:proofErr w:type="gramStart"/>
      <w:r>
        <w:t>where</w:t>
      </w:r>
      <w:proofErr w:type="gramEnd"/>
      <w:r>
        <w:t xml:space="preserve"> </w:t>
      </w:r>
    </w:p>
    <w:p w:rsidR="00D27546" w:rsidRPr="00D27546" w:rsidRDefault="00D27546" w:rsidP="00FD4B00">
      <w:pPr>
        <w:pStyle w:val="AERnumberedlistsecondstyle"/>
        <w:numPr>
          <w:ilvl w:val="0"/>
          <w:numId w:val="35"/>
        </w:numPr>
      </w:pPr>
      <w:r w:rsidRPr="00D27546">
        <w:t>Revenue adjustment is the adjustment to the revenue for the relevant Distribution Network Service Provider for the regulatory year;</w:t>
      </w:r>
    </w:p>
    <w:p w:rsidR="00D27546" w:rsidRDefault="00D27546" w:rsidP="00D27546">
      <w:pPr>
        <w:pStyle w:val="AERnumberedlistsecondstyle"/>
      </w:pPr>
      <w:r w:rsidRPr="00AD0201">
        <w:t>Incentive rate is $15,000;</w:t>
      </w:r>
    </w:p>
    <w:p w:rsidR="00D27546" w:rsidRDefault="00D27546" w:rsidP="00D27546">
      <w:pPr>
        <w:pStyle w:val="AERnumberedlistsecondstyle"/>
      </w:pPr>
      <w:r w:rsidRPr="00AD0201">
        <w:t>IRU target is the IRU target applicable for the relevant financial year for the relevant Distribution Network Service Provider, as specified in clause</w:t>
      </w:r>
      <w:r w:rsidR="00887581">
        <w:t xml:space="preserve"> 11</w:t>
      </w:r>
      <w:r w:rsidRPr="00AD0201">
        <w:t>; and</w:t>
      </w:r>
    </w:p>
    <w:p w:rsidR="00D27546" w:rsidRDefault="00D27546" w:rsidP="00D27546">
      <w:pPr>
        <w:pStyle w:val="AERnumberedlistsecondstyle"/>
      </w:pPr>
      <w:r>
        <w:t xml:space="preserve"> </w:t>
      </w:r>
      <w:r w:rsidRPr="00AD0201">
        <w:t xml:space="preserve">IRU amount is the number of IRUs accrued in relation to the relevant distribution system in the relevant financial year, determined in accordance with clause 11. </w:t>
      </w:r>
    </w:p>
    <w:p w:rsidR="00D27546" w:rsidRPr="00636BCF" w:rsidRDefault="00D27546" w:rsidP="0047407F">
      <w:pPr>
        <w:pStyle w:val="AERquoteindent3"/>
      </w:pPr>
      <w:r w:rsidRPr="00636BCF">
        <w:t>Notes: See the definition of “relevant financial year” in clause 4. By reason of that definition, the revenue adjustment for a regulatory year is made on the basis of the IRU target and IRU amount for the relevant financial year, which ends 18 months prior to the commencement of the regulatory year.</w:t>
      </w:r>
    </w:p>
    <w:p w:rsidR="00CF3469" w:rsidRDefault="00CF3469" w:rsidP="00CB2751">
      <w:r w:rsidRPr="00CF3469">
        <w:rPr>
          <w:rStyle w:val="AERtextbolditalics"/>
        </w:rPr>
        <w:t>Revenue adjustment, Incentive rate, IRU target</w:t>
      </w:r>
      <w:r>
        <w:t xml:space="preserve"> and</w:t>
      </w:r>
      <w:r w:rsidRPr="00CF3469">
        <w:t xml:space="preserve"> </w:t>
      </w:r>
      <w:r w:rsidRPr="00CF3469">
        <w:rPr>
          <w:rStyle w:val="AERtextbolditalics"/>
        </w:rPr>
        <w:t>IRU amount</w:t>
      </w:r>
      <w:r>
        <w:t xml:space="preserve"> have the same meanings as prescribed by the</w:t>
      </w:r>
      <w:r w:rsidRPr="00CF3469">
        <w:t xml:space="preserve"> </w:t>
      </w:r>
      <w:r>
        <w:t>F-factor Scheme Order 2016.</w:t>
      </w:r>
    </w:p>
    <w:p w:rsidR="00CB2751" w:rsidRDefault="00CB2751" w:rsidP="00CB2751">
      <w:r w:rsidRPr="00CB2751">
        <w:t xml:space="preserve">In accordance with clause </w:t>
      </w:r>
      <w:r>
        <w:t>10</w:t>
      </w:r>
      <w:r w:rsidRPr="00CB2751">
        <w:t>(1) of the Order the AER determines that the</w:t>
      </w:r>
      <w:r>
        <w:t xml:space="preserve"> IRU</w:t>
      </w:r>
      <w:r w:rsidRPr="00CB2751">
        <w:t xml:space="preserve"> target number</w:t>
      </w:r>
      <w:r w:rsidR="0009630C">
        <w:t>s</w:t>
      </w:r>
      <w:r w:rsidRPr="00CB2751">
        <w:t xml:space="preserve"> for </w:t>
      </w:r>
      <w:r w:rsidR="003E30FF">
        <w:t>AusNet Services</w:t>
      </w:r>
      <w:r w:rsidR="0009630C">
        <w:t xml:space="preserve"> are set out in </w:t>
      </w:r>
      <w:r w:rsidR="00CF3469">
        <w:t xml:space="preserve">Appendix </w:t>
      </w:r>
      <w:r w:rsidR="0009630C">
        <w:t xml:space="preserve">A.1. </w:t>
      </w:r>
      <w:r w:rsidR="003E30FF">
        <w:t xml:space="preserve"> </w:t>
      </w:r>
    </w:p>
    <w:p w:rsidR="000235D5" w:rsidRDefault="000235D5" w:rsidP="00126381"/>
    <w:p w:rsidR="000235D5" w:rsidRPr="00D27546" w:rsidRDefault="000235D5" w:rsidP="000235D5">
      <w:r>
        <w:t>In accordance with clause</w:t>
      </w:r>
      <w:r w:rsidR="00FA3039">
        <w:t>s</w:t>
      </w:r>
      <w:r>
        <w:t xml:space="preserve"> 9(2) of the Order the revenue adjustment for AusNet Services for the 2018 regulatory year must be determined by the AER as follows:</w:t>
      </w:r>
      <w:r w:rsidRPr="00815513">
        <w:t xml:space="preserve"> </w:t>
      </w:r>
    </w:p>
    <w:p w:rsidR="000235D5" w:rsidRPr="00AD0201" w:rsidRDefault="000235D5" w:rsidP="000235D5">
      <m:oMathPara>
        <m:oMath>
          <m:r>
            <m:rPr>
              <m:sty m:val="bi"/>
            </m:rPr>
            <w:rPr>
              <w:rStyle w:val="AERbody"/>
              <w:rFonts w:ascii="Cambria Math" w:hAnsi="Cambria Math"/>
            </w:rPr>
            <m:t>Transitional adjustment</m:t>
          </m:r>
          <m:r>
            <m:rPr>
              <m:sty m:val="b"/>
            </m:rPr>
            <w:rPr>
              <w:rFonts w:ascii="Cambria Math" w:hAnsi="Cambria Math"/>
            </w:rPr>
            <m:t>=</m:t>
          </m:r>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Transitional rate</m:t>
              </m:r>
            </m:e>
            <m:sub>
              <m:r>
                <m:rPr>
                  <m:sty m:val="bi"/>
                </m:rPr>
                <w:rPr>
                  <w:rFonts w:ascii="Cambria Math" w:hAnsi="Cambria Math"/>
                </w:rPr>
                <m:t xml:space="preserve"> </m:t>
              </m:r>
            </m:sub>
          </m:sSub>
          <m:r>
            <w:rPr>
              <w:rFonts w:ascii="Cambria Math" w:hAnsi="Cambria Math"/>
            </w:rPr>
            <m:t>×</m:t>
          </m:r>
          <m:d>
            <m:dPr>
              <m:ctrlPr>
                <w:rPr>
                  <w:rFonts w:ascii="Cambria Math" w:hAnsi="Cambria Math"/>
                </w:rPr>
              </m:ctrlPr>
            </m:dPr>
            <m:e>
              <m:r>
                <m:rPr>
                  <m:sty m:val="bi"/>
                </m:rPr>
                <w:rPr>
                  <w:rFonts w:ascii="Cambria Math" w:hAnsi="Cambria Math"/>
                </w:rPr>
                <m:t>Trans</m:t>
              </m:r>
              <m:r>
                <m:rPr>
                  <m:sty m:val="bi"/>
                </m:rPr>
                <w:rPr>
                  <w:rFonts w:ascii="Cambria Math" w:hAnsi="Cambria Math"/>
                </w:rPr>
                <m:t>itional target - Number of fires</m:t>
              </m:r>
            </m:e>
          </m:d>
        </m:oMath>
      </m:oMathPara>
    </w:p>
    <w:p w:rsidR="000235D5" w:rsidRPr="000235D5" w:rsidRDefault="000235D5" w:rsidP="000235D5">
      <w:pPr>
        <w:pStyle w:val="ListParagraph"/>
        <w:numPr>
          <w:ilvl w:val="0"/>
          <w:numId w:val="0"/>
        </w:numPr>
        <w:ind w:left="340"/>
      </w:pPr>
      <w:proofErr w:type="gramStart"/>
      <w:r>
        <w:t>where</w:t>
      </w:r>
      <w:proofErr w:type="gramEnd"/>
    </w:p>
    <w:p w:rsidR="000235D5" w:rsidRDefault="000235D5" w:rsidP="0015240F">
      <w:pPr>
        <w:pStyle w:val="AERnumberedlistthirdstyle"/>
        <w:numPr>
          <w:ilvl w:val="0"/>
          <w:numId w:val="39"/>
        </w:numPr>
      </w:pPr>
      <w:r w:rsidRPr="000235D5">
        <w:t>Transitional adjustment is the adjustment to the revenue for the relevant Distribution Network Service Provider for the 2018 regulatory year;</w:t>
      </w:r>
    </w:p>
    <w:p w:rsidR="000235D5" w:rsidRDefault="00201704" w:rsidP="0015240F">
      <w:pPr>
        <w:pStyle w:val="AERnumberedlistthirdstyle"/>
        <w:numPr>
          <w:ilvl w:val="0"/>
          <w:numId w:val="39"/>
        </w:numPr>
      </w:pPr>
      <w:r>
        <w:t>Transitional rate is $25,000.</w:t>
      </w:r>
    </w:p>
    <w:p w:rsidR="00201704" w:rsidRDefault="00201704" w:rsidP="00201704">
      <w:r w:rsidRPr="00201704">
        <w:t xml:space="preserve">In accordance with clause 13(1) of the Order the AER determines that for the 2018 revenue adjustment the fire start target number for </w:t>
      </w:r>
      <w:r>
        <w:t>AusNet</w:t>
      </w:r>
      <w:r w:rsidR="0009630C">
        <w:t xml:space="preserve"> is set out in </w:t>
      </w:r>
      <w:r w:rsidR="00CF3469">
        <w:t xml:space="preserve">Appendix </w:t>
      </w:r>
      <w:r w:rsidR="0009630C">
        <w:t>A.2</w:t>
      </w:r>
      <w:r w:rsidRPr="00201704">
        <w:t>.</w:t>
      </w:r>
    </w:p>
    <w:p w:rsidR="00031E86" w:rsidRDefault="00FA7AAB" w:rsidP="0009630C">
      <w:r>
        <w:t xml:space="preserve">The revenue adjustment </w:t>
      </w:r>
      <w:r w:rsidR="0009630C">
        <w:t xml:space="preserve">will </w:t>
      </w:r>
      <w:r>
        <w:t xml:space="preserve">be made by way of an </w:t>
      </w:r>
      <w:r w:rsidRPr="008378DC">
        <w:t>"I-factor" component in the annual revenue requirement calculation formula</w:t>
      </w:r>
      <w:r w:rsidR="0009630C">
        <w:t>, as</w:t>
      </w:r>
      <w:r w:rsidR="00107B7F">
        <w:t xml:space="preserve"> </w:t>
      </w:r>
      <w:r w:rsidR="0009630C">
        <w:t xml:space="preserve">set out in our final decision for AusNet Services for the 2016-20 regulatory control </w:t>
      </w:r>
      <w:proofErr w:type="gramStart"/>
      <w:r w:rsidR="0009630C">
        <w:t>period</w:t>
      </w:r>
      <w:proofErr w:type="gramEnd"/>
      <w:r w:rsidR="00031E86">
        <w:t>.</w:t>
      </w:r>
    </w:p>
    <w:p w:rsidR="00EB0363" w:rsidRPr="0015240F" w:rsidRDefault="00031E86" w:rsidP="0009630C">
      <w:r>
        <w:t xml:space="preserve">This determination </w:t>
      </w:r>
      <w:r w:rsidR="00C65192">
        <w:t xml:space="preserve">replaces </w:t>
      </w:r>
      <w:r>
        <w:t xml:space="preserve">our previous determination on f-factor application, as indicated in the </w:t>
      </w:r>
      <w:r w:rsidRPr="00031E86">
        <w:rPr>
          <w:rStyle w:val="AERtextitalic"/>
        </w:rPr>
        <w:t>AER, Final decision AusNet Services distribution determination 2016 to 2020, Attachment 18 – f-factor scheme, May 2016</w:t>
      </w:r>
      <w:r>
        <w:rPr>
          <w:rStyle w:val="AERtextitalic"/>
        </w:rPr>
        <w:t>.</w:t>
      </w:r>
      <w:r w:rsidR="0009630C">
        <w:t xml:space="preserve"> </w:t>
      </w:r>
    </w:p>
    <w:p w:rsidR="003E30FF" w:rsidRPr="00D27546" w:rsidRDefault="003E30FF" w:rsidP="003E30FF">
      <w:pPr>
        <w:pStyle w:val="Heading2"/>
      </w:pPr>
      <w:bookmarkStart w:id="180" w:name="_Toc478731809"/>
      <w:r>
        <w:t>CitiPower</w:t>
      </w:r>
      <w:r w:rsidRPr="00D27546">
        <w:t xml:space="preserve"> f-factor scheme determination</w:t>
      </w:r>
      <w:bookmarkEnd w:id="180"/>
    </w:p>
    <w:p w:rsidR="003878BA" w:rsidRPr="009F7393" w:rsidRDefault="003878BA" w:rsidP="003878BA">
      <w:r>
        <w:t>Under clause 8</w:t>
      </w:r>
      <w:r w:rsidRPr="009F7393">
        <w:t>(1) o</w:t>
      </w:r>
      <w:r>
        <w:t>f the F-factor Scheme Order 2016</w:t>
      </w:r>
      <w:r w:rsidRPr="009F7393">
        <w:t xml:space="preserve"> (t</w:t>
      </w:r>
      <w:r>
        <w:t>he Order) made under section 16E</w:t>
      </w:r>
      <w:r w:rsidRPr="009F7393">
        <w:t xml:space="preserve"> of the National Electricity (Victoria) Act 2005, the Australian Energy Regulator (AER) must make an f-factor scheme determination in relation to</w:t>
      </w:r>
      <w:r>
        <w:t xml:space="preserve"> CitiPower</w:t>
      </w:r>
      <w:r w:rsidRPr="009F7393">
        <w:t xml:space="preserve">. </w:t>
      </w:r>
      <w:r>
        <w:t>Under clause 8</w:t>
      </w:r>
      <w:r w:rsidRPr="009F7393">
        <w:t>(2) of the Order, the</w:t>
      </w:r>
      <w:r>
        <w:t xml:space="preserve"> AER must make, no later than 30</w:t>
      </w:r>
      <w:r w:rsidRPr="009F7393">
        <w:t xml:space="preserve"> </w:t>
      </w:r>
      <w:r>
        <w:t>September 2018</w:t>
      </w:r>
      <w:r w:rsidRPr="009F7393">
        <w:t xml:space="preserve">, an f-factor scheme determination to take effect in the </w:t>
      </w:r>
      <w:r>
        <w:t>2016–20</w:t>
      </w:r>
      <w:r w:rsidRPr="009F7393">
        <w:t xml:space="preserve"> distribution determination </w:t>
      </w:r>
      <w:proofErr w:type="gramStart"/>
      <w:r w:rsidRPr="009F7393">
        <w:t>period</w:t>
      </w:r>
      <w:proofErr w:type="gramEnd"/>
      <w:r w:rsidRPr="009F7393">
        <w:t>. The distribution determination period</w:t>
      </w:r>
      <w:r>
        <w:t xml:space="preserve"> is the period of 1 January 2016 to 31 December 2020</w:t>
      </w:r>
      <w:r w:rsidRPr="009F7393">
        <w:t>.</w:t>
      </w:r>
    </w:p>
    <w:p w:rsidR="003878BA" w:rsidRPr="00127B55" w:rsidRDefault="003878BA" w:rsidP="003878BA">
      <w:r>
        <w:t>Under clause 9</w:t>
      </w:r>
      <w:r w:rsidRPr="00D27546">
        <w:t xml:space="preserve">(1) of the Order, an f-factor scheme determination must establish an f-factor scheme that complies with the Order and under which there is a revenue adjustment for a </w:t>
      </w:r>
      <w:r w:rsidR="00E77995">
        <w:t>distributor</w:t>
      </w:r>
      <w:r w:rsidRPr="00D27546">
        <w:t>.</w:t>
      </w:r>
    </w:p>
    <w:p w:rsidR="003878BA" w:rsidRPr="00D27546" w:rsidRDefault="003878BA" w:rsidP="003878BA">
      <w:r>
        <w:t>In accordance with clause 9(4) of the Order the revenue adjustment for CitiPower for the 2019 regulatory year, and for each subsequent regulatory year, must be determined by the AER as follows:</w:t>
      </w:r>
      <w:r w:rsidRPr="00815513">
        <w:t xml:space="preserve"> </w:t>
      </w:r>
    </w:p>
    <w:p w:rsidR="003878BA" w:rsidRPr="003878BA" w:rsidRDefault="003878BA" w:rsidP="003878BA">
      <m:oMathPara>
        <m:oMathParaPr>
          <m:jc m:val="center"/>
        </m:oMathParaPr>
        <m:oMath>
          <m:r>
            <m:rPr>
              <m:sty m:val="bi"/>
            </m:rPr>
            <w:rPr>
              <w:rFonts w:ascii="Cambria Math" w:hAnsi="Cambria Math"/>
            </w:rPr>
            <m:t>Revenue adjustment</m:t>
          </m:r>
          <m:r>
            <m:rPr>
              <m:sty m:val="b"/>
            </m:rPr>
            <w:rPr>
              <w:rFonts w:ascii="Cambria Math" w:hAnsi="Cambria Math"/>
            </w:rPr>
            <m:t>=</m:t>
          </m:r>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Incentive rate</m:t>
              </m:r>
            </m:e>
            <m:sub>
              <m:r>
                <m:rPr>
                  <m:sty m:val="bi"/>
                </m:rPr>
                <w:rPr>
                  <w:rFonts w:ascii="Cambria Math" w:hAnsi="Cambria Math"/>
                </w:rPr>
                <m:t xml:space="preserve"> </m:t>
              </m:r>
            </m:sub>
          </m:sSub>
          <m:r>
            <w:rPr>
              <w:rFonts w:ascii="Cambria Math" w:hAnsi="Cambria Math"/>
            </w:rPr>
            <m:t>×</m:t>
          </m:r>
          <m:d>
            <m:dPr>
              <m:ctrlPr>
                <w:rPr>
                  <w:rFonts w:ascii="Cambria Math" w:hAnsi="Cambria Math"/>
                </w:rPr>
              </m:ctrlPr>
            </m:dPr>
            <m:e>
              <m:sSub>
                <m:sSubPr>
                  <m:ctrlPr>
                    <w:rPr>
                      <w:rFonts w:ascii="Cambria Math" w:hAnsi="Cambria Math"/>
                    </w:rPr>
                  </m:ctrlPr>
                </m:sSubPr>
                <m:e>
                  <m:r>
                    <m:rPr>
                      <m:sty m:val="bi"/>
                    </m:rPr>
                    <w:rPr>
                      <w:rFonts w:ascii="Cambria Math" w:hAnsi="Cambria Math"/>
                    </w:rPr>
                    <m:t>IRU target</m:t>
                  </m:r>
                </m:e>
                <m:sub>
                  <m:r>
                    <m:rPr>
                      <m:sty m:val="bi"/>
                    </m:rPr>
                    <w:rPr>
                      <w:rFonts w:ascii="Cambria Math" w:hAnsi="Cambria Math"/>
                    </w:rPr>
                    <m:t xml:space="preserve"> </m:t>
                  </m:r>
                </m:sub>
              </m:sSub>
              <m:r>
                <w:rPr>
                  <w:rFonts w:ascii="Cambria Math" w:hAnsi="Cambria Math"/>
                </w:rPr>
                <m:t xml:space="preserve">- </m:t>
              </m:r>
              <m:r>
                <m:rPr>
                  <m:sty m:val="bi"/>
                </m:rPr>
                <w:rPr>
                  <w:rFonts w:ascii="Cambria Math" w:hAnsi="Cambria Math"/>
                </w:rPr>
                <m:t>IRU amount</m:t>
              </m:r>
            </m:e>
          </m:d>
          <m:r>
            <w:rPr>
              <w:rFonts w:ascii="Cambria Math" w:hAnsi="Cambria Math"/>
            </w:rPr>
            <m:t xml:space="preserve"> </m:t>
          </m:r>
        </m:oMath>
      </m:oMathPara>
    </w:p>
    <w:p w:rsidR="003878BA" w:rsidRPr="00D27546" w:rsidRDefault="003878BA" w:rsidP="003878BA">
      <w:proofErr w:type="gramStart"/>
      <w:r>
        <w:t>where</w:t>
      </w:r>
      <w:proofErr w:type="gramEnd"/>
      <w:r>
        <w:t xml:space="preserve"> </w:t>
      </w:r>
    </w:p>
    <w:p w:rsidR="003878BA" w:rsidRPr="003878BA" w:rsidRDefault="003878BA" w:rsidP="00FD4B00">
      <w:pPr>
        <w:pStyle w:val="AERnumberedlistsecondstyle"/>
        <w:numPr>
          <w:ilvl w:val="0"/>
          <w:numId w:val="36"/>
        </w:numPr>
      </w:pPr>
      <w:r w:rsidRPr="003878BA">
        <w:t>Revenue adjustment is the adjustment to the revenue for the relevant Distribution Network Service Provider for the regulatory year;</w:t>
      </w:r>
    </w:p>
    <w:p w:rsidR="003878BA" w:rsidRDefault="003878BA" w:rsidP="003878BA">
      <w:pPr>
        <w:pStyle w:val="AERnumberedlistsecondstyle"/>
      </w:pPr>
      <w:r w:rsidRPr="00AD0201">
        <w:lastRenderedPageBreak/>
        <w:t>Incentive rate is $15,000;</w:t>
      </w:r>
    </w:p>
    <w:p w:rsidR="003878BA" w:rsidRDefault="003878BA" w:rsidP="003878BA">
      <w:pPr>
        <w:pStyle w:val="AERnumberedlistsecondstyle"/>
      </w:pPr>
      <w:r w:rsidRPr="00AD0201">
        <w:t xml:space="preserve">IRU target is the IRU target applicable for the relevant financial year for the relevant Distribution Network Service Provider, as specified in clause </w:t>
      </w:r>
      <w:r w:rsidR="00887581">
        <w:t>11</w:t>
      </w:r>
      <w:r w:rsidRPr="00AD0201">
        <w:t>and</w:t>
      </w:r>
    </w:p>
    <w:p w:rsidR="003878BA" w:rsidRDefault="003878BA" w:rsidP="003878BA">
      <w:pPr>
        <w:pStyle w:val="AERnumberedlistsecondstyle"/>
      </w:pPr>
      <w:r>
        <w:t xml:space="preserve"> </w:t>
      </w:r>
      <w:r w:rsidRPr="00AD0201">
        <w:t xml:space="preserve">IRU amount is the number of IRUs accrued in relation to the relevant distribution system in the relevant financial year, determined in accordance with clause 11. </w:t>
      </w:r>
    </w:p>
    <w:p w:rsidR="003878BA" w:rsidRPr="00D27546" w:rsidRDefault="003878BA" w:rsidP="0047407F">
      <w:pPr>
        <w:pStyle w:val="AERquoteindent3"/>
      </w:pPr>
      <w:r>
        <w:t xml:space="preserve">Notes: </w:t>
      </w:r>
      <w:r w:rsidRPr="00D27546">
        <w:t>See the definition of “relevant financial year” in clause 4. By reason of that definition, the revenue adjustment for a regulatory year is made on the basis of the IRU target and IRU amount for the relevant financial year, which ends 18 months prior to the commencement of the regulatory year.</w:t>
      </w:r>
    </w:p>
    <w:p w:rsidR="00CF3469" w:rsidRDefault="00CF3469" w:rsidP="00CF3469">
      <w:r w:rsidRPr="00CF3469">
        <w:rPr>
          <w:rStyle w:val="AERtextbolditalics"/>
        </w:rPr>
        <w:t>Revenue adjustment, Incentive rate, IRU target</w:t>
      </w:r>
      <w:r>
        <w:t xml:space="preserve"> and</w:t>
      </w:r>
      <w:r w:rsidRPr="00CF3469">
        <w:t xml:space="preserve"> </w:t>
      </w:r>
      <w:r w:rsidRPr="00CF3469">
        <w:rPr>
          <w:rStyle w:val="AERtextbolditalics"/>
        </w:rPr>
        <w:t>IRU amount</w:t>
      </w:r>
      <w:r>
        <w:t xml:space="preserve"> have the same meanings as prescribed by the</w:t>
      </w:r>
      <w:r w:rsidRPr="00CF3469">
        <w:t xml:space="preserve"> </w:t>
      </w:r>
      <w:r>
        <w:t>F-factor Scheme Order 2016.</w:t>
      </w:r>
    </w:p>
    <w:p w:rsidR="002168B6" w:rsidRDefault="003878BA" w:rsidP="002168B6">
      <w:r w:rsidRPr="00CB2751">
        <w:t xml:space="preserve">In accordance with clause </w:t>
      </w:r>
      <w:r>
        <w:t>10</w:t>
      </w:r>
      <w:r w:rsidRPr="00CB2751">
        <w:t>(1) of the Order the AER determines that the</w:t>
      </w:r>
      <w:r>
        <w:t xml:space="preserve"> IRU</w:t>
      </w:r>
      <w:r w:rsidRPr="00CB2751">
        <w:t xml:space="preserve"> target num</w:t>
      </w:r>
      <w:r>
        <w:t>ber</w:t>
      </w:r>
      <w:r w:rsidR="002168B6">
        <w:t>s</w:t>
      </w:r>
      <w:r>
        <w:t xml:space="preserve"> for CitiPower </w:t>
      </w:r>
      <w:r w:rsidR="002168B6">
        <w:t xml:space="preserve">are set out in </w:t>
      </w:r>
      <w:r w:rsidR="00031E86">
        <w:t xml:space="preserve">Appendix </w:t>
      </w:r>
      <w:r w:rsidR="002168B6">
        <w:t xml:space="preserve">A.1.  </w:t>
      </w:r>
    </w:p>
    <w:p w:rsidR="00201704" w:rsidRPr="00D27546" w:rsidRDefault="00201704" w:rsidP="00201704">
      <w:r>
        <w:t>In accordance with clauses 9(2) of the Order the revenue adjustment for CitiPower for the 2018 regulatory year must be determined by the AER as follows:</w:t>
      </w:r>
      <w:r w:rsidRPr="00815513">
        <w:t xml:space="preserve"> </w:t>
      </w:r>
    </w:p>
    <w:p w:rsidR="00201704" w:rsidRPr="00AD0201" w:rsidRDefault="00201704" w:rsidP="00201704">
      <m:oMathPara>
        <m:oMath>
          <m:r>
            <m:rPr>
              <m:sty m:val="bi"/>
            </m:rPr>
            <w:rPr>
              <w:rStyle w:val="AERbody"/>
              <w:rFonts w:ascii="Cambria Math" w:hAnsi="Cambria Math"/>
            </w:rPr>
            <m:t>Transitional adjustment</m:t>
          </m:r>
          <m:r>
            <m:rPr>
              <m:sty m:val="b"/>
            </m:rPr>
            <w:rPr>
              <w:rFonts w:ascii="Cambria Math" w:hAnsi="Cambria Math"/>
            </w:rPr>
            <m:t>=</m:t>
          </m:r>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Transitional rate</m:t>
              </m:r>
            </m:e>
            <m:sub>
              <m:r>
                <m:rPr>
                  <m:sty m:val="bi"/>
                </m:rPr>
                <w:rPr>
                  <w:rFonts w:ascii="Cambria Math" w:hAnsi="Cambria Math"/>
                </w:rPr>
                <m:t xml:space="preserve"> </m:t>
              </m:r>
            </m:sub>
          </m:sSub>
          <m:r>
            <w:rPr>
              <w:rFonts w:ascii="Cambria Math" w:hAnsi="Cambria Math"/>
            </w:rPr>
            <m:t>×</m:t>
          </m:r>
          <m:d>
            <m:dPr>
              <m:ctrlPr>
                <w:rPr>
                  <w:rFonts w:ascii="Cambria Math" w:hAnsi="Cambria Math"/>
                </w:rPr>
              </m:ctrlPr>
            </m:dPr>
            <m:e>
              <m:r>
                <m:rPr>
                  <m:sty m:val="bi"/>
                </m:rPr>
                <w:rPr>
                  <w:rFonts w:ascii="Cambria Math" w:hAnsi="Cambria Math"/>
                </w:rPr>
                <m:t>Transitional target - Number of fires</m:t>
              </m:r>
            </m:e>
          </m:d>
        </m:oMath>
      </m:oMathPara>
    </w:p>
    <w:p w:rsidR="00201704" w:rsidRPr="00201704" w:rsidRDefault="00201704" w:rsidP="00934BC2">
      <w:pPr>
        <w:pStyle w:val="ListParagraph"/>
        <w:numPr>
          <w:ilvl w:val="0"/>
          <w:numId w:val="0"/>
        </w:numPr>
        <w:ind w:left="340"/>
      </w:pPr>
      <w:proofErr w:type="gramStart"/>
      <w:r>
        <w:t>where</w:t>
      </w:r>
      <w:proofErr w:type="gramEnd"/>
    </w:p>
    <w:p w:rsidR="00201704" w:rsidRDefault="00201704" w:rsidP="0015240F">
      <w:pPr>
        <w:pStyle w:val="AERnumberedlistthirdstyle"/>
        <w:numPr>
          <w:ilvl w:val="0"/>
          <w:numId w:val="44"/>
        </w:numPr>
      </w:pPr>
      <w:r w:rsidRPr="00201704">
        <w:t>Transitional adjustment is the adjustment to the revenue for the relevant Distribution Network Service Provider for the 2018 regulatory year;</w:t>
      </w:r>
    </w:p>
    <w:p w:rsidR="00201704" w:rsidRPr="00201704" w:rsidRDefault="00201704" w:rsidP="0015240F">
      <w:pPr>
        <w:pStyle w:val="AERnumberedlistthirdstyle"/>
        <w:numPr>
          <w:ilvl w:val="0"/>
          <w:numId w:val="44"/>
        </w:numPr>
      </w:pPr>
      <w:r>
        <w:t>Transitional rate is $25,000</w:t>
      </w:r>
      <w:r w:rsidRPr="00201704">
        <w:t>.</w:t>
      </w:r>
    </w:p>
    <w:p w:rsidR="00201704" w:rsidRDefault="00201704" w:rsidP="00201704">
      <w:r w:rsidRPr="00201704">
        <w:t xml:space="preserve">In accordance with clause 13(1) of the Order the AER determines that for the 2018 revenue adjustment the fire start target number for </w:t>
      </w:r>
      <w:r>
        <w:t>CitiPower</w:t>
      </w:r>
      <w:r w:rsidRPr="00201704">
        <w:t xml:space="preserve"> is</w:t>
      </w:r>
      <w:r w:rsidR="00107B7F">
        <w:t xml:space="preserve"> set out in </w:t>
      </w:r>
      <w:r w:rsidR="00031E86">
        <w:t xml:space="preserve">Appendix </w:t>
      </w:r>
      <w:r w:rsidR="00107B7F">
        <w:t>A.2</w:t>
      </w:r>
      <w:r w:rsidR="00107B7F" w:rsidRPr="00201704">
        <w:t>.</w:t>
      </w:r>
    </w:p>
    <w:p w:rsidR="00031E86" w:rsidRDefault="00107B7F" w:rsidP="00107B7F">
      <w:r>
        <w:t xml:space="preserve">The revenue adjustment will be made by way of an </w:t>
      </w:r>
      <w:r w:rsidRPr="008378DC">
        <w:t>"I-factor" component in the annual revenue requirement calculation formula</w:t>
      </w:r>
      <w:r>
        <w:t xml:space="preserve">, as set out in our final decision for CitiPower for the 2016-20 regulatory control </w:t>
      </w:r>
      <w:proofErr w:type="gramStart"/>
      <w:r>
        <w:t>period</w:t>
      </w:r>
      <w:proofErr w:type="gramEnd"/>
      <w:r w:rsidR="00031E86">
        <w:t>.</w:t>
      </w:r>
    </w:p>
    <w:p w:rsidR="00107B7F" w:rsidRPr="0015240F" w:rsidRDefault="00031E86" w:rsidP="00107B7F">
      <w:r>
        <w:t xml:space="preserve">This determination </w:t>
      </w:r>
      <w:r w:rsidR="00C65192">
        <w:t xml:space="preserve">replaces </w:t>
      </w:r>
      <w:r>
        <w:t xml:space="preserve">our previous determination on f-factor application, as indicated in the </w:t>
      </w:r>
      <w:r w:rsidRPr="00031E86">
        <w:rPr>
          <w:rStyle w:val="AERtextitalic"/>
        </w:rPr>
        <w:t xml:space="preserve">AER, Final decision </w:t>
      </w:r>
      <w:r>
        <w:rPr>
          <w:rStyle w:val="AERtextitalic"/>
        </w:rPr>
        <w:t>CitiPower</w:t>
      </w:r>
      <w:r w:rsidRPr="00031E86">
        <w:rPr>
          <w:rStyle w:val="AERtextitalic"/>
        </w:rPr>
        <w:t xml:space="preserve"> distribution determination 2016 to 2020, Attachment 18 – f-factor scheme, May 2016</w:t>
      </w:r>
      <w:r>
        <w:rPr>
          <w:rStyle w:val="AERtextitalic"/>
        </w:rPr>
        <w:t>.</w:t>
      </w:r>
      <w:r>
        <w:t xml:space="preserve"> </w:t>
      </w:r>
      <w:r w:rsidR="00107B7F">
        <w:t xml:space="preserve"> </w:t>
      </w:r>
    </w:p>
    <w:p w:rsidR="00517B8D" w:rsidRPr="00D27546" w:rsidRDefault="00517B8D" w:rsidP="00517B8D">
      <w:pPr>
        <w:pStyle w:val="Heading2"/>
      </w:pPr>
      <w:bookmarkStart w:id="181" w:name="_Toc478731810"/>
      <w:r>
        <w:t>Jemena</w:t>
      </w:r>
      <w:r w:rsidRPr="00D27546">
        <w:t xml:space="preserve"> f-factor scheme determination</w:t>
      </w:r>
      <w:bookmarkEnd w:id="181"/>
    </w:p>
    <w:p w:rsidR="00517B8D" w:rsidRPr="009F7393" w:rsidRDefault="00517B8D" w:rsidP="00517B8D">
      <w:r>
        <w:t>Under clause 8</w:t>
      </w:r>
      <w:r w:rsidRPr="009F7393">
        <w:t>(1) o</w:t>
      </w:r>
      <w:r>
        <w:t>f the F-factor Scheme Order 2016</w:t>
      </w:r>
      <w:r w:rsidRPr="009F7393">
        <w:t xml:space="preserve"> (t</w:t>
      </w:r>
      <w:r>
        <w:t>he Order) made under section 16E</w:t>
      </w:r>
      <w:r w:rsidRPr="009F7393">
        <w:t xml:space="preserve"> of the National Electricity (Victoria) Act 2005, the Australian Energy Regulator (AER) must make an f-factor scheme determination in relation to</w:t>
      </w:r>
      <w:r>
        <w:t xml:space="preserve"> </w:t>
      </w:r>
      <w:r w:rsidR="00BC0BCC">
        <w:t>Jemena</w:t>
      </w:r>
      <w:r w:rsidRPr="009F7393">
        <w:t xml:space="preserve">. </w:t>
      </w:r>
      <w:r>
        <w:t>Under clause 8</w:t>
      </w:r>
      <w:r w:rsidRPr="009F7393">
        <w:t>(2) of the Order, the</w:t>
      </w:r>
      <w:r>
        <w:t xml:space="preserve"> AER must make, no later than 30</w:t>
      </w:r>
      <w:r w:rsidRPr="009F7393">
        <w:t xml:space="preserve"> </w:t>
      </w:r>
      <w:r>
        <w:t>September 2018</w:t>
      </w:r>
      <w:r w:rsidRPr="009F7393">
        <w:t>, an f-</w:t>
      </w:r>
      <w:r w:rsidRPr="009F7393">
        <w:lastRenderedPageBreak/>
        <w:t xml:space="preserve">factor scheme determination to take effect in the </w:t>
      </w:r>
      <w:r>
        <w:t>2016–20</w:t>
      </w:r>
      <w:r w:rsidRPr="009F7393">
        <w:t xml:space="preserve"> distribution determination </w:t>
      </w:r>
      <w:proofErr w:type="gramStart"/>
      <w:r w:rsidRPr="009F7393">
        <w:t>period</w:t>
      </w:r>
      <w:proofErr w:type="gramEnd"/>
      <w:r w:rsidRPr="009F7393">
        <w:t>. The distribution determination period</w:t>
      </w:r>
      <w:r>
        <w:t xml:space="preserve"> is the period of 1 January 2016 to 31 December 2020</w:t>
      </w:r>
      <w:r w:rsidRPr="009F7393">
        <w:t>.</w:t>
      </w:r>
    </w:p>
    <w:p w:rsidR="00517B8D" w:rsidRPr="00127B55" w:rsidRDefault="00517B8D" w:rsidP="00517B8D">
      <w:r>
        <w:t>Under clause 9</w:t>
      </w:r>
      <w:r w:rsidRPr="00D27546">
        <w:t xml:space="preserve">(1) of the Order, an f-factor scheme determination must establish an f-factor scheme that complies with the Order and under which there is a revenue adjustment for a </w:t>
      </w:r>
      <w:r w:rsidR="00E77995">
        <w:t>distributor</w:t>
      </w:r>
      <w:r w:rsidRPr="00D27546">
        <w:t>.</w:t>
      </w:r>
    </w:p>
    <w:p w:rsidR="00517B8D" w:rsidRPr="00D27546" w:rsidRDefault="00517B8D" w:rsidP="00517B8D">
      <w:r>
        <w:t xml:space="preserve">In accordance with clause 9(4) of the Order the revenue adjustment for </w:t>
      </w:r>
      <w:r w:rsidR="00BC0BCC">
        <w:t>Jemena</w:t>
      </w:r>
      <w:r>
        <w:t xml:space="preserve"> for the 2019 regulatory year, and for each subsequent regulatory year, must be determined by the AER as follows:</w:t>
      </w:r>
      <w:r w:rsidRPr="00815513">
        <w:t xml:space="preserve"> </w:t>
      </w:r>
    </w:p>
    <w:p w:rsidR="00517B8D" w:rsidRPr="00517B8D" w:rsidRDefault="00517B8D" w:rsidP="00517B8D">
      <m:oMathPara>
        <m:oMathParaPr>
          <m:jc m:val="center"/>
        </m:oMathParaPr>
        <m:oMath>
          <m:r>
            <m:rPr>
              <m:sty m:val="bi"/>
            </m:rPr>
            <w:rPr>
              <w:rFonts w:ascii="Cambria Math" w:hAnsi="Cambria Math"/>
            </w:rPr>
            <m:t>Revenue adjustment</m:t>
          </m:r>
          <m:r>
            <m:rPr>
              <m:sty m:val="b"/>
            </m:rPr>
            <w:rPr>
              <w:rFonts w:ascii="Cambria Math" w:hAnsi="Cambria Math"/>
            </w:rPr>
            <m:t>=</m:t>
          </m:r>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Incentive rate</m:t>
              </m:r>
            </m:e>
            <m:sub>
              <m:r>
                <m:rPr>
                  <m:sty m:val="bi"/>
                </m:rPr>
                <w:rPr>
                  <w:rFonts w:ascii="Cambria Math" w:hAnsi="Cambria Math"/>
                </w:rPr>
                <m:t xml:space="preserve"> </m:t>
              </m:r>
            </m:sub>
          </m:sSub>
          <m:r>
            <w:rPr>
              <w:rFonts w:ascii="Cambria Math" w:hAnsi="Cambria Math"/>
            </w:rPr>
            <m:t>×</m:t>
          </m:r>
          <m:d>
            <m:dPr>
              <m:ctrlPr>
                <w:rPr>
                  <w:rFonts w:ascii="Cambria Math" w:hAnsi="Cambria Math"/>
                </w:rPr>
              </m:ctrlPr>
            </m:dPr>
            <m:e>
              <m:sSub>
                <m:sSubPr>
                  <m:ctrlPr>
                    <w:rPr>
                      <w:rFonts w:ascii="Cambria Math" w:hAnsi="Cambria Math"/>
                    </w:rPr>
                  </m:ctrlPr>
                </m:sSubPr>
                <m:e>
                  <m:r>
                    <m:rPr>
                      <m:sty m:val="bi"/>
                    </m:rPr>
                    <w:rPr>
                      <w:rFonts w:ascii="Cambria Math" w:hAnsi="Cambria Math"/>
                    </w:rPr>
                    <m:t>IRU target</m:t>
                  </m:r>
                </m:e>
                <m:sub>
                  <m:r>
                    <m:rPr>
                      <m:sty m:val="bi"/>
                    </m:rPr>
                    <w:rPr>
                      <w:rFonts w:ascii="Cambria Math" w:hAnsi="Cambria Math"/>
                    </w:rPr>
                    <m:t xml:space="preserve"> </m:t>
                  </m:r>
                </m:sub>
              </m:sSub>
              <m:r>
                <w:rPr>
                  <w:rFonts w:ascii="Cambria Math" w:hAnsi="Cambria Math"/>
                </w:rPr>
                <m:t xml:space="preserve">- </m:t>
              </m:r>
              <m:r>
                <m:rPr>
                  <m:sty m:val="bi"/>
                </m:rPr>
                <w:rPr>
                  <w:rFonts w:ascii="Cambria Math" w:hAnsi="Cambria Math"/>
                </w:rPr>
                <m:t>IRU amount</m:t>
              </m:r>
            </m:e>
          </m:d>
          <m:r>
            <w:rPr>
              <w:rFonts w:ascii="Cambria Math" w:hAnsi="Cambria Math"/>
            </w:rPr>
            <m:t xml:space="preserve"> </m:t>
          </m:r>
        </m:oMath>
      </m:oMathPara>
    </w:p>
    <w:p w:rsidR="00517B8D" w:rsidRPr="00D27546" w:rsidRDefault="00517B8D" w:rsidP="00517B8D">
      <w:proofErr w:type="gramStart"/>
      <w:r>
        <w:t>where</w:t>
      </w:r>
      <w:proofErr w:type="gramEnd"/>
      <w:r>
        <w:t xml:space="preserve"> </w:t>
      </w:r>
    </w:p>
    <w:p w:rsidR="00517B8D" w:rsidRPr="003878BA" w:rsidRDefault="00517B8D" w:rsidP="00FD4B00">
      <w:pPr>
        <w:pStyle w:val="AERnumberedlistsecondstyle"/>
        <w:numPr>
          <w:ilvl w:val="0"/>
          <w:numId w:val="37"/>
        </w:numPr>
      </w:pPr>
      <w:r w:rsidRPr="003878BA">
        <w:t>Revenue adjustment is the adjustment to the revenue for the relevant Distribution Network Service Provider for the regulatory year;</w:t>
      </w:r>
    </w:p>
    <w:p w:rsidR="00517B8D" w:rsidRDefault="00517B8D" w:rsidP="00517B8D">
      <w:pPr>
        <w:pStyle w:val="AERnumberedlistsecondstyle"/>
      </w:pPr>
      <w:r w:rsidRPr="00AD0201">
        <w:t>Incentive rate is $15,000;</w:t>
      </w:r>
    </w:p>
    <w:p w:rsidR="00517B8D" w:rsidRDefault="00517B8D" w:rsidP="00517B8D">
      <w:pPr>
        <w:pStyle w:val="AERnumberedlistsecondstyle"/>
      </w:pPr>
      <w:r w:rsidRPr="00AD0201">
        <w:t>IRU target is the IRU target applicable for the relevant financial year for the relevant Distribution Network Service Provider, as specified in clause</w:t>
      </w:r>
      <w:r w:rsidR="00887581">
        <w:t xml:space="preserve"> 11</w:t>
      </w:r>
      <w:r w:rsidRPr="00AD0201">
        <w:t>; and</w:t>
      </w:r>
    </w:p>
    <w:p w:rsidR="00517B8D" w:rsidRDefault="00517B8D" w:rsidP="00517B8D">
      <w:pPr>
        <w:pStyle w:val="AERnumberedlistsecondstyle"/>
      </w:pPr>
      <w:r>
        <w:t xml:space="preserve"> </w:t>
      </w:r>
      <w:r w:rsidRPr="00AD0201">
        <w:t xml:space="preserve">IRU amount is the number of IRUs accrued in relation to the relevant distribution system in the relevant financial year, determined in accordance with clause 11. </w:t>
      </w:r>
    </w:p>
    <w:p w:rsidR="00517B8D" w:rsidRPr="00D27546" w:rsidRDefault="00517B8D" w:rsidP="0047407F">
      <w:pPr>
        <w:pStyle w:val="AERquoteindent3"/>
      </w:pPr>
      <w:r>
        <w:t xml:space="preserve">Notes: </w:t>
      </w:r>
      <w:r w:rsidRPr="00D27546">
        <w:t>See the definition of “relevant financial year” in clause 4. By reason of that definition, the revenue adjustment for a regulatory year is made on the basis of the IRU target and IRU amount for the relevant financial year, which ends 18 months prior to the commencement of the regulatory year.</w:t>
      </w:r>
    </w:p>
    <w:p w:rsidR="00031E86" w:rsidRDefault="00031E86" w:rsidP="00031E86">
      <w:r w:rsidRPr="00CF3469">
        <w:rPr>
          <w:rStyle w:val="AERtextbolditalics"/>
        </w:rPr>
        <w:t>Revenue adjustment, Incentive rate, IRU target</w:t>
      </w:r>
      <w:r>
        <w:t xml:space="preserve"> and</w:t>
      </w:r>
      <w:r w:rsidRPr="00CF3469">
        <w:t xml:space="preserve"> </w:t>
      </w:r>
      <w:r w:rsidRPr="00CF3469">
        <w:rPr>
          <w:rStyle w:val="AERtextbolditalics"/>
        </w:rPr>
        <w:t>IRU amount</w:t>
      </w:r>
      <w:r>
        <w:t xml:space="preserve"> have the same meanings as prescribed by the</w:t>
      </w:r>
      <w:r w:rsidRPr="00CF3469">
        <w:t xml:space="preserve"> </w:t>
      </w:r>
      <w:r>
        <w:t>F-factor Scheme Order 2016.</w:t>
      </w:r>
    </w:p>
    <w:p w:rsidR="002168B6" w:rsidRDefault="00517B8D" w:rsidP="002168B6">
      <w:r w:rsidRPr="00CB2751">
        <w:t xml:space="preserve">In accordance with clause </w:t>
      </w:r>
      <w:r>
        <w:t>10</w:t>
      </w:r>
      <w:r w:rsidRPr="00CB2751">
        <w:t>(1) of the Order the AER determines that the</w:t>
      </w:r>
      <w:r>
        <w:t xml:space="preserve"> IRU</w:t>
      </w:r>
      <w:r w:rsidRPr="00CB2751">
        <w:t xml:space="preserve"> target num</w:t>
      </w:r>
      <w:r>
        <w:t>ber</w:t>
      </w:r>
      <w:r w:rsidR="002168B6">
        <w:t>s</w:t>
      </w:r>
      <w:r>
        <w:t xml:space="preserve"> for </w:t>
      </w:r>
      <w:r w:rsidR="00BC0BCC">
        <w:t>Jemena</w:t>
      </w:r>
      <w:r>
        <w:t xml:space="preserve"> </w:t>
      </w:r>
      <w:r w:rsidR="002168B6">
        <w:t>are set out in</w:t>
      </w:r>
      <w:r w:rsidR="00031E86" w:rsidRPr="00031E86">
        <w:t xml:space="preserve"> </w:t>
      </w:r>
      <w:r w:rsidR="00031E86">
        <w:t>Appendix</w:t>
      </w:r>
      <w:r w:rsidR="002168B6">
        <w:t xml:space="preserve"> A.1.  </w:t>
      </w:r>
    </w:p>
    <w:p w:rsidR="00934BC2" w:rsidRPr="00D27546" w:rsidRDefault="00934BC2" w:rsidP="00934BC2">
      <w:r>
        <w:t>In accordance with clauses 9(2) of the Order the revenue adjustment for Jemena for the 2018 regulatory year must be determined by the AER as follows:</w:t>
      </w:r>
      <w:r w:rsidRPr="00815513">
        <w:t xml:space="preserve"> </w:t>
      </w:r>
    </w:p>
    <w:p w:rsidR="00934BC2" w:rsidRPr="00AD0201" w:rsidRDefault="00934BC2" w:rsidP="00934BC2">
      <m:oMathPara>
        <m:oMath>
          <m:r>
            <m:rPr>
              <m:sty m:val="bi"/>
            </m:rPr>
            <w:rPr>
              <w:rStyle w:val="AERbody"/>
              <w:rFonts w:ascii="Cambria Math" w:hAnsi="Cambria Math"/>
            </w:rPr>
            <m:t>Transitional adjustment</m:t>
          </m:r>
          <m:r>
            <m:rPr>
              <m:sty m:val="b"/>
            </m:rPr>
            <w:rPr>
              <w:rFonts w:ascii="Cambria Math" w:hAnsi="Cambria Math"/>
            </w:rPr>
            <m:t>=</m:t>
          </m:r>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Transit</m:t>
              </m:r>
              <m:r>
                <m:rPr>
                  <m:sty m:val="bi"/>
                </m:rPr>
                <w:rPr>
                  <w:rFonts w:ascii="Cambria Math" w:hAnsi="Cambria Math"/>
                </w:rPr>
                <m:t>ional rate</m:t>
              </m:r>
            </m:e>
            <m:sub>
              <m:r>
                <m:rPr>
                  <m:sty m:val="bi"/>
                </m:rPr>
                <w:rPr>
                  <w:rFonts w:ascii="Cambria Math" w:hAnsi="Cambria Math"/>
                </w:rPr>
                <m:t xml:space="preserve"> </m:t>
              </m:r>
            </m:sub>
          </m:sSub>
          <m:r>
            <w:rPr>
              <w:rFonts w:ascii="Cambria Math" w:hAnsi="Cambria Math"/>
            </w:rPr>
            <m:t>×</m:t>
          </m:r>
          <m:d>
            <m:dPr>
              <m:ctrlPr>
                <w:rPr>
                  <w:rFonts w:ascii="Cambria Math" w:hAnsi="Cambria Math"/>
                </w:rPr>
              </m:ctrlPr>
            </m:dPr>
            <m:e>
              <m:r>
                <m:rPr>
                  <m:sty m:val="bi"/>
                </m:rPr>
                <w:rPr>
                  <w:rFonts w:ascii="Cambria Math" w:hAnsi="Cambria Math"/>
                </w:rPr>
                <m:t>Transitional target - Number of fires</m:t>
              </m:r>
            </m:e>
          </m:d>
        </m:oMath>
      </m:oMathPara>
    </w:p>
    <w:p w:rsidR="00934BC2" w:rsidRPr="00934BC2" w:rsidRDefault="00934BC2" w:rsidP="00934BC2">
      <w:pPr>
        <w:pStyle w:val="ListParagraph"/>
        <w:numPr>
          <w:ilvl w:val="0"/>
          <w:numId w:val="0"/>
        </w:numPr>
        <w:ind w:left="340"/>
      </w:pPr>
      <w:proofErr w:type="gramStart"/>
      <w:r>
        <w:t>where</w:t>
      </w:r>
      <w:proofErr w:type="gramEnd"/>
    </w:p>
    <w:p w:rsidR="00934BC2" w:rsidRDefault="00934BC2" w:rsidP="0015240F">
      <w:pPr>
        <w:pStyle w:val="AERnumberedlistthirdstyle"/>
        <w:numPr>
          <w:ilvl w:val="0"/>
          <w:numId w:val="40"/>
        </w:numPr>
      </w:pPr>
      <w:r w:rsidRPr="00934BC2">
        <w:t>Transitional adjustment is the adjustment to the revenue for the relevant Distribution Network Service Provider for the 2018 regulatory year;</w:t>
      </w:r>
    </w:p>
    <w:p w:rsidR="00934BC2" w:rsidRPr="00201704" w:rsidRDefault="00934BC2" w:rsidP="0015240F">
      <w:pPr>
        <w:pStyle w:val="AERnumberedlistthirdstyle"/>
        <w:numPr>
          <w:ilvl w:val="0"/>
          <w:numId w:val="40"/>
        </w:numPr>
      </w:pPr>
      <w:r>
        <w:t>Transitional rate is $25,000</w:t>
      </w:r>
      <w:r w:rsidRPr="00201704">
        <w:t>.</w:t>
      </w:r>
    </w:p>
    <w:p w:rsidR="00934BC2" w:rsidRDefault="00934BC2" w:rsidP="00934BC2">
      <w:r w:rsidRPr="00201704">
        <w:lastRenderedPageBreak/>
        <w:t xml:space="preserve">In accordance with clause 13(1) of the Order the AER determines that for the 2018 revenue adjustment the fire start target number for </w:t>
      </w:r>
      <w:r>
        <w:t>Jemena</w:t>
      </w:r>
      <w:r w:rsidRPr="00201704">
        <w:t xml:space="preserve"> </w:t>
      </w:r>
      <w:r w:rsidR="00107B7F">
        <w:t>is set out in</w:t>
      </w:r>
      <w:r w:rsidR="00031E86" w:rsidRPr="00031E86">
        <w:t xml:space="preserve"> </w:t>
      </w:r>
      <w:r w:rsidR="00031E86">
        <w:t>Appendix</w:t>
      </w:r>
      <w:r w:rsidR="00107B7F">
        <w:t xml:space="preserve"> A.2</w:t>
      </w:r>
      <w:r w:rsidR="00107B7F" w:rsidRPr="00201704">
        <w:t>.</w:t>
      </w:r>
    </w:p>
    <w:p w:rsidR="00031E86" w:rsidRDefault="00107B7F" w:rsidP="00107B7F">
      <w:r>
        <w:t xml:space="preserve">The revenue adjustment will be made by way of an </w:t>
      </w:r>
      <w:r w:rsidRPr="008378DC">
        <w:t>"I-factor" component in the annual revenue requirement calculation formula</w:t>
      </w:r>
      <w:r>
        <w:t xml:space="preserve">, as set out in our final decision for Jemena for the 2016-20 regulatory control </w:t>
      </w:r>
      <w:proofErr w:type="gramStart"/>
      <w:r>
        <w:t>period</w:t>
      </w:r>
      <w:proofErr w:type="gramEnd"/>
      <w:r w:rsidR="00031E86">
        <w:t>.</w:t>
      </w:r>
    </w:p>
    <w:p w:rsidR="00107B7F" w:rsidRPr="0015240F" w:rsidRDefault="00031E86" w:rsidP="00107B7F">
      <w:r>
        <w:t xml:space="preserve">This determination </w:t>
      </w:r>
      <w:r w:rsidR="0000090B">
        <w:t xml:space="preserve">replaces </w:t>
      </w:r>
      <w:r>
        <w:t xml:space="preserve">our previous determination on f-factor application, as indicated in the </w:t>
      </w:r>
      <w:r w:rsidRPr="00031E86">
        <w:rPr>
          <w:rStyle w:val="AERtextitalic"/>
        </w:rPr>
        <w:t xml:space="preserve">AER, Final decision </w:t>
      </w:r>
      <w:r>
        <w:rPr>
          <w:rStyle w:val="AERtextitalic"/>
        </w:rPr>
        <w:t>Jemena</w:t>
      </w:r>
      <w:r w:rsidRPr="00031E86">
        <w:rPr>
          <w:rStyle w:val="AERtextitalic"/>
        </w:rPr>
        <w:t xml:space="preserve"> distribution determination 2016 to 2020, Attachment 18 – f-factor scheme, May 2016</w:t>
      </w:r>
      <w:r>
        <w:rPr>
          <w:rStyle w:val="AERtextitalic"/>
        </w:rPr>
        <w:t>.</w:t>
      </w:r>
      <w:r>
        <w:t xml:space="preserve"> </w:t>
      </w:r>
      <w:r w:rsidR="00107B7F">
        <w:t xml:space="preserve"> </w:t>
      </w:r>
    </w:p>
    <w:p w:rsidR="0031484F" w:rsidRPr="00D27546" w:rsidRDefault="0031484F" w:rsidP="0031484F">
      <w:pPr>
        <w:pStyle w:val="Heading2"/>
      </w:pPr>
      <w:bookmarkStart w:id="182" w:name="_Toc478731811"/>
      <w:proofErr w:type="spellStart"/>
      <w:r>
        <w:t>Powercor</w:t>
      </w:r>
      <w:proofErr w:type="spellEnd"/>
      <w:r w:rsidRPr="00D27546">
        <w:t xml:space="preserve"> f-factor scheme determination</w:t>
      </w:r>
      <w:bookmarkEnd w:id="182"/>
    </w:p>
    <w:p w:rsidR="0031484F" w:rsidRPr="009F7393" w:rsidRDefault="0031484F" w:rsidP="0031484F">
      <w:r>
        <w:t>Under clause 8</w:t>
      </w:r>
      <w:r w:rsidRPr="009F7393">
        <w:t>(1) o</w:t>
      </w:r>
      <w:r>
        <w:t>f the F-factor Scheme Order 2016</w:t>
      </w:r>
      <w:r w:rsidRPr="009F7393">
        <w:t xml:space="preserve"> (t</w:t>
      </w:r>
      <w:r>
        <w:t>he Order) made under section 16E</w:t>
      </w:r>
      <w:r w:rsidRPr="009F7393">
        <w:t xml:space="preserve"> of the National Electricity (Victoria) Act 2005, the Australian Energy Regulator (AER) must make an f-factor scheme determination in relation to</w:t>
      </w:r>
      <w:r>
        <w:t xml:space="preserve"> </w:t>
      </w:r>
      <w:proofErr w:type="spellStart"/>
      <w:r>
        <w:t>Powercor</w:t>
      </w:r>
      <w:proofErr w:type="spellEnd"/>
      <w:r w:rsidRPr="009F7393">
        <w:t xml:space="preserve">. </w:t>
      </w:r>
      <w:r>
        <w:t>Under clause 8</w:t>
      </w:r>
      <w:r w:rsidRPr="009F7393">
        <w:t>(2) of the Order, the</w:t>
      </w:r>
      <w:r>
        <w:t xml:space="preserve"> AER must make, no later than 30</w:t>
      </w:r>
      <w:r w:rsidRPr="009F7393">
        <w:t xml:space="preserve"> </w:t>
      </w:r>
      <w:r>
        <w:t>September 2018</w:t>
      </w:r>
      <w:r w:rsidRPr="009F7393">
        <w:t xml:space="preserve">, an f-factor scheme determination to take effect in the </w:t>
      </w:r>
      <w:r>
        <w:t>2016–20</w:t>
      </w:r>
      <w:r w:rsidRPr="009F7393">
        <w:t xml:space="preserve"> distribution determination </w:t>
      </w:r>
      <w:proofErr w:type="gramStart"/>
      <w:r w:rsidRPr="009F7393">
        <w:t>period</w:t>
      </w:r>
      <w:proofErr w:type="gramEnd"/>
      <w:r w:rsidRPr="009F7393">
        <w:t>. The distribution determination period</w:t>
      </w:r>
      <w:r>
        <w:t xml:space="preserve"> is the period of 1 January 2016 to 31 December 2020</w:t>
      </w:r>
      <w:r w:rsidRPr="009F7393">
        <w:t>.</w:t>
      </w:r>
    </w:p>
    <w:p w:rsidR="0031484F" w:rsidRPr="00127B55" w:rsidRDefault="0031484F" w:rsidP="0031484F">
      <w:r>
        <w:t>Under clause 9</w:t>
      </w:r>
      <w:r w:rsidRPr="00D27546">
        <w:t xml:space="preserve">(1) of the Order, an f-factor scheme determination must establish an f-factor scheme that complies with the Order and under which there is a revenue adjustment for a </w:t>
      </w:r>
      <w:r w:rsidR="00E77995">
        <w:t>distributor</w:t>
      </w:r>
      <w:r w:rsidRPr="00D27546">
        <w:t>.</w:t>
      </w:r>
    </w:p>
    <w:p w:rsidR="0031484F" w:rsidRPr="00D27546" w:rsidRDefault="0031484F" w:rsidP="0031484F">
      <w:r>
        <w:t xml:space="preserve">In accordance with clause 9(4) of the Order the revenue adjustment for </w:t>
      </w:r>
      <w:proofErr w:type="spellStart"/>
      <w:r w:rsidR="00FD4B00">
        <w:t>Powercor</w:t>
      </w:r>
      <w:proofErr w:type="spellEnd"/>
      <w:r>
        <w:t xml:space="preserve"> for the 2019 regulatory year, and for each subsequent regulatory year, must be determined by the AER as follows:</w:t>
      </w:r>
      <w:r w:rsidRPr="00815513">
        <w:t xml:space="preserve"> </w:t>
      </w:r>
    </w:p>
    <w:p w:rsidR="0031484F" w:rsidRPr="0031484F" w:rsidRDefault="0031484F" w:rsidP="0031484F">
      <m:oMathPara>
        <m:oMathParaPr>
          <m:jc m:val="center"/>
        </m:oMathParaPr>
        <m:oMath>
          <m:r>
            <m:rPr>
              <m:sty m:val="bi"/>
            </m:rPr>
            <w:rPr>
              <w:rFonts w:ascii="Cambria Math" w:hAnsi="Cambria Math"/>
            </w:rPr>
            <m:t>Revenue adjustment</m:t>
          </m:r>
          <m:r>
            <m:rPr>
              <m:sty m:val="b"/>
            </m:rPr>
            <w:rPr>
              <w:rFonts w:ascii="Cambria Math" w:hAnsi="Cambria Math"/>
            </w:rPr>
            <m:t>=</m:t>
          </m:r>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Incentive rate</m:t>
              </m:r>
            </m:e>
            <m:sub>
              <m:r>
                <m:rPr>
                  <m:sty m:val="bi"/>
                </m:rPr>
                <w:rPr>
                  <w:rFonts w:ascii="Cambria Math" w:hAnsi="Cambria Math"/>
                </w:rPr>
                <m:t xml:space="preserve"> </m:t>
              </m:r>
            </m:sub>
          </m:sSub>
          <m:r>
            <w:rPr>
              <w:rFonts w:ascii="Cambria Math" w:hAnsi="Cambria Math"/>
            </w:rPr>
            <m:t>×</m:t>
          </m:r>
          <m:d>
            <m:dPr>
              <m:ctrlPr>
                <w:rPr>
                  <w:rFonts w:ascii="Cambria Math" w:hAnsi="Cambria Math"/>
                </w:rPr>
              </m:ctrlPr>
            </m:dPr>
            <m:e>
              <m:sSub>
                <m:sSubPr>
                  <m:ctrlPr>
                    <w:rPr>
                      <w:rFonts w:ascii="Cambria Math" w:hAnsi="Cambria Math"/>
                    </w:rPr>
                  </m:ctrlPr>
                </m:sSubPr>
                <m:e>
                  <m:r>
                    <m:rPr>
                      <m:sty m:val="bi"/>
                    </m:rPr>
                    <w:rPr>
                      <w:rFonts w:ascii="Cambria Math" w:hAnsi="Cambria Math"/>
                    </w:rPr>
                    <m:t>IRU target</m:t>
                  </m:r>
                </m:e>
                <m:sub>
                  <m:r>
                    <m:rPr>
                      <m:sty m:val="bi"/>
                    </m:rPr>
                    <w:rPr>
                      <w:rFonts w:ascii="Cambria Math" w:hAnsi="Cambria Math"/>
                    </w:rPr>
                    <m:t xml:space="preserve"> </m:t>
                  </m:r>
                </m:sub>
              </m:sSub>
              <m:r>
                <w:rPr>
                  <w:rFonts w:ascii="Cambria Math" w:hAnsi="Cambria Math"/>
                </w:rPr>
                <m:t xml:space="preserve">- </m:t>
              </m:r>
              <m:r>
                <m:rPr>
                  <m:sty m:val="bi"/>
                </m:rPr>
                <w:rPr>
                  <w:rFonts w:ascii="Cambria Math" w:hAnsi="Cambria Math"/>
                </w:rPr>
                <m:t>IRU amount</m:t>
              </m:r>
            </m:e>
          </m:d>
          <m:r>
            <w:rPr>
              <w:rFonts w:ascii="Cambria Math" w:hAnsi="Cambria Math"/>
            </w:rPr>
            <m:t xml:space="preserve"> </m:t>
          </m:r>
        </m:oMath>
      </m:oMathPara>
    </w:p>
    <w:p w:rsidR="0031484F" w:rsidRPr="00D27546" w:rsidRDefault="0031484F" w:rsidP="0031484F">
      <w:proofErr w:type="gramStart"/>
      <w:r>
        <w:t>where</w:t>
      </w:r>
      <w:proofErr w:type="gramEnd"/>
      <w:r>
        <w:t xml:space="preserve"> </w:t>
      </w:r>
    </w:p>
    <w:p w:rsidR="0031484F" w:rsidRPr="003878BA" w:rsidRDefault="0031484F" w:rsidP="00FD4B00">
      <w:pPr>
        <w:pStyle w:val="AERnumberedlistsecondstyle"/>
        <w:numPr>
          <w:ilvl w:val="0"/>
          <w:numId w:val="38"/>
        </w:numPr>
      </w:pPr>
      <w:r w:rsidRPr="003878BA">
        <w:t>Revenue adjustment is the adjustment to the revenue for the relevant Distribution Network Service Provider for the regulatory year;</w:t>
      </w:r>
    </w:p>
    <w:p w:rsidR="0031484F" w:rsidRDefault="0031484F" w:rsidP="0031484F">
      <w:pPr>
        <w:pStyle w:val="AERnumberedlistsecondstyle"/>
      </w:pPr>
      <w:r w:rsidRPr="00AD0201">
        <w:t>Incentive rate is $15,000;</w:t>
      </w:r>
    </w:p>
    <w:p w:rsidR="0031484F" w:rsidRDefault="0031484F" w:rsidP="0031484F">
      <w:pPr>
        <w:pStyle w:val="AERnumberedlistsecondstyle"/>
      </w:pPr>
      <w:r w:rsidRPr="00AD0201">
        <w:t xml:space="preserve">IRU target is the IRU target applicable for the relevant financial year for the relevant Distribution Network Service Provider, as specified in clause </w:t>
      </w:r>
      <w:r w:rsidR="00887581">
        <w:t xml:space="preserve">11 </w:t>
      </w:r>
      <w:r w:rsidRPr="00AD0201">
        <w:t>and</w:t>
      </w:r>
    </w:p>
    <w:p w:rsidR="0031484F" w:rsidRDefault="0031484F" w:rsidP="0031484F">
      <w:pPr>
        <w:pStyle w:val="AERnumberedlistsecondstyle"/>
      </w:pPr>
      <w:r>
        <w:t xml:space="preserve"> </w:t>
      </w:r>
      <w:r w:rsidRPr="00AD0201">
        <w:t xml:space="preserve">IRU amount is the number of IRUs accrued in relation to the relevant distribution system in the relevant financial year, determined in accordance with clause 11. </w:t>
      </w:r>
    </w:p>
    <w:p w:rsidR="0031484F" w:rsidRPr="00D27546" w:rsidRDefault="0031484F" w:rsidP="0047407F">
      <w:pPr>
        <w:pStyle w:val="AERquoteindent3"/>
      </w:pPr>
      <w:r>
        <w:t xml:space="preserve">Notes: </w:t>
      </w:r>
      <w:r w:rsidRPr="00D27546">
        <w:t>See the definition of “relevant financial year” in clause 4. By reason of that definition, the revenue adjustment for a regulatory year is made on the basis of the IRU target and IRU amount for the relevant financial year, which ends 18 months prior to the commencement of the regulatory year.</w:t>
      </w:r>
    </w:p>
    <w:p w:rsidR="00031E86" w:rsidRDefault="00031E86" w:rsidP="00031E86">
      <w:r w:rsidRPr="00CF3469">
        <w:rPr>
          <w:rStyle w:val="AERtextbolditalics"/>
        </w:rPr>
        <w:lastRenderedPageBreak/>
        <w:t>Revenue adjustment, Incentive rate, IRU target</w:t>
      </w:r>
      <w:r>
        <w:t xml:space="preserve"> and</w:t>
      </w:r>
      <w:r w:rsidRPr="00CF3469">
        <w:t xml:space="preserve"> </w:t>
      </w:r>
      <w:r w:rsidRPr="00CF3469">
        <w:rPr>
          <w:rStyle w:val="AERtextbolditalics"/>
        </w:rPr>
        <w:t>IRU amount</w:t>
      </w:r>
      <w:r>
        <w:t xml:space="preserve"> have the same meanings as prescribed by the</w:t>
      </w:r>
      <w:r w:rsidRPr="00CF3469">
        <w:t xml:space="preserve"> </w:t>
      </w:r>
      <w:r>
        <w:t>F-factor Scheme Order 2016.</w:t>
      </w:r>
    </w:p>
    <w:p w:rsidR="002168B6" w:rsidRDefault="0031484F" w:rsidP="002168B6">
      <w:r w:rsidRPr="00CB2751">
        <w:t xml:space="preserve">In accordance with clause </w:t>
      </w:r>
      <w:r>
        <w:t>10</w:t>
      </w:r>
      <w:r w:rsidRPr="00CB2751">
        <w:t>(1) of the Order the AER determines that the</w:t>
      </w:r>
      <w:r>
        <w:t xml:space="preserve"> IRU</w:t>
      </w:r>
      <w:r w:rsidRPr="00CB2751">
        <w:t xml:space="preserve"> target num</w:t>
      </w:r>
      <w:r>
        <w:t>ber</w:t>
      </w:r>
      <w:r w:rsidR="002168B6">
        <w:t>s</w:t>
      </w:r>
      <w:r>
        <w:t xml:space="preserve"> for </w:t>
      </w:r>
      <w:proofErr w:type="spellStart"/>
      <w:r w:rsidR="00FD4B00">
        <w:t>Powercor</w:t>
      </w:r>
      <w:proofErr w:type="spellEnd"/>
      <w:r>
        <w:t xml:space="preserve"> </w:t>
      </w:r>
      <w:r w:rsidR="002168B6">
        <w:t>are set out in</w:t>
      </w:r>
      <w:r w:rsidR="00031E86" w:rsidRPr="00031E86">
        <w:t xml:space="preserve"> </w:t>
      </w:r>
      <w:r w:rsidR="00031E86">
        <w:t>Appendix</w:t>
      </w:r>
      <w:r w:rsidR="002168B6">
        <w:t xml:space="preserve"> A.1.  </w:t>
      </w:r>
    </w:p>
    <w:p w:rsidR="002660FB" w:rsidRPr="00D27546" w:rsidRDefault="002660FB" w:rsidP="002660FB">
      <w:r>
        <w:t xml:space="preserve">In accordance with clauses 9(2) of the Order the revenue adjustment for </w:t>
      </w:r>
      <w:proofErr w:type="spellStart"/>
      <w:r>
        <w:t>Powercor</w:t>
      </w:r>
      <w:proofErr w:type="spellEnd"/>
      <w:r>
        <w:t xml:space="preserve"> for the 2018 regulatory year must be determined by the AER as follows:</w:t>
      </w:r>
      <w:r w:rsidRPr="00815513">
        <w:t xml:space="preserve"> </w:t>
      </w:r>
    </w:p>
    <w:p w:rsidR="002660FB" w:rsidRPr="00AD0201" w:rsidRDefault="002660FB" w:rsidP="002660FB">
      <m:oMathPara>
        <m:oMath>
          <m:r>
            <m:rPr>
              <m:sty m:val="bi"/>
            </m:rPr>
            <w:rPr>
              <w:rStyle w:val="AERbody"/>
              <w:rFonts w:ascii="Cambria Math" w:hAnsi="Cambria Math"/>
            </w:rPr>
            <m:t>Transitional adjustment</m:t>
          </m:r>
          <m:r>
            <m:rPr>
              <m:sty m:val="b"/>
            </m:rPr>
            <w:rPr>
              <w:rFonts w:ascii="Cambria Math" w:hAnsi="Cambria Math"/>
            </w:rPr>
            <m:t>=</m:t>
          </m:r>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Transitional rate</m:t>
              </m:r>
            </m:e>
            <m:sub>
              <m:r>
                <m:rPr>
                  <m:sty m:val="bi"/>
                </m:rPr>
                <w:rPr>
                  <w:rFonts w:ascii="Cambria Math" w:hAnsi="Cambria Math"/>
                </w:rPr>
                <m:t xml:space="preserve"> </m:t>
              </m:r>
            </m:sub>
          </m:sSub>
          <m:r>
            <w:rPr>
              <w:rFonts w:ascii="Cambria Math" w:hAnsi="Cambria Math"/>
            </w:rPr>
            <m:t>×</m:t>
          </m:r>
          <m:d>
            <m:dPr>
              <m:ctrlPr>
                <w:rPr>
                  <w:rFonts w:ascii="Cambria Math" w:hAnsi="Cambria Math"/>
                </w:rPr>
              </m:ctrlPr>
            </m:dPr>
            <m:e>
              <m:r>
                <m:rPr>
                  <m:sty m:val="bi"/>
                </m:rPr>
                <w:rPr>
                  <w:rFonts w:ascii="Cambria Math" w:hAnsi="Cambria Math"/>
                </w:rPr>
                <m:t>Transitional target - Number of fires</m:t>
              </m:r>
            </m:e>
          </m:d>
        </m:oMath>
      </m:oMathPara>
    </w:p>
    <w:p w:rsidR="002660FB" w:rsidRPr="002660FB" w:rsidRDefault="002660FB" w:rsidP="0051701D">
      <w:pPr>
        <w:pStyle w:val="ListParagraph"/>
        <w:numPr>
          <w:ilvl w:val="0"/>
          <w:numId w:val="0"/>
        </w:numPr>
        <w:ind w:left="340"/>
      </w:pPr>
      <w:proofErr w:type="gramStart"/>
      <w:r>
        <w:t>where</w:t>
      </w:r>
      <w:proofErr w:type="gramEnd"/>
    </w:p>
    <w:p w:rsidR="002660FB" w:rsidRDefault="002660FB" w:rsidP="0015240F">
      <w:pPr>
        <w:pStyle w:val="AERnumberedlistthirdstyle"/>
        <w:numPr>
          <w:ilvl w:val="0"/>
          <w:numId w:val="43"/>
        </w:numPr>
      </w:pPr>
      <w:r w:rsidRPr="002660FB">
        <w:t>Transitional adjustment is the adjustment to the revenue for the relevant Distribution Network Service Provider for the 2018 regulatory year;</w:t>
      </w:r>
    </w:p>
    <w:p w:rsidR="002660FB" w:rsidRPr="002660FB" w:rsidRDefault="002660FB" w:rsidP="0015240F">
      <w:pPr>
        <w:pStyle w:val="AERnumberedlistthirdstyle"/>
        <w:numPr>
          <w:ilvl w:val="0"/>
          <w:numId w:val="43"/>
        </w:numPr>
      </w:pPr>
      <w:r>
        <w:t>Transitional rate is $25,000</w:t>
      </w:r>
      <w:r w:rsidRPr="002660FB">
        <w:t>.</w:t>
      </w:r>
    </w:p>
    <w:p w:rsidR="002660FB" w:rsidRDefault="002660FB" w:rsidP="002660FB">
      <w:r w:rsidRPr="00201704">
        <w:t xml:space="preserve">In accordance with clause 13(1) of the Order the AER determines that for the 2018 revenue adjustment the fire start target number for </w:t>
      </w:r>
      <w:proofErr w:type="spellStart"/>
      <w:r>
        <w:t>Powercor</w:t>
      </w:r>
      <w:proofErr w:type="spellEnd"/>
      <w:r w:rsidRPr="00201704">
        <w:t xml:space="preserve"> </w:t>
      </w:r>
      <w:r w:rsidR="00107B7F">
        <w:t>is set out in</w:t>
      </w:r>
      <w:r w:rsidR="00031E86" w:rsidRPr="00031E86">
        <w:t xml:space="preserve"> </w:t>
      </w:r>
      <w:r w:rsidR="00031E86">
        <w:t>Appendix</w:t>
      </w:r>
      <w:r w:rsidR="00107B7F">
        <w:t xml:space="preserve"> A.2</w:t>
      </w:r>
      <w:r w:rsidR="00107B7F" w:rsidRPr="00201704">
        <w:t>.</w:t>
      </w:r>
    </w:p>
    <w:p w:rsidR="00031E86" w:rsidRDefault="00107B7F" w:rsidP="00107B7F">
      <w:r>
        <w:t xml:space="preserve">The revenue adjustment will be made by way of an </w:t>
      </w:r>
      <w:r w:rsidRPr="008378DC">
        <w:t>"I-factor" component in the annual revenue requirement calculation formula</w:t>
      </w:r>
      <w:r>
        <w:t xml:space="preserve">, as set out in our final decision for </w:t>
      </w:r>
      <w:proofErr w:type="spellStart"/>
      <w:r>
        <w:t>Powercor</w:t>
      </w:r>
      <w:proofErr w:type="spellEnd"/>
      <w:r>
        <w:t xml:space="preserve"> for the 2016-20 regulatory control </w:t>
      </w:r>
      <w:proofErr w:type="gramStart"/>
      <w:r>
        <w:t>period</w:t>
      </w:r>
      <w:proofErr w:type="gramEnd"/>
      <w:r w:rsidR="00031E86">
        <w:t>.</w:t>
      </w:r>
    </w:p>
    <w:p w:rsidR="00107B7F" w:rsidRPr="0015240F" w:rsidRDefault="00031E86" w:rsidP="00107B7F">
      <w:r>
        <w:t xml:space="preserve">This determination </w:t>
      </w:r>
      <w:r w:rsidR="00C65192">
        <w:t xml:space="preserve">replaces </w:t>
      </w:r>
      <w:r>
        <w:t xml:space="preserve">our previous determination on f-factor application, as indicated in the </w:t>
      </w:r>
      <w:r w:rsidRPr="00031E86">
        <w:rPr>
          <w:rStyle w:val="AERtextitalic"/>
        </w:rPr>
        <w:t xml:space="preserve">AER, Final decision </w:t>
      </w:r>
      <w:proofErr w:type="spellStart"/>
      <w:r>
        <w:rPr>
          <w:rStyle w:val="AERtextitalic"/>
        </w:rPr>
        <w:t>Powercor</w:t>
      </w:r>
      <w:proofErr w:type="spellEnd"/>
      <w:r w:rsidRPr="00031E86">
        <w:rPr>
          <w:rStyle w:val="AERtextitalic"/>
        </w:rPr>
        <w:t xml:space="preserve"> distribution determination 2016 to 2020, Attachment 18 – f-factor scheme, May 2016</w:t>
      </w:r>
      <w:r>
        <w:rPr>
          <w:rStyle w:val="AERtextitalic"/>
        </w:rPr>
        <w:t>.</w:t>
      </w:r>
      <w:r>
        <w:t xml:space="preserve"> </w:t>
      </w:r>
      <w:r w:rsidR="00107B7F">
        <w:t xml:space="preserve"> </w:t>
      </w:r>
    </w:p>
    <w:p w:rsidR="00FD4B00" w:rsidRPr="00D27546" w:rsidRDefault="00FD4B00" w:rsidP="00FD4B00">
      <w:pPr>
        <w:pStyle w:val="Heading2"/>
      </w:pPr>
      <w:bookmarkStart w:id="183" w:name="_Toc478731812"/>
      <w:r>
        <w:t>United Energy</w:t>
      </w:r>
      <w:r w:rsidRPr="00D27546">
        <w:t xml:space="preserve"> f-factor scheme determination</w:t>
      </w:r>
      <w:bookmarkEnd w:id="183"/>
    </w:p>
    <w:p w:rsidR="00FD4B00" w:rsidRPr="009F7393" w:rsidRDefault="00FD4B00" w:rsidP="00FD4B00">
      <w:r>
        <w:t>Under clause 8</w:t>
      </w:r>
      <w:r w:rsidRPr="009F7393">
        <w:t>(1) o</w:t>
      </w:r>
      <w:r>
        <w:t>f the F-factor Scheme Order 2016</w:t>
      </w:r>
      <w:r w:rsidRPr="009F7393">
        <w:t xml:space="preserve"> (t</w:t>
      </w:r>
      <w:r>
        <w:t>he Order) made under section 16E</w:t>
      </w:r>
      <w:r w:rsidRPr="009F7393">
        <w:t xml:space="preserve"> of the National Electricity (Victoria) Act 2005, the Australian Energy Regulator (AER) must make an f-factor scheme determination in relation to</w:t>
      </w:r>
      <w:r>
        <w:t xml:space="preserve"> </w:t>
      </w:r>
      <w:r w:rsidR="00D60E79">
        <w:t>United Energy</w:t>
      </w:r>
      <w:r w:rsidRPr="009F7393">
        <w:t xml:space="preserve">. </w:t>
      </w:r>
      <w:r>
        <w:t>Under clause 8</w:t>
      </w:r>
      <w:r w:rsidRPr="009F7393">
        <w:t>(2) of the Order, the</w:t>
      </w:r>
      <w:r>
        <w:t xml:space="preserve"> AER must make, no later than 30</w:t>
      </w:r>
      <w:r w:rsidRPr="009F7393">
        <w:t xml:space="preserve"> </w:t>
      </w:r>
      <w:r>
        <w:t>September 2018</w:t>
      </w:r>
      <w:r w:rsidRPr="009F7393">
        <w:t xml:space="preserve">, an f-factor scheme determination to take effect in the </w:t>
      </w:r>
      <w:r>
        <w:t>2016–20</w:t>
      </w:r>
      <w:r w:rsidRPr="009F7393">
        <w:t xml:space="preserve"> distribution determination </w:t>
      </w:r>
      <w:proofErr w:type="gramStart"/>
      <w:r w:rsidRPr="009F7393">
        <w:t>period</w:t>
      </w:r>
      <w:proofErr w:type="gramEnd"/>
      <w:r w:rsidRPr="009F7393">
        <w:t>. The distribution determination period</w:t>
      </w:r>
      <w:r>
        <w:t xml:space="preserve"> is the period of 1 January 2016 to 31 December 2020</w:t>
      </w:r>
      <w:r w:rsidRPr="009F7393">
        <w:t>.</w:t>
      </w:r>
    </w:p>
    <w:p w:rsidR="00FD4B00" w:rsidRPr="00127B55" w:rsidRDefault="00FD4B00" w:rsidP="00FD4B00">
      <w:r>
        <w:t>Under clause 9</w:t>
      </w:r>
      <w:r w:rsidRPr="00D27546">
        <w:t xml:space="preserve">(1) of the Order, an f-factor scheme determination must establish an f-factor scheme that complies with the Order and under which there is a revenue adjustment for a </w:t>
      </w:r>
      <w:r w:rsidR="00E77995">
        <w:t>distributor</w:t>
      </w:r>
      <w:r w:rsidRPr="00D27546">
        <w:t>.</w:t>
      </w:r>
    </w:p>
    <w:p w:rsidR="00FD4B00" w:rsidRPr="00D27546" w:rsidRDefault="00FD4B00" w:rsidP="00FD4B00">
      <w:r>
        <w:t xml:space="preserve">In accordance with clause 9(4) of the Order the revenue adjustment for </w:t>
      </w:r>
      <w:r w:rsidR="00D60E79">
        <w:t>United Energy</w:t>
      </w:r>
      <w:r>
        <w:t xml:space="preserve"> for the 2019 regulatory year, and for each subsequent regulatory year, must be determined by the AER as follows:</w:t>
      </w:r>
      <w:r w:rsidRPr="00815513">
        <w:t xml:space="preserve"> </w:t>
      </w:r>
    </w:p>
    <w:p w:rsidR="00FD4B00" w:rsidRPr="00FD4B00" w:rsidRDefault="00FD4B00" w:rsidP="00FD4B00">
      <m:oMathPara>
        <m:oMathParaPr>
          <m:jc m:val="center"/>
        </m:oMathParaPr>
        <m:oMath>
          <m:r>
            <m:rPr>
              <m:sty m:val="bi"/>
            </m:rPr>
            <w:rPr>
              <w:rFonts w:ascii="Cambria Math" w:hAnsi="Cambria Math"/>
            </w:rPr>
            <m:t>Revenue adjustment</m:t>
          </m:r>
          <m:r>
            <m:rPr>
              <m:sty m:val="b"/>
            </m:rPr>
            <w:rPr>
              <w:rFonts w:ascii="Cambria Math" w:hAnsi="Cambria Math"/>
            </w:rPr>
            <m:t>=</m:t>
          </m:r>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Incentive rate</m:t>
              </m:r>
            </m:e>
            <m:sub>
              <m:r>
                <m:rPr>
                  <m:sty m:val="bi"/>
                </m:rPr>
                <w:rPr>
                  <w:rFonts w:ascii="Cambria Math" w:hAnsi="Cambria Math"/>
                </w:rPr>
                <m:t xml:space="preserve"> </m:t>
              </m:r>
            </m:sub>
          </m:sSub>
          <m:r>
            <w:rPr>
              <w:rFonts w:ascii="Cambria Math" w:hAnsi="Cambria Math"/>
            </w:rPr>
            <m:t>×</m:t>
          </m:r>
          <m:d>
            <m:dPr>
              <m:ctrlPr>
                <w:rPr>
                  <w:rFonts w:ascii="Cambria Math" w:hAnsi="Cambria Math"/>
                </w:rPr>
              </m:ctrlPr>
            </m:dPr>
            <m:e>
              <m:sSub>
                <m:sSubPr>
                  <m:ctrlPr>
                    <w:rPr>
                      <w:rFonts w:ascii="Cambria Math" w:hAnsi="Cambria Math"/>
                    </w:rPr>
                  </m:ctrlPr>
                </m:sSubPr>
                <m:e>
                  <m:r>
                    <m:rPr>
                      <m:sty m:val="bi"/>
                    </m:rPr>
                    <w:rPr>
                      <w:rFonts w:ascii="Cambria Math" w:hAnsi="Cambria Math"/>
                    </w:rPr>
                    <m:t>IRU target</m:t>
                  </m:r>
                </m:e>
                <m:sub>
                  <m:r>
                    <m:rPr>
                      <m:sty m:val="bi"/>
                    </m:rPr>
                    <w:rPr>
                      <w:rFonts w:ascii="Cambria Math" w:hAnsi="Cambria Math"/>
                    </w:rPr>
                    <m:t xml:space="preserve"> </m:t>
                  </m:r>
                </m:sub>
              </m:sSub>
              <m:r>
                <w:rPr>
                  <w:rFonts w:ascii="Cambria Math" w:hAnsi="Cambria Math"/>
                </w:rPr>
                <m:t xml:space="preserve">- </m:t>
              </m:r>
              <m:r>
                <m:rPr>
                  <m:sty m:val="bi"/>
                </m:rPr>
                <w:rPr>
                  <w:rFonts w:ascii="Cambria Math" w:hAnsi="Cambria Math"/>
                </w:rPr>
                <m:t>IRU amount</m:t>
              </m:r>
            </m:e>
          </m:d>
          <m:r>
            <w:rPr>
              <w:rFonts w:ascii="Cambria Math" w:hAnsi="Cambria Math"/>
            </w:rPr>
            <m:t xml:space="preserve"> </m:t>
          </m:r>
        </m:oMath>
      </m:oMathPara>
    </w:p>
    <w:p w:rsidR="00FD4B00" w:rsidRPr="00D27546" w:rsidRDefault="00FD4B00" w:rsidP="00FD4B00">
      <w:proofErr w:type="gramStart"/>
      <w:r>
        <w:t>where</w:t>
      </w:r>
      <w:proofErr w:type="gramEnd"/>
      <w:r>
        <w:t xml:space="preserve"> </w:t>
      </w:r>
    </w:p>
    <w:p w:rsidR="00FD4B00" w:rsidRPr="003878BA" w:rsidRDefault="00FD4B00" w:rsidP="0015240F">
      <w:pPr>
        <w:pStyle w:val="AERnumberedlistsecondstyle"/>
        <w:numPr>
          <w:ilvl w:val="0"/>
          <w:numId w:val="42"/>
        </w:numPr>
      </w:pPr>
      <w:r w:rsidRPr="003878BA">
        <w:lastRenderedPageBreak/>
        <w:t>Revenue adjustment is the adjustment to the revenue for the relevant Distribution Network Service Provider for the regulatory year;</w:t>
      </w:r>
    </w:p>
    <w:p w:rsidR="00FD4B00" w:rsidRDefault="00FD4B00" w:rsidP="00FD4B00">
      <w:pPr>
        <w:pStyle w:val="AERnumberedlistsecondstyle"/>
      </w:pPr>
      <w:r w:rsidRPr="00AD0201">
        <w:t>Incentive rate is $15,000;</w:t>
      </w:r>
    </w:p>
    <w:p w:rsidR="00FD4B00" w:rsidRDefault="00FD4B00" w:rsidP="00FD4B00">
      <w:pPr>
        <w:pStyle w:val="AERnumberedlistsecondstyle"/>
      </w:pPr>
      <w:r w:rsidRPr="00AD0201">
        <w:t xml:space="preserve">IRU target is the IRU target applicable for the relevant financial year for the relevant Distribution Network Service Provider, as specified in clause </w:t>
      </w:r>
      <w:r w:rsidR="00887581">
        <w:t>11</w:t>
      </w:r>
      <w:r w:rsidRPr="00AD0201">
        <w:t>; and</w:t>
      </w:r>
    </w:p>
    <w:p w:rsidR="00FD4B00" w:rsidRDefault="00FD4B00" w:rsidP="00FD4B00">
      <w:pPr>
        <w:pStyle w:val="AERnumberedlistsecondstyle"/>
      </w:pPr>
      <w:r>
        <w:t xml:space="preserve"> </w:t>
      </w:r>
      <w:r w:rsidRPr="00AD0201">
        <w:t xml:space="preserve">IRU amount is the number of IRUs accrued in relation to the relevant distribution system in the relevant financial year, determined in accordance with clause 11. </w:t>
      </w:r>
    </w:p>
    <w:p w:rsidR="00FD4B00" w:rsidRPr="00D27546" w:rsidRDefault="00FD4B00" w:rsidP="0047407F">
      <w:pPr>
        <w:pStyle w:val="AERquoteindent3"/>
      </w:pPr>
      <w:r>
        <w:t xml:space="preserve">Notes: </w:t>
      </w:r>
      <w:r w:rsidRPr="00D27546">
        <w:t>See the definition of “relevant financial year” in clause 4. By reason of that definition, the revenue adjustment for a regulatory year is made on the basis of the IRU target and IRU amount for the relevant financial year, which ends 18 months prior to the commencement of the regulatory year.</w:t>
      </w:r>
    </w:p>
    <w:p w:rsidR="00031E86" w:rsidRDefault="00031E86" w:rsidP="00031E86">
      <w:r w:rsidRPr="00CF3469">
        <w:rPr>
          <w:rStyle w:val="AERtextbolditalics"/>
        </w:rPr>
        <w:t>Revenue adjustment, Incentive rate, IRU target</w:t>
      </w:r>
      <w:r>
        <w:t xml:space="preserve"> and</w:t>
      </w:r>
      <w:r w:rsidRPr="00CF3469">
        <w:t xml:space="preserve"> </w:t>
      </w:r>
      <w:r w:rsidRPr="00CF3469">
        <w:rPr>
          <w:rStyle w:val="AERtextbolditalics"/>
        </w:rPr>
        <w:t>IRU amount</w:t>
      </w:r>
      <w:r>
        <w:t xml:space="preserve"> have the same meanings as prescribed by the</w:t>
      </w:r>
      <w:r w:rsidRPr="00CF3469">
        <w:t xml:space="preserve"> </w:t>
      </w:r>
      <w:r>
        <w:t>F-factor Scheme Order 2016.</w:t>
      </w:r>
    </w:p>
    <w:p w:rsidR="002168B6" w:rsidRDefault="00FD4B00" w:rsidP="002168B6">
      <w:r w:rsidRPr="00CB2751">
        <w:t xml:space="preserve">In accordance with clause </w:t>
      </w:r>
      <w:r>
        <w:t>10</w:t>
      </w:r>
      <w:r w:rsidRPr="00CB2751">
        <w:t>(1) of the Order the AER determines that the</w:t>
      </w:r>
      <w:r>
        <w:t xml:space="preserve"> IRU</w:t>
      </w:r>
      <w:r w:rsidRPr="00CB2751">
        <w:t xml:space="preserve"> target num</w:t>
      </w:r>
      <w:r>
        <w:t>ber</w:t>
      </w:r>
      <w:r w:rsidR="002168B6">
        <w:t>s</w:t>
      </w:r>
      <w:r>
        <w:t xml:space="preserve"> for </w:t>
      </w:r>
      <w:r w:rsidR="00D60E79">
        <w:t>United Energy</w:t>
      </w:r>
      <w:r>
        <w:t xml:space="preserve"> </w:t>
      </w:r>
      <w:r w:rsidR="002168B6">
        <w:t>are set out in</w:t>
      </w:r>
      <w:r w:rsidR="00031E86" w:rsidRPr="00031E86">
        <w:t xml:space="preserve"> </w:t>
      </w:r>
      <w:r w:rsidR="00031E86">
        <w:t>Appendix</w:t>
      </w:r>
      <w:r w:rsidR="002168B6">
        <w:t xml:space="preserve"> A.1.  </w:t>
      </w:r>
    </w:p>
    <w:p w:rsidR="002660FB" w:rsidRPr="00D27546" w:rsidRDefault="002660FB" w:rsidP="002660FB">
      <w:r>
        <w:t>In accordance with clauses 9(2) of the Order the revenue adjustment for United Energy for the 2018 regulatory year must be determined by the AER as follows:</w:t>
      </w:r>
      <w:r w:rsidRPr="00815513">
        <w:t xml:space="preserve"> </w:t>
      </w:r>
    </w:p>
    <w:p w:rsidR="002660FB" w:rsidRPr="00AD0201" w:rsidRDefault="002660FB" w:rsidP="002660FB">
      <m:oMathPara>
        <m:oMath>
          <m:r>
            <m:rPr>
              <m:sty m:val="bi"/>
            </m:rPr>
            <w:rPr>
              <w:rStyle w:val="AERbody"/>
              <w:rFonts w:ascii="Cambria Math" w:hAnsi="Cambria Math"/>
            </w:rPr>
            <m:t>Transitional adjustment</m:t>
          </m:r>
          <m:r>
            <m:rPr>
              <m:sty m:val="b"/>
            </m:rPr>
            <w:rPr>
              <w:rFonts w:ascii="Cambria Math" w:hAnsi="Cambria Math"/>
            </w:rPr>
            <m:t>=</m:t>
          </m:r>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Transitional rate</m:t>
              </m:r>
            </m:e>
            <m:sub>
              <m:r>
                <m:rPr>
                  <m:sty m:val="bi"/>
                </m:rPr>
                <w:rPr>
                  <w:rFonts w:ascii="Cambria Math" w:hAnsi="Cambria Math"/>
                </w:rPr>
                <m:t xml:space="preserve"> </m:t>
              </m:r>
            </m:sub>
          </m:sSub>
          <m:r>
            <w:rPr>
              <w:rFonts w:ascii="Cambria Math" w:hAnsi="Cambria Math"/>
            </w:rPr>
            <m:t>×</m:t>
          </m:r>
          <m:d>
            <m:dPr>
              <m:ctrlPr>
                <w:rPr>
                  <w:rFonts w:ascii="Cambria Math" w:hAnsi="Cambria Math"/>
                </w:rPr>
              </m:ctrlPr>
            </m:dPr>
            <m:e>
              <m:r>
                <m:rPr>
                  <m:sty m:val="bi"/>
                </m:rPr>
                <w:rPr>
                  <w:rFonts w:ascii="Cambria Math" w:hAnsi="Cambria Math"/>
                </w:rPr>
                <m:t>Transitional target - Number of fires</m:t>
              </m:r>
            </m:e>
          </m:d>
        </m:oMath>
      </m:oMathPara>
    </w:p>
    <w:p w:rsidR="002660FB" w:rsidRPr="002660FB" w:rsidRDefault="002660FB" w:rsidP="002660FB">
      <w:pPr>
        <w:pStyle w:val="ListParagraph"/>
        <w:numPr>
          <w:ilvl w:val="0"/>
          <w:numId w:val="0"/>
        </w:numPr>
        <w:ind w:left="340"/>
      </w:pPr>
      <w:proofErr w:type="gramStart"/>
      <w:r>
        <w:t>where</w:t>
      </w:r>
      <w:proofErr w:type="gramEnd"/>
    </w:p>
    <w:p w:rsidR="002660FB" w:rsidRDefault="002660FB" w:rsidP="0015240F">
      <w:pPr>
        <w:pStyle w:val="AERnumberedlistthirdstyle"/>
        <w:numPr>
          <w:ilvl w:val="0"/>
          <w:numId w:val="41"/>
        </w:numPr>
      </w:pPr>
      <w:r w:rsidRPr="002660FB">
        <w:t>Transitional adjustment is the adjustment to the revenue for the relevant Distribution Network Service Provid</w:t>
      </w:r>
      <w:r>
        <w:t>er for the 2018 regulatory year</w:t>
      </w:r>
    </w:p>
    <w:p w:rsidR="002660FB" w:rsidRPr="002660FB" w:rsidRDefault="002660FB" w:rsidP="0015240F">
      <w:pPr>
        <w:pStyle w:val="AERnumberedlistthirdstyle"/>
        <w:numPr>
          <w:ilvl w:val="0"/>
          <w:numId w:val="41"/>
        </w:numPr>
      </w:pPr>
      <w:r>
        <w:t>Transitional rate is $25,000</w:t>
      </w:r>
      <w:r w:rsidRPr="002660FB">
        <w:t>.</w:t>
      </w:r>
    </w:p>
    <w:p w:rsidR="002660FB" w:rsidRPr="00201704" w:rsidRDefault="002660FB" w:rsidP="002660FB">
      <w:r w:rsidRPr="00201704">
        <w:t xml:space="preserve">In accordance with clause 13(1) of the Order the AER determines that for the 2018 revenue adjustment the fire start target number for </w:t>
      </w:r>
      <w:r>
        <w:t>United Energy</w:t>
      </w:r>
      <w:r w:rsidRPr="00201704">
        <w:t xml:space="preserve"> is</w:t>
      </w:r>
      <w:r w:rsidR="00107B7F">
        <w:t xml:space="preserve"> set out in </w:t>
      </w:r>
      <w:r w:rsidR="00031E86">
        <w:t xml:space="preserve">Appendix </w:t>
      </w:r>
      <w:r w:rsidR="00107B7F">
        <w:t>A.2</w:t>
      </w:r>
      <w:r w:rsidR="00107B7F" w:rsidRPr="00201704">
        <w:t>.</w:t>
      </w:r>
    </w:p>
    <w:p w:rsidR="00031E86" w:rsidRDefault="00107B7F" w:rsidP="00107B7F">
      <w:r>
        <w:t xml:space="preserve">The revenue adjustment will be made by way of an </w:t>
      </w:r>
      <w:r w:rsidRPr="008378DC">
        <w:t>"I-factor" component in the annual revenue requirement calculation formula</w:t>
      </w:r>
      <w:r>
        <w:t xml:space="preserve">, as set out in our final decision for United Energy for the 2016-20 regulatory control </w:t>
      </w:r>
      <w:proofErr w:type="gramStart"/>
      <w:r>
        <w:t>period</w:t>
      </w:r>
      <w:proofErr w:type="gramEnd"/>
      <w:r w:rsidR="00031E86">
        <w:t>.</w:t>
      </w:r>
    </w:p>
    <w:p w:rsidR="00031E86" w:rsidRPr="0015240F" w:rsidRDefault="00031E86" w:rsidP="00031E86">
      <w:r>
        <w:t xml:space="preserve">This determination </w:t>
      </w:r>
      <w:r w:rsidR="00C65192">
        <w:t xml:space="preserve">replaces </w:t>
      </w:r>
      <w:r>
        <w:t xml:space="preserve">our previous determination on f-factor application, as indicated in the </w:t>
      </w:r>
      <w:r w:rsidRPr="00031E86">
        <w:rPr>
          <w:rStyle w:val="AERtextitalic"/>
        </w:rPr>
        <w:t xml:space="preserve">AER, Final decision </w:t>
      </w:r>
      <w:r>
        <w:rPr>
          <w:rStyle w:val="AERtextitalic"/>
        </w:rPr>
        <w:t>United Energy</w:t>
      </w:r>
      <w:r w:rsidRPr="00031E86">
        <w:rPr>
          <w:rStyle w:val="AERtextitalic"/>
        </w:rPr>
        <w:t xml:space="preserve"> distribution determination 2016 to 2020, Attachment 18 – f-factor scheme, May 2016</w:t>
      </w:r>
      <w:r>
        <w:rPr>
          <w:rStyle w:val="AERtextitalic"/>
        </w:rPr>
        <w:t>.</w:t>
      </w:r>
      <w:r>
        <w:t xml:space="preserve"> </w:t>
      </w:r>
    </w:p>
    <w:p w:rsidR="000A4059" w:rsidRDefault="00107B7F" w:rsidP="000A4059">
      <w:r>
        <w:t xml:space="preserve"> </w:t>
      </w:r>
    </w:p>
    <w:p w:rsidR="007F28CC" w:rsidRDefault="007F28CC" w:rsidP="007F28CC">
      <w:pPr>
        <w:pStyle w:val="Heading1"/>
      </w:pPr>
      <w:bookmarkStart w:id="184" w:name="_Toc478731813"/>
      <w:r w:rsidRPr="007F28CC">
        <w:lastRenderedPageBreak/>
        <w:t>Next steps</w:t>
      </w:r>
      <w:bookmarkEnd w:id="184"/>
    </w:p>
    <w:p w:rsidR="0002095F" w:rsidRDefault="0002095F" w:rsidP="0002095F">
      <w:pPr>
        <w:pStyle w:val="Heading2"/>
      </w:pPr>
      <w:bookmarkStart w:id="185" w:name="_Toc305061311"/>
      <w:bookmarkStart w:id="186" w:name="_Toc478731814"/>
      <w:r>
        <w:t>Final determination</w:t>
      </w:r>
      <w:bookmarkEnd w:id="185"/>
      <w:r w:rsidR="00FF3FF6">
        <w:t>s</w:t>
      </w:r>
      <w:bookmarkEnd w:id="186"/>
    </w:p>
    <w:p w:rsidR="0002095F" w:rsidRPr="0002095F" w:rsidRDefault="0002095F" w:rsidP="0002095F">
      <w:pPr>
        <w:rPr>
          <w:rStyle w:val="AERtexthighlight"/>
        </w:rPr>
      </w:pPr>
      <w:r>
        <w:t>After submissions on this paper have been received and considered, the AER will issue the final f-factor scheme determinations and explanatory statement</w:t>
      </w:r>
      <w:r w:rsidR="00C87F0D">
        <w:t>.</w:t>
      </w:r>
    </w:p>
    <w:p w:rsidR="0002095F" w:rsidRDefault="0002095F" w:rsidP="0002095F">
      <w:r w:rsidRPr="0002095F">
        <w:t xml:space="preserve">After making the final </w:t>
      </w:r>
      <w:r>
        <w:t>f-factor scheme determinations</w:t>
      </w:r>
      <w:r w:rsidRPr="0002095F">
        <w:t>, the AER will apply the financial rewards and penalties prescribed by the scheme</w:t>
      </w:r>
      <w:r>
        <w:t xml:space="preserve"> through the annual pricing approval process</w:t>
      </w:r>
      <w:r w:rsidRPr="0002095F">
        <w:t>.</w:t>
      </w:r>
      <w:r>
        <w:t xml:space="preserve"> </w:t>
      </w:r>
    </w:p>
    <w:p w:rsidR="0002095F" w:rsidRDefault="0002095F" w:rsidP="0002095F">
      <w:pPr>
        <w:pStyle w:val="Heading2"/>
      </w:pPr>
      <w:bookmarkStart w:id="187" w:name="_Toc305061312"/>
      <w:bookmarkStart w:id="188" w:name="_Toc478731815"/>
      <w:r>
        <w:t>Ongoing reporting against the fire start targets</w:t>
      </w:r>
      <w:bookmarkEnd w:id="187"/>
      <w:bookmarkEnd w:id="188"/>
    </w:p>
    <w:p w:rsidR="0002095F" w:rsidRDefault="00C87F0D" w:rsidP="0002095F">
      <w:r>
        <w:t>We will</w:t>
      </w:r>
      <w:r w:rsidR="0002095F">
        <w:t xml:space="preserve"> request </w:t>
      </w:r>
      <w:r w:rsidR="00E77995">
        <w:t>distributor</w:t>
      </w:r>
      <w:r w:rsidR="0002095F">
        <w:t xml:space="preserve">s to </w:t>
      </w:r>
      <w:r w:rsidR="00854D8D">
        <w:t>provide a fire start report</w:t>
      </w:r>
      <w:r>
        <w:t xml:space="preserve"> in accordance with clause 6 of the Order. These reports will be published on our website in accordance with the Order. </w:t>
      </w:r>
    </w:p>
    <w:p w:rsidR="0002095F" w:rsidRPr="0002095F" w:rsidRDefault="0002095F" w:rsidP="0002095F"/>
    <w:p w:rsidR="00FF7BDD" w:rsidRDefault="00FF7BDD" w:rsidP="00FF7BDD"/>
    <w:p w:rsidR="001A4F0C" w:rsidRDefault="001A4F0C">
      <w:pPr>
        <w:spacing w:line="240" w:lineRule="auto"/>
      </w:pPr>
      <w:r>
        <w:br w:type="page"/>
      </w:r>
    </w:p>
    <w:p w:rsidR="001A4F0C" w:rsidRDefault="001A4F0C" w:rsidP="001A4F0C">
      <w:pPr>
        <w:pStyle w:val="Heading7"/>
      </w:pPr>
      <w:bookmarkStart w:id="189" w:name="_Toc478731816"/>
      <w:r w:rsidRPr="001A4F0C">
        <w:lastRenderedPageBreak/>
        <w:t>IRU Target</w:t>
      </w:r>
      <w:r>
        <w:t>s</w:t>
      </w:r>
      <w:bookmarkEnd w:id="189"/>
    </w:p>
    <w:p w:rsidR="001A4F0C" w:rsidRDefault="001A4F0C" w:rsidP="001A4F0C">
      <w:pPr>
        <w:pStyle w:val="Heading8"/>
      </w:pPr>
      <w:bookmarkStart w:id="190" w:name="_Toc305061291"/>
      <w:bookmarkStart w:id="191" w:name="_Toc478731817"/>
      <w:r>
        <w:t>IRU Target</w:t>
      </w:r>
      <w:bookmarkEnd w:id="190"/>
      <w:r>
        <w:t>s for 201</w:t>
      </w:r>
      <w:r w:rsidR="00222063">
        <w:t>9</w:t>
      </w:r>
      <w:r>
        <w:t xml:space="preserve">- </w:t>
      </w:r>
      <w:r w:rsidR="00222063">
        <w:t>22 regulatory year</w:t>
      </w:r>
      <w:bookmarkEnd w:id="191"/>
    </w:p>
    <w:p w:rsidR="001A4F0C" w:rsidRDefault="001A4F0C" w:rsidP="001A4F0C">
      <w:bookmarkStart w:id="192" w:name="OLE_LINK1"/>
      <w:bookmarkStart w:id="193" w:name="OLE_LINK2"/>
      <w:r>
        <w:t xml:space="preserve">Clause 10(1) of the Order determines IRU target for each </w:t>
      </w:r>
      <w:r w:rsidR="00E77995">
        <w:t>distributor</w:t>
      </w:r>
      <w:r>
        <w:t xml:space="preserve"> for each of the relevant financial years as follows:</w:t>
      </w:r>
      <w:bookmarkEnd w:id="192"/>
      <w:bookmarkEnd w:id="193"/>
    </w:p>
    <w:tbl>
      <w:tblPr>
        <w:tblStyle w:val="AERtable-text1"/>
        <w:tblW w:w="8789" w:type="dxa"/>
        <w:tblInd w:w="108" w:type="dxa"/>
        <w:tblLayout w:type="fixed"/>
        <w:tblLook w:val="04A0" w:firstRow="1" w:lastRow="0" w:firstColumn="1" w:lastColumn="0" w:noHBand="0" w:noVBand="1"/>
      </w:tblPr>
      <w:tblGrid>
        <w:gridCol w:w="1464"/>
        <w:gridCol w:w="1465"/>
        <w:gridCol w:w="1465"/>
        <w:gridCol w:w="1465"/>
        <w:gridCol w:w="1465"/>
        <w:gridCol w:w="1465"/>
      </w:tblGrid>
      <w:tr w:rsidR="001A4F0C" w:rsidRPr="00EF583F" w:rsidTr="00156DAE">
        <w:trPr>
          <w:cnfStyle w:val="100000000000" w:firstRow="1" w:lastRow="0" w:firstColumn="0" w:lastColumn="0" w:oddVBand="0" w:evenVBand="0" w:oddHBand="0" w:evenHBand="0" w:firstRowFirstColumn="0" w:firstRowLastColumn="0" w:lastRowFirstColumn="0" w:lastRowLastColumn="0"/>
          <w:trHeight w:val="360"/>
        </w:trPr>
        <w:tc>
          <w:tcPr>
            <w:tcW w:w="1464" w:type="dxa"/>
            <w:noWrap/>
            <w:hideMark/>
          </w:tcPr>
          <w:p w:rsidR="001A4F0C" w:rsidRPr="00FB254F" w:rsidRDefault="001A4F0C" w:rsidP="001A4F0C"/>
        </w:tc>
        <w:tc>
          <w:tcPr>
            <w:tcW w:w="1465" w:type="dxa"/>
          </w:tcPr>
          <w:p w:rsidR="001A4F0C" w:rsidRPr="001A4F0C" w:rsidRDefault="001A4F0C" w:rsidP="001A4F0C">
            <w:r w:rsidRPr="00FB254F">
              <w:t>AusNet</w:t>
            </w:r>
          </w:p>
        </w:tc>
        <w:tc>
          <w:tcPr>
            <w:tcW w:w="1465" w:type="dxa"/>
            <w:noWrap/>
            <w:hideMark/>
          </w:tcPr>
          <w:p w:rsidR="001A4F0C" w:rsidRPr="001A4F0C" w:rsidRDefault="001A4F0C" w:rsidP="001A4F0C">
            <w:r>
              <w:t>CitiPower</w:t>
            </w:r>
          </w:p>
        </w:tc>
        <w:tc>
          <w:tcPr>
            <w:tcW w:w="1465" w:type="dxa"/>
            <w:noWrap/>
            <w:hideMark/>
          </w:tcPr>
          <w:p w:rsidR="001A4F0C" w:rsidRPr="001A4F0C" w:rsidRDefault="001A4F0C" w:rsidP="001A4F0C">
            <w:r>
              <w:t>Jemena</w:t>
            </w:r>
          </w:p>
        </w:tc>
        <w:tc>
          <w:tcPr>
            <w:tcW w:w="1465" w:type="dxa"/>
            <w:noWrap/>
            <w:hideMark/>
          </w:tcPr>
          <w:p w:rsidR="001A4F0C" w:rsidRPr="001A4F0C" w:rsidRDefault="001A4F0C" w:rsidP="001A4F0C">
            <w:proofErr w:type="spellStart"/>
            <w:r>
              <w:t>Powercor</w:t>
            </w:r>
            <w:proofErr w:type="spellEnd"/>
          </w:p>
        </w:tc>
        <w:tc>
          <w:tcPr>
            <w:tcW w:w="1465" w:type="dxa"/>
            <w:noWrap/>
            <w:hideMark/>
          </w:tcPr>
          <w:p w:rsidR="001A4F0C" w:rsidRPr="001A4F0C" w:rsidRDefault="001A4F0C" w:rsidP="001A4F0C">
            <w:r>
              <w:t>United Energy</w:t>
            </w:r>
          </w:p>
        </w:tc>
      </w:tr>
      <w:tr w:rsidR="001A4F0C" w:rsidRPr="00EF583F" w:rsidTr="00156DAE">
        <w:trPr>
          <w:trHeight w:val="288"/>
        </w:trPr>
        <w:tc>
          <w:tcPr>
            <w:tcW w:w="1464" w:type="dxa"/>
            <w:noWrap/>
            <w:vAlign w:val="top"/>
          </w:tcPr>
          <w:p w:rsidR="001A4F0C" w:rsidRPr="001A4F0C" w:rsidRDefault="001A4F0C" w:rsidP="001A4F0C">
            <w:r w:rsidRPr="00FB254F">
              <w:t>FY 2016/17</w:t>
            </w:r>
          </w:p>
        </w:tc>
        <w:tc>
          <w:tcPr>
            <w:tcW w:w="1465" w:type="dxa"/>
            <w:vAlign w:val="top"/>
          </w:tcPr>
          <w:p w:rsidR="001A4F0C" w:rsidRPr="001A4F0C" w:rsidRDefault="001A4F0C" w:rsidP="001A4F0C">
            <w:r w:rsidRPr="00FB254F">
              <w:t>247.7</w:t>
            </w:r>
          </w:p>
        </w:tc>
        <w:tc>
          <w:tcPr>
            <w:tcW w:w="1465" w:type="dxa"/>
            <w:noWrap/>
            <w:vAlign w:val="top"/>
          </w:tcPr>
          <w:p w:rsidR="001A4F0C" w:rsidRPr="001A4F0C" w:rsidRDefault="001A4F0C" w:rsidP="001A4F0C">
            <w:r w:rsidRPr="00FB254F">
              <w:t>3.4</w:t>
            </w:r>
          </w:p>
        </w:tc>
        <w:tc>
          <w:tcPr>
            <w:tcW w:w="1465" w:type="dxa"/>
            <w:noWrap/>
            <w:vAlign w:val="top"/>
          </w:tcPr>
          <w:p w:rsidR="001A4F0C" w:rsidRPr="001A4F0C" w:rsidRDefault="001A4F0C" w:rsidP="001A4F0C">
            <w:r w:rsidRPr="00FB254F">
              <w:t>9.7</w:t>
            </w:r>
          </w:p>
        </w:tc>
        <w:tc>
          <w:tcPr>
            <w:tcW w:w="1465" w:type="dxa"/>
            <w:noWrap/>
            <w:vAlign w:val="top"/>
          </w:tcPr>
          <w:p w:rsidR="001A4F0C" w:rsidRPr="001A4F0C" w:rsidRDefault="001A4F0C" w:rsidP="001A4F0C">
            <w:r w:rsidRPr="00FB254F">
              <w:t>468.0</w:t>
            </w:r>
          </w:p>
        </w:tc>
        <w:tc>
          <w:tcPr>
            <w:tcW w:w="1465" w:type="dxa"/>
            <w:noWrap/>
            <w:vAlign w:val="top"/>
          </w:tcPr>
          <w:p w:rsidR="001A4F0C" w:rsidRPr="001A4F0C" w:rsidRDefault="001A4F0C" w:rsidP="001A4F0C">
            <w:r w:rsidRPr="00FB254F">
              <w:t>22.3</w:t>
            </w:r>
          </w:p>
        </w:tc>
      </w:tr>
      <w:tr w:rsidR="001A4F0C" w:rsidRPr="00EF583F" w:rsidTr="00156DAE">
        <w:trPr>
          <w:cnfStyle w:val="000000010000" w:firstRow="0" w:lastRow="0" w:firstColumn="0" w:lastColumn="0" w:oddVBand="0" w:evenVBand="0" w:oddHBand="0" w:evenHBand="1" w:firstRowFirstColumn="0" w:firstRowLastColumn="0" w:lastRowFirstColumn="0" w:lastRowLastColumn="0"/>
          <w:trHeight w:val="288"/>
        </w:trPr>
        <w:tc>
          <w:tcPr>
            <w:tcW w:w="1464" w:type="dxa"/>
            <w:noWrap/>
            <w:vAlign w:val="top"/>
          </w:tcPr>
          <w:p w:rsidR="001A4F0C" w:rsidRPr="001A4F0C" w:rsidRDefault="001A4F0C" w:rsidP="001A4F0C">
            <w:r w:rsidRPr="00FB254F">
              <w:t>FY 2017/18</w:t>
            </w:r>
          </w:p>
        </w:tc>
        <w:tc>
          <w:tcPr>
            <w:tcW w:w="1465" w:type="dxa"/>
            <w:vAlign w:val="top"/>
          </w:tcPr>
          <w:p w:rsidR="001A4F0C" w:rsidRPr="001A4F0C" w:rsidRDefault="001A4F0C" w:rsidP="001A4F0C">
            <w:r w:rsidRPr="00FB254F">
              <w:t>247.7</w:t>
            </w:r>
          </w:p>
        </w:tc>
        <w:tc>
          <w:tcPr>
            <w:tcW w:w="1465" w:type="dxa"/>
            <w:noWrap/>
            <w:vAlign w:val="top"/>
          </w:tcPr>
          <w:p w:rsidR="001A4F0C" w:rsidRPr="001A4F0C" w:rsidRDefault="001A4F0C" w:rsidP="001A4F0C">
            <w:r w:rsidRPr="00FB254F">
              <w:t>3.4</w:t>
            </w:r>
          </w:p>
        </w:tc>
        <w:tc>
          <w:tcPr>
            <w:tcW w:w="1465" w:type="dxa"/>
            <w:noWrap/>
            <w:vAlign w:val="top"/>
          </w:tcPr>
          <w:p w:rsidR="001A4F0C" w:rsidRPr="001A4F0C" w:rsidRDefault="001A4F0C" w:rsidP="001A4F0C">
            <w:r w:rsidRPr="00FB254F">
              <w:t>9.7</w:t>
            </w:r>
          </w:p>
        </w:tc>
        <w:tc>
          <w:tcPr>
            <w:tcW w:w="1465" w:type="dxa"/>
            <w:noWrap/>
            <w:vAlign w:val="top"/>
          </w:tcPr>
          <w:p w:rsidR="001A4F0C" w:rsidRPr="001A4F0C" w:rsidRDefault="001A4F0C" w:rsidP="001A4F0C">
            <w:r w:rsidRPr="00FB254F">
              <w:t>468.0</w:t>
            </w:r>
          </w:p>
        </w:tc>
        <w:tc>
          <w:tcPr>
            <w:tcW w:w="1465" w:type="dxa"/>
            <w:noWrap/>
            <w:vAlign w:val="top"/>
          </w:tcPr>
          <w:p w:rsidR="001A4F0C" w:rsidRPr="001A4F0C" w:rsidRDefault="001A4F0C" w:rsidP="001A4F0C">
            <w:r w:rsidRPr="00FB254F">
              <w:t>22.3</w:t>
            </w:r>
          </w:p>
        </w:tc>
      </w:tr>
      <w:tr w:rsidR="001A4F0C" w:rsidRPr="00EF583F" w:rsidTr="00156DAE">
        <w:trPr>
          <w:trHeight w:val="288"/>
        </w:trPr>
        <w:tc>
          <w:tcPr>
            <w:tcW w:w="1464" w:type="dxa"/>
            <w:noWrap/>
            <w:vAlign w:val="top"/>
          </w:tcPr>
          <w:p w:rsidR="001A4F0C" w:rsidRPr="001A4F0C" w:rsidRDefault="001A4F0C" w:rsidP="001A4F0C">
            <w:r w:rsidRPr="00FB254F">
              <w:t>FY</w:t>
            </w:r>
            <w:r w:rsidRPr="001A4F0C">
              <w:t xml:space="preserve"> 2018/19</w:t>
            </w:r>
          </w:p>
        </w:tc>
        <w:tc>
          <w:tcPr>
            <w:tcW w:w="1465" w:type="dxa"/>
            <w:vAlign w:val="top"/>
          </w:tcPr>
          <w:p w:rsidR="001A4F0C" w:rsidRPr="001A4F0C" w:rsidRDefault="001A4F0C" w:rsidP="001A4F0C">
            <w:r w:rsidRPr="00FB254F">
              <w:t>247.7</w:t>
            </w:r>
          </w:p>
        </w:tc>
        <w:tc>
          <w:tcPr>
            <w:tcW w:w="1465" w:type="dxa"/>
            <w:noWrap/>
            <w:vAlign w:val="top"/>
          </w:tcPr>
          <w:p w:rsidR="001A4F0C" w:rsidRPr="001A4F0C" w:rsidRDefault="001A4F0C" w:rsidP="001A4F0C">
            <w:r w:rsidRPr="00FB254F">
              <w:t>3.4</w:t>
            </w:r>
          </w:p>
        </w:tc>
        <w:tc>
          <w:tcPr>
            <w:tcW w:w="1465" w:type="dxa"/>
            <w:noWrap/>
            <w:vAlign w:val="top"/>
          </w:tcPr>
          <w:p w:rsidR="001A4F0C" w:rsidRPr="001A4F0C" w:rsidRDefault="001A4F0C" w:rsidP="001A4F0C">
            <w:r w:rsidRPr="00FB254F">
              <w:t>9.7</w:t>
            </w:r>
          </w:p>
        </w:tc>
        <w:tc>
          <w:tcPr>
            <w:tcW w:w="1465" w:type="dxa"/>
            <w:noWrap/>
            <w:vAlign w:val="top"/>
          </w:tcPr>
          <w:p w:rsidR="001A4F0C" w:rsidRPr="001A4F0C" w:rsidRDefault="001A4F0C" w:rsidP="001A4F0C">
            <w:r w:rsidRPr="00FB254F">
              <w:t>468.0</w:t>
            </w:r>
          </w:p>
        </w:tc>
        <w:tc>
          <w:tcPr>
            <w:tcW w:w="1465" w:type="dxa"/>
            <w:noWrap/>
            <w:vAlign w:val="top"/>
          </w:tcPr>
          <w:p w:rsidR="001A4F0C" w:rsidRPr="001A4F0C" w:rsidRDefault="001A4F0C" w:rsidP="001A4F0C">
            <w:r w:rsidRPr="00FB254F">
              <w:t>22.3</w:t>
            </w:r>
          </w:p>
        </w:tc>
      </w:tr>
      <w:tr w:rsidR="001A4F0C" w:rsidRPr="00EF583F" w:rsidTr="00156DAE">
        <w:trPr>
          <w:cnfStyle w:val="000000010000" w:firstRow="0" w:lastRow="0" w:firstColumn="0" w:lastColumn="0" w:oddVBand="0" w:evenVBand="0" w:oddHBand="0" w:evenHBand="1" w:firstRowFirstColumn="0" w:firstRowLastColumn="0" w:lastRowFirstColumn="0" w:lastRowLastColumn="0"/>
          <w:trHeight w:val="288"/>
        </w:trPr>
        <w:tc>
          <w:tcPr>
            <w:tcW w:w="1464" w:type="dxa"/>
            <w:noWrap/>
            <w:vAlign w:val="top"/>
            <w:hideMark/>
          </w:tcPr>
          <w:p w:rsidR="001A4F0C" w:rsidRPr="001A4F0C" w:rsidRDefault="001A4F0C" w:rsidP="001A4F0C">
            <w:r w:rsidRPr="00FB254F">
              <w:t>FY 2019/20</w:t>
            </w:r>
          </w:p>
        </w:tc>
        <w:tc>
          <w:tcPr>
            <w:tcW w:w="1465" w:type="dxa"/>
            <w:vAlign w:val="top"/>
          </w:tcPr>
          <w:p w:rsidR="001A4F0C" w:rsidRPr="001A4F0C" w:rsidRDefault="001A4F0C" w:rsidP="001A4F0C">
            <w:r w:rsidRPr="00FB254F">
              <w:t>214.3</w:t>
            </w:r>
          </w:p>
        </w:tc>
        <w:tc>
          <w:tcPr>
            <w:tcW w:w="1465" w:type="dxa"/>
            <w:noWrap/>
            <w:vAlign w:val="top"/>
            <w:hideMark/>
          </w:tcPr>
          <w:p w:rsidR="001A4F0C" w:rsidRPr="001A4F0C" w:rsidRDefault="001A4F0C" w:rsidP="001A4F0C">
            <w:r w:rsidRPr="00FB254F">
              <w:t>3.4</w:t>
            </w:r>
          </w:p>
        </w:tc>
        <w:tc>
          <w:tcPr>
            <w:tcW w:w="1465" w:type="dxa"/>
            <w:noWrap/>
            <w:vAlign w:val="top"/>
            <w:hideMark/>
          </w:tcPr>
          <w:p w:rsidR="001A4F0C" w:rsidRPr="001A4F0C" w:rsidRDefault="001A4F0C" w:rsidP="001A4F0C">
            <w:r w:rsidRPr="00FB254F">
              <w:t>9.7</w:t>
            </w:r>
          </w:p>
        </w:tc>
        <w:tc>
          <w:tcPr>
            <w:tcW w:w="1465" w:type="dxa"/>
            <w:noWrap/>
            <w:vAlign w:val="top"/>
            <w:hideMark/>
          </w:tcPr>
          <w:p w:rsidR="001A4F0C" w:rsidRPr="001A4F0C" w:rsidRDefault="001A4F0C" w:rsidP="001A4F0C">
            <w:r w:rsidRPr="00FB254F">
              <w:t>412.8</w:t>
            </w:r>
          </w:p>
        </w:tc>
        <w:tc>
          <w:tcPr>
            <w:tcW w:w="1465" w:type="dxa"/>
            <w:noWrap/>
            <w:vAlign w:val="top"/>
            <w:hideMark/>
          </w:tcPr>
          <w:p w:rsidR="001A4F0C" w:rsidRPr="001A4F0C" w:rsidRDefault="001A4F0C" w:rsidP="001A4F0C">
            <w:r w:rsidRPr="00FB254F">
              <w:t>22.3</w:t>
            </w:r>
          </w:p>
        </w:tc>
      </w:tr>
    </w:tbl>
    <w:p w:rsidR="001A4F0C" w:rsidRPr="00FB254F" w:rsidRDefault="001A4F0C" w:rsidP="001A4F0C">
      <w:pPr>
        <w:pStyle w:val="AERtablesource"/>
      </w:pPr>
      <w:r>
        <w:t xml:space="preserve">Note: </w:t>
      </w:r>
      <w:r w:rsidRPr="00FB254F">
        <w:t xml:space="preserve">See the definition of “relevant financial year” in clause 4. By reason of that definition, the revenue adjustment for a regulatory year is made on the basis of the IRU target for the relevant financial year, which ends 18 months prior to the commencement of the regulatory year. </w:t>
      </w:r>
    </w:p>
    <w:p w:rsidR="001A4F0C" w:rsidRDefault="001A4F0C" w:rsidP="001A4F0C">
      <w:pPr>
        <w:pStyle w:val="AERtablesource"/>
      </w:pPr>
      <w:r>
        <w:tab/>
      </w:r>
      <w:r w:rsidRPr="00FB254F">
        <w:t xml:space="preserve">Therefore, the IRU target for FY2016/17 is used to calculate the revenue adjustment for 2019, the IRU target for FY2017/18 is used to calculate the revenue adjustment for 2020, and so on.  </w:t>
      </w:r>
    </w:p>
    <w:p w:rsidR="001A4F0C" w:rsidRDefault="001A4F0C" w:rsidP="001A4F0C">
      <w:r>
        <w:t>Clause 9</w:t>
      </w:r>
      <w:r w:rsidRPr="00FB254F">
        <w:t>(</w:t>
      </w:r>
      <w:r>
        <w:t>2</w:t>
      </w:r>
      <w:r w:rsidRPr="00FB254F">
        <w:t>) of the Order provides</w:t>
      </w:r>
      <w:r>
        <w:t xml:space="preserve"> that t</w:t>
      </w:r>
      <w:r w:rsidRPr="0029503C">
        <w:t>he IRU targets for relevant financial years after the 2019/20 financial year may be published by the Minister by notice in the Victoria Government Gazette.</w:t>
      </w:r>
      <w:r>
        <w:t xml:space="preserve"> </w:t>
      </w:r>
    </w:p>
    <w:p w:rsidR="001A4F0C" w:rsidRDefault="001A4F0C" w:rsidP="001A4F0C">
      <w:r>
        <w:t>Clause 9</w:t>
      </w:r>
      <w:r w:rsidRPr="00FB254F">
        <w:t>(</w:t>
      </w:r>
      <w:r>
        <w:t>2</w:t>
      </w:r>
      <w:r w:rsidRPr="00FB254F">
        <w:t>) of the Order provides</w:t>
      </w:r>
      <w:r>
        <w:t xml:space="preserve"> that i</w:t>
      </w:r>
      <w:r w:rsidRPr="0029503C">
        <w:t>f the Minister does not publish the IRU target for a relevant financial year under subclause (2), the IRU target for that financial year is the same as the IRU target for the 2019/20 financial year as specified in the table in subclause (1).</w:t>
      </w:r>
    </w:p>
    <w:p w:rsidR="001A4F0C" w:rsidRDefault="001A4F0C" w:rsidP="001A4F0C">
      <w:pPr>
        <w:pStyle w:val="Heading8"/>
      </w:pPr>
      <w:bookmarkStart w:id="194" w:name="_Toc478731818"/>
      <w:r w:rsidRPr="001A4F0C">
        <w:t xml:space="preserve">Transitional </w:t>
      </w:r>
      <w:r>
        <w:t xml:space="preserve">IRU targets </w:t>
      </w:r>
      <w:r w:rsidRPr="001A4F0C">
        <w:t>for 2018</w:t>
      </w:r>
      <w:r w:rsidR="00222063">
        <w:t xml:space="preserve"> regulatory year</w:t>
      </w:r>
      <w:bookmarkEnd w:id="194"/>
    </w:p>
    <w:p w:rsidR="001A4F0C" w:rsidRDefault="001A4F0C" w:rsidP="001A4F0C">
      <w:r>
        <w:t>Clauses 9(2) and 13 of the 2016 Order specify that a</w:t>
      </w:r>
      <w:r w:rsidRPr="008A08AA">
        <w:t xml:space="preserve"> separate revenue adjustment must be made for each Distribution Network Service Provider for the 2018 regulatory year</w:t>
      </w:r>
      <w:r>
        <w:t>.</w:t>
      </w:r>
    </w:p>
    <w:p w:rsidR="001A4F0C" w:rsidRDefault="001A4F0C" w:rsidP="001A4F0C">
      <w:pPr>
        <w:rPr>
          <w:rStyle w:val="AERbody"/>
        </w:rPr>
      </w:pPr>
      <w:r w:rsidRPr="001A4F0C">
        <w:rPr>
          <w:rStyle w:val="AERbody"/>
        </w:rPr>
        <w:t xml:space="preserve">Clause 13 </w:t>
      </w:r>
      <w:r>
        <w:t>of the 2016 Order specifies that t</w:t>
      </w:r>
      <w:r w:rsidRPr="001A4F0C">
        <w:rPr>
          <w:rStyle w:val="AERbody"/>
        </w:rPr>
        <w:t>ransitional target is the number of fire starts for the first six months of the 2016 regulatory year as specified in the following table:</w:t>
      </w:r>
    </w:p>
    <w:tbl>
      <w:tblPr>
        <w:tblStyle w:val="AERtable-text1"/>
        <w:tblW w:w="8804" w:type="dxa"/>
        <w:tblInd w:w="0" w:type="dxa"/>
        <w:tblLook w:val="04A0" w:firstRow="1" w:lastRow="0" w:firstColumn="1" w:lastColumn="0" w:noHBand="0" w:noVBand="1"/>
      </w:tblPr>
      <w:tblGrid>
        <w:gridCol w:w="2142"/>
        <w:gridCol w:w="1559"/>
        <w:gridCol w:w="1701"/>
        <w:gridCol w:w="1701"/>
        <w:gridCol w:w="1701"/>
      </w:tblGrid>
      <w:tr w:rsidR="001A4F0C" w:rsidRPr="00EF583F" w:rsidTr="00156DAE">
        <w:trPr>
          <w:cnfStyle w:val="100000000000" w:firstRow="1" w:lastRow="0" w:firstColumn="0" w:lastColumn="0" w:oddVBand="0" w:evenVBand="0" w:oddHBand="0" w:evenHBand="0" w:firstRowFirstColumn="0" w:firstRowLastColumn="0" w:lastRowFirstColumn="0" w:lastRowLastColumn="0"/>
          <w:trHeight w:val="360"/>
        </w:trPr>
        <w:tc>
          <w:tcPr>
            <w:tcW w:w="2142" w:type="dxa"/>
            <w:noWrap/>
            <w:hideMark/>
          </w:tcPr>
          <w:p w:rsidR="001A4F0C" w:rsidRPr="001A4F0C" w:rsidRDefault="001A4F0C" w:rsidP="001A4F0C">
            <w:r>
              <w:t>AusNet</w:t>
            </w:r>
          </w:p>
        </w:tc>
        <w:tc>
          <w:tcPr>
            <w:tcW w:w="1559" w:type="dxa"/>
            <w:noWrap/>
            <w:hideMark/>
          </w:tcPr>
          <w:p w:rsidR="001A4F0C" w:rsidRPr="001A4F0C" w:rsidRDefault="001A4F0C" w:rsidP="001A4F0C">
            <w:r>
              <w:t>CitiPower</w:t>
            </w:r>
          </w:p>
        </w:tc>
        <w:tc>
          <w:tcPr>
            <w:tcW w:w="1701" w:type="dxa"/>
            <w:noWrap/>
            <w:hideMark/>
          </w:tcPr>
          <w:p w:rsidR="001A4F0C" w:rsidRPr="001A4F0C" w:rsidRDefault="001A4F0C" w:rsidP="001A4F0C">
            <w:r>
              <w:t>Jemena</w:t>
            </w:r>
          </w:p>
        </w:tc>
        <w:tc>
          <w:tcPr>
            <w:tcW w:w="1701" w:type="dxa"/>
            <w:noWrap/>
            <w:hideMark/>
          </w:tcPr>
          <w:p w:rsidR="001A4F0C" w:rsidRPr="001A4F0C" w:rsidRDefault="001A4F0C" w:rsidP="001A4F0C">
            <w:proofErr w:type="spellStart"/>
            <w:r>
              <w:t>Powercor</w:t>
            </w:r>
            <w:proofErr w:type="spellEnd"/>
          </w:p>
        </w:tc>
        <w:tc>
          <w:tcPr>
            <w:tcW w:w="1701" w:type="dxa"/>
            <w:noWrap/>
            <w:hideMark/>
          </w:tcPr>
          <w:p w:rsidR="001A4F0C" w:rsidRPr="001A4F0C" w:rsidRDefault="001A4F0C" w:rsidP="001A4F0C">
            <w:r>
              <w:t>United Energy</w:t>
            </w:r>
          </w:p>
        </w:tc>
      </w:tr>
      <w:tr w:rsidR="001A4F0C" w:rsidRPr="00EF583F" w:rsidTr="00156DAE">
        <w:trPr>
          <w:trHeight w:val="288"/>
        </w:trPr>
        <w:tc>
          <w:tcPr>
            <w:tcW w:w="2142" w:type="dxa"/>
            <w:noWrap/>
            <w:hideMark/>
          </w:tcPr>
          <w:p w:rsidR="001A4F0C" w:rsidRPr="001A4F0C" w:rsidRDefault="001A4F0C" w:rsidP="001A4F0C">
            <w:r>
              <w:t>109.0</w:t>
            </w:r>
            <w:r w:rsidRPr="001A4F0C">
              <w:t xml:space="preserve"> </w:t>
            </w:r>
          </w:p>
        </w:tc>
        <w:tc>
          <w:tcPr>
            <w:tcW w:w="1559" w:type="dxa"/>
            <w:noWrap/>
            <w:hideMark/>
          </w:tcPr>
          <w:p w:rsidR="001A4F0C" w:rsidRPr="001A4F0C" w:rsidRDefault="001A4F0C" w:rsidP="001A4F0C">
            <w:r>
              <w:t>18.6</w:t>
            </w:r>
          </w:p>
        </w:tc>
        <w:tc>
          <w:tcPr>
            <w:tcW w:w="1701" w:type="dxa"/>
            <w:noWrap/>
            <w:hideMark/>
          </w:tcPr>
          <w:p w:rsidR="001A4F0C" w:rsidRPr="001A4F0C" w:rsidRDefault="001A4F0C" w:rsidP="001A4F0C">
            <w:r>
              <w:t>50.2</w:t>
            </w:r>
          </w:p>
        </w:tc>
        <w:tc>
          <w:tcPr>
            <w:tcW w:w="1701" w:type="dxa"/>
            <w:noWrap/>
            <w:hideMark/>
          </w:tcPr>
          <w:p w:rsidR="001A4F0C" w:rsidRPr="001A4F0C" w:rsidRDefault="001A4F0C" w:rsidP="001A4F0C">
            <w:r>
              <w:t>237.2</w:t>
            </w:r>
          </w:p>
        </w:tc>
        <w:tc>
          <w:tcPr>
            <w:tcW w:w="1701" w:type="dxa"/>
            <w:noWrap/>
            <w:hideMark/>
          </w:tcPr>
          <w:p w:rsidR="001A4F0C" w:rsidRPr="001A4F0C" w:rsidRDefault="001A4F0C" w:rsidP="001A4F0C">
            <w:r>
              <w:t>98.0</w:t>
            </w:r>
          </w:p>
        </w:tc>
      </w:tr>
    </w:tbl>
    <w:p w:rsidR="001A4F0C" w:rsidRPr="001A4F0C" w:rsidRDefault="001A4F0C" w:rsidP="001A4F0C"/>
    <w:sectPr w:rsidR="001A4F0C" w:rsidRPr="001A4F0C" w:rsidSect="00B35352">
      <w:footerReference w:type="even" r:id="rId14"/>
      <w:footerReference w:type="default" r:id="rId15"/>
      <w:footerReference w:type="first" r:id="rId16"/>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E0F" w:rsidRPr="00290C63" w:rsidRDefault="00844E0F" w:rsidP="00290C63">
      <w:r>
        <w:separator/>
      </w:r>
    </w:p>
    <w:p w:rsidR="00844E0F" w:rsidRDefault="00844E0F"/>
  </w:endnote>
  <w:endnote w:type="continuationSeparator" w:id="0">
    <w:p w:rsidR="00844E0F" w:rsidRPr="00290C63" w:rsidRDefault="00844E0F" w:rsidP="00290C63">
      <w:r>
        <w:continuationSeparator/>
      </w:r>
    </w:p>
    <w:p w:rsidR="00844E0F" w:rsidRDefault="00844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E0F" w:rsidRPr="00290C63" w:rsidRDefault="00844E0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44E0F" w:rsidRDefault="00844E0F"/>
  <w:p w:rsidR="00844E0F" w:rsidRDefault="00844E0F"/>
  <w:p w:rsidR="00844E0F" w:rsidRDefault="00844E0F"/>
  <w:p w:rsidR="00844E0F" w:rsidRDefault="00844E0F"/>
  <w:p w:rsidR="00844E0F" w:rsidRDefault="00844E0F"/>
  <w:p w:rsidR="00844E0F" w:rsidRDefault="00844E0F"/>
  <w:p w:rsidR="00844E0F" w:rsidRDefault="00844E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E0F" w:rsidRPr="009B6F84" w:rsidRDefault="00844E0F">
    <w:pPr>
      <w:pStyle w:val="Footer"/>
      <w:rPr>
        <w:sz w:val="20"/>
      </w:rPr>
    </w:pPr>
    <w:r>
      <w:tab/>
    </w:r>
    <w:sdt>
      <w:sdtPr>
        <w:id w:val="340901426"/>
        <w:docPartObj>
          <w:docPartGallery w:val="Page Numbers (Bottom of Page)"/>
          <w:docPartUnique/>
        </w:docPartObj>
      </w:sdtPr>
      <w:sdtEndPr>
        <w:rPr>
          <w:noProof/>
          <w:szCs w:val="16"/>
        </w:rPr>
      </w:sdtEndPr>
      <w:sdtContent>
        <w:r>
          <w:fldChar w:fldCharType="begin"/>
        </w:r>
        <w:r>
          <w:instrText xml:space="preserve"> PAGE   \* MERGEFORMAT </w:instrText>
        </w:r>
        <w:r>
          <w:fldChar w:fldCharType="separate"/>
        </w:r>
        <w:r w:rsidR="008861A8">
          <w:rPr>
            <w:noProof/>
          </w:rPr>
          <w:t>1</w:t>
        </w:r>
        <w:r>
          <w:rPr>
            <w:noProof/>
          </w:rPr>
          <w:fldChar w:fldCharType="end"/>
        </w:r>
      </w:sdtContent>
    </w:sdt>
  </w:p>
  <w:p w:rsidR="00844E0F" w:rsidRDefault="00844E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E0F" w:rsidRPr="00290C63" w:rsidRDefault="00844E0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44E0F" w:rsidRDefault="00844E0F">
    <w:pPr>
      <w:pStyle w:val="Footer"/>
    </w:pPr>
  </w:p>
  <w:p w:rsidR="00844E0F" w:rsidRDefault="00844E0F"/>
  <w:p w:rsidR="00844E0F" w:rsidRDefault="00844E0F"/>
  <w:p w:rsidR="00844E0F" w:rsidRDefault="00844E0F"/>
  <w:p w:rsidR="00844E0F" w:rsidRDefault="00844E0F"/>
  <w:p w:rsidR="00844E0F" w:rsidRDefault="00844E0F"/>
  <w:p w:rsidR="00844E0F" w:rsidRDefault="00844E0F"/>
  <w:p w:rsidR="00844E0F" w:rsidRDefault="00844E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E0F" w:rsidRPr="00290C63" w:rsidRDefault="00844E0F" w:rsidP="00290C63">
      <w:r>
        <w:separator/>
      </w:r>
    </w:p>
    <w:p w:rsidR="00844E0F" w:rsidRDefault="00844E0F"/>
  </w:footnote>
  <w:footnote w:type="continuationSeparator" w:id="0">
    <w:p w:rsidR="00844E0F" w:rsidRPr="00290C63" w:rsidRDefault="00844E0F" w:rsidP="00290C63">
      <w:r>
        <w:continuationSeparator/>
      </w:r>
    </w:p>
    <w:p w:rsidR="00844E0F" w:rsidRDefault="00844E0F"/>
  </w:footnote>
  <w:footnote w:id="1">
    <w:p w:rsidR="00844E0F" w:rsidRDefault="00844E0F" w:rsidP="00387B2E">
      <w:pPr>
        <w:pStyle w:val="FootnoteText"/>
      </w:pPr>
      <w:r>
        <w:rPr>
          <w:rStyle w:val="FootnoteReference"/>
        </w:rPr>
        <w:footnoteRef/>
      </w:r>
      <w:r>
        <w:t xml:space="preserve"> </w:t>
      </w:r>
      <w:r>
        <w:tab/>
      </w:r>
      <w:proofErr w:type="gramStart"/>
      <w:r>
        <w:t>National Electricity (Victoria) Act 2005, f-factor scheme Order 2016, clause 1, Victorian Government Gazette, G 51 22 December 2016, p. 3239.</w:t>
      </w:r>
      <w:proofErr w:type="gramEnd"/>
    </w:p>
  </w:footnote>
  <w:footnote w:id="2">
    <w:p w:rsidR="00844E0F" w:rsidRDefault="00844E0F" w:rsidP="00140323">
      <w:pPr>
        <w:pStyle w:val="FootnoteText"/>
      </w:pPr>
      <w:r>
        <w:rPr>
          <w:rStyle w:val="FootnoteReference"/>
        </w:rPr>
        <w:footnoteRef/>
      </w:r>
      <w:r>
        <w:t xml:space="preserve"> </w:t>
      </w:r>
      <w:r>
        <w:tab/>
      </w:r>
      <w:r w:rsidRPr="00140323">
        <w:rPr>
          <w:rStyle w:val="AERtextitalic"/>
        </w:rPr>
        <w:t>AER, F</w:t>
      </w:r>
      <w:r>
        <w:rPr>
          <w:rStyle w:val="AERtextitalic"/>
        </w:rPr>
        <w:t>inal</w:t>
      </w:r>
      <w:r w:rsidRPr="00140323">
        <w:rPr>
          <w:rStyle w:val="AERtextitalic"/>
        </w:rPr>
        <w:t xml:space="preserve"> D</w:t>
      </w:r>
      <w:r>
        <w:rPr>
          <w:rStyle w:val="AERtextitalic"/>
        </w:rPr>
        <w:t>ecision</w:t>
      </w:r>
      <w:r w:rsidRPr="00140323">
        <w:rPr>
          <w:rStyle w:val="AERtextitalic"/>
        </w:rPr>
        <w:t xml:space="preserve"> for Victorian distributors 2016 to 2020, Attachment 18 – f-factor scheme</w:t>
      </w:r>
      <w:r>
        <w:t xml:space="preserve">, </w:t>
      </w:r>
      <w:r w:rsidRPr="00140323">
        <w:t>May 2016</w:t>
      </w:r>
    </w:p>
  </w:footnote>
  <w:footnote w:id="3">
    <w:p w:rsidR="00844E0F" w:rsidRDefault="00844E0F" w:rsidP="00140323">
      <w:pPr>
        <w:pStyle w:val="FootnoteText"/>
      </w:pPr>
      <w:r>
        <w:rPr>
          <w:rStyle w:val="FootnoteReference"/>
        </w:rPr>
        <w:footnoteRef/>
      </w:r>
      <w:r>
        <w:t xml:space="preserve"> </w:t>
      </w:r>
      <w:r>
        <w:tab/>
        <w:t xml:space="preserve">Department of State Development Business and Innovation, </w:t>
      </w:r>
      <w:r w:rsidRPr="00C63FC1">
        <w:rPr>
          <w:rStyle w:val="AERtextitalic"/>
        </w:rPr>
        <w:t>Submission: Preliminary positions on replacement framework and approach (for consultation)</w:t>
      </w:r>
      <w:r>
        <w:t>, 30 August 2014, p. 8.</w:t>
      </w:r>
    </w:p>
  </w:footnote>
  <w:footnote w:id="4">
    <w:p w:rsidR="00844E0F" w:rsidRDefault="00844E0F">
      <w:pPr>
        <w:pStyle w:val="FootnoteText"/>
      </w:pPr>
      <w:r>
        <w:rPr>
          <w:rStyle w:val="FootnoteReference"/>
        </w:rPr>
        <w:footnoteRef/>
      </w:r>
      <w:r>
        <w:t xml:space="preserve"> </w:t>
      </w:r>
      <w:r>
        <w:tab/>
        <w:t>F-Factor Scheme Order 2016, Victoria Government Gazette, G51, 22 December 2016</w:t>
      </w:r>
    </w:p>
  </w:footnote>
  <w:footnote w:id="5">
    <w:p w:rsidR="00844E0F" w:rsidRDefault="00844E0F" w:rsidP="002B3FFF">
      <w:pPr>
        <w:pStyle w:val="FootnoteText"/>
      </w:pPr>
      <w:r>
        <w:rPr>
          <w:rStyle w:val="FootnoteReference"/>
        </w:rPr>
        <w:footnoteRef/>
      </w:r>
      <w:r>
        <w:t xml:space="preserve"> </w:t>
      </w:r>
      <w:r>
        <w:tab/>
      </w:r>
      <w:proofErr w:type="gramStart"/>
      <w:r>
        <w:t>National Electricity (Victoria) Act 2005, f-factor scheme Order 2016, clause 1, Victorian Government Gazette, G 51 22 December 2016, p. 3239.</w:t>
      </w:r>
      <w:proofErr w:type="gramEnd"/>
    </w:p>
  </w:footnote>
  <w:footnote w:id="6">
    <w:p w:rsidR="00844E0F" w:rsidRDefault="00844E0F" w:rsidP="001A41F4">
      <w:pPr>
        <w:pStyle w:val="FootnoteText"/>
      </w:pPr>
      <w:r>
        <w:rPr>
          <w:rStyle w:val="FootnoteReference"/>
        </w:rPr>
        <w:footnoteRef/>
      </w:r>
      <w:r>
        <w:t xml:space="preserve"> </w:t>
      </w:r>
      <w:r>
        <w:tab/>
        <w:t>NEVA requires that we must first publish a draft determination for at least 6 weeks consultation prior to making a final determination.</w:t>
      </w:r>
    </w:p>
  </w:footnote>
  <w:footnote w:id="7">
    <w:p w:rsidR="00844E0F" w:rsidRDefault="00844E0F" w:rsidP="00771E1D">
      <w:pPr>
        <w:pStyle w:val="FootnoteText"/>
      </w:pPr>
      <w:r>
        <w:rPr>
          <w:rStyle w:val="FootnoteReference"/>
        </w:rPr>
        <w:footnoteRef/>
      </w:r>
      <w:r>
        <w:t xml:space="preserve"> </w:t>
      </w:r>
      <w:r>
        <w:tab/>
      </w:r>
      <w:r w:rsidRPr="00771E1D">
        <w:t>Victorian Department of Environment Land Water and Planning</w:t>
      </w:r>
      <w:r>
        <w:t xml:space="preserve">, </w:t>
      </w:r>
      <w:r w:rsidRPr="00771E1D">
        <w:t>f-factor Incentive Scheme: Regulatory Impact Statement</w:t>
      </w:r>
      <w:r>
        <w:t>, October 2016, p. 15.</w:t>
      </w:r>
    </w:p>
  </w:footnote>
  <w:footnote w:id="8">
    <w:p w:rsidR="00844E0F" w:rsidRDefault="00844E0F">
      <w:pPr>
        <w:pStyle w:val="FootnoteText"/>
      </w:pPr>
      <w:r>
        <w:rPr>
          <w:rStyle w:val="FootnoteReference"/>
        </w:rPr>
        <w:footnoteRef/>
      </w:r>
      <w:r>
        <w:t xml:space="preserve"> </w:t>
      </w:r>
      <w:r>
        <w:tab/>
        <w:t>16 C (1) (a), NEVA, No. 8 of 2005, pp. 21–22.</w:t>
      </w:r>
    </w:p>
  </w:footnote>
  <w:footnote w:id="9">
    <w:p w:rsidR="00844E0F" w:rsidRDefault="00844E0F" w:rsidP="00EE37D8">
      <w:pPr>
        <w:pStyle w:val="FootnoteText"/>
      </w:pPr>
      <w:r>
        <w:rPr>
          <w:rStyle w:val="FootnoteReference"/>
        </w:rPr>
        <w:footnoteRef/>
      </w:r>
      <w:r>
        <w:t xml:space="preserve"> </w:t>
      </w:r>
      <w:r>
        <w:tab/>
        <w:t>16 C (2) (a), NEVA, No. 8 of 2005, p. 22.</w:t>
      </w:r>
    </w:p>
  </w:footnote>
  <w:footnote w:id="10">
    <w:p w:rsidR="00844E0F" w:rsidRPr="00661DCC" w:rsidRDefault="00844E0F" w:rsidP="00B160D0">
      <w:pPr>
        <w:pStyle w:val="FootnoteText"/>
      </w:pPr>
      <w:r>
        <w:rPr>
          <w:rStyle w:val="FootnoteReference"/>
        </w:rPr>
        <w:footnoteRef/>
      </w:r>
      <w:r>
        <w:t xml:space="preserve"> </w:t>
      </w:r>
      <w:r>
        <w:tab/>
      </w:r>
      <w:proofErr w:type="gramStart"/>
      <w:r>
        <w:t xml:space="preserve">Clause </w:t>
      </w:r>
      <w:r w:rsidRPr="00661DCC">
        <w:t xml:space="preserve">14 of the </w:t>
      </w:r>
      <w:r>
        <w:t xml:space="preserve">2016 f-factor </w:t>
      </w:r>
      <w:r w:rsidRPr="00661DCC">
        <w:t>O</w:t>
      </w:r>
      <w:r>
        <w:t>rder.</w:t>
      </w:r>
      <w:proofErr w:type="gramEnd"/>
    </w:p>
  </w:footnote>
  <w:footnote w:id="11">
    <w:p w:rsidR="00844E0F" w:rsidRDefault="00844E0F">
      <w:pPr>
        <w:pStyle w:val="FootnoteText"/>
      </w:pPr>
      <w:r>
        <w:rPr>
          <w:rStyle w:val="FootnoteReference"/>
        </w:rPr>
        <w:footnoteRef/>
      </w:r>
      <w:r>
        <w:t xml:space="preserve"> </w:t>
      </w:r>
      <w:r>
        <w:tab/>
        <w:t>The change to measure fire starts on a financial year basis is to capture fire starts of each fire season separately.</w:t>
      </w:r>
    </w:p>
    <w:p w:rsidR="00844E0F" w:rsidRDefault="00844E0F">
      <w:pPr>
        <w:pStyle w:val="FootnoteText"/>
      </w:pPr>
      <w:r>
        <w:tab/>
        <w:t xml:space="preserve">Fire starts were previously measured on a calendar year basis. As fire seasons typically commence in late November to early December, fire start reports cover fire starts of two fire seasons. </w:t>
      </w:r>
    </w:p>
  </w:footnote>
  <w:footnote w:id="12">
    <w:p w:rsidR="00844E0F" w:rsidRPr="008378DC" w:rsidRDefault="00844E0F" w:rsidP="00CF3469">
      <w:pPr>
        <w:pStyle w:val="FootnoteText"/>
        <w:rPr>
          <w:i/>
          <w:iCs/>
        </w:rPr>
      </w:pPr>
      <w:r>
        <w:rPr>
          <w:rStyle w:val="FootnoteReference"/>
        </w:rPr>
        <w:footnoteRef/>
      </w:r>
      <w:r>
        <w:t xml:space="preserve"> </w:t>
      </w:r>
      <w:r>
        <w:tab/>
      </w:r>
      <w:proofErr w:type="gramStart"/>
      <w:r>
        <w:t xml:space="preserve">AER, </w:t>
      </w:r>
      <w:r>
        <w:rPr>
          <w:rStyle w:val="Emphasis"/>
        </w:rPr>
        <w:t xml:space="preserve">Final decision for Victorian Distributors distribution determination </w:t>
      </w:r>
      <w:r w:rsidRPr="008378DC">
        <w:rPr>
          <w:rStyle w:val="Emphasis"/>
        </w:rPr>
        <w:t>2016 to 2020</w:t>
      </w:r>
      <w:r>
        <w:rPr>
          <w:rStyle w:val="Emphasis"/>
        </w:rPr>
        <w:t xml:space="preserve">, </w:t>
      </w:r>
      <w:r w:rsidRPr="00FA7AAB">
        <w:rPr>
          <w:rStyle w:val="Emphasis"/>
        </w:rPr>
        <w:t>Attachment 18 – f-factor scheme</w:t>
      </w:r>
      <w:r>
        <w:rPr>
          <w:rStyle w:val="Emphasis"/>
        </w:rPr>
        <w:t xml:space="preserve">, </w:t>
      </w:r>
      <w:r>
        <w:t>May 2016.</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0D1687DA"/>
    <w:lvl w:ilvl="0" w:tplc="5FC480BC">
      <w:start w:val="1"/>
      <w:numFmt w:val="lowerLetter"/>
      <w:pStyle w:val="Listalphabet"/>
      <w:lvlText w:val="(%1)"/>
      <w:lvlJc w:val="left"/>
      <w:pPr>
        <w:ind w:left="104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3479"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8B06FAD4"/>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37DC7E3C"/>
    <w:lvl w:ilvl="0" w:tplc="D90E7D7A">
      <w:start w:val="1"/>
      <w:numFmt w:val="lowerLetter"/>
      <w:pStyle w:val="AERnumberedlistsecondstyle"/>
      <w:lvlText w:val="(%1)"/>
      <w:lvlJc w:val="left"/>
      <w:pPr>
        <w:ind w:left="192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EA5461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679C4C58"/>
    <w:lvl w:ilvl="0" w:tplc="1B785092">
      <w:start w:val="1"/>
      <w:numFmt w:val="lowerRoman"/>
      <w:pStyle w:val="AERnumberedlistthirdstyle"/>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9"/>
  </w:num>
  <w:num w:numId="19">
    <w:abstractNumId w:val="25"/>
  </w:num>
  <w:num w:numId="20">
    <w:abstractNumId w:val="22"/>
  </w:num>
  <w:num w:numId="21">
    <w:abstractNumId w:val="20"/>
  </w:num>
  <w:num w:numId="22">
    <w:abstractNumId w:val="15"/>
  </w:num>
  <w:num w:numId="23">
    <w:abstractNumId w:val="21"/>
  </w:num>
  <w:num w:numId="24">
    <w:abstractNumId w:val="23"/>
  </w:num>
  <w:num w:numId="25">
    <w:abstractNumId w:val="16"/>
  </w:num>
  <w:num w:numId="26">
    <w:abstractNumId w:val="13"/>
  </w:num>
  <w:num w:numId="27">
    <w:abstractNumId w:val="14"/>
    <w:lvlOverride w:ilvl="0">
      <w:startOverride w:val="1"/>
    </w:lvlOverride>
  </w:num>
  <w:num w:numId="28">
    <w:abstractNumId w:val="14"/>
    <w:lvlOverride w:ilvl="0">
      <w:startOverride w:val="1"/>
    </w:lvlOverride>
  </w:num>
  <w:num w:numId="29">
    <w:abstractNumId w:val="14"/>
  </w:num>
  <w:num w:numId="30">
    <w:abstractNumId w:val="14"/>
    <w:lvlOverride w:ilvl="0">
      <w:startOverride w:val="1"/>
    </w:lvlOverride>
  </w:num>
  <w:num w:numId="31">
    <w:abstractNumId w:val="25"/>
    <w:lvlOverride w:ilvl="0">
      <w:startOverride w:val="1"/>
    </w:lvlOverride>
  </w:num>
  <w:num w:numId="32">
    <w:abstractNumId w:val="25"/>
    <w:lvlOverride w:ilvl="0">
      <w:startOverride w:val="1"/>
    </w:lvlOverride>
  </w:num>
  <w:num w:numId="33">
    <w:abstractNumId w:val="25"/>
    <w:lvlOverride w:ilvl="0">
      <w:startOverride w:val="1"/>
    </w:lvlOverride>
  </w:num>
  <w:num w:numId="34">
    <w:abstractNumId w:val="25"/>
    <w:lvlOverride w:ilvl="0">
      <w:startOverride w:val="1"/>
    </w:lvlOverride>
  </w:num>
  <w:num w:numId="35">
    <w:abstractNumId w:val="14"/>
    <w:lvlOverride w:ilvl="0">
      <w:startOverride w:val="1"/>
    </w:lvlOverride>
  </w:num>
  <w:num w:numId="36">
    <w:abstractNumId w:val="14"/>
    <w:lvlOverride w:ilvl="0">
      <w:startOverride w:val="1"/>
    </w:lvlOverride>
  </w:num>
  <w:num w:numId="37">
    <w:abstractNumId w:val="14"/>
    <w:lvlOverride w:ilvl="0">
      <w:startOverride w:val="1"/>
    </w:lvlOverride>
  </w:num>
  <w:num w:numId="38">
    <w:abstractNumId w:val="14"/>
    <w:lvlOverride w:ilvl="0">
      <w:startOverride w:val="1"/>
    </w:lvlOverride>
  </w:num>
  <w:num w:numId="39">
    <w:abstractNumId w:val="25"/>
    <w:lvlOverride w:ilvl="0">
      <w:startOverride w:val="1"/>
    </w:lvlOverride>
  </w:num>
  <w:num w:numId="40">
    <w:abstractNumId w:val="25"/>
    <w:lvlOverride w:ilvl="0">
      <w:startOverride w:val="1"/>
    </w:lvlOverride>
  </w:num>
  <w:num w:numId="41">
    <w:abstractNumId w:val="25"/>
    <w:lvlOverride w:ilvl="0">
      <w:startOverride w:val="1"/>
    </w:lvlOverride>
  </w:num>
  <w:num w:numId="42">
    <w:abstractNumId w:val="14"/>
    <w:lvlOverride w:ilvl="0">
      <w:startOverride w:val="1"/>
    </w:lvlOverride>
  </w:num>
  <w:num w:numId="43">
    <w:abstractNumId w:val="25"/>
    <w:lvlOverride w:ilvl="0">
      <w:startOverride w:val="1"/>
    </w:lvlOverride>
  </w:num>
  <w:num w:numId="44">
    <w:abstractNumId w:val="25"/>
    <w:lvlOverride w:ilvl="0">
      <w:startOverride w:val="1"/>
    </w:lvlOverride>
  </w:num>
  <w:num w:numId="45">
    <w:abstractNumId w:val="14"/>
    <w:lvlOverride w:ilvl="0">
      <w:startOverride w:val="1"/>
    </w:lvlOverride>
  </w:num>
  <w:num w:numId="46">
    <w:abstractNumId w:val="25"/>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518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Vic fire factor\Vic Fire factor 2017 decision\Draft Decision\Draft Decision F factor.docx"/>
  </w:docVars>
  <w:rsids>
    <w:rsidRoot w:val="00961A4A"/>
    <w:rsid w:val="0000090B"/>
    <w:rsid w:val="00000D4A"/>
    <w:rsid w:val="0000169E"/>
    <w:rsid w:val="00003AE8"/>
    <w:rsid w:val="000051DC"/>
    <w:rsid w:val="0000658F"/>
    <w:rsid w:val="000118A9"/>
    <w:rsid w:val="00012700"/>
    <w:rsid w:val="0001507B"/>
    <w:rsid w:val="00016320"/>
    <w:rsid w:val="00017AA2"/>
    <w:rsid w:val="00020016"/>
    <w:rsid w:val="00020048"/>
    <w:rsid w:val="0002095F"/>
    <w:rsid w:val="00020BE5"/>
    <w:rsid w:val="00021202"/>
    <w:rsid w:val="00021C2B"/>
    <w:rsid w:val="0002219B"/>
    <w:rsid w:val="000224A2"/>
    <w:rsid w:val="00022549"/>
    <w:rsid w:val="000235D5"/>
    <w:rsid w:val="0002498B"/>
    <w:rsid w:val="0002517F"/>
    <w:rsid w:val="00026187"/>
    <w:rsid w:val="000266FC"/>
    <w:rsid w:val="000273B3"/>
    <w:rsid w:val="00027E2D"/>
    <w:rsid w:val="00031747"/>
    <w:rsid w:val="00031E86"/>
    <w:rsid w:val="00032888"/>
    <w:rsid w:val="00033C5E"/>
    <w:rsid w:val="00034E28"/>
    <w:rsid w:val="0003578C"/>
    <w:rsid w:val="00036C2A"/>
    <w:rsid w:val="000416AF"/>
    <w:rsid w:val="00042F31"/>
    <w:rsid w:val="00044DA3"/>
    <w:rsid w:val="000462C0"/>
    <w:rsid w:val="000466E7"/>
    <w:rsid w:val="000474DF"/>
    <w:rsid w:val="00051958"/>
    <w:rsid w:val="00053B8B"/>
    <w:rsid w:val="00055993"/>
    <w:rsid w:val="00055A67"/>
    <w:rsid w:val="00061D96"/>
    <w:rsid w:val="000624BC"/>
    <w:rsid w:val="00063247"/>
    <w:rsid w:val="00064C08"/>
    <w:rsid w:val="0006624E"/>
    <w:rsid w:val="00070F9F"/>
    <w:rsid w:val="0007137B"/>
    <w:rsid w:val="00071D7D"/>
    <w:rsid w:val="00072D19"/>
    <w:rsid w:val="0007379A"/>
    <w:rsid w:val="00073B74"/>
    <w:rsid w:val="0007436C"/>
    <w:rsid w:val="00074B8D"/>
    <w:rsid w:val="00075B81"/>
    <w:rsid w:val="00076410"/>
    <w:rsid w:val="00076416"/>
    <w:rsid w:val="000805A8"/>
    <w:rsid w:val="00080711"/>
    <w:rsid w:val="0008190B"/>
    <w:rsid w:val="0008290B"/>
    <w:rsid w:val="00082FDB"/>
    <w:rsid w:val="000836D9"/>
    <w:rsid w:val="00085663"/>
    <w:rsid w:val="00085EBF"/>
    <w:rsid w:val="00091B15"/>
    <w:rsid w:val="00091B2E"/>
    <w:rsid w:val="00095186"/>
    <w:rsid w:val="0009630C"/>
    <w:rsid w:val="000A0E71"/>
    <w:rsid w:val="000A1C0C"/>
    <w:rsid w:val="000A1D95"/>
    <w:rsid w:val="000A3020"/>
    <w:rsid w:val="000A4059"/>
    <w:rsid w:val="000A4840"/>
    <w:rsid w:val="000A4993"/>
    <w:rsid w:val="000A62C1"/>
    <w:rsid w:val="000A6A79"/>
    <w:rsid w:val="000A6C7B"/>
    <w:rsid w:val="000B0A7B"/>
    <w:rsid w:val="000B0E59"/>
    <w:rsid w:val="000B1173"/>
    <w:rsid w:val="000B510D"/>
    <w:rsid w:val="000B54BD"/>
    <w:rsid w:val="000B5827"/>
    <w:rsid w:val="000B6BDA"/>
    <w:rsid w:val="000B7037"/>
    <w:rsid w:val="000C02D1"/>
    <w:rsid w:val="000C0C63"/>
    <w:rsid w:val="000C2B40"/>
    <w:rsid w:val="000C32D5"/>
    <w:rsid w:val="000C5255"/>
    <w:rsid w:val="000C68E9"/>
    <w:rsid w:val="000C7DE0"/>
    <w:rsid w:val="000D07A7"/>
    <w:rsid w:val="000D0969"/>
    <w:rsid w:val="000D122C"/>
    <w:rsid w:val="000D4135"/>
    <w:rsid w:val="000D555E"/>
    <w:rsid w:val="000D5900"/>
    <w:rsid w:val="000D75B0"/>
    <w:rsid w:val="000E1819"/>
    <w:rsid w:val="000E4821"/>
    <w:rsid w:val="000E4AA9"/>
    <w:rsid w:val="000E6AEA"/>
    <w:rsid w:val="000E6C72"/>
    <w:rsid w:val="000E7F39"/>
    <w:rsid w:val="000F2400"/>
    <w:rsid w:val="000F2ADA"/>
    <w:rsid w:val="000F54AA"/>
    <w:rsid w:val="00100EA2"/>
    <w:rsid w:val="00101270"/>
    <w:rsid w:val="00101AA1"/>
    <w:rsid w:val="00102338"/>
    <w:rsid w:val="00104566"/>
    <w:rsid w:val="00104FF6"/>
    <w:rsid w:val="00107B7F"/>
    <w:rsid w:val="001114AA"/>
    <w:rsid w:val="00112AF7"/>
    <w:rsid w:val="00115743"/>
    <w:rsid w:val="00116EB2"/>
    <w:rsid w:val="001202D3"/>
    <w:rsid w:val="0012066A"/>
    <w:rsid w:val="0012132C"/>
    <w:rsid w:val="00124609"/>
    <w:rsid w:val="00124F4B"/>
    <w:rsid w:val="00126381"/>
    <w:rsid w:val="00126A4C"/>
    <w:rsid w:val="001270E3"/>
    <w:rsid w:val="00132D43"/>
    <w:rsid w:val="00133366"/>
    <w:rsid w:val="00133F47"/>
    <w:rsid w:val="00134029"/>
    <w:rsid w:val="00140323"/>
    <w:rsid w:val="00140472"/>
    <w:rsid w:val="00142C2D"/>
    <w:rsid w:val="00144AE9"/>
    <w:rsid w:val="00144C96"/>
    <w:rsid w:val="0014573B"/>
    <w:rsid w:val="001463A3"/>
    <w:rsid w:val="0015073A"/>
    <w:rsid w:val="0015240F"/>
    <w:rsid w:val="00152F8C"/>
    <w:rsid w:val="00153EE8"/>
    <w:rsid w:val="001566B2"/>
    <w:rsid w:val="00156DAE"/>
    <w:rsid w:val="001573E4"/>
    <w:rsid w:val="00160672"/>
    <w:rsid w:val="00160756"/>
    <w:rsid w:val="001617BE"/>
    <w:rsid w:val="00161DC8"/>
    <w:rsid w:val="00163121"/>
    <w:rsid w:val="00163384"/>
    <w:rsid w:val="00163A20"/>
    <w:rsid w:val="00163F19"/>
    <w:rsid w:val="001647BC"/>
    <w:rsid w:val="00166760"/>
    <w:rsid w:val="00166C39"/>
    <w:rsid w:val="0017232E"/>
    <w:rsid w:val="00172E44"/>
    <w:rsid w:val="00173476"/>
    <w:rsid w:val="00174102"/>
    <w:rsid w:val="001754EE"/>
    <w:rsid w:val="00177217"/>
    <w:rsid w:val="00180157"/>
    <w:rsid w:val="001802BF"/>
    <w:rsid w:val="001809BC"/>
    <w:rsid w:val="00180E97"/>
    <w:rsid w:val="00180EFE"/>
    <w:rsid w:val="001820B4"/>
    <w:rsid w:val="00184351"/>
    <w:rsid w:val="00184AC8"/>
    <w:rsid w:val="00185BA5"/>
    <w:rsid w:val="00185CB9"/>
    <w:rsid w:val="00185DBE"/>
    <w:rsid w:val="00186ADC"/>
    <w:rsid w:val="00186F77"/>
    <w:rsid w:val="001877A4"/>
    <w:rsid w:val="001926A4"/>
    <w:rsid w:val="00192AD5"/>
    <w:rsid w:val="00192B13"/>
    <w:rsid w:val="00194597"/>
    <w:rsid w:val="00194E00"/>
    <w:rsid w:val="00196BD7"/>
    <w:rsid w:val="0019745E"/>
    <w:rsid w:val="00197B16"/>
    <w:rsid w:val="001A41F4"/>
    <w:rsid w:val="001A4821"/>
    <w:rsid w:val="001A4F0C"/>
    <w:rsid w:val="001A530D"/>
    <w:rsid w:val="001A5FB3"/>
    <w:rsid w:val="001A6C59"/>
    <w:rsid w:val="001A7155"/>
    <w:rsid w:val="001A7BC5"/>
    <w:rsid w:val="001B126C"/>
    <w:rsid w:val="001B2AF2"/>
    <w:rsid w:val="001B3755"/>
    <w:rsid w:val="001B45A0"/>
    <w:rsid w:val="001B4DF4"/>
    <w:rsid w:val="001B5DD9"/>
    <w:rsid w:val="001B680E"/>
    <w:rsid w:val="001C2661"/>
    <w:rsid w:val="001C3FAF"/>
    <w:rsid w:val="001C5A7E"/>
    <w:rsid w:val="001D055E"/>
    <w:rsid w:val="001D0D21"/>
    <w:rsid w:val="001D4B49"/>
    <w:rsid w:val="001D5310"/>
    <w:rsid w:val="001D5B65"/>
    <w:rsid w:val="001D77FC"/>
    <w:rsid w:val="001E16BC"/>
    <w:rsid w:val="001E1B3F"/>
    <w:rsid w:val="001E202E"/>
    <w:rsid w:val="001E417C"/>
    <w:rsid w:val="001E5DE1"/>
    <w:rsid w:val="001E6CDE"/>
    <w:rsid w:val="001E6F0B"/>
    <w:rsid w:val="001E7161"/>
    <w:rsid w:val="001E76C0"/>
    <w:rsid w:val="001F05A4"/>
    <w:rsid w:val="001F18B8"/>
    <w:rsid w:val="001F262B"/>
    <w:rsid w:val="001F3209"/>
    <w:rsid w:val="001F3D4A"/>
    <w:rsid w:val="001F492E"/>
    <w:rsid w:val="001F5EA9"/>
    <w:rsid w:val="001F64EF"/>
    <w:rsid w:val="001F6DA3"/>
    <w:rsid w:val="002010BC"/>
    <w:rsid w:val="002016E7"/>
    <w:rsid w:val="00201704"/>
    <w:rsid w:val="00202E03"/>
    <w:rsid w:val="002033B9"/>
    <w:rsid w:val="00203C71"/>
    <w:rsid w:val="002043D0"/>
    <w:rsid w:val="0020492C"/>
    <w:rsid w:val="00204EC9"/>
    <w:rsid w:val="00204F97"/>
    <w:rsid w:val="002050D7"/>
    <w:rsid w:val="00206505"/>
    <w:rsid w:val="00206523"/>
    <w:rsid w:val="0020743F"/>
    <w:rsid w:val="0021004A"/>
    <w:rsid w:val="002102DE"/>
    <w:rsid w:val="00210466"/>
    <w:rsid w:val="00210648"/>
    <w:rsid w:val="00211C01"/>
    <w:rsid w:val="00214295"/>
    <w:rsid w:val="00215555"/>
    <w:rsid w:val="00216287"/>
    <w:rsid w:val="002168B6"/>
    <w:rsid w:val="00216C93"/>
    <w:rsid w:val="002219D5"/>
    <w:rsid w:val="00221F82"/>
    <w:rsid w:val="00222063"/>
    <w:rsid w:val="00223051"/>
    <w:rsid w:val="00224DB9"/>
    <w:rsid w:val="0022569A"/>
    <w:rsid w:val="0023005C"/>
    <w:rsid w:val="00231012"/>
    <w:rsid w:val="00233775"/>
    <w:rsid w:val="0023414B"/>
    <w:rsid w:val="002423FD"/>
    <w:rsid w:val="00243573"/>
    <w:rsid w:val="00243635"/>
    <w:rsid w:val="00243DE0"/>
    <w:rsid w:val="0024409C"/>
    <w:rsid w:val="002449E4"/>
    <w:rsid w:val="00245BF7"/>
    <w:rsid w:val="00247079"/>
    <w:rsid w:val="00247F12"/>
    <w:rsid w:val="00250BBD"/>
    <w:rsid w:val="00251310"/>
    <w:rsid w:val="00251745"/>
    <w:rsid w:val="002519F5"/>
    <w:rsid w:val="00251A39"/>
    <w:rsid w:val="002529D9"/>
    <w:rsid w:val="00252AFC"/>
    <w:rsid w:val="002552BA"/>
    <w:rsid w:val="00260016"/>
    <w:rsid w:val="002615AA"/>
    <w:rsid w:val="00262339"/>
    <w:rsid w:val="00262ACA"/>
    <w:rsid w:val="00263AC0"/>
    <w:rsid w:val="00264264"/>
    <w:rsid w:val="002660FB"/>
    <w:rsid w:val="0026689B"/>
    <w:rsid w:val="0026772D"/>
    <w:rsid w:val="00272CE9"/>
    <w:rsid w:val="002730B2"/>
    <w:rsid w:val="0027487B"/>
    <w:rsid w:val="00274C7E"/>
    <w:rsid w:val="002777CF"/>
    <w:rsid w:val="002810F2"/>
    <w:rsid w:val="00283726"/>
    <w:rsid w:val="00286874"/>
    <w:rsid w:val="00290C63"/>
    <w:rsid w:val="00290F66"/>
    <w:rsid w:val="002911ED"/>
    <w:rsid w:val="00291A99"/>
    <w:rsid w:val="00293B6D"/>
    <w:rsid w:val="00294B08"/>
    <w:rsid w:val="0029503C"/>
    <w:rsid w:val="0029518C"/>
    <w:rsid w:val="00295FDE"/>
    <w:rsid w:val="002963DD"/>
    <w:rsid w:val="00296B65"/>
    <w:rsid w:val="002A5157"/>
    <w:rsid w:val="002A6BC3"/>
    <w:rsid w:val="002A7DEF"/>
    <w:rsid w:val="002B0696"/>
    <w:rsid w:val="002B18A8"/>
    <w:rsid w:val="002B35EC"/>
    <w:rsid w:val="002B3FFF"/>
    <w:rsid w:val="002B5546"/>
    <w:rsid w:val="002B56B3"/>
    <w:rsid w:val="002B67FB"/>
    <w:rsid w:val="002C0222"/>
    <w:rsid w:val="002C0927"/>
    <w:rsid w:val="002C1499"/>
    <w:rsid w:val="002C18F3"/>
    <w:rsid w:val="002C233C"/>
    <w:rsid w:val="002C3D7E"/>
    <w:rsid w:val="002C517B"/>
    <w:rsid w:val="002C6ECA"/>
    <w:rsid w:val="002C726D"/>
    <w:rsid w:val="002D10B0"/>
    <w:rsid w:val="002D120A"/>
    <w:rsid w:val="002D3509"/>
    <w:rsid w:val="002D359D"/>
    <w:rsid w:val="002D3C76"/>
    <w:rsid w:val="002D47D1"/>
    <w:rsid w:val="002D487B"/>
    <w:rsid w:val="002D5457"/>
    <w:rsid w:val="002D6D1B"/>
    <w:rsid w:val="002D714D"/>
    <w:rsid w:val="002D72E8"/>
    <w:rsid w:val="002D79AD"/>
    <w:rsid w:val="002D7F9E"/>
    <w:rsid w:val="002E08A8"/>
    <w:rsid w:val="002E134A"/>
    <w:rsid w:val="002E268F"/>
    <w:rsid w:val="002E2693"/>
    <w:rsid w:val="002E4171"/>
    <w:rsid w:val="002E631E"/>
    <w:rsid w:val="002E68CE"/>
    <w:rsid w:val="002E78DD"/>
    <w:rsid w:val="002E7B22"/>
    <w:rsid w:val="002E7E5F"/>
    <w:rsid w:val="002E7EA0"/>
    <w:rsid w:val="002F12EC"/>
    <w:rsid w:val="002F50D1"/>
    <w:rsid w:val="002F5184"/>
    <w:rsid w:val="002F7986"/>
    <w:rsid w:val="002F7EE0"/>
    <w:rsid w:val="00300CC8"/>
    <w:rsid w:val="00300DDF"/>
    <w:rsid w:val="00301B40"/>
    <w:rsid w:val="00301C82"/>
    <w:rsid w:val="00302133"/>
    <w:rsid w:val="003029EE"/>
    <w:rsid w:val="00303C35"/>
    <w:rsid w:val="00303CF4"/>
    <w:rsid w:val="00304D38"/>
    <w:rsid w:val="00305CC8"/>
    <w:rsid w:val="0030713D"/>
    <w:rsid w:val="00307F6D"/>
    <w:rsid w:val="00313076"/>
    <w:rsid w:val="00313D3E"/>
    <w:rsid w:val="0031484F"/>
    <w:rsid w:val="00314D83"/>
    <w:rsid w:val="00315018"/>
    <w:rsid w:val="0031571F"/>
    <w:rsid w:val="0031598F"/>
    <w:rsid w:val="0031692D"/>
    <w:rsid w:val="003177A2"/>
    <w:rsid w:val="00317E02"/>
    <w:rsid w:val="0032463C"/>
    <w:rsid w:val="003271B5"/>
    <w:rsid w:val="00327560"/>
    <w:rsid w:val="00327A1E"/>
    <w:rsid w:val="00327E28"/>
    <w:rsid w:val="00331264"/>
    <w:rsid w:val="00334C8D"/>
    <w:rsid w:val="00335B91"/>
    <w:rsid w:val="00335DCD"/>
    <w:rsid w:val="003378BD"/>
    <w:rsid w:val="003379B3"/>
    <w:rsid w:val="00337EC7"/>
    <w:rsid w:val="00340AC0"/>
    <w:rsid w:val="003424EA"/>
    <w:rsid w:val="00342C2F"/>
    <w:rsid w:val="003436EB"/>
    <w:rsid w:val="00343A18"/>
    <w:rsid w:val="00345744"/>
    <w:rsid w:val="00346736"/>
    <w:rsid w:val="003518B3"/>
    <w:rsid w:val="00353E79"/>
    <w:rsid w:val="003556C9"/>
    <w:rsid w:val="00357982"/>
    <w:rsid w:val="003615EE"/>
    <w:rsid w:val="00363F01"/>
    <w:rsid w:val="00364EA0"/>
    <w:rsid w:val="00366981"/>
    <w:rsid w:val="0036724E"/>
    <w:rsid w:val="003672E7"/>
    <w:rsid w:val="00370678"/>
    <w:rsid w:val="0037070A"/>
    <w:rsid w:val="0037214E"/>
    <w:rsid w:val="00372C85"/>
    <w:rsid w:val="00373845"/>
    <w:rsid w:val="003744E3"/>
    <w:rsid w:val="00375F71"/>
    <w:rsid w:val="00376219"/>
    <w:rsid w:val="0037663E"/>
    <w:rsid w:val="0037699E"/>
    <w:rsid w:val="00377A29"/>
    <w:rsid w:val="00377C69"/>
    <w:rsid w:val="00377DAC"/>
    <w:rsid w:val="00382E7C"/>
    <w:rsid w:val="0038415D"/>
    <w:rsid w:val="0038461C"/>
    <w:rsid w:val="003846F1"/>
    <w:rsid w:val="00386073"/>
    <w:rsid w:val="003878BA"/>
    <w:rsid w:val="00387B2E"/>
    <w:rsid w:val="00390E6A"/>
    <w:rsid w:val="00391855"/>
    <w:rsid w:val="00393ABE"/>
    <w:rsid w:val="00395DB6"/>
    <w:rsid w:val="0039736C"/>
    <w:rsid w:val="00397398"/>
    <w:rsid w:val="003979F3"/>
    <w:rsid w:val="003A083C"/>
    <w:rsid w:val="003A371A"/>
    <w:rsid w:val="003A3B92"/>
    <w:rsid w:val="003A4E76"/>
    <w:rsid w:val="003A59CD"/>
    <w:rsid w:val="003A66B4"/>
    <w:rsid w:val="003A6B00"/>
    <w:rsid w:val="003B1139"/>
    <w:rsid w:val="003B30B2"/>
    <w:rsid w:val="003B3AA7"/>
    <w:rsid w:val="003B3C12"/>
    <w:rsid w:val="003B4767"/>
    <w:rsid w:val="003B484F"/>
    <w:rsid w:val="003B504B"/>
    <w:rsid w:val="003B50FB"/>
    <w:rsid w:val="003B5179"/>
    <w:rsid w:val="003B5A26"/>
    <w:rsid w:val="003B60F1"/>
    <w:rsid w:val="003B685C"/>
    <w:rsid w:val="003B7FBA"/>
    <w:rsid w:val="003C163A"/>
    <w:rsid w:val="003C17DA"/>
    <w:rsid w:val="003C5A87"/>
    <w:rsid w:val="003C6537"/>
    <w:rsid w:val="003C6A13"/>
    <w:rsid w:val="003C764A"/>
    <w:rsid w:val="003C78BA"/>
    <w:rsid w:val="003D1574"/>
    <w:rsid w:val="003D41F1"/>
    <w:rsid w:val="003D42AB"/>
    <w:rsid w:val="003D5B94"/>
    <w:rsid w:val="003D65FC"/>
    <w:rsid w:val="003D6E12"/>
    <w:rsid w:val="003E0D3A"/>
    <w:rsid w:val="003E1162"/>
    <w:rsid w:val="003E1E0B"/>
    <w:rsid w:val="003E2242"/>
    <w:rsid w:val="003E30FF"/>
    <w:rsid w:val="003E3AAB"/>
    <w:rsid w:val="003E6AEB"/>
    <w:rsid w:val="003E7FE9"/>
    <w:rsid w:val="003F0191"/>
    <w:rsid w:val="003F07D4"/>
    <w:rsid w:val="003F0886"/>
    <w:rsid w:val="003F174D"/>
    <w:rsid w:val="003F2329"/>
    <w:rsid w:val="003F4700"/>
    <w:rsid w:val="003F502D"/>
    <w:rsid w:val="003F7469"/>
    <w:rsid w:val="004001F7"/>
    <w:rsid w:val="00400426"/>
    <w:rsid w:val="00400BC1"/>
    <w:rsid w:val="00400FD2"/>
    <w:rsid w:val="00401E60"/>
    <w:rsid w:val="00403711"/>
    <w:rsid w:val="004040F3"/>
    <w:rsid w:val="00404C52"/>
    <w:rsid w:val="00405E46"/>
    <w:rsid w:val="00407EAE"/>
    <w:rsid w:val="00410D0D"/>
    <w:rsid w:val="00411B64"/>
    <w:rsid w:val="004156D5"/>
    <w:rsid w:val="00415BA9"/>
    <w:rsid w:val="00415F31"/>
    <w:rsid w:val="0041691D"/>
    <w:rsid w:val="0042000C"/>
    <w:rsid w:val="0042090E"/>
    <w:rsid w:val="00420ED1"/>
    <w:rsid w:val="00421F27"/>
    <w:rsid w:val="00422AFB"/>
    <w:rsid w:val="004238D8"/>
    <w:rsid w:val="00423A77"/>
    <w:rsid w:val="004253F5"/>
    <w:rsid w:val="00425ED7"/>
    <w:rsid w:val="004315B3"/>
    <w:rsid w:val="004324F4"/>
    <w:rsid w:val="00434544"/>
    <w:rsid w:val="00436082"/>
    <w:rsid w:val="0043616F"/>
    <w:rsid w:val="00441F4E"/>
    <w:rsid w:val="0044460C"/>
    <w:rsid w:val="0044585C"/>
    <w:rsid w:val="00445D43"/>
    <w:rsid w:val="00445F1A"/>
    <w:rsid w:val="00446CD2"/>
    <w:rsid w:val="0044713F"/>
    <w:rsid w:val="0045131F"/>
    <w:rsid w:val="004523B2"/>
    <w:rsid w:val="00454A17"/>
    <w:rsid w:val="004566D1"/>
    <w:rsid w:val="0045708C"/>
    <w:rsid w:val="0045777E"/>
    <w:rsid w:val="00460D97"/>
    <w:rsid w:val="00461423"/>
    <w:rsid w:val="00462117"/>
    <w:rsid w:val="0046212C"/>
    <w:rsid w:val="00465258"/>
    <w:rsid w:val="004712F5"/>
    <w:rsid w:val="00471BC6"/>
    <w:rsid w:val="00473362"/>
    <w:rsid w:val="0047407F"/>
    <w:rsid w:val="00474639"/>
    <w:rsid w:val="0047496A"/>
    <w:rsid w:val="00476221"/>
    <w:rsid w:val="004766F5"/>
    <w:rsid w:val="00480B4B"/>
    <w:rsid w:val="004838D8"/>
    <w:rsid w:val="00485A23"/>
    <w:rsid w:val="00485DC4"/>
    <w:rsid w:val="004869F2"/>
    <w:rsid w:val="0049279C"/>
    <w:rsid w:val="00493B29"/>
    <w:rsid w:val="00494D04"/>
    <w:rsid w:val="00495427"/>
    <w:rsid w:val="00496893"/>
    <w:rsid w:val="004A03A9"/>
    <w:rsid w:val="004A0ED0"/>
    <w:rsid w:val="004A1754"/>
    <w:rsid w:val="004A1C67"/>
    <w:rsid w:val="004A23C1"/>
    <w:rsid w:val="004A40BA"/>
    <w:rsid w:val="004A4217"/>
    <w:rsid w:val="004A43D1"/>
    <w:rsid w:val="004A492B"/>
    <w:rsid w:val="004A76B3"/>
    <w:rsid w:val="004B30A2"/>
    <w:rsid w:val="004B4412"/>
    <w:rsid w:val="004B4A53"/>
    <w:rsid w:val="004B4BD8"/>
    <w:rsid w:val="004B6269"/>
    <w:rsid w:val="004B7262"/>
    <w:rsid w:val="004C0650"/>
    <w:rsid w:val="004C19C6"/>
    <w:rsid w:val="004C227C"/>
    <w:rsid w:val="004C248B"/>
    <w:rsid w:val="004C2942"/>
    <w:rsid w:val="004C33B8"/>
    <w:rsid w:val="004C348C"/>
    <w:rsid w:val="004C438C"/>
    <w:rsid w:val="004C462E"/>
    <w:rsid w:val="004C6CA3"/>
    <w:rsid w:val="004C73EB"/>
    <w:rsid w:val="004C7F5E"/>
    <w:rsid w:val="004D343C"/>
    <w:rsid w:val="004D372A"/>
    <w:rsid w:val="004D55BA"/>
    <w:rsid w:val="004D6612"/>
    <w:rsid w:val="004D720C"/>
    <w:rsid w:val="004E0859"/>
    <w:rsid w:val="004E0FA7"/>
    <w:rsid w:val="004E22EC"/>
    <w:rsid w:val="004E3207"/>
    <w:rsid w:val="004F0BFA"/>
    <w:rsid w:val="004F13DA"/>
    <w:rsid w:val="004F2309"/>
    <w:rsid w:val="004F31FA"/>
    <w:rsid w:val="004F4D69"/>
    <w:rsid w:val="004F6883"/>
    <w:rsid w:val="004F6A0E"/>
    <w:rsid w:val="004F6BB3"/>
    <w:rsid w:val="005009CD"/>
    <w:rsid w:val="00502B42"/>
    <w:rsid w:val="00502EF4"/>
    <w:rsid w:val="00504E5F"/>
    <w:rsid w:val="00510A11"/>
    <w:rsid w:val="005111A6"/>
    <w:rsid w:val="0051337E"/>
    <w:rsid w:val="00513FA7"/>
    <w:rsid w:val="00514CB3"/>
    <w:rsid w:val="0051701D"/>
    <w:rsid w:val="0051768F"/>
    <w:rsid w:val="00517B8D"/>
    <w:rsid w:val="00521512"/>
    <w:rsid w:val="00522DC2"/>
    <w:rsid w:val="00530128"/>
    <w:rsid w:val="005323A8"/>
    <w:rsid w:val="00532413"/>
    <w:rsid w:val="00532467"/>
    <w:rsid w:val="00532C2A"/>
    <w:rsid w:val="005332A9"/>
    <w:rsid w:val="0053587F"/>
    <w:rsid w:val="00535E1D"/>
    <w:rsid w:val="0053603C"/>
    <w:rsid w:val="00537871"/>
    <w:rsid w:val="005402BE"/>
    <w:rsid w:val="0054127C"/>
    <w:rsid w:val="00542964"/>
    <w:rsid w:val="00542E97"/>
    <w:rsid w:val="00542FE9"/>
    <w:rsid w:val="0054330B"/>
    <w:rsid w:val="00544598"/>
    <w:rsid w:val="00544C8D"/>
    <w:rsid w:val="00544DFD"/>
    <w:rsid w:val="005474A6"/>
    <w:rsid w:val="00551C88"/>
    <w:rsid w:val="00552880"/>
    <w:rsid w:val="005559C4"/>
    <w:rsid w:val="00556B1E"/>
    <w:rsid w:val="00564A4D"/>
    <w:rsid w:val="005653D1"/>
    <w:rsid w:val="0056598C"/>
    <w:rsid w:val="00566E0B"/>
    <w:rsid w:val="00567BA5"/>
    <w:rsid w:val="00571B35"/>
    <w:rsid w:val="00571B43"/>
    <w:rsid w:val="00571D57"/>
    <w:rsid w:val="005731C6"/>
    <w:rsid w:val="0057338D"/>
    <w:rsid w:val="00573A3B"/>
    <w:rsid w:val="00573F48"/>
    <w:rsid w:val="005767E2"/>
    <w:rsid w:val="0057720B"/>
    <w:rsid w:val="00577716"/>
    <w:rsid w:val="00577A09"/>
    <w:rsid w:val="00577D3B"/>
    <w:rsid w:val="005829C2"/>
    <w:rsid w:val="00583D10"/>
    <w:rsid w:val="00584D8F"/>
    <w:rsid w:val="00587A18"/>
    <w:rsid w:val="00587ADE"/>
    <w:rsid w:val="00590E6E"/>
    <w:rsid w:val="00591E38"/>
    <w:rsid w:val="00593800"/>
    <w:rsid w:val="00593CC2"/>
    <w:rsid w:val="0059630B"/>
    <w:rsid w:val="005A0BEC"/>
    <w:rsid w:val="005A3A51"/>
    <w:rsid w:val="005A404D"/>
    <w:rsid w:val="005A5EE4"/>
    <w:rsid w:val="005B10F9"/>
    <w:rsid w:val="005B1E3C"/>
    <w:rsid w:val="005B6518"/>
    <w:rsid w:val="005B6DF2"/>
    <w:rsid w:val="005B704A"/>
    <w:rsid w:val="005B72D7"/>
    <w:rsid w:val="005C045F"/>
    <w:rsid w:val="005C0CB3"/>
    <w:rsid w:val="005C16FE"/>
    <w:rsid w:val="005C1FAB"/>
    <w:rsid w:val="005C21A4"/>
    <w:rsid w:val="005C26CC"/>
    <w:rsid w:val="005C3BB0"/>
    <w:rsid w:val="005C418D"/>
    <w:rsid w:val="005C4463"/>
    <w:rsid w:val="005C5BBE"/>
    <w:rsid w:val="005D2062"/>
    <w:rsid w:val="005D3D88"/>
    <w:rsid w:val="005D420C"/>
    <w:rsid w:val="005D4692"/>
    <w:rsid w:val="005D48C4"/>
    <w:rsid w:val="005D515C"/>
    <w:rsid w:val="005D5B9A"/>
    <w:rsid w:val="005D6208"/>
    <w:rsid w:val="005D6366"/>
    <w:rsid w:val="005D7BA2"/>
    <w:rsid w:val="005E36C2"/>
    <w:rsid w:val="005E4926"/>
    <w:rsid w:val="005E4AF4"/>
    <w:rsid w:val="005F3044"/>
    <w:rsid w:val="005F3608"/>
    <w:rsid w:val="005F387E"/>
    <w:rsid w:val="005F519F"/>
    <w:rsid w:val="006018C8"/>
    <w:rsid w:val="00601E0B"/>
    <w:rsid w:val="0060249C"/>
    <w:rsid w:val="0060258B"/>
    <w:rsid w:val="00610C32"/>
    <w:rsid w:val="00610EF9"/>
    <w:rsid w:val="00612998"/>
    <w:rsid w:val="00612F4F"/>
    <w:rsid w:val="006142D1"/>
    <w:rsid w:val="00614EA0"/>
    <w:rsid w:val="00615C6B"/>
    <w:rsid w:val="00617977"/>
    <w:rsid w:val="00617D4C"/>
    <w:rsid w:val="00621DCE"/>
    <w:rsid w:val="00621FC5"/>
    <w:rsid w:val="0062424C"/>
    <w:rsid w:val="00624F2C"/>
    <w:rsid w:val="006263EC"/>
    <w:rsid w:val="00627A0C"/>
    <w:rsid w:val="00627CED"/>
    <w:rsid w:val="00630DAC"/>
    <w:rsid w:val="00632D6D"/>
    <w:rsid w:val="00632EBA"/>
    <w:rsid w:val="006342E4"/>
    <w:rsid w:val="006345BA"/>
    <w:rsid w:val="006349D6"/>
    <w:rsid w:val="00636569"/>
    <w:rsid w:val="00636BCF"/>
    <w:rsid w:val="00636EF9"/>
    <w:rsid w:val="0064256F"/>
    <w:rsid w:val="00642C3E"/>
    <w:rsid w:val="00643203"/>
    <w:rsid w:val="00644A01"/>
    <w:rsid w:val="0064544D"/>
    <w:rsid w:val="00650E42"/>
    <w:rsid w:val="00651014"/>
    <w:rsid w:val="00651E2D"/>
    <w:rsid w:val="00652324"/>
    <w:rsid w:val="00654763"/>
    <w:rsid w:val="00655C19"/>
    <w:rsid w:val="00656A81"/>
    <w:rsid w:val="006577FB"/>
    <w:rsid w:val="0066104A"/>
    <w:rsid w:val="006619BD"/>
    <w:rsid w:val="00663066"/>
    <w:rsid w:val="00663DAD"/>
    <w:rsid w:val="00664206"/>
    <w:rsid w:val="006649E7"/>
    <w:rsid w:val="00666634"/>
    <w:rsid w:val="00671692"/>
    <w:rsid w:val="00675E20"/>
    <w:rsid w:val="00676679"/>
    <w:rsid w:val="0068099B"/>
    <w:rsid w:val="00681894"/>
    <w:rsid w:val="006838C2"/>
    <w:rsid w:val="00683C89"/>
    <w:rsid w:val="0068649D"/>
    <w:rsid w:val="00691B53"/>
    <w:rsid w:val="006924C9"/>
    <w:rsid w:val="006924FA"/>
    <w:rsid w:val="00694092"/>
    <w:rsid w:val="00695FDE"/>
    <w:rsid w:val="00697D0B"/>
    <w:rsid w:val="006A0CC4"/>
    <w:rsid w:val="006A12BA"/>
    <w:rsid w:val="006A4209"/>
    <w:rsid w:val="006A4739"/>
    <w:rsid w:val="006A66A1"/>
    <w:rsid w:val="006B032D"/>
    <w:rsid w:val="006B0439"/>
    <w:rsid w:val="006B19B8"/>
    <w:rsid w:val="006B2395"/>
    <w:rsid w:val="006B40AC"/>
    <w:rsid w:val="006B4CF9"/>
    <w:rsid w:val="006B62A4"/>
    <w:rsid w:val="006B797C"/>
    <w:rsid w:val="006B7AC8"/>
    <w:rsid w:val="006C0580"/>
    <w:rsid w:val="006C1736"/>
    <w:rsid w:val="006C2D76"/>
    <w:rsid w:val="006C2F54"/>
    <w:rsid w:val="006C329B"/>
    <w:rsid w:val="006C5032"/>
    <w:rsid w:val="006C6303"/>
    <w:rsid w:val="006C7F40"/>
    <w:rsid w:val="006D1C8A"/>
    <w:rsid w:val="006D37FC"/>
    <w:rsid w:val="006D550F"/>
    <w:rsid w:val="006D5F36"/>
    <w:rsid w:val="006D6146"/>
    <w:rsid w:val="006D6FE2"/>
    <w:rsid w:val="006D72D2"/>
    <w:rsid w:val="006D7F7E"/>
    <w:rsid w:val="006E0CFF"/>
    <w:rsid w:val="006E4CE2"/>
    <w:rsid w:val="006F0D92"/>
    <w:rsid w:val="006F267D"/>
    <w:rsid w:val="006F2E28"/>
    <w:rsid w:val="006F3E74"/>
    <w:rsid w:val="006F48D7"/>
    <w:rsid w:val="006F5C59"/>
    <w:rsid w:val="006F66F0"/>
    <w:rsid w:val="0070011E"/>
    <w:rsid w:val="007001D3"/>
    <w:rsid w:val="00701009"/>
    <w:rsid w:val="00701CAB"/>
    <w:rsid w:val="007023BB"/>
    <w:rsid w:val="00702B30"/>
    <w:rsid w:val="00702BF5"/>
    <w:rsid w:val="00704B63"/>
    <w:rsid w:val="00704DD7"/>
    <w:rsid w:val="007057F3"/>
    <w:rsid w:val="00705837"/>
    <w:rsid w:val="00706D39"/>
    <w:rsid w:val="00707563"/>
    <w:rsid w:val="00712B23"/>
    <w:rsid w:val="007130D2"/>
    <w:rsid w:val="00713987"/>
    <w:rsid w:val="0071399F"/>
    <w:rsid w:val="0071556E"/>
    <w:rsid w:val="00715F61"/>
    <w:rsid w:val="00722132"/>
    <w:rsid w:val="007228F7"/>
    <w:rsid w:val="0072348C"/>
    <w:rsid w:val="00723A2C"/>
    <w:rsid w:val="00723CDC"/>
    <w:rsid w:val="00724A37"/>
    <w:rsid w:val="0072705A"/>
    <w:rsid w:val="007277EC"/>
    <w:rsid w:val="007303C3"/>
    <w:rsid w:val="00731188"/>
    <w:rsid w:val="007325D7"/>
    <w:rsid w:val="00733E28"/>
    <w:rsid w:val="007356CC"/>
    <w:rsid w:val="007362E6"/>
    <w:rsid w:val="00736682"/>
    <w:rsid w:val="007368E6"/>
    <w:rsid w:val="007375DF"/>
    <w:rsid w:val="00741AE7"/>
    <w:rsid w:val="00741CA9"/>
    <w:rsid w:val="007429BE"/>
    <w:rsid w:val="00743223"/>
    <w:rsid w:val="00743349"/>
    <w:rsid w:val="0074403A"/>
    <w:rsid w:val="00744AC9"/>
    <w:rsid w:val="00746E01"/>
    <w:rsid w:val="007477B7"/>
    <w:rsid w:val="00751DCD"/>
    <w:rsid w:val="00755084"/>
    <w:rsid w:val="007554DB"/>
    <w:rsid w:val="00756BF5"/>
    <w:rsid w:val="00757364"/>
    <w:rsid w:val="00757A77"/>
    <w:rsid w:val="00757BDF"/>
    <w:rsid w:val="00757D1F"/>
    <w:rsid w:val="007609D0"/>
    <w:rsid w:val="00761454"/>
    <w:rsid w:val="0076193D"/>
    <w:rsid w:val="00763869"/>
    <w:rsid w:val="00763E5D"/>
    <w:rsid w:val="00767740"/>
    <w:rsid w:val="00767B5E"/>
    <w:rsid w:val="00770064"/>
    <w:rsid w:val="00771E1D"/>
    <w:rsid w:val="00772CCB"/>
    <w:rsid w:val="00775460"/>
    <w:rsid w:val="00777EE6"/>
    <w:rsid w:val="00780D19"/>
    <w:rsid w:val="00782EEA"/>
    <w:rsid w:val="00784BA1"/>
    <w:rsid w:val="00786CA4"/>
    <w:rsid w:val="00790305"/>
    <w:rsid w:val="007909B4"/>
    <w:rsid w:val="00790E86"/>
    <w:rsid w:val="00790EAC"/>
    <w:rsid w:val="00791A99"/>
    <w:rsid w:val="0079335B"/>
    <w:rsid w:val="00793CED"/>
    <w:rsid w:val="007949D7"/>
    <w:rsid w:val="00794EAF"/>
    <w:rsid w:val="0079769A"/>
    <w:rsid w:val="007A0143"/>
    <w:rsid w:val="007A34C2"/>
    <w:rsid w:val="007A396C"/>
    <w:rsid w:val="007A4B02"/>
    <w:rsid w:val="007A7BEB"/>
    <w:rsid w:val="007A7DB1"/>
    <w:rsid w:val="007B0BE3"/>
    <w:rsid w:val="007B1816"/>
    <w:rsid w:val="007B186E"/>
    <w:rsid w:val="007B25DC"/>
    <w:rsid w:val="007B2A46"/>
    <w:rsid w:val="007B2C72"/>
    <w:rsid w:val="007B376B"/>
    <w:rsid w:val="007B3789"/>
    <w:rsid w:val="007B5AA9"/>
    <w:rsid w:val="007B651F"/>
    <w:rsid w:val="007B65AB"/>
    <w:rsid w:val="007B7BB5"/>
    <w:rsid w:val="007C1C53"/>
    <w:rsid w:val="007C284C"/>
    <w:rsid w:val="007C4033"/>
    <w:rsid w:val="007C4B82"/>
    <w:rsid w:val="007C74BB"/>
    <w:rsid w:val="007C7F64"/>
    <w:rsid w:val="007D0A95"/>
    <w:rsid w:val="007D0BA5"/>
    <w:rsid w:val="007D0EB5"/>
    <w:rsid w:val="007D2478"/>
    <w:rsid w:val="007D2807"/>
    <w:rsid w:val="007D2BB1"/>
    <w:rsid w:val="007D2DEE"/>
    <w:rsid w:val="007D3938"/>
    <w:rsid w:val="007D456E"/>
    <w:rsid w:val="007D504D"/>
    <w:rsid w:val="007D5837"/>
    <w:rsid w:val="007D5B8E"/>
    <w:rsid w:val="007E1C6D"/>
    <w:rsid w:val="007E24FC"/>
    <w:rsid w:val="007E4904"/>
    <w:rsid w:val="007E4B3F"/>
    <w:rsid w:val="007E4CB5"/>
    <w:rsid w:val="007E4DAE"/>
    <w:rsid w:val="007F066B"/>
    <w:rsid w:val="007F28CC"/>
    <w:rsid w:val="007F3196"/>
    <w:rsid w:val="007F438A"/>
    <w:rsid w:val="007F4EAB"/>
    <w:rsid w:val="007F541E"/>
    <w:rsid w:val="007F5B16"/>
    <w:rsid w:val="007F7C9D"/>
    <w:rsid w:val="00801D92"/>
    <w:rsid w:val="008033C4"/>
    <w:rsid w:val="00806731"/>
    <w:rsid w:val="00806C88"/>
    <w:rsid w:val="0081034E"/>
    <w:rsid w:val="00810806"/>
    <w:rsid w:val="00811E6C"/>
    <w:rsid w:val="00814A31"/>
    <w:rsid w:val="00815882"/>
    <w:rsid w:val="008176FB"/>
    <w:rsid w:val="00820454"/>
    <w:rsid w:val="008213FA"/>
    <w:rsid w:val="00822AC7"/>
    <w:rsid w:val="00822E86"/>
    <w:rsid w:val="008261D7"/>
    <w:rsid w:val="008344F6"/>
    <w:rsid w:val="0083510F"/>
    <w:rsid w:val="008378DC"/>
    <w:rsid w:val="00837BF3"/>
    <w:rsid w:val="008415DE"/>
    <w:rsid w:val="008420DE"/>
    <w:rsid w:val="00844E0F"/>
    <w:rsid w:val="0084540D"/>
    <w:rsid w:val="00845865"/>
    <w:rsid w:val="00847709"/>
    <w:rsid w:val="0084799B"/>
    <w:rsid w:val="00850C90"/>
    <w:rsid w:val="00851209"/>
    <w:rsid w:val="0085171F"/>
    <w:rsid w:val="008518CD"/>
    <w:rsid w:val="00851DF7"/>
    <w:rsid w:val="00853A5A"/>
    <w:rsid w:val="00854D8D"/>
    <w:rsid w:val="00856A93"/>
    <w:rsid w:val="00862E8A"/>
    <w:rsid w:val="008658A1"/>
    <w:rsid w:val="008658FE"/>
    <w:rsid w:val="0086716A"/>
    <w:rsid w:val="008677BB"/>
    <w:rsid w:val="00870058"/>
    <w:rsid w:val="00870613"/>
    <w:rsid w:val="00871A8A"/>
    <w:rsid w:val="0087380F"/>
    <w:rsid w:val="008745F0"/>
    <w:rsid w:val="00875221"/>
    <w:rsid w:val="00875767"/>
    <w:rsid w:val="008759B1"/>
    <w:rsid w:val="0087648F"/>
    <w:rsid w:val="00876612"/>
    <w:rsid w:val="0087718C"/>
    <w:rsid w:val="008808D0"/>
    <w:rsid w:val="00880C29"/>
    <w:rsid w:val="00882BB1"/>
    <w:rsid w:val="008837AC"/>
    <w:rsid w:val="00883ACE"/>
    <w:rsid w:val="00885700"/>
    <w:rsid w:val="008861A8"/>
    <w:rsid w:val="00886A0C"/>
    <w:rsid w:val="00887581"/>
    <w:rsid w:val="00887CCF"/>
    <w:rsid w:val="008909DC"/>
    <w:rsid w:val="008916AE"/>
    <w:rsid w:val="00892179"/>
    <w:rsid w:val="00894255"/>
    <w:rsid w:val="008945AD"/>
    <w:rsid w:val="008A0645"/>
    <w:rsid w:val="008A08AA"/>
    <w:rsid w:val="008A1935"/>
    <w:rsid w:val="008A1C02"/>
    <w:rsid w:val="008A1D0E"/>
    <w:rsid w:val="008A370D"/>
    <w:rsid w:val="008A3AB7"/>
    <w:rsid w:val="008A4DE4"/>
    <w:rsid w:val="008A587D"/>
    <w:rsid w:val="008A7D1D"/>
    <w:rsid w:val="008B16B0"/>
    <w:rsid w:val="008B1BD5"/>
    <w:rsid w:val="008B28F1"/>
    <w:rsid w:val="008B35CD"/>
    <w:rsid w:val="008B4093"/>
    <w:rsid w:val="008B5BB2"/>
    <w:rsid w:val="008B5EAB"/>
    <w:rsid w:val="008B5FCC"/>
    <w:rsid w:val="008B62F6"/>
    <w:rsid w:val="008B685E"/>
    <w:rsid w:val="008B6D48"/>
    <w:rsid w:val="008B7CDE"/>
    <w:rsid w:val="008B7F36"/>
    <w:rsid w:val="008C05DC"/>
    <w:rsid w:val="008C0DE8"/>
    <w:rsid w:val="008C1864"/>
    <w:rsid w:val="008C1866"/>
    <w:rsid w:val="008C1A70"/>
    <w:rsid w:val="008C357F"/>
    <w:rsid w:val="008C5486"/>
    <w:rsid w:val="008C7D6F"/>
    <w:rsid w:val="008C7F37"/>
    <w:rsid w:val="008D1661"/>
    <w:rsid w:val="008D1E30"/>
    <w:rsid w:val="008D27E0"/>
    <w:rsid w:val="008D2A72"/>
    <w:rsid w:val="008D5F90"/>
    <w:rsid w:val="008D6800"/>
    <w:rsid w:val="008D72F1"/>
    <w:rsid w:val="008E097E"/>
    <w:rsid w:val="008E1691"/>
    <w:rsid w:val="008E21A8"/>
    <w:rsid w:val="008E267F"/>
    <w:rsid w:val="008E2F38"/>
    <w:rsid w:val="008E4089"/>
    <w:rsid w:val="008E5AFF"/>
    <w:rsid w:val="008E7031"/>
    <w:rsid w:val="008E77DE"/>
    <w:rsid w:val="008E7B0A"/>
    <w:rsid w:val="008F040C"/>
    <w:rsid w:val="008F07A3"/>
    <w:rsid w:val="008F3322"/>
    <w:rsid w:val="008F3519"/>
    <w:rsid w:val="008F3A0D"/>
    <w:rsid w:val="008F4400"/>
    <w:rsid w:val="008F5A6E"/>
    <w:rsid w:val="009001B6"/>
    <w:rsid w:val="00900E1B"/>
    <w:rsid w:val="0090131F"/>
    <w:rsid w:val="00904C4B"/>
    <w:rsid w:val="00905BDB"/>
    <w:rsid w:val="00907683"/>
    <w:rsid w:val="009132B7"/>
    <w:rsid w:val="0091406D"/>
    <w:rsid w:val="0091415B"/>
    <w:rsid w:val="00916A2C"/>
    <w:rsid w:val="00921E66"/>
    <w:rsid w:val="009233EE"/>
    <w:rsid w:val="00926D14"/>
    <w:rsid w:val="00930B1A"/>
    <w:rsid w:val="00932612"/>
    <w:rsid w:val="009327DC"/>
    <w:rsid w:val="009338D9"/>
    <w:rsid w:val="009339BD"/>
    <w:rsid w:val="00934BC2"/>
    <w:rsid w:val="009356CF"/>
    <w:rsid w:val="00940374"/>
    <w:rsid w:val="00940EA4"/>
    <w:rsid w:val="009410CD"/>
    <w:rsid w:val="00945E53"/>
    <w:rsid w:val="0094606B"/>
    <w:rsid w:val="009460AA"/>
    <w:rsid w:val="00946CB5"/>
    <w:rsid w:val="00950890"/>
    <w:rsid w:val="00951978"/>
    <w:rsid w:val="00951C84"/>
    <w:rsid w:val="00952C8B"/>
    <w:rsid w:val="009554DB"/>
    <w:rsid w:val="00956689"/>
    <w:rsid w:val="009601BF"/>
    <w:rsid w:val="00961A4A"/>
    <w:rsid w:val="009661DE"/>
    <w:rsid w:val="009668F2"/>
    <w:rsid w:val="00966C53"/>
    <w:rsid w:val="009703BB"/>
    <w:rsid w:val="00971706"/>
    <w:rsid w:val="00972C7C"/>
    <w:rsid w:val="009765EF"/>
    <w:rsid w:val="009776F4"/>
    <w:rsid w:val="00982545"/>
    <w:rsid w:val="00982DA2"/>
    <w:rsid w:val="00983C25"/>
    <w:rsid w:val="00983D06"/>
    <w:rsid w:val="0098466D"/>
    <w:rsid w:val="009856B7"/>
    <w:rsid w:val="009859D6"/>
    <w:rsid w:val="00985C86"/>
    <w:rsid w:val="00986189"/>
    <w:rsid w:val="00990939"/>
    <w:rsid w:val="00995A4E"/>
    <w:rsid w:val="009968B7"/>
    <w:rsid w:val="009A28A1"/>
    <w:rsid w:val="009A4A25"/>
    <w:rsid w:val="009A5BCB"/>
    <w:rsid w:val="009A5FC3"/>
    <w:rsid w:val="009B6F84"/>
    <w:rsid w:val="009B74B0"/>
    <w:rsid w:val="009C0152"/>
    <w:rsid w:val="009C1A74"/>
    <w:rsid w:val="009C2407"/>
    <w:rsid w:val="009C27B1"/>
    <w:rsid w:val="009C3D42"/>
    <w:rsid w:val="009C44CE"/>
    <w:rsid w:val="009C491E"/>
    <w:rsid w:val="009C523F"/>
    <w:rsid w:val="009C7307"/>
    <w:rsid w:val="009D0DF1"/>
    <w:rsid w:val="009D22D6"/>
    <w:rsid w:val="009D2C84"/>
    <w:rsid w:val="009D3906"/>
    <w:rsid w:val="009D3AB4"/>
    <w:rsid w:val="009D53BE"/>
    <w:rsid w:val="009D5E35"/>
    <w:rsid w:val="009D6B46"/>
    <w:rsid w:val="009E35B6"/>
    <w:rsid w:val="009E5988"/>
    <w:rsid w:val="009E5ABC"/>
    <w:rsid w:val="009E6CA1"/>
    <w:rsid w:val="009F2715"/>
    <w:rsid w:val="009F3BBA"/>
    <w:rsid w:val="009F43B4"/>
    <w:rsid w:val="009F490E"/>
    <w:rsid w:val="009F4940"/>
    <w:rsid w:val="009F501B"/>
    <w:rsid w:val="009F5BA1"/>
    <w:rsid w:val="009F631B"/>
    <w:rsid w:val="009F7393"/>
    <w:rsid w:val="00A003D4"/>
    <w:rsid w:val="00A02A88"/>
    <w:rsid w:val="00A04012"/>
    <w:rsid w:val="00A046FA"/>
    <w:rsid w:val="00A0562E"/>
    <w:rsid w:val="00A06CCA"/>
    <w:rsid w:val="00A0726D"/>
    <w:rsid w:val="00A073AE"/>
    <w:rsid w:val="00A07580"/>
    <w:rsid w:val="00A12204"/>
    <w:rsid w:val="00A12750"/>
    <w:rsid w:val="00A13CB0"/>
    <w:rsid w:val="00A14CE9"/>
    <w:rsid w:val="00A1561F"/>
    <w:rsid w:val="00A16544"/>
    <w:rsid w:val="00A20E74"/>
    <w:rsid w:val="00A21A30"/>
    <w:rsid w:val="00A230AB"/>
    <w:rsid w:val="00A244EE"/>
    <w:rsid w:val="00A25CFD"/>
    <w:rsid w:val="00A30BF5"/>
    <w:rsid w:val="00A31A9C"/>
    <w:rsid w:val="00A31BE6"/>
    <w:rsid w:val="00A32FBB"/>
    <w:rsid w:val="00A33138"/>
    <w:rsid w:val="00A33A3A"/>
    <w:rsid w:val="00A35982"/>
    <w:rsid w:val="00A40068"/>
    <w:rsid w:val="00A4090F"/>
    <w:rsid w:val="00A40BE9"/>
    <w:rsid w:val="00A41D10"/>
    <w:rsid w:val="00A428EE"/>
    <w:rsid w:val="00A443C2"/>
    <w:rsid w:val="00A4478A"/>
    <w:rsid w:val="00A44852"/>
    <w:rsid w:val="00A44BBF"/>
    <w:rsid w:val="00A47919"/>
    <w:rsid w:val="00A47B16"/>
    <w:rsid w:val="00A50502"/>
    <w:rsid w:val="00A5087B"/>
    <w:rsid w:val="00A52080"/>
    <w:rsid w:val="00A53409"/>
    <w:rsid w:val="00A53796"/>
    <w:rsid w:val="00A53848"/>
    <w:rsid w:val="00A53B31"/>
    <w:rsid w:val="00A56945"/>
    <w:rsid w:val="00A56A6E"/>
    <w:rsid w:val="00A57D04"/>
    <w:rsid w:val="00A60A26"/>
    <w:rsid w:val="00A60D01"/>
    <w:rsid w:val="00A61598"/>
    <w:rsid w:val="00A61777"/>
    <w:rsid w:val="00A61E7E"/>
    <w:rsid w:val="00A62D30"/>
    <w:rsid w:val="00A630D6"/>
    <w:rsid w:val="00A63646"/>
    <w:rsid w:val="00A63914"/>
    <w:rsid w:val="00A63B21"/>
    <w:rsid w:val="00A65184"/>
    <w:rsid w:val="00A662AF"/>
    <w:rsid w:val="00A72591"/>
    <w:rsid w:val="00A7346B"/>
    <w:rsid w:val="00A739F7"/>
    <w:rsid w:val="00A73B59"/>
    <w:rsid w:val="00A84A99"/>
    <w:rsid w:val="00A84F46"/>
    <w:rsid w:val="00A8521C"/>
    <w:rsid w:val="00A85E87"/>
    <w:rsid w:val="00A86AEA"/>
    <w:rsid w:val="00A871F4"/>
    <w:rsid w:val="00A94085"/>
    <w:rsid w:val="00A9431A"/>
    <w:rsid w:val="00A95988"/>
    <w:rsid w:val="00A959DF"/>
    <w:rsid w:val="00A95B41"/>
    <w:rsid w:val="00A97A1B"/>
    <w:rsid w:val="00AA0CF7"/>
    <w:rsid w:val="00AA15BF"/>
    <w:rsid w:val="00AA2927"/>
    <w:rsid w:val="00AA4EE9"/>
    <w:rsid w:val="00AA5AB2"/>
    <w:rsid w:val="00AA60B9"/>
    <w:rsid w:val="00AA7240"/>
    <w:rsid w:val="00AB0C0F"/>
    <w:rsid w:val="00AB1C04"/>
    <w:rsid w:val="00AB251A"/>
    <w:rsid w:val="00AB2CB8"/>
    <w:rsid w:val="00AB2F66"/>
    <w:rsid w:val="00AB2F81"/>
    <w:rsid w:val="00AB4160"/>
    <w:rsid w:val="00AB4617"/>
    <w:rsid w:val="00AC0DFE"/>
    <w:rsid w:val="00AC1B2C"/>
    <w:rsid w:val="00AC3264"/>
    <w:rsid w:val="00AC46AD"/>
    <w:rsid w:val="00AC4998"/>
    <w:rsid w:val="00AC4D2D"/>
    <w:rsid w:val="00AC58EC"/>
    <w:rsid w:val="00AC5D00"/>
    <w:rsid w:val="00AC7282"/>
    <w:rsid w:val="00AC7961"/>
    <w:rsid w:val="00AC7E81"/>
    <w:rsid w:val="00AD0201"/>
    <w:rsid w:val="00AD0F84"/>
    <w:rsid w:val="00AD1BEB"/>
    <w:rsid w:val="00AD222E"/>
    <w:rsid w:val="00AD314E"/>
    <w:rsid w:val="00AD416B"/>
    <w:rsid w:val="00AD5FCD"/>
    <w:rsid w:val="00AD6B48"/>
    <w:rsid w:val="00AD79A5"/>
    <w:rsid w:val="00AD7A3A"/>
    <w:rsid w:val="00AD7D63"/>
    <w:rsid w:val="00AE1BF1"/>
    <w:rsid w:val="00AE23AB"/>
    <w:rsid w:val="00AE48CF"/>
    <w:rsid w:val="00AE4F7A"/>
    <w:rsid w:val="00AE58FB"/>
    <w:rsid w:val="00AE5AF0"/>
    <w:rsid w:val="00AE663D"/>
    <w:rsid w:val="00AE73B3"/>
    <w:rsid w:val="00AF07E7"/>
    <w:rsid w:val="00AF0DD2"/>
    <w:rsid w:val="00AF2A7E"/>
    <w:rsid w:val="00AF31E1"/>
    <w:rsid w:val="00AF3BBA"/>
    <w:rsid w:val="00AF4231"/>
    <w:rsid w:val="00AF4DEA"/>
    <w:rsid w:val="00AF5A08"/>
    <w:rsid w:val="00AF71E5"/>
    <w:rsid w:val="00B0033F"/>
    <w:rsid w:val="00B00B0E"/>
    <w:rsid w:val="00B00B26"/>
    <w:rsid w:val="00B01589"/>
    <w:rsid w:val="00B01F77"/>
    <w:rsid w:val="00B02385"/>
    <w:rsid w:val="00B02F9D"/>
    <w:rsid w:val="00B04C8E"/>
    <w:rsid w:val="00B05766"/>
    <w:rsid w:val="00B13048"/>
    <w:rsid w:val="00B13883"/>
    <w:rsid w:val="00B138C5"/>
    <w:rsid w:val="00B14116"/>
    <w:rsid w:val="00B1438B"/>
    <w:rsid w:val="00B144C4"/>
    <w:rsid w:val="00B160D0"/>
    <w:rsid w:val="00B1716D"/>
    <w:rsid w:val="00B17A1D"/>
    <w:rsid w:val="00B207A0"/>
    <w:rsid w:val="00B21C21"/>
    <w:rsid w:val="00B22F54"/>
    <w:rsid w:val="00B24A7E"/>
    <w:rsid w:val="00B24B02"/>
    <w:rsid w:val="00B25C0C"/>
    <w:rsid w:val="00B27F61"/>
    <w:rsid w:val="00B304B5"/>
    <w:rsid w:val="00B308A9"/>
    <w:rsid w:val="00B31047"/>
    <w:rsid w:val="00B328F2"/>
    <w:rsid w:val="00B33148"/>
    <w:rsid w:val="00B33BA8"/>
    <w:rsid w:val="00B35352"/>
    <w:rsid w:val="00B35CDF"/>
    <w:rsid w:val="00B36A00"/>
    <w:rsid w:val="00B36B2C"/>
    <w:rsid w:val="00B403C2"/>
    <w:rsid w:val="00B405A1"/>
    <w:rsid w:val="00B4184C"/>
    <w:rsid w:val="00B439A2"/>
    <w:rsid w:val="00B4438A"/>
    <w:rsid w:val="00B4449A"/>
    <w:rsid w:val="00B45AA2"/>
    <w:rsid w:val="00B45E00"/>
    <w:rsid w:val="00B46601"/>
    <w:rsid w:val="00B479CA"/>
    <w:rsid w:val="00B5084F"/>
    <w:rsid w:val="00B50B10"/>
    <w:rsid w:val="00B514DD"/>
    <w:rsid w:val="00B52AF0"/>
    <w:rsid w:val="00B53D5F"/>
    <w:rsid w:val="00B54051"/>
    <w:rsid w:val="00B561BD"/>
    <w:rsid w:val="00B56E03"/>
    <w:rsid w:val="00B6154B"/>
    <w:rsid w:val="00B62765"/>
    <w:rsid w:val="00B634C6"/>
    <w:rsid w:val="00B6544B"/>
    <w:rsid w:val="00B65772"/>
    <w:rsid w:val="00B65DF5"/>
    <w:rsid w:val="00B67CD2"/>
    <w:rsid w:val="00B74636"/>
    <w:rsid w:val="00B7472C"/>
    <w:rsid w:val="00B75176"/>
    <w:rsid w:val="00B7679F"/>
    <w:rsid w:val="00B77159"/>
    <w:rsid w:val="00B80020"/>
    <w:rsid w:val="00B8080B"/>
    <w:rsid w:val="00B81B8D"/>
    <w:rsid w:val="00B82223"/>
    <w:rsid w:val="00B83063"/>
    <w:rsid w:val="00B85421"/>
    <w:rsid w:val="00B861D2"/>
    <w:rsid w:val="00B87BA5"/>
    <w:rsid w:val="00B87C39"/>
    <w:rsid w:val="00B91A85"/>
    <w:rsid w:val="00B93891"/>
    <w:rsid w:val="00B9562D"/>
    <w:rsid w:val="00BA0216"/>
    <w:rsid w:val="00BA21DA"/>
    <w:rsid w:val="00BA2B60"/>
    <w:rsid w:val="00BA3C93"/>
    <w:rsid w:val="00BA40E1"/>
    <w:rsid w:val="00BA42B8"/>
    <w:rsid w:val="00BA4665"/>
    <w:rsid w:val="00BA56F9"/>
    <w:rsid w:val="00BA6601"/>
    <w:rsid w:val="00BA7FD7"/>
    <w:rsid w:val="00BB0814"/>
    <w:rsid w:val="00BB1681"/>
    <w:rsid w:val="00BB2A63"/>
    <w:rsid w:val="00BB2FB2"/>
    <w:rsid w:val="00BB3304"/>
    <w:rsid w:val="00BB3667"/>
    <w:rsid w:val="00BB421B"/>
    <w:rsid w:val="00BB6551"/>
    <w:rsid w:val="00BC0BCC"/>
    <w:rsid w:val="00BC26C5"/>
    <w:rsid w:val="00BC4A10"/>
    <w:rsid w:val="00BC5127"/>
    <w:rsid w:val="00BC6B92"/>
    <w:rsid w:val="00BD06BD"/>
    <w:rsid w:val="00BD17F5"/>
    <w:rsid w:val="00BD27D5"/>
    <w:rsid w:val="00BD30F4"/>
    <w:rsid w:val="00BD3156"/>
    <w:rsid w:val="00BD3446"/>
    <w:rsid w:val="00BD59CF"/>
    <w:rsid w:val="00BD59DC"/>
    <w:rsid w:val="00BE027C"/>
    <w:rsid w:val="00BE1312"/>
    <w:rsid w:val="00BE1F1B"/>
    <w:rsid w:val="00BE3F89"/>
    <w:rsid w:val="00BE47B5"/>
    <w:rsid w:val="00BE5FCE"/>
    <w:rsid w:val="00BF2098"/>
    <w:rsid w:val="00BF2417"/>
    <w:rsid w:val="00BF2FEB"/>
    <w:rsid w:val="00BF5528"/>
    <w:rsid w:val="00BF79F9"/>
    <w:rsid w:val="00C0079E"/>
    <w:rsid w:val="00C01595"/>
    <w:rsid w:val="00C0363E"/>
    <w:rsid w:val="00C0572A"/>
    <w:rsid w:val="00C06CD6"/>
    <w:rsid w:val="00C1039F"/>
    <w:rsid w:val="00C10B14"/>
    <w:rsid w:val="00C11BCA"/>
    <w:rsid w:val="00C13EBD"/>
    <w:rsid w:val="00C157BA"/>
    <w:rsid w:val="00C15FB5"/>
    <w:rsid w:val="00C1631B"/>
    <w:rsid w:val="00C163AB"/>
    <w:rsid w:val="00C16641"/>
    <w:rsid w:val="00C170F0"/>
    <w:rsid w:val="00C22BD3"/>
    <w:rsid w:val="00C239EF"/>
    <w:rsid w:val="00C23B0C"/>
    <w:rsid w:val="00C256A8"/>
    <w:rsid w:val="00C25962"/>
    <w:rsid w:val="00C25FA6"/>
    <w:rsid w:val="00C2754A"/>
    <w:rsid w:val="00C27F2E"/>
    <w:rsid w:val="00C3099D"/>
    <w:rsid w:val="00C31898"/>
    <w:rsid w:val="00C32A95"/>
    <w:rsid w:val="00C33011"/>
    <w:rsid w:val="00C362C1"/>
    <w:rsid w:val="00C36F65"/>
    <w:rsid w:val="00C40F99"/>
    <w:rsid w:val="00C41950"/>
    <w:rsid w:val="00C41E21"/>
    <w:rsid w:val="00C42C3B"/>
    <w:rsid w:val="00C51672"/>
    <w:rsid w:val="00C538A9"/>
    <w:rsid w:val="00C53B5A"/>
    <w:rsid w:val="00C53CB4"/>
    <w:rsid w:val="00C53E41"/>
    <w:rsid w:val="00C54909"/>
    <w:rsid w:val="00C54AF3"/>
    <w:rsid w:val="00C54F5A"/>
    <w:rsid w:val="00C569B4"/>
    <w:rsid w:val="00C57DDE"/>
    <w:rsid w:val="00C60FC5"/>
    <w:rsid w:val="00C61468"/>
    <w:rsid w:val="00C61A97"/>
    <w:rsid w:val="00C61E44"/>
    <w:rsid w:val="00C62AD4"/>
    <w:rsid w:val="00C63403"/>
    <w:rsid w:val="00C64FF3"/>
    <w:rsid w:val="00C65192"/>
    <w:rsid w:val="00C65E32"/>
    <w:rsid w:val="00C662AD"/>
    <w:rsid w:val="00C66798"/>
    <w:rsid w:val="00C66A32"/>
    <w:rsid w:val="00C67A92"/>
    <w:rsid w:val="00C67EB1"/>
    <w:rsid w:val="00C71280"/>
    <w:rsid w:val="00C717BF"/>
    <w:rsid w:val="00C71D03"/>
    <w:rsid w:val="00C72807"/>
    <w:rsid w:val="00C76178"/>
    <w:rsid w:val="00C84560"/>
    <w:rsid w:val="00C84E24"/>
    <w:rsid w:val="00C86679"/>
    <w:rsid w:val="00C86AD7"/>
    <w:rsid w:val="00C8792F"/>
    <w:rsid w:val="00C87F0D"/>
    <w:rsid w:val="00C90472"/>
    <w:rsid w:val="00C91D6E"/>
    <w:rsid w:val="00C924CF"/>
    <w:rsid w:val="00C92C68"/>
    <w:rsid w:val="00C93D29"/>
    <w:rsid w:val="00C94AB0"/>
    <w:rsid w:val="00C97769"/>
    <w:rsid w:val="00CA05BA"/>
    <w:rsid w:val="00CA0E7F"/>
    <w:rsid w:val="00CA10EF"/>
    <w:rsid w:val="00CA489E"/>
    <w:rsid w:val="00CA74C5"/>
    <w:rsid w:val="00CB018B"/>
    <w:rsid w:val="00CB0279"/>
    <w:rsid w:val="00CB0BBE"/>
    <w:rsid w:val="00CB1CB6"/>
    <w:rsid w:val="00CB233B"/>
    <w:rsid w:val="00CB2751"/>
    <w:rsid w:val="00CB3FB0"/>
    <w:rsid w:val="00CB666B"/>
    <w:rsid w:val="00CB710E"/>
    <w:rsid w:val="00CB734B"/>
    <w:rsid w:val="00CC058C"/>
    <w:rsid w:val="00CC122D"/>
    <w:rsid w:val="00CC1FCE"/>
    <w:rsid w:val="00CC41B6"/>
    <w:rsid w:val="00CC606E"/>
    <w:rsid w:val="00CC6D40"/>
    <w:rsid w:val="00CC7102"/>
    <w:rsid w:val="00CC7585"/>
    <w:rsid w:val="00CC7638"/>
    <w:rsid w:val="00CC7ADA"/>
    <w:rsid w:val="00CC7F1D"/>
    <w:rsid w:val="00CD0A88"/>
    <w:rsid w:val="00CD125D"/>
    <w:rsid w:val="00CD283C"/>
    <w:rsid w:val="00CD2E86"/>
    <w:rsid w:val="00CD3641"/>
    <w:rsid w:val="00CD50D1"/>
    <w:rsid w:val="00CD5552"/>
    <w:rsid w:val="00CD66EA"/>
    <w:rsid w:val="00CD6FAE"/>
    <w:rsid w:val="00CD7432"/>
    <w:rsid w:val="00CE09F4"/>
    <w:rsid w:val="00CE0FA5"/>
    <w:rsid w:val="00CE2A23"/>
    <w:rsid w:val="00CE2AC4"/>
    <w:rsid w:val="00CE31C8"/>
    <w:rsid w:val="00CE484B"/>
    <w:rsid w:val="00CE7CBA"/>
    <w:rsid w:val="00CF0DEE"/>
    <w:rsid w:val="00CF3469"/>
    <w:rsid w:val="00CF42AA"/>
    <w:rsid w:val="00CF5EAA"/>
    <w:rsid w:val="00CF6468"/>
    <w:rsid w:val="00CF6AE3"/>
    <w:rsid w:val="00CF74FA"/>
    <w:rsid w:val="00CF77BB"/>
    <w:rsid w:val="00D006AE"/>
    <w:rsid w:val="00D00905"/>
    <w:rsid w:val="00D010C1"/>
    <w:rsid w:val="00D01CF0"/>
    <w:rsid w:val="00D01D61"/>
    <w:rsid w:val="00D0442A"/>
    <w:rsid w:val="00D04592"/>
    <w:rsid w:val="00D0677A"/>
    <w:rsid w:val="00D0734D"/>
    <w:rsid w:val="00D0771B"/>
    <w:rsid w:val="00D11F62"/>
    <w:rsid w:val="00D12A7B"/>
    <w:rsid w:val="00D12ADB"/>
    <w:rsid w:val="00D13069"/>
    <w:rsid w:val="00D134D8"/>
    <w:rsid w:val="00D13A5B"/>
    <w:rsid w:val="00D15E63"/>
    <w:rsid w:val="00D162A2"/>
    <w:rsid w:val="00D21FDC"/>
    <w:rsid w:val="00D23D85"/>
    <w:rsid w:val="00D25A39"/>
    <w:rsid w:val="00D26106"/>
    <w:rsid w:val="00D26821"/>
    <w:rsid w:val="00D26B94"/>
    <w:rsid w:val="00D27546"/>
    <w:rsid w:val="00D27CFA"/>
    <w:rsid w:val="00D310FA"/>
    <w:rsid w:val="00D325C6"/>
    <w:rsid w:val="00D32644"/>
    <w:rsid w:val="00D33124"/>
    <w:rsid w:val="00D334A4"/>
    <w:rsid w:val="00D36638"/>
    <w:rsid w:val="00D37213"/>
    <w:rsid w:val="00D374B6"/>
    <w:rsid w:val="00D41B02"/>
    <w:rsid w:val="00D42E74"/>
    <w:rsid w:val="00D4360D"/>
    <w:rsid w:val="00D44D7A"/>
    <w:rsid w:val="00D459DD"/>
    <w:rsid w:val="00D45FC0"/>
    <w:rsid w:val="00D47BE7"/>
    <w:rsid w:val="00D525C3"/>
    <w:rsid w:val="00D53336"/>
    <w:rsid w:val="00D53528"/>
    <w:rsid w:val="00D5607F"/>
    <w:rsid w:val="00D56450"/>
    <w:rsid w:val="00D576DD"/>
    <w:rsid w:val="00D577B8"/>
    <w:rsid w:val="00D60E79"/>
    <w:rsid w:val="00D61388"/>
    <w:rsid w:val="00D61A54"/>
    <w:rsid w:val="00D62108"/>
    <w:rsid w:val="00D62759"/>
    <w:rsid w:val="00D6426C"/>
    <w:rsid w:val="00D64AA4"/>
    <w:rsid w:val="00D64DEA"/>
    <w:rsid w:val="00D64F84"/>
    <w:rsid w:val="00D65EB9"/>
    <w:rsid w:val="00D660A2"/>
    <w:rsid w:val="00D663CD"/>
    <w:rsid w:val="00D6726A"/>
    <w:rsid w:val="00D7001B"/>
    <w:rsid w:val="00D7086B"/>
    <w:rsid w:val="00D7160D"/>
    <w:rsid w:val="00D7168E"/>
    <w:rsid w:val="00D71E57"/>
    <w:rsid w:val="00D72D27"/>
    <w:rsid w:val="00D73323"/>
    <w:rsid w:val="00D734B2"/>
    <w:rsid w:val="00D73787"/>
    <w:rsid w:val="00D74922"/>
    <w:rsid w:val="00D7553C"/>
    <w:rsid w:val="00D76C4B"/>
    <w:rsid w:val="00D77219"/>
    <w:rsid w:val="00D77484"/>
    <w:rsid w:val="00D7786B"/>
    <w:rsid w:val="00D80893"/>
    <w:rsid w:val="00D82519"/>
    <w:rsid w:val="00D827FF"/>
    <w:rsid w:val="00D834C7"/>
    <w:rsid w:val="00D84123"/>
    <w:rsid w:val="00D84854"/>
    <w:rsid w:val="00D852C0"/>
    <w:rsid w:val="00D876A2"/>
    <w:rsid w:val="00D90860"/>
    <w:rsid w:val="00D91BE6"/>
    <w:rsid w:val="00D924AE"/>
    <w:rsid w:val="00D92CF1"/>
    <w:rsid w:val="00D92D38"/>
    <w:rsid w:val="00D933D9"/>
    <w:rsid w:val="00D950F5"/>
    <w:rsid w:val="00D95C06"/>
    <w:rsid w:val="00D95F77"/>
    <w:rsid w:val="00D97379"/>
    <w:rsid w:val="00DA35C4"/>
    <w:rsid w:val="00DA4502"/>
    <w:rsid w:val="00DA4752"/>
    <w:rsid w:val="00DA4C09"/>
    <w:rsid w:val="00DA61F3"/>
    <w:rsid w:val="00DA6EA4"/>
    <w:rsid w:val="00DA7305"/>
    <w:rsid w:val="00DA7CB3"/>
    <w:rsid w:val="00DB0902"/>
    <w:rsid w:val="00DB0D00"/>
    <w:rsid w:val="00DB0F93"/>
    <w:rsid w:val="00DB1A00"/>
    <w:rsid w:val="00DB1A67"/>
    <w:rsid w:val="00DB3721"/>
    <w:rsid w:val="00DB3C92"/>
    <w:rsid w:val="00DB3C94"/>
    <w:rsid w:val="00DB44AE"/>
    <w:rsid w:val="00DB5074"/>
    <w:rsid w:val="00DC0281"/>
    <w:rsid w:val="00DC1930"/>
    <w:rsid w:val="00DC1C76"/>
    <w:rsid w:val="00DC33DC"/>
    <w:rsid w:val="00DC3411"/>
    <w:rsid w:val="00DC4DBF"/>
    <w:rsid w:val="00DC4E19"/>
    <w:rsid w:val="00DC65FE"/>
    <w:rsid w:val="00DC7981"/>
    <w:rsid w:val="00DD3A2F"/>
    <w:rsid w:val="00DD4C07"/>
    <w:rsid w:val="00DD4F4A"/>
    <w:rsid w:val="00DD56A5"/>
    <w:rsid w:val="00DD577D"/>
    <w:rsid w:val="00DD5ADC"/>
    <w:rsid w:val="00DD61AB"/>
    <w:rsid w:val="00DE1093"/>
    <w:rsid w:val="00DE3604"/>
    <w:rsid w:val="00DE4EFA"/>
    <w:rsid w:val="00DE53A8"/>
    <w:rsid w:val="00DE5520"/>
    <w:rsid w:val="00DE563D"/>
    <w:rsid w:val="00DE5F48"/>
    <w:rsid w:val="00DE7AB5"/>
    <w:rsid w:val="00DF0152"/>
    <w:rsid w:val="00DF1958"/>
    <w:rsid w:val="00DF1D6D"/>
    <w:rsid w:val="00DF270D"/>
    <w:rsid w:val="00DF3498"/>
    <w:rsid w:val="00DF3667"/>
    <w:rsid w:val="00DF51C8"/>
    <w:rsid w:val="00DF5EE7"/>
    <w:rsid w:val="00E046E3"/>
    <w:rsid w:val="00E04818"/>
    <w:rsid w:val="00E04B61"/>
    <w:rsid w:val="00E04E6D"/>
    <w:rsid w:val="00E04EDB"/>
    <w:rsid w:val="00E06211"/>
    <w:rsid w:val="00E06442"/>
    <w:rsid w:val="00E06952"/>
    <w:rsid w:val="00E118FB"/>
    <w:rsid w:val="00E11E61"/>
    <w:rsid w:val="00E14B35"/>
    <w:rsid w:val="00E157B2"/>
    <w:rsid w:val="00E16055"/>
    <w:rsid w:val="00E2332D"/>
    <w:rsid w:val="00E23993"/>
    <w:rsid w:val="00E2574F"/>
    <w:rsid w:val="00E25951"/>
    <w:rsid w:val="00E25B8C"/>
    <w:rsid w:val="00E27440"/>
    <w:rsid w:val="00E2793D"/>
    <w:rsid w:val="00E27A28"/>
    <w:rsid w:val="00E30BB4"/>
    <w:rsid w:val="00E3139F"/>
    <w:rsid w:val="00E31CF6"/>
    <w:rsid w:val="00E34A4A"/>
    <w:rsid w:val="00E35AFC"/>
    <w:rsid w:val="00E36A38"/>
    <w:rsid w:val="00E37680"/>
    <w:rsid w:val="00E41D39"/>
    <w:rsid w:val="00E42AD2"/>
    <w:rsid w:val="00E438D9"/>
    <w:rsid w:val="00E441E9"/>
    <w:rsid w:val="00E442CD"/>
    <w:rsid w:val="00E44852"/>
    <w:rsid w:val="00E45B4B"/>
    <w:rsid w:val="00E46B83"/>
    <w:rsid w:val="00E50A02"/>
    <w:rsid w:val="00E50EDA"/>
    <w:rsid w:val="00E54106"/>
    <w:rsid w:val="00E54697"/>
    <w:rsid w:val="00E574F7"/>
    <w:rsid w:val="00E57A08"/>
    <w:rsid w:val="00E61F7C"/>
    <w:rsid w:val="00E63248"/>
    <w:rsid w:val="00E63631"/>
    <w:rsid w:val="00E64B83"/>
    <w:rsid w:val="00E64C2A"/>
    <w:rsid w:val="00E65C85"/>
    <w:rsid w:val="00E66199"/>
    <w:rsid w:val="00E70526"/>
    <w:rsid w:val="00E71B27"/>
    <w:rsid w:val="00E754B4"/>
    <w:rsid w:val="00E755EC"/>
    <w:rsid w:val="00E7624D"/>
    <w:rsid w:val="00E765AA"/>
    <w:rsid w:val="00E77995"/>
    <w:rsid w:val="00E81724"/>
    <w:rsid w:val="00E819A4"/>
    <w:rsid w:val="00E81AD9"/>
    <w:rsid w:val="00E833FA"/>
    <w:rsid w:val="00E83725"/>
    <w:rsid w:val="00E84B74"/>
    <w:rsid w:val="00E85C92"/>
    <w:rsid w:val="00E86A11"/>
    <w:rsid w:val="00E87066"/>
    <w:rsid w:val="00E90210"/>
    <w:rsid w:val="00E90969"/>
    <w:rsid w:val="00E966BF"/>
    <w:rsid w:val="00EA0C04"/>
    <w:rsid w:val="00EA2275"/>
    <w:rsid w:val="00EA3371"/>
    <w:rsid w:val="00EA3D42"/>
    <w:rsid w:val="00EA4033"/>
    <w:rsid w:val="00EA6B1B"/>
    <w:rsid w:val="00EA73FA"/>
    <w:rsid w:val="00EA7E80"/>
    <w:rsid w:val="00EB0363"/>
    <w:rsid w:val="00EB1264"/>
    <w:rsid w:val="00EB1999"/>
    <w:rsid w:val="00EB1CBD"/>
    <w:rsid w:val="00EB3A34"/>
    <w:rsid w:val="00EB3C3F"/>
    <w:rsid w:val="00EB3C51"/>
    <w:rsid w:val="00EC04F1"/>
    <w:rsid w:val="00EC06CA"/>
    <w:rsid w:val="00EC237F"/>
    <w:rsid w:val="00EC29C7"/>
    <w:rsid w:val="00EC2DD5"/>
    <w:rsid w:val="00EC573A"/>
    <w:rsid w:val="00EC59C1"/>
    <w:rsid w:val="00ED35C8"/>
    <w:rsid w:val="00ED3968"/>
    <w:rsid w:val="00ED7323"/>
    <w:rsid w:val="00ED7C70"/>
    <w:rsid w:val="00EE03D2"/>
    <w:rsid w:val="00EE18F1"/>
    <w:rsid w:val="00EE28BF"/>
    <w:rsid w:val="00EE28F3"/>
    <w:rsid w:val="00EE37D8"/>
    <w:rsid w:val="00EE424F"/>
    <w:rsid w:val="00EE50D1"/>
    <w:rsid w:val="00EE7614"/>
    <w:rsid w:val="00EF023F"/>
    <w:rsid w:val="00EF1D53"/>
    <w:rsid w:val="00EF2B5B"/>
    <w:rsid w:val="00EF2EF9"/>
    <w:rsid w:val="00EF4ABA"/>
    <w:rsid w:val="00EF5110"/>
    <w:rsid w:val="00EF5890"/>
    <w:rsid w:val="00EF5ECF"/>
    <w:rsid w:val="00EF76BA"/>
    <w:rsid w:val="00F003BA"/>
    <w:rsid w:val="00F0149E"/>
    <w:rsid w:val="00F0231A"/>
    <w:rsid w:val="00F02F13"/>
    <w:rsid w:val="00F03463"/>
    <w:rsid w:val="00F036B7"/>
    <w:rsid w:val="00F0700F"/>
    <w:rsid w:val="00F07717"/>
    <w:rsid w:val="00F07F1F"/>
    <w:rsid w:val="00F10411"/>
    <w:rsid w:val="00F10A9A"/>
    <w:rsid w:val="00F11B2D"/>
    <w:rsid w:val="00F11B39"/>
    <w:rsid w:val="00F121C2"/>
    <w:rsid w:val="00F1485B"/>
    <w:rsid w:val="00F15882"/>
    <w:rsid w:val="00F15E84"/>
    <w:rsid w:val="00F170C7"/>
    <w:rsid w:val="00F171E0"/>
    <w:rsid w:val="00F20BD3"/>
    <w:rsid w:val="00F2382D"/>
    <w:rsid w:val="00F26F66"/>
    <w:rsid w:val="00F2722C"/>
    <w:rsid w:val="00F275F0"/>
    <w:rsid w:val="00F301D3"/>
    <w:rsid w:val="00F316CE"/>
    <w:rsid w:val="00F318FE"/>
    <w:rsid w:val="00F322E9"/>
    <w:rsid w:val="00F3231B"/>
    <w:rsid w:val="00F33321"/>
    <w:rsid w:val="00F33808"/>
    <w:rsid w:val="00F34905"/>
    <w:rsid w:val="00F364A7"/>
    <w:rsid w:val="00F36676"/>
    <w:rsid w:val="00F373A5"/>
    <w:rsid w:val="00F37864"/>
    <w:rsid w:val="00F37E45"/>
    <w:rsid w:val="00F404F9"/>
    <w:rsid w:val="00F435A2"/>
    <w:rsid w:val="00F44B0A"/>
    <w:rsid w:val="00F44EA1"/>
    <w:rsid w:val="00F45724"/>
    <w:rsid w:val="00F46B5A"/>
    <w:rsid w:val="00F47559"/>
    <w:rsid w:val="00F50B30"/>
    <w:rsid w:val="00F51F5F"/>
    <w:rsid w:val="00F52C6D"/>
    <w:rsid w:val="00F52D75"/>
    <w:rsid w:val="00F5456E"/>
    <w:rsid w:val="00F55582"/>
    <w:rsid w:val="00F57647"/>
    <w:rsid w:val="00F61D40"/>
    <w:rsid w:val="00F61ED5"/>
    <w:rsid w:val="00F62A14"/>
    <w:rsid w:val="00F644AB"/>
    <w:rsid w:val="00F64C7B"/>
    <w:rsid w:val="00F66B69"/>
    <w:rsid w:val="00F670A9"/>
    <w:rsid w:val="00F673AE"/>
    <w:rsid w:val="00F676DD"/>
    <w:rsid w:val="00F67AB6"/>
    <w:rsid w:val="00F70028"/>
    <w:rsid w:val="00F70434"/>
    <w:rsid w:val="00F71384"/>
    <w:rsid w:val="00F728C4"/>
    <w:rsid w:val="00F7435C"/>
    <w:rsid w:val="00F749D6"/>
    <w:rsid w:val="00F75A26"/>
    <w:rsid w:val="00F76224"/>
    <w:rsid w:val="00F76706"/>
    <w:rsid w:val="00F77641"/>
    <w:rsid w:val="00F77B4A"/>
    <w:rsid w:val="00F77D6D"/>
    <w:rsid w:val="00F80206"/>
    <w:rsid w:val="00F83034"/>
    <w:rsid w:val="00F83FAD"/>
    <w:rsid w:val="00F844C6"/>
    <w:rsid w:val="00F84C0D"/>
    <w:rsid w:val="00F85E40"/>
    <w:rsid w:val="00F86221"/>
    <w:rsid w:val="00F8720B"/>
    <w:rsid w:val="00F90405"/>
    <w:rsid w:val="00F909CB"/>
    <w:rsid w:val="00F92FA6"/>
    <w:rsid w:val="00F9353B"/>
    <w:rsid w:val="00F937F1"/>
    <w:rsid w:val="00F948C5"/>
    <w:rsid w:val="00F952A0"/>
    <w:rsid w:val="00FA06EA"/>
    <w:rsid w:val="00FA1779"/>
    <w:rsid w:val="00FA28B2"/>
    <w:rsid w:val="00FA3039"/>
    <w:rsid w:val="00FA31B1"/>
    <w:rsid w:val="00FA3320"/>
    <w:rsid w:val="00FA3C7F"/>
    <w:rsid w:val="00FA6246"/>
    <w:rsid w:val="00FA7AAB"/>
    <w:rsid w:val="00FB24ED"/>
    <w:rsid w:val="00FB254F"/>
    <w:rsid w:val="00FB3304"/>
    <w:rsid w:val="00FB5005"/>
    <w:rsid w:val="00FB53DA"/>
    <w:rsid w:val="00FB60FE"/>
    <w:rsid w:val="00FB74E2"/>
    <w:rsid w:val="00FB76DB"/>
    <w:rsid w:val="00FB778B"/>
    <w:rsid w:val="00FC1012"/>
    <w:rsid w:val="00FC1A3E"/>
    <w:rsid w:val="00FC3B2F"/>
    <w:rsid w:val="00FC4F1F"/>
    <w:rsid w:val="00FC6743"/>
    <w:rsid w:val="00FD4633"/>
    <w:rsid w:val="00FD4B00"/>
    <w:rsid w:val="00FD5614"/>
    <w:rsid w:val="00FD5E78"/>
    <w:rsid w:val="00FD7D29"/>
    <w:rsid w:val="00FD7DB2"/>
    <w:rsid w:val="00FE0359"/>
    <w:rsid w:val="00FE0BE1"/>
    <w:rsid w:val="00FE11BB"/>
    <w:rsid w:val="00FE1DE9"/>
    <w:rsid w:val="00FE36AF"/>
    <w:rsid w:val="00FE39C2"/>
    <w:rsid w:val="00FE3C32"/>
    <w:rsid w:val="00FE64AE"/>
    <w:rsid w:val="00FF05E7"/>
    <w:rsid w:val="00FF0B2D"/>
    <w:rsid w:val="00FF1FC6"/>
    <w:rsid w:val="00FF2063"/>
    <w:rsid w:val="00FF3F8E"/>
    <w:rsid w:val="00FF3FF6"/>
    <w:rsid w:val="00FF4627"/>
    <w:rsid w:val="00FF5B87"/>
    <w:rsid w:val="00FF5F06"/>
    <w:rsid w:val="00FF78D9"/>
    <w:rsid w:val="00FF7B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18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4"/>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6"/>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6"/>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6"/>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8"/>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19"/>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29"/>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0"/>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1"/>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2"/>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3"/>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5"/>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4"/>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6"/>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6"/>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6"/>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8"/>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19"/>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29"/>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0"/>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1"/>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2"/>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3"/>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5"/>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23490561">
      <w:bodyDiv w:val="1"/>
      <w:marLeft w:val="0"/>
      <w:marRight w:val="0"/>
      <w:marTop w:val="0"/>
      <w:marBottom w:val="0"/>
      <w:divBdr>
        <w:top w:val="none" w:sz="0" w:space="0" w:color="auto"/>
        <w:left w:val="none" w:sz="0" w:space="0" w:color="auto"/>
        <w:bottom w:val="none" w:sz="0" w:space="0" w:color="auto"/>
        <w:right w:val="none" w:sz="0" w:space="0" w:color="auto"/>
      </w:divBdr>
    </w:div>
    <w:div w:id="356547210">
      <w:bodyDiv w:val="1"/>
      <w:marLeft w:val="0"/>
      <w:marRight w:val="0"/>
      <w:marTop w:val="0"/>
      <w:marBottom w:val="0"/>
      <w:divBdr>
        <w:top w:val="none" w:sz="0" w:space="0" w:color="auto"/>
        <w:left w:val="none" w:sz="0" w:space="0" w:color="auto"/>
        <w:bottom w:val="none" w:sz="0" w:space="0" w:color="auto"/>
        <w:right w:val="none" w:sz="0" w:space="0" w:color="auto"/>
      </w:divBdr>
      <w:divsChild>
        <w:div w:id="1615407080">
          <w:marLeft w:val="0"/>
          <w:marRight w:val="0"/>
          <w:marTop w:val="0"/>
          <w:marBottom w:val="0"/>
          <w:divBdr>
            <w:top w:val="none" w:sz="0" w:space="0" w:color="auto"/>
            <w:left w:val="none" w:sz="0" w:space="0" w:color="auto"/>
            <w:bottom w:val="none" w:sz="0" w:space="0" w:color="auto"/>
            <w:right w:val="none" w:sz="0" w:space="0" w:color="auto"/>
          </w:divBdr>
          <w:divsChild>
            <w:div w:id="1271471078">
              <w:marLeft w:val="0"/>
              <w:marRight w:val="0"/>
              <w:marTop w:val="0"/>
              <w:marBottom w:val="0"/>
              <w:divBdr>
                <w:top w:val="none" w:sz="0" w:space="0" w:color="auto"/>
                <w:left w:val="none" w:sz="0" w:space="0" w:color="auto"/>
                <w:bottom w:val="none" w:sz="0" w:space="0" w:color="auto"/>
                <w:right w:val="none" w:sz="0" w:space="0" w:color="auto"/>
              </w:divBdr>
              <w:divsChild>
                <w:div w:id="2020426215">
                  <w:marLeft w:val="0"/>
                  <w:marRight w:val="0"/>
                  <w:marTop w:val="0"/>
                  <w:marBottom w:val="0"/>
                  <w:divBdr>
                    <w:top w:val="none" w:sz="0" w:space="0" w:color="auto"/>
                    <w:left w:val="none" w:sz="0" w:space="0" w:color="auto"/>
                    <w:bottom w:val="none" w:sz="0" w:space="0" w:color="auto"/>
                    <w:right w:val="none" w:sz="0" w:space="0" w:color="auto"/>
                  </w:divBdr>
                  <w:divsChild>
                    <w:div w:id="838692127">
                      <w:marLeft w:val="0"/>
                      <w:marRight w:val="0"/>
                      <w:marTop w:val="0"/>
                      <w:marBottom w:val="0"/>
                      <w:divBdr>
                        <w:top w:val="none" w:sz="0" w:space="0" w:color="auto"/>
                        <w:left w:val="none" w:sz="0" w:space="0" w:color="auto"/>
                        <w:bottom w:val="none" w:sz="0" w:space="0" w:color="auto"/>
                        <w:right w:val="none" w:sz="0" w:space="0" w:color="auto"/>
                      </w:divBdr>
                      <w:divsChild>
                        <w:div w:id="1484855963">
                          <w:marLeft w:val="0"/>
                          <w:marRight w:val="0"/>
                          <w:marTop w:val="0"/>
                          <w:marBottom w:val="0"/>
                          <w:divBdr>
                            <w:top w:val="none" w:sz="0" w:space="0" w:color="auto"/>
                            <w:left w:val="none" w:sz="0" w:space="0" w:color="auto"/>
                            <w:bottom w:val="none" w:sz="0" w:space="0" w:color="auto"/>
                            <w:right w:val="none" w:sz="0" w:space="0" w:color="auto"/>
                          </w:divBdr>
                          <w:divsChild>
                            <w:div w:id="2014062667">
                              <w:marLeft w:val="0"/>
                              <w:marRight w:val="0"/>
                              <w:marTop w:val="0"/>
                              <w:marBottom w:val="0"/>
                              <w:divBdr>
                                <w:top w:val="none" w:sz="0" w:space="0" w:color="auto"/>
                                <w:left w:val="none" w:sz="0" w:space="0" w:color="auto"/>
                                <w:bottom w:val="none" w:sz="0" w:space="0" w:color="auto"/>
                                <w:right w:val="none" w:sz="0" w:space="0" w:color="auto"/>
                              </w:divBdr>
                              <w:divsChild>
                                <w:div w:id="19665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442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2077738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93057215">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35016129">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984623509">
      <w:bodyDiv w:val="1"/>
      <w:marLeft w:val="0"/>
      <w:marRight w:val="0"/>
      <w:marTop w:val="0"/>
      <w:marBottom w:val="0"/>
      <w:divBdr>
        <w:top w:val="none" w:sz="0" w:space="0" w:color="auto"/>
        <w:left w:val="none" w:sz="0" w:space="0" w:color="auto"/>
        <w:bottom w:val="none" w:sz="0" w:space="0" w:color="auto"/>
        <w:right w:val="none" w:sz="0" w:space="0" w:color="auto"/>
      </w:divBdr>
      <w:divsChild>
        <w:div w:id="1915117936">
          <w:marLeft w:val="547"/>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1171424">
      <w:bodyDiv w:val="1"/>
      <w:marLeft w:val="0"/>
      <w:marRight w:val="0"/>
      <w:marTop w:val="0"/>
      <w:marBottom w:val="0"/>
      <w:divBdr>
        <w:top w:val="none" w:sz="0" w:space="0" w:color="auto"/>
        <w:left w:val="none" w:sz="0" w:space="0" w:color="auto"/>
        <w:bottom w:val="none" w:sz="0" w:space="0" w:color="auto"/>
        <w:right w:val="none" w:sz="0" w:space="0" w:color="auto"/>
      </w:divBdr>
      <w:divsChild>
        <w:div w:id="839735087">
          <w:marLeft w:val="0"/>
          <w:marRight w:val="0"/>
          <w:marTop w:val="0"/>
          <w:marBottom w:val="0"/>
          <w:divBdr>
            <w:top w:val="none" w:sz="0" w:space="0" w:color="auto"/>
            <w:left w:val="none" w:sz="0" w:space="0" w:color="auto"/>
            <w:bottom w:val="none" w:sz="0" w:space="0" w:color="auto"/>
            <w:right w:val="none" w:sz="0" w:space="0" w:color="auto"/>
          </w:divBdr>
          <w:divsChild>
            <w:div w:id="1818066677">
              <w:marLeft w:val="0"/>
              <w:marRight w:val="0"/>
              <w:marTop w:val="0"/>
              <w:marBottom w:val="0"/>
              <w:divBdr>
                <w:top w:val="none" w:sz="0" w:space="0" w:color="auto"/>
                <w:left w:val="none" w:sz="0" w:space="0" w:color="auto"/>
                <w:bottom w:val="none" w:sz="0" w:space="0" w:color="auto"/>
                <w:right w:val="none" w:sz="0" w:space="0" w:color="auto"/>
              </w:divBdr>
              <w:divsChild>
                <w:div w:id="1656182069">
                  <w:marLeft w:val="0"/>
                  <w:marRight w:val="0"/>
                  <w:marTop w:val="0"/>
                  <w:marBottom w:val="0"/>
                  <w:divBdr>
                    <w:top w:val="none" w:sz="0" w:space="0" w:color="auto"/>
                    <w:left w:val="none" w:sz="0" w:space="0" w:color="auto"/>
                    <w:bottom w:val="none" w:sz="0" w:space="0" w:color="auto"/>
                    <w:right w:val="none" w:sz="0" w:space="0" w:color="auto"/>
                  </w:divBdr>
                  <w:divsChild>
                    <w:div w:id="1739353362">
                      <w:marLeft w:val="0"/>
                      <w:marRight w:val="0"/>
                      <w:marTop w:val="0"/>
                      <w:marBottom w:val="0"/>
                      <w:divBdr>
                        <w:top w:val="none" w:sz="0" w:space="0" w:color="auto"/>
                        <w:left w:val="none" w:sz="0" w:space="0" w:color="auto"/>
                        <w:bottom w:val="none" w:sz="0" w:space="0" w:color="auto"/>
                        <w:right w:val="none" w:sz="0" w:space="0" w:color="auto"/>
                      </w:divBdr>
                      <w:divsChild>
                        <w:div w:id="246882893">
                          <w:marLeft w:val="0"/>
                          <w:marRight w:val="0"/>
                          <w:marTop w:val="0"/>
                          <w:marBottom w:val="0"/>
                          <w:divBdr>
                            <w:top w:val="none" w:sz="0" w:space="0" w:color="auto"/>
                            <w:left w:val="none" w:sz="0" w:space="0" w:color="auto"/>
                            <w:bottom w:val="none" w:sz="0" w:space="0" w:color="auto"/>
                            <w:right w:val="none" w:sz="0" w:space="0" w:color="auto"/>
                          </w:divBdr>
                          <w:divsChild>
                            <w:div w:id="1534613977">
                              <w:marLeft w:val="0"/>
                              <w:marRight w:val="0"/>
                              <w:marTop w:val="0"/>
                              <w:marBottom w:val="0"/>
                              <w:divBdr>
                                <w:top w:val="none" w:sz="0" w:space="0" w:color="auto"/>
                                <w:left w:val="none" w:sz="0" w:space="0" w:color="auto"/>
                                <w:bottom w:val="none" w:sz="0" w:space="0" w:color="auto"/>
                                <w:right w:val="none" w:sz="0" w:space="0" w:color="auto"/>
                              </w:divBdr>
                              <w:divsChild>
                                <w:div w:id="478424533">
                                  <w:marLeft w:val="0"/>
                                  <w:marRight w:val="0"/>
                                  <w:marTop w:val="0"/>
                                  <w:marBottom w:val="0"/>
                                  <w:divBdr>
                                    <w:top w:val="none" w:sz="0" w:space="0" w:color="auto"/>
                                    <w:left w:val="none" w:sz="0" w:space="0" w:color="auto"/>
                                    <w:bottom w:val="none" w:sz="0" w:space="0" w:color="auto"/>
                                    <w:right w:val="none" w:sz="0" w:space="0" w:color="auto"/>
                                  </w:divBdr>
                                  <w:divsChild>
                                    <w:div w:id="250091209">
                                      <w:marLeft w:val="0"/>
                                      <w:marRight w:val="0"/>
                                      <w:marTop w:val="0"/>
                                      <w:marBottom w:val="0"/>
                                      <w:divBdr>
                                        <w:top w:val="none" w:sz="0" w:space="0" w:color="auto"/>
                                        <w:left w:val="none" w:sz="0" w:space="0" w:color="auto"/>
                                        <w:bottom w:val="none" w:sz="0" w:space="0" w:color="auto"/>
                                        <w:right w:val="none" w:sz="0" w:space="0" w:color="auto"/>
                                      </w:divBdr>
                                      <w:divsChild>
                                        <w:div w:id="2025471631">
                                          <w:marLeft w:val="0"/>
                                          <w:marRight w:val="0"/>
                                          <w:marTop w:val="0"/>
                                          <w:marBottom w:val="0"/>
                                          <w:divBdr>
                                            <w:top w:val="none" w:sz="0" w:space="0" w:color="auto"/>
                                            <w:left w:val="none" w:sz="0" w:space="0" w:color="auto"/>
                                            <w:bottom w:val="none" w:sz="0" w:space="0" w:color="auto"/>
                                            <w:right w:val="none" w:sz="0" w:space="0" w:color="auto"/>
                                          </w:divBdr>
                                          <w:divsChild>
                                            <w:div w:id="945163428">
                                              <w:marLeft w:val="0"/>
                                              <w:marRight w:val="0"/>
                                              <w:marTop w:val="0"/>
                                              <w:marBottom w:val="0"/>
                                              <w:divBdr>
                                                <w:top w:val="none" w:sz="0" w:space="0" w:color="auto"/>
                                                <w:left w:val="none" w:sz="0" w:space="0" w:color="auto"/>
                                                <w:bottom w:val="none" w:sz="0" w:space="0" w:color="auto"/>
                                                <w:right w:val="none" w:sz="0" w:space="0" w:color="auto"/>
                                              </w:divBdr>
                                              <w:divsChild>
                                                <w:div w:id="358047302">
                                                  <w:marLeft w:val="0"/>
                                                  <w:marRight w:val="0"/>
                                                  <w:marTop w:val="0"/>
                                                  <w:marBottom w:val="0"/>
                                                  <w:divBdr>
                                                    <w:top w:val="none" w:sz="0" w:space="0" w:color="auto"/>
                                                    <w:left w:val="none" w:sz="0" w:space="0" w:color="auto"/>
                                                    <w:bottom w:val="none" w:sz="0" w:space="0" w:color="auto"/>
                                                    <w:right w:val="none" w:sz="0" w:space="0" w:color="auto"/>
                                                  </w:divBdr>
                                                  <w:divsChild>
                                                    <w:div w:id="112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783035">
      <w:bodyDiv w:val="1"/>
      <w:marLeft w:val="0"/>
      <w:marRight w:val="0"/>
      <w:marTop w:val="0"/>
      <w:marBottom w:val="0"/>
      <w:divBdr>
        <w:top w:val="none" w:sz="0" w:space="0" w:color="auto"/>
        <w:left w:val="none" w:sz="0" w:space="0" w:color="auto"/>
        <w:bottom w:val="none" w:sz="0" w:space="0" w:color="auto"/>
        <w:right w:val="none" w:sz="0" w:space="0" w:color="auto"/>
      </w:divBdr>
    </w:div>
    <w:div w:id="1507405219">
      <w:bodyDiv w:val="1"/>
      <w:marLeft w:val="0"/>
      <w:marRight w:val="0"/>
      <w:marTop w:val="0"/>
      <w:marBottom w:val="0"/>
      <w:divBdr>
        <w:top w:val="none" w:sz="0" w:space="0" w:color="auto"/>
        <w:left w:val="none" w:sz="0" w:space="0" w:color="auto"/>
        <w:bottom w:val="none" w:sz="0" w:space="0" w:color="auto"/>
        <w:right w:val="none" w:sz="0" w:space="0" w:color="auto"/>
      </w:divBdr>
      <w:divsChild>
        <w:div w:id="1036615478">
          <w:marLeft w:val="547"/>
          <w:marRight w:val="0"/>
          <w:marTop w:val="0"/>
          <w:marBottom w:val="0"/>
          <w:divBdr>
            <w:top w:val="none" w:sz="0" w:space="0" w:color="auto"/>
            <w:left w:val="none" w:sz="0" w:space="0" w:color="auto"/>
            <w:bottom w:val="none" w:sz="0" w:space="0" w:color="auto"/>
            <w:right w:val="none" w:sz="0" w:space="0" w:color="auto"/>
          </w:divBdr>
        </w:div>
      </w:divsChild>
    </w:div>
    <w:div w:id="1770201201">
      <w:bodyDiv w:val="1"/>
      <w:marLeft w:val="0"/>
      <w:marRight w:val="0"/>
      <w:marTop w:val="0"/>
      <w:marBottom w:val="0"/>
      <w:divBdr>
        <w:top w:val="none" w:sz="0" w:space="0" w:color="auto"/>
        <w:left w:val="none" w:sz="0" w:space="0" w:color="auto"/>
        <w:bottom w:val="none" w:sz="0" w:space="0" w:color="auto"/>
        <w:right w:val="none" w:sz="0" w:space="0" w:color="auto"/>
      </w:divBdr>
    </w:div>
    <w:div w:id="1907833637">
      <w:bodyDiv w:val="1"/>
      <w:marLeft w:val="0"/>
      <w:marRight w:val="0"/>
      <w:marTop w:val="0"/>
      <w:marBottom w:val="0"/>
      <w:divBdr>
        <w:top w:val="none" w:sz="0" w:space="0" w:color="auto"/>
        <w:left w:val="none" w:sz="0" w:space="0" w:color="auto"/>
        <w:bottom w:val="none" w:sz="0" w:space="0" w:color="auto"/>
        <w:right w:val="none" w:sz="0" w:space="0" w:color="auto"/>
      </w:divBdr>
    </w:div>
    <w:div w:id="1930960808">
      <w:bodyDiv w:val="1"/>
      <w:marLeft w:val="0"/>
      <w:marRight w:val="0"/>
      <w:marTop w:val="0"/>
      <w:marBottom w:val="0"/>
      <w:divBdr>
        <w:top w:val="none" w:sz="0" w:space="0" w:color="auto"/>
        <w:left w:val="none" w:sz="0" w:space="0" w:color="auto"/>
        <w:bottom w:val="none" w:sz="0" w:space="0" w:color="auto"/>
        <w:right w:val="none" w:sz="0" w:space="0" w:color="auto"/>
      </w:divBdr>
      <w:divsChild>
        <w:div w:id="1122382858">
          <w:marLeft w:val="0"/>
          <w:marRight w:val="0"/>
          <w:marTop w:val="0"/>
          <w:marBottom w:val="0"/>
          <w:divBdr>
            <w:top w:val="none" w:sz="0" w:space="0" w:color="auto"/>
            <w:left w:val="none" w:sz="0" w:space="0" w:color="auto"/>
            <w:bottom w:val="none" w:sz="0" w:space="0" w:color="auto"/>
            <w:right w:val="none" w:sz="0" w:space="0" w:color="auto"/>
          </w:divBdr>
          <w:divsChild>
            <w:div w:id="420685992">
              <w:marLeft w:val="0"/>
              <w:marRight w:val="0"/>
              <w:marTop w:val="0"/>
              <w:marBottom w:val="0"/>
              <w:divBdr>
                <w:top w:val="none" w:sz="0" w:space="0" w:color="auto"/>
                <w:left w:val="none" w:sz="0" w:space="0" w:color="auto"/>
                <w:bottom w:val="none" w:sz="0" w:space="0" w:color="auto"/>
                <w:right w:val="none" w:sz="0" w:space="0" w:color="auto"/>
              </w:divBdr>
              <w:divsChild>
                <w:div w:id="1853255682">
                  <w:marLeft w:val="0"/>
                  <w:marRight w:val="0"/>
                  <w:marTop w:val="0"/>
                  <w:marBottom w:val="0"/>
                  <w:divBdr>
                    <w:top w:val="none" w:sz="0" w:space="0" w:color="auto"/>
                    <w:left w:val="none" w:sz="0" w:space="0" w:color="auto"/>
                    <w:bottom w:val="none" w:sz="0" w:space="0" w:color="auto"/>
                    <w:right w:val="none" w:sz="0" w:space="0" w:color="auto"/>
                  </w:divBdr>
                  <w:divsChild>
                    <w:div w:id="81151657">
                      <w:marLeft w:val="0"/>
                      <w:marRight w:val="0"/>
                      <w:marTop w:val="0"/>
                      <w:marBottom w:val="0"/>
                      <w:divBdr>
                        <w:top w:val="none" w:sz="0" w:space="0" w:color="auto"/>
                        <w:left w:val="none" w:sz="0" w:space="0" w:color="auto"/>
                        <w:bottom w:val="none" w:sz="0" w:space="0" w:color="auto"/>
                        <w:right w:val="none" w:sz="0" w:space="0" w:color="auto"/>
                      </w:divBdr>
                      <w:divsChild>
                        <w:div w:id="888103773">
                          <w:marLeft w:val="0"/>
                          <w:marRight w:val="0"/>
                          <w:marTop w:val="0"/>
                          <w:marBottom w:val="0"/>
                          <w:divBdr>
                            <w:top w:val="none" w:sz="0" w:space="0" w:color="auto"/>
                            <w:left w:val="none" w:sz="0" w:space="0" w:color="auto"/>
                            <w:bottom w:val="none" w:sz="0" w:space="0" w:color="auto"/>
                            <w:right w:val="none" w:sz="0" w:space="0" w:color="auto"/>
                          </w:divBdr>
                          <w:divsChild>
                            <w:div w:id="429620464">
                              <w:marLeft w:val="0"/>
                              <w:marRight w:val="0"/>
                              <w:marTop w:val="0"/>
                              <w:marBottom w:val="0"/>
                              <w:divBdr>
                                <w:top w:val="none" w:sz="0" w:space="0" w:color="auto"/>
                                <w:left w:val="none" w:sz="0" w:space="0" w:color="auto"/>
                                <w:bottom w:val="none" w:sz="0" w:space="0" w:color="auto"/>
                                <w:right w:val="none" w:sz="0" w:space="0" w:color="auto"/>
                              </w:divBdr>
                              <w:divsChild>
                                <w:div w:id="876240133">
                                  <w:marLeft w:val="0"/>
                                  <w:marRight w:val="0"/>
                                  <w:marTop w:val="0"/>
                                  <w:marBottom w:val="0"/>
                                  <w:divBdr>
                                    <w:top w:val="none" w:sz="0" w:space="0" w:color="auto"/>
                                    <w:left w:val="none" w:sz="0" w:space="0" w:color="auto"/>
                                    <w:bottom w:val="none" w:sz="0" w:space="0" w:color="auto"/>
                                    <w:right w:val="none" w:sz="0" w:space="0" w:color="auto"/>
                                  </w:divBdr>
                                  <w:divsChild>
                                    <w:div w:id="614947427">
                                      <w:marLeft w:val="0"/>
                                      <w:marRight w:val="0"/>
                                      <w:marTop w:val="0"/>
                                      <w:marBottom w:val="0"/>
                                      <w:divBdr>
                                        <w:top w:val="none" w:sz="0" w:space="0" w:color="auto"/>
                                        <w:left w:val="none" w:sz="0" w:space="0" w:color="auto"/>
                                        <w:bottom w:val="none" w:sz="0" w:space="0" w:color="auto"/>
                                        <w:right w:val="none" w:sz="0" w:space="0" w:color="auto"/>
                                      </w:divBdr>
                                      <w:divsChild>
                                        <w:div w:id="987978809">
                                          <w:marLeft w:val="0"/>
                                          <w:marRight w:val="0"/>
                                          <w:marTop w:val="0"/>
                                          <w:marBottom w:val="0"/>
                                          <w:divBdr>
                                            <w:top w:val="none" w:sz="0" w:space="0" w:color="auto"/>
                                            <w:left w:val="none" w:sz="0" w:space="0" w:color="auto"/>
                                            <w:bottom w:val="none" w:sz="0" w:space="0" w:color="auto"/>
                                            <w:right w:val="none" w:sz="0" w:space="0" w:color="auto"/>
                                          </w:divBdr>
                                          <w:divsChild>
                                            <w:div w:id="306976901">
                                              <w:marLeft w:val="0"/>
                                              <w:marRight w:val="0"/>
                                              <w:marTop w:val="0"/>
                                              <w:marBottom w:val="0"/>
                                              <w:divBdr>
                                                <w:top w:val="none" w:sz="0" w:space="0" w:color="auto"/>
                                                <w:left w:val="none" w:sz="0" w:space="0" w:color="auto"/>
                                                <w:bottom w:val="none" w:sz="0" w:space="0" w:color="auto"/>
                                                <w:right w:val="none" w:sz="0" w:space="0" w:color="auto"/>
                                              </w:divBdr>
                                              <w:divsChild>
                                                <w:div w:id="1692759095">
                                                  <w:marLeft w:val="0"/>
                                                  <w:marRight w:val="0"/>
                                                  <w:marTop w:val="0"/>
                                                  <w:marBottom w:val="0"/>
                                                  <w:divBdr>
                                                    <w:top w:val="none" w:sz="0" w:space="0" w:color="auto"/>
                                                    <w:left w:val="none" w:sz="0" w:space="0" w:color="auto"/>
                                                    <w:bottom w:val="none" w:sz="0" w:space="0" w:color="auto"/>
                                                    <w:right w:val="none" w:sz="0" w:space="0" w:color="auto"/>
                                                  </w:divBdr>
                                                  <w:divsChild>
                                                    <w:div w:id="1555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899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ERInquiry@aer.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gazette.vic.gov.au/gazette/Gazettes2016/GG2016G05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F58372-2E67-4A9D-BA7E-346D5FFB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D60F4A70</Template>
  <TotalTime>0</TotalTime>
  <Pages>24</Pages>
  <Words>6730</Words>
  <Characters>38361</Characters>
  <Application>Microsoft Office Word</Application>
  <DocSecurity>4</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2017-03-31T03:02:00Z</dcterms:created>
  <dcterms:modified xsi:type="dcterms:W3CDTF">2017-03-31T03:02:00Z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8851113</vt:lpwstr>
  </property>
  <property fmtid="{D5CDD505-2E9C-101B-9397-08002B2CF9AE}" pid="3" name="currfile">
    <vt:lpwstr>\\cdchnas-evs02\home$\dchan\3.4.1 draft determination and explanatory statement for vic f factor - 20170331 (D2017-00025041).docx</vt:lpwstr>
  </property>
</Properties>
</file>