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4B9" w:rsidRDefault="008E453F" w:rsidP="00290C63">
      <w:pPr>
        <w:rPr>
          <w:rFonts w:eastAsiaTheme="majorEastAsia" w:cstheme="majorBidi"/>
          <w:noProof/>
          <w:sz w:val="36"/>
          <w:szCs w:val="36"/>
          <w:lang w:eastAsia="en-AU"/>
        </w:rPr>
      </w:pPr>
      <w:bookmarkStart w:id="0" w:name="_GoBack"/>
      <w:bookmarkEnd w:id="0"/>
      <w:r w:rsidRPr="008E453F">
        <w:rPr>
          <w:noProof/>
          <w:lang w:eastAsia="en-AU"/>
        </w:rPr>
        <w:drawing>
          <wp:anchor distT="0" distB="0" distL="114300" distR="114300" simplePos="0" relativeHeight="251661312" behindDoc="1" locked="0" layoutInCell="1" allowOverlap="1" wp14:anchorId="0066FE84" wp14:editId="0A3EAD94">
            <wp:simplePos x="0" y="0"/>
            <wp:positionH relativeFrom="column">
              <wp:posOffset>-1108047</wp:posOffset>
            </wp:positionH>
            <wp:positionV relativeFrom="paragraph">
              <wp:posOffset>-912744</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B57B07">
            <w:t>DRAFT</w:t>
          </w:r>
          <w:r w:rsidR="00DA4752">
            <w:t xml:space="preserve"> DECISION</w:t>
          </w:r>
        </w:p>
        <w:p w:rsidR="00415F31" w:rsidRDefault="00B57B07" w:rsidP="008F07A3">
          <w:pPr>
            <w:pStyle w:val="ReportSubtitle"/>
          </w:pPr>
          <w:r>
            <w:t>Roma to Brisbane</w:t>
          </w:r>
          <w:r w:rsidR="00A06085">
            <w:t xml:space="preserve"> </w:t>
          </w:r>
          <w:r w:rsidR="0033548E">
            <w:t>Gas Pipeline</w:t>
          </w:r>
          <w:r w:rsidR="00CF2C05">
            <w:br/>
            <w:t>Access Arrangement</w:t>
          </w:r>
        </w:p>
        <w:p w:rsidR="000A6C7B" w:rsidRDefault="005C0A7F" w:rsidP="008F07A3">
          <w:pPr>
            <w:pStyle w:val="ReportSubtitle"/>
          </w:pPr>
          <w:r>
            <w:t>20</w:t>
          </w:r>
          <w:r w:rsidR="00DA4752">
            <w:t>1</w:t>
          </w:r>
          <w:r w:rsidR="00D56114">
            <w:t>7</w:t>
          </w:r>
          <w:r w:rsidR="00DA4752">
            <w:t xml:space="preserve"> to </w:t>
          </w:r>
          <w:r w:rsidR="00A06085">
            <w:t>202</w:t>
          </w:r>
          <w:r w:rsidR="00D56114">
            <w:t>2</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7259C">
            <w:t>5</w:t>
          </w:r>
          <w:r w:rsidR="00DA4752">
            <w:t xml:space="preserve"> </w:t>
          </w:r>
          <w:r w:rsidR="00415F31">
            <w:rPr>
              <w:rFonts w:cs="Arial"/>
            </w:rPr>
            <w:t>–</w:t>
          </w:r>
          <w:r w:rsidR="00DA4752">
            <w:t xml:space="preserve"> </w:t>
          </w:r>
          <w:r w:rsidR="00A7259C">
            <w:t>Regulatory depreciation</w:t>
          </w:r>
        </w:p>
        <w:p w:rsidR="000A6C7B" w:rsidRPr="00327A1E" w:rsidRDefault="00117255" w:rsidP="00327A1E">
          <w:pPr>
            <w:pStyle w:val="ReportDate"/>
          </w:pPr>
          <w:r>
            <w:t xml:space="preserve">July </w:t>
          </w:r>
          <w:r w:rsidR="00A2303E">
            <w:t>201</w:t>
          </w:r>
          <w:r w:rsidR="00D56114">
            <w:t>7</w:t>
          </w:r>
        </w:p>
      </w:sdtContent>
    </w:sdt>
    <w:p w:rsidR="00327A1E" w:rsidRPr="00290C63" w:rsidRDefault="00327A1E" w:rsidP="00290C63">
      <w:r>
        <w:br w:type="page"/>
      </w:r>
    </w:p>
    <w:p w:rsidR="000A6C7B" w:rsidRDefault="0078603A" w:rsidP="00961A4A">
      <w:pPr>
        <w:pStyle w:val="Copyright"/>
      </w:pPr>
      <w:r>
        <w:lastRenderedPageBreak/>
        <w:t xml:space="preserve">© Commonwealth of Australia </w:t>
      </w:r>
      <w:r w:rsidR="008E453F">
        <w:t>2017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 xml:space="preserve">Tel: </w:t>
      </w:r>
      <w:r w:rsidR="00117255">
        <w:t>1300 585 165</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86846790"/>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B57B07">
        <w:t>draft</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w:t>
      </w:r>
      <w:r w:rsidR="00B57B07">
        <w:t>Roma to Brisbane</w:t>
      </w:r>
      <w:r w:rsidR="0033548E">
        <w:t xml:space="preserve"> Gas Pipeline for </w:t>
      </w:r>
      <w:r w:rsidR="00415F31">
        <w:t>201</w:t>
      </w:r>
      <w:r w:rsidR="00D56114">
        <w:t>7</w:t>
      </w:r>
      <w:r w:rsidR="00415F31" w:rsidRPr="00D904FA">
        <w:t>–</w:t>
      </w:r>
      <w:r w:rsidR="00103A67">
        <w:t>2</w:t>
      </w:r>
      <w:r w:rsidR="00D56114">
        <w:t>2</w:t>
      </w:r>
      <w:r w:rsidR="00415F31">
        <w:t xml:space="preserve">. It should be read with </w:t>
      </w:r>
      <w:r w:rsidR="005C0A7F">
        <w:t xml:space="preserve">all </w:t>
      </w:r>
      <w:r w:rsidR="00415F31">
        <w:t xml:space="preserve">other parts of the </w:t>
      </w:r>
      <w:r w:rsidR="00B57B07">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B57B07">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6" w:name="_Toc403144133"/>
      <w:bookmarkStart w:id="7" w:name="_Toc486846791"/>
      <w:r>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F905FF"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86846790" w:history="1">
            <w:r w:rsidR="00F905FF" w:rsidRPr="007A148C">
              <w:rPr>
                <w:rStyle w:val="Hyperlink"/>
              </w:rPr>
              <w:t>Note</w:t>
            </w:r>
            <w:r w:rsidR="00F905FF">
              <w:rPr>
                <w:webHidden/>
              </w:rPr>
              <w:tab/>
            </w:r>
            <w:r w:rsidR="00F905FF">
              <w:rPr>
                <w:webHidden/>
              </w:rPr>
              <w:fldChar w:fldCharType="begin"/>
            </w:r>
            <w:r w:rsidR="00F905FF">
              <w:rPr>
                <w:webHidden/>
              </w:rPr>
              <w:instrText xml:space="preserve"> PAGEREF _Toc486846790 \h </w:instrText>
            </w:r>
            <w:r w:rsidR="00F905FF">
              <w:rPr>
                <w:webHidden/>
              </w:rPr>
            </w:r>
            <w:r w:rsidR="00F905FF">
              <w:rPr>
                <w:webHidden/>
              </w:rPr>
              <w:fldChar w:fldCharType="separate"/>
            </w:r>
            <w:r w:rsidR="00D627A4">
              <w:rPr>
                <w:webHidden/>
              </w:rPr>
              <w:t>5-2</w:t>
            </w:r>
            <w:r w:rsidR="00F905FF">
              <w:rPr>
                <w:webHidden/>
              </w:rPr>
              <w:fldChar w:fldCharType="end"/>
            </w:r>
          </w:hyperlink>
        </w:p>
        <w:p w:rsidR="00F905FF" w:rsidRDefault="00D627A4">
          <w:pPr>
            <w:pStyle w:val="TOC1"/>
            <w:rPr>
              <w:rFonts w:asciiTheme="minorHAnsi" w:eastAsiaTheme="minorEastAsia" w:hAnsiTheme="minorHAnsi"/>
              <w:b w:val="0"/>
              <w:color w:val="auto"/>
              <w:sz w:val="22"/>
              <w:lang w:val="en-AU" w:eastAsia="en-AU"/>
            </w:rPr>
          </w:pPr>
          <w:hyperlink w:anchor="_Toc486846791" w:history="1">
            <w:r w:rsidR="00F905FF" w:rsidRPr="007A148C">
              <w:rPr>
                <w:rStyle w:val="Hyperlink"/>
              </w:rPr>
              <w:t>Contents</w:t>
            </w:r>
            <w:r w:rsidR="00F905FF">
              <w:rPr>
                <w:webHidden/>
              </w:rPr>
              <w:tab/>
            </w:r>
            <w:r w:rsidR="00F905FF">
              <w:rPr>
                <w:webHidden/>
              </w:rPr>
              <w:fldChar w:fldCharType="begin"/>
            </w:r>
            <w:r w:rsidR="00F905FF">
              <w:rPr>
                <w:webHidden/>
              </w:rPr>
              <w:instrText xml:space="preserve"> PAGEREF _Toc486846791 \h </w:instrText>
            </w:r>
            <w:r w:rsidR="00F905FF">
              <w:rPr>
                <w:webHidden/>
              </w:rPr>
            </w:r>
            <w:r w:rsidR="00F905FF">
              <w:rPr>
                <w:webHidden/>
              </w:rPr>
              <w:fldChar w:fldCharType="separate"/>
            </w:r>
            <w:r>
              <w:rPr>
                <w:webHidden/>
              </w:rPr>
              <w:t>5-3</w:t>
            </w:r>
            <w:r w:rsidR="00F905FF">
              <w:rPr>
                <w:webHidden/>
              </w:rPr>
              <w:fldChar w:fldCharType="end"/>
            </w:r>
          </w:hyperlink>
        </w:p>
        <w:p w:rsidR="00F905FF" w:rsidRDefault="00D627A4">
          <w:pPr>
            <w:pStyle w:val="TOC1"/>
            <w:rPr>
              <w:rFonts w:asciiTheme="minorHAnsi" w:eastAsiaTheme="minorEastAsia" w:hAnsiTheme="minorHAnsi"/>
              <w:b w:val="0"/>
              <w:color w:val="auto"/>
              <w:sz w:val="22"/>
              <w:lang w:val="en-AU" w:eastAsia="en-AU"/>
            </w:rPr>
          </w:pPr>
          <w:hyperlink w:anchor="_Toc486846792" w:history="1">
            <w:r w:rsidR="00F905FF" w:rsidRPr="007A148C">
              <w:rPr>
                <w:rStyle w:val="Hyperlink"/>
              </w:rPr>
              <w:t>Shortened forms</w:t>
            </w:r>
            <w:r w:rsidR="00F905FF">
              <w:rPr>
                <w:webHidden/>
              </w:rPr>
              <w:tab/>
            </w:r>
            <w:r w:rsidR="00F905FF">
              <w:rPr>
                <w:webHidden/>
              </w:rPr>
              <w:fldChar w:fldCharType="begin"/>
            </w:r>
            <w:r w:rsidR="00F905FF">
              <w:rPr>
                <w:webHidden/>
              </w:rPr>
              <w:instrText xml:space="preserve"> PAGEREF _Toc486846792 \h </w:instrText>
            </w:r>
            <w:r w:rsidR="00F905FF">
              <w:rPr>
                <w:webHidden/>
              </w:rPr>
            </w:r>
            <w:r w:rsidR="00F905FF">
              <w:rPr>
                <w:webHidden/>
              </w:rPr>
              <w:fldChar w:fldCharType="separate"/>
            </w:r>
            <w:r>
              <w:rPr>
                <w:webHidden/>
              </w:rPr>
              <w:t>5-4</w:t>
            </w:r>
            <w:r w:rsidR="00F905FF">
              <w:rPr>
                <w:webHidden/>
              </w:rPr>
              <w:fldChar w:fldCharType="end"/>
            </w:r>
          </w:hyperlink>
        </w:p>
        <w:p w:rsidR="00F905FF" w:rsidRDefault="00D627A4">
          <w:pPr>
            <w:pStyle w:val="TOC1"/>
            <w:rPr>
              <w:rFonts w:asciiTheme="minorHAnsi" w:eastAsiaTheme="minorEastAsia" w:hAnsiTheme="minorHAnsi"/>
              <w:b w:val="0"/>
              <w:color w:val="auto"/>
              <w:sz w:val="22"/>
              <w:lang w:val="en-AU" w:eastAsia="en-AU"/>
            </w:rPr>
          </w:pPr>
          <w:hyperlink w:anchor="_Toc486846793" w:history="1">
            <w:r w:rsidR="00F905FF" w:rsidRPr="007A148C">
              <w:rPr>
                <w:rStyle w:val="Hyperlink"/>
              </w:rPr>
              <w:t>5</w:t>
            </w:r>
            <w:r w:rsidR="00F905FF">
              <w:rPr>
                <w:rFonts w:asciiTheme="minorHAnsi" w:eastAsiaTheme="minorEastAsia" w:hAnsiTheme="minorHAnsi"/>
                <w:b w:val="0"/>
                <w:color w:val="auto"/>
                <w:sz w:val="22"/>
                <w:lang w:val="en-AU" w:eastAsia="en-AU"/>
              </w:rPr>
              <w:tab/>
            </w:r>
            <w:r w:rsidR="00F905FF" w:rsidRPr="007A148C">
              <w:rPr>
                <w:rStyle w:val="Hyperlink"/>
              </w:rPr>
              <w:t>Regulatory depreciation</w:t>
            </w:r>
            <w:r w:rsidR="00F905FF">
              <w:rPr>
                <w:webHidden/>
              </w:rPr>
              <w:tab/>
            </w:r>
            <w:r w:rsidR="00F905FF">
              <w:rPr>
                <w:webHidden/>
              </w:rPr>
              <w:fldChar w:fldCharType="begin"/>
            </w:r>
            <w:r w:rsidR="00F905FF">
              <w:rPr>
                <w:webHidden/>
              </w:rPr>
              <w:instrText xml:space="preserve"> PAGEREF _Toc486846793 \h </w:instrText>
            </w:r>
            <w:r w:rsidR="00F905FF">
              <w:rPr>
                <w:webHidden/>
              </w:rPr>
            </w:r>
            <w:r w:rsidR="00F905FF">
              <w:rPr>
                <w:webHidden/>
              </w:rPr>
              <w:fldChar w:fldCharType="separate"/>
            </w:r>
            <w:r>
              <w:rPr>
                <w:webHidden/>
              </w:rPr>
              <w:t>5-5</w:t>
            </w:r>
            <w:r w:rsidR="00F905FF">
              <w:rPr>
                <w:webHidden/>
              </w:rPr>
              <w:fldChar w:fldCharType="end"/>
            </w:r>
          </w:hyperlink>
        </w:p>
        <w:p w:rsidR="00F905FF" w:rsidRDefault="00D627A4">
          <w:pPr>
            <w:pStyle w:val="TOC2"/>
            <w:rPr>
              <w:rFonts w:asciiTheme="minorHAnsi" w:eastAsiaTheme="minorEastAsia" w:hAnsiTheme="minorHAnsi"/>
              <w:b w:val="0"/>
              <w:color w:val="auto"/>
              <w:sz w:val="22"/>
              <w:lang w:eastAsia="en-AU"/>
            </w:rPr>
          </w:pPr>
          <w:hyperlink w:anchor="_Toc486846794" w:history="1">
            <w:r w:rsidR="00F905FF" w:rsidRPr="007A148C">
              <w:rPr>
                <w:rStyle w:val="Hyperlink"/>
              </w:rPr>
              <w:t>5.1</w:t>
            </w:r>
            <w:r w:rsidR="00F905FF">
              <w:rPr>
                <w:rFonts w:asciiTheme="minorHAnsi" w:eastAsiaTheme="minorEastAsia" w:hAnsiTheme="minorHAnsi"/>
                <w:b w:val="0"/>
                <w:color w:val="auto"/>
                <w:sz w:val="22"/>
                <w:lang w:eastAsia="en-AU"/>
              </w:rPr>
              <w:tab/>
            </w:r>
            <w:r w:rsidR="00F905FF" w:rsidRPr="007A148C">
              <w:rPr>
                <w:rStyle w:val="Hyperlink"/>
              </w:rPr>
              <w:t>Draft decision</w:t>
            </w:r>
            <w:r w:rsidR="00F905FF">
              <w:rPr>
                <w:webHidden/>
              </w:rPr>
              <w:tab/>
            </w:r>
            <w:r w:rsidR="00F905FF">
              <w:rPr>
                <w:webHidden/>
              </w:rPr>
              <w:fldChar w:fldCharType="begin"/>
            </w:r>
            <w:r w:rsidR="00F905FF">
              <w:rPr>
                <w:webHidden/>
              </w:rPr>
              <w:instrText xml:space="preserve"> PAGEREF _Toc486846794 \h </w:instrText>
            </w:r>
            <w:r w:rsidR="00F905FF">
              <w:rPr>
                <w:webHidden/>
              </w:rPr>
            </w:r>
            <w:r w:rsidR="00F905FF">
              <w:rPr>
                <w:webHidden/>
              </w:rPr>
              <w:fldChar w:fldCharType="separate"/>
            </w:r>
            <w:r>
              <w:rPr>
                <w:webHidden/>
              </w:rPr>
              <w:t>5-5</w:t>
            </w:r>
            <w:r w:rsidR="00F905FF">
              <w:rPr>
                <w:webHidden/>
              </w:rPr>
              <w:fldChar w:fldCharType="end"/>
            </w:r>
          </w:hyperlink>
        </w:p>
        <w:p w:rsidR="00F905FF" w:rsidRDefault="00D627A4">
          <w:pPr>
            <w:pStyle w:val="TOC2"/>
            <w:rPr>
              <w:rFonts w:asciiTheme="minorHAnsi" w:eastAsiaTheme="minorEastAsia" w:hAnsiTheme="minorHAnsi"/>
              <w:b w:val="0"/>
              <w:color w:val="auto"/>
              <w:sz w:val="22"/>
              <w:lang w:eastAsia="en-AU"/>
            </w:rPr>
          </w:pPr>
          <w:hyperlink w:anchor="_Toc486846795" w:history="1">
            <w:r w:rsidR="00F905FF" w:rsidRPr="007A148C">
              <w:rPr>
                <w:rStyle w:val="Hyperlink"/>
              </w:rPr>
              <w:t>5.2</w:t>
            </w:r>
            <w:r w:rsidR="00F905FF">
              <w:rPr>
                <w:rFonts w:asciiTheme="minorHAnsi" w:eastAsiaTheme="minorEastAsia" w:hAnsiTheme="minorHAnsi"/>
                <w:b w:val="0"/>
                <w:color w:val="auto"/>
                <w:sz w:val="22"/>
                <w:lang w:eastAsia="en-AU"/>
              </w:rPr>
              <w:tab/>
            </w:r>
            <w:r w:rsidR="00F905FF" w:rsidRPr="007A148C">
              <w:rPr>
                <w:rStyle w:val="Hyperlink"/>
              </w:rPr>
              <w:t>APTPPL's proposal</w:t>
            </w:r>
            <w:r w:rsidR="00F905FF">
              <w:rPr>
                <w:webHidden/>
              </w:rPr>
              <w:tab/>
            </w:r>
            <w:r w:rsidR="00F905FF">
              <w:rPr>
                <w:webHidden/>
              </w:rPr>
              <w:fldChar w:fldCharType="begin"/>
            </w:r>
            <w:r w:rsidR="00F905FF">
              <w:rPr>
                <w:webHidden/>
              </w:rPr>
              <w:instrText xml:space="preserve"> PAGEREF _Toc486846795 \h </w:instrText>
            </w:r>
            <w:r w:rsidR="00F905FF">
              <w:rPr>
                <w:webHidden/>
              </w:rPr>
            </w:r>
            <w:r w:rsidR="00F905FF">
              <w:rPr>
                <w:webHidden/>
              </w:rPr>
              <w:fldChar w:fldCharType="separate"/>
            </w:r>
            <w:r>
              <w:rPr>
                <w:webHidden/>
              </w:rPr>
              <w:t>5-6</w:t>
            </w:r>
            <w:r w:rsidR="00F905FF">
              <w:rPr>
                <w:webHidden/>
              </w:rPr>
              <w:fldChar w:fldCharType="end"/>
            </w:r>
          </w:hyperlink>
        </w:p>
        <w:p w:rsidR="00F905FF" w:rsidRDefault="00D627A4">
          <w:pPr>
            <w:pStyle w:val="TOC2"/>
            <w:rPr>
              <w:rFonts w:asciiTheme="minorHAnsi" w:eastAsiaTheme="minorEastAsia" w:hAnsiTheme="minorHAnsi"/>
              <w:b w:val="0"/>
              <w:color w:val="auto"/>
              <w:sz w:val="22"/>
              <w:lang w:eastAsia="en-AU"/>
            </w:rPr>
          </w:pPr>
          <w:hyperlink w:anchor="_Toc486846796" w:history="1">
            <w:r w:rsidR="00F905FF" w:rsidRPr="007A148C">
              <w:rPr>
                <w:rStyle w:val="Hyperlink"/>
              </w:rPr>
              <w:t>5.3</w:t>
            </w:r>
            <w:r w:rsidR="00F905FF">
              <w:rPr>
                <w:rFonts w:asciiTheme="minorHAnsi" w:eastAsiaTheme="minorEastAsia" w:hAnsiTheme="minorHAnsi"/>
                <w:b w:val="0"/>
                <w:color w:val="auto"/>
                <w:sz w:val="22"/>
                <w:lang w:eastAsia="en-AU"/>
              </w:rPr>
              <w:tab/>
            </w:r>
            <w:r w:rsidR="00F905FF" w:rsidRPr="007A148C">
              <w:rPr>
                <w:rStyle w:val="Hyperlink"/>
              </w:rPr>
              <w:t>AER’s assessment approach</w:t>
            </w:r>
            <w:r w:rsidR="00F905FF">
              <w:rPr>
                <w:webHidden/>
              </w:rPr>
              <w:tab/>
            </w:r>
            <w:r w:rsidR="00F905FF">
              <w:rPr>
                <w:webHidden/>
              </w:rPr>
              <w:fldChar w:fldCharType="begin"/>
            </w:r>
            <w:r w:rsidR="00F905FF">
              <w:rPr>
                <w:webHidden/>
              </w:rPr>
              <w:instrText xml:space="preserve"> PAGEREF _Toc486846796 \h </w:instrText>
            </w:r>
            <w:r w:rsidR="00F905FF">
              <w:rPr>
                <w:webHidden/>
              </w:rPr>
            </w:r>
            <w:r w:rsidR="00F905FF">
              <w:rPr>
                <w:webHidden/>
              </w:rPr>
              <w:fldChar w:fldCharType="separate"/>
            </w:r>
            <w:r>
              <w:rPr>
                <w:webHidden/>
              </w:rPr>
              <w:t>5-8</w:t>
            </w:r>
            <w:r w:rsidR="00F905FF">
              <w:rPr>
                <w:webHidden/>
              </w:rPr>
              <w:fldChar w:fldCharType="end"/>
            </w:r>
          </w:hyperlink>
        </w:p>
        <w:p w:rsidR="00F905FF" w:rsidRDefault="00D627A4">
          <w:pPr>
            <w:pStyle w:val="TOC3"/>
            <w:rPr>
              <w:rFonts w:asciiTheme="minorHAnsi" w:eastAsiaTheme="minorEastAsia" w:hAnsiTheme="minorHAnsi"/>
              <w:lang w:eastAsia="en-AU"/>
            </w:rPr>
          </w:pPr>
          <w:hyperlink w:anchor="_Toc486846797" w:history="1">
            <w:r w:rsidR="00F905FF" w:rsidRPr="007A148C">
              <w:rPr>
                <w:rStyle w:val="Hyperlink"/>
              </w:rPr>
              <w:t>5.3.1</w:t>
            </w:r>
            <w:r w:rsidR="00F905FF">
              <w:rPr>
                <w:rFonts w:asciiTheme="minorHAnsi" w:eastAsiaTheme="minorEastAsia" w:hAnsiTheme="minorHAnsi"/>
                <w:lang w:eastAsia="en-AU"/>
              </w:rPr>
              <w:tab/>
            </w:r>
            <w:r w:rsidR="00F905FF" w:rsidRPr="007A148C">
              <w:rPr>
                <w:rStyle w:val="Hyperlink"/>
              </w:rPr>
              <w:t>Interrelationships</w:t>
            </w:r>
            <w:r w:rsidR="00F905FF">
              <w:rPr>
                <w:webHidden/>
              </w:rPr>
              <w:tab/>
            </w:r>
            <w:r w:rsidR="00F905FF">
              <w:rPr>
                <w:webHidden/>
              </w:rPr>
              <w:fldChar w:fldCharType="begin"/>
            </w:r>
            <w:r w:rsidR="00F905FF">
              <w:rPr>
                <w:webHidden/>
              </w:rPr>
              <w:instrText xml:space="preserve"> PAGEREF _Toc486846797 \h </w:instrText>
            </w:r>
            <w:r w:rsidR="00F905FF">
              <w:rPr>
                <w:webHidden/>
              </w:rPr>
            </w:r>
            <w:r w:rsidR="00F905FF">
              <w:rPr>
                <w:webHidden/>
              </w:rPr>
              <w:fldChar w:fldCharType="separate"/>
            </w:r>
            <w:r>
              <w:rPr>
                <w:webHidden/>
              </w:rPr>
              <w:t>5-10</w:t>
            </w:r>
            <w:r w:rsidR="00F905FF">
              <w:rPr>
                <w:webHidden/>
              </w:rPr>
              <w:fldChar w:fldCharType="end"/>
            </w:r>
          </w:hyperlink>
        </w:p>
        <w:p w:rsidR="00F905FF" w:rsidRDefault="00D627A4">
          <w:pPr>
            <w:pStyle w:val="TOC2"/>
            <w:rPr>
              <w:rFonts w:asciiTheme="minorHAnsi" w:eastAsiaTheme="minorEastAsia" w:hAnsiTheme="minorHAnsi"/>
              <w:b w:val="0"/>
              <w:color w:val="auto"/>
              <w:sz w:val="22"/>
              <w:lang w:eastAsia="en-AU"/>
            </w:rPr>
          </w:pPr>
          <w:hyperlink w:anchor="_Toc486846798" w:history="1">
            <w:r w:rsidR="00F905FF" w:rsidRPr="007A148C">
              <w:rPr>
                <w:rStyle w:val="Hyperlink"/>
              </w:rPr>
              <w:t>5.4</w:t>
            </w:r>
            <w:r w:rsidR="00F905FF">
              <w:rPr>
                <w:rFonts w:asciiTheme="minorHAnsi" w:eastAsiaTheme="minorEastAsia" w:hAnsiTheme="minorHAnsi"/>
                <w:b w:val="0"/>
                <w:color w:val="auto"/>
                <w:sz w:val="22"/>
                <w:lang w:eastAsia="en-AU"/>
              </w:rPr>
              <w:tab/>
            </w:r>
            <w:r w:rsidR="00F905FF" w:rsidRPr="007A148C">
              <w:rPr>
                <w:rStyle w:val="Hyperlink"/>
              </w:rPr>
              <w:t>Reasons for draft decision</w:t>
            </w:r>
            <w:r w:rsidR="00F905FF">
              <w:rPr>
                <w:webHidden/>
              </w:rPr>
              <w:tab/>
            </w:r>
            <w:r w:rsidR="00F905FF">
              <w:rPr>
                <w:webHidden/>
              </w:rPr>
              <w:fldChar w:fldCharType="begin"/>
            </w:r>
            <w:r w:rsidR="00F905FF">
              <w:rPr>
                <w:webHidden/>
              </w:rPr>
              <w:instrText xml:space="preserve"> PAGEREF _Toc486846798 \h </w:instrText>
            </w:r>
            <w:r w:rsidR="00F905FF">
              <w:rPr>
                <w:webHidden/>
              </w:rPr>
            </w:r>
            <w:r w:rsidR="00F905FF">
              <w:rPr>
                <w:webHidden/>
              </w:rPr>
              <w:fldChar w:fldCharType="separate"/>
            </w:r>
            <w:r>
              <w:rPr>
                <w:webHidden/>
              </w:rPr>
              <w:t>5-12</w:t>
            </w:r>
            <w:r w:rsidR="00F905FF">
              <w:rPr>
                <w:webHidden/>
              </w:rPr>
              <w:fldChar w:fldCharType="end"/>
            </w:r>
          </w:hyperlink>
        </w:p>
        <w:p w:rsidR="00F905FF" w:rsidRDefault="00D627A4">
          <w:pPr>
            <w:pStyle w:val="TOC3"/>
            <w:rPr>
              <w:rFonts w:asciiTheme="minorHAnsi" w:eastAsiaTheme="minorEastAsia" w:hAnsiTheme="minorHAnsi"/>
              <w:lang w:eastAsia="en-AU"/>
            </w:rPr>
          </w:pPr>
          <w:hyperlink w:anchor="_Toc486846799" w:history="1">
            <w:r w:rsidR="00F905FF" w:rsidRPr="007A148C">
              <w:rPr>
                <w:rStyle w:val="Hyperlink"/>
              </w:rPr>
              <w:t>5.4.1</w:t>
            </w:r>
            <w:r w:rsidR="00F905FF">
              <w:rPr>
                <w:rFonts w:asciiTheme="minorHAnsi" w:eastAsiaTheme="minorEastAsia" w:hAnsiTheme="minorHAnsi"/>
                <w:lang w:eastAsia="en-AU"/>
              </w:rPr>
              <w:tab/>
            </w:r>
            <w:r w:rsidR="00F905FF" w:rsidRPr="007A148C">
              <w:rPr>
                <w:rStyle w:val="Hyperlink"/>
              </w:rPr>
              <w:t>Asset class consolidation</w:t>
            </w:r>
            <w:r w:rsidR="00F905FF">
              <w:rPr>
                <w:webHidden/>
              </w:rPr>
              <w:tab/>
            </w:r>
            <w:r w:rsidR="00F905FF">
              <w:rPr>
                <w:webHidden/>
              </w:rPr>
              <w:fldChar w:fldCharType="begin"/>
            </w:r>
            <w:r w:rsidR="00F905FF">
              <w:rPr>
                <w:webHidden/>
              </w:rPr>
              <w:instrText xml:space="preserve"> PAGEREF _Toc486846799 \h </w:instrText>
            </w:r>
            <w:r w:rsidR="00F905FF">
              <w:rPr>
                <w:webHidden/>
              </w:rPr>
            </w:r>
            <w:r w:rsidR="00F905FF">
              <w:rPr>
                <w:webHidden/>
              </w:rPr>
              <w:fldChar w:fldCharType="separate"/>
            </w:r>
            <w:r>
              <w:rPr>
                <w:webHidden/>
              </w:rPr>
              <w:t>5-14</w:t>
            </w:r>
            <w:r w:rsidR="00F905FF">
              <w:rPr>
                <w:webHidden/>
              </w:rPr>
              <w:fldChar w:fldCharType="end"/>
            </w:r>
          </w:hyperlink>
        </w:p>
        <w:p w:rsidR="00F905FF" w:rsidRDefault="00D627A4">
          <w:pPr>
            <w:pStyle w:val="TOC3"/>
            <w:rPr>
              <w:rFonts w:asciiTheme="minorHAnsi" w:eastAsiaTheme="minorEastAsia" w:hAnsiTheme="minorHAnsi"/>
              <w:lang w:eastAsia="en-AU"/>
            </w:rPr>
          </w:pPr>
          <w:hyperlink w:anchor="_Toc486846800" w:history="1">
            <w:r w:rsidR="00F905FF" w:rsidRPr="007A148C">
              <w:rPr>
                <w:rStyle w:val="Hyperlink"/>
              </w:rPr>
              <w:t>5.4.2</w:t>
            </w:r>
            <w:r w:rsidR="00F905FF">
              <w:rPr>
                <w:rFonts w:asciiTheme="minorHAnsi" w:eastAsiaTheme="minorEastAsia" w:hAnsiTheme="minorHAnsi"/>
                <w:lang w:eastAsia="en-AU"/>
              </w:rPr>
              <w:tab/>
            </w:r>
            <w:r w:rsidR="00F905FF" w:rsidRPr="007A148C">
              <w:rPr>
                <w:rStyle w:val="Hyperlink"/>
              </w:rPr>
              <w:t>Accelerated depreciation – redundant compressors</w:t>
            </w:r>
            <w:r w:rsidR="00F905FF">
              <w:rPr>
                <w:webHidden/>
              </w:rPr>
              <w:tab/>
            </w:r>
            <w:r w:rsidR="00F905FF">
              <w:rPr>
                <w:webHidden/>
              </w:rPr>
              <w:fldChar w:fldCharType="begin"/>
            </w:r>
            <w:r w:rsidR="00F905FF">
              <w:rPr>
                <w:webHidden/>
              </w:rPr>
              <w:instrText xml:space="preserve"> PAGEREF _Toc486846800 \h </w:instrText>
            </w:r>
            <w:r w:rsidR="00F905FF">
              <w:rPr>
                <w:webHidden/>
              </w:rPr>
            </w:r>
            <w:r w:rsidR="00F905FF">
              <w:rPr>
                <w:webHidden/>
              </w:rPr>
              <w:fldChar w:fldCharType="separate"/>
            </w:r>
            <w:r>
              <w:rPr>
                <w:webHidden/>
              </w:rPr>
              <w:t>5-15</w:t>
            </w:r>
            <w:r w:rsidR="00F905FF">
              <w:rPr>
                <w:webHidden/>
              </w:rPr>
              <w:fldChar w:fldCharType="end"/>
            </w:r>
          </w:hyperlink>
        </w:p>
        <w:p w:rsidR="00F905FF" w:rsidRDefault="00D627A4">
          <w:pPr>
            <w:pStyle w:val="TOC3"/>
            <w:rPr>
              <w:rFonts w:asciiTheme="minorHAnsi" w:eastAsiaTheme="minorEastAsia" w:hAnsiTheme="minorHAnsi"/>
              <w:lang w:eastAsia="en-AU"/>
            </w:rPr>
          </w:pPr>
          <w:hyperlink w:anchor="_Toc486846801" w:history="1">
            <w:r w:rsidR="00F905FF" w:rsidRPr="007A148C">
              <w:rPr>
                <w:rStyle w:val="Hyperlink"/>
              </w:rPr>
              <w:t>5.4.3</w:t>
            </w:r>
            <w:r w:rsidR="00F905FF">
              <w:rPr>
                <w:rFonts w:asciiTheme="minorHAnsi" w:eastAsiaTheme="minorEastAsia" w:hAnsiTheme="minorHAnsi"/>
                <w:lang w:eastAsia="en-AU"/>
              </w:rPr>
              <w:tab/>
            </w:r>
            <w:r w:rsidR="00F905FF" w:rsidRPr="007A148C">
              <w:rPr>
                <w:rStyle w:val="Hyperlink"/>
              </w:rPr>
              <w:t>Asset lives</w:t>
            </w:r>
            <w:r w:rsidR="00F905FF">
              <w:rPr>
                <w:webHidden/>
              </w:rPr>
              <w:tab/>
            </w:r>
            <w:r w:rsidR="00F905FF">
              <w:rPr>
                <w:webHidden/>
              </w:rPr>
              <w:fldChar w:fldCharType="begin"/>
            </w:r>
            <w:r w:rsidR="00F905FF">
              <w:rPr>
                <w:webHidden/>
              </w:rPr>
              <w:instrText xml:space="preserve"> PAGEREF _Toc486846801 \h </w:instrText>
            </w:r>
            <w:r w:rsidR="00F905FF">
              <w:rPr>
                <w:webHidden/>
              </w:rPr>
            </w:r>
            <w:r w:rsidR="00F905FF">
              <w:rPr>
                <w:webHidden/>
              </w:rPr>
              <w:fldChar w:fldCharType="separate"/>
            </w:r>
            <w:r>
              <w:rPr>
                <w:webHidden/>
              </w:rPr>
              <w:t>5-15</w:t>
            </w:r>
            <w:r w:rsidR="00F905FF">
              <w:rPr>
                <w:webHidden/>
              </w:rPr>
              <w:fldChar w:fldCharType="end"/>
            </w:r>
          </w:hyperlink>
        </w:p>
        <w:p w:rsidR="00F905FF" w:rsidRDefault="00D627A4">
          <w:pPr>
            <w:pStyle w:val="TOC2"/>
            <w:rPr>
              <w:rFonts w:asciiTheme="minorHAnsi" w:eastAsiaTheme="minorEastAsia" w:hAnsiTheme="minorHAnsi"/>
              <w:b w:val="0"/>
              <w:color w:val="auto"/>
              <w:sz w:val="22"/>
              <w:lang w:eastAsia="en-AU"/>
            </w:rPr>
          </w:pPr>
          <w:hyperlink w:anchor="_Toc486846802" w:history="1">
            <w:r w:rsidR="00F905FF" w:rsidRPr="007A148C">
              <w:rPr>
                <w:rStyle w:val="Hyperlink"/>
              </w:rPr>
              <w:t>5.5</w:t>
            </w:r>
            <w:r w:rsidR="00F905FF">
              <w:rPr>
                <w:rFonts w:asciiTheme="minorHAnsi" w:eastAsiaTheme="minorEastAsia" w:hAnsiTheme="minorHAnsi"/>
                <w:b w:val="0"/>
                <w:color w:val="auto"/>
                <w:sz w:val="22"/>
                <w:lang w:eastAsia="en-AU"/>
              </w:rPr>
              <w:tab/>
            </w:r>
            <w:r w:rsidR="00F905FF" w:rsidRPr="007A148C">
              <w:rPr>
                <w:rStyle w:val="Hyperlink"/>
              </w:rPr>
              <w:t>Revisions</w:t>
            </w:r>
            <w:r w:rsidR="00F905FF">
              <w:rPr>
                <w:webHidden/>
              </w:rPr>
              <w:tab/>
            </w:r>
            <w:r w:rsidR="00F905FF">
              <w:rPr>
                <w:webHidden/>
              </w:rPr>
              <w:fldChar w:fldCharType="begin"/>
            </w:r>
            <w:r w:rsidR="00F905FF">
              <w:rPr>
                <w:webHidden/>
              </w:rPr>
              <w:instrText xml:space="preserve"> PAGEREF _Toc486846802 \h </w:instrText>
            </w:r>
            <w:r w:rsidR="00F905FF">
              <w:rPr>
                <w:webHidden/>
              </w:rPr>
            </w:r>
            <w:r w:rsidR="00F905FF">
              <w:rPr>
                <w:webHidden/>
              </w:rPr>
              <w:fldChar w:fldCharType="separate"/>
            </w:r>
            <w:r>
              <w:rPr>
                <w:webHidden/>
              </w:rPr>
              <w:t>5-17</w:t>
            </w:r>
            <w:r w:rsidR="00F905FF">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86846792"/>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117255" w:rsidTr="00117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Shortened form</w:t>
            </w:r>
          </w:p>
        </w:tc>
        <w:tc>
          <w:tcPr>
            <w:tcW w:w="5041" w:type="dxa"/>
          </w:tcPr>
          <w:p w:rsidR="00117255" w:rsidRDefault="00117255" w:rsidP="00117255">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117255" w:rsidTr="00117255">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AER</w:t>
            </w:r>
          </w:p>
        </w:tc>
        <w:tc>
          <w:tcPr>
            <w:tcW w:w="5041" w:type="dxa"/>
          </w:tcPr>
          <w:p w:rsidR="00117255" w:rsidRDefault="00117255" w:rsidP="00117255">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117255" w:rsidTr="00117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ATO</w:t>
            </w:r>
          </w:p>
        </w:tc>
        <w:tc>
          <w:tcPr>
            <w:tcW w:w="5041" w:type="dxa"/>
          </w:tcPr>
          <w:p w:rsidR="00117255" w:rsidRPr="00650EFA" w:rsidRDefault="00117255" w:rsidP="00117255">
            <w:pPr>
              <w:cnfStyle w:val="000000010000" w:firstRow="0" w:lastRow="0" w:firstColumn="0" w:lastColumn="0" w:oddVBand="0" w:evenVBand="0" w:oddHBand="0" w:evenHBand="1" w:firstRowFirstColumn="0" w:firstRowLastColumn="0" w:lastRowFirstColumn="0" w:lastRowLastColumn="0"/>
            </w:pPr>
            <w:r>
              <w:t>Australian Tax Office</w:t>
            </w:r>
          </w:p>
        </w:tc>
      </w:tr>
      <w:tr w:rsidR="00117255" w:rsidTr="00117255">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capex</w:t>
            </w:r>
          </w:p>
        </w:tc>
        <w:tc>
          <w:tcPr>
            <w:tcW w:w="5041" w:type="dxa"/>
          </w:tcPr>
          <w:p w:rsidR="00117255" w:rsidRDefault="00117255" w:rsidP="00117255">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117255" w:rsidTr="00117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CAPM</w:t>
            </w:r>
          </w:p>
        </w:tc>
        <w:tc>
          <w:tcPr>
            <w:tcW w:w="5041" w:type="dxa"/>
          </w:tcPr>
          <w:p w:rsidR="00117255" w:rsidRDefault="00117255" w:rsidP="00117255">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117255" w:rsidTr="00117255">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CPI</w:t>
            </w:r>
          </w:p>
        </w:tc>
        <w:tc>
          <w:tcPr>
            <w:tcW w:w="5041" w:type="dxa"/>
          </w:tcPr>
          <w:p w:rsidR="00117255" w:rsidRDefault="00117255" w:rsidP="00117255">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117255" w:rsidTr="00117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DRP</w:t>
            </w:r>
          </w:p>
        </w:tc>
        <w:tc>
          <w:tcPr>
            <w:tcW w:w="5041" w:type="dxa"/>
          </w:tcPr>
          <w:p w:rsidR="00117255" w:rsidRDefault="00117255" w:rsidP="00117255">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117255" w:rsidTr="00117255">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ECM</w:t>
            </w:r>
          </w:p>
        </w:tc>
        <w:tc>
          <w:tcPr>
            <w:tcW w:w="5041" w:type="dxa"/>
          </w:tcPr>
          <w:p w:rsidR="00117255" w:rsidRPr="00650EFA" w:rsidRDefault="00117255" w:rsidP="00117255">
            <w:pPr>
              <w:cnfStyle w:val="000000000000" w:firstRow="0" w:lastRow="0" w:firstColumn="0" w:lastColumn="0" w:oddVBand="0" w:evenVBand="0" w:oddHBand="0" w:evenHBand="0" w:firstRowFirstColumn="0" w:firstRowLastColumn="0" w:lastRowFirstColumn="0" w:lastRowLastColumn="0"/>
            </w:pPr>
            <w:r>
              <w:t>(Opex) Efficiency Carryover Mechanism</w:t>
            </w:r>
          </w:p>
        </w:tc>
      </w:tr>
      <w:tr w:rsidR="00117255" w:rsidTr="00117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ERP</w:t>
            </w:r>
          </w:p>
        </w:tc>
        <w:tc>
          <w:tcPr>
            <w:tcW w:w="5041" w:type="dxa"/>
          </w:tcPr>
          <w:p w:rsidR="00117255" w:rsidRDefault="00117255" w:rsidP="00117255">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117255" w:rsidTr="00117255">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Expenditure Guideline</w:t>
            </w:r>
          </w:p>
        </w:tc>
        <w:tc>
          <w:tcPr>
            <w:tcW w:w="5041" w:type="dxa"/>
          </w:tcPr>
          <w:p w:rsidR="00117255" w:rsidRPr="00650EFA" w:rsidRDefault="00117255" w:rsidP="00117255">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117255" w:rsidTr="00117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gamma</w:t>
            </w:r>
          </w:p>
        </w:tc>
        <w:tc>
          <w:tcPr>
            <w:tcW w:w="5041" w:type="dxa"/>
          </w:tcPr>
          <w:p w:rsidR="00117255" w:rsidRPr="00650EFA" w:rsidRDefault="00117255" w:rsidP="00117255">
            <w:pPr>
              <w:cnfStyle w:val="000000010000" w:firstRow="0" w:lastRow="0" w:firstColumn="0" w:lastColumn="0" w:oddVBand="0" w:evenVBand="0" w:oddHBand="0" w:evenHBand="1" w:firstRowFirstColumn="0" w:firstRowLastColumn="0" w:lastRowFirstColumn="0" w:lastRowLastColumn="0"/>
            </w:pPr>
            <w:r>
              <w:t>Value of Imputation Credits</w:t>
            </w:r>
          </w:p>
        </w:tc>
      </w:tr>
      <w:tr w:rsidR="00117255" w:rsidTr="00117255">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MRP</w:t>
            </w:r>
          </w:p>
        </w:tc>
        <w:tc>
          <w:tcPr>
            <w:tcW w:w="5041" w:type="dxa"/>
          </w:tcPr>
          <w:p w:rsidR="00117255" w:rsidRDefault="00117255" w:rsidP="00117255">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117255" w:rsidTr="00117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NGL</w:t>
            </w:r>
          </w:p>
        </w:tc>
        <w:tc>
          <w:tcPr>
            <w:tcW w:w="5041" w:type="dxa"/>
          </w:tcPr>
          <w:p w:rsidR="00117255" w:rsidRDefault="00117255" w:rsidP="00117255">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117255" w:rsidTr="00117255">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NGO</w:t>
            </w:r>
          </w:p>
        </w:tc>
        <w:tc>
          <w:tcPr>
            <w:tcW w:w="5041" w:type="dxa"/>
          </w:tcPr>
          <w:p w:rsidR="00117255" w:rsidRDefault="00117255" w:rsidP="00117255">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117255" w:rsidTr="00117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NGR</w:t>
            </w:r>
          </w:p>
        </w:tc>
        <w:tc>
          <w:tcPr>
            <w:tcW w:w="5041" w:type="dxa"/>
          </w:tcPr>
          <w:p w:rsidR="00117255" w:rsidRDefault="00117255" w:rsidP="00117255">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117255" w:rsidTr="00117255">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NPV</w:t>
            </w:r>
          </w:p>
        </w:tc>
        <w:tc>
          <w:tcPr>
            <w:tcW w:w="5041" w:type="dxa"/>
          </w:tcPr>
          <w:p w:rsidR="00117255" w:rsidRPr="00650EFA" w:rsidRDefault="00117255" w:rsidP="00117255">
            <w:pPr>
              <w:cnfStyle w:val="000000000000" w:firstRow="0" w:lastRow="0" w:firstColumn="0" w:lastColumn="0" w:oddVBand="0" w:evenVBand="0" w:oddHBand="0" w:evenHBand="0" w:firstRowFirstColumn="0" w:firstRowLastColumn="0" w:lastRowFirstColumn="0" w:lastRowLastColumn="0"/>
            </w:pPr>
            <w:r>
              <w:t>net present value</w:t>
            </w:r>
          </w:p>
        </w:tc>
      </w:tr>
      <w:tr w:rsidR="00117255" w:rsidTr="00117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opex</w:t>
            </w:r>
          </w:p>
        </w:tc>
        <w:tc>
          <w:tcPr>
            <w:tcW w:w="5041" w:type="dxa"/>
          </w:tcPr>
          <w:p w:rsidR="00117255" w:rsidRDefault="00117255" w:rsidP="00117255">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117255" w:rsidTr="00117255">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PTRM</w:t>
            </w:r>
          </w:p>
        </w:tc>
        <w:tc>
          <w:tcPr>
            <w:tcW w:w="5041" w:type="dxa"/>
          </w:tcPr>
          <w:p w:rsidR="00117255" w:rsidRDefault="00117255" w:rsidP="00117255">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117255" w:rsidTr="00117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RBA</w:t>
            </w:r>
          </w:p>
        </w:tc>
        <w:tc>
          <w:tcPr>
            <w:tcW w:w="5041" w:type="dxa"/>
          </w:tcPr>
          <w:p w:rsidR="00117255" w:rsidRDefault="00117255" w:rsidP="00117255">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117255" w:rsidTr="00117255">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RFM</w:t>
            </w:r>
          </w:p>
        </w:tc>
        <w:tc>
          <w:tcPr>
            <w:tcW w:w="5041" w:type="dxa"/>
          </w:tcPr>
          <w:p w:rsidR="00117255" w:rsidRDefault="00117255" w:rsidP="00117255">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117255" w:rsidTr="00117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RIN</w:t>
            </w:r>
          </w:p>
        </w:tc>
        <w:tc>
          <w:tcPr>
            <w:tcW w:w="5041" w:type="dxa"/>
          </w:tcPr>
          <w:p w:rsidR="00117255" w:rsidRDefault="00117255" w:rsidP="00117255">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117255" w:rsidTr="00117255">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RPP</w:t>
            </w:r>
          </w:p>
        </w:tc>
        <w:tc>
          <w:tcPr>
            <w:tcW w:w="5041" w:type="dxa"/>
          </w:tcPr>
          <w:p w:rsidR="00117255" w:rsidRDefault="00117255" w:rsidP="00117255">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117255" w:rsidTr="00117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SLCAPM</w:t>
            </w:r>
          </w:p>
        </w:tc>
        <w:tc>
          <w:tcPr>
            <w:tcW w:w="5041" w:type="dxa"/>
          </w:tcPr>
          <w:p w:rsidR="00117255" w:rsidRDefault="00117255" w:rsidP="00117255">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117255" w:rsidTr="00117255">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STTM</w:t>
            </w:r>
          </w:p>
        </w:tc>
        <w:tc>
          <w:tcPr>
            <w:tcW w:w="5041" w:type="dxa"/>
          </w:tcPr>
          <w:p w:rsidR="00117255" w:rsidRPr="00650EFA" w:rsidRDefault="00117255" w:rsidP="00117255">
            <w:pPr>
              <w:cnfStyle w:val="000000000000" w:firstRow="0" w:lastRow="0" w:firstColumn="0" w:lastColumn="0" w:oddVBand="0" w:evenVBand="0" w:oddHBand="0" w:evenHBand="0" w:firstRowFirstColumn="0" w:firstRowLastColumn="0" w:lastRowFirstColumn="0" w:lastRowLastColumn="0"/>
            </w:pPr>
            <w:r>
              <w:t>Short Term Trading Market</w:t>
            </w:r>
          </w:p>
        </w:tc>
      </w:tr>
      <w:tr w:rsidR="00117255" w:rsidTr="00117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TAB</w:t>
            </w:r>
          </w:p>
        </w:tc>
        <w:tc>
          <w:tcPr>
            <w:tcW w:w="5041" w:type="dxa"/>
          </w:tcPr>
          <w:p w:rsidR="00117255" w:rsidRPr="00650EFA" w:rsidRDefault="00117255" w:rsidP="00117255">
            <w:pPr>
              <w:cnfStyle w:val="000000010000" w:firstRow="0" w:lastRow="0" w:firstColumn="0" w:lastColumn="0" w:oddVBand="0" w:evenVBand="0" w:oddHBand="0" w:evenHBand="1" w:firstRowFirstColumn="0" w:firstRowLastColumn="0" w:lastRowFirstColumn="0" w:lastRowLastColumn="0"/>
            </w:pPr>
            <w:r>
              <w:t>Tax asset base</w:t>
            </w:r>
          </w:p>
        </w:tc>
      </w:tr>
      <w:tr w:rsidR="00117255" w:rsidTr="00117255">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UAFG</w:t>
            </w:r>
          </w:p>
        </w:tc>
        <w:tc>
          <w:tcPr>
            <w:tcW w:w="5041" w:type="dxa"/>
          </w:tcPr>
          <w:p w:rsidR="00117255" w:rsidRPr="00650EFA" w:rsidRDefault="00117255" w:rsidP="00117255">
            <w:pPr>
              <w:cnfStyle w:val="000000000000" w:firstRow="0" w:lastRow="0" w:firstColumn="0" w:lastColumn="0" w:oddVBand="0" w:evenVBand="0" w:oddHBand="0" w:evenHBand="0" w:firstRowFirstColumn="0" w:firstRowLastColumn="0" w:lastRowFirstColumn="0" w:lastRowLastColumn="0"/>
            </w:pPr>
            <w:r>
              <w:t>Unaccounted for gas</w:t>
            </w:r>
          </w:p>
        </w:tc>
      </w:tr>
      <w:tr w:rsidR="00117255" w:rsidTr="00117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WACC</w:t>
            </w:r>
          </w:p>
        </w:tc>
        <w:tc>
          <w:tcPr>
            <w:tcW w:w="5041" w:type="dxa"/>
          </w:tcPr>
          <w:p w:rsidR="00117255" w:rsidRDefault="00117255" w:rsidP="00117255">
            <w:pPr>
              <w:numPr>
                <w:ilvl w:val="0"/>
                <w:numId w:val="24"/>
              </w:numPr>
              <w:cnfStyle w:val="000000010000" w:firstRow="0" w:lastRow="0" w:firstColumn="0" w:lastColumn="0" w:oddVBand="0" w:evenVBand="0" w:oddHBand="0" w:evenHBand="1" w:firstRowFirstColumn="0" w:firstRowLastColumn="0" w:lastRowFirstColumn="0" w:lastRowLastColumn="0"/>
            </w:pPr>
            <w:r>
              <w:t>weighted average cost of capital</w:t>
            </w:r>
          </w:p>
        </w:tc>
      </w:tr>
      <w:tr w:rsidR="00117255" w:rsidTr="00117255">
        <w:tc>
          <w:tcPr>
            <w:cnfStyle w:val="001000000000" w:firstRow="0" w:lastRow="0" w:firstColumn="1" w:lastColumn="0" w:oddVBand="0" w:evenVBand="0" w:oddHBand="0" w:evenHBand="0" w:firstRowFirstColumn="0" w:firstRowLastColumn="0" w:lastRowFirstColumn="0" w:lastRowLastColumn="0"/>
            <w:tcW w:w="3652" w:type="dxa"/>
          </w:tcPr>
          <w:p w:rsidR="00117255" w:rsidRDefault="00117255" w:rsidP="00117255">
            <w:pPr>
              <w:numPr>
                <w:ilvl w:val="0"/>
                <w:numId w:val="24"/>
              </w:numPr>
            </w:pPr>
            <w:r>
              <w:t>WPI</w:t>
            </w:r>
          </w:p>
        </w:tc>
        <w:tc>
          <w:tcPr>
            <w:tcW w:w="5041" w:type="dxa"/>
          </w:tcPr>
          <w:p w:rsidR="00117255" w:rsidRPr="00650EFA" w:rsidRDefault="00117255" w:rsidP="00117255">
            <w:pPr>
              <w:cnfStyle w:val="000000000000" w:firstRow="0" w:lastRow="0" w:firstColumn="0" w:lastColumn="0" w:oddVBand="0" w:evenVBand="0" w:oddHBand="0" w:evenHBand="0" w:firstRowFirstColumn="0" w:firstRowLastColumn="0" w:lastRowFirstColumn="0" w:lastRowLastColumn="0"/>
            </w:pPr>
            <w:r>
              <w:t>Wage Price Index</w:t>
            </w:r>
          </w:p>
        </w:tc>
      </w:tr>
    </w:tbl>
    <w:p w:rsidR="00DE563D" w:rsidRDefault="00937958" w:rsidP="00A7259C">
      <w:pPr>
        <w:pStyle w:val="Heading1"/>
      </w:pPr>
      <w:bookmarkStart w:id="10" w:name="_Toc486846793"/>
      <w:r>
        <w:t>Regulatory depreciation</w:t>
      </w:r>
      <w:bookmarkEnd w:id="10"/>
    </w:p>
    <w:p w:rsidR="005C6C7E" w:rsidRPr="00A575B0" w:rsidRDefault="005C6C7E" w:rsidP="005C6C7E">
      <w:r w:rsidRPr="00CA36EA">
        <w:t xml:space="preserve">When determining the total revenue for </w:t>
      </w:r>
      <w:r w:rsidR="004F5470">
        <w:t xml:space="preserve">APTPPL for the </w:t>
      </w:r>
      <w:r>
        <w:t>Roma to Brisbane Pipeline (RBP)</w:t>
      </w:r>
      <w:r w:rsidRPr="00CA36EA">
        <w:t xml:space="preserve">, </w:t>
      </w:r>
      <w:r>
        <w:t>we</w:t>
      </w:r>
      <w:r w:rsidRPr="00CA36EA">
        <w:t xml:space="preserve"> </w:t>
      </w:r>
      <w:r w:rsidR="005A703B">
        <w:t>include an allowance for</w:t>
      </w:r>
      <w:r w:rsidRPr="00CA36EA">
        <w:t xml:space="preserve"> the depreciation </w:t>
      </w:r>
      <w:r w:rsidR="005A703B">
        <w:t>of</w:t>
      </w:r>
      <w:r w:rsidRPr="00CA36EA">
        <w:t xml:space="preserve"> the projected capital base (</w:t>
      </w:r>
      <w:r>
        <w:t>otherwise referred to as</w:t>
      </w:r>
      <w:r w:rsidRPr="00CA36EA">
        <w:t xml:space="preserve"> </w:t>
      </w:r>
      <w:r>
        <w:t>‘</w:t>
      </w:r>
      <w:r w:rsidRPr="00CA36EA">
        <w:t>return of capital</w:t>
      </w:r>
      <w:r>
        <w:t>’</w:t>
      </w:r>
      <w:r w:rsidRPr="00CA36EA">
        <w:t>).</w:t>
      </w:r>
      <w:r>
        <w:rPr>
          <w:rStyle w:val="FootnoteReference"/>
        </w:rPr>
        <w:footnoteReference w:id="1"/>
      </w:r>
      <w:r w:rsidRPr="00CA36EA">
        <w:t xml:space="preserve"> Regulatory depreciation is used to model the nominal asset values over the </w:t>
      </w:r>
      <w:r w:rsidR="00286C6A">
        <w:t>2017</w:t>
      </w:r>
      <w:r>
        <w:t>–2</w:t>
      </w:r>
      <w:r w:rsidR="00286C6A">
        <w:t>2</w:t>
      </w:r>
      <w:r w:rsidRPr="00CA36EA">
        <w:t xml:space="preserve"> access arrangement period and the depreciation allowance in the total revenue requirement.</w:t>
      </w:r>
      <w:r>
        <w:rPr>
          <w:rStyle w:val="FootnoteReference"/>
        </w:rPr>
        <w:footnoteReference w:id="2"/>
      </w:r>
      <w:r>
        <w:t xml:space="preserve"> </w:t>
      </w:r>
    </w:p>
    <w:p w:rsidR="005C6C7E" w:rsidRPr="00CA36EA" w:rsidRDefault="005C6C7E" w:rsidP="005C6C7E">
      <w:r>
        <w:t>This attachment outlines our</w:t>
      </w:r>
      <w:r w:rsidRPr="00CA36EA">
        <w:t xml:space="preserve"> draft decision on </w:t>
      </w:r>
      <w:r w:rsidR="00671AFA">
        <w:t>APTPPL</w:t>
      </w:r>
      <w:r>
        <w:t xml:space="preserve">’s </w:t>
      </w:r>
      <w:r w:rsidRPr="00CA36EA">
        <w:t xml:space="preserve">annual regulatory depreciation allowance </w:t>
      </w:r>
      <w:r>
        <w:t>for the</w:t>
      </w:r>
      <w:r w:rsidRPr="00B41164">
        <w:t xml:space="preserve"> </w:t>
      </w:r>
      <w:r>
        <w:t>201</w:t>
      </w:r>
      <w:r w:rsidR="00286C6A">
        <w:t>7–22</w:t>
      </w:r>
      <w:r w:rsidRPr="00CA36EA">
        <w:t xml:space="preserve"> access arrangement period. </w:t>
      </w:r>
      <w:r>
        <w:t>Our</w:t>
      </w:r>
      <w:r w:rsidRPr="00CA36EA">
        <w:t xml:space="preserve"> consideration of specific matters that affect the estimate of regulatory depreciation is also outlined in this attachment. These include:</w:t>
      </w:r>
    </w:p>
    <w:p w:rsidR="005C6C7E" w:rsidRPr="00A575B0" w:rsidRDefault="005C6C7E" w:rsidP="005C6C7E">
      <w:pPr>
        <w:pStyle w:val="AERbulletlistfirststyle"/>
      </w:pPr>
      <w:r w:rsidRPr="00A575B0">
        <w:t>the standard asset lives for depreciating new assets associated with forecast capex</w:t>
      </w:r>
      <w:r w:rsidRPr="00AC55BB">
        <w:rPr>
          <w:rStyle w:val="FootnoteReference"/>
        </w:rPr>
        <w:footnoteReference w:id="3"/>
      </w:r>
    </w:p>
    <w:p w:rsidR="005C6C7E" w:rsidRPr="005C6C7E" w:rsidRDefault="005C6C7E" w:rsidP="005C6C7E">
      <w:pPr>
        <w:pStyle w:val="AERbulletlistfirststyle"/>
      </w:pPr>
      <w:r w:rsidRPr="00A575B0">
        <w:t>the remaining asset lives for depreciating existing assets in the opening capital base.</w:t>
      </w:r>
      <w:r w:rsidRPr="00AC55BB">
        <w:rPr>
          <w:rStyle w:val="FootnoteReference"/>
        </w:rPr>
        <w:footnoteReference w:id="4"/>
      </w:r>
    </w:p>
    <w:p w:rsidR="00D1561D" w:rsidRDefault="00B57B07" w:rsidP="00D1561D">
      <w:pPr>
        <w:pStyle w:val="Heading2"/>
      </w:pPr>
      <w:bookmarkStart w:id="11" w:name="_Toc429575817"/>
      <w:bookmarkStart w:id="12" w:name="_Toc436042528"/>
      <w:bookmarkStart w:id="13" w:name="_Toc486846794"/>
      <w:r>
        <w:t>Draft</w:t>
      </w:r>
      <w:r w:rsidR="00D1561D" w:rsidRPr="0074565D">
        <w:t xml:space="preserve"> decision</w:t>
      </w:r>
      <w:bookmarkEnd w:id="11"/>
      <w:bookmarkEnd w:id="12"/>
      <w:bookmarkEnd w:id="13"/>
    </w:p>
    <w:p w:rsidR="0055654B" w:rsidRDefault="0055654B" w:rsidP="0055654B">
      <w:r>
        <w:t>We</w:t>
      </w:r>
      <w:r w:rsidRPr="00CA36EA">
        <w:t xml:space="preserve"> a</w:t>
      </w:r>
      <w:r w:rsidR="001F4536">
        <w:t>ccept</w:t>
      </w:r>
      <w:r>
        <w:t xml:space="preserve"> </w:t>
      </w:r>
      <w:r w:rsidR="00671AFA">
        <w:t>APTPPL</w:t>
      </w:r>
      <w:r>
        <w:t>’s</w:t>
      </w:r>
      <w:r w:rsidRPr="00CA36EA">
        <w:t xml:space="preserve"> proposal to use the </w:t>
      </w:r>
      <w:r>
        <w:t xml:space="preserve">real </w:t>
      </w:r>
      <w:r w:rsidRPr="00CA36EA">
        <w:t>straight-line</w:t>
      </w:r>
      <w:r>
        <w:t xml:space="preserve"> </w:t>
      </w:r>
      <w:r w:rsidRPr="00CA36EA">
        <w:t>method to calculate the re</w:t>
      </w:r>
      <w:r>
        <w:t xml:space="preserve">gulatory depreciation allowance. However, we do not approve </w:t>
      </w:r>
      <w:r w:rsidR="00671AFA">
        <w:t>APTPPL</w:t>
      </w:r>
      <w:r>
        <w:t>’s proposed regulatory depreciation allowance of $</w:t>
      </w:r>
      <w:r w:rsidR="00C82693">
        <w:t>18.1</w:t>
      </w:r>
      <w:r>
        <w:t xml:space="preserve"> million ($nom</w:t>
      </w:r>
      <w:r w:rsidR="00C82693">
        <w:t>inal) for the 2017</w:t>
      </w:r>
      <w:r>
        <w:t>–2</w:t>
      </w:r>
      <w:r w:rsidR="00C82693">
        <w:t>2</w:t>
      </w:r>
      <w:r>
        <w:t xml:space="preserve"> access arrangement period. This is mainly because of our decision to</w:t>
      </w:r>
      <w:r w:rsidR="00D7420C">
        <w:t xml:space="preserve"> </w:t>
      </w:r>
      <w:r>
        <w:t>update</w:t>
      </w:r>
      <w:r w:rsidR="00D7420C">
        <w:t xml:space="preserve"> </w:t>
      </w:r>
      <w:r w:rsidR="00671AFA">
        <w:t>APTPPL</w:t>
      </w:r>
      <w:r w:rsidR="00E0340B">
        <w:t xml:space="preserve">'s calculation of </w:t>
      </w:r>
      <w:r w:rsidR="00D7420C">
        <w:t xml:space="preserve">the </w:t>
      </w:r>
      <w:r>
        <w:t xml:space="preserve">remaining asset lives </w:t>
      </w:r>
      <w:r w:rsidR="00D7420C">
        <w:t xml:space="preserve">as at 1 July 2017 </w:t>
      </w:r>
      <w:r>
        <w:t xml:space="preserve">(section </w:t>
      </w:r>
      <w:r>
        <w:fldChar w:fldCharType="begin"/>
      </w:r>
      <w:r>
        <w:instrText xml:space="preserve"> REF _Ref435430734 \r \h </w:instrText>
      </w:r>
      <w:r>
        <w:fldChar w:fldCharType="separate"/>
      </w:r>
      <w:r w:rsidR="00D627A4">
        <w:t>5.4.3.2</w:t>
      </w:r>
      <w:r>
        <w:fldChar w:fldCharType="end"/>
      </w:r>
      <w:r>
        <w:t xml:space="preserve">) and </w:t>
      </w:r>
      <w:r w:rsidR="00EC0A0B">
        <w:t xml:space="preserve">due to the effect of </w:t>
      </w:r>
      <w:r>
        <w:t xml:space="preserve">our determinations on other components of </w:t>
      </w:r>
      <w:r w:rsidR="00671AFA">
        <w:t>APTPPL</w:t>
      </w:r>
      <w:r>
        <w:t>’s</w:t>
      </w:r>
      <w:r w:rsidRPr="001C0783">
        <w:t xml:space="preserve"> </w:t>
      </w:r>
      <w:r>
        <w:t>proposal.</w:t>
      </w:r>
      <w:r w:rsidRPr="00FA7F90">
        <w:t xml:space="preserve"> </w:t>
      </w:r>
      <w:r>
        <w:t>Discussed in other attachments, these determinations include the</w:t>
      </w:r>
      <w:r w:rsidRPr="001C0783">
        <w:t xml:space="preserve"> opening </w:t>
      </w:r>
      <w:r>
        <w:t xml:space="preserve">capital base (attachment 2) and the </w:t>
      </w:r>
      <w:r w:rsidRPr="001C0783">
        <w:t xml:space="preserve">forecast </w:t>
      </w:r>
      <w:r>
        <w:t>cap</w:t>
      </w:r>
      <w:r w:rsidRPr="001C0783">
        <w:t>ex</w:t>
      </w:r>
      <w:r>
        <w:t xml:space="preserve"> (attachment 6).</w:t>
      </w:r>
    </w:p>
    <w:p w:rsidR="002572C1" w:rsidRDefault="0055654B" w:rsidP="0055654B">
      <w:r w:rsidRPr="00A27483">
        <w:t xml:space="preserve">We approve </w:t>
      </w:r>
      <w:r w:rsidR="00671AFA">
        <w:t>APTPPL</w:t>
      </w:r>
      <w:r>
        <w:t>’</w:t>
      </w:r>
      <w:r w:rsidRPr="00A27483">
        <w:t xml:space="preserve">s proposed </w:t>
      </w:r>
      <w:r w:rsidR="00B07FFE">
        <w:t xml:space="preserve">asset classes and the </w:t>
      </w:r>
      <w:r w:rsidRPr="00A27483">
        <w:t>standard asset lives assigned to each of its asset classes for the 201</w:t>
      </w:r>
      <w:r w:rsidR="00B07FFE">
        <w:t>7</w:t>
      </w:r>
      <w:r w:rsidRPr="00A27483">
        <w:t>–2</w:t>
      </w:r>
      <w:r w:rsidR="00B07FFE">
        <w:t>2</w:t>
      </w:r>
      <w:r w:rsidRPr="00A27483">
        <w:t xml:space="preserve"> access arrangement period. </w:t>
      </w:r>
      <w:r w:rsidR="006E4103">
        <w:t xml:space="preserve">This is because </w:t>
      </w:r>
      <w:r w:rsidRPr="00A27483">
        <w:t xml:space="preserve">they are consistent with the approved standard </w:t>
      </w:r>
      <w:r>
        <w:t>asset</w:t>
      </w:r>
      <w:r w:rsidRPr="00A27483">
        <w:t xml:space="preserve"> lives for the 201</w:t>
      </w:r>
      <w:r w:rsidR="008E5962">
        <w:t>2</w:t>
      </w:r>
      <w:r w:rsidRPr="00A27483">
        <w:t>–1</w:t>
      </w:r>
      <w:r w:rsidR="008E5962">
        <w:t>7</w:t>
      </w:r>
      <w:r w:rsidRPr="00A27483">
        <w:t xml:space="preserve"> access arrangement period. </w:t>
      </w:r>
      <w:r w:rsidR="00EC0A0B">
        <w:t>T</w:t>
      </w:r>
      <w:r w:rsidRPr="00A27483">
        <w:t xml:space="preserve">hey are </w:t>
      </w:r>
      <w:r w:rsidR="00EC0A0B">
        <w:t xml:space="preserve">also </w:t>
      </w:r>
      <w:r>
        <w:t xml:space="preserve">broadly </w:t>
      </w:r>
      <w:r w:rsidRPr="00A27483">
        <w:t>comparable with the standard asset lives approved in our recent de</w:t>
      </w:r>
      <w:r w:rsidR="00C058A2">
        <w:t>cisions</w:t>
      </w:r>
      <w:r w:rsidRPr="00A27483">
        <w:t xml:space="preserve"> for other gas </w:t>
      </w:r>
      <w:r>
        <w:t>transmission</w:t>
      </w:r>
      <w:r w:rsidRPr="00A27483">
        <w:t xml:space="preserve"> service providers.</w:t>
      </w:r>
      <w:r w:rsidRPr="00B07FFE">
        <w:rPr>
          <w:rStyle w:val="FootnoteReference"/>
        </w:rPr>
        <w:footnoteReference w:id="5"/>
      </w:r>
      <w:r w:rsidRPr="00B07FFE">
        <w:rPr>
          <w:rStyle w:val="FootnoteReference"/>
        </w:rPr>
        <w:t xml:space="preserve"> </w:t>
      </w:r>
    </w:p>
    <w:p w:rsidR="0055654B" w:rsidRDefault="0055654B" w:rsidP="0055654B">
      <w:r>
        <w:t xml:space="preserve">We accept </w:t>
      </w:r>
      <w:r w:rsidR="00671AFA">
        <w:t>APTPPL</w:t>
      </w:r>
      <w:r>
        <w:t>’s proposed weighted average method to calculate the remaining asset lives as at 1 July 201</w:t>
      </w:r>
      <w:r w:rsidR="00D45B01">
        <w:t>7</w:t>
      </w:r>
      <w:r>
        <w:t>.</w:t>
      </w:r>
      <w:r>
        <w:rPr>
          <w:rStyle w:val="FootnoteReference"/>
        </w:rPr>
        <w:footnoteReference w:id="6"/>
      </w:r>
      <w:r>
        <w:t xml:space="preserve"> In accepting the weighted average method, we have updated the proposed remaining asset lives as at 1 July 201</w:t>
      </w:r>
      <w:r w:rsidR="00D45B01">
        <w:t>7</w:t>
      </w:r>
      <w:r>
        <w:t xml:space="preserve"> due to </w:t>
      </w:r>
      <w:r w:rsidR="00EB5E9C">
        <w:t xml:space="preserve">the </w:t>
      </w:r>
      <w:r>
        <w:t xml:space="preserve">input </w:t>
      </w:r>
      <w:r w:rsidR="00EB5E9C">
        <w:t xml:space="preserve">changes we made </w:t>
      </w:r>
      <w:r w:rsidR="00935C1F">
        <w:t xml:space="preserve">to </w:t>
      </w:r>
      <w:r w:rsidR="00671AFA">
        <w:t>APTPPL</w:t>
      </w:r>
      <w:r w:rsidR="00EB5E9C">
        <w:t>’s proposed roll forward model (RFM)</w:t>
      </w:r>
      <w:r w:rsidR="00935C1F">
        <w:t>.</w:t>
      </w:r>
      <w:r w:rsidR="00EB5E9C">
        <w:t xml:space="preserve"> These input changes </w:t>
      </w:r>
      <w:r w:rsidR="00935C1F">
        <w:t xml:space="preserve">affect the remaining asset lives calculation and </w:t>
      </w:r>
      <w:r>
        <w:t xml:space="preserve">are discussed in section </w:t>
      </w:r>
      <w:r>
        <w:fldChar w:fldCharType="begin"/>
      </w:r>
      <w:r>
        <w:instrText xml:space="preserve"> REF _Ref435430756 \r \h </w:instrText>
      </w:r>
      <w:r>
        <w:fldChar w:fldCharType="separate"/>
      </w:r>
      <w:r w:rsidR="00D627A4">
        <w:t>5.4.3.2</w:t>
      </w:r>
      <w:r>
        <w:fldChar w:fldCharType="end"/>
      </w:r>
      <w:r>
        <w:t>.</w:t>
      </w:r>
    </w:p>
    <w:p w:rsidR="0055654B" w:rsidRPr="00A27483" w:rsidRDefault="0055654B" w:rsidP="0055654B">
      <w:r w:rsidRPr="00A27483">
        <w:t xml:space="preserve">Our draft decision on </w:t>
      </w:r>
      <w:r w:rsidR="00671AFA">
        <w:t>APTPPL</w:t>
      </w:r>
      <w:r>
        <w:t>’</w:t>
      </w:r>
      <w:r w:rsidRPr="00A27483">
        <w:t>s regulatory depreciation allowance is $</w:t>
      </w:r>
      <w:r w:rsidR="00B52A33">
        <w:t>19.9</w:t>
      </w:r>
      <w:r w:rsidRPr="00A27483">
        <w:t xml:space="preserve"> million ($nominal) </w:t>
      </w:r>
      <w:r>
        <w:t xml:space="preserve">in total for </w:t>
      </w:r>
      <w:r w:rsidRPr="00A27483">
        <w:t>the 201</w:t>
      </w:r>
      <w:r w:rsidR="00D45B01">
        <w:t>7</w:t>
      </w:r>
      <w:r w:rsidRPr="00A27483">
        <w:t>–2</w:t>
      </w:r>
      <w:r w:rsidR="00D45B01">
        <w:t>2</w:t>
      </w:r>
      <w:r w:rsidRPr="00A27483">
        <w:t xml:space="preserve"> access arrangement period as set out in </w:t>
      </w:r>
      <w:r w:rsidRPr="00A27483">
        <w:fldChar w:fldCharType="begin"/>
      </w:r>
      <w:r w:rsidRPr="00A27483">
        <w:instrText xml:space="preserve"> REF  _Ref398282397 \* Lower \h  \* MERGEFORMAT </w:instrText>
      </w:r>
      <w:r w:rsidRPr="00A27483">
        <w:fldChar w:fldCharType="separate"/>
      </w:r>
      <w:r w:rsidR="00D627A4" w:rsidRPr="001D3081">
        <w:t xml:space="preserve">table </w:t>
      </w:r>
      <w:r w:rsidR="00D627A4">
        <w:t>5.1</w:t>
      </w:r>
      <w:r w:rsidRPr="00A27483">
        <w:fldChar w:fldCharType="end"/>
      </w:r>
      <w:r w:rsidRPr="00A27483">
        <w:t>.</w:t>
      </w:r>
    </w:p>
    <w:p w:rsidR="0055654B" w:rsidRPr="001D3081" w:rsidRDefault="0055654B" w:rsidP="0055654B">
      <w:pPr>
        <w:pStyle w:val="Caption"/>
      </w:pPr>
      <w:bookmarkStart w:id="14" w:name="_Ref398282397"/>
      <w:r w:rsidRPr="001D3081">
        <w:t xml:space="preserve">Table </w:t>
      </w:r>
      <w:r w:rsidR="00D627A4">
        <w:fldChar w:fldCharType="begin"/>
      </w:r>
      <w:r w:rsidR="00D627A4">
        <w:instrText xml:space="preserve"> STYLEREF 1 \s </w:instrText>
      </w:r>
      <w:r w:rsidR="00D627A4">
        <w:fldChar w:fldCharType="separate"/>
      </w:r>
      <w:r w:rsidR="00D627A4">
        <w:rPr>
          <w:noProof/>
        </w:rPr>
        <w:t>5</w:t>
      </w:r>
      <w:r w:rsidR="00D627A4">
        <w:rPr>
          <w:noProof/>
        </w:rPr>
        <w:fldChar w:fldCharType="end"/>
      </w:r>
      <w:r w:rsidR="009138E2">
        <w:t>.</w:t>
      </w:r>
      <w:r w:rsidR="00D627A4">
        <w:fldChar w:fldCharType="begin"/>
      </w:r>
      <w:r w:rsidR="00D627A4">
        <w:instrText xml:space="preserve"> SEQ</w:instrText>
      </w:r>
      <w:r w:rsidR="00D627A4">
        <w:instrText xml:space="preserve"> Table \* ARABIC \s 1 </w:instrText>
      </w:r>
      <w:r w:rsidR="00D627A4">
        <w:fldChar w:fldCharType="separate"/>
      </w:r>
      <w:r w:rsidR="00D627A4">
        <w:rPr>
          <w:noProof/>
        </w:rPr>
        <w:t>1</w:t>
      </w:r>
      <w:r w:rsidR="00D627A4">
        <w:rPr>
          <w:noProof/>
        </w:rPr>
        <w:fldChar w:fldCharType="end"/>
      </w:r>
      <w:bookmarkEnd w:id="14"/>
      <w:r w:rsidRPr="001D3081">
        <w:tab/>
        <w:t xml:space="preserve">AER’s draft decision on </w:t>
      </w:r>
      <w:r w:rsidR="00671AFA">
        <w:t>APTPPL</w:t>
      </w:r>
      <w:r w:rsidRPr="001D3081">
        <w:t>’s regulatory depreciation allowance for the 201</w:t>
      </w:r>
      <w:r w:rsidR="003915AA">
        <w:t>7</w:t>
      </w:r>
      <w:r w:rsidRPr="001D3081">
        <w:t>–2</w:t>
      </w:r>
      <w:r w:rsidR="003915AA">
        <w:t>2</w:t>
      </w:r>
      <w:r w:rsidRPr="001D3081">
        <w:t xml:space="preserve"> access arrangement period ($million, nominal)</w:t>
      </w:r>
    </w:p>
    <w:tbl>
      <w:tblPr>
        <w:tblStyle w:val="AERtable-numbers"/>
        <w:tblW w:w="8755" w:type="dxa"/>
        <w:tblLayout w:type="fixed"/>
        <w:tblLook w:val="04A0" w:firstRow="1" w:lastRow="0" w:firstColumn="1" w:lastColumn="0" w:noHBand="0" w:noVBand="1"/>
      </w:tblPr>
      <w:tblGrid>
        <w:gridCol w:w="2569"/>
        <w:gridCol w:w="1031"/>
        <w:gridCol w:w="1031"/>
        <w:gridCol w:w="1031"/>
        <w:gridCol w:w="1031"/>
        <w:gridCol w:w="1031"/>
        <w:gridCol w:w="1031"/>
      </w:tblGrid>
      <w:tr w:rsidR="0055654B" w:rsidRPr="00A575B0" w:rsidTr="008C531F">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55654B" w:rsidRPr="00A575B0" w:rsidRDefault="0055654B" w:rsidP="0055654B"/>
        </w:tc>
        <w:tc>
          <w:tcPr>
            <w:tcW w:w="1031" w:type="dxa"/>
            <w:noWrap/>
          </w:tcPr>
          <w:p w:rsidR="0055654B" w:rsidRPr="0055654B" w:rsidRDefault="0055654B" w:rsidP="0055654B">
            <w:pPr>
              <w:cnfStyle w:val="100000000000" w:firstRow="1" w:lastRow="0" w:firstColumn="0" w:lastColumn="0" w:oddVBand="0" w:evenVBand="0" w:oddHBand="0" w:evenHBand="0" w:firstRowFirstColumn="0" w:firstRowLastColumn="0" w:lastRowFirstColumn="0" w:lastRowLastColumn="0"/>
            </w:pPr>
            <w:r w:rsidRPr="00A575B0">
              <w:t>2017–18</w:t>
            </w:r>
          </w:p>
        </w:tc>
        <w:tc>
          <w:tcPr>
            <w:tcW w:w="1031" w:type="dxa"/>
            <w:noWrap/>
          </w:tcPr>
          <w:p w:rsidR="0055654B" w:rsidRPr="0055654B" w:rsidRDefault="0055654B" w:rsidP="0055654B">
            <w:pPr>
              <w:cnfStyle w:val="100000000000" w:firstRow="1" w:lastRow="0" w:firstColumn="0" w:lastColumn="0" w:oddVBand="0" w:evenVBand="0" w:oddHBand="0" w:evenHBand="0" w:firstRowFirstColumn="0" w:firstRowLastColumn="0" w:lastRowFirstColumn="0" w:lastRowLastColumn="0"/>
            </w:pPr>
            <w:r w:rsidRPr="005B4094">
              <w:t>2018–19</w:t>
            </w:r>
          </w:p>
        </w:tc>
        <w:tc>
          <w:tcPr>
            <w:tcW w:w="1031" w:type="dxa"/>
            <w:noWrap/>
          </w:tcPr>
          <w:p w:rsidR="0055654B" w:rsidRPr="0055654B" w:rsidRDefault="0055654B" w:rsidP="0055654B">
            <w:pPr>
              <w:cnfStyle w:val="100000000000" w:firstRow="1" w:lastRow="0" w:firstColumn="0" w:lastColumn="0" w:oddVBand="0" w:evenVBand="0" w:oddHBand="0" w:evenHBand="0" w:firstRowFirstColumn="0" w:firstRowLastColumn="0" w:lastRowFirstColumn="0" w:lastRowLastColumn="0"/>
            </w:pPr>
            <w:r w:rsidRPr="005B4094">
              <w:t>2019–20</w:t>
            </w:r>
          </w:p>
        </w:tc>
        <w:tc>
          <w:tcPr>
            <w:tcW w:w="1031" w:type="dxa"/>
            <w:noWrap/>
          </w:tcPr>
          <w:p w:rsidR="0055654B" w:rsidRPr="0055654B" w:rsidRDefault="0055654B" w:rsidP="0055654B">
            <w:pPr>
              <w:cnfStyle w:val="100000000000" w:firstRow="1" w:lastRow="0" w:firstColumn="0" w:lastColumn="0" w:oddVBand="0" w:evenVBand="0" w:oddHBand="0" w:evenHBand="0" w:firstRowFirstColumn="0" w:firstRowLastColumn="0" w:lastRowFirstColumn="0" w:lastRowLastColumn="0"/>
            </w:pPr>
            <w:r w:rsidRPr="00F77C82">
              <w:t>2020–21</w:t>
            </w:r>
          </w:p>
        </w:tc>
        <w:tc>
          <w:tcPr>
            <w:tcW w:w="1031" w:type="dxa"/>
            <w:noWrap/>
          </w:tcPr>
          <w:p w:rsidR="0055654B" w:rsidRPr="0055654B" w:rsidRDefault="0055654B" w:rsidP="0055654B">
            <w:pPr>
              <w:cnfStyle w:val="100000000000" w:firstRow="1" w:lastRow="0" w:firstColumn="0" w:lastColumn="0" w:oddVBand="0" w:evenVBand="0" w:oddHBand="0" w:evenHBand="0" w:firstRowFirstColumn="0" w:firstRowLastColumn="0" w:lastRowFirstColumn="0" w:lastRowLastColumn="0"/>
            </w:pPr>
            <w:r>
              <w:t>2021</w:t>
            </w:r>
            <w:r w:rsidRPr="00F77C82">
              <w:t>–2</w:t>
            </w:r>
            <w:r>
              <w:t>2</w:t>
            </w:r>
          </w:p>
        </w:tc>
        <w:tc>
          <w:tcPr>
            <w:tcW w:w="1031" w:type="dxa"/>
          </w:tcPr>
          <w:p w:rsidR="0055654B" w:rsidRPr="0055654B" w:rsidRDefault="0055654B" w:rsidP="0055654B">
            <w:pPr>
              <w:cnfStyle w:val="100000000000" w:firstRow="1" w:lastRow="0" w:firstColumn="0" w:lastColumn="0" w:oddVBand="0" w:evenVBand="0" w:oddHBand="0" w:evenHBand="0" w:firstRowFirstColumn="0" w:firstRowLastColumn="0" w:lastRowFirstColumn="0" w:lastRowLastColumn="0"/>
            </w:pPr>
            <w:r w:rsidRPr="00F77C82">
              <w:t>Total</w:t>
            </w:r>
          </w:p>
        </w:tc>
      </w:tr>
      <w:tr w:rsidR="0055654B" w:rsidRPr="009603F9" w:rsidTr="008C531F">
        <w:trPr>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55654B" w:rsidRPr="0055654B" w:rsidRDefault="0055654B" w:rsidP="0055654B">
            <w:r w:rsidRPr="009603F9">
              <w:t>Straight-line depreciation</w:t>
            </w:r>
          </w:p>
        </w:tc>
        <w:tc>
          <w:tcPr>
            <w:tcW w:w="1031" w:type="dxa"/>
            <w:noWrap/>
          </w:tcPr>
          <w:p w:rsidR="0055654B" w:rsidRPr="0055654B" w:rsidRDefault="00B52A33" w:rsidP="0055654B">
            <w:pPr>
              <w:cnfStyle w:val="000000000000" w:firstRow="0" w:lastRow="0" w:firstColumn="0" w:lastColumn="0" w:oddVBand="0" w:evenVBand="0" w:oddHBand="0" w:evenHBand="0" w:firstRowFirstColumn="0" w:firstRowLastColumn="0" w:lastRowFirstColumn="0" w:lastRowLastColumn="0"/>
            </w:pPr>
            <w:r>
              <w:t>16.6</w:t>
            </w:r>
          </w:p>
        </w:tc>
        <w:tc>
          <w:tcPr>
            <w:tcW w:w="1031" w:type="dxa"/>
            <w:noWrap/>
          </w:tcPr>
          <w:p w:rsidR="0055654B" w:rsidRPr="0055654B" w:rsidRDefault="00B52A33" w:rsidP="0055654B">
            <w:pPr>
              <w:cnfStyle w:val="000000000000" w:firstRow="0" w:lastRow="0" w:firstColumn="0" w:lastColumn="0" w:oddVBand="0" w:evenVBand="0" w:oddHBand="0" w:evenHBand="0" w:firstRowFirstColumn="0" w:firstRowLastColumn="0" w:lastRowFirstColumn="0" w:lastRowLastColumn="0"/>
            </w:pPr>
            <w:r>
              <w:t>17.9</w:t>
            </w:r>
          </w:p>
        </w:tc>
        <w:tc>
          <w:tcPr>
            <w:tcW w:w="1031" w:type="dxa"/>
            <w:noWrap/>
          </w:tcPr>
          <w:p w:rsidR="0055654B" w:rsidRPr="0055654B" w:rsidRDefault="00B52A33" w:rsidP="007E7B3A">
            <w:pPr>
              <w:cnfStyle w:val="000000000000" w:firstRow="0" w:lastRow="0" w:firstColumn="0" w:lastColumn="0" w:oddVBand="0" w:evenVBand="0" w:oddHBand="0" w:evenHBand="0" w:firstRowFirstColumn="0" w:firstRowLastColumn="0" w:lastRowFirstColumn="0" w:lastRowLastColumn="0"/>
            </w:pPr>
            <w:r>
              <w:t>18.</w:t>
            </w:r>
            <w:r w:rsidR="007E7B3A">
              <w:t>7</w:t>
            </w:r>
          </w:p>
        </w:tc>
        <w:tc>
          <w:tcPr>
            <w:tcW w:w="1031" w:type="dxa"/>
            <w:noWrap/>
          </w:tcPr>
          <w:p w:rsidR="0055654B" w:rsidRPr="0055654B" w:rsidRDefault="00B52A33" w:rsidP="0055654B">
            <w:pPr>
              <w:cnfStyle w:val="000000000000" w:firstRow="0" w:lastRow="0" w:firstColumn="0" w:lastColumn="0" w:oddVBand="0" w:evenVBand="0" w:oddHBand="0" w:evenHBand="0" w:firstRowFirstColumn="0" w:firstRowLastColumn="0" w:lastRowFirstColumn="0" w:lastRowLastColumn="0"/>
            </w:pPr>
            <w:r>
              <w:t>12.8</w:t>
            </w:r>
          </w:p>
        </w:tc>
        <w:tc>
          <w:tcPr>
            <w:tcW w:w="1031" w:type="dxa"/>
            <w:noWrap/>
          </w:tcPr>
          <w:p w:rsidR="0055654B" w:rsidRPr="0055654B" w:rsidRDefault="00B52A33" w:rsidP="0055654B">
            <w:pPr>
              <w:cnfStyle w:val="000000000000" w:firstRow="0" w:lastRow="0" w:firstColumn="0" w:lastColumn="0" w:oddVBand="0" w:evenVBand="0" w:oddHBand="0" w:evenHBand="0" w:firstRowFirstColumn="0" w:firstRowLastColumn="0" w:lastRowFirstColumn="0" w:lastRowLastColumn="0"/>
            </w:pPr>
            <w:r>
              <w:t>10.9</w:t>
            </w:r>
          </w:p>
        </w:tc>
        <w:tc>
          <w:tcPr>
            <w:tcW w:w="1031" w:type="dxa"/>
          </w:tcPr>
          <w:p w:rsidR="0055654B" w:rsidRPr="0055654B" w:rsidRDefault="00B52A33" w:rsidP="007E7B3A">
            <w:pPr>
              <w:cnfStyle w:val="000000000000" w:firstRow="0" w:lastRow="0" w:firstColumn="0" w:lastColumn="0" w:oddVBand="0" w:evenVBand="0" w:oddHBand="0" w:evenHBand="0" w:firstRowFirstColumn="0" w:firstRowLastColumn="0" w:lastRowFirstColumn="0" w:lastRowLastColumn="0"/>
            </w:pPr>
            <w:r>
              <w:t>76.</w:t>
            </w:r>
            <w:r w:rsidR="007E7B3A">
              <w:t>9</w:t>
            </w:r>
          </w:p>
        </w:tc>
      </w:tr>
      <w:tr w:rsidR="0055654B" w:rsidRPr="009603F9" w:rsidTr="008C531F">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55654B" w:rsidRPr="0055654B" w:rsidRDefault="0055654B" w:rsidP="0055654B">
            <w:r w:rsidRPr="009603F9">
              <w:rPr>
                <w:rStyle w:val="AERtextitalic"/>
              </w:rPr>
              <w:t>Less:</w:t>
            </w:r>
            <w:r w:rsidRPr="0055654B">
              <w:t xml:space="preserve"> indexation on capital base </w:t>
            </w:r>
          </w:p>
        </w:tc>
        <w:tc>
          <w:tcPr>
            <w:tcW w:w="1031" w:type="dxa"/>
            <w:noWrap/>
          </w:tcPr>
          <w:p w:rsidR="0055654B" w:rsidRPr="0055654B" w:rsidRDefault="00B52A33" w:rsidP="0055654B">
            <w:pPr>
              <w:cnfStyle w:val="000000010000" w:firstRow="0" w:lastRow="0" w:firstColumn="0" w:lastColumn="0" w:oddVBand="0" w:evenVBand="0" w:oddHBand="0" w:evenHBand="1" w:firstRowFirstColumn="0" w:firstRowLastColumn="0" w:lastRowFirstColumn="0" w:lastRowLastColumn="0"/>
            </w:pPr>
            <w:r>
              <w:t>10.9</w:t>
            </w:r>
          </w:p>
        </w:tc>
        <w:tc>
          <w:tcPr>
            <w:tcW w:w="1031" w:type="dxa"/>
            <w:noWrap/>
          </w:tcPr>
          <w:p w:rsidR="0055654B" w:rsidRPr="0055654B" w:rsidRDefault="00B52A33" w:rsidP="0055654B">
            <w:pPr>
              <w:cnfStyle w:val="000000010000" w:firstRow="0" w:lastRow="0" w:firstColumn="0" w:lastColumn="0" w:oddVBand="0" w:evenVBand="0" w:oddHBand="0" w:evenHBand="1" w:firstRowFirstColumn="0" w:firstRowLastColumn="0" w:lastRowFirstColumn="0" w:lastRowLastColumn="0"/>
            </w:pPr>
            <w:r>
              <w:t>11.3</w:t>
            </w:r>
          </w:p>
        </w:tc>
        <w:tc>
          <w:tcPr>
            <w:tcW w:w="1031" w:type="dxa"/>
            <w:noWrap/>
          </w:tcPr>
          <w:p w:rsidR="0055654B" w:rsidRPr="0055654B" w:rsidRDefault="00B52A33" w:rsidP="0055654B">
            <w:pPr>
              <w:cnfStyle w:val="000000010000" w:firstRow="0" w:lastRow="0" w:firstColumn="0" w:lastColumn="0" w:oddVBand="0" w:evenVBand="0" w:oddHBand="0" w:evenHBand="1" w:firstRowFirstColumn="0" w:firstRowLastColumn="0" w:lastRowFirstColumn="0" w:lastRowLastColumn="0"/>
            </w:pPr>
            <w:r>
              <w:t>11.5</w:t>
            </w:r>
          </w:p>
        </w:tc>
        <w:tc>
          <w:tcPr>
            <w:tcW w:w="1031" w:type="dxa"/>
            <w:noWrap/>
          </w:tcPr>
          <w:p w:rsidR="0055654B" w:rsidRPr="0055654B" w:rsidRDefault="00B52A33" w:rsidP="0055654B">
            <w:pPr>
              <w:cnfStyle w:val="000000010000" w:firstRow="0" w:lastRow="0" w:firstColumn="0" w:lastColumn="0" w:oddVBand="0" w:evenVBand="0" w:oddHBand="0" w:evenHBand="1" w:firstRowFirstColumn="0" w:firstRowLastColumn="0" w:lastRowFirstColumn="0" w:lastRowLastColumn="0"/>
            </w:pPr>
            <w:r>
              <w:t>11.5</w:t>
            </w:r>
          </w:p>
        </w:tc>
        <w:tc>
          <w:tcPr>
            <w:tcW w:w="1031" w:type="dxa"/>
            <w:noWrap/>
          </w:tcPr>
          <w:p w:rsidR="0055654B" w:rsidRPr="0055654B" w:rsidRDefault="00B52A33" w:rsidP="0055654B">
            <w:pPr>
              <w:cnfStyle w:val="000000010000" w:firstRow="0" w:lastRow="0" w:firstColumn="0" w:lastColumn="0" w:oddVBand="0" w:evenVBand="0" w:oddHBand="0" w:evenHBand="1" w:firstRowFirstColumn="0" w:firstRowLastColumn="0" w:lastRowFirstColumn="0" w:lastRowLastColumn="0"/>
            </w:pPr>
            <w:r>
              <w:t>11.7</w:t>
            </w:r>
          </w:p>
        </w:tc>
        <w:tc>
          <w:tcPr>
            <w:tcW w:w="1031" w:type="dxa"/>
          </w:tcPr>
          <w:p w:rsidR="0055654B" w:rsidRPr="0055654B" w:rsidRDefault="00B52A33" w:rsidP="007E7B3A">
            <w:pPr>
              <w:cnfStyle w:val="000000010000" w:firstRow="0" w:lastRow="0" w:firstColumn="0" w:lastColumn="0" w:oddVBand="0" w:evenVBand="0" w:oddHBand="0" w:evenHBand="1" w:firstRowFirstColumn="0" w:firstRowLastColumn="0" w:lastRowFirstColumn="0" w:lastRowLastColumn="0"/>
            </w:pPr>
            <w:r>
              <w:t>5</w:t>
            </w:r>
            <w:r w:rsidR="007E7B3A">
              <w:t>7</w:t>
            </w:r>
            <w:r>
              <w:t>.</w:t>
            </w:r>
            <w:r w:rsidR="007E7B3A">
              <w:t>0</w:t>
            </w:r>
          </w:p>
        </w:tc>
      </w:tr>
      <w:tr w:rsidR="0055654B" w:rsidRPr="00A575B0" w:rsidTr="008C531F">
        <w:trPr>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55654B" w:rsidRPr="0055654B" w:rsidRDefault="0055654B" w:rsidP="0055654B">
            <w:pPr>
              <w:rPr>
                <w:rStyle w:val="Strong"/>
              </w:rPr>
            </w:pPr>
            <w:r w:rsidRPr="00A575B0">
              <w:rPr>
                <w:rStyle w:val="Strong"/>
              </w:rPr>
              <w:t>Regulatory depreciation</w:t>
            </w:r>
          </w:p>
        </w:tc>
        <w:tc>
          <w:tcPr>
            <w:tcW w:w="1031" w:type="dxa"/>
            <w:noWrap/>
          </w:tcPr>
          <w:p w:rsidR="0055654B" w:rsidRPr="0055654B" w:rsidRDefault="00B52A33" w:rsidP="0055654B">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5.7</w:t>
            </w:r>
          </w:p>
        </w:tc>
        <w:tc>
          <w:tcPr>
            <w:tcW w:w="1031" w:type="dxa"/>
            <w:noWrap/>
          </w:tcPr>
          <w:p w:rsidR="0055654B" w:rsidRPr="0055654B" w:rsidRDefault="00B52A33" w:rsidP="0055654B">
            <w:pPr>
              <w:cnfStyle w:val="000000000000" w:firstRow="0" w:lastRow="0" w:firstColumn="0" w:lastColumn="0" w:oddVBand="0" w:evenVBand="0" w:oddHBand="0" w:evenHBand="0" w:firstRowFirstColumn="0" w:firstRowLastColumn="0" w:lastRowFirstColumn="0" w:lastRowLastColumn="0"/>
              <w:rPr>
                <w:rStyle w:val="Strong"/>
              </w:rPr>
            </w:pPr>
            <w:r>
              <w:rPr>
                <w:rStyle w:val="Strong"/>
              </w:rPr>
              <w:t>6.6</w:t>
            </w:r>
          </w:p>
        </w:tc>
        <w:tc>
          <w:tcPr>
            <w:tcW w:w="1031" w:type="dxa"/>
            <w:noWrap/>
          </w:tcPr>
          <w:p w:rsidR="0055654B" w:rsidRPr="0055654B" w:rsidRDefault="00B52A33" w:rsidP="0055654B">
            <w:pPr>
              <w:cnfStyle w:val="000000000000" w:firstRow="0" w:lastRow="0" w:firstColumn="0" w:lastColumn="0" w:oddVBand="0" w:evenVBand="0" w:oddHBand="0" w:evenHBand="0" w:firstRowFirstColumn="0" w:firstRowLastColumn="0" w:lastRowFirstColumn="0" w:lastRowLastColumn="0"/>
              <w:rPr>
                <w:rStyle w:val="Strong"/>
              </w:rPr>
            </w:pPr>
            <w:r>
              <w:rPr>
                <w:rStyle w:val="Strong"/>
              </w:rPr>
              <w:t>7.1</w:t>
            </w:r>
          </w:p>
        </w:tc>
        <w:tc>
          <w:tcPr>
            <w:tcW w:w="1031" w:type="dxa"/>
            <w:noWrap/>
          </w:tcPr>
          <w:p w:rsidR="0055654B" w:rsidRPr="0055654B" w:rsidRDefault="00B52A33" w:rsidP="0055654B">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1.3</w:t>
            </w:r>
          </w:p>
        </w:tc>
        <w:tc>
          <w:tcPr>
            <w:tcW w:w="1031" w:type="dxa"/>
            <w:noWrap/>
          </w:tcPr>
          <w:p w:rsidR="0055654B" w:rsidRPr="0055654B" w:rsidRDefault="00B52A33" w:rsidP="0055654B">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–0.8</w:t>
            </w:r>
          </w:p>
        </w:tc>
        <w:tc>
          <w:tcPr>
            <w:tcW w:w="1031" w:type="dxa"/>
          </w:tcPr>
          <w:p w:rsidR="0055654B" w:rsidRPr="0055654B" w:rsidRDefault="00B52A33" w:rsidP="0055654B">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19.9</w:t>
            </w:r>
          </w:p>
        </w:tc>
      </w:tr>
    </w:tbl>
    <w:p w:rsidR="0055654B" w:rsidRPr="0055654B" w:rsidRDefault="0055654B" w:rsidP="0055654B">
      <w:pPr>
        <w:pStyle w:val="AERtablesource"/>
      </w:pPr>
      <w:r>
        <w:t xml:space="preserve">Source: </w:t>
      </w:r>
      <w:r>
        <w:tab/>
        <w:t xml:space="preserve">AER analysis. </w:t>
      </w:r>
    </w:p>
    <w:p w:rsidR="00D1561D" w:rsidRDefault="00671AFA" w:rsidP="00D1561D">
      <w:pPr>
        <w:pStyle w:val="Heading2"/>
      </w:pPr>
      <w:bookmarkStart w:id="15" w:name="_Toc486846795"/>
      <w:r>
        <w:t>APTPPL</w:t>
      </w:r>
      <w:r w:rsidR="00D8661A">
        <w:t>'s p</w:t>
      </w:r>
      <w:r w:rsidR="00B57B07">
        <w:t>roposal</w:t>
      </w:r>
      <w:bookmarkEnd w:id="15"/>
    </w:p>
    <w:p w:rsidR="00BE42F0" w:rsidRDefault="00671AFA" w:rsidP="00BE42F0">
      <w:r>
        <w:t>APTPPL</w:t>
      </w:r>
      <w:r w:rsidR="00D8661A">
        <w:t xml:space="preserve"> used the AER's post-tax revenue model (PTRM) to calculate the forecast depreciation for the 2017–22 access arrangement period. </w:t>
      </w:r>
      <w:r>
        <w:t>APTPPL</w:t>
      </w:r>
      <w:r w:rsidR="00BE42F0">
        <w:t xml:space="preserve"> proposed to use the weighted average approach as set out in the AER's roll forward model for calculating the remaining asset lives as at 1 July 2017.</w:t>
      </w:r>
    </w:p>
    <w:p w:rsidR="00005FFA" w:rsidRDefault="00671AFA" w:rsidP="00F81D53">
      <w:r>
        <w:t>APTPPL</w:t>
      </w:r>
      <w:r w:rsidR="008E5962" w:rsidRPr="008E5962">
        <w:t xml:space="preserve"> proposed to consolidate its asset classes from the previous 25 asset classes to 11 asset classes</w:t>
      </w:r>
      <w:r w:rsidR="008E5962">
        <w:t xml:space="preserve">, </w:t>
      </w:r>
      <w:r w:rsidR="00E0340B">
        <w:t>which</w:t>
      </w:r>
      <w:r w:rsidR="008E5962">
        <w:t xml:space="preserve"> affect</w:t>
      </w:r>
      <w:r w:rsidR="00E0340B">
        <w:t>ed</w:t>
      </w:r>
      <w:r w:rsidR="008E5962">
        <w:t xml:space="preserve"> the pipelines and compressor</w:t>
      </w:r>
      <w:r w:rsidR="00E0340B">
        <w:t>s</w:t>
      </w:r>
      <w:r w:rsidR="008E5962">
        <w:t xml:space="preserve"> asset classes</w:t>
      </w:r>
      <w:r w:rsidR="008E5962" w:rsidRPr="008E5962">
        <w:t xml:space="preserve">. </w:t>
      </w:r>
      <w:r w:rsidR="00E0340B">
        <w:t xml:space="preserve">The previous asset classes were broken down by projects which resulted in multiple classes with similar asset types that were assigned the same standard asset lives. </w:t>
      </w:r>
      <w:r w:rsidR="00BE42F0">
        <w:t>It also proposed to allocate the assets in the 'RBP expansion 8' asset</w:t>
      </w:r>
      <w:r w:rsidR="00E0340B">
        <w:t xml:space="preserve"> clas</w:t>
      </w:r>
      <w:r w:rsidR="00BE42F0">
        <w:t xml:space="preserve">s to the 'Pipelines' and 'Compressors' asset classes. </w:t>
      </w:r>
    </w:p>
    <w:p w:rsidR="00005FFA" w:rsidRDefault="00F81D53" w:rsidP="00F81D53">
      <w:r>
        <w:fldChar w:fldCharType="begin"/>
      </w:r>
      <w:r>
        <w:instrText xml:space="preserve"> REF _Ref464122619 \h </w:instrText>
      </w:r>
      <w:r>
        <w:fldChar w:fldCharType="separate"/>
      </w:r>
      <w:r w:rsidR="00D627A4">
        <w:t xml:space="preserve">Table </w:t>
      </w:r>
      <w:r w:rsidR="00D627A4">
        <w:rPr>
          <w:noProof/>
        </w:rPr>
        <w:t>5</w:t>
      </w:r>
      <w:r w:rsidR="00D627A4">
        <w:t>.</w:t>
      </w:r>
      <w:r w:rsidR="00D627A4">
        <w:rPr>
          <w:noProof/>
        </w:rPr>
        <w:t>2</w:t>
      </w:r>
      <w:r>
        <w:fldChar w:fldCharType="end"/>
      </w:r>
      <w:r w:rsidR="007448E7">
        <w:t xml:space="preserve"> shows the </w:t>
      </w:r>
      <w:r w:rsidR="00E05DE7">
        <w:t xml:space="preserve">mapping of the previous asset classes with the </w:t>
      </w:r>
      <w:r w:rsidR="007448E7">
        <w:t>proposed consolidat</w:t>
      </w:r>
      <w:r w:rsidR="00E05DE7">
        <w:t>ed</w:t>
      </w:r>
      <w:r w:rsidR="00E05DE7" w:rsidRPr="00E05DE7">
        <w:t xml:space="preserve"> </w:t>
      </w:r>
      <w:r w:rsidR="00E05DE7">
        <w:t>asset classes</w:t>
      </w:r>
      <w:r w:rsidR="007448E7">
        <w:t xml:space="preserve">. </w:t>
      </w:r>
    </w:p>
    <w:p w:rsidR="00005FFA" w:rsidRDefault="00671AFA" w:rsidP="00005FFA">
      <w:r>
        <w:t>APTPPL</w:t>
      </w:r>
      <w:r w:rsidR="00005FFA">
        <w:t>’</w:t>
      </w:r>
      <w:r w:rsidR="00005FFA" w:rsidRPr="00CA36EA">
        <w:t xml:space="preserve">s proposed </w:t>
      </w:r>
      <w:r w:rsidR="00005FFA">
        <w:t xml:space="preserve">regulatory </w:t>
      </w:r>
      <w:r w:rsidR="00005FFA" w:rsidRPr="00CA36EA">
        <w:t xml:space="preserve">depreciation for </w:t>
      </w:r>
      <w:r w:rsidR="00005FFA">
        <w:t>the</w:t>
      </w:r>
      <w:r w:rsidR="00005FFA" w:rsidRPr="00CA36EA">
        <w:t xml:space="preserve"> </w:t>
      </w:r>
      <w:r w:rsidR="00005FFA">
        <w:t>2017–22</w:t>
      </w:r>
      <w:r w:rsidR="00005FFA" w:rsidRPr="00CA36EA">
        <w:t xml:space="preserve"> access arrangement </w:t>
      </w:r>
      <w:proofErr w:type="gramStart"/>
      <w:r w:rsidR="00005FFA" w:rsidRPr="00CA36EA">
        <w:t>period</w:t>
      </w:r>
      <w:proofErr w:type="gramEnd"/>
      <w:r w:rsidR="00005FFA" w:rsidRPr="00CA36EA">
        <w:t xml:space="preserve"> is set out in</w:t>
      </w:r>
      <w:r w:rsidR="00005FFA">
        <w:t xml:space="preserve"> </w:t>
      </w:r>
      <w:r w:rsidR="00005FFA">
        <w:fldChar w:fldCharType="begin"/>
      </w:r>
      <w:r w:rsidR="00005FFA">
        <w:instrText xml:space="preserve"> REF  _Ref398892142 \* Lower \h  \* MERGEFORMAT </w:instrText>
      </w:r>
      <w:r w:rsidR="00005FFA">
        <w:fldChar w:fldCharType="separate"/>
      </w:r>
      <w:r w:rsidR="00D627A4">
        <w:t>table 5.3</w:t>
      </w:r>
      <w:r w:rsidR="00005FFA">
        <w:fldChar w:fldCharType="end"/>
      </w:r>
      <w:r w:rsidR="00005FFA">
        <w:t>.</w:t>
      </w:r>
    </w:p>
    <w:p w:rsidR="00477D41" w:rsidRDefault="00477D41" w:rsidP="00F81D53"/>
    <w:p w:rsidR="00477D41" w:rsidRDefault="00477D41" w:rsidP="00477D41">
      <w:pPr>
        <w:pStyle w:val="Caption"/>
      </w:pPr>
      <w:bookmarkStart w:id="16" w:name="_Ref464122619"/>
      <w:r>
        <w:t xml:space="preserve">Table </w:t>
      </w:r>
      <w:r w:rsidR="00D627A4">
        <w:fldChar w:fldCharType="begin"/>
      </w:r>
      <w:r w:rsidR="00D627A4">
        <w:instrText xml:space="preserve"> STYLEREF 1 \s </w:instrText>
      </w:r>
      <w:r w:rsidR="00D627A4">
        <w:fldChar w:fldCharType="separate"/>
      </w:r>
      <w:r w:rsidR="00D627A4">
        <w:rPr>
          <w:noProof/>
        </w:rPr>
        <w:t>5</w:t>
      </w:r>
      <w:r w:rsidR="00D627A4">
        <w:rPr>
          <w:noProof/>
        </w:rPr>
        <w:fldChar w:fldCharType="end"/>
      </w:r>
      <w:r w:rsidR="009138E2">
        <w:t>.</w:t>
      </w:r>
      <w:r w:rsidR="00D627A4">
        <w:fldChar w:fldCharType="begin"/>
      </w:r>
      <w:r w:rsidR="00D627A4">
        <w:instrText xml:space="preserve"> SEQ Table \* ARABIC \s 1 </w:instrText>
      </w:r>
      <w:r w:rsidR="00D627A4">
        <w:fldChar w:fldCharType="separate"/>
      </w:r>
      <w:r w:rsidR="00D627A4">
        <w:rPr>
          <w:noProof/>
        </w:rPr>
        <w:t>2</w:t>
      </w:r>
      <w:r w:rsidR="00D627A4">
        <w:rPr>
          <w:noProof/>
        </w:rPr>
        <w:fldChar w:fldCharType="end"/>
      </w:r>
      <w:bookmarkEnd w:id="16"/>
      <w:r>
        <w:tab/>
      </w:r>
      <w:r w:rsidR="00671AFA">
        <w:t>APTPPL</w:t>
      </w:r>
      <w:r>
        <w:t xml:space="preserve"> proposed asset class consolidation</w:t>
      </w:r>
    </w:p>
    <w:tbl>
      <w:tblPr>
        <w:tblStyle w:val="AERtable-numbers"/>
        <w:tblW w:w="0" w:type="auto"/>
        <w:tblLook w:val="04A0" w:firstRow="1" w:lastRow="0" w:firstColumn="1" w:lastColumn="0" w:noHBand="0" w:noVBand="1"/>
      </w:tblPr>
      <w:tblGrid>
        <w:gridCol w:w="4163"/>
        <w:gridCol w:w="4530"/>
      </w:tblGrid>
      <w:tr w:rsidR="001207EC" w:rsidTr="00477D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3" w:type="dxa"/>
          </w:tcPr>
          <w:p w:rsidR="001207EC" w:rsidRDefault="001207EC" w:rsidP="001552EC">
            <w:r>
              <w:t>Asset class in previous access arrangement period</w:t>
            </w:r>
          </w:p>
        </w:tc>
        <w:tc>
          <w:tcPr>
            <w:tcW w:w="4530" w:type="dxa"/>
          </w:tcPr>
          <w:p w:rsidR="001207EC" w:rsidRDefault="001207EC" w:rsidP="001552EC">
            <w:pPr>
              <w:cnfStyle w:val="100000000000" w:firstRow="1" w:lastRow="0" w:firstColumn="0" w:lastColumn="0" w:oddVBand="0" w:evenVBand="0" w:oddHBand="0" w:evenHBand="0" w:firstRowFirstColumn="0" w:firstRowLastColumn="0" w:lastRowFirstColumn="0" w:lastRowLastColumn="0"/>
            </w:pPr>
            <w:r>
              <w:t>Proposed asset class</w:t>
            </w:r>
          </w:p>
        </w:tc>
      </w:tr>
      <w:tr w:rsidR="001207EC" w:rsidTr="00477D41">
        <w:tc>
          <w:tcPr>
            <w:cnfStyle w:val="001000000000" w:firstRow="0" w:lastRow="0" w:firstColumn="1" w:lastColumn="0" w:oddVBand="0" w:evenVBand="0" w:oddHBand="0" w:evenHBand="0" w:firstRowFirstColumn="0" w:firstRowLastColumn="0" w:lastRowFirstColumn="0" w:lastRowLastColumn="0"/>
            <w:tcW w:w="4163" w:type="dxa"/>
          </w:tcPr>
          <w:p w:rsidR="001207EC" w:rsidRDefault="001207EC" w:rsidP="001552EC">
            <w:r>
              <w:t>Original pipeline</w:t>
            </w:r>
          </w:p>
        </w:tc>
        <w:tc>
          <w:tcPr>
            <w:tcW w:w="4530" w:type="dxa"/>
          </w:tcPr>
          <w:p w:rsidR="001207EC" w:rsidRDefault="001207EC" w:rsidP="001552EC">
            <w:pPr>
              <w:cnfStyle w:val="000000000000" w:firstRow="0" w:lastRow="0" w:firstColumn="0" w:lastColumn="0" w:oddVBand="0" w:evenVBand="0" w:oddHBand="0" w:evenHBand="0" w:firstRowFirstColumn="0" w:firstRowLastColumn="0" w:lastRowFirstColumn="0" w:lastRowLastColumn="0"/>
            </w:pPr>
            <w:r>
              <w:t>Original pipeline</w:t>
            </w:r>
            <w:r w:rsidR="00FA6B2E">
              <w:t xml:space="preserve"> (DN250)</w:t>
            </w:r>
          </w:p>
        </w:tc>
      </w:tr>
      <w:tr w:rsidR="00534EA5" w:rsidTr="00534EA5">
        <w:trPr>
          <w:cnfStyle w:val="000000010000" w:firstRow="0" w:lastRow="0" w:firstColumn="0" w:lastColumn="0" w:oddVBand="0" w:evenVBand="0" w:oddHBand="0" w:evenHBand="1" w:firstRowFirstColumn="0" w:firstRowLastColumn="0" w:lastRowFirstColumn="0" w:lastRowLastColumn="0"/>
          <w:trHeight w:val="2995"/>
        </w:trPr>
        <w:tc>
          <w:tcPr>
            <w:cnfStyle w:val="001000000000" w:firstRow="0" w:lastRow="0" w:firstColumn="1" w:lastColumn="0" w:oddVBand="0" w:evenVBand="0" w:oddHBand="0" w:evenHBand="0" w:firstRowFirstColumn="0" w:firstRowLastColumn="0" w:lastRowFirstColumn="0" w:lastRowLastColumn="0"/>
            <w:tcW w:w="4163" w:type="dxa"/>
          </w:tcPr>
          <w:p w:rsidR="00534EA5" w:rsidRDefault="00534EA5" w:rsidP="001552EC">
            <w:r>
              <w:t>Looping 1</w:t>
            </w:r>
          </w:p>
          <w:p w:rsidR="00534EA5" w:rsidRDefault="00534EA5" w:rsidP="001552EC">
            <w:r>
              <w:t>Looping 2</w:t>
            </w:r>
          </w:p>
          <w:p w:rsidR="00534EA5" w:rsidRDefault="00534EA5" w:rsidP="001552EC">
            <w:r>
              <w:t>Looping 3</w:t>
            </w:r>
          </w:p>
          <w:p w:rsidR="00534EA5" w:rsidRDefault="00534EA5" w:rsidP="001552EC">
            <w:r>
              <w:t>Looping 4</w:t>
            </w:r>
          </w:p>
          <w:p w:rsidR="00534EA5" w:rsidRDefault="00534EA5" w:rsidP="001552EC">
            <w:r>
              <w:t>Looping 5</w:t>
            </w:r>
          </w:p>
          <w:p w:rsidR="00534EA5" w:rsidRDefault="00534EA5" w:rsidP="001552EC">
            <w:r>
              <w:t>Looping 6</w:t>
            </w:r>
          </w:p>
          <w:p w:rsidR="00534EA5" w:rsidRDefault="00534EA5" w:rsidP="001552EC">
            <w:r>
              <w:t>Lateral</w:t>
            </w:r>
          </w:p>
          <w:p w:rsidR="00534EA5" w:rsidRDefault="00534EA5" w:rsidP="001552EC">
            <w:r>
              <w:t>Lytton lateral</w:t>
            </w:r>
          </w:p>
          <w:p w:rsidR="00534EA5" w:rsidRDefault="00534EA5" w:rsidP="001552EC">
            <w:r>
              <w:t>Pipelines/laterals</w:t>
            </w:r>
          </w:p>
        </w:tc>
        <w:tc>
          <w:tcPr>
            <w:tcW w:w="4530" w:type="dxa"/>
          </w:tcPr>
          <w:p w:rsidR="00534EA5" w:rsidRDefault="00534EA5" w:rsidP="001552EC">
            <w:pPr>
              <w:cnfStyle w:val="000000010000" w:firstRow="0" w:lastRow="0" w:firstColumn="0" w:lastColumn="0" w:oddVBand="0" w:evenVBand="0" w:oddHBand="0" w:evenHBand="1" w:firstRowFirstColumn="0" w:firstRowLastColumn="0" w:lastRowFirstColumn="0" w:lastRowLastColumn="0"/>
            </w:pPr>
            <w:r>
              <w:t>Pipelines</w:t>
            </w:r>
          </w:p>
        </w:tc>
      </w:tr>
      <w:tr w:rsidR="00534EA5" w:rsidTr="00CF0B1F">
        <w:trPr>
          <w:trHeight w:val="1758"/>
        </w:trPr>
        <w:tc>
          <w:tcPr>
            <w:cnfStyle w:val="001000000000" w:firstRow="0" w:lastRow="0" w:firstColumn="1" w:lastColumn="0" w:oddVBand="0" w:evenVBand="0" w:oddHBand="0" w:evenHBand="0" w:firstRowFirstColumn="0" w:firstRowLastColumn="0" w:lastRowFirstColumn="0" w:lastRowLastColumn="0"/>
            <w:tcW w:w="4163" w:type="dxa"/>
          </w:tcPr>
          <w:p w:rsidR="00534EA5" w:rsidRDefault="00534EA5" w:rsidP="001552EC">
            <w:r>
              <w:t>Dalby Compressor</w:t>
            </w:r>
          </w:p>
          <w:p w:rsidR="00534EA5" w:rsidRDefault="00534EA5" w:rsidP="001552EC">
            <w:r>
              <w:t>Kogan compressor</w:t>
            </w:r>
          </w:p>
          <w:p w:rsidR="00534EA5" w:rsidRDefault="00534EA5" w:rsidP="001552EC">
            <w:r>
              <w:t>Oakey compressor</w:t>
            </w:r>
          </w:p>
          <w:p w:rsidR="00534EA5" w:rsidRDefault="00534EA5" w:rsidP="001552EC">
            <w:r>
              <w:t>Condamine compressor</w:t>
            </w:r>
          </w:p>
          <w:p w:rsidR="00534EA5" w:rsidRDefault="00534EA5" w:rsidP="001552EC">
            <w:r>
              <w:t>Yuleba compressor</w:t>
            </w:r>
          </w:p>
          <w:p w:rsidR="00534EA5" w:rsidRDefault="00534EA5" w:rsidP="001552EC">
            <w:r>
              <w:t>Gatton compressor</w:t>
            </w:r>
          </w:p>
        </w:tc>
        <w:tc>
          <w:tcPr>
            <w:tcW w:w="4530" w:type="dxa"/>
          </w:tcPr>
          <w:p w:rsidR="00534EA5" w:rsidRDefault="00534EA5" w:rsidP="001552EC">
            <w:pPr>
              <w:cnfStyle w:val="000000000000" w:firstRow="0" w:lastRow="0" w:firstColumn="0" w:lastColumn="0" w:oddVBand="0" w:evenVBand="0" w:oddHBand="0" w:evenHBand="0" w:firstRowFirstColumn="0" w:firstRowLastColumn="0" w:lastRowFirstColumn="0" w:lastRowLastColumn="0"/>
            </w:pPr>
            <w:r>
              <w:t>Compressors</w:t>
            </w:r>
          </w:p>
        </w:tc>
      </w:tr>
      <w:tr w:rsidR="002456C1" w:rsidTr="00CF0B1F">
        <w:trPr>
          <w:cnfStyle w:val="000000010000" w:firstRow="0" w:lastRow="0" w:firstColumn="0" w:lastColumn="0" w:oddVBand="0" w:evenVBand="0" w:oddHBand="0" w:evenHBand="1"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163" w:type="dxa"/>
          </w:tcPr>
          <w:p w:rsidR="002456C1" w:rsidRPr="002456C1" w:rsidRDefault="002456C1" w:rsidP="002456C1">
            <w:r>
              <w:t>Easements</w:t>
            </w:r>
          </w:p>
        </w:tc>
        <w:tc>
          <w:tcPr>
            <w:tcW w:w="4530" w:type="dxa"/>
          </w:tcPr>
          <w:p w:rsidR="002456C1" w:rsidRPr="002456C1" w:rsidRDefault="002456C1" w:rsidP="002456C1">
            <w:pPr>
              <w:cnfStyle w:val="000000010000" w:firstRow="0" w:lastRow="0" w:firstColumn="0" w:lastColumn="0" w:oddVBand="0" w:evenVBand="0" w:oddHBand="0" w:evenHBand="1" w:firstRowFirstColumn="0" w:firstRowLastColumn="0" w:lastRowFirstColumn="0" w:lastRowLastColumn="0"/>
            </w:pPr>
            <w:r>
              <w:t>Easements</w:t>
            </w:r>
          </w:p>
        </w:tc>
      </w:tr>
      <w:tr w:rsidR="002456C1" w:rsidTr="00CF0B1F">
        <w:trPr>
          <w:trHeight w:val="263"/>
        </w:trPr>
        <w:tc>
          <w:tcPr>
            <w:cnfStyle w:val="001000000000" w:firstRow="0" w:lastRow="0" w:firstColumn="1" w:lastColumn="0" w:oddVBand="0" w:evenVBand="0" w:oddHBand="0" w:evenHBand="0" w:firstRowFirstColumn="0" w:firstRowLastColumn="0" w:lastRowFirstColumn="0" w:lastRowLastColumn="0"/>
            <w:tcW w:w="4163" w:type="dxa"/>
          </w:tcPr>
          <w:p w:rsidR="002456C1" w:rsidRPr="002456C1" w:rsidRDefault="002456C1" w:rsidP="002456C1">
            <w:r>
              <w:t>Communications</w:t>
            </w:r>
          </w:p>
        </w:tc>
        <w:tc>
          <w:tcPr>
            <w:tcW w:w="4530" w:type="dxa"/>
          </w:tcPr>
          <w:p w:rsidR="002456C1" w:rsidRPr="002456C1" w:rsidRDefault="002456C1" w:rsidP="002456C1">
            <w:pPr>
              <w:cnfStyle w:val="000000000000" w:firstRow="0" w:lastRow="0" w:firstColumn="0" w:lastColumn="0" w:oddVBand="0" w:evenVBand="0" w:oddHBand="0" w:evenHBand="0" w:firstRowFirstColumn="0" w:firstRowLastColumn="0" w:lastRowFirstColumn="0" w:lastRowLastColumn="0"/>
            </w:pPr>
            <w:r>
              <w:t>Communications</w:t>
            </w:r>
          </w:p>
        </w:tc>
      </w:tr>
      <w:tr w:rsidR="002456C1" w:rsidTr="00477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3" w:type="dxa"/>
          </w:tcPr>
          <w:p w:rsidR="002456C1" w:rsidRPr="002456C1" w:rsidRDefault="002456C1" w:rsidP="002456C1">
            <w:r>
              <w:t>Other</w:t>
            </w:r>
          </w:p>
        </w:tc>
        <w:tc>
          <w:tcPr>
            <w:tcW w:w="4530" w:type="dxa"/>
          </w:tcPr>
          <w:p w:rsidR="002456C1" w:rsidRPr="002456C1" w:rsidRDefault="002456C1" w:rsidP="002456C1">
            <w:pPr>
              <w:cnfStyle w:val="000000010000" w:firstRow="0" w:lastRow="0" w:firstColumn="0" w:lastColumn="0" w:oddVBand="0" w:evenVBand="0" w:oddHBand="0" w:evenHBand="1" w:firstRowFirstColumn="0" w:firstRowLastColumn="0" w:lastRowFirstColumn="0" w:lastRowLastColumn="0"/>
            </w:pPr>
            <w:r>
              <w:t>Other</w:t>
            </w:r>
          </w:p>
        </w:tc>
      </w:tr>
      <w:tr w:rsidR="002456C1" w:rsidTr="00477D41">
        <w:tc>
          <w:tcPr>
            <w:cnfStyle w:val="001000000000" w:firstRow="0" w:lastRow="0" w:firstColumn="1" w:lastColumn="0" w:oddVBand="0" w:evenVBand="0" w:oddHBand="0" w:evenHBand="0" w:firstRowFirstColumn="0" w:firstRowLastColumn="0" w:lastRowFirstColumn="0" w:lastRowLastColumn="0"/>
            <w:tcW w:w="4163" w:type="dxa"/>
          </w:tcPr>
          <w:p w:rsidR="002456C1" w:rsidRPr="002456C1" w:rsidRDefault="002456C1" w:rsidP="002456C1">
            <w:r>
              <w:t>Capitalised AA costs</w:t>
            </w:r>
          </w:p>
        </w:tc>
        <w:tc>
          <w:tcPr>
            <w:tcW w:w="4530" w:type="dxa"/>
          </w:tcPr>
          <w:p w:rsidR="002456C1" w:rsidRPr="002456C1" w:rsidRDefault="002456C1" w:rsidP="002456C1">
            <w:pPr>
              <w:cnfStyle w:val="000000000000" w:firstRow="0" w:lastRow="0" w:firstColumn="0" w:lastColumn="0" w:oddVBand="0" w:evenVBand="0" w:oddHBand="0" w:evenHBand="0" w:firstRowFirstColumn="0" w:firstRowLastColumn="0" w:lastRowFirstColumn="0" w:lastRowLastColumn="0"/>
            </w:pPr>
            <w:r>
              <w:t>Capitalised AA costs</w:t>
            </w:r>
          </w:p>
        </w:tc>
      </w:tr>
      <w:tr w:rsidR="002456C1" w:rsidTr="00477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3" w:type="dxa"/>
          </w:tcPr>
          <w:p w:rsidR="002456C1" w:rsidRPr="002456C1" w:rsidRDefault="002456C1" w:rsidP="002456C1">
            <w:r>
              <w:t>Group IT</w:t>
            </w:r>
          </w:p>
        </w:tc>
        <w:tc>
          <w:tcPr>
            <w:tcW w:w="4530" w:type="dxa"/>
          </w:tcPr>
          <w:p w:rsidR="002456C1" w:rsidRPr="002456C1" w:rsidRDefault="002456C1" w:rsidP="002456C1">
            <w:pPr>
              <w:cnfStyle w:val="000000010000" w:firstRow="0" w:lastRow="0" w:firstColumn="0" w:lastColumn="0" w:oddVBand="0" w:evenVBand="0" w:oddHBand="0" w:evenHBand="1" w:firstRowFirstColumn="0" w:firstRowLastColumn="0" w:lastRowFirstColumn="0" w:lastRowLastColumn="0"/>
            </w:pPr>
            <w:r>
              <w:t>Group IT</w:t>
            </w:r>
          </w:p>
        </w:tc>
      </w:tr>
      <w:tr w:rsidR="002456C1" w:rsidTr="00477D41">
        <w:tc>
          <w:tcPr>
            <w:cnfStyle w:val="001000000000" w:firstRow="0" w:lastRow="0" w:firstColumn="1" w:lastColumn="0" w:oddVBand="0" w:evenVBand="0" w:oddHBand="0" w:evenHBand="0" w:firstRowFirstColumn="0" w:firstRowLastColumn="0" w:lastRowFirstColumn="0" w:lastRowLastColumn="0"/>
            <w:tcW w:w="4163" w:type="dxa"/>
          </w:tcPr>
          <w:p w:rsidR="002456C1" w:rsidRPr="002456C1" w:rsidRDefault="002456C1" w:rsidP="002456C1">
            <w:r>
              <w:t>SIB capex</w:t>
            </w:r>
          </w:p>
        </w:tc>
        <w:tc>
          <w:tcPr>
            <w:tcW w:w="4530" w:type="dxa"/>
          </w:tcPr>
          <w:p w:rsidR="002456C1" w:rsidRPr="002456C1" w:rsidRDefault="002456C1" w:rsidP="002456C1">
            <w:pPr>
              <w:cnfStyle w:val="000000000000" w:firstRow="0" w:lastRow="0" w:firstColumn="0" w:lastColumn="0" w:oddVBand="0" w:evenVBand="0" w:oddHBand="0" w:evenHBand="0" w:firstRowFirstColumn="0" w:firstRowLastColumn="0" w:lastRowFirstColumn="0" w:lastRowLastColumn="0"/>
            </w:pPr>
            <w:r>
              <w:t>SIB capex</w:t>
            </w:r>
          </w:p>
        </w:tc>
      </w:tr>
      <w:tr w:rsidR="002456C1" w:rsidTr="00477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3" w:type="dxa"/>
          </w:tcPr>
          <w:p w:rsidR="002456C1" w:rsidRPr="002456C1" w:rsidRDefault="002456C1" w:rsidP="002456C1">
            <w:r>
              <w:t>PMA</w:t>
            </w:r>
          </w:p>
        </w:tc>
        <w:tc>
          <w:tcPr>
            <w:tcW w:w="4530" w:type="dxa"/>
          </w:tcPr>
          <w:p w:rsidR="002456C1" w:rsidRPr="002456C1" w:rsidRDefault="002456C1" w:rsidP="002456C1">
            <w:pPr>
              <w:cnfStyle w:val="000000010000" w:firstRow="0" w:lastRow="0" w:firstColumn="0" w:lastColumn="0" w:oddVBand="0" w:evenVBand="0" w:oddHBand="0" w:evenHBand="1" w:firstRowFirstColumn="0" w:firstRowLastColumn="0" w:lastRowFirstColumn="0" w:lastRowLastColumn="0"/>
            </w:pPr>
            <w:r>
              <w:t>PMA</w:t>
            </w:r>
          </w:p>
        </w:tc>
      </w:tr>
      <w:tr w:rsidR="002456C1" w:rsidTr="00477D41">
        <w:tc>
          <w:tcPr>
            <w:cnfStyle w:val="001000000000" w:firstRow="0" w:lastRow="0" w:firstColumn="1" w:lastColumn="0" w:oddVBand="0" w:evenVBand="0" w:oddHBand="0" w:evenHBand="0" w:firstRowFirstColumn="0" w:firstRowLastColumn="0" w:lastRowFirstColumn="0" w:lastRowLastColumn="0"/>
            <w:tcW w:w="4163" w:type="dxa"/>
          </w:tcPr>
          <w:p w:rsidR="002456C1" w:rsidRPr="002456C1" w:rsidRDefault="002456C1" w:rsidP="002456C1">
            <w:r>
              <w:t>Regulators and meters</w:t>
            </w:r>
          </w:p>
        </w:tc>
        <w:tc>
          <w:tcPr>
            <w:tcW w:w="4530" w:type="dxa"/>
          </w:tcPr>
          <w:p w:rsidR="002456C1" w:rsidRPr="002456C1" w:rsidRDefault="002456C1" w:rsidP="002456C1">
            <w:pPr>
              <w:cnfStyle w:val="000000000000" w:firstRow="0" w:lastRow="0" w:firstColumn="0" w:lastColumn="0" w:oddVBand="0" w:evenVBand="0" w:oddHBand="0" w:evenHBand="0" w:firstRowFirstColumn="0" w:firstRowLastColumn="0" w:lastRowFirstColumn="0" w:lastRowLastColumn="0"/>
            </w:pPr>
            <w:r>
              <w:t>Regulators and meters</w:t>
            </w:r>
          </w:p>
        </w:tc>
      </w:tr>
      <w:tr w:rsidR="002456C1" w:rsidTr="00477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3" w:type="dxa"/>
          </w:tcPr>
          <w:p w:rsidR="002456C1" w:rsidRPr="002456C1" w:rsidRDefault="002456C1" w:rsidP="002456C1">
            <w:r>
              <w:t xml:space="preserve">RBP </w:t>
            </w:r>
            <w:r w:rsidRPr="002456C1">
              <w:t>expansion 8</w:t>
            </w:r>
          </w:p>
        </w:tc>
        <w:tc>
          <w:tcPr>
            <w:tcW w:w="4530" w:type="dxa"/>
          </w:tcPr>
          <w:p w:rsidR="002456C1" w:rsidRPr="002456C1" w:rsidRDefault="002456C1" w:rsidP="00E74F7F">
            <w:pPr>
              <w:keepNext/>
              <w:cnfStyle w:val="000000010000" w:firstRow="0" w:lastRow="0" w:firstColumn="0" w:lastColumn="0" w:oddVBand="0" w:evenVBand="0" w:oddHBand="0" w:evenHBand="1" w:firstRowFirstColumn="0" w:firstRowLastColumn="0" w:lastRowFirstColumn="0" w:lastRowLastColumn="0"/>
            </w:pPr>
            <w:r>
              <w:t>n/a</w:t>
            </w:r>
          </w:p>
        </w:tc>
      </w:tr>
    </w:tbl>
    <w:p w:rsidR="001207EC" w:rsidRDefault="00E74F7F" w:rsidP="00E74F7F">
      <w:pPr>
        <w:pStyle w:val="AERtablesource"/>
      </w:pPr>
      <w:r>
        <w:t>Source:</w:t>
      </w:r>
      <w:r>
        <w:tab/>
      </w:r>
      <w:r w:rsidR="00671AFA">
        <w:t>APTPPL</w:t>
      </w:r>
      <w:r>
        <w:t xml:space="preserve">, </w:t>
      </w:r>
      <w:r w:rsidRPr="006A66AE">
        <w:rPr>
          <w:rStyle w:val="AERtextitalic"/>
        </w:rPr>
        <w:t xml:space="preserve">Access arrangement </w:t>
      </w:r>
      <w:r w:rsidR="006A66AE" w:rsidRPr="006A66AE">
        <w:rPr>
          <w:rStyle w:val="AERtextitalic"/>
        </w:rPr>
        <w:t xml:space="preserve">revision </w:t>
      </w:r>
      <w:r w:rsidRPr="006A66AE">
        <w:rPr>
          <w:rStyle w:val="AERtextitalic"/>
        </w:rPr>
        <w:t>submission</w:t>
      </w:r>
      <w:r w:rsidR="006A66AE" w:rsidRPr="006A66AE">
        <w:rPr>
          <w:rStyle w:val="AERtextitalic"/>
        </w:rPr>
        <w:t xml:space="preserve"> 2017–22</w:t>
      </w:r>
      <w:r>
        <w:t>,</w:t>
      </w:r>
      <w:r w:rsidR="00A30278">
        <w:t xml:space="preserve"> September 2016, pp. 116 and 11</w:t>
      </w:r>
      <w:r w:rsidR="006A66AE">
        <w:t>7.</w:t>
      </w:r>
      <w:r>
        <w:t xml:space="preserve"> </w:t>
      </w:r>
    </w:p>
    <w:p w:rsidR="005B5FC5" w:rsidRPr="005B5FC5" w:rsidRDefault="005B5FC5" w:rsidP="005B5FC5">
      <w:pPr>
        <w:pStyle w:val="Caption"/>
      </w:pPr>
      <w:bookmarkStart w:id="17" w:name="_Ref398892142"/>
      <w:r>
        <w:t xml:space="preserve">Table </w:t>
      </w:r>
      <w:r w:rsidR="00D627A4">
        <w:fldChar w:fldCharType="begin"/>
      </w:r>
      <w:r w:rsidR="00D627A4">
        <w:instrText xml:space="preserve"> STYLEREF 1 \s </w:instrText>
      </w:r>
      <w:r w:rsidR="00D627A4">
        <w:fldChar w:fldCharType="separate"/>
      </w:r>
      <w:r w:rsidR="00D627A4">
        <w:rPr>
          <w:noProof/>
        </w:rPr>
        <w:t>5</w:t>
      </w:r>
      <w:r w:rsidR="00D627A4">
        <w:rPr>
          <w:noProof/>
        </w:rPr>
        <w:fldChar w:fldCharType="end"/>
      </w:r>
      <w:r w:rsidR="009138E2">
        <w:t>.</w:t>
      </w:r>
      <w:r w:rsidR="00D627A4">
        <w:fldChar w:fldCharType="begin"/>
      </w:r>
      <w:r w:rsidR="00D627A4">
        <w:instrText xml:space="preserve"> SEQ Table \* ARABIC \s 1 </w:instrText>
      </w:r>
      <w:r w:rsidR="00D627A4">
        <w:fldChar w:fldCharType="separate"/>
      </w:r>
      <w:r w:rsidR="00D627A4">
        <w:rPr>
          <w:noProof/>
        </w:rPr>
        <w:t>3</w:t>
      </w:r>
      <w:r w:rsidR="00D627A4">
        <w:rPr>
          <w:noProof/>
        </w:rPr>
        <w:fldChar w:fldCharType="end"/>
      </w:r>
      <w:bookmarkEnd w:id="17"/>
      <w:r w:rsidRPr="005B5FC5">
        <w:tab/>
      </w:r>
      <w:r w:rsidR="00671AFA">
        <w:t>APTPPL</w:t>
      </w:r>
      <w:r w:rsidRPr="005B5FC5">
        <w:t>’s proposed regulatory depreciation for the 201</w:t>
      </w:r>
      <w:r>
        <w:t>7</w:t>
      </w:r>
      <w:r w:rsidRPr="005B5FC5">
        <w:t>–2</w:t>
      </w:r>
      <w:r>
        <w:t>2</w:t>
      </w:r>
      <w:r w:rsidRPr="005B5FC5">
        <w:t xml:space="preserve"> access arrangement period ($million, nominal)</w:t>
      </w:r>
    </w:p>
    <w:tbl>
      <w:tblPr>
        <w:tblStyle w:val="AERtable-numbers"/>
        <w:tblW w:w="8755" w:type="dxa"/>
        <w:tblLayout w:type="fixed"/>
        <w:tblLook w:val="04A0" w:firstRow="1" w:lastRow="0" w:firstColumn="1" w:lastColumn="0" w:noHBand="0" w:noVBand="1"/>
      </w:tblPr>
      <w:tblGrid>
        <w:gridCol w:w="2563"/>
        <w:gridCol w:w="1032"/>
        <w:gridCol w:w="1032"/>
        <w:gridCol w:w="1032"/>
        <w:gridCol w:w="1032"/>
        <w:gridCol w:w="1032"/>
        <w:gridCol w:w="1032"/>
      </w:tblGrid>
      <w:tr w:rsidR="007D4D9C" w:rsidRPr="00A575B0" w:rsidTr="008C531F">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563" w:type="dxa"/>
            <w:noWrap/>
            <w:hideMark/>
          </w:tcPr>
          <w:p w:rsidR="007D4D9C" w:rsidRPr="00A575B0" w:rsidRDefault="007D4D9C" w:rsidP="007D4D9C"/>
        </w:tc>
        <w:tc>
          <w:tcPr>
            <w:tcW w:w="1032" w:type="dxa"/>
            <w:noWrap/>
          </w:tcPr>
          <w:p w:rsidR="007D4D9C" w:rsidRPr="007D4D9C" w:rsidRDefault="007D4D9C" w:rsidP="007D4D9C">
            <w:pPr>
              <w:cnfStyle w:val="100000000000" w:firstRow="1" w:lastRow="0" w:firstColumn="0" w:lastColumn="0" w:oddVBand="0" w:evenVBand="0" w:oddHBand="0" w:evenHBand="0" w:firstRowFirstColumn="0" w:firstRowLastColumn="0" w:lastRowFirstColumn="0" w:lastRowLastColumn="0"/>
            </w:pPr>
            <w:r w:rsidRPr="00A575B0">
              <w:t>201</w:t>
            </w:r>
            <w:r w:rsidRPr="007D4D9C">
              <w:t>7–18</w:t>
            </w:r>
          </w:p>
        </w:tc>
        <w:tc>
          <w:tcPr>
            <w:tcW w:w="1032" w:type="dxa"/>
            <w:noWrap/>
          </w:tcPr>
          <w:p w:rsidR="007D4D9C" w:rsidRPr="007D4D9C" w:rsidRDefault="007D4D9C" w:rsidP="007D4D9C">
            <w:pPr>
              <w:cnfStyle w:val="100000000000" w:firstRow="1" w:lastRow="0" w:firstColumn="0" w:lastColumn="0" w:oddVBand="0" w:evenVBand="0" w:oddHBand="0" w:evenHBand="0" w:firstRowFirstColumn="0" w:firstRowLastColumn="0" w:lastRowFirstColumn="0" w:lastRowLastColumn="0"/>
            </w:pPr>
            <w:r w:rsidRPr="00964F02">
              <w:t>2018–19</w:t>
            </w:r>
          </w:p>
        </w:tc>
        <w:tc>
          <w:tcPr>
            <w:tcW w:w="1032" w:type="dxa"/>
            <w:noWrap/>
          </w:tcPr>
          <w:p w:rsidR="007D4D9C" w:rsidRPr="007D4D9C" w:rsidRDefault="007D4D9C" w:rsidP="007D4D9C">
            <w:pPr>
              <w:cnfStyle w:val="100000000000" w:firstRow="1" w:lastRow="0" w:firstColumn="0" w:lastColumn="0" w:oddVBand="0" w:evenVBand="0" w:oddHBand="0" w:evenHBand="0" w:firstRowFirstColumn="0" w:firstRowLastColumn="0" w:lastRowFirstColumn="0" w:lastRowLastColumn="0"/>
            </w:pPr>
            <w:r w:rsidRPr="00964F02">
              <w:t>2019–20</w:t>
            </w:r>
          </w:p>
        </w:tc>
        <w:tc>
          <w:tcPr>
            <w:tcW w:w="1032" w:type="dxa"/>
            <w:noWrap/>
          </w:tcPr>
          <w:p w:rsidR="007D4D9C" w:rsidRPr="007D4D9C" w:rsidRDefault="007D4D9C" w:rsidP="007D4D9C">
            <w:pPr>
              <w:cnfStyle w:val="100000000000" w:firstRow="1" w:lastRow="0" w:firstColumn="0" w:lastColumn="0" w:oddVBand="0" w:evenVBand="0" w:oddHBand="0" w:evenHBand="0" w:firstRowFirstColumn="0" w:firstRowLastColumn="0" w:lastRowFirstColumn="0" w:lastRowLastColumn="0"/>
            </w:pPr>
            <w:r w:rsidRPr="00964F02">
              <w:t>2020–21</w:t>
            </w:r>
          </w:p>
        </w:tc>
        <w:tc>
          <w:tcPr>
            <w:tcW w:w="1032" w:type="dxa"/>
            <w:noWrap/>
          </w:tcPr>
          <w:p w:rsidR="007D4D9C" w:rsidRPr="007D4D9C" w:rsidRDefault="007D4D9C" w:rsidP="007D4D9C">
            <w:pPr>
              <w:cnfStyle w:val="100000000000" w:firstRow="1" w:lastRow="0" w:firstColumn="0" w:lastColumn="0" w:oddVBand="0" w:evenVBand="0" w:oddHBand="0" w:evenHBand="0" w:firstRowFirstColumn="0" w:firstRowLastColumn="0" w:lastRowFirstColumn="0" w:lastRowLastColumn="0"/>
            </w:pPr>
            <w:r w:rsidRPr="00964F02">
              <w:t>202</w:t>
            </w:r>
            <w:r>
              <w:t>1</w:t>
            </w:r>
            <w:r w:rsidRPr="00964F02">
              <w:t>–2</w:t>
            </w:r>
            <w:r>
              <w:t>2</w:t>
            </w:r>
          </w:p>
        </w:tc>
        <w:tc>
          <w:tcPr>
            <w:tcW w:w="1032" w:type="dxa"/>
          </w:tcPr>
          <w:p w:rsidR="007D4D9C" w:rsidRPr="007D4D9C" w:rsidRDefault="007D4D9C" w:rsidP="007D4D9C">
            <w:pPr>
              <w:cnfStyle w:val="100000000000" w:firstRow="1" w:lastRow="0" w:firstColumn="0" w:lastColumn="0" w:oddVBand="0" w:evenVBand="0" w:oddHBand="0" w:evenHBand="0" w:firstRowFirstColumn="0" w:firstRowLastColumn="0" w:lastRowFirstColumn="0" w:lastRowLastColumn="0"/>
            </w:pPr>
            <w:r w:rsidRPr="00964F02">
              <w:t>Total</w:t>
            </w:r>
          </w:p>
        </w:tc>
      </w:tr>
      <w:tr w:rsidR="002D595E" w:rsidRPr="009603F9" w:rsidTr="008C531F">
        <w:trPr>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2D595E" w:rsidRPr="002D595E" w:rsidRDefault="002D595E" w:rsidP="002D595E">
            <w:r w:rsidRPr="002D595E">
              <w:t>Straight-line depreciation</w:t>
            </w:r>
          </w:p>
        </w:tc>
        <w:tc>
          <w:tcPr>
            <w:tcW w:w="1032" w:type="dxa"/>
            <w:noWrap/>
            <w:vAlign w:val="bottom"/>
          </w:tcPr>
          <w:p w:rsidR="002D595E" w:rsidRPr="002D595E" w:rsidRDefault="002D595E">
            <w:pPr>
              <w:cnfStyle w:val="000000000000" w:firstRow="0" w:lastRow="0" w:firstColumn="0" w:lastColumn="0" w:oddVBand="0" w:evenVBand="0" w:oddHBand="0" w:evenHBand="0" w:firstRowFirstColumn="0" w:firstRowLastColumn="0" w:lastRowFirstColumn="0" w:lastRowLastColumn="0"/>
            </w:pPr>
            <w:r>
              <w:t xml:space="preserve">    </w:t>
            </w:r>
            <w:r w:rsidRPr="002D595E">
              <w:t xml:space="preserve">15.4 </w:t>
            </w:r>
          </w:p>
        </w:tc>
        <w:tc>
          <w:tcPr>
            <w:tcW w:w="1032" w:type="dxa"/>
            <w:noWrap/>
            <w:vAlign w:val="bottom"/>
          </w:tcPr>
          <w:p w:rsidR="002D595E" w:rsidRPr="002D595E" w:rsidRDefault="002D595E">
            <w:pPr>
              <w:cnfStyle w:val="000000000000" w:firstRow="0" w:lastRow="0" w:firstColumn="0" w:lastColumn="0" w:oddVBand="0" w:evenVBand="0" w:oddHBand="0" w:evenHBand="0" w:firstRowFirstColumn="0" w:firstRowLastColumn="0" w:lastRowFirstColumn="0" w:lastRowLastColumn="0"/>
            </w:pPr>
            <w:r w:rsidRPr="002D595E">
              <w:t xml:space="preserve">        16.7 </w:t>
            </w:r>
          </w:p>
        </w:tc>
        <w:tc>
          <w:tcPr>
            <w:tcW w:w="1032" w:type="dxa"/>
            <w:noWrap/>
            <w:vAlign w:val="bottom"/>
          </w:tcPr>
          <w:p w:rsidR="002D595E" w:rsidRPr="002D595E" w:rsidRDefault="002D595E">
            <w:pPr>
              <w:cnfStyle w:val="000000000000" w:firstRow="0" w:lastRow="0" w:firstColumn="0" w:lastColumn="0" w:oddVBand="0" w:evenVBand="0" w:oddHBand="0" w:evenHBand="0" w:firstRowFirstColumn="0" w:firstRowLastColumn="0" w:lastRowFirstColumn="0" w:lastRowLastColumn="0"/>
            </w:pPr>
            <w:r w:rsidRPr="002D595E">
              <w:t xml:space="preserve">        17.8 </w:t>
            </w:r>
          </w:p>
        </w:tc>
        <w:tc>
          <w:tcPr>
            <w:tcW w:w="1032" w:type="dxa"/>
            <w:noWrap/>
            <w:vAlign w:val="bottom"/>
          </w:tcPr>
          <w:p w:rsidR="002D595E" w:rsidRPr="002D595E" w:rsidRDefault="002D595E">
            <w:pPr>
              <w:cnfStyle w:val="000000000000" w:firstRow="0" w:lastRow="0" w:firstColumn="0" w:lastColumn="0" w:oddVBand="0" w:evenVBand="0" w:oddHBand="0" w:evenHBand="0" w:firstRowFirstColumn="0" w:firstRowLastColumn="0" w:lastRowFirstColumn="0" w:lastRowLastColumn="0"/>
            </w:pPr>
            <w:r w:rsidRPr="002D595E">
              <w:t xml:space="preserve">      11.4 </w:t>
            </w:r>
          </w:p>
        </w:tc>
        <w:tc>
          <w:tcPr>
            <w:tcW w:w="1032" w:type="dxa"/>
            <w:noWrap/>
            <w:vAlign w:val="bottom"/>
          </w:tcPr>
          <w:p w:rsidR="002D595E" w:rsidRPr="002D595E" w:rsidRDefault="002D595E">
            <w:pPr>
              <w:cnfStyle w:val="000000000000" w:firstRow="0" w:lastRow="0" w:firstColumn="0" w:lastColumn="0" w:oddVBand="0" w:evenVBand="0" w:oddHBand="0" w:evenHBand="0" w:firstRowFirstColumn="0" w:firstRowLastColumn="0" w:lastRowFirstColumn="0" w:lastRowLastColumn="0"/>
            </w:pPr>
            <w:r w:rsidRPr="002D595E">
              <w:t xml:space="preserve">        11.8 </w:t>
            </w:r>
          </w:p>
        </w:tc>
        <w:tc>
          <w:tcPr>
            <w:tcW w:w="1032" w:type="dxa"/>
          </w:tcPr>
          <w:p w:rsidR="002D595E" w:rsidRPr="002D595E" w:rsidRDefault="00610021" w:rsidP="002D595E">
            <w:pPr>
              <w:cnfStyle w:val="000000000000" w:firstRow="0" w:lastRow="0" w:firstColumn="0" w:lastColumn="0" w:oddVBand="0" w:evenVBand="0" w:oddHBand="0" w:evenHBand="0" w:firstRowFirstColumn="0" w:firstRowLastColumn="0" w:lastRowFirstColumn="0" w:lastRowLastColumn="0"/>
            </w:pPr>
            <w:r>
              <w:t>73.1</w:t>
            </w:r>
          </w:p>
        </w:tc>
      </w:tr>
      <w:tr w:rsidR="002D595E" w:rsidRPr="009603F9" w:rsidTr="008C531F">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2D595E" w:rsidRPr="002D595E" w:rsidRDefault="002D595E" w:rsidP="002D595E">
            <w:r w:rsidRPr="002D595E">
              <w:rPr>
                <w:rStyle w:val="AERtextitalic"/>
              </w:rPr>
              <w:t xml:space="preserve">Less: </w:t>
            </w:r>
            <w:r w:rsidRPr="002D595E">
              <w:t xml:space="preserve">indexation on capital base </w:t>
            </w:r>
          </w:p>
        </w:tc>
        <w:tc>
          <w:tcPr>
            <w:tcW w:w="1032" w:type="dxa"/>
            <w:noWrap/>
            <w:vAlign w:val="bottom"/>
          </w:tcPr>
          <w:p w:rsidR="002D595E" w:rsidRPr="002D595E" w:rsidRDefault="002D595E">
            <w:pPr>
              <w:cnfStyle w:val="000000010000" w:firstRow="0" w:lastRow="0" w:firstColumn="0" w:lastColumn="0" w:oddVBand="0" w:evenVBand="0" w:oddHBand="0" w:evenHBand="1" w:firstRowFirstColumn="0" w:firstRowLastColumn="0" w:lastRowFirstColumn="0" w:lastRowLastColumn="0"/>
            </w:pPr>
            <w:r w:rsidRPr="002D595E">
              <w:t xml:space="preserve">            9.0 </w:t>
            </w:r>
          </w:p>
        </w:tc>
        <w:tc>
          <w:tcPr>
            <w:tcW w:w="1032" w:type="dxa"/>
            <w:noWrap/>
            <w:vAlign w:val="bottom"/>
          </w:tcPr>
          <w:p w:rsidR="002D595E" w:rsidRPr="002D595E" w:rsidRDefault="002D595E">
            <w:pPr>
              <w:cnfStyle w:val="000000010000" w:firstRow="0" w:lastRow="0" w:firstColumn="0" w:lastColumn="0" w:oddVBand="0" w:evenVBand="0" w:oddHBand="0" w:evenHBand="1" w:firstRowFirstColumn="0" w:firstRowLastColumn="0" w:lastRowFirstColumn="0" w:lastRowLastColumn="0"/>
            </w:pPr>
            <w:r w:rsidRPr="002D595E">
              <w:t xml:space="preserve">            9.4 </w:t>
            </w:r>
          </w:p>
        </w:tc>
        <w:tc>
          <w:tcPr>
            <w:tcW w:w="1032" w:type="dxa"/>
            <w:noWrap/>
            <w:vAlign w:val="bottom"/>
          </w:tcPr>
          <w:p w:rsidR="002D595E" w:rsidRPr="002D595E" w:rsidRDefault="002D595E">
            <w:pPr>
              <w:cnfStyle w:val="000000010000" w:firstRow="0" w:lastRow="0" w:firstColumn="0" w:lastColumn="0" w:oddVBand="0" w:evenVBand="0" w:oddHBand="0" w:evenHBand="1" w:firstRowFirstColumn="0" w:firstRowLastColumn="0" w:lastRowFirstColumn="0" w:lastRowLastColumn="0"/>
            </w:pPr>
            <w:r w:rsidRPr="002D595E">
              <w:t xml:space="preserve">          12.0 </w:t>
            </w:r>
          </w:p>
        </w:tc>
        <w:tc>
          <w:tcPr>
            <w:tcW w:w="1032" w:type="dxa"/>
            <w:noWrap/>
            <w:vAlign w:val="bottom"/>
          </w:tcPr>
          <w:p w:rsidR="002D595E" w:rsidRPr="002D595E" w:rsidRDefault="002D595E">
            <w:pPr>
              <w:cnfStyle w:val="000000010000" w:firstRow="0" w:lastRow="0" w:firstColumn="0" w:lastColumn="0" w:oddVBand="0" w:evenVBand="0" w:oddHBand="0" w:evenHBand="1" w:firstRowFirstColumn="0" w:firstRowLastColumn="0" w:lastRowFirstColumn="0" w:lastRowLastColumn="0"/>
            </w:pPr>
            <w:r w:rsidRPr="002D595E">
              <w:t xml:space="preserve">          12.1 </w:t>
            </w:r>
          </w:p>
        </w:tc>
        <w:tc>
          <w:tcPr>
            <w:tcW w:w="1032" w:type="dxa"/>
            <w:noWrap/>
            <w:vAlign w:val="bottom"/>
          </w:tcPr>
          <w:p w:rsidR="002D595E" w:rsidRPr="002D595E" w:rsidRDefault="002D595E">
            <w:pPr>
              <w:cnfStyle w:val="000000010000" w:firstRow="0" w:lastRow="0" w:firstColumn="0" w:lastColumn="0" w:oddVBand="0" w:evenVBand="0" w:oddHBand="0" w:evenHBand="1" w:firstRowFirstColumn="0" w:firstRowLastColumn="0" w:lastRowFirstColumn="0" w:lastRowLastColumn="0"/>
            </w:pPr>
            <w:r w:rsidRPr="002D595E">
              <w:t xml:space="preserve">          12.3 </w:t>
            </w:r>
          </w:p>
        </w:tc>
        <w:tc>
          <w:tcPr>
            <w:tcW w:w="1032" w:type="dxa"/>
          </w:tcPr>
          <w:p w:rsidR="002D595E" w:rsidRPr="002D595E" w:rsidRDefault="00610021" w:rsidP="002D595E">
            <w:pPr>
              <w:cnfStyle w:val="000000010000" w:firstRow="0" w:lastRow="0" w:firstColumn="0" w:lastColumn="0" w:oddVBand="0" w:evenVBand="0" w:oddHBand="0" w:evenHBand="1" w:firstRowFirstColumn="0" w:firstRowLastColumn="0" w:lastRowFirstColumn="0" w:lastRowLastColumn="0"/>
            </w:pPr>
            <w:r>
              <w:t>55.0</w:t>
            </w:r>
          </w:p>
        </w:tc>
      </w:tr>
      <w:tr w:rsidR="002D595E" w:rsidRPr="00A575B0" w:rsidTr="008C531F">
        <w:trPr>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2D595E" w:rsidRPr="002D595E" w:rsidRDefault="002D595E" w:rsidP="002D595E">
            <w:pPr>
              <w:rPr>
                <w:rStyle w:val="Strong"/>
              </w:rPr>
            </w:pPr>
            <w:r w:rsidRPr="002D595E">
              <w:rPr>
                <w:rStyle w:val="Strong"/>
              </w:rPr>
              <w:t>Regulatory depreciation</w:t>
            </w:r>
          </w:p>
        </w:tc>
        <w:tc>
          <w:tcPr>
            <w:tcW w:w="1032" w:type="dxa"/>
            <w:noWrap/>
            <w:vAlign w:val="bottom"/>
          </w:tcPr>
          <w:p w:rsidR="002D595E" w:rsidRPr="00610021" w:rsidRDefault="002D595E">
            <w:pPr>
              <w:cnfStyle w:val="000000000000" w:firstRow="0" w:lastRow="0" w:firstColumn="0" w:lastColumn="0" w:oddVBand="0" w:evenVBand="0" w:oddHBand="0" w:evenHBand="0" w:firstRowFirstColumn="0" w:firstRowLastColumn="0" w:lastRowFirstColumn="0" w:lastRowLastColumn="0"/>
              <w:rPr>
                <w:rStyle w:val="Strong"/>
              </w:rPr>
            </w:pPr>
            <w:r w:rsidRPr="00610021">
              <w:rPr>
                <w:rStyle w:val="Strong"/>
              </w:rPr>
              <w:t xml:space="preserve"> 6.4 </w:t>
            </w:r>
          </w:p>
        </w:tc>
        <w:tc>
          <w:tcPr>
            <w:tcW w:w="1032" w:type="dxa"/>
            <w:noWrap/>
            <w:vAlign w:val="bottom"/>
          </w:tcPr>
          <w:p w:rsidR="002D595E" w:rsidRPr="00610021" w:rsidRDefault="002D595E">
            <w:pPr>
              <w:cnfStyle w:val="000000000000" w:firstRow="0" w:lastRow="0" w:firstColumn="0" w:lastColumn="0" w:oddVBand="0" w:evenVBand="0" w:oddHBand="0" w:evenHBand="0" w:firstRowFirstColumn="0" w:firstRowLastColumn="0" w:lastRowFirstColumn="0" w:lastRowLastColumn="0"/>
              <w:rPr>
                <w:rStyle w:val="Strong"/>
              </w:rPr>
            </w:pPr>
            <w:r w:rsidRPr="00610021">
              <w:rPr>
                <w:rStyle w:val="Strong"/>
              </w:rPr>
              <w:t xml:space="preserve">7.3 </w:t>
            </w:r>
          </w:p>
        </w:tc>
        <w:tc>
          <w:tcPr>
            <w:tcW w:w="1032" w:type="dxa"/>
            <w:noWrap/>
            <w:vAlign w:val="bottom"/>
          </w:tcPr>
          <w:p w:rsidR="002D595E" w:rsidRPr="00610021" w:rsidRDefault="002D595E">
            <w:pPr>
              <w:cnfStyle w:val="000000000000" w:firstRow="0" w:lastRow="0" w:firstColumn="0" w:lastColumn="0" w:oddVBand="0" w:evenVBand="0" w:oddHBand="0" w:evenHBand="0" w:firstRowFirstColumn="0" w:firstRowLastColumn="0" w:lastRowFirstColumn="0" w:lastRowLastColumn="0"/>
              <w:rPr>
                <w:rStyle w:val="Strong"/>
              </w:rPr>
            </w:pPr>
            <w:r w:rsidRPr="00610021">
              <w:rPr>
                <w:rStyle w:val="Strong"/>
              </w:rPr>
              <w:t xml:space="preserve">        5.7 </w:t>
            </w:r>
          </w:p>
        </w:tc>
        <w:tc>
          <w:tcPr>
            <w:tcW w:w="1032" w:type="dxa"/>
            <w:noWrap/>
            <w:vAlign w:val="bottom"/>
          </w:tcPr>
          <w:p w:rsidR="002D595E" w:rsidRPr="00610021" w:rsidRDefault="002D595E">
            <w:pPr>
              <w:cnfStyle w:val="000000000000" w:firstRow="0" w:lastRow="0" w:firstColumn="0" w:lastColumn="0" w:oddVBand="0" w:evenVBand="0" w:oddHBand="0" w:evenHBand="0" w:firstRowFirstColumn="0" w:firstRowLastColumn="0" w:lastRowFirstColumn="0" w:lastRowLastColumn="0"/>
              <w:rPr>
                <w:rStyle w:val="Strong"/>
              </w:rPr>
            </w:pPr>
            <w:r w:rsidRPr="00610021">
              <w:rPr>
                <w:rStyle w:val="Strong"/>
              </w:rPr>
              <w:t xml:space="preserve">       –0.7 </w:t>
            </w:r>
          </w:p>
        </w:tc>
        <w:tc>
          <w:tcPr>
            <w:tcW w:w="1032" w:type="dxa"/>
            <w:noWrap/>
            <w:vAlign w:val="bottom"/>
          </w:tcPr>
          <w:p w:rsidR="002D595E" w:rsidRPr="00610021" w:rsidRDefault="002D595E">
            <w:pPr>
              <w:cnfStyle w:val="000000000000" w:firstRow="0" w:lastRow="0" w:firstColumn="0" w:lastColumn="0" w:oddVBand="0" w:evenVBand="0" w:oddHBand="0" w:evenHBand="0" w:firstRowFirstColumn="0" w:firstRowLastColumn="0" w:lastRowFirstColumn="0" w:lastRowLastColumn="0"/>
              <w:rPr>
                <w:rStyle w:val="Strong"/>
              </w:rPr>
            </w:pPr>
            <w:r w:rsidRPr="00610021">
              <w:rPr>
                <w:rStyle w:val="Strong"/>
              </w:rPr>
              <w:t xml:space="preserve">         –0.6 </w:t>
            </w:r>
          </w:p>
        </w:tc>
        <w:tc>
          <w:tcPr>
            <w:tcW w:w="1032" w:type="dxa"/>
          </w:tcPr>
          <w:p w:rsidR="002D595E" w:rsidRPr="002D595E" w:rsidRDefault="00610021" w:rsidP="002D595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18.1</w:t>
            </w:r>
          </w:p>
        </w:tc>
      </w:tr>
    </w:tbl>
    <w:p w:rsidR="005B5FC5" w:rsidRDefault="005B5FC5" w:rsidP="00610021">
      <w:pPr>
        <w:pStyle w:val="AERtablesource"/>
      </w:pPr>
      <w:r w:rsidRPr="005B5FC5">
        <w:rPr>
          <w:rFonts w:eastAsia="Calibri"/>
        </w:rPr>
        <w:t xml:space="preserve">Source: </w:t>
      </w:r>
      <w:r w:rsidRPr="005B5FC5">
        <w:rPr>
          <w:rFonts w:eastAsia="Calibri"/>
        </w:rPr>
        <w:tab/>
      </w:r>
      <w:r w:rsidR="00671AFA">
        <w:rPr>
          <w:rFonts w:eastAsia="Calibri"/>
        </w:rPr>
        <w:t>APTPPL</w:t>
      </w:r>
      <w:r w:rsidRPr="001A2042">
        <w:t xml:space="preserve">, </w:t>
      </w:r>
      <w:r>
        <w:rPr>
          <w:rStyle w:val="AERtextitalic"/>
        </w:rPr>
        <w:t xml:space="preserve">Proposed PTRM, </w:t>
      </w:r>
      <w:r w:rsidR="00332BC9" w:rsidRPr="00610021">
        <w:rPr>
          <w:rStyle w:val="AERtextitalic"/>
          <w:i w:val="0"/>
        </w:rPr>
        <w:t>September</w:t>
      </w:r>
      <w:r w:rsidRPr="00610021">
        <w:rPr>
          <w:rStyle w:val="AERtextitalic"/>
          <w:i w:val="0"/>
        </w:rPr>
        <w:t xml:space="preserve"> 201</w:t>
      </w:r>
      <w:r w:rsidR="00332BC9" w:rsidRPr="00610021">
        <w:rPr>
          <w:rStyle w:val="AERtextitalic"/>
          <w:i w:val="0"/>
        </w:rPr>
        <w:t>6</w:t>
      </w:r>
      <w:r w:rsidRPr="005B5FC5">
        <w:rPr>
          <w:rStyle w:val="AERtextitalic"/>
        </w:rPr>
        <w:t>.</w:t>
      </w:r>
    </w:p>
    <w:p w:rsidR="00D1561D" w:rsidRDefault="00D1561D" w:rsidP="00D1561D">
      <w:pPr>
        <w:pStyle w:val="Heading2"/>
      </w:pPr>
      <w:bookmarkStart w:id="18" w:name="_Toc429575819"/>
      <w:bookmarkStart w:id="19" w:name="_Ref429991037"/>
      <w:bookmarkStart w:id="20" w:name="_Ref435430863"/>
      <w:bookmarkStart w:id="21" w:name="_Toc436042530"/>
      <w:bookmarkStart w:id="22" w:name="_Toc486846796"/>
      <w:r w:rsidRPr="0074565D">
        <w:t>AER’s assessment approach</w:t>
      </w:r>
      <w:bookmarkEnd w:id="18"/>
      <w:bookmarkEnd w:id="19"/>
      <w:bookmarkEnd w:id="20"/>
      <w:bookmarkEnd w:id="21"/>
      <w:bookmarkEnd w:id="22"/>
    </w:p>
    <w:p w:rsidR="006E4103" w:rsidRDefault="006E4103" w:rsidP="006E4103">
      <w:r w:rsidRPr="00471C48">
        <w:t xml:space="preserve">In its access arrangement proposal, </w:t>
      </w:r>
      <w:r w:rsidR="00671AFA">
        <w:t>APTPPL</w:t>
      </w:r>
      <w:r w:rsidRPr="00471C48">
        <w:t xml:space="preserve"> must provide a forecast of depreciation for the </w:t>
      </w:r>
      <w:r>
        <w:t>201</w:t>
      </w:r>
      <w:r w:rsidR="00081E68">
        <w:t>7</w:t>
      </w:r>
      <w:r>
        <w:t>–2</w:t>
      </w:r>
      <w:r w:rsidR="00081E68">
        <w:t>2</w:t>
      </w:r>
      <w:r w:rsidRPr="00471C48">
        <w:t xml:space="preserve"> access arrangement period, including a demonstration of how the forecast is derived on the basis of the proposed depreciation method.</w:t>
      </w:r>
      <w:r w:rsidRPr="00471C48">
        <w:rPr>
          <w:rStyle w:val="FootnoteReference"/>
        </w:rPr>
        <w:footnoteReference w:id="7"/>
      </w:r>
      <w:r w:rsidRPr="00471C48">
        <w:t xml:space="preserve"> </w:t>
      </w:r>
    </w:p>
    <w:p w:rsidR="006E4103" w:rsidRPr="006E4103" w:rsidRDefault="006E4103" w:rsidP="006E4103">
      <w:r w:rsidRPr="006E4103">
        <w:t>The depreciation schedule sets out the basis on which the pipeline assets constituting the capital base are to be depreciated for the purpose of determining a reference tariff. The depreciation schedule may consist of a number of separate schedules, each relating to a particular asset or class of asset.</w:t>
      </w:r>
      <w:r w:rsidRPr="006E4103">
        <w:rPr>
          <w:rStyle w:val="FootnoteReference"/>
        </w:rPr>
        <w:footnoteReference w:id="8"/>
      </w:r>
      <w:r w:rsidRPr="006E4103">
        <w:t xml:space="preserve"> In making a decision on the proposed depreciation schedule, we assess the compliance of the proposed depreciation schedule with the depreciation criteria set out in the NG</w:t>
      </w:r>
      <w:r w:rsidRPr="006E4103">
        <w:rPr>
          <w:rStyle w:val="AERbody"/>
        </w:rPr>
        <w:t>R.</w:t>
      </w:r>
      <w:r w:rsidRPr="006E4103">
        <w:rPr>
          <w:rStyle w:val="FootnoteReference"/>
        </w:rPr>
        <w:footnoteReference w:id="9"/>
      </w:r>
      <w:r w:rsidRPr="006E4103">
        <w:rPr>
          <w:rStyle w:val="AERbody"/>
        </w:rPr>
        <w:t xml:space="preserve"> </w:t>
      </w:r>
      <w:r>
        <w:t>We</w:t>
      </w:r>
      <w:r w:rsidRPr="00471C48">
        <w:t xml:space="preserve"> must also take into account the NGO and the revenue and pricing principles.</w:t>
      </w:r>
      <w:r w:rsidRPr="00471C48">
        <w:rPr>
          <w:rStyle w:val="FootnoteReference"/>
        </w:rPr>
        <w:footnoteReference w:id="10"/>
      </w:r>
    </w:p>
    <w:p w:rsidR="006E4103" w:rsidRPr="00471C48" w:rsidRDefault="006E4103" w:rsidP="006E4103">
      <w:pPr>
        <w:rPr>
          <w:rStyle w:val="AERbody"/>
        </w:rPr>
      </w:pPr>
      <w:r>
        <w:rPr>
          <w:rStyle w:val="AERbody"/>
        </w:rPr>
        <w:t xml:space="preserve">Our </w:t>
      </w:r>
      <w:r w:rsidRPr="00471C48">
        <w:rPr>
          <w:rStyle w:val="AERbody"/>
        </w:rPr>
        <w:t>discretion under the depreciation criteria is limited.</w:t>
      </w:r>
      <w:r w:rsidRPr="00471C48">
        <w:rPr>
          <w:rStyle w:val="FootnoteReference"/>
        </w:rPr>
        <w:footnoteReference w:id="11"/>
      </w:r>
      <w:r w:rsidRPr="00471C48">
        <w:rPr>
          <w:rStyle w:val="AERbody"/>
        </w:rPr>
        <w:t xml:space="preserve"> The depreciation criteria state that </w:t>
      </w:r>
      <w:r w:rsidRPr="00471C48">
        <w:t>the depreciation schedule should be designed:</w:t>
      </w:r>
    </w:p>
    <w:p w:rsidR="006E4103" w:rsidRPr="00B9583E" w:rsidRDefault="006E4103" w:rsidP="006E4103">
      <w:pPr>
        <w:pStyle w:val="AERbulletlistfirststyle"/>
      </w:pPr>
      <w:r w:rsidRPr="00B9583E">
        <w:t>so that reference tariffs will vary, over time, in a way that promotes efficient growth in the market for reference services</w:t>
      </w:r>
      <w:r w:rsidRPr="00B9583E">
        <w:rPr>
          <w:rStyle w:val="FootnoteReference"/>
        </w:rPr>
        <w:footnoteReference w:id="12"/>
      </w:r>
    </w:p>
    <w:p w:rsidR="006E4103" w:rsidRPr="00B9583E" w:rsidRDefault="006E4103" w:rsidP="006E4103">
      <w:pPr>
        <w:pStyle w:val="AERbulletlistfirststyle"/>
      </w:pPr>
      <w:r w:rsidRPr="00B9583E">
        <w:t>so that each asset or group of assets is depreciated over the economic life of that asset or group of assets</w:t>
      </w:r>
      <w:r w:rsidRPr="00B9583E">
        <w:rPr>
          <w:rStyle w:val="FootnoteReference"/>
        </w:rPr>
        <w:footnoteReference w:id="13"/>
      </w:r>
    </w:p>
    <w:p w:rsidR="006E4103" w:rsidRPr="00B9583E" w:rsidRDefault="006E4103" w:rsidP="006E4103">
      <w:pPr>
        <w:pStyle w:val="AERbulletlistfirststyle"/>
      </w:pPr>
      <w:r w:rsidRPr="00B9583E">
        <w:t>so as to allow, as far as reasonably practicable, for adjustment reflecting changes in the expected economic life of a particular asset, or a particular group of assets</w:t>
      </w:r>
      <w:r w:rsidRPr="00B9583E">
        <w:rPr>
          <w:rStyle w:val="FootnoteReference"/>
        </w:rPr>
        <w:footnoteReference w:id="14"/>
      </w:r>
    </w:p>
    <w:p w:rsidR="006E4103" w:rsidRPr="00B9583E" w:rsidRDefault="006E4103" w:rsidP="006E4103">
      <w:pPr>
        <w:pStyle w:val="AERbulletlistfirststyle"/>
      </w:pPr>
      <w:r w:rsidRPr="00B9583E">
        <w:t>so that (subject to the rules about capital redundancy), an asset is depreciated only once</w:t>
      </w:r>
      <w:r w:rsidRPr="00B9583E">
        <w:rPr>
          <w:rStyle w:val="FootnoteReference"/>
        </w:rPr>
        <w:footnoteReference w:id="15"/>
      </w:r>
      <w:r w:rsidRPr="00B9583E">
        <w:t xml:space="preserve"> </w:t>
      </w:r>
    </w:p>
    <w:p w:rsidR="006E4103" w:rsidRPr="00B9583E" w:rsidRDefault="006E4103" w:rsidP="006E4103">
      <w:pPr>
        <w:pStyle w:val="AERbulletlistfirststyle"/>
      </w:pPr>
      <w:r w:rsidRPr="00B9583E">
        <w:t>so as to allow for the service provider's reasonable needs for cash flow to meet financing, non-capital and other costs.</w:t>
      </w:r>
      <w:r w:rsidRPr="00B9583E">
        <w:rPr>
          <w:rStyle w:val="FootnoteReference"/>
        </w:rPr>
        <w:footnoteReference w:id="16"/>
      </w:r>
    </w:p>
    <w:p w:rsidR="006E4103" w:rsidRPr="00471C48" w:rsidRDefault="006E4103" w:rsidP="006E4103">
      <w:pPr>
        <w:rPr>
          <w:rStyle w:val="AERbody"/>
        </w:rPr>
      </w:pPr>
      <w:r w:rsidRPr="00471C48">
        <w:t xml:space="preserve">The depreciation criteria also </w:t>
      </w:r>
      <w:r w:rsidR="007C43D3">
        <w:t>provide that</w:t>
      </w:r>
      <w:r w:rsidR="00EC0A0B">
        <w:t xml:space="preserve"> </w:t>
      </w:r>
      <w:r w:rsidRPr="00471C48">
        <w:t>a substantial amount of depreciation may be deferred.</w:t>
      </w:r>
      <w:r w:rsidRPr="006E4103">
        <w:rPr>
          <w:rStyle w:val="FootnoteReference"/>
        </w:rPr>
        <w:footnoteReference w:id="17"/>
      </w:r>
    </w:p>
    <w:p w:rsidR="007C43D3" w:rsidRPr="00471C48" w:rsidRDefault="007C43D3" w:rsidP="007C43D3">
      <w:pPr>
        <w:rPr>
          <w:rStyle w:val="AERbody"/>
        </w:rPr>
      </w:pPr>
      <w:r w:rsidRPr="00FA2ED1">
        <w:t>The rules also require that any forecast must be arrived at on a reasonable basis and must represent the best forecast or estimate possible in the circumstances.</w:t>
      </w:r>
      <w:r w:rsidRPr="008E61FE">
        <w:rPr>
          <w:rStyle w:val="FootnoteReference"/>
        </w:rPr>
        <w:footnoteReference w:id="18"/>
      </w:r>
    </w:p>
    <w:p w:rsidR="006E4103" w:rsidRPr="00471C48" w:rsidRDefault="006E4103" w:rsidP="006E4103">
      <w:r>
        <w:t>The r</w:t>
      </w:r>
      <w:r w:rsidRPr="00471C48">
        <w:t xml:space="preserve">egulatory depreciation allowance is the net total of the </w:t>
      </w:r>
      <w:r>
        <w:t xml:space="preserve">real </w:t>
      </w:r>
      <w:r w:rsidRPr="00471C48">
        <w:t xml:space="preserve">straight-line depreciation (negative) and the annual inflation indexation (positive) on the projected capital base. </w:t>
      </w:r>
      <w:r>
        <w:t>Our</w:t>
      </w:r>
      <w:r w:rsidRPr="00471C48">
        <w:t xml:space="preserve"> </w:t>
      </w:r>
      <w:r>
        <w:t>standard approach is to employ a</w:t>
      </w:r>
      <w:r w:rsidRPr="00471C48">
        <w:t xml:space="preserve"> straight-line method </w:t>
      </w:r>
      <w:r>
        <w:t>for calculating depreciation. We</w:t>
      </w:r>
      <w:r w:rsidRPr="00471C48">
        <w:t xml:space="preserve"> consider that the straight-line method satisfies the </w:t>
      </w:r>
      <w:r>
        <w:t xml:space="preserve">NGR’s </w:t>
      </w:r>
      <w:r w:rsidRPr="00471C48">
        <w:t>depreciation criteria.</w:t>
      </w:r>
      <w:r w:rsidRPr="00471C48">
        <w:rPr>
          <w:rStyle w:val="FootnoteReference"/>
        </w:rPr>
        <w:footnoteReference w:id="19"/>
      </w:r>
      <w:r w:rsidRPr="00471C48">
        <w:t xml:space="preserve"> This is because the straight-line method smooth</w:t>
      </w:r>
      <w:r>
        <w:t>s</w:t>
      </w:r>
      <w:r w:rsidRPr="00471C48">
        <w:t xml:space="preserve"> changes in the reference tariffs, promotes efficient growth of the market, allows assets to be depreciated only once and over its economic life, and allows for a service provider's reasonable needs for cash flow. </w:t>
      </w:r>
    </w:p>
    <w:p w:rsidR="006E4103" w:rsidRPr="00471C48" w:rsidRDefault="006E4103" w:rsidP="006E4103">
      <w:r w:rsidRPr="00471C48">
        <w:t xml:space="preserve">In assessing </w:t>
      </w:r>
      <w:r w:rsidR="00671AFA">
        <w:rPr>
          <w:rStyle w:val="AERbody"/>
        </w:rPr>
        <w:t>APTPPL</w:t>
      </w:r>
      <w:r>
        <w:t>’s</w:t>
      </w:r>
      <w:r w:rsidRPr="00471C48">
        <w:t xml:space="preserve"> proposed regulatory depreciation allowance, </w:t>
      </w:r>
      <w:r>
        <w:t>we</w:t>
      </w:r>
      <w:r w:rsidRPr="00471C48">
        <w:t xml:space="preserve"> ha</w:t>
      </w:r>
      <w:r>
        <w:t>ve</w:t>
      </w:r>
      <w:r w:rsidRPr="00471C48">
        <w:t xml:space="preserve"> analysed </w:t>
      </w:r>
      <w:r w:rsidR="00671AFA">
        <w:rPr>
          <w:rStyle w:val="AERbody"/>
        </w:rPr>
        <w:t>APTPPL</w:t>
      </w:r>
      <w:r>
        <w:t>’s</w:t>
      </w:r>
      <w:r w:rsidRPr="00471C48">
        <w:t xml:space="preserve"> proposed </w:t>
      </w:r>
      <w:r>
        <w:t xml:space="preserve">inputs to the PTRM </w:t>
      </w:r>
      <w:r w:rsidRPr="00471C48">
        <w:t>for calculating depreciation</w:t>
      </w:r>
      <w:r>
        <w:t xml:space="preserve"> for the 201</w:t>
      </w:r>
      <w:r w:rsidR="00F21093">
        <w:t>7</w:t>
      </w:r>
      <w:r>
        <w:t>–2</w:t>
      </w:r>
      <w:r w:rsidR="00F21093">
        <w:t>2</w:t>
      </w:r>
      <w:r>
        <w:t xml:space="preserve"> access arrangement period. </w:t>
      </w:r>
      <w:r w:rsidRPr="00471C48">
        <w:t>These inputs include:</w:t>
      </w:r>
      <w:r>
        <w:t xml:space="preserve"> </w:t>
      </w:r>
    </w:p>
    <w:p w:rsidR="006E4103" w:rsidRPr="00B9583E" w:rsidRDefault="006E4103" w:rsidP="006E4103">
      <w:pPr>
        <w:pStyle w:val="AERbulletlistfirststyle"/>
      </w:pPr>
      <w:r w:rsidRPr="00B9583E">
        <w:t>the opening capital base as at 1 July 201</w:t>
      </w:r>
      <w:r w:rsidR="00F21093">
        <w:t>7</w:t>
      </w:r>
    </w:p>
    <w:p w:rsidR="006E4103" w:rsidRPr="00B9583E" w:rsidRDefault="006E4103" w:rsidP="006E4103">
      <w:pPr>
        <w:pStyle w:val="AERbulletlistfirststyle"/>
      </w:pPr>
      <w:r w:rsidRPr="00B9583E">
        <w:t>the forecast net capex in</w:t>
      </w:r>
      <w:r>
        <w:t xml:space="preserve"> </w:t>
      </w:r>
      <w:r w:rsidRPr="00B9583E">
        <w:t>the 201</w:t>
      </w:r>
      <w:r w:rsidR="00F21093">
        <w:t>7</w:t>
      </w:r>
      <w:r w:rsidRPr="00B9583E">
        <w:t>–2</w:t>
      </w:r>
      <w:r w:rsidR="00F21093">
        <w:t>2</w:t>
      </w:r>
      <w:r w:rsidRPr="00B9583E">
        <w:t xml:space="preserve"> access arrangement period</w:t>
      </w:r>
    </w:p>
    <w:p w:rsidR="006E4103" w:rsidRPr="00B9583E" w:rsidRDefault="006E4103" w:rsidP="006E4103">
      <w:pPr>
        <w:pStyle w:val="AERbulletlistfirststyle"/>
      </w:pPr>
      <w:r w:rsidRPr="00B9583E">
        <w:t>the forecast inflation rate for</w:t>
      </w:r>
      <w:r>
        <w:t xml:space="preserve"> </w:t>
      </w:r>
      <w:r w:rsidRPr="00B9583E">
        <w:t>the 201</w:t>
      </w:r>
      <w:r w:rsidR="00F21093">
        <w:t>7</w:t>
      </w:r>
      <w:r w:rsidRPr="00B9583E">
        <w:t>–2</w:t>
      </w:r>
      <w:r w:rsidR="00F21093">
        <w:t>2</w:t>
      </w:r>
      <w:r w:rsidRPr="00B9583E">
        <w:t xml:space="preserve"> access arrangement period</w:t>
      </w:r>
    </w:p>
    <w:p w:rsidR="006E4103" w:rsidRPr="00B9583E" w:rsidRDefault="006E4103" w:rsidP="006E4103">
      <w:pPr>
        <w:pStyle w:val="AERbulletlistfirststyle"/>
      </w:pPr>
      <w:r w:rsidRPr="00B9583E">
        <w:t>the standard asset life for each asset class—used for calculating the depreciation of new assets associated with forecast net capex in the 201</w:t>
      </w:r>
      <w:r w:rsidR="00F21093">
        <w:t>7</w:t>
      </w:r>
      <w:r w:rsidRPr="00B9583E">
        <w:t>–2</w:t>
      </w:r>
      <w:r w:rsidR="00F21093">
        <w:t>2</w:t>
      </w:r>
      <w:r w:rsidRPr="00B9583E">
        <w:t xml:space="preserve"> access arrangement period</w:t>
      </w:r>
    </w:p>
    <w:p w:rsidR="006E4103" w:rsidRPr="00B9583E" w:rsidRDefault="006E4103" w:rsidP="006E4103">
      <w:pPr>
        <w:pStyle w:val="AERbulletlistfirststyle"/>
      </w:pPr>
      <w:r w:rsidRPr="00B9583E">
        <w:t>the remaining asset life for each asset class—used for calculating the depreciation of existing assets associated with the opening capital base as at 1 July 201</w:t>
      </w:r>
      <w:r w:rsidR="00064F3E">
        <w:t>7</w:t>
      </w:r>
      <w:r w:rsidRPr="00B9583E">
        <w:t>.</w:t>
      </w:r>
    </w:p>
    <w:p w:rsidR="006E4103" w:rsidRPr="00471C48" w:rsidRDefault="006E4103" w:rsidP="006E4103">
      <w:r>
        <w:t xml:space="preserve">Our </w:t>
      </w:r>
      <w:r w:rsidRPr="00471C48">
        <w:t>de</w:t>
      </w:r>
      <w:r w:rsidR="00172715">
        <w:t>cision</w:t>
      </w:r>
      <w:r w:rsidRPr="00471C48">
        <w:t xml:space="preserve">s affecting the first three inputs in the above list are discussed elsewhere: opening </w:t>
      </w:r>
      <w:r w:rsidRPr="005E445B">
        <w:t>capital base (attachment 2), forecast inflation (attachment 3)</w:t>
      </w:r>
      <w:r>
        <w:t xml:space="preserve"> and </w:t>
      </w:r>
      <w:r w:rsidRPr="005E445B">
        <w:t>forecast net capex (attachment 6).</w:t>
      </w:r>
      <w:r w:rsidRPr="00471C48">
        <w:t xml:space="preserve"> </w:t>
      </w:r>
      <w:r>
        <w:t xml:space="preserve">Our </w:t>
      </w:r>
      <w:r w:rsidRPr="00471C48">
        <w:t xml:space="preserve">decision on the required amendments to </w:t>
      </w:r>
      <w:r w:rsidR="00671AFA">
        <w:rPr>
          <w:rStyle w:val="AERbody"/>
        </w:rPr>
        <w:t>APTPPL</w:t>
      </w:r>
      <w:r>
        <w:rPr>
          <w:rStyle w:val="AERbody"/>
        </w:rPr>
        <w:t>’</w:t>
      </w:r>
      <w:r>
        <w:t>s</w:t>
      </w:r>
      <w:r w:rsidRPr="00471C48">
        <w:t xml:space="preserve"> proposed regulatory depreciation allowance reflects </w:t>
      </w:r>
      <w:r>
        <w:t>our</w:t>
      </w:r>
      <w:r w:rsidRPr="00471C48">
        <w:t xml:space="preserve"> determinations on these building block components. </w:t>
      </w:r>
      <w:r>
        <w:t xml:space="preserve">Our </w:t>
      </w:r>
      <w:r w:rsidRPr="00471C48">
        <w:t>assessment approach on the remaining two inputs in the above list is set out below.</w:t>
      </w:r>
    </w:p>
    <w:p w:rsidR="006E4103" w:rsidRPr="002D7525" w:rsidRDefault="006E4103" w:rsidP="006E4103">
      <w:r w:rsidRPr="00471C48">
        <w:t xml:space="preserve">In general, </w:t>
      </w:r>
      <w:r>
        <w:t>we</w:t>
      </w:r>
      <w:r w:rsidRPr="00471C48">
        <w:t xml:space="preserve"> consider that consistency in the standard </w:t>
      </w:r>
      <w:r>
        <w:t>asset</w:t>
      </w:r>
      <w:r w:rsidRPr="00471C48">
        <w:t xml:space="preserve"> life for each asset class across access arrangement periods will allow reference tariffs to vary smoothly over time. This will promote efficient growth in the market for reference services.</w:t>
      </w:r>
      <w:r w:rsidRPr="00471C48">
        <w:rPr>
          <w:rStyle w:val="FootnoteReference"/>
        </w:rPr>
        <w:footnoteReference w:id="20"/>
      </w:r>
      <w:r w:rsidRPr="00471C48">
        <w:t xml:space="preserve"> </w:t>
      </w:r>
      <w:r>
        <w:t>Our</w:t>
      </w:r>
      <w:r w:rsidRPr="00471C48">
        <w:t xml:space="preserve"> standard method for determining the remaining </w:t>
      </w:r>
      <w:r>
        <w:t>asset</w:t>
      </w:r>
      <w:r w:rsidRPr="00471C48">
        <w:t xml:space="preserve"> lives is the weighted average method.</w:t>
      </w:r>
      <w:r>
        <w:rPr>
          <w:rStyle w:val="FootnoteReference"/>
        </w:rPr>
        <w:footnoteReference w:id="21"/>
      </w:r>
      <w:r w:rsidRPr="00471C48">
        <w:t xml:space="preserve"> The weighted average method rolls forward the remaining </w:t>
      </w:r>
      <w:r>
        <w:t>asset</w:t>
      </w:r>
      <w:r w:rsidRPr="00471C48">
        <w:t xml:space="preserve"> life for an asset class from the beginning of the earlier access arrangement period. This </w:t>
      </w:r>
      <w:r w:rsidR="00D32DA2">
        <w:t>method</w:t>
      </w:r>
      <w:r w:rsidRPr="00471C48">
        <w:t xml:space="preserve"> reflects the mix of assets within that asset class</w:t>
      </w:r>
      <w:r w:rsidR="00D32DA2">
        <w:t>. It also reflects</w:t>
      </w:r>
      <w:r w:rsidRPr="00471C48">
        <w:t xml:space="preserve"> when the</w:t>
      </w:r>
      <w:r w:rsidR="00D32DA2">
        <w:t xml:space="preserve"> assets</w:t>
      </w:r>
      <w:r w:rsidRPr="00471C48">
        <w:t xml:space="preserve"> were acquired over that period and the remaining </w:t>
      </w:r>
      <w:r w:rsidR="00D32DA2">
        <w:t xml:space="preserve">asset lives of existing assets at the end of that period. The remaining </w:t>
      </w:r>
      <w:r w:rsidRPr="00471C48">
        <w:t>value</w:t>
      </w:r>
      <w:r w:rsidR="00D32DA2">
        <w:t>s</w:t>
      </w:r>
      <w:r w:rsidRPr="00471C48">
        <w:t xml:space="preserve"> of </w:t>
      </w:r>
      <w:r w:rsidR="00D32DA2">
        <w:t>all</w:t>
      </w:r>
      <w:r w:rsidRPr="00471C48">
        <w:t xml:space="preserve"> assets </w:t>
      </w:r>
      <w:r w:rsidR="00D32DA2">
        <w:t xml:space="preserve">are </w:t>
      </w:r>
      <w:r w:rsidRPr="00471C48">
        <w:t>used as weight</w:t>
      </w:r>
      <w:r w:rsidR="00D32DA2">
        <w:t>s</w:t>
      </w:r>
      <w:r w:rsidRPr="00471C48">
        <w:t xml:space="preserve"> at the end of the period.</w:t>
      </w:r>
      <w:r>
        <w:rPr>
          <w:rStyle w:val="FootnoteReference"/>
        </w:rPr>
        <w:footnoteReference w:id="22"/>
      </w:r>
      <w:r w:rsidRPr="00471C48">
        <w:t xml:space="preserve"> </w:t>
      </w:r>
      <w:r w:rsidR="00671AFA">
        <w:t>APTPPL</w:t>
      </w:r>
      <w:r w:rsidR="00D32DA2">
        <w:t xml:space="preserve">'s proposal has adopted the weighted average method to calculate its remaining asset lives at 1 </w:t>
      </w:r>
      <w:r w:rsidR="00D13B6E">
        <w:t>July</w:t>
      </w:r>
      <w:r w:rsidR="00D32DA2">
        <w:t xml:space="preserve"> 2017.</w:t>
      </w:r>
    </w:p>
    <w:p w:rsidR="006E4103" w:rsidRDefault="006E4103" w:rsidP="006E4103">
      <w:pPr>
        <w:pStyle w:val="Heading3"/>
      </w:pPr>
      <w:bookmarkStart w:id="23" w:name="_Toc429575820"/>
      <w:bookmarkStart w:id="24" w:name="_Toc436042531"/>
      <w:bookmarkStart w:id="25" w:name="_Toc486846797"/>
      <w:r>
        <w:t>Interrelationships</w:t>
      </w:r>
      <w:bookmarkEnd w:id="23"/>
      <w:bookmarkEnd w:id="24"/>
      <w:bookmarkEnd w:id="25"/>
    </w:p>
    <w:p w:rsidR="006E4103" w:rsidRPr="00D57689" w:rsidRDefault="006E4103" w:rsidP="006E4103">
      <w:r w:rsidRPr="00D57689">
        <w:t>The regulatory depreciation allowance is a building block component of the annual building block revenue requirement.</w:t>
      </w:r>
      <w:r w:rsidRPr="00D57689">
        <w:rPr>
          <w:rStyle w:val="FootnoteReference"/>
        </w:rPr>
        <w:footnoteReference w:id="23"/>
      </w:r>
      <w:r w:rsidRPr="00D57689">
        <w:t xml:space="preserve"> Higher (or quicker) depreciation leads to higher revenues over the </w:t>
      </w:r>
      <w:r>
        <w:t>access arrangement</w:t>
      </w:r>
      <w:r w:rsidRPr="00D57689">
        <w:t xml:space="preserve"> period. It also causes the </w:t>
      </w:r>
      <w:r>
        <w:t xml:space="preserve">capital base </w:t>
      </w:r>
      <w:r w:rsidRPr="00D57689">
        <w:t>to reduce more quickly (assuming no further capex). This reduces the return on capital allowance, although this impact is usually s</w:t>
      </w:r>
      <w:r w:rsidR="00005FFA">
        <w:t>maller that</w:t>
      </w:r>
      <w:r w:rsidRPr="00D57689">
        <w:t xml:space="preserve"> the increased depreciation allowance</w:t>
      </w:r>
      <w:r w:rsidR="00005FFA">
        <w:t xml:space="preserve"> in the short to medium term</w:t>
      </w:r>
      <w:r w:rsidRPr="00D57689">
        <w:t>.</w:t>
      </w:r>
      <w:r w:rsidR="00005FFA">
        <w:rPr>
          <w:rStyle w:val="FootnoteReference"/>
        </w:rPr>
        <w:footnoteReference w:id="24"/>
      </w:r>
      <w:r w:rsidRPr="00D57689">
        <w:t xml:space="preserve"> </w:t>
      </w:r>
    </w:p>
    <w:p w:rsidR="006E4103" w:rsidRPr="00D57689" w:rsidRDefault="006E4103" w:rsidP="006E4103">
      <w:r w:rsidRPr="00D57689">
        <w:t xml:space="preserve">Ultimately, however, a </w:t>
      </w:r>
      <w:r>
        <w:t>service provider</w:t>
      </w:r>
      <w:r w:rsidRPr="00D57689">
        <w:t xml:space="preserve"> can only recover the capex it has incurred on assets once. The depreciation allowance reflects how quickly the </w:t>
      </w:r>
      <w:r>
        <w:t>capital base</w:t>
      </w:r>
      <w:r w:rsidRPr="00D57689">
        <w:t xml:space="preserve"> is being recovered and is based on the remaining and standard </w:t>
      </w:r>
      <w:r>
        <w:t>asset</w:t>
      </w:r>
      <w:r w:rsidRPr="00D57689">
        <w:t xml:space="preserve"> lives used in the depreciation calculation. </w:t>
      </w:r>
      <w:r w:rsidR="00005FFA">
        <w:t xml:space="preserve">It </w:t>
      </w:r>
      <w:r w:rsidRPr="00D57689">
        <w:t xml:space="preserve">also depends on the level of the opening </w:t>
      </w:r>
      <w:r>
        <w:t>capital base</w:t>
      </w:r>
      <w:r w:rsidRPr="00D57689">
        <w:t xml:space="preserve"> and the forecast capex. Any increase in these factors also increases the depreciation allowance. </w:t>
      </w:r>
    </w:p>
    <w:p w:rsidR="00005FFA" w:rsidRDefault="000276EC" w:rsidP="00005FFA">
      <w:r>
        <w:t xml:space="preserve">Our standard approach is to </w:t>
      </w:r>
      <w:r w:rsidR="00005FFA">
        <w:t>maintain</w:t>
      </w:r>
      <w:r>
        <w:t xml:space="preserve"> the capital base</w:t>
      </w:r>
      <w:r w:rsidR="00005FFA">
        <w:t xml:space="preserve"> in real terms, meaning the </w:t>
      </w:r>
      <w:r>
        <w:t>capital base is</w:t>
      </w:r>
      <w:r w:rsidR="00005FFA">
        <w:t xml:space="preserve"> indexed for expected inflation. The return on capital building block has</w:t>
      </w:r>
      <w:r w:rsidR="00005FFA" w:rsidDel="007158C3">
        <w:t xml:space="preserve"> </w:t>
      </w:r>
      <w:r w:rsidR="00005FFA">
        <w:t xml:space="preserve">to be calculated using a nominal rate of return (WACC) applied to the opening </w:t>
      </w:r>
      <w:r>
        <w:t>capital base</w:t>
      </w:r>
      <w:r w:rsidR="00005FFA">
        <w:t>.</w:t>
      </w:r>
      <w:r w:rsidR="00005FFA">
        <w:rPr>
          <w:rStyle w:val="FootnoteReference"/>
        </w:rPr>
        <w:footnoteReference w:id="25"/>
      </w:r>
      <w:r w:rsidR="00005FFA">
        <w:t xml:space="preserve"> </w:t>
      </w:r>
      <w:r>
        <w:t>T</w:t>
      </w:r>
      <w:r w:rsidR="00005FFA">
        <w:t xml:space="preserve">he total </w:t>
      </w:r>
      <w:r w:rsidR="00005FFA" w:rsidRPr="007158C3">
        <w:t xml:space="preserve">revenue requirement </w:t>
      </w:r>
      <w:r w:rsidR="00005FFA">
        <w:t xml:space="preserve">is calculated </w:t>
      </w:r>
      <w:r w:rsidR="00005FFA" w:rsidRPr="007158C3">
        <w:t xml:space="preserve">by adding </w:t>
      </w:r>
      <w:r w:rsidR="00005FFA">
        <w:t xml:space="preserve">up the </w:t>
      </w:r>
      <w:r w:rsidR="00005FFA" w:rsidRPr="007158C3">
        <w:t>return on capital</w:t>
      </w:r>
      <w:r w:rsidR="00005FFA">
        <w:t>,</w:t>
      </w:r>
      <w:r w:rsidR="00005FFA" w:rsidRPr="007158C3">
        <w:t xml:space="preserve"> </w:t>
      </w:r>
      <w:r w:rsidR="00005FFA">
        <w:t xml:space="preserve">depreciation, opex, </w:t>
      </w:r>
      <w:r>
        <w:t xml:space="preserve">and </w:t>
      </w:r>
      <w:r w:rsidR="00005FFA">
        <w:t>tax building blocks</w:t>
      </w:r>
      <w:r w:rsidR="00005FFA" w:rsidRPr="007158C3">
        <w:t>.</w:t>
      </w:r>
      <w:r w:rsidR="00005FFA">
        <w:t xml:space="preserve"> Because inflation on the </w:t>
      </w:r>
      <w:r>
        <w:t>capital base</w:t>
      </w:r>
      <w:r w:rsidR="00005FFA">
        <w:t xml:space="preserve"> is accounted for in both the return on capital—based on a nominal rate—and the depreciation</w:t>
      </w:r>
      <w:r w:rsidR="00005FFA" w:rsidRPr="007158C3">
        <w:t xml:space="preserve"> </w:t>
      </w:r>
      <w:r w:rsidR="00005FFA">
        <w:t xml:space="preserve">calculations—based on an indexed </w:t>
      </w:r>
      <w:r>
        <w:t>capital base</w:t>
      </w:r>
      <w:r w:rsidR="00005FFA">
        <w:t>—</w:t>
      </w:r>
      <w:r w:rsidR="00005FFA" w:rsidRPr="007158C3">
        <w:t xml:space="preserve">an adjustment </w:t>
      </w:r>
      <w:r w:rsidR="00005FFA">
        <w:t xml:space="preserve">must be </w:t>
      </w:r>
      <w:r w:rsidR="00005FFA" w:rsidRPr="007158C3">
        <w:t xml:space="preserve">made </w:t>
      </w:r>
      <w:r w:rsidR="00005FFA">
        <w:t xml:space="preserve">to </w:t>
      </w:r>
      <w:r w:rsidR="00005FFA" w:rsidRPr="007158C3">
        <w:t xml:space="preserve">the revenue requirement </w:t>
      </w:r>
      <w:r w:rsidR="00005FFA">
        <w:t>to prevent compensating twice for inflation</w:t>
      </w:r>
      <w:r w:rsidR="00005FFA" w:rsidRPr="007158C3">
        <w:t>.</w:t>
      </w:r>
    </w:p>
    <w:p w:rsidR="00005FFA" w:rsidRDefault="00005FFA" w:rsidP="00005FFA">
      <w:r w:rsidRPr="00C9216A">
        <w:t xml:space="preserve">To avoid this double compensation, we make an adjustment by subtracting the annual indexation gain </w:t>
      </w:r>
      <w:r>
        <w:t xml:space="preserve">on the </w:t>
      </w:r>
      <w:r w:rsidR="000276EC">
        <w:t>capital base</w:t>
      </w:r>
      <w:r>
        <w:t xml:space="preserve"> </w:t>
      </w:r>
      <w:r w:rsidRPr="00C9216A">
        <w:t>from the calculation of total revenue</w:t>
      </w:r>
      <w:r>
        <w:t xml:space="preserve">. Our approach is to subtract the indexation of the opening </w:t>
      </w:r>
      <w:r w:rsidR="000276EC">
        <w:t>capital base</w:t>
      </w:r>
      <w:r>
        <w:t>—</w:t>
      </w:r>
      <w:r w:rsidRPr="00C9216A">
        <w:t xml:space="preserve">the opening </w:t>
      </w:r>
      <w:r w:rsidR="000276EC">
        <w:t>capital base</w:t>
      </w:r>
      <w:r w:rsidRPr="00C9216A">
        <w:t xml:space="preserve"> </w:t>
      </w:r>
      <w:r>
        <w:t xml:space="preserve">multiplied </w:t>
      </w:r>
      <w:r w:rsidRPr="00C9216A">
        <w:t xml:space="preserve">by the </w:t>
      </w:r>
      <w:r>
        <w:t>expected inflation</w:t>
      </w:r>
      <w:r w:rsidRPr="00C9216A">
        <w:t xml:space="preserve"> </w:t>
      </w:r>
      <w:r>
        <w:t>for</w:t>
      </w:r>
      <w:r w:rsidRPr="00C9216A">
        <w:t xml:space="preserve"> the year</w:t>
      </w:r>
      <w:r>
        <w:t xml:space="preserve">—from the </w:t>
      </w:r>
      <w:r w:rsidR="000276EC">
        <w:t>capital base</w:t>
      </w:r>
      <w:r w:rsidRPr="00C9216A">
        <w:t xml:space="preserve"> depreciation. The</w:t>
      </w:r>
      <w:r>
        <w:t xml:space="preserve"> net</w:t>
      </w:r>
      <w:r w:rsidRPr="00C9216A">
        <w:t xml:space="preserve"> result of this calculation is </w:t>
      </w:r>
      <w:r>
        <w:t>referred to as</w:t>
      </w:r>
      <w:r w:rsidRPr="00C9216A">
        <w:t xml:space="preserve"> regulatory depreciation.</w:t>
      </w:r>
      <w:r>
        <w:rPr>
          <w:rStyle w:val="FootnoteReference"/>
        </w:rPr>
        <w:footnoteReference w:id="26"/>
      </w:r>
      <w:r>
        <w:t xml:space="preserve"> Regulatory depreciation </w:t>
      </w:r>
      <w:r w:rsidRPr="00C9216A">
        <w:t xml:space="preserve">is </w:t>
      </w:r>
      <w:r>
        <w:t xml:space="preserve">the amount </w:t>
      </w:r>
      <w:r w:rsidRPr="00C9216A">
        <w:t>used in the building block calculation of total revenue</w:t>
      </w:r>
      <w:r>
        <w:t xml:space="preserve"> to ensure</w:t>
      </w:r>
      <w:r w:rsidRPr="00C9216A">
        <w:t xml:space="preserve"> that the revenue equation is consistent with</w:t>
      </w:r>
      <w:r>
        <w:t xml:space="preserve"> the</w:t>
      </w:r>
      <w:r w:rsidRPr="00C9216A">
        <w:t xml:space="preserve"> use of a </w:t>
      </w:r>
      <w:r w:rsidR="000276EC">
        <w:t>capital base</w:t>
      </w:r>
      <w:r>
        <w:t>,</w:t>
      </w:r>
      <w:r w:rsidRPr="00C9216A">
        <w:t xml:space="preserve"> which is </w:t>
      </w:r>
      <w:r>
        <w:t>indexed for inflation annually</w:t>
      </w:r>
      <w:r w:rsidRPr="00C9216A">
        <w:t>.</w:t>
      </w:r>
    </w:p>
    <w:p w:rsidR="00005FFA" w:rsidRDefault="00005FFA" w:rsidP="00005FFA">
      <w:pPr>
        <w:rPr>
          <w:rStyle w:val="AERbody"/>
        </w:rPr>
      </w:pPr>
      <w:r>
        <w:rPr>
          <w:rStyle w:val="AERbody"/>
        </w:rPr>
        <w:t>T</w:t>
      </w:r>
      <w:r w:rsidRPr="00B85B6D">
        <w:rPr>
          <w:rStyle w:val="AERbody"/>
        </w:rPr>
        <w:t>h</w:t>
      </w:r>
      <w:r>
        <w:rPr>
          <w:rStyle w:val="AERbody"/>
        </w:rPr>
        <w:t>is approach</w:t>
      </w:r>
      <w:r w:rsidRPr="00B85B6D">
        <w:rPr>
          <w:rStyle w:val="AERbody"/>
        </w:rPr>
        <w:t xml:space="preserve"> produces the same </w:t>
      </w:r>
      <w:r>
        <w:rPr>
          <w:rStyle w:val="AERbody"/>
        </w:rPr>
        <w:t xml:space="preserve">total </w:t>
      </w:r>
      <w:r w:rsidRPr="00B85B6D">
        <w:rPr>
          <w:rStyle w:val="AERbody"/>
        </w:rPr>
        <w:t xml:space="preserve">revenue requirement and </w:t>
      </w:r>
      <w:r w:rsidR="000276EC">
        <w:rPr>
          <w:rStyle w:val="AERbody"/>
        </w:rPr>
        <w:t>capital base</w:t>
      </w:r>
      <w:r w:rsidRPr="00B85B6D">
        <w:rPr>
          <w:rStyle w:val="AERbody"/>
        </w:rPr>
        <w:t xml:space="preserve"> as if a real rate of return had been used in combination with a</w:t>
      </w:r>
      <w:r>
        <w:rPr>
          <w:rStyle w:val="AERbody"/>
        </w:rPr>
        <w:t>n indexed</w:t>
      </w:r>
      <w:r w:rsidRPr="00B85B6D">
        <w:rPr>
          <w:rStyle w:val="AERbody"/>
        </w:rPr>
        <w:t xml:space="preserve"> </w:t>
      </w:r>
      <w:r w:rsidR="000276EC">
        <w:rPr>
          <w:rStyle w:val="AERbody"/>
        </w:rPr>
        <w:t>capital base</w:t>
      </w:r>
      <w:r w:rsidRPr="00B85B6D">
        <w:rPr>
          <w:rStyle w:val="AERbody"/>
        </w:rPr>
        <w:t>.</w:t>
      </w:r>
      <w:r>
        <w:rPr>
          <w:rStyle w:val="AERbody"/>
        </w:rPr>
        <w:t xml:space="preserve"> Under an alternative approach where</w:t>
      </w:r>
      <w:r w:rsidRPr="00B85B6D">
        <w:rPr>
          <w:rStyle w:val="AERbody"/>
        </w:rPr>
        <w:t xml:space="preserve"> a nominal rate of return </w:t>
      </w:r>
      <w:r>
        <w:rPr>
          <w:rStyle w:val="AERbody"/>
        </w:rPr>
        <w:t xml:space="preserve">was </w:t>
      </w:r>
      <w:r w:rsidRPr="00B85B6D">
        <w:rPr>
          <w:rStyle w:val="AERbody"/>
        </w:rPr>
        <w:t>used in combination with a</w:t>
      </w:r>
      <w:r>
        <w:rPr>
          <w:rStyle w:val="AERbody"/>
        </w:rPr>
        <w:t>n</w:t>
      </w:r>
      <w:r w:rsidRPr="00B85B6D">
        <w:rPr>
          <w:rStyle w:val="AERbody"/>
        </w:rPr>
        <w:t xml:space="preserve"> </w:t>
      </w:r>
      <w:r>
        <w:rPr>
          <w:rStyle w:val="AERbody"/>
        </w:rPr>
        <w:t xml:space="preserve">un-indexed (historical cost) </w:t>
      </w:r>
      <w:r w:rsidR="000276EC">
        <w:rPr>
          <w:rStyle w:val="AERbody"/>
        </w:rPr>
        <w:t>capital base</w:t>
      </w:r>
      <w:r>
        <w:rPr>
          <w:rStyle w:val="AERbody"/>
        </w:rPr>
        <w:t>, no adjustment to the depreciation calculation of total revenue would be required. T</w:t>
      </w:r>
      <w:r w:rsidRPr="00B85B6D">
        <w:rPr>
          <w:rStyle w:val="AERbody"/>
        </w:rPr>
        <w:t xml:space="preserve">his </w:t>
      </w:r>
      <w:r>
        <w:rPr>
          <w:rStyle w:val="AERbody"/>
        </w:rPr>
        <w:t xml:space="preserve">alternative approach </w:t>
      </w:r>
      <w:r w:rsidRPr="00B85B6D">
        <w:rPr>
          <w:rStyle w:val="AERbody"/>
        </w:rPr>
        <w:t>produces a different time path of</w:t>
      </w:r>
      <w:r>
        <w:rPr>
          <w:rStyle w:val="AERbody"/>
        </w:rPr>
        <w:t xml:space="preserve"> total</w:t>
      </w:r>
      <w:r w:rsidRPr="00B85B6D">
        <w:rPr>
          <w:rStyle w:val="AERbody"/>
        </w:rPr>
        <w:t xml:space="preserve"> revenue compared to </w:t>
      </w:r>
      <w:r>
        <w:rPr>
          <w:rStyle w:val="AERbody"/>
        </w:rPr>
        <w:t xml:space="preserve">our standard </w:t>
      </w:r>
      <w:r w:rsidRPr="00B85B6D">
        <w:rPr>
          <w:rStyle w:val="AERbody"/>
        </w:rPr>
        <w:t xml:space="preserve">approach. </w:t>
      </w:r>
      <w:r w:rsidRPr="003667D4">
        <w:rPr>
          <w:rStyle w:val="AERbody"/>
        </w:rPr>
        <w:t xml:space="preserve">In particular, </w:t>
      </w:r>
      <w:r>
        <w:rPr>
          <w:rStyle w:val="AERbody"/>
        </w:rPr>
        <w:t xml:space="preserve">overall revenues would be higher early in the asset's life (as a result of more depreciation being returned to the </w:t>
      </w:r>
      <w:r w:rsidR="000276EC">
        <w:rPr>
          <w:rStyle w:val="AERbody"/>
        </w:rPr>
        <w:t>service provider</w:t>
      </w:r>
      <w:r>
        <w:rPr>
          <w:rStyle w:val="AERbody"/>
        </w:rPr>
        <w:t>) and lower in the future—producing a steeper downward sloping profile of total revenue.</w:t>
      </w:r>
      <w:r>
        <w:rPr>
          <w:rStyle w:val="FootnoteReference"/>
        </w:rPr>
        <w:footnoteReference w:id="27"/>
      </w:r>
      <w:r>
        <w:rPr>
          <w:rStyle w:val="AERbody"/>
        </w:rPr>
        <w:t xml:space="preserve"> Under both approaches, the total revenues being recovered are in present value neutral terms—that is, returning the initial cost of the </w:t>
      </w:r>
      <w:r w:rsidR="000276EC">
        <w:rPr>
          <w:rStyle w:val="AERbody"/>
        </w:rPr>
        <w:t>capital base</w:t>
      </w:r>
      <w:r>
        <w:rPr>
          <w:rStyle w:val="AERbody"/>
        </w:rPr>
        <w:t xml:space="preserve">. </w:t>
      </w:r>
    </w:p>
    <w:p w:rsidR="00005FFA" w:rsidRDefault="00005FFA" w:rsidP="00005FFA">
      <w:pPr>
        <w:rPr>
          <w:rStyle w:val="AERbody"/>
        </w:rPr>
      </w:pPr>
      <w:r>
        <w:rPr>
          <w:rStyle w:val="AERbody"/>
        </w:rPr>
        <w:fldChar w:fldCharType="begin"/>
      </w:r>
      <w:r>
        <w:rPr>
          <w:rStyle w:val="AERbody"/>
        </w:rPr>
        <w:instrText xml:space="preserve"> REF _Ref454186887 \h </w:instrText>
      </w:r>
      <w:r>
        <w:rPr>
          <w:rStyle w:val="AERbody"/>
        </w:rPr>
      </w:r>
      <w:r>
        <w:rPr>
          <w:rStyle w:val="AERbody"/>
        </w:rPr>
        <w:fldChar w:fldCharType="separate"/>
      </w:r>
      <w:r w:rsidR="00D627A4">
        <w:t xml:space="preserve">Figure </w:t>
      </w:r>
      <w:r w:rsidR="00D627A4">
        <w:rPr>
          <w:noProof/>
        </w:rPr>
        <w:t>5</w:t>
      </w:r>
      <w:r w:rsidR="00D627A4">
        <w:t>.</w:t>
      </w:r>
      <w:r w:rsidR="00D627A4">
        <w:rPr>
          <w:noProof/>
        </w:rPr>
        <w:t>1</w:t>
      </w:r>
      <w:r>
        <w:rPr>
          <w:rStyle w:val="AERbody"/>
        </w:rPr>
        <w:fldChar w:fldCharType="end"/>
      </w:r>
      <w:r>
        <w:rPr>
          <w:rStyle w:val="AERbody"/>
        </w:rPr>
        <w:t xml:space="preserve"> shows the recovery of revenue under both approaches using a simplified example.</w:t>
      </w:r>
      <w:r>
        <w:rPr>
          <w:rStyle w:val="FootnoteReference"/>
        </w:rPr>
        <w:footnoteReference w:id="28"/>
      </w:r>
      <w:r>
        <w:rPr>
          <w:rStyle w:val="AERbody"/>
        </w:rPr>
        <w:t xml:space="preserve"> Indexation of the </w:t>
      </w:r>
      <w:r w:rsidR="000276EC">
        <w:rPr>
          <w:rStyle w:val="AERbody"/>
        </w:rPr>
        <w:t>capital base</w:t>
      </w:r>
      <w:r>
        <w:rPr>
          <w:rStyle w:val="AERbody"/>
        </w:rPr>
        <w:t xml:space="preserve"> and the offsetting adjustment made to depreciation results in smoother revenue recovery profile over the life of an asset than if the </w:t>
      </w:r>
      <w:r w:rsidR="000276EC">
        <w:rPr>
          <w:rStyle w:val="AERbody"/>
        </w:rPr>
        <w:t>capital base</w:t>
      </w:r>
      <w:r>
        <w:rPr>
          <w:rStyle w:val="AERbody"/>
        </w:rPr>
        <w:t xml:space="preserve"> was un-indexed. </w:t>
      </w:r>
    </w:p>
    <w:p w:rsidR="00005FFA" w:rsidRPr="00D639D1" w:rsidRDefault="00005FFA" w:rsidP="00005FFA">
      <w:pPr>
        <w:rPr>
          <w:rStyle w:val="AERbody"/>
        </w:rPr>
      </w:pPr>
      <w:r w:rsidRPr="006A34AC">
        <w:rPr>
          <w:rStyle w:val="AERbody"/>
        </w:rPr>
        <w:t xml:space="preserve">The relative size of the inflation </w:t>
      </w:r>
      <w:r>
        <w:rPr>
          <w:rStyle w:val="AERbody"/>
        </w:rPr>
        <w:t xml:space="preserve">indexation </w:t>
      </w:r>
      <w:r w:rsidRPr="006A34AC">
        <w:rPr>
          <w:rStyle w:val="AERbody"/>
        </w:rPr>
        <w:t>and straight-line depreciation</w:t>
      </w:r>
      <w:r>
        <w:rPr>
          <w:rStyle w:val="AERbody"/>
        </w:rPr>
        <w:t>,</w:t>
      </w:r>
      <w:r w:rsidRPr="006A34AC">
        <w:rPr>
          <w:rStyle w:val="AERbody"/>
        </w:rPr>
        <w:t xml:space="preserve"> and their impact on the capital base using </w:t>
      </w:r>
      <w:r w:rsidR="00671AFA">
        <w:rPr>
          <w:rStyle w:val="AERbody"/>
        </w:rPr>
        <w:t>APTPPL</w:t>
      </w:r>
      <w:r>
        <w:rPr>
          <w:rStyle w:val="AERbody"/>
        </w:rPr>
        <w:t>’</w:t>
      </w:r>
      <w:r w:rsidRPr="006A34AC">
        <w:rPr>
          <w:rStyle w:val="AERbody"/>
        </w:rPr>
        <w:t>s proposal is shown in</w:t>
      </w:r>
      <w:r w:rsidRPr="00D639D1">
        <w:rPr>
          <w:rStyle w:val="AERbody"/>
        </w:rPr>
        <w:t xml:space="preserve"> </w:t>
      </w:r>
      <w:r>
        <w:rPr>
          <w:rStyle w:val="AERbody"/>
        </w:rPr>
        <w:t xml:space="preserve">the capital base </w:t>
      </w:r>
      <w:r w:rsidRPr="00D639D1">
        <w:rPr>
          <w:rStyle w:val="AERbody"/>
        </w:rPr>
        <w:t xml:space="preserve">attachment 2. A ten per cent increase in the straight-line depreciation causes revenues to increase by about </w:t>
      </w:r>
      <w:r>
        <w:rPr>
          <w:rStyle w:val="AERbody"/>
        </w:rPr>
        <w:t>three </w:t>
      </w:r>
      <w:r w:rsidRPr="00D639D1">
        <w:rPr>
          <w:rStyle w:val="AERbody"/>
        </w:rPr>
        <w:t>per cent.</w:t>
      </w:r>
    </w:p>
    <w:p w:rsidR="00005FFA" w:rsidRDefault="00005FFA" w:rsidP="00005FFA">
      <w:pPr>
        <w:rPr>
          <w:rStyle w:val="AERbody"/>
        </w:rPr>
      </w:pPr>
    </w:p>
    <w:p w:rsidR="00005FFA" w:rsidRDefault="00005FFA" w:rsidP="00005FFA">
      <w:pPr>
        <w:pStyle w:val="Caption"/>
      </w:pPr>
      <w:bookmarkStart w:id="26" w:name="_Ref454186887"/>
      <w:r>
        <w:t xml:space="preserve">Figure </w:t>
      </w:r>
      <w:r w:rsidRPr="00005FFA">
        <w:fldChar w:fldCharType="begin"/>
      </w:r>
      <w:r>
        <w:instrText xml:space="preserve"> STYLEREF 1 \s </w:instrText>
      </w:r>
      <w:r w:rsidRPr="00005FFA">
        <w:fldChar w:fldCharType="separate"/>
      </w:r>
      <w:r w:rsidR="00D627A4">
        <w:rPr>
          <w:noProof/>
        </w:rPr>
        <w:t>5</w:t>
      </w:r>
      <w:r w:rsidRPr="00005FFA">
        <w:fldChar w:fldCharType="end"/>
      </w:r>
      <w:r>
        <w:t>.</w:t>
      </w:r>
      <w:r w:rsidRPr="00005FFA">
        <w:fldChar w:fldCharType="begin"/>
      </w:r>
      <w:r>
        <w:instrText xml:space="preserve"> SEQ Figure \* ARABIC \s 1 </w:instrText>
      </w:r>
      <w:r w:rsidRPr="00005FFA">
        <w:fldChar w:fldCharType="separate"/>
      </w:r>
      <w:r w:rsidR="00D627A4">
        <w:rPr>
          <w:noProof/>
        </w:rPr>
        <w:t>1</w:t>
      </w:r>
      <w:r w:rsidRPr="00005FFA">
        <w:fldChar w:fldCharType="end"/>
      </w:r>
      <w:bookmarkEnd w:id="26"/>
      <w:r>
        <w:tab/>
        <w:t>Revenue path example – indexed vs un-indexed capital base ($ nominal)</w:t>
      </w:r>
    </w:p>
    <w:p w:rsidR="00450B2E" w:rsidRPr="00450B2E" w:rsidRDefault="00450B2E" w:rsidP="008E453F">
      <w:r>
        <w:rPr>
          <w:noProof/>
          <w:lang w:eastAsia="en-AU"/>
        </w:rPr>
        <w:drawing>
          <wp:inline distT="0" distB="0" distL="0" distR="0" wp14:anchorId="07449743" wp14:editId="6D6B8F4C">
            <wp:extent cx="5278581" cy="356163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1435" cy="3563563"/>
                    </a:xfrm>
                    <a:prstGeom prst="rect">
                      <a:avLst/>
                    </a:prstGeom>
                    <a:noFill/>
                  </pic:spPr>
                </pic:pic>
              </a:graphicData>
            </a:graphic>
          </wp:inline>
        </w:drawing>
      </w:r>
    </w:p>
    <w:p w:rsidR="00005FFA" w:rsidRDefault="00005FFA" w:rsidP="00005FFA">
      <w:pPr>
        <w:pStyle w:val="AERtablesource"/>
        <w:rPr>
          <w:rStyle w:val="AERbody"/>
        </w:rPr>
      </w:pPr>
      <w:r>
        <w:t>Source:</w:t>
      </w:r>
      <w:r>
        <w:tab/>
        <w:t>AER analysis.</w:t>
      </w:r>
    </w:p>
    <w:p w:rsidR="00D1561D" w:rsidRDefault="00D1561D" w:rsidP="00D1561D">
      <w:pPr>
        <w:pStyle w:val="Heading2"/>
      </w:pPr>
      <w:bookmarkStart w:id="27" w:name="_Toc429575821"/>
      <w:bookmarkStart w:id="28" w:name="_Toc436042532"/>
      <w:bookmarkStart w:id="29" w:name="_Toc486846798"/>
      <w:r w:rsidRPr="0074565D">
        <w:t xml:space="preserve">Reasons for </w:t>
      </w:r>
      <w:r w:rsidR="00B57B07">
        <w:t>draft</w:t>
      </w:r>
      <w:r w:rsidRPr="0074565D">
        <w:t xml:space="preserve"> decision</w:t>
      </w:r>
      <w:bookmarkEnd w:id="27"/>
      <w:bookmarkEnd w:id="28"/>
      <w:bookmarkEnd w:id="29"/>
      <w:r w:rsidRPr="0074565D">
        <w:t xml:space="preserve"> </w:t>
      </w:r>
    </w:p>
    <w:p w:rsidR="00E945AC" w:rsidRDefault="005B5FC5" w:rsidP="00E945AC">
      <w:pPr>
        <w:rPr>
          <w:rStyle w:val="AERbody"/>
        </w:rPr>
      </w:pPr>
      <w:r>
        <w:t>We a</w:t>
      </w:r>
      <w:r w:rsidR="001F4536">
        <w:t>ccept</w:t>
      </w:r>
      <w:r>
        <w:t xml:space="preserve"> </w:t>
      </w:r>
      <w:r w:rsidR="00671AFA">
        <w:t>APTPPL</w:t>
      </w:r>
      <w:r>
        <w:t xml:space="preserve">'s proposed method to calculate the regulatory depreciation allowance which is the straight-line depreciation less the annual inflation indexation on the projected capital base. However, we do not approve </w:t>
      </w:r>
      <w:r w:rsidR="00671AFA">
        <w:t>APTPPL</w:t>
      </w:r>
      <w:r>
        <w:t>'s proposed regulatory depreciation allowance of $18.1 million ($nominal).</w:t>
      </w:r>
      <w:r w:rsidR="00E945AC">
        <w:t xml:space="preserve"> </w:t>
      </w:r>
      <w:r w:rsidR="00E945AC" w:rsidRPr="00D639D1">
        <w:rPr>
          <w:rStyle w:val="AERbody"/>
        </w:rPr>
        <w:t xml:space="preserve">Our draft decision on </w:t>
      </w:r>
      <w:r w:rsidR="00671AFA">
        <w:rPr>
          <w:rStyle w:val="AERbody"/>
        </w:rPr>
        <w:t>APTPPL</w:t>
      </w:r>
      <w:r w:rsidR="00E945AC">
        <w:rPr>
          <w:rStyle w:val="AERbody"/>
        </w:rPr>
        <w:t>’</w:t>
      </w:r>
      <w:r w:rsidR="00E945AC" w:rsidRPr="00D639D1">
        <w:rPr>
          <w:rStyle w:val="AERbody"/>
        </w:rPr>
        <w:t>s regulatory depreciation allowance is $</w:t>
      </w:r>
      <w:r w:rsidR="00B52A33">
        <w:rPr>
          <w:rStyle w:val="AERbody"/>
        </w:rPr>
        <w:t>19.9</w:t>
      </w:r>
      <w:r w:rsidR="00E945AC" w:rsidRPr="00D639D1">
        <w:rPr>
          <w:rStyle w:val="AERbody"/>
        </w:rPr>
        <w:t xml:space="preserve"> million ($nominal) over the </w:t>
      </w:r>
      <w:r w:rsidR="00E945AC">
        <w:rPr>
          <w:rStyle w:val="AERbody"/>
        </w:rPr>
        <w:t>201</w:t>
      </w:r>
      <w:r w:rsidR="00445A2E">
        <w:rPr>
          <w:rStyle w:val="AERbody"/>
        </w:rPr>
        <w:t>7–22</w:t>
      </w:r>
      <w:r w:rsidR="00E945AC" w:rsidRPr="00D639D1">
        <w:rPr>
          <w:rStyle w:val="AERbody"/>
        </w:rPr>
        <w:t xml:space="preserve"> access arrangement period, a</w:t>
      </w:r>
      <w:r w:rsidR="00B52A33">
        <w:rPr>
          <w:rStyle w:val="AERbody"/>
        </w:rPr>
        <w:t xml:space="preserve">n increase </w:t>
      </w:r>
      <w:r w:rsidR="00E945AC" w:rsidRPr="00D639D1">
        <w:rPr>
          <w:rStyle w:val="AERbody"/>
        </w:rPr>
        <w:t>of $</w:t>
      </w:r>
      <w:r w:rsidR="00B52A33">
        <w:rPr>
          <w:rStyle w:val="AERbody"/>
        </w:rPr>
        <w:t>1.8</w:t>
      </w:r>
      <w:r w:rsidR="00E945AC">
        <w:rPr>
          <w:rStyle w:val="AERbody"/>
        </w:rPr>
        <w:t xml:space="preserve"> </w:t>
      </w:r>
      <w:r w:rsidR="00E945AC" w:rsidRPr="00D639D1">
        <w:rPr>
          <w:rStyle w:val="AERbody"/>
        </w:rPr>
        <w:t xml:space="preserve">million ($nominal) or </w:t>
      </w:r>
      <w:r w:rsidR="00B52A33">
        <w:rPr>
          <w:rStyle w:val="AERbody"/>
        </w:rPr>
        <w:t>9.</w:t>
      </w:r>
      <w:r w:rsidR="00D44A8D">
        <w:rPr>
          <w:rStyle w:val="AERbody"/>
        </w:rPr>
        <w:t>8</w:t>
      </w:r>
      <w:r w:rsidR="00E945AC" w:rsidRPr="00D639D1">
        <w:rPr>
          <w:rStyle w:val="AERbody"/>
        </w:rPr>
        <w:t> per cent compared to the proposed amount.</w:t>
      </w:r>
      <w:r w:rsidR="00E945AC">
        <w:rPr>
          <w:rStyle w:val="AERbody"/>
        </w:rPr>
        <w:t xml:space="preserve"> This </w:t>
      </w:r>
      <w:r w:rsidR="00B10ECB">
        <w:rPr>
          <w:rStyle w:val="AERbody"/>
        </w:rPr>
        <w:t>increase</w:t>
      </w:r>
      <w:r w:rsidR="00E945AC">
        <w:rPr>
          <w:rStyle w:val="AERbody"/>
        </w:rPr>
        <w:t xml:space="preserve"> is made because of </w:t>
      </w:r>
      <w:r w:rsidR="00E945AC">
        <w:t xml:space="preserve">our decision to update </w:t>
      </w:r>
      <w:r w:rsidR="00671AFA">
        <w:t>APTPPL</w:t>
      </w:r>
      <w:r w:rsidR="00FA6B2E">
        <w:t>'s calculation of its</w:t>
      </w:r>
      <w:r w:rsidR="00E945AC">
        <w:t xml:space="preserve"> remaining asset lives (section </w:t>
      </w:r>
      <w:r w:rsidR="00E945AC">
        <w:fldChar w:fldCharType="begin"/>
      </w:r>
      <w:r w:rsidR="00E945AC">
        <w:instrText xml:space="preserve"> REF _Ref435430826 \r \h </w:instrText>
      </w:r>
      <w:r w:rsidR="00E945AC">
        <w:fldChar w:fldCharType="separate"/>
      </w:r>
      <w:r w:rsidR="00D627A4">
        <w:t>5.4.3.2</w:t>
      </w:r>
      <w:r w:rsidR="00E945AC">
        <w:fldChar w:fldCharType="end"/>
      </w:r>
      <w:r w:rsidR="00E945AC">
        <w:t>) and also because of our amendments to other components of the</w:t>
      </w:r>
      <w:r w:rsidR="00E945AC" w:rsidRPr="001C0783">
        <w:t xml:space="preserve"> </w:t>
      </w:r>
      <w:r w:rsidR="00E945AC">
        <w:t>proposal.</w:t>
      </w:r>
    </w:p>
    <w:p w:rsidR="00E945AC" w:rsidRDefault="00E945AC" w:rsidP="00E945AC">
      <w:r>
        <w:t xml:space="preserve">We accept </w:t>
      </w:r>
      <w:r w:rsidR="00671AFA">
        <w:t>APTPPL</w:t>
      </w:r>
      <w:r>
        <w:t xml:space="preserve">’s proposed standard asset lives for its asset classes. We also accept </w:t>
      </w:r>
      <w:r w:rsidR="00671AFA">
        <w:rPr>
          <w:rStyle w:val="AERbody"/>
        </w:rPr>
        <w:t>APTPPL</w:t>
      </w:r>
      <w:r>
        <w:t>’s proposed weighted average method to calculate the remaining asset lives as at 1 July 2017.</w:t>
      </w:r>
      <w:r w:rsidDel="00EA54ED">
        <w:rPr>
          <w:rStyle w:val="FootnoteReference"/>
        </w:rPr>
        <w:t xml:space="preserve"> </w:t>
      </w:r>
      <w:r>
        <w:t xml:space="preserve">In accepting the weighted average method, we have updated </w:t>
      </w:r>
      <w:r w:rsidR="00671AFA">
        <w:t>APTPPL</w:t>
      </w:r>
      <w:r>
        <w:t xml:space="preserve">’s proposed remaining asset lives for </w:t>
      </w:r>
      <w:r w:rsidR="00935C1F">
        <w:t>each</w:t>
      </w:r>
      <w:r>
        <w:t xml:space="preserve"> asset class. </w:t>
      </w:r>
    </w:p>
    <w:p w:rsidR="00E945AC" w:rsidRDefault="00E945AC" w:rsidP="00E945AC">
      <w:r>
        <w:t>Our</w:t>
      </w:r>
      <w:r w:rsidRPr="001C0783">
        <w:t xml:space="preserve"> </w:t>
      </w:r>
      <w:r>
        <w:t xml:space="preserve">determinations on other components of </w:t>
      </w:r>
      <w:r w:rsidR="00671AFA">
        <w:rPr>
          <w:rStyle w:val="AERbody"/>
        </w:rPr>
        <w:t>APTPPL</w:t>
      </w:r>
      <w:r>
        <w:t>’s</w:t>
      </w:r>
      <w:r w:rsidRPr="001C0783">
        <w:t xml:space="preserve"> </w:t>
      </w:r>
      <w:r>
        <w:t>proposal also affect the calculation of the regulatory depreciation allowance.</w:t>
      </w:r>
      <w:r>
        <w:rPr>
          <w:rStyle w:val="FootnoteReference"/>
        </w:rPr>
        <w:footnoteReference w:id="29"/>
      </w:r>
      <w:r>
        <w:t xml:space="preserve"> These include:</w:t>
      </w:r>
    </w:p>
    <w:p w:rsidR="00E945AC" w:rsidRPr="00B9583E" w:rsidRDefault="00E945AC" w:rsidP="00E945AC">
      <w:pPr>
        <w:pStyle w:val="AERbulletlistfirststyle"/>
        <w:rPr>
          <w:rStyle w:val="AERbody"/>
        </w:rPr>
      </w:pPr>
      <w:r w:rsidRPr="00B9583E">
        <w:rPr>
          <w:rStyle w:val="AERbody"/>
        </w:rPr>
        <w:t xml:space="preserve">a reduction to </w:t>
      </w:r>
      <w:r w:rsidR="00671AFA">
        <w:rPr>
          <w:rStyle w:val="AERbody"/>
        </w:rPr>
        <w:t>APTPPL</w:t>
      </w:r>
      <w:r>
        <w:rPr>
          <w:rStyle w:val="AERbody"/>
        </w:rPr>
        <w:t>’</w:t>
      </w:r>
      <w:r w:rsidRPr="00B9583E">
        <w:rPr>
          <w:rStyle w:val="AERbody"/>
        </w:rPr>
        <w:t>s forecast net capex of $</w:t>
      </w:r>
      <w:r w:rsidR="00D57E06">
        <w:rPr>
          <w:rStyle w:val="AERbody"/>
        </w:rPr>
        <w:t>7.2</w:t>
      </w:r>
      <w:r w:rsidRPr="00B9583E">
        <w:rPr>
          <w:rStyle w:val="AERbody"/>
        </w:rPr>
        <w:t> million ($</w:t>
      </w:r>
      <w:r>
        <w:rPr>
          <w:rStyle w:val="AERbody"/>
        </w:rPr>
        <w:t>201</w:t>
      </w:r>
      <w:r w:rsidR="004B3A6F">
        <w:rPr>
          <w:rStyle w:val="AERbody"/>
        </w:rPr>
        <w:t>6</w:t>
      </w:r>
      <w:r w:rsidRPr="00B9583E">
        <w:rPr>
          <w:rStyle w:val="AERbody"/>
        </w:rPr>
        <w:t>–</w:t>
      </w:r>
      <w:r>
        <w:rPr>
          <w:rStyle w:val="AERbody"/>
        </w:rPr>
        <w:t>1</w:t>
      </w:r>
      <w:r w:rsidR="004B3A6F">
        <w:rPr>
          <w:rStyle w:val="AERbody"/>
        </w:rPr>
        <w:t>7</w:t>
      </w:r>
      <w:r w:rsidRPr="00B9583E">
        <w:rPr>
          <w:rStyle w:val="AERbody"/>
        </w:rPr>
        <w:t xml:space="preserve">) or </w:t>
      </w:r>
      <w:r w:rsidR="00B52A33">
        <w:rPr>
          <w:rStyle w:val="AERbody"/>
        </w:rPr>
        <w:t>1</w:t>
      </w:r>
      <w:r w:rsidR="00D57E06">
        <w:rPr>
          <w:rStyle w:val="AERbody"/>
        </w:rPr>
        <w:t>0.7</w:t>
      </w:r>
      <w:r w:rsidRPr="00B9583E">
        <w:rPr>
          <w:rStyle w:val="AERbody"/>
        </w:rPr>
        <w:t xml:space="preserve"> per cent. Our detailed assessment of the proposed forecast capex allowance is set out in attachment 6. </w:t>
      </w:r>
    </w:p>
    <w:p w:rsidR="00E945AC" w:rsidRDefault="00935C1F" w:rsidP="00E945AC">
      <w:pPr>
        <w:pStyle w:val="AERbulletlistfirststyle"/>
        <w:rPr>
          <w:rStyle w:val="AERbody"/>
        </w:rPr>
      </w:pPr>
      <w:r>
        <w:rPr>
          <w:rStyle w:val="AERbody"/>
        </w:rPr>
        <w:t xml:space="preserve">a </w:t>
      </w:r>
      <w:r w:rsidR="00B52A33">
        <w:rPr>
          <w:rStyle w:val="AERbody"/>
        </w:rPr>
        <w:t>decrease</w:t>
      </w:r>
      <w:r>
        <w:rPr>
          <w:rStyle w:val="AERbody"/>
        </w:rPr>
        <w:t xml:space="preserve"> </w:t>
      </w:r>
      <w:r w:rsidR="00E945AC" w:rsidRPr="00B9583E">
        <w:rPr>
          <w:rStyle w:val="AERbody"/>
        </w:rPr>
        <w:t>to the opening capital base as at 1 July 201</w:t>
      </w:r>
      <w:r w:rsidR="004B3A6F">
        <w:rPr>
          <w:rStyle w:val="AERbody"/>
        </w:rPr>
        <w:t>7</w:t>
      </w:r>
      <w:r w:rsidR="00E945AC" w:rsidRPr="00B9583E">
        <w:rPr>
          <w:rStyle w:val="AERbody"/>
        </w:rPr>
        <w:t xml:space="preserve"> of $</w:t>
      </w:r>
      <w:r w:rsidR="00D44A8D">
        <w:rPr>
          <w:rStyle w:val="AERbody"/>
        </w:rPr>
        <w:t>7.5</w:t>
      </w:r>
      <w:r w:rsidR="00E945AC" w:rsidRPr="00B9583E">
        <w:rPr>
          <w:rStyle w:val="AERbody"/>
        </w:rPr>
        <w:t xml:space="preserve"> million ($nominal)</w:t>
      </w:r>
      <w:r w:rsidR="00E945AC">
        <w:rPr>
          <w:rStyle w:val="AERbody"/>
        </w:rPr>
        <w:t xml:space="preserve"> or </w:t>
      </w:r>
      <w:r w:rsidR="00B52A33">
        <w:rPr>
          <w:rStyle w:val="AERbody"/>
        </w:rPr>
        <w:t>1.</w:t>
      </w:r>
      <w:r w:rsidR="00D44A8D">
        <w:rPr>
          <w:rStyle w:val="AERbody"/>
        </w:rPr>
        <w:t>7</w:t>
      </w:r>
      <w:r w:rsidR="00E945AC">
        <w:rPr>
          <w:rStyle w:val="AERbody"/>
        </w:rPr>
        <w:t xml:space="preserve"> per cent</w:t>
      </w:r>
      <w:r w:rsidR="00E945AC" w:rsidRPr="00B9583E">
        <w:rPr>
          <w:rStyle w:val="AERbody"/>
        </w:rPr>
        <w:t>. Our detailed assessment of the proposed opening capital base is set out in attachment 2.</w:t>
      </w:r>
    </w:p>
    <w:p w:rsidR="006B0CBA" w:rsidRPr="00B9583E" w:rsidRDefault="006B0CBA" w:rsidP="00E945AC">
      <w:pPr>
        <w:pStyle w:val="AERbulletlistfirststyle"/>
        <w:rPr>
          <w:rStyle w:val="AERbody"/>
        </w:rPr>
      </w:pPr>
      <w:r>
        <w:rPr>
          <w:rStyle w:val="AERbody"/>
        </w:rPr>
        <w:t>an increase to APTPPL's proposed forecast inflation. Our detailed assessment of the proposed forecast inflation is set out in attachment 3.</w:t>
      </w:r>
    </w:p>
    <w:p w:rsidR="00E945AC" w:rsidRPr="00E945AC" w:rsidRDefault="00E945AC" w:rsidP="00E945AC">
      <w:r>
        <w:fldChar w:fldCharType="begin"/>
      </w:r>
      <w:r>
        <w:instrText xml:space="preserve"> REF _Ref398283146 \h  \* MERGEFORMAT </w:instrText>
      </w:r>
      <w:r>
        <w:fldChar w:fldCharType="separate"/>
      </w:r>
      <w:r w:rsidR="00D627A4" w:rsidRPr="009D5ECB">
        <w:t xml:space="preserve">Table </w:t>
      </w:r>
      <w:r w:rsidR="00D627A4">
        <w:t>5.4</w:t>
      </w:r>
      <w:r>
        <w:fldChar w:fldCharType="end"/>
      </w:r>
      <w:r>
        <w:t xml:space="preserve"> s</w:t>
      </w:r>
      <w:r w:rsidRPr="009D5ECB">
        <w:t xml:space="preserve">ets out our draft decision on the </w:t>
      </w:r>
      <w:r>
        <w:t xml:space="preserve">standard and </w:t>
      </w:r>
      <w:r w:rsidRPr="009D5ECB">
        <w:t xml:space="preserve">remaining </w:t>
      </w:r>
      <w:r>
        <w:t>asset</w:t>
      </w:r>
      <w:r w:rsidRPr="009D5ECB">
        <w:t xml:space="preserve"> lives </w:t>
      </w:r>
      <w:r w:rsidRPr="009D5ECB">
        <w:rPr>
          <w:rStyle w:val="AERbody"/>
        </w:rPr>
        <w:t xml:space="preserve">as at </w:t>
      </w:r>
      <w:r>
        <w:rPr>
          <w:rStyle w:val="AERbody"/>
        </w:rPr>
        <w:t>1 July 201</w:t>
      </w:r>
      <w:r w:rsidR="0023293B">
        <w:rPr>
          <w:rStyle w:val="AERbody"/>
        </w:rPr>
        <w:t>7</w:t>
      </w:r>
      <w:r w:rsidRPr="009D5ECB">
        <w:rPr>
          <w:rStyle w:val="AERbody"/>
        </w:rPr>
        <w:t xml:space="preserve"> for </w:t>
      </w:r>
      <w:r w:rsidR="00C17674">
        <w:rPr>
          <w:rStyle w:val="AERbody"/>
        </w:rPr>
        <w:t>the RBP</w:t>
      </w:r>
      <w:r w:rsidRPr="009D5ECB">
        <w:t>.</w:t>
      </w:r>
    </w:p>
    <w:p w:rsidR="00E945AC" w:rsidRPr="00E945AC" w:rsidRDefault="00E945AC" w:rsidP="00E945AC">
      <w:pPr>
        <w:pStyle w:val="Caption"/>
      </w:pPr>
      <w:bookmarkStart w:id="30" w:name="_Ref398283146"/>
      <w:r w:rsidRPr="009D5ECB">
        <w:t xml:space="preserve">Table </w:t>
      </w:r>
      <w:r w:rsidR="00D627A4">
        <w:fldChar w:fldCharType="begin"/>
      </w:r>
      <w:r w:rsidR="00D627A4">
        <w:instrText xml:space="preserve"> STYLEREF 1 \s </w:instrText>
      </w:r>
      <w:r w:rsidR="00D627A4">
        <w:fldChar w:fldCharType="separate"/>
      </w:r>
      <w:r w:rsidR="00D627A4">
        <w:rPr>
          <w:noProof/>
        </w:rPr>
        <w:t>5</w:t>
      </w:r>
      <w:r w:rsidR="00D627A4">
        <w:rPr>
          <w:noProof/>
        </w:rPr>
        <w:fldChar w:fldCharType="end"/>
      </w:r>
      <w:r w:rsidR="009138E2">
        <w:t>.</w:t>
      </w:r>
      <w:r w:rsidR="00D627A4">
        <w:fldChar w:fldCharType="begin"/>
      </w:r>
      <w:r w:rsidR="00D627A4">
        <w:instrText xml:space="preserve"> SEQ Table \* ARABIC \s 1 </w:instrText>
      </w:r>
      <w:r w:rsidR="00D627A4">
        <w:fldChar w:fldCharType="separate"/>
      </w:r>
      <w:r w:rsidR="00D627A4">
        <w:rPr>
          <w:noProof/>
        </w:rPr>
        <w:t>4</w:t>
      </w:r>
      <w:r w:rsidR="00D627A4">
        <w:rPr>
          <w:noProof/>
        </w:rPr>
        <w:fldChar w:fldCharType="end"/>
      </w:r>
      <w:bookmarkEnd w:id="30"/>
      <w:r w:rsidRPr="00E945AC">
        <w:tab/>
        <w:t xml:space="preserve">AER's draft decision on </w:t>
      </w:r>
      <w:r w:rsidR="00C17674">
        <w:t>RBP</w:t>
      </w:r>
      <w:r w:rsidRPr="00E945AC">
        <w:t>’s standard and remaining asset lives as at 1 July 201</w:t>
      </w:r>
      <w:r w:rsidR="008C531F">
        <w:t>7</w:t>
      </w:r>
      <w:r w:rsidRPr="00E945AC">
        <w:t xml:space="preserve"> (years)</w:t>
      </w:r>
    </w:p>
    <w:tbl>
      <w:tblPr>
        <w:tblStyle w:val="AERtable-numbers"/>
        <w:tblW w:w="8755" w:type="dxa"/>
        <w:tblLayout w:type="fixed"/>
        <w:tblLook w:val="04A0" w:firstRow="1" w:lastRow="0" w:firstColumn="1" w:lastColumn="0" w:noHBand="0" w:noVBand="1"/>
      </w:tblPr>
      <w:tblGrid>
        <w:gridCol w:w="4100"/>
        <w:gridCol w:w="2245"/>
        <w:gridCol w:w="2410"/>
      </w:tblGrid>
      <w:tr w:rsidR="00E945AC" w:rsidRPr="000D774E" w:rsidTr="008C531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00" w:type="dxa"/>
            <w:noWrap/>
            <w:hideMark/>
          </w:tcPr>
          <w:p w:rsidR="00E945AC" w:rsidRPr="000D774E" w:rsidRDefault="00E945AC" w:rsidP="00E945AC"/>
        </w:tc>
        <w:tc>
          <w:tcPr>
            <w:tcW w:w="2245" w:type="dxa"/>
          </w:tcPr>
          <w:p w:rsidR="00E945AC" w:rsidRPr="00E945AC" w:rsidRDefault="00E945AC" w:rsidP="00E945AC">
            <w:pPr>
              <w:cnfStyle w:val="100000000000" w:firstRow="1" w:lastRow="0" w:firstColumn="0" w:lastColumn="0" w:oddVBand="0" w:evenVBand="0" w:oddHBand="0" w:evenHBand="0" w:firstRowFirstColumn="0" w:firstRowLastColumn="0" w:lastRowFirstColumn="0" w:lastRowLastColumn="0"/>
            </w:pPr>
            <w:r w:rsidRPr="000D774E">
              <w:t xml:space="preserve">Standard asset life </w:t>
            </w:r>
          </w:p>
        </w:tc>
        <w:tc>
          <w:tcPr>
            <w:tcW w:w="2410" w:type="dxa"/>
          </w:tcPr>
          <w:p w:rsidR="00E945AC" w:rsidRPr="00E945AC" w:rsidRDefault="00E945AC" w:rsidP="00E945AC">
            <w:pPr>
              <w:cnfStyle w:val="100000000000" w:firstRow="1" w:lastRow="0" w:firstColumn="0" w:lastColumn="0" w:oddVBand="0" w:evenVBand="0" w:oddHBand="0" w:evenHBand="0" w:firstRowFirstColumn="0" w:firstRowLastColumn="0" w:lastRowFirstColumn="0" w:lastRowLastColumn="0"/>
            </w:pPr>
            <w:r w:rsidRPr="006169B2">
              <w:t>Remaining asset life</w:t>
            </w:r>
          </w:p>
        </w:tc>
      </w:tr>
      <w:tr w:rsidR="00AD342A" w:rsidRPr="000D774E" w:rsidTr="008C531F">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AD342A" w:rsidRPr="00AD342A" w:rsidRDefault="00AD342A" w:rsidP="00FA6B2E">
            <w:r w:rsidRPr="00AD342A">
              <w:t xml:space="preserve">Original </w:t>
            </w:r>
            <w:r w:rsidR="00FA6B2E">
              <w:t>p</w:t>
            </w:r>
            <w:r w:rsidRPr="00AD342A">
              <w:t>ipeline (DN250)</w:t>
            </w:r>
          </w:p>
        </w:tc>
        <w:tc>
          <w:tcPr>
            <w:tcW w:w="2245" w:type="dxa"/>
            <w:vAlign w:val="bottom"/>
          </w:tcPr>
          <w:p w:rsidR="00AD342A" w:rsidRPr="00AD342A" w:rsidRDefault="005A3BB9" w:rsidP="00AD342A">
            <w:pPr>
              <w:cnfStyle w:val="000000000000" w:firstRow="0" w:lastRow="0" w:firstColumn="0" w:lastColumn="0" w:oddVBand="0" w:evenVBand="0" w:oddHBand="0" w:evenHBand="0" w:firstRowFirstColumn="0" w:firstRowLastColumn="0" w:lastRowFirstColumn="0" w:lastRowLastColumn="0"/>
            </w:pPr>
            <w:r>
              <w:t>n/a</w:t>
            </w:r>
          </w:p>
        </w:tc>
        <w:tc>
          <w:tcPr>
            <w:tcW w:w="2410" w:type="dxa"/>
            <w:vAlign w:val="bottom"/>
          </w:tcPr>
          <w:p w:rsidR="00AD342A" w:rsidRPr="00AD342A" w:rsidRDefault="00BD48DE" w:rsidP="00B52A33">
            <w:pPr>
              <w:cnfStyle w:val="000000000000" w:firstRow="0" w:lastRow="0" w:firstColumn="0" w:lastColumn="0" w:oddVBand="0" w:evenVBand="0" w:oddHBand="0" w:evenHBand="0" w:firstRowFirstColumn="0" w:firstRowLastColumn="0" w:lastRowFirstColumn="0" w:lastRowLastColumn="0"/>
            </w:pPr>
            <w:r>
              <w:t>3</w:t>
            </w:r>
            <w:r w:rsidR="00B52A33">
              <w:t>4.3</w:t>
            </w:r>
          </w:p>
        </w:tc>
      </w:tr>
      <w:tr w:rsidR="00AD342A" w:rsidRPr="000D774E" w:rsidTr="008C531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AD342A" w:rsidRPr="00AD342A" w:rsidRDefault="00AD342A" w:rsidP="00AD342A">
            <w:r w:rsidRPr="00AD342A">
              <w:t>Pipelines</w:t>
            </w:r>
          </w:p>
        </w:tc>
        <w:tc>
          <w:tcPr>
            <w:tcW w:w="2245" w:type="dxa"/>
          </w:tcPr>
          <w:p w:rsidR="00AD342A" w:rsidRPr="00AD342A" w:rsidRDefault="00AD342A" w:rsidP="00AD342A">
            <w:pPr>
              <w:cnfStyle w:val="000000010000" w:firstRow="0" w:lastRow="0" w:firstColumn="0" w:lastColumn="0" w:oddVBand="0" w:evenVBand="0" w:oddHBand="0" w:evenHBand="1" w:firstRowFirstColumn="0" w:firstRowLastColumn="0" w:lastRowFirstColumn="0" w:lastRowLastColumn="0"/>
            </w:pPr>
            <w:bookmarkStart w:id="31" w:name="RANGE!L8"/>
            <w:r w:rsidRPr="00AD342A">
              <w:t>80</w:t>
            </w:r>
            <w:bookmarkEnd w:id="31"/>
          </w:p>
        </w:tc>
        <w:tc>
          <w:tcPr>
            <w:tcW w:w="2410" w:type="dxa"/>
            <w:vAlign w:val="bottom"/>
          </w:tcPr>
          <w:p w:rsidR="00AD342A" w:rsidRPr="00AD342A" w:rsidRDefault="00B52A33" w:rsidP="00AD342A">
            <w:pPr>
              <w:cnfStyle w:val="000000010000" w:firstRow="0" w:lastRow="0" w:firstColumn="0" w:lastColumn="0" w:oddVBand="0" w:evenVBand="0" w:oddHBand="0" w:evenHBand="1" w:firstRowFirstColumn="0" w:firstRowLastColumn="0" w:lastRowFirstColumn="0" w:lastRowLastColumn="0"/>
            </w:pPr>
            <w:r>
              <w:t>65.2</w:t>
            </w:r>
          </w:p>
        </w:tc>
      </w:tr>
      <w:tr w:rsidR="00AD342A" w:rsidRPr="000D774E" w:rsidTr="008C531F">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AD342A" w:rsidRPr="00AD342A" w:rsidRDefault="00AD342A">
            <w:r w:rsidRPr="00AD342A">
              <w:t xml:space="preserve">Compressor </w:t>
            </w:r>
          </w:p>
        </w:tc>
        <w:tc>
          <w:tcPr>
            <w:tcW w:w="2245" w:type="dxa"/>
          </w:tcPr>
          <w:p w:rsidR="00AD342A" w:rsidRPr="00AD342A" w:rsidRDefault="00AD342A" w:rsidP="00AD342A">
            <w:pPr>
              <w:cnfStyle w:val="000000000000" w:firstRow="0" w:lastRow="0" w:firstColumn="0" w:lastColumn="0" w:oddVBand="0" w:evenVBand="0" w:oddHBand="0" w:evenHBand="0" w:firstRowFirstColumn="0" w:firstRowLastColumn="0" w:lastRowFirstColumn="0" w:lastRowLastColumn="0"/>
            </w:pPr>
            <w:r>
              <w:t>35</w:t>
            </w:r>
          </w:p>
        </w:tc>
        <w:tc>
          <w:tcPr>
            <w:tcW w:w="2410" w:type="dxa"/>
            <w:vAlign w:val="bottom"/>
          </w:tcPr>
          <w:p w:rsidR="00AD342A" w:rsidRPr="00AD342A" w:rsidRDefault="00BD48DE" w:rsidP="00AD342A">
            <w:pPr>
              <w:cnfStyle w:val="000000000000" w:firstRow="0" w:lastRow="0" w:firstColumn="0" w:lastColumn="0" w:oddVBand="0" w:evenVBand="0" w:oddHBand="0" w:evenHBand="0" w:firstRowFirstColumn="0" w:firstRowLastColumn="0" w:lastRowFirstColumn="0" w:lastRowLastColumn="0"/>
            </w:pPr>
            <w:r>
              <w:t>30.0</w:t>
            </w:r>
          </w:p>
        </w:tc>
      </w:tr>
      <w:tr w:rsidR="00AD342A" w:rsidRPr="000D774E" w:rsidTr="008C531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AD342A" w:rsidRPr="00AD342A" w:rsidRDefault="00AD342A" w:rsidP="00AD342A">
            <w:r w:rsidRPr="00AD342A">
              <w:t>Regulators and meters</w:t>
            </w:r>
          </w:p>
        </w:tc>
        <w:tc>
          <w:tcPr>
            <w:tcW w:w="2245" w:type="dxa"/>
          </w:tcPr>
          <w:p w:rsidR="00AD342A" w:rsidRPr="00AD342A" w:rsidRDefault="00AD342A" w:rsidP="00AD342A">
            <w:pPr>
              <w:cnfStyle w:val="000000010000" w:firstRow="0" w:lastRow="0" w:firstColumn="0" w:lastColumn="0" w:oddVBand="0" w:evenVBand="0" w:oddHBand="0" w:evenHBand="1" w:firstRowFirstColumn="0" w:firstRowLastColumn="0" w:lastRowFirstColumn="0" w:lastRowLastColumn="0"/>
            </w:pPr>
            <w:bookmarkStart w:id="32" w:name="RANGE!L10"/>
            <w:r w:rsidRPr="00AD342A">
              <w:t>40</w:t>
            </w:r>
            <w:bookmarkEnd w:id="32"/>
          </w:p>
        </w:tc>
        <w:tc>
          <w:tcPr>
            <w:tcW w:w="2410" w:type="dxa"/>
            <w:vAlign w:val="bottom"/>
          </w:tcPr>
          <w:p w:rsidR="00AD342A" w:rsidRPr="00AD342A" w:rsidRDefault="00BD48DE" w:rsidP="00AD342A">
            <w:pPr>
              <w:cnfStyle w:val="000000010000" w:firstRow="0" w:lastRow="0" w:firstColumn="0" w:lastColumn="0" w:oddVBand="0" w:evenVBand="0" w:oddHBand="0" w:evenHBand="1" w:firstRowFirstColumn="0" w:firstRowLastColumn="0" w:lastRowFirstColumn="0" w:lastRowLastColumn="0"/>
            </w:pPr>
            <w:r>
              <w:t>34.5</w:t>
            </w:r>
          </w:p>
        </w:tc>
      </w:tr>
      <w:tr w:rsidR="00AD342A" w:rsidRPr="000D774E" w:rsidTr="008C531F">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AD342A" w:rsidRPr="00AD342A" w:rsidRDefault="00AD342A" w:rsidP="00AD342A">
            <w:r w:rsidRPr="00AD342A">
              <w:t>Easements</w:t>
            </w:r>
          </w:p>
        </w:tc>
        <w:tc>
          <w:tcPr>
            <w:tcW w:w="2245" w:type="dxa"/>
          </w:tcPr>
          <w:p w:rsidR="00AD342A" w:rsidRPr="00AD342A" w:rsidRDefault="00AD342A" w:rsidP="00AD342A">
            <w:pPr>
              <w:cnfStyle w:val="000000000000" w:firstRow="0" w:lastRow="0" w:firstColumn="0" w:lastColumn="0" w:oddVBand="0" w:evenVBand="0" w:oddHBand="0" w:evenHBand="0" w:firstRowFirstColumn="0" w:firstRowLastColumn="0" w:lastRowFirstColumn="0" w:lastRowLastColumn="0"/>
            </w:pPr>
            <w:bookmarkStart w:id="33" w:name="RANGE!L11"/>
            <w:r w:rsidRPr="00AD342A">
              <w:t>n/</w:t>
            </w:r>
            <w:bookmarkEnd w:id="33"/>
            <w:r>
              <w:t>a</w:t>
            </w:r>
          </w:p>
        </w:tc>
        <w:tc>
          <w:tcPr>
            <w:tcW w:w="2410" w:type="dxa"/>
            <w:vAlign w:val="bottom"/>
          </w:tcPr>
          <w:p w:rsidR="00AD342A" w:rsidRPr="00AD342A" w:rsidRDefault="00BD48DE" w:rsidP="00AD342A">
            <w:pPr>
              <w:cnfStyle w:val="000000000000" w:firstRow="0" w:lastRow="0" w:firstColumn="0" w:lastColumn="0" w:oddVBand="0" w:evenVBand="0" w:oddHBand="0" w:evenHBand="0" w:firstRowFirstColumn="0" w:firstRowLastColumn="0" w:lastRowFirstColumn="0" w:lastRowLastColumn="0"/>
            </w:pPr>
            <w:r>
              <w:t>n/a</w:t>
            </w:r>
          </w:p>
        </w:tc>
      </w:tr>
      <w:tr w:rsidR="00AD342A" w:rsidRPr="000D774E" w:rsidTr="008C531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AD342A" w:rsidRPr="00AD342A" w:rsidRDefault="00AD342A" w:rsidP="00AD342A">
            <w:r w:rsidRPr="00AD342A">
              <w:t>Communications</w:t>
            </w:r>
          </w:p>
        </w:tc>
        <w:tc>
          <w:tcPr>
            <w:tcW w:w="2245" w:type="dxa"/>
          </w:tcPr>
          <w:p w:rsidR="00AD342A" w:rsidRPr="00AD342A" w:rsidRDefault="00AD342A" w:rsidP="00AD342A">
            <w:pPr>
              <w:cnfStyle w:val="000000010000" w:firstRow="0" w:lastRow="0" w:firstColumn="0" w:lastColumn="0" w:oddVBand="0" w:evenVBand="0" w:oddHBand="0" w:evenHBand="1" w:firstRowFirstColumn="0" w:firstRowLastColumn="0" w:lastRowFirstColumn="0" w:lastRowLastColumn="0"/>
            </w:pPr>
            <w:bookmarkStart w:id="34" w:name="RANGE!L12"/>
            <w:r w:rsidRPr="00AD342A">
              <w:t>15</w:t>
            </w:r>
            <w:bookmarkEnd w:id="34"/>
          </w:p>
        </w:tc>
        <w:tc>
          <w:tcPr>
            <w:tcW w:w="2410" w:type="dxa"/>
            <w:vAlign w:val="bottom"/>
          </w:tcPr>
          <w:p w:rsidR="00AD342A" w:rsidRPr="00AD342A" w:rsidRDefault="00BD48DE" w:rsidP="00AD342A">
            <w:pPr>
              <w:cnfStyle w:val="000000010000" w:firstRow="0" w:lastRow="0" w:firstColumn="0" w:lastColumn="0" w:oddVBand="0" w:evenVBand="0" w:oddHBand="0" w:evenHBand="1" w:firstRowFirstColumn="0" w:firstRowLastColumn="0" w:lastRowFirstColumn="0" w:lastRowLastColumn="0"/>
            </w:pPr>
            <w:r>
              <w:t>5.0</w:t>
            </w:r>
          </w:p>
        </w:tc>
      </w:tr>
      <w:tr w:rsidR="00AD342A" w:rsidRPr="000D774E" w:rsidTr="008C531F">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AD342A" w:rsidRPr="00AD342A" w:rsidRDefault="00AD342A" w:rsidP="00AD342A">
            <w:r w:rsidRPr="00AD342A">
              <w:t>Other</w:t>
            </w:r>
          </w:p>
        </w:tc>
        <w:tc>
          <w:tcPr>
            <w:tcW w:w="2245" w:type="dxa"/>
          </w:tcPr>
          <w:p w:rsidR="00AD342A" w:rsidRPr="00AD342A" w:rsidRDefault="00AD342A" w:rsidP="00AD342A">
            <w:pPr>
              <w:cnfStyle w:val="000000000000" w:firstRow="0" w:lastRow="0" w:firstColumn="0" w:lastColumn="0" w:oddVBand="0" w:evenVBand="0" w:oddHBand="0" w:evenHBand="0" w:firstRowFirstColumn="0" w:firstRowLastColumn="0" w:lastRowFirstColumn="0" w:lastRowLastColumn="0"/>
            </w:pPr>
            <w:bookmarkStart w:id="35" w:name="RANGE!L13"/>
            <w:r w:rsidRPr="00AD342A">
              <w:t>5</w:t>
            </w:r>
            <w:bookmarkEnd w:id="35"/>
          </w:p>
        </w:tc>
        <w:tc>
          <w:tcPr>
            <w:tcW w:w="2410" w:type="dxa"/>
            <w:vAlign w:val="bottom"/>
          </w:tcPr>
          <w:p w:rsidR="00AD342A" w:rsidRPr="00AD342A" w:rsidRDefault="00BD48DE" w:rsidP="00AD342A">
            <w:pPr>
              <w:cnfStyle w:val="000000000000" w:firstRow="0" w:lastRow="0" w:firstColumn="0" w:lastColumn="0" w:oddVBand="0" w:evenVBand="0" w:oddHBand="0" w:evenHBand="0" w:firstRowFirstColumn="0" w:firstRowLastColumn="0" w:lastRowFirstColumn="0" w:lastRowLastColumn="0"/>
            </w:pPr>
            <w:r>
              <w:t>n/a</w:t>
            </w:r>
          </w:p>
        </w:tc>
      </w:tr>
      <w:tr w:rsidR="00AD342A" w:rsidRPr="000D774E" w:rsidTr="008C531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AD342A" w:rsidRPr="00AD342A" w:rsidRDefault="00AD342A" w:rsidP="00AD342A">
            <w:r w:rsidRPr="00AD342A">
              <w:t>Capitalised AA costs</w:t>
            </w:r>
          </w:p>
        </w:tc>
        <w:tc>
          <w:tcPr>
            <w:tcW w:w="2245" w:type="dxa"/>
          </w:tcPr>
          <w:p w:rsidR="00AD342A" w:rsidRPr="00AD342A" w:rsidRDefault="00AD342A" w:rsidP="00AD342A">
            <w:pPr>
              <w:cnfStyle w:val="000000010000" w:firstRow="0" w:lastRow="0" w:firstColumn="0" w:lastColumn="0" w:oddVBand="0" w:evenVBand="0" w:oddHBand="0" w:evenHBand="1" w:firstRowFirstColumn="0" w:firstRowLastColumn="0" w:lastRowFirstColumn="0" w:lastRowLastColumn="0"/>
            </w:pPr>
            <w:bookmarkStart w:id="36" w:name="RANGE!L14"/>
            <w:r w:rsidRPr="00AD342A">
              <w:t>5</w:t>
            </w:r>
            <w:bookmarkEnd w:id="36"/>
          </w:p>
        </w:tc>
        <w:tc>
          <w:tcPr>
            <w:tcW w:w="2410" w:type="dxa"/>
            <w:vAlign w:val="bottom"/>
          </w:tcPr>
          <w:p w:rsidR="00AD342A" w:rsidRPr="00AD342A" w:rsidRDefault="00BD48DE" w:rsidP="00BD48DE">
            <w:pPr>
              <w:cnfStyle w:val="000000010000" w:firstRow="0" w:lastRow="0" w:firstColumn="0" w:lastColumn="0" w:oddVBand="0" w:evenVBand="0" w:oddHBand="0" w:evenHBand="1" w:firstRowFirstColumn="0" w:firstRowLastColumn="0" w:lastRowFirstColumn="0" w:lastRowLastColumn="0"/>
            </w:pPr>
            <w:r>
              <w:t>4.9</w:t>
            </w:r>
          </w:p>
        </w:tc>
      </w:tr>
      <w:tr w:rsidR="00AD342A" w:rsidRPr="000D774E" w:rsidTr="008C531F">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AD342A" w:rsidRPr="00AD342A" w:rsidRDefault="00AD342A" w:rsidP="00AD342A">
            <w:r w:rsidRPr="00AD342A">
              <w:t>Group IT</w:t>
            </w:r>
          </w:p>
        </w:tc>
        <w:tc>
          <w:tcPr>
            <w:tcW w:w="2245" w:type="dxa"/>
          </w:tcPr>
          <w:p w:rsidR="00AD342A" w:rsidRPr="00AD342A" w:rsidRDefault="00AD342A" w:rsidP="00AD342A">
            <w:pPr>
              <w:cnfStyle w:val="000000000000" w:firstRow="0" w:lastRow="0" w:firstColumn="0" w:lastColumn="0" w:oddVBand="0" w:evenVBand="0" w:oddHBand="0" w:evenHBand="0" w:firstRowFirstColumn="0" w:firstRowLastColumn="0" w:lastRowFirstColumn="0" w:lastRowLastColumn="0"/>
            </w:pPr>
            <w:bookmarkStart w:id="37" w:name="RANGE!L15"/>
            <w:r w:rsidRPr="00AD342A">
              <w:t>5</w:t>
            </w:r>
            <w:bookmarkEnd w:id="37"/>
          </w:p>
        </w:tc>
        <w:tc>
          <w:tcPr>
            <w:tcW w:w="2410" w:type="dxa"/>
            <w:vAlign w:val="bottom"/>
          </w:tcPr>
          <w:p w:rsidR="00AD342A" w:rsidRPr="00AD342A" w:rsidRDefault="00BD48DE" w:rsidP="00BD48DE">
            <w:pPr>
              <w:cnfStyle w:val="000000000000" w:firstRow="0" w:lastRow="0" w:firstColumn="0" w:lastColumn="0" w:oddVBand="0" w:evenVBand="0" w:oddHBand="0" w:evenHBand="0" w:firstRowFirstColumn="0" w:firstRowLastColumn="0" w:lastRowFirstColumn="0" w:lastRowLastColumn="0"/>
            </w:pPr>
            <w:r>
              <w:t>3.6</w:t>
            </w:r>
          </w:p>
        </w:tc>
      </w:tr>
      <w:tr w:rsidR="00AD342A" w:rsidRPr="000D774E" w:rsidTr="008C531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AD342A" w:rsidRPr="00AD342A" w:rsidRDefault="00AD342A" w:rsidP="00AD342A">
            <w:r w:rsidRPr="00AD342A">
              <w:t>SIB capex</w:t>
            </w:r>
          </w:p>
        </w:tc>
        <w:tc>
          <w:tcPr>
            <w:tcW w:w="2245" w:type="dxa"/>
          </w:tcPr>
          <w:p w:rsidR="00AD342A" w:rsidRPr="00AD342A" w:rsidRDefault="00AD342A" w:rsidP="00AD342A">
            <w:pPr>
              <w:cnfStyle w:val="000000010000" w:firstRow="0" w:lastRow="0" w:firstColumn="0" w:lastColumn="0" w:oddVBand="0" w:evenVBand="0" w:oddHBand="0" w:evenHBand="1" w:firstRowFirstColumn="0" w:firstRowLastColumn="0" w:lastRowFirstColumn="0" w:lastRowLastColumn="0"/>
            </w:pPr>
            <w:bookmarkStart w:id="38" w:name="RANGE!L16"/>
            <w:r w:rsidRPr="00AD342A">
              <w:t>5</w:t>
            </w:r>
            <w:bookmarkEnd w:id="38"/>
          </w:p>
        </w:tc>
        <w:tc>
          <w:tcPr>
            <w:tcW w:w="2410" w:type="dxa"/>
            <w:vAlign w:val="bottom"/>
          </w:tcPr>
          <w:p w:rsidR="00AD342A" w:rsidRPr="00AD342A" w:rsidRDefault="00BD48DE" w:rsidP="00BD48DE">
            <w:pPr>
              <w:cnfStyle w:val="000000010000" w:firstRow="0" w:lastRow="0" w:firstColumn="0" w:lastColumn="0" w:oddVBand="0" w:evenVBand="0" w:oddHBand="0" w:evenHBand="1" w:firstRowFirstColumn="0" w:firstRowLastColumn="0" w:lastRowFirstColumn="0" w:lastRowLastColumn="0"/>
            </w:pPr>
            <w:r>
              <w:t>3.3</w:t>
            </w:r>
          </w:p>
        </w:tc>
      </w:tr>
      <w:tr w:rsidR="00AD342A" w:rsidRPr="000D774E" w:rsidTr="008C531F">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AD342A" w:rsidRPr="00AD342A" w:rsidRDefault="00AD342A" w:rsidP="00AD342A">
            <w:r w:rsidRPr="00AD342A">
              <w:t>PMA</w:t>
            </w:r>
          </w:p>
        </w:tc>
        <w:tc>
          <w:tcPr>
            <w:tcW w:w="2245" w:type="dxa"/>
          </w:tcPr>
          <w:p w:rsidR="00AD342A" w:rsidRPr="00AD342A" w:rsidRDefault="005A3BB9" w:rsidP="00AD342A">
            <w:pPr>
              <w:cnfStyle w:val="000000000000" w:firstRow="0" w:lastRow="0" w:firstColumn="0" w:lastColumn="0" w:oddVBand="0" w:evenVBand="0" w:oddHBand="0" w:evenHBand="0" w:firstRowFirstColumn="0" w:firstRowLastColumn="0" w:lastRowFirstColumn="0" w:lastRowLastColumn="0"/>
            </w:pPr>
            <w:r>
              <w:t>n/a</w:t>
            </w:r>
          </w:p>
        </w:tc>
        <w:tc>
          <w:tcPr>
            <w:tcW w:w="2410" w:type="dxa"/>
            <w:vAlign w:val="bottom"/>
          </w:tcPr>
          <w:p w:rsidR="00AD342A" w:rsidRPr="00AD342A" w:rsidRDefault="00BD48DE" w:rsidP="00BD48DE">
            <w:pPr>
              <w:cnfStyle w:val="000000000000" w:firstRow="0" w:lastRow="0" w:firstColumn="0" w:lastColumn="0" w:oddVBand="0" w:evenVBand="0" w:oddHBand="0" w:evenHBand="0" w:firstRowFirstColumn="0" w:firstRowLastColumn="0" w:lastRowFirstColumn="0" w:lastRowLastColumn="0"/>
            </w:pPr>
            <w:r>
              <w:t>3.0</w:t>
            </w:r>
          </w:p>
        </w:tc>
      </w:tr>
      <w:tr w:rsidR="00C17674" w:rsidRPr="000D774E" w:rsidTr="008C531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C17674" w:rsidRPr="00C17674" w:rsidRDefault="00C17674" w:rsidP="00C17674">
            <w:r>
              <w:t xml:space="preserve">Redundant </w:t>
            </w:r>
            <w:r w:rsidRPr="00C17674">
              <w:t>compressors</w:t>
            </w:r>
            <w:r w:rsidRPr="00C17674">
              <w:rPr>
                <w:rStyle w:val="AERsuperscript"/>
              </w:rPr>
              <w:t>a</w:t>
            </w:r>
          </w:p>
        </w:tc>
        <w:tc>
          <w:tcPr>
            <w:tcW w:w="2245" w:type="dxa"/>
          </w:tcPr>
          <w:p w:rsidR="00C17674" w:rsidRPr="00C17674" w:rsidRDefault="00C17674" w:rsidP="00C17674">
            <w:pPr>
              <w:cnfStyle w:val="000000010000" w:firstRow="0" w:lastRow="0" w:firstColumn="0" w:lastColumn="0" w:oddVBand="0" w:evenVBand="0" w:oddHBand="0" w:evenHBand="1" w:firstRowFirstColumn="0" w:firstRowLastColumn="0" w:lastRowFirstColumn="0" w:lastRowLastColumn="0"/>
            </w:pPr>
            <w:r>
              <w:t>n/a</w:t>
            </w:r>
          </w:p>
        </w:tc>
        <w:tc>
          <w:tcPr>
            <w:tcW w:w="2410" w:type="dxa"/>
            <w:vAlign w:val="bottom"/>
          </w:tcPr>
          <w:p w:rsidR="00C17674" w:rsidRPr="00AD342A" w:rsidRDefault="00BD48DE" w:rsidP="00BD48DE">
            <w:pPr>
              <w:cnfStyle w:val="000000010000" w:firstRow="0" w:lastRow="0" w:firstColumn="0" w:lastColumn="0" w:oddVBand="0" w:evenVBand="0" w:oddHBand="0" w:evenHBand="1" w:firstRowFirstColumn="0" w:firstRowLastColumn="0" w:lastRowFirstColumn="0" w:lastRowLastColumn="0"/>
            </w:pPr>
            <w:r>
              <w:t>2.9</w:t>
            </w:r>
          </w:p>
        </w:tc>
      </w:tr>
    </w:tbl>
    <w:p w:rsidR="00E945AC" w:rsidRDefault="00E945AC" w:rsidP="00E945AC">
      <w:pPr>
        <w:pStyle w:val="AERtablesource"/>
      </w:pPr>
      <w:r w:rsidRPr="009D5ECB">
        <w:t>Source:</w:t>
      </w:r>
      <w:r w:rsidRPr="009D5ECB">
        <w:tab/>
        <w:t>AER analysis.</w:t>
      </w:r>
      <w:r>
        <w:t xml:space="preserve"> </w:t>
      </w:r>
    </w:p>
    <w:p w:rsidR="00E945AC" w:rsidRDefault="00E945AC" w:rsidP="00E945AC">
      <w:pPr>
        <w:pStyle w:val="AERtablesource"/>
      </w:pPr>
      <w:r w:rsidRPr="00EA0E36">
        <w:t>n/a</w:t>
      </w:r>
      <w:r w:rsidRPr="00EA0E36">
        <w:tab/>
        <w:t>Not applicable.</w:t>
      </w:r>
    </w:p>
    <w:p w:rsidR="00B053D4" w:rsidRDefault="00B053D4" w:rsidP="00B053D4">
      <w:pPr>
        <w:pStyle w:val="AERtablesource"/>
      </w:pPr>
      <w:r>
        <w:t>a.</w:t>
      </w:r>
      <w:r>
        <w:tab/>
      </w:r>
      <w:r w:rsidR="0050658D">
        <w:t xml:space="preserve">The purpose of this asset class is to fully depreciate the residual value of the redundant compressors over the 2017–22 access arrangement period. </w:t>
      </w:r>
      <w:r w:rsidR="00194B02">
        <w:t>We did not assign a</w:t>
      </w:r>
      <w:r w:rsidR="0023293B">
        <w:t xml:space="preserve"> standard asset life to this asset class </w:t>
      </w:r>
      <w:r w:rsidR="00194B02">
        <w:t>because</w:t>
      </w:r>
      <w:r w:rsidR="0023293B">
        <w:t xml:space="preserve"> no new capex will be allocated to this asset class</w:t>
      </w:r>
      <w:r w:rsidR="00194B02">
        <w:t xml:space="preserve"> for the 2017–22 access arrangement period</w:t>
      </w:r>
      <w:r w:rsidR="0023293B">
        <w:t>.</w:t>
      </w:r>
    </w:p>
    <w:p w:rsidR="00F9206E" w:rsidRDefault="00F9206E" w:rsidP="00F9206E">
      <w:pPr>
        <w:pStyle w:val="Heading3"/>
      </w:pPr>
      <w:bookmarkStart w:id="39" w:name="_Ref465255413"/>
      <w:bookmarkStart w:id="40" w:name="_Toc486846799"/>
      <w:r>
        <w:t>Asset class consolidation</w:t>
      </w:r>
      <w:bookmarkEnd w:id="39"/>
      <w:bookmarkEnd w:id="40"/>
    </w:p>
    <w:p w:rsidR="00D345BF" w:rsidRDefault="00F9206E" w:rsidP="00D345BF">
      <w:r w:rsidRPr="00F9206E">
        <w:t xml:space="preserve">We accept </w:t>
      </w:r>
      <w:r w:rsidR="00671AFA">
        <w:t>APTPPL</w:t>
      </w:r>
      <w:r w:rsidR="00D345BF">
        <w:t xml:space="preserve">'s proposal to </w:t>
      </w:r>
      <w:r w:rsidRPr="00F9206E">
        <w:t>consolidate its asset classes</w:t>
      </w:r>
      <w:r w:rsidR="00DD6EFA">
        <w:t xml:space="preserve"> to number 11</w:t>
      </w:r>
      <w:r w:rsidRPr="00F9206E">
        <w:t xml:space="preserve"> from the previous 25 asset classes. </w:t>
      </w:r>
      <w:r>
        <w:t>The</w:t>
      </w:r>
      <w:r w:rsidRPr="00F9206E">
        <w:t xml:space="preserve"> </w:t>
      </w:r>
      <w:r>
        <w:t>proposed consolidation</w:t>
      </w:r>
      <w:r w:rsidRPr="00F9206E">
        <w:t xml:space="preserve"> involves</w:t>
      </w:r>
      <w:r w:rsidR="00D345BF">
        <w:t>:</w:t>
      </w:r>
    </w:p>
    <w:p w:rsidR="00D345BF" w:rsidRDefault="00F9206E" w:rsidP="00D345BF">
      <w:pPr>
        <w:pStyle w:val="AERbulletlistfirststyle"/>
      </w:pPr>
      <w:r>
        <w:t>merging</w:t>
      </w:r>
      <w:r w:rsidRPr="00F9206E">
        <w:t xml:space="preserve"> five asset classes</w:t>
      </w:r>
      <w:r w:rsidR="00DD6EFA">
        <w:t xml:space="preserve"> relating to</w:t>
      </w:r>
      <w:r w:rsidRPr="00F9206E">
        <w:t xml:space="preserve"> </w:t>
      </w:r>
      <w:r w:rsidR="00DD6EFA" w:rsidRPr="00F9206E">
        <w:t>compressor</w:t>
      </w:r>
      <w:r w:rsidR="00DD6EFA">
        <w:t xml:space="preserve"> assets</w:t>
      </w:r>
      <w:r w:rsidR="00DD6EFA" w:rsidRPr="00F9206E">
        <w:t xml:space="preserve"> </w:t>
      </w:r>
      <w:r w:rsidRPr="00F9206E">
        <w:t>which w</w:t>
      </w:r>
      <w:r w:rsidR="00DD6EFA">
        <w:t>ere</w:t>
      </w:r>
      <w:r w:rsidRPr="00F9206E">
        <w:t xml:space="preserve"> previously categorised based on different projects into one single '</w:t>
      </w:r>
      <w:r w:rsidR="00DD6EFA">
        <w:t>C</w:t>
      </w:r>
      <w:r w:rsidRPr="00F9206E">
        <w:t>ompressor</w:t>
      </w:r>
      <w:r w:rsidR="00DD6EFA">
        <w:t>s</w:t>
      </w:r>
      <w:r w:rsidRPr="00F9206E">
        <w:t xml:space="preserve">' asset class </w:t>
      </w:r>
    </w:p>
    <w:p w:rsidR="00D345BF" w:rsidRDefault="004351C5" w:rsidP="00D345BF">
      <w:pPr>
        <w:pStyle w:val="AERbulletlistfirststyle"/>
      </w:pPr>
      <w:r>
        <w:t>merging</w:t>
      </w:r>
      <w:r w:rsidR="00F9206E">
        <w:t xml:space="preserve"> </w:t>
      </w:r>
      <w:r w:rsidR="00F9206E" w:rsidRPr="00F9206E">
        <w:t xml:space="preserve">nine asset classes </w:t>
      </w:r>
      <w:r w:rsidR="00DD6EFA">
        <w:t>relating to pipeline</w:t>
      </w:r>
      <w:r w:rsidR="00DD6EFA" w:rsidRPr="00F9206E">
        <w:t xml:space="preserve"> </w:t>
      </w:r>
      <w:r w:rsidR="00DD6EFA">
        <w:t xml:space="preserve">assets </w:t>
      </w:r>
      <w:r w:rsidR="00D345BF" w:rsidRPr="00D345BF">
        <w:t>which w</w:t>
      </w:r>
      <w:r w:rsidR="00DD6EFA">
        <w:t>ere</w:t>
      </w:r>
      <w:r w:rsidR="00D345BF" w:rsidRPr="00D345BF">
        <w:t xml:space="preserve"> previously categorised based on different projects </w:t>
      </w:r>
      <w:r w:rsidR="00F9206E" w:rsidRPr="00F9206E">
        <w:t xml:space="preserve">into one single </w:t>
      </w:r>
      <w:r w:rsidR="00F9206E">
        <w:t>'</w:t>
      </w:r>
      <w:r w:rsidR="00DD6EFA">
        <w:t>P</w:t>
      </w:r>
      <w:r w:rsidR="00F9206E" w:rsidRPr="00F9206E">
        <w:t>ipelines</w:t>
      </w:r>
      <w:r w:rsidR="00D345BF">
        <w:t>' asset class</w:t>
      </w:r>
    </w:p>
    <w:p w:rsidR="00D345BF" w:rsidRPr="00D345BF" w:rsidRDefault="00D345BF" w:rsidP="00D345BF">
      <w:pPr>
        <w:pStyle w:val="AERbulletlistfirststyle"/>
      </w:pPr>
      <w:r w:rsidRPr="00D345BF">
        <w:t>allocat</w:t>
      </w:r>
      <w:r>
        <w:t>ing</w:t>
      </w:r>
      <w:r w:rsidRPr="00D345BF">
        <w:t xml:space="preserve"> the </w:t>
      </w:r>
      <w:r w:rsidR="00613363">
        <w:t>residual value of</w:t>
      </w:r>
      <w:r w:rsidRPr="00D345BF">
        <w:t xml:space="preserve"> the </w:t>
      </w:r>
      <w:r w:rsidR="004264C4">
        <w:t>'</w:t>
      </w:r>
      <w:r w:rsidRPr="00D345BF">
        <w:t xml:space="preserve">RBP expansion 8 </w:t>
      </w:r>
      <w:r w:rsidR="00390FE6">
        <w:t>(RBP8)</w:t>
      </w:r>
      <w:r w:rsidR="004264C4">
        <w:t>'</w:t>
      </w:r>
      <w:r w:rsidR="00390FE6">
        <w:t xml:space="preserve"> </w:t>
      </w:r>
      <w:r w:rsidR="004264C4">
        <w:t>asset class</w:t>
      </w:r>
      <w:r w:rsidRPr="00D345BF">
        <w:t xml:space="preserve"> into the</w:t>
      </w:r>
      <w:r w:rsidR="004351C5">
        <w:t xml:space="preserve"> </w:t>
      </w:r>
      <w:r w:rsidR="004D3984">
        <w:t>'</w:t>
      </w:r>
      <w:r w:rsidR="00DD6EFA">
        <w:t>P</w:t>
      </w:r>
      <w:r w:rsidR="004D3984">
        <w:t>ipeline</w:t>
      </w:r>
      <w:r w:rsidR="00DD6EFA">
        <w:t>s</w:t>
      </w:r>
      <w:r w:rsidRPr="00D345BF">
        <w:t xml:space="preserve">' </w:t>
      </w:r>
      <w:r w:rsidR="004D4735">
        <w:t xml:space="preserve">and </w:t>
      </w:r>
      <w:r w:rsidRPr="00D345BF">
        <w:t>'</w:t>
      </w:r>
      <w:r w:rsidR="00DD6EFA">
        <w:t>C</w:t>
      </w:r>
      <w:r w:rsidRPr="00D345BF">
        <w:t>ompressor</w:t>
      </w:r>
      <w:r w:rsidR="00DD6EFA">
        <w:t>s</w:t>
      </w:r>
      <w:r w:rsidRPr="00D345BF">
        <w:t>' asset class</w:t>
      </w:r>
      <w:r w:rsidR="00390FE6">
        <w:t>es</w:t>
      </w:r>
      <w:r w:rsidR="009A231D">
        <w:t>.</w:t>
      </w:r>
    </w:p>
    <w:p w:rsidR="000144D3" w:rsidRDefault="000144D3" w:rsidP="000144D3">
      <w:r>
        <w:t>W</w:t>
      </w:r>
      <w:r w:rsidRPr="00F9206E">
        <w:t xml:space="preserve">e consider the proposed consolidation </w:t>
      </w:r>
      <w:r>
        <w:t>for the multiple compressors and pipelines asset classes is</w:t>
      </w:r>
      <w:r w:rsidRPr="00F9206E">
        <w:t xml:space="preserve"> </w:t>
      </w:r>
      <w:r>
        <w:t>reasonable</w:t>
      </w:r>
      <w:r w:rsidRPr="00F9206E">
        <w:t xml:space="preserve"> as it eliminates duplication of asset classes for similar asset types. </w:t>
      </w:r>
      <w:r>
        <w:t>T</w:t>
      </w:r>
      <w:r w:rsidRPr="00F9206E">
        <w:t xml:space="preserve">he </w:t>
      </w:r>
      <w:r>
        <w:t xml:space="preserve">proposed </w:t>
      </w:r>
      <w:r w:rsidRPr="00F9206E">
        <w:t xml:space="preserve">consolidation does not </w:t>
      </w:r>
      <w:r>
        <w:t>require changes to</w:t>
      </w:r>
      <w:r w:rsidRPr="00F9206E">
        <w:t xml:space="preserve"> </w:t>
      </w:r>
      <w:r>
        <w:t>the existing</w:t>
      </w:r>
      <w:r w:rsidRPr="00F9206E">
        <w:t xml:space="preserve"> </w:t>
      </w:r>
      <w:r>
        <w:t xml:space="preserve">approved </w:t>
      </w:r>
      <w:r w:rsidRPr="00F9206E">
        <w:t>standard asset lives</w:t>
      </w:r>
      <w:r>
        <w:t xml:space="preserve"> for the 2012–17 access arrangement period</w:t>
      </w:r>
      <w:r w:rsidRPr="00F9206E">
        <w:t xml:space="preserve"> </w:t>
      </w:r>
      <w:r>
        <w:t>because the standard asset lives for</w:t>
      </w:r>
      <w:r w:rsidRPr="00F9206E">
        <w:t xml:space="preserve"> compressors and pipelines</w:t>
      </w:r>
      <w:r>
        <w:rPr>
          <w:rStyle w:val="FootnoteReference"/>
        </w:rPr>
        <w:footnoteReference w:id="30"/>
      </w:r>
      <w:r w:rsidRPr="00F9206E">
        <w:t xml:space="preserve"> across projects</w:t>
      </w:r>
      <w:r>
        <w:t xml:space="preserve"> do not differ respectively</w:t>
      </w:r>
      <w:r w:rsidRPr="00F9206E">
        <w:t>.</w:t>
      </w:r>
    </w:p>
    <w:p w:rsidR="00450671" w:rsidRPr="00F9206E" w:rsidRDefault="00450671" w:rsidP="00450671">
      <w:r>
        <w:t xml:space="preserve">We note that APTPPL has applied the consolidated asset classes from 1 July 2011—the commencement of the capital base roll forward period in the proposed RFM. In general, we consider the asset classes in the RFM should be consistent with the asset classes approved in the last access arrangement review, and any changes to the approved asset classes should be implemented from the start of the forthcoming access arrangement period. However, we note that APTPPL's </w:t>
      </w:r>
      <w:r w:rsidR="00D03DD2">
        <w:t xml:space="preserve">proposal </w:t>
      </w:r>
      <w:r>
        <w:t xml:space="preserve">better aligns with the </w:t>
      </w:r>
      <w:r w:rsidR="00833A0F">
        <w:t>annual</w:t>
      </w:r>
      <w:r w:rsidR="00D03DD2">
        <w:t xml:space="preserve"> </w:t>
      </w:r>
      <w:r>
        <w:t xml:space="preserve">actual capex </w:t>
      </w:r>
      <w:r w:rsidR="00D03DD2">
        <w:t xml:space="preserve">values for 2012–16 which have been reported </w:t>
      </w:r>
      <w:r>
        <w:t>under the consolidated asset classes.</w:t>
      </w:r>
      <w:r w:rsidR="00833A0F">
        <w:t xml:space="preserve"> Our analysis also indicates that the</w:t>
      </w:r>
      <w:r>
        <w:t xml:space="preserve"> </w:t>
      </w:r>
      <w:r w:rsidR="00D03DD2">
        <w:t xml:space="preserve">proposal to start the asset class consolidation from 1 July 2011 does not have a material impact on the opening capital base and remaining asset life values as at 1 July 2017. </w:t>
      </w:r>
      <w:r>
        <w:t xml:space="preserve">For these reasons, we have allowed the consolidation of the asset classes </w:t>
      </w:r>
      <w:r w:rsidR="00C71485">
        <w:t xml:space="preserve">to be implemented from 1 July 2011 </w:t>
      </w:r>
      <w:r>
        <w:t>in the RFM.</w:t>
      </w:r>
      <w:r w:rsidR="00A10DA0">
        <w:t xml:space="preserve"> However we have</w:t>
      </w:r>
      <w:r w:rsidR="00C71485">
        <w:t xml:space="preserve"> made several</w:t>
      </w:r>
      <w:r w:rsidR="00A10DA0">
        <w:t xml:space="preserve"> </w:t>
      </w:r>
      <w:r w:rsidR="000144D3">
        <w:t>a</w:t>
      </w:r>
      <w:r w:rsidR="00C71485">
        <w:t>mendments</w:t>
      </w:r>
      <w:r w:rsidR="000144D3">
        <w:t xml:space="preserve"> </w:t>
      </w:r>
      <w:r w:rsidR="00C71485">
        <w:t xml:space="preserve">in proposed </w:t>
      </w:r>
      <w:r w:rsidR="008448D6">
        <w:t xml:space="preserve">RFM </w:t>
      </w:r>
      <w:r w:rsidR="00261F07">
        <w:t xml:space="preserve">which have a consequential effect to the remaining asset lives </w:t>
      </w:r>
      <w:r w:rsidR="00C07149">
        <w:t xml:space="preserve">as at 1 July 2017 </w:t>
      </w:r>
      <w:r w:rsidR="00261F07">
        <w:t xml:space="preserve">of the consolidated asset classes. We discuss this further in section </w:t>
      </w:r>
      <w:r w:rsidR="00261F07">
        <w:fldChar w:fldCharType="begin"/>
      </w:r>
      <w:r w:rsidR="00261F07">
        <w:instrText xml:space="preserve"> REF _Ref471723400 \r \h </w:instrText>
      </w:r>
      <w:r w:rsidR="00261F07">
        <w:fldChar w:fldCharType="separate"/>
      </w:r>
      <w:r w:rsidR="00D627A4">
        <w:t>5.4.3.2</w:t>
      </w:r>
      <w:r w:rsidR="00261F07">
        <w:fldChar w:fldCharType="end"/>
      </w:r>
      <w:r w:rsidR="00261F07">
        <w:t xml:space="preserve">.  </w:t>
      </w:r>
    </w:p>
    <w:p w:rsidR="00F749E2" w:rsidRDefault="00261F07" w:rsidP="00F9206E">
      <w:r>
        <w:t>Also, w</w:t>
      </w:r>
      <w:r w:rsidR="004264C4">
        <w:t xml:space="preserve">e consider </w:t>
      </w:r>
      <w:r w:rsidR="00671AFA">
        <w:t>APTPPL</w:t>
      </w:r>
      <w:r w:rsidR="004264C4">
        <w:t>'s proposal</w:t>
      </w:r>
      <w:r w:rsidR="00390FE6">
        <w:t xml:space="preserve"> </w:t>
      </w:r>
      <w:r w:rsidR="004264C4">
        <w:t xml:space="preserve">to </w:t>
      </w:r>
      <w:r w:rsidR="00ED4D58">
        <w:t xml:space="preserve">depreciate </w:t>
      </w:r>
      <w:r w:rsidR="004264C4">
        <w:t>the</w:t>
      </w:r>
      <w:r w:rsidR="00390FE6">
        <w:t xml:space="preserve"> </w:t>
      </w:r>
      <w:r w:rsidR="00613363">
        <w:t>residual value of</w:t>
      </w:r>
      <w:r w:rsidR="004C110C">
        <w:t xml:space="preserve"> the </w:t>
      </w:r>
      <w:r w:rsidR="00DD6EFA">
        <w:t>'</w:t>
      </w:r>
      <w:r w:rsidR="004C110C">
        <w:t>RBP8</w:t>
      </w:r>
      <w:r w:rsidR="00DD6EFA">
        <w:t>'</w:t>
      </w:r>
      <w:r w:rsidR="004C110C">
        <w:t xml:space="preserve"> asset class</w:t>
      </w:r>
      <w:r w:rsidR="00935C1F">
        <w:t xml:space="preserve"> </w:t>
      </w:r>
      <w:r w:rsidR="00ED4D58">
        <w:t xml:space="preserve">by </w:t>
      </w:r>
      <w:r w:rsidR="00390FE6">
        <w:t xml:space="preserve">the </w:t>
      </w:r>
      <w:r w:rsidR="00C67E19">
        <w:t>relevant</w:t>
      </w:r>
      <w:r w:rsidR="00390FE6">
        <w:t xml:space="preserve"> </w:t>
      </w:r>
      <w:r w:rsidR="00C67E19">
        <w:t xml:space="preserve">asset types </w:t>
      </w:r>
      <w:r w:rsidR="004264C4">
        <w:t xml:space="preserve">is </w:t>
      </w:r>
      <w:r w:rsidR="00985010">
        <w:t>reasonable</w:t>
      </w:r>
      <w:r w:rsidR="004264C4">
        <w:t xml:space="preserve">. </w:t>
      </w:r>
      <w:r w:rsidR="0015563D">
        <w:t>This is because t</w:t>
      </w:r>
      <w:r w:rsidR="004264C4">
        <w:t xml:space="preserve">he </w:t>
      </w:r>
      <w:r w:rsidR="0015563D">
        <w:t xml:space="preserve">RBP8 project has now </w:t>
      </w:r>
      <w:r w:rsidR="00DD6EFA">
        <w:t xml:space="preserve">been </w:t>
      </w:r>
      <w:r w:rsidR="0015563D">
        <w:t>completed and commissioned</w:t>
      </w:r>
      <w:r w:rsidR="004C110C">
        <w:t>,</w:t>
      </w:r>
      <w:r w:rsidR="0015563D">
        <w:t xml:space="preserve"> and therefore there is no need </w:t>
      </w:r>
      <w:r w:rsidR="00DD6EFA">
        <w:t>to keep</w:t>
      </w:r>
      <w:r w:rsidR="0015563D">
        <w:t xml:space="preserve"> a separate asset class for this project going forward.</w:t>
      </w:r>
      <w:r w:rsidR="004A6BA6">
        <w:t xml:space="preserve"> </w:t>
      </w:r>
      <w:r w:rsidR="00C67E19">
        <w:t>However</w:t>
      </w:r>
      <w:r w:rsidR="00ED4D58">
        <w:t>,</w:t>
      </w:r>
      <w:r w:rsidR="00C67E19">
        <w:t xml:space="preserve"> </w:t>
      </w:r>
      <w:r w:rsidR="00DF0108">
        <w:t xml:space="preserve">as discussed in attachment 2, </w:t>
      </w:r>
      <w:r w:rsidR="00C67E19">
        <w:t xml:space="preserve">we do not agree with </w:t>
      </w:r>
      <w:r w:rsidR="00ED4D58">
        <w:t>APTPPL's proposal to only</w:t>
      </w:r>
      <w:r w:rsidR="00C67E19">
        <w:t xml:space="preserve"> allocate</w:t>
      </w:r>
      <w:r w:rsidR="00ED4D58">
        <w:t xml:space="preserve"> the residual value of the 'RBP8' asset class</w:t>
      </w:r>
      <w:r w:rsidR="00C67E19">
        <w:t xml:space="preserve"> to</w:t>
      </w:r>
      <w:r w:rsidR="00ED4D58">
        <w:t xml:space="preserve"> the</w:t>
      </w:r>
      <w:r w:rsidR="00C67E19">
        <w:t xml:space="preserve"> 'pipeline' and 'compressors' asset classes. </w:t>
      </w:r>
      <w:r w:rsidR="00ED4D58">
        <w:t>This is because t</w:t>
      </w:r>
      <w:r w:rsidR="002941FF">
        <w:t xml:space="preserve">he asset types associated with the RBP8 project are </w:t>
      </w:r>
      <w:r w:rsidR="00DD6EFA">
        <w:t xml:space="preserve">related to </w:t>
      </w:r>
      <w:r w:rsidR="00C67E19">
        <w:t>the</w:t>
      </w:r>
      <w:r w:rsidR="00DD6EFA">
        <w:t xml:space="preserve"> </w:t>
      </w:r>
      <w:r w:rsidR="00C67E19">
        <w:t>'</w:t>
      </w:r>
      <w:r w:rsidR="002941FF">
        <w:t>pipeline</w:t>
      </w:r>
      <w:r w:rsidR="00C67E19">
        <w:t>',</w:t>
      </w:r>
      <w:r w:rsidR="002941FF">
        <w:t xml:space="preserve"> </w:t>
      </w:r>
      <w:r w:rsidR="00C67E19">
        <w:t>'</w:t>
      </w:r>
      <w:r w:rsidR="002941FF">
        <w:t>compressor</w:t>
      </w:r>
      <w:r w:rsidR="00C67E19">
        <w:t>'</w:t>
      </w:r>
      <w:r w:rsidR="00DD6EFA">
        <w:t xml:space="preserve"> </w:t>
      </w:r>
      <w:r w:rsidR="00C67E19">
        <w:t xml:space="preserve">and 'regulators and meters' </w:t>
      </w:r>
      <w:r w:rsidR="00DD6EFA">
        <w:t>asset classes</w:t>
      </w:r>
      <w:r w:rsidR="00ED4D58">
        <w:t xml:space="preserve"> as set out in our 2012–17 access arrangement decision</w:t>
      </w:r>
      <w:r w:rsidR="00364A2B">
        <w:t xml:space="preserve">. </w:t>
      </w:r>
      <w:r w:rsidR="00ED4D58">
        <w:t>A</w:t>
      </w:r>
      <w:r w:rsidR="00862549">
        <w:t xml:space="preserve">s discussed in attachment 2, we </w:t>
      </w:r>
      <w:r w:rsidR="00F749E2">
        <w:t>have</w:t>
      </w:r>
      <w:r w:rsidR="00ED4D58">
        <w:t xml:space="preserve"> amended the proposed allocation </w:t>
      </w:r>
      <w:r w:rsidR="00BD769E">
        <w:t xml:space="preserve">of the residual value of the 'RBP8' asset class </w:t>
      </w:r>
      <w:r w:rsidR="00ED4D58">
        <w:t>in the RFM accordingly</w:t>
      </w:r>
      <w:r w:rsidR="009A231D">
        <w:t xml:space="preserve">. </w:t>
      </w:r>
      <w:r w:rsidR="00905B5B">
        <w:t>This amendment also has an impact on the values of the remaining asset lives as at 1 July 2017</w:t>
      </w:r>
      <w:r w:rsidR="00364A2B">
        <w:t xml:space="preserve"> for the relevant asset classes</w:t>
      </w:r>
      <w:r w:rsidR="00905B5B">
        <w:t>.</w:t>
      </w:r>
    </w:p>
    <w:p w:rsidR="00750D0C" w:rsidRDefault="00750D0C" w:rsidP="00750D0C">
      <w:pPr>
        <w:pStyle w:val="Heading3"/>
      </w:pPr>
      <w:bookmarkStart w:id="41" w:name="_Ref468983764"/>
      <w:bookmarkStart w:id="42" w:name="_Toc486846800"/>
      <w:r>
        <w:t>Accelerated depreciation</w:t>
      </w:r>
      <w:r w:rsidR="00A40705">
        <w:t xml:space="preserve"> – redundant compressors</w:t>
      </w:r>
      <w:bookmarkEnd w:id="41"/>
      <w:bookmarkEnd w:id="42"/>
    </w:p>
    <w:p w:rsidR="00A520F2" w:rsidRDefault="00671AFA" w:rsidP="00750D0C">
      <w:r>
        <w:t>APTPPL</w:t>
      </w:r>
      <w:r w:rsidR="00750D0C">
        <w:t xml:space="preserve"> proposed to accelerate the depreciation of </w:t>
      </w:r>
      <w:r w:rsidR="00FE60CD">
        <w:t xml:space="preserve">certain </w:t>
      </w:r>
      <w:r w:rsidR="00750D0C">
        <w:t xml:space="preserve">redundant compressor assets. It has done so </w:t>
      </w:r>
      <w:r w:rsidR="00193812">
        <w:t xml:space="preserve">by altering the approved forecast depreciation schedule for the </w:t>
      </w:r>
      <w:r w:rsidR="00FE60CD">
        <w:t>'O</w:t>
      </w:r>
      <w:r w:rsidR="00193812">
        <w:t>riginal pipeline</w:t>
      </w:r>
      <w:r w:rsidR="00306FE2">
        <w:t xml:space="preserve"> (DN250)</w:t>
      </w:r>
      <w:r w:rsidR="00FE60CD">
        <w:t>'</w:t>
      </w:r>
      <w:r w:rsidR="00193812">
        <w:t xml:space="preserve"> asset class, the </w:t>
      </w:r>
      <w:r w:rsidR="00FE60CD">
        <w:t>'P</w:t>
      </w:r>
      <w:r w:rsidR="00193812">
        <w:t>ipelines</w:t>
      </w:r>
      <w:r w:rsidR="00FE60CD">
        <w:t>'</w:t>
      </w:r>
      <w:r w:rsidR="00193812">
        <w:t xml:space="preserve"> and </w:t>
      </w:r>
      <w:r w:rsidR="00FE60CD">
        <w:t>'C</w:t>
      </w:r>
      <w:r w:rsidR="00193812">
        <w:t>ompressors</w:t>
      </w:r>
      <w:r w:rsidR="00FE60CD">
        <w:t>'</w:t>
      </w:r>
      <w:r w:rsidR="00193812">
        <w:t xml:space="preserve"> asset classes </w:t>
      </w:r>
      <w:r w:rsidR="00750D0C">
        <w:t xml:space="preserve">in the capital base roll forward for the 2012–17 access arrangement period. </w:t>
      </w:r>
      <w:r w:rsidR="003F56F5">
        <w:t>W</w:t>
      </w:r>
      <w:r w:rsidR="00750D0C">
        <w:t xml:space="preserve">e do not accept this approach because </w:t>
      </w:r>
      <w:r w:rsidR="00FE60CD">
        <w:t>it</w:t>
      </w:r>
      <w:r w:rsidR="00750D0C">
        <w:t xml:space="preserve"> does not comply with </w:t>
      </w:r>
      <w:r w:rsidR="003F56F5">
        <w:t>rule 89(1)(b)</w:t>
      </w:r>
      <w:r w:rsidR="00364D6B">
        <w:t xml:space="preserve"> of the NGR</w:t>
      </w:r>
      <w:r w:rsidR="00750D0C">
        <w:t>.</w:t>
      </w:r>
      <w:r w:rsidR="009054A3">
        <w:t xml:space="preserve"> The proposed approach would allocate less depreciation to the 'Original pipeline (DN250)' and 'Pipelines' asset classes. The outcome of th</w:t>
      </w:r>
      <w:r w:rsidR="00364D6B">
        <w:t>is</w:t>
      </w:r>
      <w:r w:rsidR="009054A3">
        <w:t xml:space="preserve"> approach would be to artificially increase the remaining asset lives of those asset classes going forward.</w:t>
      </w:r>
      <w:r w:rsidR="009054A3" w:rsidRPr="009054A3">
        <w:t xml:space="preserve"> </w:t>
      </w:r>
      <w:r w:rsidR="009054A3">
        <w:t>We have therefore changed the proposed forecast depreciation allocated to these asset classes to be consistent with the approved amount for each asset class for the 2012–17 access arrangement period.</w:t>
      </w:r>
    </w:p>
    <w:p w:rsidR="006E5C59" w:rsidRPr="00B9583E" w:rsidRDefault="00750D0C" w:rsidP="008E453F">
      <w:r>
        <w:t xml:space="preserve">We consider that the accelerated depreciation of redundant </w:t>
      </w:r>
      <w:r w:rsidR="00A40705">
        <w:t>compressors</w:t>
      </w:r>
      <w:r>
        <w:t xml:space="preserve"> should be achieved in the 2017–22 access arrangement period. Therefore, we have created a separate 'Redundant compressors' asset class for </w:t>
      </w:r>
      <w:r w:rsidR="005D0317">
        <w:t xml:space="preserve">the residual value of </w:t>
      </w:r>
      <w:r w:rsidR="00ED047D">
        <w:t>$</w:t>
      </w:r>
      <w:r w:rsidR="004B2A0D">
        <w:t>6.0</w:t>
      </w:r>
      <w:r w:rsidR="00ED047D">
        <w:t xml:space="preserve"> million</w:t>
      </w:r>
      <w:r w:rsidR="005D0317">
        <w:t xml:space="preserve"> </w:t>
      </w:r>
      <w:r w:rsidR="00B1123E">
        <w:t>as at 1 July 201</w:t>
      </w:r>
      <w:r w:rsidR="00FE60CD">
        <w:t>7</w:t>
      </w:r>
      <w:r w:rsidR="00B1123E">
        <w:t xml:space="preserve"> </w:t>
      </w:r>
      <w:r w:rsidR="005D0317">
        <w:t>to be fully depreciated in the 2017–22 access arrangement period.</w:t>
      </w:r>
      <w:r w:rsidR="003D4D9C">
        <w:t xml:space="preserve"> </w:t>
      </w:r>
      <w:r w:rsidR="00DD43BE">
        <w:t>This approach</w:t>
      </w:r>
      <w:r w:rsidR="003B5FBB">
        <w:t xml:space="preserve"> recognises the compressor assets nearing the end of their useful life, and </w:t>
      </w:r>
      <w:r w:rsidR="003D4D9C">
        <w:t>allows</w:t>
      </w:r>
      <w:r w:rsidR="003B5FBB">
        <w:t xml:space="preserve"> the newer compressor assets which have a </w:t>
      </w:r>
      <w:r w:rsidR="003D4D9C">
        <w:t xml:space="preserve">much </w:t>
      </w:r>
      <w:r w:rsidR="003B5FBB">
        <w:t xml:space="preserve">longer </w:t>
      </w:r>
      <w:r w:rsidR="003D4D9C">
        <w:t>remaining asset</w:t>
      </w:r>
      <w:r w:rsidR="003B5FBB">
        <w:t xml:space="preserve"> life</w:t>
      </w:r>
      <w:r w:rsidR="003D4D9C">
        <w:t xml:space="preserve"> to be depreciated separately</w:t>
      </w:r>
      <w:r w:rsidR="00E14C17" w:rsidRPr="00E14C17">
        <w:t xml:space="preserve">. </w:t>
      </w:r>
      <w:r w:rsidR="00C917A1">
        <w:t>Therefore</w:t>
      </w:r>
      <w:r w:rsidR="00DF762D">
        <w:t>, we consider</w:t>
      </w:r>
      <w:r w:rsidR="00C917A1">
        <w:t xml:space="preserve"> this</w:t>
      </w:r>
      <w:r w:rsidR="00DD43BE">
        <w:t xml:space="preserve"> </w:t>
      </w:r>
      <w:r w:rsidR="003D4D9C">
        <w:t xml:space="preserve">approach </w:t>
      </w:r>
      <w:r w:rsidR="00DD43BE">
        <w:t xml:space="preserve">is consistent with the requirement of the NGR because it </w:t>
      </w:r>
      <w:r w:rsidR="00C917A1">
        <w:t xml:space="preserve">allows the </w:t>
      </w:r>
      <w:r w:rsidR="00E74EA3">
        <w:t>redun</w:t>
      </w:r>
      <w:r w:rsidR="007265B3">
        <w:t xml:space="preserve">dant </w:t>
      </w:r>
      <w:r w:rsidR="00C917A1">
        <w:t>compressor</w:t>
      </w:r>
      <w:r w:rsidR="007265B3">
        <w:t>s</w:t>
      </w:r>
      <w:r w:rsidR="006E5C59" w:rsidRPr="00B9583E">
        <w:t xml:space="preserve"> </w:t>
      </w:r>
      <w:r w:rsidR="007265B3">
        <w:t>and the newer compressors</w:t>
      </w:r>
      <w:r w:rsidR="006E5C59" w:rsidRPr="00B9583E">
        <w:t xml:space="preserve"> </w:t>
      </w:r>
      <w:r w:rsidR="00C917A1">
        <w:t>to be</w:t>
      </w:r>
      <w:r w:rsidR="006E5C59" w:rsidRPr="00B9583E">
        <w:t xml:space="preserve"> depreciated over </w:t>
      </w:r>
      <w:r w:rsidR="00C917A1">
        <w:t>their</w:t>
      </w:r>
      <w:r w:rsidR="00DD43BE">
        <w:t xml:space="preserve"> </w:t>
      </w:r>
      <w:r w:rsidR="007265B3">
        <w:t xml:space="preserve">respective </w:t>
      </w:r>
      <w:r w:rsidR="00DD43BE">
        <w:t>economic lives</w:t>
      </w:r>
      <w:r w:rsidR="00E0712C">
        <w:t xml:space="preserve"> (as shown in </w:t>
      </w:r>
      <w:r w:rsidR="00E0712C">
        <w:fldChar w:fldCharType="begin"/>
      </w:r>
      <w:r w:rsidR="00E0712C">
        <w:instrText xml:space="preserve"> REF _Ref398283146 \h </w:instrText>
      </w:r>
      <w:r w:rsidR="00E0712C">
        <w:fldChar w:fldCharType="separate"/>
      </w:r>
      <w:r w:rsidR="00D627A4" w:rsidRPr="009D5ECB">
        <w:t xml:space="preserve">Table </w:t>
      </w:r>
      <w:r w:rsidR="00D627A4">
        <w:rPr>
          <w:noProof/>
        </w:rPr>
        <w:t>5</w:t>
      </w:r>
      <w:r w:rsidR="00D627A4">
        <w:t>.</w:t>
      </w:r>
      <w:r w:rsidR="00D627A4">
        <w:rPr>
          <w:noProof/>
        </w:rPr>
        <w:t>4</w:t>
      </w:r>
      <w:r w:rsidR="00E0712C">
        <w:fldChar w:fldCharType="end"/>
      </w:r>
      <w:r w:rsidR="002B3DEF">
        <w:t xml:space="preserve"> above</w:t>
      </w:r>
      <w:r w:rsidR="00E0712C">
        <w:t>)</w:t>
      </w:r>
      <w:r w:rsidR="00C917A1">
        <w:t>.</w:t>
      </w:r>
      <w:r w:rsidR="006E5C59" w:rsidRPr="00B9583E">
        <w:rPr>
          <w:rStyle w:val="FootnoteReference"/>
        </w:rPr>
        <w:footnoteReference w:id="31"/>
      </w:r>
      <w:r w:rsidR="00E0712C">
        <w:t xml:space="preserve"> </w:t>
      </w:r>
    </w:p>
    <w:p w:rsidR="00E945AC" w:rsidRPr="005B5FC5" w:rsidRDefault="00E945AC" w:rsidP="00E945AC">
      <w:pPr>
        <w:pStyle w:val="Heading3"/>
      </w:pPr>
      <w:bookmarkStart w:id="43" w:name="_Toc486846801"/>
      <w:r>
        <w:t>Asset lives</w:t>
      </w:r>
      <w:bookmarkEnd w:id="43"/>
    </w:p>
    <w:p w:rsidR="00497A52" w:rsidRPr="00D831B1" w:rsidRDefault="00497A52" w:rsidP="00497A52">
      <w:r>
        <w:rPr>
          <w:rStyle w:val="AERbody"/>
        </w:rPr>
        <w:t xml:space="preserve">The straight-line depreciation component of regulatory depreciation is calculated by dividing the asset value for each asset class by its standard asset life (for new assets) or remaining asset life (for existing assets). Our draft decision on </w:t>
      </w:r>
      <w:r w:rsidR="00671AFA">
        <w:t>APTPPL</w:t>
      </w:r>
      <w:r>
        <w:t>’</w:t>
      </w:r>
      <w:r>
        <w:rPr>
          <w:rStyle w:val="AERbody"/>
        </w:rPr>
        <w:t>s standard and remaining asset lives follows.</w:t>
      </w:r>
    </w:p>
    <w:p w:rsidR="00361E1D" w:rsidRDefault="00361E1D" w:rsidP="00E945AC">
      <w:pPr>
        <w:pStyle w:val="Heading4"/>
      </w:pPr>
      <w:bookmarkStart w:id="44" w:name="_Toc428257992"/>
      <w:bookmarkStart w:id="45" w:name="_Ref432606800"/>
      <w:bookmarkStart w:id="46" w:name="_Ref435430820"/>
      <w:r>
        <w:t>Standard asset life</w:t>
      </w:r>
      <w:bookmarkEnd w:id="44"/>
      <w:bookmarkEnd w:id="45"/>
      <w:bookmarkEnd w:id="46"/>
    </w:p>
    <w:p w:rsidR="00497A52" w:rsidRPr="009D7438" w:rsidRDefault="00497A52" w:rsidP="00497A52">
      <w:pPr>
        <w:rPr>
          <w:rStyle w:val="AERbody"/>
        </w:rPr>
      </w:pPr>
      <w:r w:rsidRPr="009D7438">
        <w:rPr>
          <w:rStyle w:val="AERbody"/>
        </w:rPr>
        <w:t xml:space="preserve">We accept </w:t>
      </w:r>
      <w:r w:rsidR="00671AFA">
        <w:t>APTPPL</w:t>
      </w:r>
      <w:r>
        <w:rPr>
          <w:rStyle w:val="AERbody"/>
        </w:rPr>
        <w:t>’</w:t>
      </w:r>
      <w:r w:rsidRPr="009D7438">
        <w:rPr>
          <w:rStyle w:val="AERbody"/>
        </w:rPr>
        <w:t>s proposed standard asset lives for its asset classes</w:t>
      </w:r>
      <w:r w:rsidR="009512FD">
        <w:rPr>
          <w:rStyle w:val="AERbody"/>
        </w:rPr>
        <w:t xml:space="preserve"> for the 2017–22 access arrangement period</w:t>
      </w:r>
      <w:r w:rsidRPr="009D7438">
        <w:rPr>
          <w:rStyle w:val="AERbody"/>
        </w:rPr>
        <w:t>, because they are:</w:t>
      </w:r>
    </w:p>
    <w:p w:rsidR="00497A52" w:rsidRPr="009D7438" w:rsidRDefault="00497A52" w:rsidP="00281B23">
      <w:pPr>
        <w:pStyle w:val="AERbulletlistfirststyle"/>
      </w:pPr>
      <w:r w:rsidRPr="009D7438">
        <w:t>consistent with our approved s</w:t>
      </w:r>
      <w:r>
        <w:t>tandard asset lives for the 2012–17</w:t>
      </w:r>
      <w:r w:rsidRPr="009D7438">
        <w:t xml:space="preserve"> </w:t>
      </w:r>
      <w:r>
        <w:t>access arrangement period</w:t>
      </w:r>
      <w:r w:rsidR="00281B23">
        <w:t xml:space="preserve">. As discussed in section </w:t>
      </w:r>
      <w:r w:rsidR="00281B23">
        <w:fldChar w:fldCharType="begin"/>
      </w:r>
      <w:r w:rsidR="00281B23">
        <w:instrText xml:space="preserve"> REF _Ref465255413 \r \h </w:instrText>
      </w:r>
      <w:r w:rsidR="00281B23">
        <w:fldChar w:fldCharType="separate"/>
      </w:r>
      <w:r w:rsidR="00D627A4">
        <w:t>5.4.1</w:t>
      </w:r>
      <w:r w:rsidR="00281B23">
        <w:fldChar w:fldCharType="end"/>
      </w:r>
      <w:r w:rsidR="00281B23">
        <w:t xml:space="preserve">, </w:t>
      </w:r>
      <w:r w:rsidR="00671AFA">
        <w:t>APTPPL</w:t>
      </w:r>
      <w:r w:rsidR="00281B23">
        <w:t xml:space="preserve">'s proposed asset class consolidation does not </w:t>
      </w:r>
      <w:r w:rsidR="006009D9">
        <w:t>require</w:t>
      </w:r>
      <w:r w:rsidR="00281B23">
        <w:t xml:space="preserve"> </w:t>
      </w:r>
      <w:r w:rsidR="006009D9">
        <w:t>any</w:t>
      </w:r>
      <w:r w:rsidR="00281B23">
        <w:t xml:space="preserve"> change</w:t>
      </w:r>
      <w:r w:rsidR="00773A04">
        <w:t>s</w:t>
      </w:r>
      <w:r w:rsidR="00281B23">
        <w:t xml:space="preserve"> to the approved standard asset lives</w:t>
      </w:r>
      <w:r w:rsidR="00773A04">
        <w:t xml:space="preserve"> for the 2012–17 access arrangement period</w:t>
      </w:r>
    </w:p>
    <w:p w:rsidR="00161B6D" w:rsidRDefault="00497A52" w:rsidP="00161B6D">
      <w:pPr>
        <w:pStyle w:val="AERbulletlistfirststyle"/>
      </w:pPr>
      <w:proofErr w:type="gramStart"/>
      <w:r w:rsidRPr="009D7438">
        <w:t>comparable</w:t>
      </w:r>
      <w:proofErr w:type="gramEnd"/>
      <w:r w:rsidRPr="009D7438">
        <w:t xml:space="preserve"> with the standard asset lives approved in our recent determinations for other gas </w:t>
      </w:r>
      <w:r>
        <w:t xml:space="preserve">transmission </w:t>
      </w:r>
      <w:r w:rsidRPr="009D7438">
        <w:t>service providers.</w:t>
      </w:r>
      <w:r w:rsidRPr="00497A52">
        <w:rPr>
          <w:rStyle w:val="FootnoteReference"/>
        </w:rPr>
        <w:footnoteReference w:id="32"/>
      </w:r>
      <w:r w:rsidRPr="009D7438">
        <w:t xml:space="preserve"> </w:t>
      </w:r>
      <w:r w:rsidR="00436CD0">
        <w:fldChar w:fldCharType="begin"/>
      </w:r>
      <w:r w:rsidR="00436CD0">
        <w:instrText xml:space="preserve"> REF _Ref466277109 \h </w:instrText>
      </w:r>
      <w:r w:rsidR="00436CD0">
        <w:fldChar w:fldCharType="separate"/>
      </w:r>
      <w:r w:rsidR="00D627A4">
        <w:t xml:space="preserve">Table </w:t>
      </w:r>
      <w:r w:rsidR="00D627A4">
        <w:rPr>
          <w:noProof/>
        </w:rPr>
        <w:t>5</w:t>
      </w:r>
      <w:r w:rsidR="00D627A4">
        <w:t>.</w:t>
      </w:r>
      <w:r w:rsidR="00D627A4">
        <w:rPr>
          <w:noProof/>
        </w:rPr>
        <w:t>5</w:t>
      </w:r>
      <w:r w:rsidR="00436CD0">
        <w:fldChar w:fldCharType="end"/>
      </w:r>
      <w:r w:rsidR="00281B23">
        <w:t xml:space="preserve"> shows that</w:t>
      </w:r>
      <w:r w:rsidR="009138E2">
        <w:t xml:space="preserve"> </w:t>
      </w:r>
      <w:r w:rsidR="00671AFA">
        <w:t>APTPPL</w:t>
      </w:r>
      <w:r w:rsidR="009138E2">
        <w:t xml:space="preserve">'s standard asset lives for key </w:t>
      </w:r>
      <w:r w:rsidR="00D638AB">
        <w:t xml:space="preserve">gas transmission </w:t>
      </w:r>
      <w:r w:rsidR="009138E2">
        <w:t xml:space="preserve">asset types are comparable with </w:t>
      </w:r>
      <w:r w:rsidR="0092195F">
        <w:t xml:space="preserve">that of </w:t>
      </w:r>
      <w:r w:rsidR="009138E2">
        <w:t xml:space="preserve">APTNT and APA </w:t>
      </w:r>
      <w:r w:rsidR="002B3DEF">
        <w:t>VTS</w:t>
      </w:r>
      <w:r w:rsidR="009138E2">
        <w:t>.</w:t>
      </w:r>
      <w:r w:rsidR="00AC75BD">
        <w:t xml:space="preserve"> </w:t>
      </w:r>
    </w:p>
    <w:p w:rsidR="00281B23" w:rsidRDefault="00AC75BD" w:rsidP="00161B6D">
      <w:r>
        <w:t>Therefore, w</w:t>
      </w:r>
      <w:r w:rsidRPr="00A30E24">
        <w:t>e are satisfied the proposed standard asset lives reflect the requirements of r</w:t>
      </w:r>
      <w:r w:rsidR="00773A04">
        <w:t>.</w:t>
      </w:r>
      <w:r w:rsidRPr="00A30E24">
        <w:t xml:space="preserve"> 89(1) of the NGR. </w:t>
      </w:r>
      <w:r w:rsidRPr="00350754">
        <w:fldChar w:fldCharType="begin"/>
      </w:r>
      <w:r w:rsidRPr="00350754">
        <w:instrText xml:space="preserve"> REF _Ref398283146 \h </w:instrText>
      </w:r>
      <w:r>
        <w:instrText xml:space="preserve"> \* MERGEFORMAT </w:instrText>
      </w:r>
      <w:r w:rsidRPr="00350754">
        <w:fldChar w:fldCharType="separate"/>
      </w:r>
      <w:r w:rsidR="00D627A4" w:rsidRPr="009D5ECB">
        <w:t xml:space="preserve">Table </w:t>
      </w:r>
      <w:r w:rsidR="00D627A4">
        <w:t>5.4</w:t>
      </w:r>
      <w:r w:rsidRPr="00350754">
        <w:fldChar w:fldCharType="end"/>
      </w:r>
      <w:r>
        <w:t xml:space="preserve"> </w:t>
      </w:r>
      <w:r w:rsidR="002B3DEF">
        <w:t xml:space="preserve">(above) </w:t>
      </w:r>
      <w:r w:rsidRPr="00350754">
        <w:t xml:space="preserve">sets out our draft decision on the standard </w:t>
      </w:r>
      <w:r>
        <w:t>asset lives</w:t>
      </w:r>
      <w:r w:rsidRPr="00350754">
        <w:rPr>
          <w:rStyle w:val="AERbody"/>
        </w:rPr>
        <w:t xml:space="preserve"> for </w:t>
      </w:r>
      <w:r w:rsidR="00671AFA">
        <w:t>APTPPL</w:t>
      </w:r>
      <w:r>
        <w:t xml:space="preserve"> </w:t>
      </w:r>
      <w:r>
        <w:rPr>
          <w:rStyle w:val="AERbody"/>
        </w:rPr>
        <w:t xml:space="preserve">over the 2017–22 access arrangement </w:t>
      </w:r>
      <w:proofErr w:type="gramStart"/>
      <w:r>
        <w:rPr>
          <w:rStyle w:val="AERbody"/>
        </w:rPr>
        <w:t>period</w:t>
      </w:r>
      <w:proofErr w:type="gramEnd"/>
      <w:r w:rsidRPr="00350754">
        <w:t>.</w:t>
      </w:r>
      <w:r>
        <w:t xml:space="preserve"> </w:t>
      </w:r>
    </w:p>
    <w:p w:rsidR="00EE28AE" w:rsidRDefault="009138E2" w:rsidP="009138E2">
      <w:pPr>
        <w:pStyle w:val="Caption"/>
      </w:pPr>
      <w:bookmarkStart w:id="47" w:name="_Ref466277109"/>
      <w:r>
        <w:t xml:space="preserve">Table </w:t>
      </w:r>
      <w:r w:rsidR="00D627A4">
        <w:fldChar w:fldCharType="begin"/>
      </w:r>
      <w:r w:rsidR="00D627A4">
        <w:instrText xml:space="preserve"> STYLEREF 1 \s </w:instrText>
      </w:r>
      <w:r w:rsidR="00D627A4">
        <w:fldChar w:fldCharType="separate"/>
      </w:r>
      <w:r w:rsidR="00D627A4">
        <w:rPr>
          <w:noProof/>
        </w:rPr>
        <w:t>5</w:t>
      </w:r>
      <w:r w:rsidR="00D627A4">
        <w:rPr>
          <w:noProof/>
        </w:rPr>
        <w:fldChar w:fldCharType="end"/>
      </w:r>
      <w:r>
        <w:t>.</w:t>
      </w:r>
      <w:r w:rsidR="00D627A4">
        <w:fldChar w:fldCharType="begin"/>
      </w:r>
      <w:r w:rsidR="00D627A4">
        <w:instrText xml:space="preserve"> SEQ Table \* ARABIC \s 1 </w:instrText>
      </w:r>
      <w:r w:rsidR="00D627A4">
        <w:fldChar w:fldCharType="separate"/>
      </w:r>
      <w:r w:rsidR="00D627A4">
        <w:rPr>
          <w:noProof/>
        </w:rPr>
        <w:t>5</w:t>
      </w:r>
      <w:r w:rsidR="00D627A4">
        <w:rPr>
          <w:noProof/>
        </w:rPr>
        <w:fldChar w:fldCharType="end"/>
      </w:r>
      <w:bookmarkEnd w:id="47"/>
      <w:r>
        <w:tab/>
        <w:t>Comparison of standard asset lives (years)</w:t>
      </w:r>
    </w:p>
    <w:tbl>
      <w:tblPr>
        <w:tblStyle w:val="AERtable-numbers"/>
        <w:tblW w:w="8713" w:type="dxa"/>
        <w:tblLayout w:type="fixed"/>
        <w:tblLook w:val="04A0" w:firstRow="1" w:lastRow="0" w:firstColumn="1" w:lastColumn="0" w:noHBand="0" w:noVBand="1"/>
      </w:tblPr>
      <w:tblGrid>
        <w:gridCol w:w="1809"/>
        <w:gridCol w:w="1985"/>
        <w:gridCol w:w="2410"/>
        <w:gridCol w:w="2509"/>
      </w:tblGrid>
      <w:tr w:rsidR="00EE28AE" w:rsidRPr="000D774E" w:rsidTr="00EE28AE">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1809" w:type="dxa"/>
            <w:noWrap/>
            <w:hideMark/>
          </w:tcPr>
          <w:p w:rsidR="00EE28AE" w:rsidRPr="00DD35CF" w:rsidRDefault="00EE28AE" w:rsidP="00EE28AE"/>
        </w:tc>
        <w:tc>
          <w:tcPr>
            <w:tcW w:w="1985" w:type="dxa"/>
          </w:tcPr>
          <w:p w:rsidR="00EE28AE" w:rsidRDefault="00671AFA" w:rsidP="00EE28AE">
            <w:pPr>
              <w:cnfStyle w:val="100000000000" w:firstRow="1" w:lastRow="0" w:firstColumn="0" w:lastColumn="0" w:oddVBand="0" w:evenVBand="0" w:oddHBand="0" w:evenHBand="0" w:firstRowFirstColumn="0" w:firstRowLastColumn="0" w:lastRowFirstColumn="0" w:lastRowLastColumn="0"/>
            </w:pPr>
            <w:r>
              <w:t>APTPPL</w:t>
            </w:r>
          </w:p>
        </w:tc>
        <w:tc>
          <w:tcPr>
            <w:tcW w:w="2410" w:type="dxa"/>
          </w:tcPr>
          <w:p w:rsidR="00EE28AE" w:rsidRPr="00DD35CF" w:rsidRDefault="00EE28AE" w:rsidP="00EE28AE">
            <w:pPr>
              <w:cnfStyle w:val="100000000000" w:firstRow="1" w:lastRow="0" w:firstColumn="0" w:lastColumn="0" w:oddVBand="0" w:evenVBand="0" w:oddHBand="0" w:evenHBand="0" w:firstRowFirstColumn="0" w:firstRowLastColumn="0" w:lastRowFirstColumn="0" w:lastRowLastColumn="0"/>
            </w:pPr>
            <w:r>
              <w:t>APTNT</w:t>
            </w:r>
            <w:r w:rsidRPr="00DD35CF">
              <w:t xml:space="preserve"> </w:t>
            </w:r>
          </w:p>
        </w:tc>
        <w:tc>
          <w:tcPr>
            <w:tcW w:w="2509" w:type="dxa"/>
          </w:tcPr>
          <w:p w:rsidR="00EE28AE" w:rsidRPr="00DD35CF" w:rsidRDefault="009138E2" w:rsidP="002B3DEF">
            <w:pPr>
              <w:cnfStyle w:val="100000000000" w:firstRow="1" w:lastRow="0" w:firstColumn="0" w:lastColumn="0" w:oddVBand="0" w:evenVBand="0" w:oddHBand="0" w:evenHBand="0" w:firstRowFirstColumn="0" w:firstRowLastColumn="0" w:lastRowFirstColumn="0" w:lastRowLastColumn="0"/>
            </w:pPr>
            <w:r>
              <w:t xml:space="preserve">APA </w:t>
            </w:r>
            <w:r w:rsidR="002B3DEF">
              <w:t>VTS</w:t>
            </w:r>
          </w:p>
        </w:tc>
      </w:tr>
      <w:tr w:rsidR="00EE28AE" w:rsidRPr="000D774E" w:rsidTr="00EE28AE">
        <w:trPr>
          <w:trHeight w:val="296"/>
        </w:trPr>
        <w:tc>
          <w:tcPr>
            <w:cnfStyle w:val="001000000000" w:firstRow="0" w:lastRow="0" w:firstColumn="1" w:lastColumn="0" w:oddVBand="0" w:evenVBand="0" w:oddHBand="0" w:evenHBand="0" w:firstRowFirstColumn="0" w:firstRowLastColumn="0" w:lastRowFirstColumn="0" w:lastRowLastColumn="0"/>
            <w:tcW w:w="1809" w:type="dxa"/>
            <w:noWrap/>
            <w:vAlign w:val="bottom"/>
          </w:tcPr>
          <w:p w:rsidR="00EE28AE" w:rsidRPr="00D22136" w:rsidRDefault="00EE28AE" w:rsidP="00EE28AE">
            <w:r w:rsidRPr="00D22136">
              <w:t>Pipelines</w:t>
            </w:r>
          </w:p>
        </w:tc>
        <w:tc>
          <w:tcPr>
            <w:tcW w:w="1985" w:type="dxa"/>
          </w:tcPr>
          <w:p w:rsidR="00EE28AE" w:rsidRPr="00A62366" w:rsidRDefault="00EE28AE" w:rsidP="00EE28AE">
            <w:pPr>
              <w:cnfStyle w:val="000000000000" w:firstRow="0" w:lastRow="0" w:firstColumn="0" w:lastColumn="0" w:oddVBand="0" w:evenVBand="0" w:oddHBand="0" w:evenHBand="0" w:firstRowFirstColumn="0" w:firstRowLastColumn="0" w:lastRowFirstColumn="0" w:lastRowLastColumn="0"/>
            </w:pPr>
            <w:r>
              <w:t>80</w:t>
            </w:r>
          </w:p>
        </w:tc>
        <w:tc>
          <w:tcPr>
            <w:tcW w:w="2410" w:type="dxa"/>
            <w:vAlign w:val="bottom"/>
          </w:tcPr>
          <w:p w:rsidR="00EE28AE" w:rsidRPr="00A62366" w:rsidRDefault="00EE28AE" w:rsidP="00EE28AE">
            <w:pPr>
              <w:cnfStyle w:val="000000000000" w:firstRow="0" w:lastRow="0" w:firstColumn="0" w:lastColumn="0" w:oddVBand="0" w:evenVBand="0" w:oddHBand="0" w:evenHBand="0" w:firstRowFirstColumn="0" w:firstRowLastColumn="0" w:lastRowFirstColumn="0" w:lastRowLastColumn="0"/>
            </w:pPr>
            <w:r w:rsidRPr="00A62366">
              <w:t>80</w:t>
            </w:r>
          </w:p>
        </w:tc>
        <w:tc>
          <w:tcPr>
            <w:tcW w:w="2509" w:type="dxa"/>
            <w:vAlign w:val="bottom"/>
          </w:tcPr>
          <w:p w:rsidR="00EE28AE" w:rsidRPr="00EE28AE" w:rsidRDefault="00EE28AE" w:rsidP="00EE28AE">
            <w:pPr>
              <w:cnfStyle w:val="000000000000" w:firstRow="0" w:lastRow="0" w:firstColumn="0" w:lastColumn="0" w:oddVBand="0" w:evenVBand="0" w:oddHBand="0" w:evenHBand="0" w:firstRowFirstColumn="0" w:firstRowLastColumn="0" w:lastRowFirstColumn="0" w:lastRowLastColumn="0"/>
            </w:pPr>
            <w:r>
              <w:t>55</w:t>
            </w:r>
          </w:p>
        </w:tc>
      </w:tr>
      <w:tr w:rsidR="00EE28AE" w:rsidRPr="000D774E" w:rsidTr="00EE28AE">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09" w:type="dxa"/>
            <w:noWrap/>
            <w:vAlign w:val="bottom"/>
          </w:tcPr>
          <w:p w:rsidR="00EE28AE" w:rsidRPr="00D22136" w:rsidRDefault="00EE28AE" w:rsidP="00EE28AE">
            <w:r>
              <w:t>Compressor</w:t>
            </w:r>
          </w:p>
        </w:tc>
        <w:tc>
          <w:tcPr>
            <w:tcW w:w="1985" w:type="dxa"/>
          </w:tcPr>
          <w:p w:rsidR="00EE28AE" w:rsidRPr="00A62366" w:rsidRDefault="00EE28AE" w:rsidP="00EE28AE">
            <w:pPr>
              <w:cnfStyle w:val="000000010000" w:firstRow="0" w:lastRow="0" w:firstColumn="0" w:lastColumn="0" w:oddVBand="0" w:evenVBand="0" w:oddHBand="0" w:evenHBand="1" w:firstRowFirstColumn="0" w:firstRowLastColumn="0" w:lastRowFirstColumn="0" w:lastRowLastColumn="0"/>
            </w:pPr>
            <w:r>
              <w:t>35</w:t>
            </w:r>
          </w:p>
        </w:tc>
        <w:tc>
          <w:tcPr>
            <w:tcW w:w="2410" w:type="dxa"/>
            <w:vAlign w:val="bottom"/>
          </w:tcPr>
          <w:p w:rsidR="00EE28AE" w:rsidRPr="00A62366" w:rsidRDefault="00EE28AE" w:rsidP="00EE28AE">
            <w:pPr>
              <w:cnfStyle w:val="000000010000" w:firstRow="0" w:lastRow="0" w:firstColumn="0" w:lastColumn="0" w:oddVBand="0" w:evenVBand="0" w:oddHBand="0" w:evenHBand="1" w:firstRowFirstColumn="0" w:firstRowLastColumn="0" w:lastRowFirstColumn="0" w:lastRowLastColumn="0"/>
            </w:pPr>
            <w:r w:rsidRPr="00A62366">
              <w:t>30</w:t>
            </w:r>
          </w:p>
        </w:tc>
        <w:tc>
          <w:tcPr>
            <w:tcW w:w="2509" w:type="dxa"/>
            <w:vAlign w:val="bottom"/>
          </w:tcPr>
          <w:p w:rsidR="00EE28AE" w:rsidRPr="002C4F0C" w:rsidRDefault="00EE28AE" w:rsidP="00EE28AE">
            <w:pPr>
              <w:cnfStyle w:val="000000010000" w:firstRow="0" w:lastRow="0" w:firstColumn="0" w:lastColumn="0" w:oddVBand="0" w:evenVBand="0" w:oddHBand="0" w:evenHBand="1" w:firstRowFirstColumn="0" w:firstRowLastColumn="0" w:lastRowFirstColumn="0" w:lastRowLastColumn="0"/>
            </w:pPr>
            <w:r>
              <w:t>30</w:t>
            </w:r>
          </w:p>
        </w:tc>
      </w:tr>
      <w:tr w:rsidR="00EE28AE" w:rsidRPr="000D774E" w:rsidTr="00EE28AE">
        <w:trPr>
          <w:trHeight w:val="296"/>
        </w:trPr>
        <w:tc>
          <w:tcPr>
            <w:cnfStyle w:val="001000000000" w:firstRow="0" w:lastRow="0" w:firstColumn="1" w:lastColumn="0" w:oddVBand="0" w:evenVBand="0" w:oddHBand="0" w:evenHBand="0" w:firstRowFirstColumn="0" w:firstRowLastColumn="0" w:lastRowFirstColumn="0" w:lastRowLastColumn="0"/>
            <w:tcW w:w="1809" w:type="dxa"/>
            <w:noWrap/>
            <w:vAlign w:val="bottom"/>
          </w:tcPr>
          <w:p w:rsidR="00EE28AE" w:rsidRPr="00D22136" w:rsidRDefault="00EE28AE" w:rsidP="00EE28AE">
            <w:r>
              <w:t>Meters and regulators</w:t>
            </w:r>
          </w:p>
        </w:tc>
        <w:tc>
          <w:tcPr>
            <w:tcW w:w="1985" w:type="dxa"/>
          </w:tcPr>
          <w:p w:rsidR="00EE28AE" w:rsidRPr="00A62366" w:rsidRDefault="00EE28AE" w:rsidP="00EE28AE">
            <w:pPr>
              <w:cnfStyle w:val="000000000000" w:firstRow="0" w:lastRow="0" w:firstColumn="0" w:lastColumn="0" w:oddVBand="0" w:evenVBand="0" w:oddHBand="0" w:evenHBand="0" w:firstRowFirstColumn="0" w:firstRowLastColumn="0" w:lastRowFirstColumn="0" w:lastRowLastColumn="0"/>
            </w:pPr>
            <w:r>
              <w:t>40</w:t>
            </w:r>
          </w:p>
        </w:tc>
        <w:tc>
          <w:tcPr>
            <w:tcW w:w="2410" w:type="dxa"/>
            <w:vAlign w:val="bottom"/>
          </w:tcPr>
          <w:p w:rsidR="00EE28AE" w:rsidRPr="00A62366" w:rsidRDefault="00EE28AE" w:rsidP="00EE28AE">
            <w:pPr>
              <w:cnfStyle w:val="000000000000" w:firstRow="0" w:lastRow="0" w:firstColumn="0" w:lastColumn="0" w:oddVBand="0" w:evenVBand="0" w:oddHBand="0" w:evenHBand="0" w:firstRowFirstColumn="0" w:firstRowLastColumn="0" w:lastRowFirstColumn="0" w:lastRowLastColumn="0"/>
            </w:pPr>
            <w:r w:rsidRPr="00A62366">
              <w:t>50</w:t>
            </w:r>
          </w:p>
        </w:tc>
        <w:tc>
          <w:tcPr>
            <w:tcW w:w="2509" w:type="dxa"/>
            <w:vAlign w:val="bottom"/>
          </w:tcPr>
          <w:p w:rsidR="00EE28AE" w:rsidRPr="002C4F0C" w:rsidRDefault="00EE28AE" w:rsidP="00EE28AE">
            <w:pPr>
              <w:cnfStyle w:val="000000000000" w:firstRow="0" w:lastRow="0" w:firstColumn="0" w:lastColumn="0" w:oddVBand="0" w:evenVBand="0" w:oddHBand="0" w:evenHBand="0" w:firstRowFirstColumn="0" w:firstRowLastColumn="0" w:lastRowFirstColumn="0" w:lastRowLastColumn="0"/>
            </w:pPr>
            <w:r>
              <w:t>30</w:t>
            </w:r>
          </w:p>
        </w:tc>
      </w:tr>
    </w:tbl>
    <w:p w:rsidR="00EE28AE" w:rsidRDefault="00920385" w:rsidP="00920385">
      <w:pPr>
        <w:pStyle w:val="AERtablesource"/>
      </w:pPr>
      <w:r>
        <w:t xml:space="preserve">Source: </w:t>
      </w:r>
      <w:r>
        <w:tab/>
      </w:r>
      <w:r w:rsidRPr="00920385">
        <w:rPr>
          <w:rStyle w:val="AERtextitalic"/>
          <w:i w:val="0"/>
        </w:rPr>
        <w:t>AER:</w:t>
      </w:r>
      <w:r w:rsidRPr="00920385">
        <w:rPr>
          <w:rStyle w:val="AERtextitalic"/>
          <w:rFonts w:eastAsia="Calibri"/>
        </w:rPr>
        <w:t xml:space="preserve"> Access arrangement final decision APA GasNet Australia (Operations) Pty Ltd 2013–17 Part 2: Attachments, </w:t>
      </w:r>
      <w:r w:rsidRPr="00920385">
        <w:rPr>
          <w:rStyle w:val="AERtextitalic"/>
          <w:rFonts w:eastAsia="Calibri"/>
          <w:i w:val="0"/>
        </w:rPr>
        <w:t>March 2013,</w:t>
      </w:r>
      <w:r w:rsidRPr="00920385">
        <w:rPr>
          <w:rStyle w:val="AERtextitalic"/>
          <w:rFonts w:eastAsia="Calibri"/>
        </w:rPr>
        <w:t xml:space="preserve"> </w:t>
      </w:r>
      <w:r w:rsidRPr="00920385">
        <w:rPr>
          <w:rStyle w:val="AERtextitalic"/>
          <w:rFonts w:eastAsia="Calibri"/>
          <w:i w:val="0"/>
        </w:rPr>
        <w:t>p.10</w:t>
      </w:r>
      <w:r w:rsidRPr="00920385">
        <w:rPr>
          <w:rStyle w:val="AERtextitalic"/>
          <w:i w:val="0"/>
        </w:rPr>
        <w:t>1 and</w:t>
      </w:r>
      <w:r>
        <w:rPr>
          <w:rStyle w:val="AERtextitalic"/>
        </w:rPr>
        <w:t xml:space="preserve"> </w:t>
      </w:r>
      <w:r w:rsidRPr="00920385">
        <w:rPr>
          <w:rStyle w:val="AERtextitalic"/>
          <w:i w:val="0"/>
        </w:rPr>
        <w:t>AER:</w:t>
      </w:r>
      <w:r>
        <w:rPr>
          <w:rStyle w:val="AERtextitalic"/>
        </w:rPr>
        <w:t xml:space="preserve"> Final decision Amadeus Gas Pipeline access arrangement attachment 5 — Regulatory depreciation, </w:t>
      </w:r>
      <w:r w:rsidRPr="00920385">
        <w:rPr>
          <w:rStyle w:val="AERtextitalic"/>
          <w:i w:val="0"/>
        </w:rPr>
        <w:t>May 2016, p. 9.</w:t>
      </w:r>
    </w:p>
    <w:p w:rsidR="006E4103" w:rsidRDefault="00361E1D" w:rsidP="00E945AC">
      <w:pPr>
        <w:pStyle w:val="Heading4"/>
      </w:pPr>
      <w:bookmarkStart w:id="48" w:name="_Toc403391033"/>
      <w:bookmarkStart w:id="49" w:name="_Toc403391402"/>
      <w:bookmarkStart w:id="50" w:name="_Toc404353001"/>
      <w:bookmarkStart w:id="51" w:name="_Toc428257993"/>
      <w:bookmarkStart w:id="52" w:name="_Ref435430734"/>
      <w:bookmarkStart w:id="53" w:name="_Ref435430756"/>
      <w:bookmarkStart w:id="54" w:name="_Ref435430826"/>
      <w:bookmarkStart w:id="55" w:name="_Ref435617051"/>
      <w:bookmarkStart w:id="56" w:name="_Ref471723400"/>
      <w:r w:rsidRPr="009D5ECB">
        <w:t xml:space="preserve">Remaining </w:t>
      </w:r>
      <w:r>
        <w:t>asset</w:t>
      </w:r>
      <w:r w:rsidRPr="009D5ECB">
        <w:t xml:space="preserve"> lives</w:t>
      </w:r>
      <w:bookmarkEnd w:id="48"/>
      <w:bookmarkEnd w:id="49"/>
      <w:bookmarkEnd w:id="50"/>
      <w:bookmarkEnd w:id="51"/>
      <w:bookmarkEnd w:id="52"/>
      <w:bookmarkEnd w:id="53"/>
      <w:bookmarkEnd w:id="54"/>
      <w:bookmarkEnd w:id="55"/>
      <w:bookmarkEnd w:id="56"/>
    </w:p>
    <w:p w:rsidR="00664F6D" w:rsidRDefault="00A244B5" w:rsidP="00B23CCC">
      <w:r w:rsidRPr="006733E6">
        <w:t xml:space="preserve">We </w:t>
      </w:r>
      <w:r>
        <w:t xml:space="preserve">accept </w:t>
      </w:r>
      <w:r w:rsidR="00671AFA">
        <w:t>APTPPL</w:t>
      </w:r>
      <w:r>
        <w:t xml:space="preserve">’s proposed weighted average method to calculate </w:t>
      </w:r>
      <w:r w:rsidRPr="006733E6">
        <w:t xml:space="preserve">the remaining </w:t>
      </w:r>
      <w:r>
        <w:t xml:space="preserve">asset </w:t>
      </w:r>
      <w:r w:rsidRPr="006733E6">
        <w:t xml:space="preserve">lives </w:t>
      </w:r>
      <w:r>
        <w:t>as at 1 July 201</w:t>
      </w:r>
      <w:r w:rsidR="008817AB">
        <w:t>7</w:t>
      </w:r>
      <w:r w:rsidR="00D53BA4">
        <w:t xml:space="preserve"> for the RBP</w:t>
      </w:r>
      <w:r w:rsidRPr="006733E6">
        <w:t>.</w:t>
      </w:r>
      <w:r>
        <w:rPr>
          <w:rStyle w:val="FootnoteReference"/>
        </w:rPr>
        <w:footnoteReference w:id="33"/>
      </w:r>
      <w:r>
        <w:t xml:space="preserve"> The proposed method is consistent with our preferred approach as discussed in section </w:t>
      </w:r>
      <w:r>
        <w:fldChar w:fldCharType="begin"/>
      </w:r>
      <w:r>
        <w:instrText xml:space="preserve"> REF _Ref429991037 \r \h </w:instrText>
      </w:r>
      <w:r>
        <w:fldChar w:fldCharType="separate"/>
      </w:r>
      <w:r w:rsidR="00D627A4">
        <w:t>5.3</w:t>
      </w:r>
      <w:r>
        <w:fldChar w:fldCharType="end"/>
      </w:r>
      <w:r>
        <w:t>. In accepting the weighted average method, we have updated the proposed remaining asset lives as at 1 July 201</w:t>
      </w:r>
      <w:r w:rsidR="00DE7758">
        <w:t>7</w:t>
      </w:r>
      <w:r>
        <w:t xml:space="preserve"> because we </w:t>
      </w:r>
      <w:r w:rsidR="00D53BA4">
        <w:t>made several changes</w:t>
      </w:r>
      <w:r>
        <w:t xml:space="preserve"> </w:t>
      </w:r>
      <w:r w:rsidR="00D5749B">
        <w:t xml:space="preserve">in the proposed RFM </w:t>
      </w:r>
      <w:r w:rsidR="00F60E05">
        <w:t xml:space="preserve">which </w:t>
      </w:r>
      <w:r w:rsidR="00D75B11">
        <w:t>affect</w:t>
      </w:r>
      <w:r w:rsidR="00D5749B">
        <w:t xml:space="preserve"> </w:t>
      </w:r>
      <w:r w:rsidR="00005D72">
        <w:t xml:space="preserve">the </w:t>
      </w:r>
      <w:r w:rsidR="00D75B11">
        <w:t xml:space="preserve">calculation of the </w:t>
      </w:r>
      <w:r w:rsidR="00005D72">
        <w:t>weighted average</w:t>
      </w:r>
      <w:r>
        <w:t xml:space="preserve"> remaining a</w:t>
      </w:r>
      <w:r w:rsidR="00A64C74">
        <w:t>sset lives</w:t>
      </w:r>
      <w:r w:rsidR="00D5749B">
        <w:t xml:space="preserve">. </w:t>
      </w:r>
      <w:r w:rsidR="00EC1FF1">
        <w:t>As discussed in attachment 2, these changes are</w:t>
      </w:r>
      <w:r w:rsidR="00664F6D">
        <w:t>:</w:t>
      </w:r>
    </w:p>
    <w:p w:rsidR="00664F6D" w:rsidRDefault="00736D4B" w:rsidP="00A50D90">
      <w:pPr>
        <w:pStyle w:val="AERbulletlistfirststyle"/>
      </w:pPr>
      <w:r>
        <w:t xml:space="preserve">adding </w:t>
      </w:r>
      <w:r w:rsidR="00AB534A">
        <w:t>t</w:t>
      </w:r>
      <w:r w:rsidR="00664F6D">
        <w:t xml:space="preserve">he opening capital base </w:t>
      </w:r>
      <w:r w:rsidR="00161B6D">
        <w:t xml:space="preserve">(as-commissioned) </w:t>
      </w:r>
      <w:r w:rsidR="00664F6D">
        <w:t>as at 1 July 2011</w:t>
      </w:r>
    </w:p>
    <w:p w:rsidR="00AD3784" w:rsidRDefault="00736D4B" w:rsidP="00AD3784">
      <w:pPr>
        <w:pStyle w:val="AERbulletlistfirststyle"/>
      </w:pPr>
      <w:r>
        <w:t xml:space="preserve">reweighting </w:t>
      </w:r>
      <w:r w:rsidR="00E55548">
        <w:t>t</w:t>
      </w:r>
      <w:r w:rsidR="00AB534A">
        <w:t xml:space="preserve">he remaining asset life as at 1 </w:t>
      </w:r>
      <w:r w:rsidR="00A02D20">
        <w:t xml:space="preserve">September </w:t>
      </w:r>
      <w:r w:rsidR="00AB534A">
        <w:t>2012 for the '</w:t>
      </w:r>
      <w:r w:rsidR="0011349F">
        <w:t>P</w:t>
      </w:r>
      <w:r w:rsidR="00AB534A">
        <w:t>ipeline</w:t>
      </w:r>
      <w:r w:rsidR="0011349F">
        <w:t>s</w:t>
      </w:r>
      <w:r w:rsidR="00AB534A">
        <w:t>'</w:t>
      </w:r>
      <w:r w:rsidR="00E03B23">
        <w:t>,</w:t>
      </w:r>
      <w:r w:rsidR="00AB534A">
        <w:t xml:space="preserve"> '</w:t>
      </w:r>
      <w:r w:rsidR="0011349F">
        <w:t>C</w:t>
      </w:r>
      <w:r w:rsidR="00AB534A">
        <w:t>ompressor</w:t>
      </w:r>
      <w:r w:rsidR="0011349F">
        <w:t>s</w:t>
      </w:r>
      <w:r w:rsidR="00AB534A">
        <w:t xml:space="preserve">' </w:t>
      </w:r>
      <w:r w:rsidR="00E03B23">
        <w:t xml:space="preserve">and 'Regulators and meters' </w:t>
      </w:r>
      <w:r w:rsidR="00AB534A">
        <w:t>asset classes</w:t>
      </w:r>
      <w:r w:rsidR="00AD3784" w:rsidRPr="00AD3784">
        <w:t xml:space="preserve"> </w:t>
      </w:r>
      <w:r w:rsidR="00AD3784">
        <w:t xml:space="preserve"> due to the reallocation of the residual value of the 'RBP8' asset class to these asset classes</w:t>
      </w:r>
    </w:p>
    <w:p w:rsidR="00AB534A" w:rsidRDefault="00736D4B" w:rsidP="00A50D90">
      <w:pPr>
        <w:pStyle w:val="AERbulletlistfirststyle"/>
      </w:pPr>
      <w:r>
        <w:t xml:space="preserve">adding </w:t>
      </w:r>
      <w:r w:rsidR="00AB534A">
        <w:t>t</w:t>
      </w:r>
      <w:r w:rsidR="00B15DC3">
        <w:t xml:space="preserve">he forecast net capex </w:t>
      </w:r>
      <w:r w:rsidR="0011349F">
        <w:t xml:space="preserve">(as-commissioned) </w:t>
      </w:r>
      <w:r w:rsidR="00B15DC3">
        <w:t>and regulatory depreciation for 2011–12</w:t>
      </w:r>
    </w:p>
    <w:p w:rsidR="00D53BA4" w:rsidRDefault="00736D4B" w:rsidP="00A50D90">
      <w:pPr>
        <w:pStyle w:val="AERbulletlistfirststyle"/>
      </w:pPr>
      <w:r>
        <w:t xml:space="preserve">adding the </w:t>
      </w:r>
      <w:r w:rsidR="00B15DC3">
        <w:t>actual capex</w:t>
      </w:r>
      <w:r w:rsidR="00161B6D">
        <w:t xml:space="preserve"> (as-commissioned)</w:t>
      </w:r>
      <w:r w:rsidR="00B15DC3">
        <w:t xml:space="preserve"> for 2011–12 for the '</w:t>
      </w:r>
      <w:r w:rsidR="0011349F">
        <w:t>P</w:t>
      </w:r>
      <w:r w:rsidR="00B15DC3">
        <w:t>ipeline</w:t>
      </w:r>
      <w:r w:rsidR="0011349F">
        <w:t>s</w:t>
      </w:r>
      <w:r w:rsidR="00B15DC3">
        <w:t>' and '</w:t>
      </w:r>
      <w:r w:rsidR="0011349F">
        <w:t>C</w:t>
      </w:r>
      <w:r w:rsidR="00B15DC3">
        <w:t>ompressor</w:t>
      </w:r>
      <w:r w:rsidR="0011349F">
        <w:t>s</w:t>
      </w:r>
      <w:r w:rsidR="00B15DC3">
        <w:t>' asset classes</w:t>
      </w:r>
    </w:p>
    <w:p w:rsidR="009317EF" w:rsidRDefault="009317EF" w:rsidP="00A50D90">
      <w:pPr>
        <w:pStyle w:val="AERbulletlistfirststyle"/>
      </w:pPr>
      <w:r>
        <w:t>changing the proposed forecast depreciation for the compressors and pipelines asset classes to be consistent with the approved amount for these asset classes</w:t>
      </w:r>
    </w:p>
    <w:p w:rsidR="00B15DC3" w:rsidRDefault="00A520F2" w:rsidP="00A50D90">
      <w:pPr>
        <w:pStyle w:val="AERbulletlistfirststyle"/>
      </w:pPr>
      <w:proofErr w:type="gramStart"/>
      <w:r>
        <w:t>creating</w:t>
      </w:r>
      <w:proofErr w:type="gramEnd"/>
      <w:r>
        <w:t xml:space="preserve"> a separate asset class for depreciating the residual value of the </w:t>
      </w:r>
      <w:r w:rsidR="009317EF">
        <w:t>redundant</w:t>
      </w:r>
      <w:r>
        <w:t xml:space="preserve"> compressors</w:t>
      </w:r>
      <w:r w:rsidR="00A02D20">
        <w:t xml:space="preserve"> (section </w:t>
      </w:r>
      <w:r w:rsidR="00A02D20">
        <w:fldChar w:fldCharType="begin"/>
      </w:r>
      <w:r w:rsidR="00A02D20">
        <w:instrText xml:space="preserve"> REF _Ref468983764 \r \h </w:instrText>
      </w:r>
      <w:r w:rsidR="00A02D20">
        <w:fldChar w:fldCharType="separate"/>
      </w:r>
      <w:r w:rsidR="00D627A4">
        <w:t>5.4.2</w:t>
      </w:r>
      <w:r w:rsidR="00A02D20">
        <w:fldChar w:fldCharType="end"/>
      </w:r>
      <w:r w:rsidR="00A02D20">
        <w:t>)</w:t>
      </w:r>
      <w:r w:rsidR="009317EF">
        <w:t>.</w:t>
      </w:r>
    </w:p>
    <w:p w:rsidR="00E945AC" w:rsidRDefault="00A244B5" w:rsidP="00B23CCC">
      <w:r w:rsidRPr="00350754">
        <w:fldChar w:fldCharType="begin"/>
      </w:r>
      <w:r w:rsidRPr="00350754">
        <w:instrText xml:space="preserve"> REF _Ref398283146 \h </w:instrText>
      </w:r>
      <w:r>
        <w:instrText xml:space="preserve"> \* MERGEFORMAT </w:instrText>
      </w:r>
      <w:r w:rsidRPr="00350754">
        <w:fldChar w:fldCharType="separate"/>
      </w:r>
      <w:proofErr w:type="gramStart"/>
      <w:r w:rsidR="00D627A4" w:rsidRPr="009D5ECB">
        <w:t xml:space="preserve">Table </w:t>
      </w:r>
      <w:r w:rsidR="00D627A4">
        <w:t>5.4</w:t>
      </w:r>
      <w:r w:rsidRPr="00350754">
        <w:fldChar w:fldCharType="end"/>
      </w:r>
      <w:r>
        <w:t xml:space="preserve"> </w:t>
      </w:r>
      <w:r w:rsidR="0036075D">
        <w:t xml:space="preserve">(above) </w:t>
      </w:r>
      <w:r w:rsidRPr="00350754">
        <w:t xml:space="preserve">sets out our draft decision on the remaining </w:t>
      </w:r>
      <w:r>
        <w:t>asset</w:t>
      </w:r>
      <w:r w:rsidRPr="00350754">
        <w:t xml:space="preserve"> lives </w:t>
      </w:r>
      <w:r w:rsidRPr="00350754">
        <w:rPr>
          <w:rStyle w:val="AERbody"/>
        </w:rPr>
        <w:t xml:space="preserve">as at </w:t>
      </w:r>
      <w:r>
        <w:rPr>
          <w:rStyle w:val="AERbody"/>
        </w:rPr>
        <w:t>1 July 201</w:t>
      </w:r>
      <w:r w:rsidR="000E0E30">
        <w:rPr>
          <w:rStyle w:val="AERbody"/>
        </w:rPr>
        <w:t>7</w:t>
      </w:r>
      <w:r w:rsidRPr="00350754">
        <w:rPr>
          <w:rStyle w:val="AERbody"/>
        </w:rPr>
        <w:t xml:space="preserve"> for </w:t>
      </w:r>
      <w:r w:rsidR="00F35D5D">
        <w:t>APTPPL</w:t>
      </w:r>
      <w:r w:rsidRPr="00350754">
        <w:t>.</w:t>
      </w:r>
      <w:proofErr w:type="gramEnd"/>
    </w:p>
    <w:p w:rsidR="00FB36BA" w:rsidRDefault="00FB36BA" w:rsidP="00FB36BA">
      <w:pPr>
        <w:pStyle w:val="Heading2"/>
      </w:pPr>
      <w:bookmarkStart w:id="57" w:name="_Toc486846802"/>
      <w:r>
        <w:t>Revisions</w:t>
      </w:r>
      <w:bookmarkEnd w:id="57"/>
    </w:p>
    <w:p w:rsidR="00361E1D" w:rsidRPr="00CF5ECE" w:rsidRDefault="00361E1D" w:rsidP="00361E1D">
      <w:r>
        <w:t>We require</w:t>
      </w:r>
      <w:r w:rsidRPr="00CF5ECE">
        <w:t xml:space="preserve"> the following revisions to make the access arrangement proposal acceptable:</w:t>
      </w:r>
    </w:p>
    <w:p w:rsidR="00361E1D" w:rsidRPr="00361E1D" w:rsidRDefault="00361E1D" w:rsidP="00361E1D">
      <w:pPr>
        <w:pStyle w:val="AERrevisionbox"/>
      </w:pPr>
      <w:r w:rsidRPr="00361E1D">
        <w:rPr>
          <w:rStyle w:val="Strong"/>
          <w:b w:val="0"/>
          <w:bCs w:val="0"/>
        </w:rPr>
        <w:t>Revision 5.1</w:t>
      </w:r>
      <w:r w:rsidRPr="00361E1D">
        <w:t xml:space="preserve"> Make all necessary amendments to reflect this draft decision on the regulatory depreciation allowance for the 201</w:t>
      </w:r>
      <w:r w:rsidR="004F2C36">
        <w:t>7–22</w:t>
      </w:r>
      <w:r w:rsidRPr="00361E1D">
        <w:t xml:space="preserve"> access arrangement period, as set out in </w:t>
      </w:r>
      <w:r w:rsidR="0036075D">
        <w:fldChar w:fldCharType="begin"/>
      </w:r>
      <w:r w:rsidR="0036075D">
        <w:instrText xml:space="preserve"> REF _Ref398282397 \h </w:instrText>
      </w:r>
      <w:r w:rsidR="0036075D">
        <w:fldChar w:fldCharType="separate"/>
      </w:r>
      <w:r w:rsidR="00D627A4" w:rsidRPr="001D3081">
        <w:t xml:space="preserve">Table </w:t>
      </w:r>
      <w:r w:rsidR="00D627A4">
        <w:rPr>
          <w:noProof/>
        </w:rPr>
        <w:t>5</w:t>
      </w:r>
      <w:r w:rsidR="00D627A4">
        <w:t>.</w:t>
      </w:r>
      <w:r w:rsidR="00D627A4">
        <w:rPr>
          <w:noProof/>
        </w:rPr>
        <w:t>1</w:t>
      </w:r>
      <w:r w:rsidR="0036075D">
        <w:fldChar w:fldCharType="end"/>
      </w:r>
      <w:r w:rsidRPr="00361E1D">
        <w:t>.</w:t>
      </w:r>
    </w:p>
    <w:p w:rsidR="00361E1D" w:rsidRPr="00361E1D" w:rsidRDefault="00361E1D" w:rsidP="00361E1D">
      <w:pPr>
        <w:pStyle w:val="AERrevisionbox"/>
      </w:pPr>
      <w:r w:rsidRPr="00361E1D">
        <w:rPr>
          <w:rStyle w:val="Strong"/>
          <w:b w:val="0"/>
          <w:bCs w:val="0"/>
        </w:rPr>
        <w:t>Revision 5.2</w:t>
      </w:r>
      <w:r w:rsidRPr="00361E1D">
        <w:rPr>
          <w:rStyle w:val="Strong"/>
          <w:b w:val="0"/>
          <w:bCs w:val="0"/>
        </w:rPr>
        <w:tab/>
      </w:r>
      <w:r w:rsidRPr="00361E1D">
        <w:t>Make all</w:t>
      </w:r>
      <w:r w:rsidRPr="00361E1D">
        <w:rPr>
          <w:rStyle w:val="Strong"/>
          <w:b w:val="0"/>
          <w:bCs w:val="0"/>
        </w:rPr>
        <w:t xml:space="preserve"> </w:t>
      </w:r>
      <w:r w:rsidRPr="00361E1D">
        <w:t>necessary amendments to reflect this draft decision on the remaining asset lives as at 1 July 201</w:t>
      </w:r>
      <w:r w:rsidR="00DF5F76">
        <w:t>7</w:t>
      </w:r>
      <w:r w:rsidRPr="00361E1D">
        <w:t xml:space="preserve">, as set out in </w:t>
      </w:r>
      <w:r w:rsidRPr="00361E1D">
        <w:fldChar w:fldCharType="begin"/>
      </w:r>
      <w:r w:rsidRPr="00361E1D">
        <w:instrText xml:space="preserve"> REF _Ref398283146 \h  \* MERGEFORMAT </w:instrText>
      </w:r>
      <w:r w:rsidRPr="00361E1D">
        <w:fldChar w:fldCharType="separate"/>
      </w:r>
      <w:r w:rsidR="00D627A4" w:rsidRPr="009D5ECB">
        <w:t xml:space="preserve">Table </w:t>
      </w:r>
      <w:r w:rsidR="00D627A4">
        <w:t>5.4</w:t>
      </w:r>
      <w:r w:rsidRPr="00361E1D">
        <w:fldChar w:fldCharType="end"/>
      </w:r>
      <w:r w:rsidR="0011349F">
        <w:t>.</w:t>
      </w:r>
    </w:p>
    <w:sectPr w:rsidR="00361E1D" w:rsidRPr="00361E1D"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FC1" w:rsidRPr="00290C63" w:rsidRDefault="00010FC1" w:rsidP="00290C63">
      <w:r>
        <w:separator/>
      </w:r>
    </w:p>
    <w:p w:rsidR="00010FC1" w:rsidRDefault="00010FC1"/>
  </w:endnote>
  <w:endnote w:type="continuationSeparator" w:id="0">
    <w:p w:rsidR="00010FC1" w:rsidRPr="00290C63" w:rsidRDefault="00010FC1" w:rsidP="00290C63">
      <w:r>
        <w:continuationSeparator/>
      </w:r>
    </w:p>
    <w:p w:rsidR="00010FC1" w:rsidRDefault="00010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C1" w:rsidRDefault="00010FC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010FC1" w:rsidRDefault="00010FC1">
    <w:pPr>
      <w:pStyle w:val="Footer"/>
    </w:pPr>
  </w:p>
  <w:p w:rsidR="00010FC1" w:rsidRDefault="00010FC1">
    <w:pPr>
      <w:pStyle w:val="Footer"/>
    </w:pPr>
    <w:r>
      <w:fldChar w:fldCharType="begin"/>
    </w:r>
    <w:r>
      <w:instrText xml:space="preserve"> DOCPROPERTY DocumentID \* MERGEFORMAT </w:instrText>
    </w:r>
    <w:r>
      <w:fldChar w:fldCharType="separate"/>
    </w:r>
    <w:r w:rsidR="00D627A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010FC1" w:rsidRPr="00CA52A2" w:rsidRDefault="00010FC1" w:rsidP="00CA52A2">
        <w:pPr>
          <w:pStyle w:val="Footer"/>
        </w:pPr>
        <w:r w:rsidRPr="00CA52A2">
          <w:fldChar w:fldCharType="begin"/>
        </w:r>
        <w:r>
          <w:instrText xml:space="preserve"> PAGE   \* MERGEFORMAT </w:instrText>
        </w:r>
        <w:r w:rsidRPr="00CA52A2">
          <w:fldChar w:fldCharType="separate"/>
        </w:r>
        <w:r w:rsidR="00D627A4">
          <w:rPr>
            <w:noProof/>
          </w:rPr>
          <w:t>5-17</w:t>
        </w:r>
        <w:r w:rsidRPr="00CA52A2">
          <w:fldChar w:fldCharType="end"/>
        </w:r>
        <w:r w:rsidRPr="00CA52A2">
          <w:t xml:space="preserve">          Attachment </w:t>
        </w:r>
        <w:r>
          <w:t xml:space="preserve">5 </w:t>
        </w:r>
        <w:r w:rsidRPr="00CA52A2">
          <w:t xml:space="preserve">– </w:t>
        </w:r>
        <w:r>
          <w:t xml:space="preserve">Regulatory depreciation </w:t>
        </w:r>
        <w:r w:rsidRPr="00CA52A2">
          <w:t xml:space="preserve">| </w:t>
        </w:r>
        <w:r>
          <w:t>Draft decision: Roma to Brisbane Gas Pipeline Access Arrangement 2017</w:t>
        </w:r>
        <w:r w:rsidRPr="00CA52A2">
          <w:t>–</w:t>
        </w:r>
        <w:r>
          <w:t>22</w:t>
        </w:r>
      </w:p>
    </w:sdtContent>
  </w:sdt>
  <w:p w:rsidR="00010FC1" w:rsidRDefault="00010FC1">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FC1" w:rsidRPr="00290C63" w:rsidRDefault="00010FC1" w:rsidP="00290C63">
      <w:r>
        <w:separator/>
      </w:r>
    </w:p>
    <w:p w:rsidR="00010FC1" w:rsidRDefault="00010FC1"/>
  </w:footnote>
  <w:footnote w:type="continuationSeparator" w:id="0">
    <w:p w:rsidR="00010FC1" w:rsidRPr="00290C63" w:rsidRDefault="00010FC1" w:rsidP="00290C63">
      <w:r>
        <w:continuationSeparator/>
      </w:r>
    </w:p>
    <w:p w:rsidR="00010FC1" w:rsidRDefault="00010FC1"/>
  </w:footnote>
  <w:footnote w:id="1">
    <w:p w:rsidR="00010FC1" w:rsidRDefault="00010FC1" w:rsidP="005C6C7E">
      <w:pPr>
        <w:pStyle w:val="FootnoteText"/>
      </w:pPr>
      <w:r>
        <w:rPr>
          <w:rStyle w:val="FootnoteReference"/>
        </w:rPr>
        <w:footnoteRef/>
      </w:r>
      <w:r>
        <w:t xml:space="preserve"> </w:t>
      </w:r>
      <w:r>
        <w:tab/>
        <w:t>NGR, r. 76(b).</w:t>
      </w:r>
    </w:p>
  </w:footnote>
  <w:footnote w:id="2">
    <w:p w:rsidR="00010FC1" w:rsidRDefault="00010FC1" w:rsidP="005C6C7E">
      <w:pPr>
        <w:pStyle w:val="FootnoteText"/>
      </w:pPr>
      <w:r>
        <w:rPr>
          <w:rStyle w:val="FootnoteReference"/>
        </w:rPr>
        <w:footnoteRef/>
      </w:r>
      <w:r>
        <w:t xml:space="preserve"> </w:t>
      </w:r>
      <w:r>
        <w:tab/>
        <w:t>Regulatory depreciation allowance is the net total</w:t>
      </w:r>
      <w:r w:rsidRPr="003A447F">
        <w:t xml:space="preserve"> of the straight-line depreciation (negative) and the annual inflation indexation (positive) on the projected capital base</w:t>
      </w:r>
      <w:r>
        <w:t>.</w:t>
      </w:r>
    </w:p>
  </w:footnote>
  <w:footnote w:id="3">
    <w:p w:rsidR="00010FC1" w:rsidRDefault="00010FC1" w:rsidP="005C6C7E">
      <w:pPr>
        <w:pStyle w:val="FootnoteText"/>
      </w:pPr>
      <w:r>
        <w:rPr>
          <w:rStyle w:val="FootnoteReference"/>
        </w:rPr>
        <w:footnoteRef/>
      </w:r>
      <w:r>
        <w:t xml:space="preserve"> </w:t>
      </w:r>
      <w:r>
        <w:tab/>
        <w:t>The term ‘standard asset life’ may also be referred to as ‘</w:t>
      </w:r>
      <w:r w:rsidRPr="003B3083">
        <w:t xml:space="preserve">standard </w:t>
      </w:r>
      <w:r>
        <w:t xml:space="preserve">economic </w:t>
      </w:r>
      <w:r w:rsidRPr="003B3083">
        <w:t>life</w:t>
      </w:r>
      <w:r>
        <w:t>’, ‘asset life’, ‘economic asset life’ or ‘economic life’.</w:t>
      </w:r>
    </w:p>
  </w:footnote>
  <w:footnote w:id="4">
    <w:p w:rsidR="00010FC1" w:rsidRDefault="00010FC1" w:rsidP="005C6C7E">
      <w:pPr>
        <w:pStyle w:val="FootnoteText"/>
      </w:pPr>
      <w:r>
        <w:rPr>
          <w:rStyle w:val="FootnoteReference"/>
        </w:rPr>
        <w:footnoteRef/>
      </w:r>
      <w:r>
        <w:t xml:space="preserve"> </w:t>
      </w:r>
      <w:r>
        <w:tab/>
        <w:t xml:space="preserve">The term ‘remaining asset life’ may also be referred to as ‘remaining economic life’ or ‘remaining life’. </w:t>
      </w:r>
    </w:p>
  </w:footnote>
  <w:footnote w:id="5">
    <w:p w:rsidR="00010FC1" w:rsidRPr="009A55A7" w:rsidRDefault="00010FC1" w:rsidP="0019286D">
      <w:pPr>
        <w:pStyle w:val="FootnoteText"/>
        <w:rPr>
          <w:rFonts w:eastAsia="Calibri"/>
        </w:rPr>
      </w:pPr>
      <w:r>
        <w:rPr>
          <w:rStyle w:val="FootnoteReference"/>
        </w:rPr>
        <w:footnoteRef/>
      </w:r>
      <w:r>
        <w:t xml:space="preserve"> </w:t>
      </w:r>
      <w:r>
        <w:tab/>
        <w:t>For example,</w:t>
      </w:r>
      <w:r>
        <w:rPr>
          <w:rStyle w:val="AERtextitalic"/>
          <w:rFonts w:eastAsia="Calibri"/>
        </w:rPr>
        <w:t xml:space="preserve"> AER: Access arrangement final decision APA GasNet Australia (Operations) Pty Ltd 2013–17 Part 2: Attachments, </w:t>
      </w:r>
      <w:r w:rsidRPr="003926B2">
        <w:rPr>
          <w:rStyle w:val="AERtextitalic"/>
          <w:rFonts w:eastAsia="Calibri"/>
          <w:i w:val="0"/>
        </w:rPr>
        <w:t>March 2013</w:t>
      </w:r>
      <w:r>
        <w:rPr>
          <w:rStyle w:val="AERtextitalic"/>
          <w:rFonts w:eastAsia="Calibri"/>
          <w:i w:val="0"/>
        </w:rPr>
        <w:t>, p. 149</w:t>
      </w:r>
      <w:r>
        <w:rPr>
          <w:rStyle w:val="AERtextitalic"/>
        </w:rPr>
        <w:t xml:space="preserve">; </w:t>
      </w:r>
      <w:r w:rsidRPr="0019286D">
        <w:rPr>
          <w:rStyle w:val="AERtextitalic"/>
          <w:i w:val="0"/>
        </w:rPr>
        <w:t>AER:</w:t>
      </w:r>
      <w:r w:rsidRPr="0094226D">
        <w:rPr>
          <w:rStyle w:val="AERtextitalic"/>
        </w:rPr>
        <w:t xml:space="preserve"> Final decision Amadeus Gas Pipeline access arrangement attachment 5 — Regulatory depreciation, </w:t>
      </w:r>
      <w:r w:rsidRPr="0094226D">
        <w:rPr>
          <w:rStyle w:val="AERtextitalic"/>
          <w:i w:val="0"/>
        </w:rPr>
        <w:t>May 2016, p. 9.</w:t>
      </w:r>
    </w:p>
  </w:footnote>
  <w:footnote w:id="6">
    <w:p w:rsidR="00010FC1" w:rsidRDefault="00010FC1" w:rsidP="0055654B">
      <w:pPr>
        <w:pStyle w:val="FootnoteText"/>
      </w:pPr>
      <w:r>
        <w:rPr>
          <w:rStyle w:val="FootnoteReference"/>
        </w:rPr>
        <w:footnoteRef/>
      </w:r>
      <w:r>
        <w:t xml:space="preserve">      </w:t>
      </w:r>
      <w:r w:rsidRPr="009E1948">
        <w:rPr>
          <w:rFonts w:eastAsia="Calibri"/>
        </w:rPr>
        <w:t>We note that the capex determined in this draft decision for 201</w:t>
      </w:r>
      <w:r>
        <w:rPr>
          <w:rFonts w:eastAsia="Calibri"/>
        </w:rPr>
        <w:t>5</w:t>
      </w:r>
      <w:r w:rsidRPr="009E1948">
        <w:rPr>
          <w:rFonts w:eastAsia="Calibri"/>
        </w:rPr>
        <w:t>–1</w:t>
      </w:r>
      <w:r>
        <w:rPr>
          <w:rFonts w:eastAsia="Calibri"/>
        </w:rPr>
        <w:t>6</w:t>
      </w:r>
      <w:r>
        <w:t xml:space="preserve"> and 2016–17</w:t>
      </w:r>
      <w:r w:rsidRPr="009E1948">
        <w:rPr>
          <w:rFonts w:eastAsia="Calibri"/>
        </w:rPr>
        <w:t xml:space="preserve"> are estimates. As part of the final decision, we expect the estimate of capex for 201</w:t>
      </w:r>
      <w:r>
        <w:rPr>
          <w:rFonts w:eastAsia="Calibri"/>
        </w:rPr>
        <w:t>5</w:t>
      </w:r>
      <w:r w:rsidRPr="009E1948">
        <w:rPr>
          <w:rFonts w:eastAsia="Calibri"/>
        </w:rPr>
        <w:t>–1</w:t>
      </w:r>
      <w:r>
        <w:rPr>
          <w:rFonts w:eastAsia="Calibri"/>
        </w:rPr>
        <w:t>6</w:t>
      </w:r>
      <w:r w:rsidRPr="009E1948">
        <w:rPr>
          <w:rFonts w:eastAsia="Calibri"/>
        </w:rPr>
        <w:t xml:space="preserve"> to be </w:t>
      </w:r>
      <w:r>
        <w:t xml:space="preserve">replaced by actuals and the estimate of capex for 2016–17 may be </w:t>
      </w:r>
      <w:r w:rsidRPr="009E1948">
        <w:rPr>
          <w:rFonts w:eastAsia="Calibri"/>
        </w:rPr>
        <w:t xml:space="preserve">revised based on more up to date information </w:t>
      </w:r>
      <w:r>
        <w:t>by</w:t>
      </w:r>
      <w:r w:rsidRPr="009E1948">
        <w:rPr>
          <w:rFonts w:eastAsia="Calibri"/>
        </w:rPr>
        <w:t xml:space="preserve"> </w:t>
      </w:r>
      <w:r>
        <w:t>RBP</w:t>
      </w:r>
      <w:r>
        <w:rPr>
          <w:rFonts w:eastAsia="Calibri"/>
        </w:rPr>
        <w:t xml:space="preserve"> </w:t>
      </w:r>
      <w:r w:rsidRPr="009E1948">
        <w:rPr>
          <w:rFonts w:eastAsia="Calibri"/>
        </w:rPr>
        <w:t>in its revised proposal.</w:t>
      </w:r>
      <w:r w:rsidRPr="00EF647F">
        <w:rPr>
          <w:rFonts w:eastAsia="Calibri"/>
        </w:rPr>
        <w:t xml:space="preserve"> The capex </w:t>
      </w:r>
      <w:r>
        <w:t>values</w:t>
      </w:r>
      <w:r w:rsidRPr="00EF647F">
        <w:rPr>
          <w:rFonts w:eastAsia="Calibri"/>
        </w:rPr>
        <w:t xml:space="preserve"> are used to calculate the weighted average remaining asset lives. Therefore, </w:t>
      </w:r>
      <w:r>
        <w:rPr>
          <w:rFonts w:eastAsia="Calibri"/>
        </w:rPr>
        <w:t>we</w:t>
      </w:r>
      <w:r w:rsidRPr="00EF647F">
        <w:rPr>
          <w:rFonts w:eastAsia="Calibri"/>
        </w:rPr>
        <w:t xml:space="preserve"> </w:t>
      </w:r>
      <w:r>
        <w:rPr>
          <w:rFonts w:eastAsia="Calibri"/>
        </w:rPr>
        <w:t>may</w:t>
      </w:r>
      <w:r w:rsidRPr="00EF647F">
        <w:rPr>
          <w:rFonts w:eastAsia="Calibri"/>
        </w:rPr>
        <w:t xml:space="preserve"> recalculate </w:t>
      </w:r>
      <w:r>
        <w:t>RBP</w:t>
      </w:r>
      <w:r>
        <w:rPr>
          <w:rFonts w:eastAsia="Calibri"/>
        </w:rPr>
        <w:t xml:space="preserve">’s remaining </w:t>
      </w:r>
      <w:r w:rsidRPr="00EF647F">
        <w:rPr>
          <w:rFonts w:eastAsia="Calibri"/>
        </w:rPr>
        <w:t>asset lives using the method approved in this draft decision to</w:t>
      </w:r>
      <w:r w:rsidRPr="008914BF">
        <w:t xml:space="preserve"> reflect </w:t>
      </w:r>
      <w:r>
        <w:t>revisions to the 2015–16</w:t>
      </w:r>
      <w:r w:rsidRPr="008914BF">
        <w:t xml:space="preserve"> </w:t>
      </w:r>
      <w:r>
        <w:t xml:space="preserve">and 2016–17 </w:t>
      </w:r>
      <w:r w:rsidRPr="008914BF">
        <w:t>capex</w:t>
      </w:r>
      <w:r>
        <w:t xml:space="preserve"> values</w:t>
      </w:r>
      <w:r w:rsidRPr="008914BF">
        <w:t xml:space="preserve"> for the final decision.</w:t>
      </w:r>
    </w:p>
  </w:footnote>
  <w:footnote w:id="7">
    <w:p w:rsidR="00010FC1" w:rsidRDefault="00010FC1" w:rsidP="006E4103">
      <w:pPr>
        <w:pStyle w:val="FootnoteText"/>
      </w:pPr>
      <w:r>
        <w:rPr>
          <w:rStyle w:val="FootnoteReference"/>
        </w:rPr>
        <w:footnoteRef/>
      </w:r>
      <w:r>
        <w:t xml:space="preserve"> </w:t>
      </w:r>
      <w:r>
        <w:tab/>
        <w:t xml:space="preserve">NGR, r. 72(1)(c)(ii). </w:t>
      </w:r>
    </w:p>
  </w:footnote>
  <w:footnote w:id="8">
    <w:p w:rsidR="00010FC1" w:rsidRDefault="00010FC1" w:rsidP="006E4103">
      <w:pPr>
        <w:pStyle w:val="FootnoteText"/>
      </w:pPr>
      <w:r>
        <w:rPr>
          <w:rStyle w:val="FootnoteReference"/>
        </w:rPr>
        <w:footnoteRef/>
      </w:r>
      <w:r>
        <w:t xml:space="preserve"> </w:t>
      </w:r>
      <w:r>
        <w:tab/>
      </w:r>
      <w:r w:rsidRPr="00CE74A3">
        <w:rPr>
          <w:rFonts w:eastAsia="Calibri"/>
        </w:rPr>
        <w:t>NGR, rr. 88(1)</w:t>
      </w:r>
      <w:r>
        <w:rPr>
          <w:rFonts w:eastAsia="Calibri"/>
        </w:rPr>
        <w:t>,</w:t>
      </w:r>
      <w:r w:rsidRPr="00CE74A3">
        <w:rPr>
          <w:rFonts w:eastAsia="Calibri"/>
        </w:rPr>
        <w:t xml:space="preserve"> 88(2).</w:t>
      </w:r>
    </w:p>
  </w:footnote>
  <w:footnote w:id="9">
    <w:p w:rsidR="00010FC1" w:rsidRDefault="00010FC1" w:rsidP="006E4103">
      <w:pPr>
        <w:pStyle w:val="FootnoteText"/>
      </w:pPr>
      <w:r>
        <w:rPr>
          <w:rStyle w:val="FootnoteReference"/>
        </w:rPr>
        <w:footnoteRef/>
      </w:r>
      <w:r>
        <w:t xml:space="preserve"> </w:t>
      </w:r>
      <w:r>
        <w:tab/>
        <w:t>NGR, r. 89.</w:t>
      </w:r>
    </w:p>
  </w:footnote>
  <w:footnote w:id="10">
    <w:p w:rsidR="00010FC1" w:rsidRDefault="00010FC1" w:rsidP="006E4103">
      <w:pPr>
        <w:pStyle w:val="FootnoteText"/>
      </w:pPr>
      <w:r>
        <w:rPr>
          <w:rStyle w:val="FootnoteReference"/>
        </w:rPr>
        <w:footnoteRef/>
      </w:r>
      <w:r>
        <w:t xml:space="preserve"> </w:t>
      </w:r>
      <w:r>
        <w:tab/>
        <w:t>NGL, s</w:t>
      </w:r>
      <w:r w:rsidRPr="006127F2">
        <w:rPr>
          <w:rFonts w:eastAsia="Calibri"/>
        </w:rPr>
        <w:t xml:space="preserve"> 28; NGR r. 100(1). The NGO is set out in NGL, s. 23. The revenue and pricing principles are set out in NGL, s.</w:t>
      </w:r>
      <w:r>
        <w:rPr>
          <w:rFonts w:eastAsia="Calibri"/>
        </w:rPr>
        <w:t> </w:t>
      </w:r>
      <w:r w:rsidRPr="006127F2">
        <w:rPr>
          <w:rFonts w:eastAsia="Calibri"/>
        </w:rPr>
        <w:t>24.</w:t>
      </w:r>
    </w:p>
  </w:footnote>
  <w:footnote w:id="11">
    <w:p w:rsidR="00010FC1" w:rsidRDefault="00010FC1" w:rsidP="006E4103">
      <w:pPr>
        <w:pStyle w:val="FootnoteText"/>
      </w:pPr>
      <w:r>
        <w:rPr>
          <w:rStyle w:val="FootnoteReference"/>
        </w:rPr>
        <w:footnoteRef/>
      </w:r>
      <w:r>
        <w:t xml:space="preserve"> </w:t>
      </w:r>
      <w:r>
        <w:tab/>
      </w:r>
      <w:r w:rsidRPr="001E0177">
        <w:t xml:space="preserve">NGR, </w:t>
      </w:r>
      <w:r>
        <w:t>rr.</w:t>
      </w:r>
      <w:r w:rsidRPr="001E0177">
        <w:t xml:space="preserve"> 89(3) and 40(2). </w:t>
      </w:r>
      <w:r>
        <w:t xml:space="preserve">The example provided in r. 40(2) states: </w:t>
      </w:r>
      <w:r w:rsidRPr="001E0177">
        <w:t>The AER has limited discretion under r</w:t>
      </w:r>
      <w:r>
        <w:t>.</w:t>
      </w:r>
      <w:r w:rsidRPr="001E0177">
        <w:t xml:space="preserve"> 89. </w:t>
      </w:r>
      <w:r>
        <w:t>R</w:t>
      </w:r>
      <w:r w:rsidRPr="001E0177">
        <w:t>ule</w:t>
      </w:r>
      <w:r>
        <w:t xml:space="preserve"> 89</w:t>
      </w:r>
      <w:r w:rsidRPr="001E0177">
        <w:t xml:space="preserve"> governs the design of a depreciation schedule. In dealing with a full access arrangement submitted for its approval, the AER cannot, in its draft decision, insist on change to an aspect of a depreciation schedule governed by r</w:t>
      </w:r>
      <w:r>
        <w:t>.</w:t>
      </w:r>
      <w:r w:rsidRPr="001E0177">
        <w:t xml:space="preserve"> 89 unless the AER considers </w:t>
      </w:r>
      <w:r>
        <w:t xml:space="preserve">the </w:t>
      </w:r>
      <w:r w:rsidRPr="001E0177">
        <w:t>change</w:t>
      </w:r>
      <w:r>
        <w:t xml:space="preserve"> is</w:t>
      </w:r>
      <w:r w:rsidRPr="001E0177">
        <w:t xml:space="preserve"> necessary to correct non-compliance with a provision of the Law or an inconsistency between the </w:t>
      </w:r>
      <w:r>
        <w:t xml:space="preserve">depreciation </w:t>
      </w:r>
      <w:r w:rsidRPr="001E0177">
        <w:t>schedule and the applicable criteria. Even though the AER might consider change desirable to achieve more complete conformity between the</w:t>
      </w:r>
      <w:r>
        <w:t xml:space="preserve"> depreciation</w:t>
      </w:r>
      <w:r w:rsidRPr="001E0177">
        <w:t xml:space="preserve"> schedule and the principles and objectives of the Law, it would not be entitled to give effect to that view in the decision making process</w:t>
      </w:r>
      <w:r>
        <w:t xml:space="preserve">. </w:t>
      </w:r>
    </w:p>
  </w:footnote>
  <w:footnote w:id="12">
    <w:p w:rsidR="00010FC1" w:rsidRDefault="00010FC1" w:rsidP="006E4103">
      <w:pPr>
        <w:pStyle w:val="FootnoteText"/>
      </w:pPr>
      <w:r>
        <w:rPr>
          <w:rStyle w:val="FootnoteReference"/>
        </w:rPr>
        <w:footnoteRef/>
      </w:r>
      <w:r>
        <w:t xml:space="preserve"> </w:t>
      </w:r>
      <w:r>
        <w:tab/>
        <w:t>NGR, r. 89(1)(a).</w:t>
      </w:r>
    </w:p>
  </w:footnote>
  <w:footnote w:id="13">
    <w:p w:rsidR="00010FC1" w:rsidRDefault="00010FC1" w:rsidP="006E4103">
      <w:pPr>
        <w:pStyle w:val="FootnoteText"/>
      </w:pPr>
      <w:r>
        <w:rPr>
          <w:rStyle w:val="FootnoteReference"/>
        </w:rPr>
        <w:footnoteRef/>
      </w:r>
      <w:r>
        <w:t xml:space="preserve"> </w:t>
      </w:r>
      <w:r>
        <w:tab/>
        <w:t>NGR, r. 89(1)(b).</w:t>
      </w:r>
    </w:p>
  </w:footnote>
  <w:footnote w:id="14">
    <w:p w:rsidR="00010FC1" w:rsidRDefault="00010FC1" w:rsidP="006E4103">
      <w:pPr>
        <w:pStyle w:val="FootnoteText"/>
      </w:pPr>
      <w:r>
        <w:rPr>
          <w:rStyle w:val="FootnoteReference"/>
        </w:rPr>
        <w:footnoteRef/>
      </w:r>
      <w:r>
        <w:t xml:space="preserve"> </w:t>
      </w:r>
      <w:r>
        <w:tab/>
        <w:t>NGR, r. 89(1)(c).</w:t>
      </w:r>
    </w:p>
  </w:footnote>
  <w:footnote w:id="15">
    <w:p w:rsidR="00010FC1" w:rsidRDefault="00010FC1" w:rsidP="006E4103">
      <w:pPr>
        <w:pStyle w:val="FootnoteText"/>
      </w:pPr>
      <w:r>
        <w:rPr>
          <w:rStyle w:val="FootnoteReference"/>
        </w:rPr>
        <w:footnoteRef/>
      </w:r>
      <w:r>
        <w:t xml:space="preserve"> </w:t>
      </w:r>
      <w:r>
        <w:tab/>
        <w:t>NGR, r. 89(1)(d).</w:t>
      </w:r>
    </w:p>
  </w:footnote>
  <w:footnote w:id="16">
    <w:p w:rsidR="00010FC1" w:rsidRDefault="00010FC1" w:rsidP="006E4103">
      <w:pPr>
        <w:pStyle w:val="FootnoteText"/>
      </w:pPr>
      <w:r>
        <w:rPr>
          <w:rStyle w:val="FootnoteReference"/>
        </w:rPr>
        <w:footnoteRef/>
      </w:r>
      <w:r>
        <w:t xml:space="preserve"> </w:t>
      </w:r>
      <w:r>
        <w:tab/>
        <w:t>NGR, r. 89(1)(e).</w:t>
      </w:r>
    </w:p>
  </w:footnote>
  <w:footnote w:id="17">
    <w:p w:rsidR="00010FC1" w:rsidRDefault="00010FC1" w:rsidP="006E4103">
      <w:pPr>
        <w:pStyle w:val="FootnoteText"/>
      </w:pPr>
      <w:r>
        <w:rPr>
          <w:rStyle w:val="FootnoteReference"/>
        </w:rPr>
        <w:footnoteRef/>
      </w:r>
      <w:r>
        <w:t xml:space="preserve"> </w:t>
      </w:r>
      <w:r>
        <w:tab/>
        <w:t xml:space="preserve">NGR, r. 89(2). </w:t>
      </w:r>
    </w:p>
  </w:footnote>
  <w:footnote w:id="18">
    <w:p w:rsidR="00010FC1" w:rsidRDefault="00010FC1" w:rsidP="007C43D3">
      <w:pPr>
        <w:pStyle w:val="FootnoteText"/>
      </w:pPr>
      <w:r>
        <w:rPr>
          <w:rStyle w:val="FootnoteReference"/>
        </w:rPr>
        <w:footnoteRef/>
      </w:r>
      <w:r>
        <w:t xml:space="preserve"> </w:t>
      </w:r>
      <w:r>
        <w:tab/>
        <w:t>NGR, r. 74(2).</w:t>
      </w:r>
    </w:p>
  </w:footnote>
  <w:footnote w:id="19">
    <w:p w:rsidR="00010FC1" w:rsidRDefault="00010FC1" w:rsidP="006E4103">
      <w:pPr>
        <w:pStyle w:val="FootnoteText"/>
      </w:pPr>
      <w:r>
        <w:rPr>
          <w:rStyle w:val="FootnoteReference"/>
        </w:rPr>
        <w:footnoteRef/>
      </w:r>
      <w:r>
        <w:t xml:space="preserve"> </w:t>
      </w:r>
      <w:r>
        <w:tab/>
        <w:t>NGR, r. 89.</w:t>
      </w:r>
    </w:p>
  </w:footnote>
  <w:footnote w:id="20">
    <w:p w:rsidR="00010FC1" w:rsidRDefault="00010FC1" w:rsidP="006E4103">
      <w:pPr>
        <w:pStyle w:val="FootnoteText"/>
      </w:pPr>
      <w:r>
        <w:rPr>
          <w:rStyle w:val="FootnoteReference"/>
        </w:rPr>
        <w:footnoteRef/>
      </w:r>
      <w:r>
        <w:t xml:space="preserve"> </w:t>
      </w:r>
      <w:r>
        <w:tab/>
        <w:t>NGR, r. 89(1)(a).</w:t>
      </w:r>
    </w:p>
  </w:footnote>
  <w:footnote w:id="21">
    <w:p w:rsidR="00010FC1" w:rsidRDefault="00010FC1" w:rsidP="006E4103">
      <w:pPr>
        <w:pStyle w:val="FootnoteText"/>
      </w:pPr>
      <w:r>
        <w:rPr>
          <w:rStyle w:val="FootnoteReference"/>
        </w:rPr>
        <w:footnoteRef/>
      </w:r>
      <w:r>
        <w:t xml:space="preserve"> </w:t>
      </w:r>
      <w:r>
        <w:tab/>
      </w:r>
      <w:r w:rsidRPr="00B406D4">
        <w:t xml:space="preserve">We consider this depreciation method to be a generally superior approach. The reasons are outlined in our decision on the roll forward model for electricity transmission network service providers. See AER, </w:t>
      </w:r>
      <w:r w:rsidRPr="008948ED">
        <w:rPr>
          <w:rStyle w:val="AERtextitalic"/>
        </w:rPr>
        <w:t xml:space="preserve">Explanatory statement, </w:t>
      </w:r>
      <w:r>
        <w:rPr>
          <w:rStyle w:val="AERtextitalic"/>
        </w:rPr>
        <w:t>P</w:t>
      </w:r>
      <w:r w:rsidRPr="008948ED">
        <w:rPr>
          <w:rStyle w:val="AERtextitalic"/>
        </w:rPr>
        <w:t>roposed amendment, Electricity transmission network service providers, Roll forward model</w:t>
      </w:r>
      <w:r w:rsidRPr="00B406D4">
        <w:t>, August 2010, pp. 5–6.</w:t>
      </w:r>
    </w:p>
  </w:footnote>
  <w:footnote w:id="22">
    <w:p w:rsidR="00010FC1" w:rsidRDefault="00010FC1" w:rsidP="006E4103">
      <w:pPr>
        <w:pStyle w:val="FootnoteText"/>
      </w:pPr>
      <w:r>
        <w:rPr>
          <w:rStyle w:val="FootnoteReference"/>
        </w:rPr>
        <w:footnoteRef/>
      </w:r>
      <w:r>
        <w:t xml:space="preserve"> </w:t>
      </w:r>
      <w:r>
        <w:tab/>
      </w:r>
      <w:r w:rsidRPr="00C06BD9">
        <w:t xml:space="preserve">See AER, </w:t>
      </w:r>
      <w:r w:rsidRPr="006F329C">
        <w:rPr>
          <w:rStyle w:val="AERtextitalic"/>
        </w:rPr>
        <w:t>Final decision - amended transmission roll forward model</w:t>
      </w:r>
      <w:r w:rsidRPr="00C06BD9">
        <w:t>, December 2010, pp. 5–6 for further explanation.</w:t>
      </w:r>
    </w:p>
  </w:footnote>
  <w:footnote w:id="23">
    <w:p w:rsidR="00010FC1" w:rsidRDefault="00010FC1" w:rsidP="006E4103">
      <w:pPr>
        <w:pStyle w:val="FootnoteText"/>
      </w:pPr>
      <w:r>
        <w:rPr>
          <w:rStyle w:val="FootnoteReference"/>
        </w:rPr>
        <w:footnoteRef/>
      </w:r>
      <w:r>
        <w:t xml:space="preserve"> </w:t>
      </w:r>
      <w:r>
        <w:tab/>
        <w:t>Under our standard approach,</w:t>
      </w:r>
      <w:r w:rsidRPr="00847540">
        <w:t xml:space="preserve"> the distinction is made between straight-line depreciation and regulatory depreciation. The difference being that regulatory depreciation is the straight-line depreciation minus the indexation adjustment.</w:t>
      </w:r>
    </w:p>
  </w:footnote>
  <w:footnote w:id="24">
    <w:p w:rsidR="00010FC1" w:rsidRDefault="00010FC1">
      <w:pPr>
        <w:pStyle w:val="FootnoteText"/>
      </w:pPr>
      <w:r>
        <w:rPr>
          <w:rStyle w:val="FootnoteReference"/>
        </w:rPr>
        <w:footnoteRef/>
      </w:r>
      <w:r>
        <w:t xml:space="preserve"> </w:t>
      </w:r>
      <w:r>
        <w:tab/>
        <w:t>This is generally the case because the reduction in the capital base amount feeds into the higher depreciation building block, whereas the reduced return on capital building block is proportionate to the lower capital base multiplied by the WACC.</w:t>
      </w:r>
    </w:p>
  </w:footnote>
  <w:footnote w:id="25">
    <w:p w:rsidR="00010FC1" w:rsidRDefault="00010FC1" w:rsidP="00005FFA">
      <w:pPr>
        <w:pStyle w:val="FootnoteText"/>
      </w:pPr>
      <w:r>
        <w:rPr>
          <w:rStyle w:val="FootnoteReference"/>
        </w:rPr>
        <w:footnoteRef/>
      </w:r>
      <w:r>
        <w:t xml:space="preserve"> </w:t>
      </w:r>
      <w:r>
        <w:tab/>
        <w:t>NGR, cl. 87(4)(b).</w:t>
      </w:r>
    </w:p>
  </w:footnote>
  <w:footnote w:id="26">
    <w:p w:rsidR="00010FC1" w:rsidRDefault="00010FC1" w:rsidP="00005FFA">
      <w:pPr>
        <w:pStyle w:val="FootnoteText"/>
      </w:pPr>
      <w:r>
        <w:rPr>
          <w:rStyle w:val="FootnoteReference"/>
        </w:rPr>
        <w:footnoteRef/>
      </w:r>
      <w:r>
        <w:t xml:space="preserve"> </w:t>
      </w:r>
      <w:r>
        <w:tab/>
      </w:r>
      <w:r w:rsidRPr="00B06CAD">
        <w:t xml:space="preserve">If the asset lives are extremely long, such that the </w:t>
      </w:r>
      <w:r>
        <w:t>capital base</w:t>
      </w:r>
      <w:r w:rsidRPr="00B06CAD">
        <w:t xml:space="preserve"> depreciation rate is lower than the inflation rate, then</w:t>
      </w:r>
      <w:r>
        <w:t xml:space="preserve"> </w:t>
      </w:r>
      <w:r w:rsidRPr="00B06CAD">
        <w:t xml:space="preserve">negative regulatory depreciation can emerge. The indexation adjustment is greater than the </w:t>
      </w:r>
      <w:r>
        <w:t>capital base</w:t>
      </w:r>
      <w:r w:rsidRPr="00B06CAD">
        <w:t xml:space="preserve"> depreciation in</w:t>
      </w:r>
      <w:r>
        <w:t xml:space="preserve"> </w:t>
      </w:r>
      <w:r w:rsidRPr="00B06CAD">
        <w:t>such circumstances</w:t>
      </w:r>
    </w:p>
  </w:footnote>
  <w:footnote w:id="27">
    <w:p w:rsidR="00010FC1" w:rsidRDefault="00010FC1" w:rsidP="00005FFA">
      <w:pPr>
        <w:pStyle w:val="FootnoteText"/>
      </w:pPr>
      <w:r>
        <w:rPr>
          <w:rStyle w:val="FootnoteReference"/>
        </w:rPr>
        <w:footnoteRef/>
      </w:r>
      <w:r>
        <w:t xml:space="preserve"> </w:t>
      </w:r>
      <w:r>
        <w:tab/>
        <w:t>A change of approach from an indexed capital base to an un-indexed capital base would result in an initial step change increase in revenues to preserve NPV neutrality.</w:t>
      </w:r>
    </w:p>
  </w:footnote>
  <w:footnote w:id="28">
    <w:p w:rsidR="00010FC1" w:rsidRDefault="00010FC1" w:rsidP="00005FFA">
      <w:pPr>
        <w:pStyle w:val="FootnoteText"/>
      </w:pPr>
      <w:r>
        <w:rPr>
          <w:rStyle w:val="FootnoteReference"/>
        </w:rPr>
        <w:footnoteRef/>
      </w:r>
      <w:r>
        <w:t xml:space="preserve"> </w:t>
      </w:r>
      <w:r>
        <w:tab/>
        <w:t>The example is based on the initial cost of an asset of $100, a standard economic life of 25 years, a real WACC of 7.32%, expected inflation of 2.5% and nominal WACC of 10%. Other building block components such as opex, tax and capex are ignored for simplicity as they would affect both approaches equally.</w:t>
      </w:r>
    </w:p>
  </w:footnote>
  <w:footnote w:id="29">
    <w:p w:rsidR="00010FC1" w:rsidRDefault="00010FC1" w:rsidP="00E945AC">
      <w:pPr>
        <w:pStyle w:val="FootnoteText"/>
      </w:pPr>
      <w:r>
        <w:rPr>
          <w:rStyle w:val="FootnoteReference"/>
        </w:rPr>
        <w:footnoteRef/>
      </w:r>
      <w:r>
        <w:t xml:space="preserve"> </w:t>
      </w:r>
      <w:r>
        <w:tab/>
        <w:t>NGR, rr.88–90.</w:t>
      </w:r>
    </w:p>
  </w:footnote>
  <w:footnote w:id="30">
    <w:p w:rsidR="00010FC1" w:rsidRDefault="00010FC1" w:rsidP="000144D3">
      <w:pPr>
        <w:pStyle w:val="FootnoteText"/>
      </w:pPr>
      <w:r>
        <w:rPr>
          <w:rStyle w:val="FootnoteReference"/>
        </w:rPr>
        <w:footnoteRef/>
      </w:r>
      <w:r>
        <w:t xml:space="preserve"> </w:t>
      </w:r>
      <w:r>
        <w:tab/>
        <w:t>All pipelines related asset classes have a standard asset life of 80 years, except for the 'Original pipeline' asset class which has a standard asset life of 60 years and is kept as a separate asset class with no new capex allocated to it.</w:t>
      </w:r>
    </w:p>
  </w:footnote>
  <w:footnote w:id="31">
    <w:p w:rsidR="00010FC1" w:rsidRDefault="00010FC1" w:rsidP="006E5C59">
      <w:pPr>
        <w:pStyle w:val="FootnoteText"/>
      </w:pPr>
      <w:r>
        <w:rPr>
          <w:rStyle w:val="FootnoteReference"/>
        </w:rPr>
        <w:footnoteRef/>
      </w:r>
      <w:r>
        <w:t xml:space="preserve"> </w:t>
      </w:r>
      <w:r>
        <w:tab/>
        <w:t>NGR, r. 89(1)(b).</w:t>
      </w:r>
    </w:p>
  </w:footnote>
  <w:footnote w:id="32">
    <w:p w:rsidR="00010FC1" w:rsidRPr="004B0A50" w:rsidRDefault="00010FC1" w:rsidP="008E3CC5">
      <w:pPr>
        <w:pStyle w:val="FootnoteText"/>
      </w:pPr>
      <w:r>
        <w:rPr>
          <w:rStyle w:val="FootnoteReference"/>
        </w:rPr>
        <w:footnoteRef/>
      </w:r>
      <w:r>
        <w:t xml:space="preserve"> </w:t>
      </w:r>
      <w:r>
        <w:tab/>
        <w:t xml:space="preserve">For example, </w:t>
      </w:r>
      <w:r w:rsidRPr="00EF6E6B">
        <w:rPr>
          <w:rStyle w:val="AERtextitalic"/>
          <w:i w:val="0"/>
        </w:rPr>
        <w:t>AER:</w:t>
      </w:r>
      <w:r>
        <w:rPr>
          <w:rStyle w:val="AERtextitalic"/>
          <w:rFonts w:eastAsia="Calibri"/>
        </w:rPr>
        <w:t xml:space="preserve"> Access arrangement final decision APA GasNet Australia (Operations) Pty Ltd 2013–17 Part 2: Attachments, </w:t>
      </w:r>
      <w:r w:rsidRPr="004B0A50">
        <w:rPr>
          <w:rStyle w:val="AERtextitalic"/>
          <w:rFonts w:eastAsia="Calibri"/>
          <w:i w:val="0"/>
        </w:rPr>
        <w:t>March 2013</w:t>
      </w:r>
      <w:r>
        <w:rPr>
          <w:rStyle w:val="AERtextitalic"/>
          <w:rFonts w:eastAsia="Calibri"/>
          <w:i w:val="0"/>
        </w:rPr>
        <w:t>, p.10</w:t>
      </w:r>
      <w:r w:rsidRPr="00EF6E6B">
        <w:rPr>
          <w:rStyle w:val="AERtextitalic"/>
          <w:i w:val="0"/>
        </w:rPr>
        <w:t>1 and</w:t>
      </w:r>
      <w:r>
        <w:rPr>
          <w:rStyle w:val="AERtextitalic"/>
        </w:rPr>
        <w:t xml:space="preserve"> </w:t>
      </w:r>
      <w:r w:rsidRPr="00EF6E6B">
        <w:rPr>
          <w:rStyle w:val="AERtextitalic"/>
          <w:i w:val="0"/>
        </w:rPr>
        <w:t>AER:</w:t>
      </w:r>
      <w:r>
        <w:rPr>
          <w:rStyle w:val="AERtextitalic"/>
        </w:rPr>
        <w:t xml:space="preserve"> Final decision Amadeus Gas Pipeline access arrangement attachment 5 — Regulatory depreciation, </w:t>
      </w:r>
      <w:r w:rsidRPr="008E3CC5">
        <w:rPr>
          <w:rStyle w:val="AERtextitalic"/>
          <w:i w:val="0"/>
        </w:rPr>
        <w:t>May 2016, p</w:t>
      </w:r>
      <w:r>
        <w:rPr>
          <w:rStyle w:val="AERtextitalic"/>
        </w:rPr>
        <w:t xml:space="preserve">. </w:t>
      </w:r>
      <w:r w:rsidRPr="008E3CC5">
        <w:rPr>
          <w:rStyle w:val="AERtextitalic"/>
          <w:i w:val="0"/>
        </w:rPr>
        <w:t>9.</w:t>
      </w:r>
      <w:r>
        <w:rPr>
          <w:rStyle w:val="AERtextitalic"/>
        </w:rPr>
        <w:t xml:space="preserve"> </w:t>
      </w:r>
    </w:p>
  </w:footnote>
  <w:footnote w:id="33">
    <w:p w:rsidR="00010FC1" w:rsidRDefault="00010FC1" w:rsidP="00A244B5">
      <w:pPr>
        <w:pStyle w:val="FootnoteText"/>
      </w:pPr>
      <w:r>
        <w:rPr>
          <w:rStyle w:val="FootnoteReference"/>
        </w:rPr>
        <w:footnoteRef/>
      </w:r>
      <w:r>
        <w:t xml:space="preserve"> </w:t>
      </w:r>
      <w:r>
        <w:tab/>
      </w:r>
      <w:r w:rsidRPr="009E1948">
        <w:rPr>
          <w:rFonts w:eastAsia="Calibri"/>
        </w:rPr>
        <w:t xml:space="preserve">We note that the capex determined in this draft decision for </w:t>
      </w:r>
      <w:r>
        <w:t xml:space="preserve">2015–16 and </w:t>
      </w:r>
      <w:r w:rsidRPr="009E1948">
        <w:rPr>
          <w:rFonts w:eastAsia="Calibri"/>
        </w:rPr>
        <w:t>201</w:t>
      </w:r>
      <w:r>
        <w:t>6</w:t>
      </w:r>
      <w:r w:rsidRPr="009E1948">
        <w:rPr>
          <w:rFonts w:eastAsia="Calibri"/>
        </w:rPr>
        <w:t>–1</w:t>
      </w:r>
      <w:r>
        <w:t>7</w:t>
      </w:r>
      <w:r w:rsidRPr="009E1948">
        <w:rPr>
          <w:rFonts w:eastAsia="Calibri"/>
        </w:rPr>
        <w:t xml:space="preserve"> are estimates. As part of the final decision, we expect the estimate of capex for 201</w:t>
      </w:r>
      <w:r>
        <w:rPr>
          <w:rFonts w:eastAsia="Calibri"/>
        </w:rPr>
        <w:t>5</w:t>
      </w:r>
      <w:r w:rsidRPr="009E1948">
        <w:rPr>
          <w:rFonts w:eastAsia="Calibri"/>
        </w:rPr>
        <w:t>–1</w:t>
      </w:r>
      <w:r>
        <w:rPr>
          <w:rFonts w:eastAsia="Calibri"/>
        </w:rPr>
        <w:t>6</w:t>
      </w:r>
      <w:r w:rsidRPr="009E1948">
        <w:rPr>
          <w:rFonts w:eastAsia="Calibri"/>
        </w:rPr>
        <w:t xml:space="preserve"> </w:t>
      </w:r>
      <w:r>
        <w:t xml:space="preserve">to be replaced by actuals and the estimate of capex for 2016–17 may </w:t>
      </w:r>
      <w:r w:rsidRPr="009E1948">
        <w:rPr>
          <w:rFonts w:eastAsia="Calibri"/>
        </w:rPr>
        <w:t>be revised based</w:t>
      </w:r>
      <w:r>
        <w:rPr>
          <w:rFonts w:eastAsia="Calibri"/>
        </w:rPr>
        <w:t xml:space="preserve"> on more up to date information</w:t>
      </w:r>
      <w:r>
        <w:t xml:space="preserve"> by RBP in its revised proposal</w:t>
      </w:r>
      <w:r w:rsidRPr="009E1948">
        <w:rPr>
          <w:rFonts w:eastAsia="Calibri"/>
        </w:rPr>
        <w:t>.</w:t>
      </w:r>
      <w:r w:rsidRPr="00EF647F">
        <w:rPr>
          <w:rFonts w:eastAsia="Calibri"/>
        </w:rPr>
        <w:t xml:space="preserve"> The capex </w:t>
      </w:r>
      <w:r>
        <w:t>values</w:t>
      </w:r>
      <w:r w:rsidRPr="00EF647F">
        <w:rPr>
          <w:rFonts w:eastAsia="Calibri"/>
        </w:rPr>
        <w:t xml:space="preserve"> are used to calculate the weighted average remaining</w:t>
      </w:r>
      <w:r>
        <w:rPr>
          <w:rFonts w:eastAsia="Calibri"/>
        </w:rPr>
        <w:t xml:space="preserve"> </w:t>
      </w:r>
      <w:r w:rsidRPr="00EF647F">
        <w:rPr>
          <w:rFonts w:eastAsia="Calibri"/>
        </w:rPr>
        <w:t xml:space="preserve">asset lives. Therefore, </w:t>
      </w:r>
      <w:r>
        <w:rPr>
          <w:rFonts w:eastAsia="Calibri"/>
        </w:rPr>
        <w:t>we</w:t>
      </w:r>
      <w:r w:rsidRPr="00EF647F">
        <w:rPr>
          <w:rFonts w:eastAsia="Calibri"/>
        </w:rPr>
        <w:t xml:space="preserve"> </w:t>
      </w:r>
      <w:r>
        <w:rPr>
          <w:rFonts w:eastAsia="Calibri"/>
        </w:rPr>
        <w:t>may</w:t>
      </w:r>
      <w:r w:rsidRPr="00EF647F">
        <w:rPr>
          <w:rFonts w:eastAsia="Calibri"/>
        </w:rPr>
        <w:t xml:space="preserve"> recalculate </w:t>
      </w:r>
      <w:r>
        <w:t>RBP</w:t>
      </w:r>
      <w:r>
        <w:rPr>
          <w:rFonts w:eastAsia="Calibri"/>
        </w:rPr>
        <w:t>’s</w:t>
      </w:r>
      <w:r w:rsidRPr="00EF647F">
        <w:rPr>
          <w:rFonts w:eastAsia="Calibri"/>
        </w:rPr>
        <w:t xml:space="preserve"> remaining</w:t>
      </w:r>
      <w:r>
        <w:rPr>
          <w:rFonts w:eastAsia="Calibri"/>
        </w:rPr>
        <w:t xml:space="preserve"> </w:t>
      </w:r>
      <w:r w:rsidRPr="00EF647F">
        <w:rPr>
          <w:rFonts w:eastAsia="Calibri"/>
        </w:rPr>
        <w:t>asset lives using the method approved in this draft decision to</w:t>
      </w:r>
      <w:r w:rsidRPr="008914BF">
        <w:t xml:space="preserve"> reflect </w:t>
      </w:r>
      <w:r>
        <w:t>revisions to the 2015–16</w:t>
      </w:r>
      <w:r w:rsidRPr="008914BF">
        <w:t xml:space="preserve"> </w:t>
      </w:r>
      <w:r>
        <w:t xml:space="preserve">and 2016–17 </w:t>
      </w:r>
      <w:r w:rsidRPr="008914BF">
        <w:t>capex</w:t>
      </w:r>
      <w:r>
        <w:t xml:space="preserve"> values</w:t>
      </w:r>
      <w:r w:rsidRPr="008914BF">
        <w:t xml:space="preserve"> for the final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C1" w:rsidRDefault="00D627A4">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010FC1">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C1" w:rsidRDefault="00D627A4">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A032232E"/>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432"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NgM5pIPOf65VYO62gtq+xHNWmM+BatUUnJSKOx6hY5k=" w:saltValue="Yd9DwZqi1089onvgagShl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040\AER15 4328  AER - Final decision Amadeus Gas Pipeline Access Arrangement - Attachment 5 - Regulatory depreciation - April 2016.DOCX"/>
  </w:docVars>
  <w:rsids>
    <w:rsidRoot w:val="00961A4A"/>
    <w:rsid w:val="00004633"/>
    <w:rsid w:val="00005D72"/>
    <w:rsid w:val="00005FFA"/>
    <w:rsid w:val="00010286"/>
    <w:rsid w:val="00010FC1"/>
    <w:rsid w:val="000144D3"/>
    <w:rsid w:val="00016573"/>
    <w:rsid w:val="0002117E"/>
    <w:rsid w:val="00021202"/>
    <w:rsid w:val="00021C2B"/>
    <w:rsid w:val="0002517F"/>
    <w:rsid w:val="00025483"/>
    <w:rsid w:val="00026495"/>
    <w:rsid w:val="000276EC"/>
    <w:rsid w:val="0003578C"/>
    <w:rsid w:val="0003582C"/>
    <w:rsid w:val="000401AF"/>
    <w:rsid w:val="00041DDA"/>
    <w:rsid w:val="00055BC3"/>
    <w:rsid w:val="00063247"/>
    <w:rsid w:val="00063A92"/>
    <w:rsid w:val="00064F3E"/>
    <w:rsid w:val="00070F9F"/>
    <w:rsid w:val="0007137B"/>
    <w:rsid w:val="0007202D"/>
    <w:rsid w:val="00081E68"/>
    <w:rsid w:val="00085663"/>
    <w:rsid w:val="00085EBF"/>
    <w:rsid w:val="00085F93"/>
    <w:rsid w:val="00091B15"/>
    <w:rsid w:val="00092643"/>
    <w:rsid w:val="00097982"/>
    <w:rsid w:val="000A06BA"/>
    <w:rsid w:val="000A1E7C"/>
    <w:rsid w:val="000A3020"/>
    <w:rsid w:val="000A41ED"/>
    <w:rsid w:val="000A6C7B"/>
    <w:rsid w:val="000B0360"/>
    <w:rsid w:val="000B4A71"/>
    <w:rsid w:val="000C2B40"/>
    <w:rsid w:val="000D01F4"/>
    <w:rsid w:val="000D06C1"/>
    <w:rsid w:val="000D122C"/>
    <w:rsid w:val="000D3016"/>
    <w:rsid w:val="000D64F2"/>
    <w:rsid w:val="000D6680"/>
    <w:rsid w:val="000D7F32"/>
    <w:rsid w:val="000E0E30"/>
    <w:rsid w:val="000E1819"/>
    <w:rsid w:val="000E4821"/>
    <w:rsid w:val="000E6C72"/>
    <w:rsid w:val="000F0B2B"/>
    <w:rsid w:val="000F3E72"/>
    <w:rsid w:val="000F4081"/>
    <w:rsid w:val="000F48B1"/>
    <w:rsid w:val="000F723D"/>
    <w:rsid w:val="00103A67"/>
    <w:rsid w:val="001044F7"/>
    <w:rsid w:val="0011349F"/>
    <w:rsid w:val="00113E7B"/>
    <w:rsid w:val="00116EB2"/>
    <w:rsid w:val="00117255"/>
    <w:rsid w:val="001173EB"/>
    <w:rsid w:val="001207EC"/>
    <w:rsid w:val="00124609"/>
    <w:rsid w:val="00126A4C"/>
    <w:rsid w:val="00141C31"/>
    <w:rsid w:val="00142AB6"/>
    <w:rsid w:val="00143A62"/>
    <w:rsid w:val="00143F71"/>
    <w:rsid w:val="0014573B"/>
    <w:rsid w:val="00147E70"/>
    <w:rsid w:val="0015067D"/>
    <w:rsid w:val="00154F01"/>
    <w:rsid w:val="001552EC"/>
    <w:rsid w:val="0015563D"/>
    <w:rsid w:val="00156DCC"/>
    <w:rsid w:val="001573E4"/>
    <w:rsid w:val="00160756"/>
    <w:rsid w:val="00161B6D"/>
    <w:rsid w:val="001635B9"/>
    <w:rsid w:val="0017232E"/>
    <w:rsid w:val="00172715"/>
    <w:rsid w:val="00174102"/>
    <w:rsid w:val="0017480F"/>
    <w:rsid w:val="001754EE"/>
    <w:rsid w:val="00180157"/>
    <w:rsid w:val="00182467"/>
    <w:rsid w:val="00182B97"/>
    <w:rsid w:val="00185CB9"/>
    <w:rsid w:val="00186F77"/>
    <w:rsid w:val="001926A4"/>
    <w:rsid w:val="0019286D"/>
    <w:rsid w:val="00192AD5"/>
    <w:rsid w:val="00193812"/>
    <w:rsid w:val="00194B02"/>
    <w:rsid w:val="001B1DC3"/>
    <w:rsid w:val="001B3F62"/>
    <w:rsid w:val="001B45A0"/>
    <w:rsid w:val="001B45C0"/>
    <w:rsid w:val="001B6F2E"/>
    <w:rsid w:val="001B7D00"/>
    <w:rsid w:val="001C17E7"/>
    <w:rsid w:val="001C4807"/>
    <w:rsid w:val="001D055E"/>
    <w:rsid w:val="001E009C"/>
    <w:rsid w:val="001E5FE2"/>
    <w:rsid w:val="001F05A4"/>
    <w:rsid w:val="001F4536"/>
    <w:rsid w:val="001F492E"/>
    <w:rsid w:val="001F6BB9"/>
    <w:rsid w:val="001F6DA3"/>
    <w:rsid w:val="002010BC"/>
    <w:rsid w:val="002016E7"/>
    <w:rsid w:val="00201F98"/>
    <w:rsid w:val="00202E03"/>
    <w:rsid w:val="0020478D"/>
    <w:rsid w:val="0020492C"/>
    <w:rsid w:val="00205A33"/>
    <w:rsid w:val="00213FDF"/>
    <w:rsid w:val="0022273E"/>
    <w:rsid w:val="0022444D"/>
    <w:rsid w:val="00224DB9"/>
    <w:rsid w:val="00227DCE"/>
    <w:rsid w:val="0023276C"/>
    <w:rsid w:val="0023293B"/>
    <w:rsid w:val="00233775"/>
    <w:rsid w:val="0023783F"/>
    <w:rsid w:val="0024222B"/>
    <w:rsid w:val="002456C1"/>
    <w:rsid w:val="002472E0"/>
    <w:rsid w:val="00251745"/>
    <w:rsid w:val="00255192"/>
    <w:rsid w:val="002572C1"/>
    <w:rsid w:val="00261784"/>
    <w:rsid w:val="00261F07"/>
    <w:rsid w:val="00263AC0"/>
    <w:rsid w:val="00264264"/>
    <w:rsid w:val="0026772D"/>
    <w:rsid w:val="002752EF"/>
    <w:rsid w:val="00277554"/>
    <w:rsid w:val="00280310"/>
    <w:rsid w:val="00281B23"/>
    <w:rsid w:val="00286874"/>
    <w:rsid w:val="002868C9"/>
    <w:rsid w:val="00286C6A"/>
    <w:rsid w:val="00290C63"/>
    <w:rsid w:val="002941FF"/>
    <w:rsid w:val="00294808"/>
    <w:rsid w:val="0029680F"/>
    <w:rsid w:val="00296B65"/>
    <w:rsid w:val="0029724D"/>
    <w:rsid w:val="002A4394"/>
    <w:rsid w:val="002A6688"/>
    <w:rsid w:val="002A70CE"/>
    <w:rsid w:val="002A7DEF"/>
    <w:rsid w:val="002B04E9"/>
    <w:rsid w:val="002B1003"/>
    <w:rsid w:val="002B2C82"/>
    <w:rsid w:val="002B3DEF"/>
    <w:rsid w:val="002B573C"/>
    <w:rsid w:val="002C233C"/>
    <w:rsid w:val="002D15AA"/>
    <w:rsid w:val="002D595E"/>
    <w:rsid w:val="002D72E8"/>
    <w:rsid w:val="002E0AE4"/>
    <w:rsid w:val="002E1704"/>
    <w:rsid w:val="002E1DAD"/>
    <w:rsid w:val="002E53EB"/>
    <w:rsid w:val="002E62BB"/>
    <w:rsid w:val="002E6FA6"/>
    <w:rsid w:val="002E6FF1"/>
    <w:rsid w:val="002E7B22"/>
    <w:rsid w:val="002F7986"/>
    <w:rsid w:val="003004CB"/>
    <w:rsid w:val="00301AA8"/>
    <w:rsid w:val="00301B40"/>
    <w:rsid w:val="00301F1F"/>
    <w:rsid w:val="003029A5"/>
    <w:rsid w:val="003029EE"/>
    <w:rsid w:val="0030370B"/>
    <w:rsid w:val="00303A0F"/>
    <w:rsid w:val="00305CC8"/>
    <w:rsid w:val="00306B27"/>
    <w:rsid w:val="00306FE2"/>
    <w:rsid w:val="00307F6D"/>
    <w:rsid w:val="003130C9"/>
    <w:rsid w:val="003177A2"/>
    <w:rsid w:val="00320869"/>
    <w:rsid w:val="0032141F"/>
    <w:rsid w:val="00323C09"/>
    <w:rsid w:val="00326B1D"/>
    <w:rsid w:val="003271B5"/>
    <w:rsid w:val="003274B9"/>
    <w:rsid w:val="00327A1E"/>
    <w:rsid w:val="00331264"/>
    <w:rsid w:val="00332BC9"/>
    <w:rsid w:val="003338A2"/>
    <w:rsid w:val="00334C8D"/>
    <w:rsid w:val="0033548E"/>
    <w:rsid w:val="00343A18"/>
    <w:rsid w:val="00344473"/>
    <w:rsid w:val="00344BDD"/>
    <w:rsid w:val="00344D08"/>
    <w:rsid w:val="003457F9"/>
    <w:rsid w:val="00347114"/>
    <w:rsid w:val="003518B3"/>
    <w:rsid w:val="003578CD"/>
    <w:rsid w:val="0036075D"/>
    <w:rsid w:val="0036173D"/>
    <w:rsid w:val="00361E1D"/>
    <w:rsid w:val="00363788"/>
    <w:rsid w:val="0036437A"/>
    <w:rsid w:val="00364A2B"/>
    <w:rsid w:val="00364D6B"/>
    <w:rsid w:val="003666F2"/>
    <w:rsid w:val="00371398"/>
    <w:rsid w:val="003717D8"/>
    <w:rsid w:val="00380C0D"/>
    <w:rsid w:val="003846F1"/>
    <w:rsid w:val="00386BE2"/>
    <w:rsid w:val="003903D4"/>
    <w:rsid w:val="00390FE6"/>
    <w:rsid w:val="003915AA"/>
    <w:rsid w:val="00391BF0"/>
    <w:rsid w:val="003931A7"/>
    <w:rsid w:val="00393646"/>
    <w:rsid w:val="003B4452"/>
    <w:rsid w:val="003B4777"/>
    <w:rsid w:val="003B484F"/>
    <w:rsid w:val="003B5FBB"/>
    <w:rsid w:val="003B7FBA"/>
    <w:rsid w:val="003D4D9C"/>
    <w:rsid w:val="003E036F"/>
    <w:rsid w:val="003E1392"/>
    <w:rsid w:val="003E501C"/>
    <w:rsid w:val="003F174D"/>
    <w:rsid w:val="003F3903"/>
    <w:rsid w:val="003F468A"/>
    <w:rsid w:val="003F56F5"/>
    <w:rsid w:val="003F572D"/>
    <w:rsid w:val="003F6E13"/>
    <w:rsid w:val="003F7442"/>
    <w:rsid w:val="00402F0C"/>
    <w:rsid w:val="004037CE"/>
    <w:rsid w:val="00405215"/>
    <w:rsid w:val="00411936"/>
    <w:rsid w:val="00415F31"/>
    <w:rsid w:val="0042205D"/>
    <w:rsid w:val="00423A77"/>
    <w:rsid w:val="004264C4"/>
    <w:rsid w:val="004351C5"/>
    <w:rsid w:val="00436CD0"/>
    <w:rsid w:val="00436ECD"/>
    <w:rsid w:val="00445A2E"/>
    <w:rsid w:val="004462FE"/>
    <w:rsid w:val="00450671"/>
    <w:rsid w:val="00450B2E"/>
    <w:rsid w:val="00452473"/>
    <w:rsid w:val="004566FE"/>
    <w:rsid w:val="0045777E"/>
    <w:rsid w:val="00457A0D"/>
    <w:rsid w:val="00461B0F"/>
    <w:rsid w:val="00461C29"/>
    <w:rsid w:val="00461F1F"/>
    <w:rsid w:val="00470045"/>
    <w:rsid w:val="004708CE"/>
    <w:rsid w:val="0047295C"/>
    <w:rsid w:val="00474EC7"/>
    <w:rsid w:val="00477D41"/>
    <w:rsid w:val="00480B4B"/>
    <w:rsid w:val="0048488F"/>
    <w:rsid w:val="00485DC4"/>
    <w:rsid w:val="00497A52"/>
    <w:rsid w:val="00497F81"/>
    <w:rsid w:val="004A0A5E"/>
    <w:rsid w:val="004A3BEE"/>
    <w:rsid w:val="004A43D1"/>
    <w:rsid w:val="004A44B3"/>
    <w:rsid w:val="004A6BA6"/>
    <w:rsid w:val="004B2A0D"/>
    <w:rsid w:val="004B355D"/>
    <w:rsid w:val="004B3A6F"/>
    <w:rsid w:val="004B4412"/>
    <w:rsid w:val="004C0C43"/>
    <w:rsid w:val="004C110C"/>
    <w:rsid w:val="004C348C"/>
    <w:rsid w:val="004C6A30"/>
    <w:rsid w:val="004D160B"/>
    <w:rsid w:val="004D1A96"/>
    <w:rsid w:val="004D37FD"/>
    <w:rsid w:val="004D3984"/>
    <w:rsid w:val="004D4735"/>
    <w:rsid w:val="004D55BA"/>
    <w:rsid w:val="004E22EC"/>
    <w:rsid w:val="004E2A4C"/>
    <w:rsid w:val="004E3020"/>
    <w:rsid w:val="004F2C36"/>
    <w:rsid w:val="004F4CA6"/>
    <w:rsid w:val="004F5470"/>
    <w:rsid w:val="004F6A0E"/>
    <w:rsid w:val="005037D3"/>
    <w:rsid w:val="0050658D"/>
    <w:rsid w:val="00514C73"/>
    <w:rsid w:val="00515382"/>
    <w:rsid w:val="00526E5E"/>
    <w:rsid w:val="00530128"/>
    <w:rsid w:val="005303E9"/>
    <w:rsid w:val="00532467"/>
    <w:rsid w:val="00534EA5"/>
    <w:rsid w:val="00537FD6"/>
    <w:rsid w:val="00540988"/>
    <w:rsid w:val="00541B76"/>
    <w:rsid w:val="0055654B"/>
    <w:rsid w:val="00564A4D"/>
    <w:rsid w:val="0056588A"/>
    <w:rsid w:val="00567BA5"/>
    <w:rsid w:val="00571B35"/>
    <w:rsid w:val="00571D57"/>
    <w:rsid w:val="00572E69"/>
    <w:rsid w:val="00577A09"/>
    <w:rsid w:val="005829C2"/>
    <w:rsid w:val="00584D8F"/>
    <w:rsid w:val="0058577C"/>
    <w:rsid w:val="00585A4E"/>
    <w:rsid w:val="00586819"/>
    <w:rsid w:val="0059704C"/>
    <w:rsid w:val="005A2D9B"/>
    <w:rsid w:val="005A3BB9"/>
    <w:rsid w:val="005A404D"/>
    <w:rsid w:val="005A703B"/>
    <w:rsid w:val="005B1E3C"/>
    <w:rsid w:val="005B3FB7"/>
    <w:rsid w:val="005B4D33"/>
    <w:rsid w:val="005B5FC5"/>
    <w:rsid w:val="005B704A"/>
    <w:rsid w:val="005C0A7F"/>
    <w:rsid w:val="005C26CC"/>
    <w:rsid w:val="005C4C9C"/>
    <w:rsid w:val="005C6218"/>
    <w:rsid w:val="005C6C7E"/>
    <w:rsid w:val="005D0317"/>
    <w:rsid w:val="005D03B1"/>
    <w:rsid w:val="005D7731"/>
    <w:rsid w:val="005D7BA2"/>
    <w:rsid w:val="005E27E6"/>
    <w:rsid w:val="005E36C2"/>
    <w:rsid w:val="005E5CED"/>
    <w:rsid w:val="005F0183"/>
    <w:rsid w:val="005F45A3"/>
    <w:rsid w:val="005F49B9"/>
    <w:rsid w:val="005F727F"/>
    <w:rsid w:val="006007DE"/>
    <w:rsid w:val="006009D9"/>
    <w:rsid w:val="00601638"/>
    <w:rsid w:val="00610021"/>
    <w:rsid w:val="00610EF9"/>
    <w:rsid w:val="00612F4F"/>
    <w:rsid w:val="00613363"/>
    <w:rsid w:val="00615947"/>
    <w:rsid w:val="00615C6B"/>
    <w:rsid w:val="00620DC3"/>
    <w:rsid w:val="00621DCE"/>
    <w:rsid w:val="00623C0F"/>
    <w:rsid w:val="00632D6D"/>
    <w:rsid w:val="00640812"/>
    <w:rsid w:val="00641DD8"/>
    <w:rsid w:val="00642C3E"/>
    <w:rsid w:val="0064648A"/>
    <w:rsid w:val="00651C3A"/>
    <w:rsid w:val="00651CB2"/>
    <w:rsid w:val="006560CA"/>
    <w:rsid w:val="0066104A"/>
    <w:rsid w:val="00663DAD"/>
    <w:rsid w:val="00664F6D"/>
    <w:rsid w:val="00665649"/>
    <w:rsid w:val="00666E20"/>
    <w:rsid w:val="006672AA"/>
    <w:rsid w:val="00670198"/>
    <w:rsid w:val="00671AFA"/>
    <w:rsid w:val="006746CD"/>
    <w:rsid w:val="00675E20"/>
    <w:rsid w:val="00676679"/>
    <w:rsid w:val="00677AF8"/>
    <w:rsid w:val="006812E7"/>
    <w:rsid w:val="00681BD2"/>
    <w:rsid w:val="00683C89"/>
    <w:rsid w:val="00684C16"/>
    <w:rsid w:val="00691D9A"/>
    <w:rsid w:val="006A4AFA"/>
    <w:rsid w:val="006A66AE"/>
    <w:rsid w:val="006A7CB9"/>
    <w:rsid w:val="006A7D76"/>
    <w:rsid w:val="006B0CBA"/>
    <w:rsid w:val="006B2395"/>
    <w:rsid w:val="006B45A4"/>
    <w:rsid w:val="006B4CF9"/>
    <w:rsid w:val="006B785B"/>
    <w:rsid w:val="006B7AC8"/>
    <w:rsid w:val="006C1736"/>
    <w:rsid w:val="006C34F5"/>
    <w:rsid w:val="006C471A"/>
    <w:rsid w:val="006C4798"/>
    <w:rsid w:val="006C774D"/>
    <w:rsid w:val="006D22F2"/>
    <w:rsid w:val="006D550F"/>
    <w:rsid w:val="006E3F76"/>
    <w:rsid w:val="006E4103"/>
    <w:rsid w:val="006E5C59"/>
    <w:rsid w:val="006F1F83"/>
    <w:rsid w:val="006F3AD1"/>
    <w:rsid w:val="006F3FC8"/>
    <w:rsid w:val="006F6183"/>
    <w:rsid w:val="006F6ABD"/>
    <w:rsid w:val="0070011E"/>
    <w:rsid w:val="00701CAB"/>
    <w:rsid w:val="00707563"/>
    <w:rsid w:val="00710F87"/>
    <w:rsid w:val="00711019"/>
    <w:rsid w:val="00717BA4"/>
    <w:rsid w:val="0072348C"/>
    <w:rsid w:val="00724A37"/>
    <w:rsid w:val="007265B3"/>
    <w:rsid w:val="007303C3"/>
    <w:rsid w:val="00736D4B"/>
    <w:rsid w:val="0073744B"/>
    <w:rsid w:val="00741C46"/>
    <w:rsid w:val="00741C95"/>
    <w:rsid w:val="00741E23"/>
    <w:rsid w:val="007429BE"/>
    <w:rsid w:val="00743223"/>
    <w:rsid w:val="007448E7"/>
    <w:rsid w:val="0074570B"/>
    <w:rsid w:val="00745FA2"/>
    <w:rsid w:val="00746E01"/>
    <w:rsid w:val="00747EEA"/>
    <w:rsid w:val="00750635"/>
    <w:rsid w:val="00750D0C"/>
    <w:rsid w:val="00752C8D"/>
    <w:rsid w:val="00757364"/>
    <w:rsid w:val="00757BDF"/>
    <w:rsid w:val="007609D0"/>
    <w:rsid w:val="00763618"/>
    <w:rsid w:val="00763E5D"/>
    <w:rsid w:val="00766A01"/>
    <w:rsid w:val="00767740"/>
    <w:rsid w:val="00773A04"/>
    <w:rsid w:val="007743CF"/>
    <w:rsid w:val="00777EE6"/>
    <w:rsid w:val="00782EEA"/>
    <w:rsid w:val="0078603A"/>
    <w:rsid w:val="00796654"/>
    <w:rsid w:val="007A57A4"/>
    <w:rsid w:val="007A5D34"/>
    <w:rsid w:val="007A7002"/>
    <w:rsid w:val="007A7136"/>
    <w:rsid w:val="007A7F63"/>
    <w:rsid w:val="007B011C"/>
    <w:rsid w:val="007B186E"/>
    <w:rsid w:val="007B2C72"/>
    <w:rsid w:val="007B6C52"/>
    <w:rsid w:val="007C1C53"/>
    <w:rsid w:val="007C3E8E"/>
    <w:rsid w:val="007C43D3"/>
    <w:rsid w:val="007C74BB"/>
    <w:rsid w:val="007C7816"/>
    <w:rsid w:val="007D375E"/>
    <w:rsid w:val="007D456E"/>
    <w:rsid w:val="007D4D9C"/>
    <w:rsid w:val="007E0FD4"/>
    <w:rsid w:val="007E36D1"/>
    <w:rsid w:val="007E42F4"/>
    <w:rsid w:val="007E4904"/>
    <w:rsid w:val="007E4CB5"/>
    <w:rsid w:val="007E7B3A"/>
    <w:rsid w:val="007F066B"/>
    <w:rsid w:val="007F213A"/>
    <w:rsid w:val="007F75C4"/>
    <w:rsid w:val="00800CC2"/>
    <w:rsid w:val="00802B7C"/>
    <w:rsid w:val="008033C4"/>
    <w:rsid w:val="008057DE"/>
    <w:rsid w:val="00806C88"/>
    <w:rsid w:val="00810070"/>
    <w:rsid w:val="0081034E"/>
    <w:rsid w:val="00812B03"/>
    <w:rsid w:val="00815CAC"/>
    <w:rsid w:val="008168E7"/>
    <w:rsid w:val="00817550"/>
    <w:rsid w:val="00821004"/>
    <w:rsid w:val="008221F2"/>
    <w:rsid w:val="00824342"/>
    <w:rsid w:val="0082554E"/>
    <w:rsid w:val="00825985"/>
    <w:rsid w:val="00826A37"/>
    <w:rsid w:val="008301A7"/>
    <w:rsid w:val="008301B2"/>
    <w:rsid w:val="00833A0F"/>
    <w:rsid w:val="008344F6"/>
    <w:rsid w:val="0083451B"/>
    <w:rsid w:val="0083510F"/>
    <w:rsid w:val="00836502"/>
    <w:rsid w:val="00837F80"/>
    <w:rsid w:val="008408C5"/>
    <w:rsid w:val="008414FC"/>
    <w:rsid w:val="008448D6"/>
    <w:rsid w:val="00845A90"/>
    <w:rsid w:val="008460FD"/>
    <w:rsid w:val="00847887"/>
    <w:rsid w:val="00851209"/>
    <w:rsid w:val="0085722A"/>
    <w:rsid w:val="00862549"/>
    <w:rsid w:val="00862B19"/>
    <w:rsid w:val="00864B35"/>
    <w:rsid w:val="00866D99"/>
    <w:rsid w:val="00867CF6"/>
    <w:rsid w:val="008749E0"/>
    <w:rsid w:val="00874CD0"/>
    <w:rsid w:val="0087715E"/>
    <w:rsid w:val="00880CC5"/>
    <w:rsid w:val="008817AB"/>
    <w:rsid w:val="00882481"/>
    <w:rsid w:val="008837AC"/>
    <w:rsid w:val="0089515F"/>
    <w:rsid w:val="008961FE"/>
    <w:rsid w:val="008A46CE"/>
    <w:rsid w:val="008A587D"/>
    <w:rsid w:val="008B35CD"/>
    <w:rsid w:val="008B3900"/>
    <w:rsid w:val="008B5FCC"/>
    <w:rsid w:val="008B7544"/>
    <w:rsid w:val="008C3374"/>
    <w:rsid w:val="008C39F0"/>
    <w:rsid w:val="008C4B77"/>
    <w:rsid w:val="008C531F"/>
    <w:rsid w:val="008C5486"/>
    <w:rsid w:val="008C63DF"/>
    <w:rsid w:val="008C6E07"/>
    <w:rsid w:val="008C708B"/>
    <w:rsid w:val="008D1661"/>
    <w:rsid w:val="008D6800"/>
    <w:rsid w:val="008E225A"/>
    <w:rsid w:val="008E3CC5"/>
    <w:rsid w:val="008E3D56"/>
    <w:rsid w:val="008E453F"/>
    <w:rsid w:val="008E5962"/>
    <w:rsid w:val="008E7031"/>
    <w:rsid w:val="008E77DE"/>
    <w:rsid w:val="008F07A3"/>
    <w:rsid w:val="008F16B3"/>
    <w:rsid w:val="008F34DD"/>
    <w:rsid w:val="009001B6"/>
    <w:rsid w:val="00900E1B"/>
    <w:rsid w:val="00901C3C"/>
    <w:rsid w:val="009038ED"/>
    <w:rsid w:val="009054A3"/>
    <w:rsid w:val="00905B5B"/>
    <w:rsid w:val="00907988"/>
    <w:rsid w:val="009138E2"/>
    <w:rsid w:val="00920385"/>
    <w:rsid w:val="0092195F"/>
    <w:rsid w:val="009233EE"/>
    <w:rsid w:val="00923CFC"/>
    <w:rsid w:val="00923FA9"/>
    <w:rsid w:val="009272AD"/>
    <w:rsid w:val="009277DC"/>
    <w:rsid w:val="009317EF"/>
    <w:rsid w:val="00935C1F"/>
    <w:rsid w:val="00937958"/>
    <w:rsid w:val="0094226D"/>
    <w:rsid w:val="00944FE2"/>
    <w:rsid w:val="009460AA"/>
    <w:rsid w:val="0094641C"/>
    <w:rsid w:val="009512FD"/>
    <w:rsid w:val="00951978"/>
    <w:rsid w:val="00961115"/>
    <w:rsid w:val="00961A4A"/>
    <w:rsid w:val="009635AD"/>
    <w:rsid w:val="00963ACB"/>
    <w:rsid w:val="009661DE"/>
    <w:rsid w:val="00971B25"/>
    <w:rsid w:val="00975743"/>
    <w:rsid w:val="00983C25"/>
    <w:rsid w:val="009848C9"/>
    <w:rsid w:val="00985010"/>
    <w:rsid w:val="009856B7"/>
    <w:rsid w:val="00985C86"/>
    <w:rsid w:val="0098727E"/>
    <w:rsid w:val="00996BAF"/>
    <w:rsid w:val="009972D8"/>
    <w:rsid w:val="009A231D"/>
    <w:rsid w:val="009A4FAA"/>
    <w:rsid w:val="009A5113"/>
    <w:rsid w:val="009A539D"/>
    <w:rsid w:val="009A5FC3"/>
    <w:rsid w:val="009B0172"/>
    <w:rsid w:val="009B2C01"/>
    <w:rsid w:val="009B5900"/>
    <w:rsid w:val="009B5DC8"/>
    <w:rsid w:val="009B6F84"/>
    <w:rsid w:val="009B7343"/>
    <w:rsid w:val="009B74B0"/>
    <w:rsid w:val="009C691D"/>
    <w:rsid w:val="009D2B38"/>
    <w:rsid w:val="009D3906"/>
    <w:rsid w:val="009D48B8"/>
    <w:rsid w:val="009D6B46"/>
    <w:rsid w:val="009E3CB5"/>
    <w:rsid w:val="009F321E"/>
    <w:rsid w:val="009F4940"/>
    <w:rsid w:val="009F5BA1"/>
    <w:rsid w:val="00A000BD"/>
    <w:rsid w:val="00A02A88"/>
    <w:rsid w:val="00A02D20"/>
    <w:rsid w:val="00A0562E"/>
    <w:rsid w:val="00A06085"/>
    <w:rsid w:val="00A06AA9"/>
    <w:rsid w:val="00A0726D"/>
    <w:rsid w:val="00A1089A"/>
    <w:rsid w:val="00A10DA0"/>
    <w:rsid w:val="00A14D46"/>
    <w:rsid w:val="00A16596"/>
    <w:rsid w:val="00A17E9E"/>
    <w:rsid w:val="00A2303E"/>
    <w:rsid w:val="00A244B5"/>
    <w:rsid w:val="00A30278"/>
    <w:rsid w:val="00A30E24"/>
    <w:rsid w:val="00A32FBB"/>
    <w:rsid w:val="00A365EB"/>
    <w:rsid w:val="00A40705"/>
    <w:rsid w:val="00A428EE"/>
    <w:rsid w:val="00A4478A"/>
    <w:rsid w:val="00A44852"/>
    <w:rsid w:val="00A4650A"/>
    <w:rsid w:val="00A50502"/>
    <w:rsid w:val="00A50D90"/>
    <w:rsid w:val="00A520F2"/>
    <w:rsid w:val="00A57D04"/>
    <w:rsid w:val="00A60A26"/>
    <w:rsid w:val="00A61598"/>
    <w:rsid w:val="00A6425C"/>
    <w:rsid w:val="00A64C74"/>
    <w:rsid w:val="00A65CCC"/>
    <w:rsid w:val="00A71490"/>
    <w:rsid w:val="00A7259C"/>
    <w:rsid w:val="00A75C7E"/>
    <w:rsid w:val="00A84A99"/>
    <w:rsid w:val="00A84F46"/>
    <w:rsid w:val="00A871F4"/>
    <w:rsid w:val="00A90AA4"/>
    <w:rsid w:val="00A923BF"/>
    <w:rsid w:val="00A92B5F"/>
    <w:rsid w:val="00AA011A"/>
    <w:rsid w:val="00AA598F"/>
    <w:rsid w:val="00AA7EC5"/>
    <w:rsid w:val="00AB47E1"/>
    <w:rsid w:val="00AB534A"/>
    <w:rsid w:val="00AC1B2C"/>
    <w:rsid w:val="00AC3264"/>
    <w:rsid w:val="00AC55BB"/>
    <w:rsid w:val="00AC6E32"/>
    <w:rsid w:val="00AC75BD"/>
    <w:rsid w:val="00AD342A"/>
    <w:rsid w:val="00AD3784"/>
    <w:rsid w:val="00AD3884"/>
    <w:rsid w:val="00AD7B56"/>
    <w:rsid w:val="00AE1BF1"/>
    <w:rsid w:val="00AE5840"/>
    <w:rsid w:val="00AF0DD2"/>
    <w:rsid w:val="00B0209D"/>
    <w:rsid w:val="00B02961"/>
    <w:rsid w:val="00B0388E"/>
    <w:rsid w:val="00B0420E"/>
    <w:rsid w:val="00B04908"/>
    <w:rsid w:val="00B04B4C"/>
    <w:rsid w:val="00B053D4"/>
    <w:rsid w:val="00B07CEA"/>
    <w:rsid w:val="00B07FFE"/>
    <w:rsid w:val="00B10ECB"/>
    <w:rsid w:val="00B1123E"/>
    <w:rsid w:val="00B13048"/>
    <w:rsid w:val="00B1499E"/>
    <w:rsid w:val="00B15DC3"/>
    <w:rsid w:val="00B1716D"/>
    <w:rsid w:val="00B17A1D"/>
    <w:rsid w:val="00B207A0"/>
    <w:rsid w:val="00B23CCC"/>
    <w:rsid w:val="00B26462"/>
    <w:rsid w:val="00B40CAA"/>
    <w:rsid w:val="00B46F7B"/>
    <w:rsid w:val="00B514DD"/>
    <w:rsid w:val="00B51F3F"/>
    <w:rsid w:val="00B52A33"/>
    <w:rsid w:val="00B52AF0"/>
    <w:rsid w:val="00B561BD"/>
    <w:rsid w:val="00B56E03"/>
    <w:rsid w:val="00B57B07"/>
    <w:rsid w:val="00B61EDF"/>
    <w:rsid w:val="00B74AC5"/>
    <w:rsid w:val="00B75771"/>
    <w:rsid w:val="00B757A6"/>
    <w:rsid w:val="00B8080B"/>
    <w:rsid w:val="00B82223"/>
    <w:rsid w:val="00B828D5"/>
    <w:rsid w:val="00B86B6E"/>
    <w:rsid w:val="00B87BA5"/>
    <w:rsid w:val="00B87C39"/>
    <w:rsid w:val="00B9562D"/>
    <w:rsid w:val="00BA0731"/>
    <w:rsid w:val="00BA4665"/>
    <w:rsid w:val="00BA47EE"/>
    <w:rsid w:val="00BB2FB2"/>
    <w:rsid w:val="00BB3217"/>
    <w:rsid w:val="00BB3304"/>
    <w:rsid w:val="00BB3FD7"/>
    <w:rsid w:val="00BB6848"/>
    <w:rsid w:val="00BB7528"/>
    <w:rsid w:val="00BC18DE"/>
    <w:rsid w:val="00BC21EF"/>
    <w:rsid w:val="00BC2FAF"/>
    <w:rsid w:val="00BC42EF"/>
    <w:rsid w:val="00BD0920"/>
    <w:rsid w:val="00BD0C45"/>
    <w:rsid w:val="00BD310B"/>
    <w:rsid w:val="00BD31B6"/>
    <w:rsid w:val="00BD3446"/>
    <w:rsid w:val="00BD48DE"/>
    <w:rsid w:val="00BD769E"/>
    <w:rsid w:val="00BE1F1B"/>
    <w:rsid w:val="00BE42F0"/>
    <w:rsid w:val="00BE47B5"/>
    <w:rsid w:val="00BE60B7"/>
    <w:rsid w:val="00BF0C8F"/>
    <w:rsid w:val="00BF0CD7"/>
    <w:rsid w:val="00BF2E34"/>
    <w:rsid w:val="00C04223"/>
    <w:rsid w:val="00C058A2"/>
    <w:rsid w:val="00C07149"/>
    <w:rsid w:val="00C14C20"/>
    <w:rsid w:val="00C17674"/>
    <w:rsid w:val="00C17DB6"/>
    <w:rsid w:val="00C2387A"/>
    <w:rsid w:val="00C25FA6"/>
    <w:rsid w:val="00C275C4"/>
    <w:rsid w:val="00C30637"/>
    <w:rsid w:val="00C36F19"/>
    <w:rsid w:val="00C42ACA"/>
    <w:rsid w:val="00C43F5B"/>
    <w:rsid w:val="00C44A60"/>
    <w:rsid w:val="00C5122C"/>
    <w:rsid w:val="00C52205"/>
    <w:rsid w:val="00C538A9"/>
    <w:rsid w:val="00C53B5A"/>
    <w:rsid w:val="00C54F5A"/>
    <w:rsid w:val="00C56121"/>
    <w:rsid w:val="00C569B4"/>
    <w:rsid w:val="00C56A01"/>
    <w:rsid w:val="00C56A3E"/>
    <w:rsid w:val="00C67A92"/>
    <w:rsid w:val="00C67E19"/>
    <w:rsid w:val="00C707B3"/>
    <w:rsid w:val="00C71485"/>
    <w:rsid w:val="00C71A18"/>
    <w:rsid w:val="00C73194"/>
    <w:rsid w:val="00C7497E"/>
    <w:rsid w:val="00C74D43"/>
    <w:rsid w:val="00C77A9F"/>
    <w:rsid w:val="00C81568"/>
    <w:rsid w:val="00C82693"/>
    <w:rsid w:val="00C84560"/>
    <w:rsid w:val="00C84F52"/>
    <w:rsid w:val="00C86679"/>
    <w:rsid w:val="00C917A1"/>
    <w:rsid w:val="00C96720"/>
    <w:rsid w:val="00C97CDF"/>
    <w:rsid w:val="00CA2839"/>
    <w:rsid w:val="00CA2ABF"/>
    <w:rsid w:val="00CA2C1D"/>
    <w:rsid w:val="00CA354F"/>
    <w:rsid w:val="00CA489E"/>
    <w:rsid w:val="00CA52A2"/>
    <w:rsid w:val="00CB0279"/>
    <w:rsid w:val="00CB666B"/>
    <w:rsid w:val="00CB79E1"/>
    <w:rsid w:val="00CC3034"/>
    <w:rsid w:val="00CC7F1D"/>
    <w:rsid w:val="00CD19EE"/>
    <w:rsid w:val="00CE3D56"/>
    <w:rsid w:val="00CE484B"/>
    <w:rsid w:val="00CE4900"/>
    <w:rsid w:val="00CE5029"/>
    <w:rsid w:val="00CF0B1F"/>
    <w:rsid w:val="00CF0DEE"/>
    <w:rsid w:val="00CF2C05"/>
    <w:rsid w:val="00CF6EDE"/>
    <w:rsid w:val="00D006AE"/>
    <w:rsid w:val="00D01CF0"/>
    <w:rsid w:val="00D01EFD"/>
    <w:rsid w:val="00D03DD2"/>
    <w:rsid w:val="00D0442A"/>
    <w:rsid w:val="00D06055"/>
    <w:rsid w:val="00D066B7"/>
    <w:rsid w:val="00D105F3"/>
    <w:rsid w:val="00D12264"/>
    <w:rsid w:val="00D13B6E"/>
    <w:rsid w:val="00D14CD7"/>
    <w:rsid w:val="00D1561D"/>
    <w:rsid w:val="00D17683"/>
    <w:rsid w:val="00D24694"/>
    <w:rsid w:val="00D32DA2"/>
    <w:rsid w:val="00D345BF"/>
    <w:rsid w:val="00D36FCC"/>
    <w:rsid w:val="00D41E80"/>
    <w:rsid w:val="00D44A8D"/>
    <w:rsid w:val="00D45694"/>
    <w:rsid w:val="00D45B01"/>
    <w:rsid w:val="00D46346"/>
    <w:rsid w:val="00D46BD3"/>
    <w:rsid w:val="00D53BA4"/>
    <w:rsid w:val="00D56114"/>
    <w:rsid w:val="00D5732C"/>
    <w:rsid w:val="00D5749B"/>
    <w:rsid w:val="00D57E06"/>
    <w:rsid w:val="00D608F6"/>
    <w:rsid w:val="00D60EFF"/>
    <w:rsid w:val="00D61388"/>
    <w:rsid w:val="00D61A54"/>
    <w:rsid w:val="00D627A4"/>
    <w:rsid w:val="00D638AB"/>
    <w:rsid w:val="00D64275"/>
    <w:rsid w:val="00D64DEA"/>
    <w:rsid w:val="00D70D70"/>
    <w:rsid w:val="00D7168E"/>
    <w:rsid w:val="00D71E57"/>
    <w:rsid w:val="00D7420C"/>
    <w:rsid w:val="00D75AA2"/>
    <w:rsid w:val="00D75B11"/>
    <w:rsid w:val="00D7645E"/>
    <w:rsid w:val="00D80893"/>
    <w:rsid w:val="00D84854"/>
    <w:rsid w:val="00D848B4"/>
    <w:rsid w:val="00D8661A"/>
    <w:rsid w:val="00D86B06"/>
    <w:rsid w:val="00D909F0"/>
    <w:rsid w:val="00D92C03"/>
    <w:rsid w:val="00D92CF1"/>
    <w:rsid w:val="00D92D38"/>
    <w:rsid w:val="00D950F5"/>
    <w:rsid w:val="00DA0BCC"/>
    <w:rsid w:val="00DA4752"/>
    <w:rsid w:val="00DA61F3"/>
    <w:rsid w:val="00DA6B93"/>
    <w:rsid w:val="00DA6F94"/>
    <w:rsid w:val="00DA7642"/>
    <w:rsid w:val="00DB0F93"/>
    <w:rsid w:val="00DB1A67"/>
    <w:rsid w:val="00DB5074"/>
    <w:rsid w:val="00DB5B21"/>
    <w:rsid w:val="00DC0C01"/>
    <w:rsid w:val="00DC0D74"/>
    <w:rsid w:val="00DC3E32"/>
    <w:rsid w:val="00DC75A1"/>
    <w:rsid w:val="00DC7981"/>
    <w:rsid w:val="00DD1C15"/>
    <w:rsid w:val="00DD43BE"/>
    <w:rsid w:val="00DD6EFA"/>
    <w:rsid w:val="00DE1093"/>
    <w:rsid w:val="00DE4EFA"/>
    <w:rsid w:val="00DE5520"/>
    <w:rsid w:val="00DE563D"/>
    <w:rsid w:val="00DE5E2E"/>
    <w:rsid w:val="00DE772C"/>
    <w:rsid w:val="00DE7758"/>
    <w:rsid w:val="00DF0108"/>
    <w:rsid w:val="00DF1D9A"/>
    <w:rsid w:val="00DF312A"/>
    <w:rsid w:val="00DF5F76"/>
    <w:rsid w:val="00DF762D"/>
    <w:rsid w:val="00E0340B"/>
    <w:rsid w:val="00E03B23"/>
    <w:rsid w:val="00E04818"/>
    <w:rsid w:val="00E05DE7"/>
    <w:rsid w:val="00E06442"/>
    <w:rsid w:val="00E06BCF"/>
    <w:rsid w:val="00E0712C"/>
    <w:rsid w:val="00E1001C"/>
    <w:rsid w:val="00E11949"/>
    <w:rsid w:val="00E14C17"/>
    <w:rsid w:val="00E15350"/>
    <w:rsid w:val="00E23993"/>
    <w:rsid w:val="00E257D6"/>
    <w:rsid w:val="00E25B8C"/>
    <w:rsid w:val="00E27FC7"/>
    <w:rsid w:val="00E32089"/>
    <w:rsid w:val="00E32A63"/>
    <w:rsid w:val="00E32C44"/>
    <w:rsid w:val="00E3544F"/>
    <w:rsid w:val="00E51D65"/>
    <w:rsid w:val="00E55548"/>
    <w:rsid w:val="00E6200B"/>
    <w:rsid w:val="00E65C85"/>
    <w:rsid w:val="00E66199"/>
    <w:rsid w:val="00E711C7"/>
    <w:rsid w:val="00E72FEA"/>
    <w:rsid w:val="00E7494F"/>
    <w:rsid w:val="00E74EA3"/>
    <w:rsid w:val="00E74F7F"/>
    <w:rsid w:val="00E755EC"/>
    <w:rsid w:val="00E7624D"/>
    <w:rsid w:val="00E85F8D"/>
    <w:rsid w:val="00E86CBD"/>
    <w:rsid w:val="00E878B9"/>
    <w:rsid w:val="00E93FF0"/>
    <w:rsid w:val="00E945AC"/>
    <w:rsid w:val="00E97242"/>
    <w:rsid w:val="00EA33BD"/>
    <w:rsid w:val="00EA38F3"/>
    <w:rsid w:val="00EA3D42"/>
    <w:rsid w:val="00EA6B1B"/>
    <w:rsid w:val="00EB42B7"/>
    <w:rsid w:val="00EB49EA"/>
    <w:rsid w:val="00EB5BC8"/>
    <w:rsid w:val="00EB5E9C"/>
    <w:rsid w:val="00EB606C"/>
    <w:rsid w:val="00EC04F1"/>
    <w:rsid w:val="00EC0A0B"/>
    <w:rsid w:val="00EC1B2B"/>
    <w:rsid w:val="00EC1FF1"/>
    <w:rsid w:val="00EC2FD1"/>
    <w:rsid w:val="00EC32E5"/>
    <w:rsid w:val="00ED047D"/>
    <w:rsid w:val="00ED0EC2"/>
    <w:rsid w:val="00ED3474"/>
    <w:rsid w:val="00ED4D58"/>
    <w:rsid w:val="00ED5F42"/>
    <w:rsid w:val="00ED7323"/>
    <w:rsid w:val="00EE28AE"/>
    <w:rsid w:val="00EE28F3"/>
    <w:rsid w:val="00EE4F96"/>
    <w:rsid w:val="00EE50D1"/>
    <w:rsid w:val="00EE77FA"/>
    <w:rsid w:val="00EE7A83"/>
    <w:rsid w:val="00EF1471"/>
    <w:rsid w:val="00EF1B7A"/>
    <w:rsid w:val="00EF22FA"/>
    <w:rsid w:val="00EF3EA3"/>
    <w:rsid w:val="00EF5110"/>
    <w:rsid w:val="00EF6E6B"/>
    <w:rsid w:val="00F0334E"/>
    <w:rsid w:val="00F040AF"/>
    <w:rsid w:val="00F07967"/>
    <w:rsid w:val="00F10411"/>
    <w:rsid w:val="00F11508"/>
    <w:rsid w:val="00F14EBC"/>
    <w:rsid w:val="00F15882"/>
    <w:rsid w:val="00F171E0"/>
    <w:rsid w:val="00F20BD3"/>
    <w:rsid w:val="00F21093"/>
    <w:rsid w:val="00F2526A"/>
    <w:rsid w:val="00F35081"/>
    <w:rsid w:val="00F35D5D"/>
    <w:rsid w:val="00F373A5"/>
    <w:rsid w:val="00F42E08"/>
    <w:rsid w:val="00F47559"/>
    <w:rsid w:val="00F57907"/>
    <w:rsid w:val="00F57DC0"/>
    <w:rsid w:val="00F60E05"/>
    <w:rsid w:val="00F61176"/>
    <w:rsid w:val="00F62A30"/>
    <w:rsid w:val="00F64C7B"/>
    <w:rsid w:val="00F65B25"/>
    <w:rsid w:val="00F676DD"/>
    <w:rsid w:val="00F71667"/>
    <w:rsid w:val="00F73895"/>
    <w:rsid w:val="00F749E2"/>
    <w:rsid w:val="00F75A26"/>
    <w:rsid w:val="00F76706"/>
    <w:rsid w:val="00F768C8"/>
    <w:rsid w:val="00F81B8D"/>
    <w:rsid w:val="00F81D53"/>
    <w:rsid w:val="00F83FAD"/>
    <w:rsid w:val="00F8653A"/>
    <w:rsid w:val="00F905FF"/>
    <w:rsid w:val="00F911EC"/>
    <w:rsid w:val="00F91F55"/>
    <w:rsid w:val="00F9206E"/>
    <w:rsid w:val="00F92349"/>
    <w:rsid w:val="00F93B21"/>
    <w:rsid w:val="00F9414D"/>
    <w:rsid w:val="00F952A0"/>
    <w:rsid w:val="00FA3C7F"/>
    <w:rsid w:val="00FA6609"/>
    <w:rsid w:val="00FA6B2E"/>
    <w:rsid w:val="00FA7E52"/>
    <w:rsid w:val="00FB1BF3"/>
    <w:rsid w:val="00FB36BA"/>
    <w:rsid w:val="00FB41A7"/>
    <w:rsid w:val="00FB4402"/>
    <w:rsid w:val="00FB5AB9"/>
    <w:rsid w:val="00FB60FE"/>
    <w:rsid w:val="00FB74E2"/>
    <w:rsid w:val="00FC2A6D"/>
    <w:rsid w:val="00FC467D"/>
    <w:rsid w:val="00FC71DC"/>
    <w:rsid w:val="00FD2ED2"/>
    <w:rsid w:val="00FD5614"/>
    <w:rsid w:val="00FD5E78"/>
    <w:rsid w:val="00FD7525"/>
    <w:rsid w:val="00FE0BE1"/>
    <w:rsid w:val="00FE1DE9"/>
    <w:rsid w:val="00FE2D66"/>
    <w:rsid w:val="00FE36AF"/>
    <w:rsid w:val="00FE39C2"/>
    <w:rsid w:val="00FE3C32"/>
    <w:rsid w:val="00FE60CD"/>
    <w:rsid w:val="00FE6193"/>
    <w:rsid w:val="00FE64AE"/>
    <w:rsid w:val="00FF2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ind w:left="864"/>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ind w:left="864"/>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C9755F54</Template>
  <TotalTime>0</TotalTime>
  <Pages>18</Pages>
  <Words>4384</Words>
  <Characters>24994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2017-07-03T03:26:00Z</dcterms:created>
  <dcterms:modified xsi:type="dcterms:W3CDTF">2017-07-03T03:27:00Z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